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0207"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
        <w:gridCol w:w="5141"/>
        <w:gridCol w:w="4090"/>
      </w:tblGrid>
      <w:tr w:rsidR="00907941" w14:paraId="5871A7BF" w14:textId="77777777" w:rsidTr="00907941">
        <w:trPr>
          <w:trHeight w:val="709"/>
        </w:trPr>
        <w:tc>
          <w:tcPr>
            <w:tcW w:w="976" w:type="dxa"/>
            <w:tcBorders>
              <w:bottom w:val="single" w:sz="12" w:space="0" w:color="auto"/>
            </w:tcBorders>
          </w:tcPr>
          <w:p w14:paraId="4C043096" w14:textId="77777777" w:rsidR="00907941" w:rsidRDefault="00907941" w:rsidP="00907941">
            <w:bookmarkStart w:id="0" w:name="_Hlk412100843"/>
            <w:r>
              <w:rPr>
                <w:noProof/>
                <w:lang w:val="en-US"/>
              </w:rPr>
              <w:drawing>
                <wp:inline distT="0" distB="0" distL="0" distR="0" wp14:anchorId="21D23A7E" wp14:editId="191AC779">
                  <wp:extent cx="476494" cy="403200"/>
                  <wp:effectExtent l="0" t="0" r="6350" b="3810"/>
                  <wp:docPr id="7" name="Picture 7" descr="Macintosh HD:Users:bilodeau:Desktop:logos:template 2017:u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ilodeau:Desktop:logos:template 2017:un.em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494" cy="403200"/>
                          </a:xfrm>
                          <a:prstGeom prst="rect">
                            <a:avLst/>
                          </a:prstGeom>
                          <a:noFill/>
                          <a:ln>
                            <a:noFill/>
                          </a:ln>
                        </pic:spPr>
                      </pic:pic>
                    </a:graphicData>
                  </a:graphic>
                </wp:inline>
              </w:drawing>
            </w:r>
          </w:p>
        </w:tc>
        <w:tc>
          <w:tcPr>
            <w:tcW w:w="5141" w:type="dxa"/>
            <w:tcBorders>
              <w:bottom w:val="single" w:sz="12" w:space="0" w:color="auto"/>
            </w:tcBorders>
          </w:tcPr>
          <w:p w14:paraId="57C8D81C" w14:textId="77777777" w:rsidR="00907941" w:rsidRDefault="00907941" w:rsidP="00907941">
            <w:r>
              <w:rPr>
                <w:noProof/>
                <w:lang w:val="en-US"/>
              </w:rPr>
              <w:drawing>
                <wp:inline distT="0" distB="0" distL="0" distR="0" wp14:anchorId="33631C50" wp14:editId="7C41FB1B">
                  <wp:extent cx="343700" cy="403200"/>
                  <wp:effectExtent l="0" t="0" r="12065" b="3810"/>
                  <wp:docPr id="11" name="Picture 11" descr="Macintosh HD:Users:bilodeau:Desktop:logos:template 2017:unep-ol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ilodeau:Desktop:logos:template 2017:unep-old.e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3700" cy="403200"/>
                          </a:xfrm>
                          <a:prstGeom prst="rect">
                            <a:avLst/>
                          </a:prstGeom>
                          <a:noFill/>
                          <a:ln>
                            <a:noFill/>
                          </a:ln>
                        </pic:spPr>
                      </pic:pic>
                    </a:graphicData>
                  </a:graphic>
                </wp:inline>
              </w:drawing>
            </w:r>
          </w:p>
        </w:tc>
        <w:tc>
          <w:tcPr>
            <w:tcW w:w="4090" w:type="dxa"/>
            <w:tcBorders>
              <w:bottom w:val="single" w:sz="12" w:space="0" w:color="auto"/>
            </w:tcBorders>
          </w:tcPr>
          <w:p w14:paraId="4F17A068" w14:textId="77777777" w:rsidR="00907941" w:rsidRPr="00C9161D" w:rsidRDefault="00907941" w:rsidP="00907941">
            <w:pPr>
              <w:jc w:val="right"/>
              <w:rPr>
                <w:rFonts w:ascii="Arial" w:hAnsi="Arial" w:cs="Arial"/>
                <w:b/>
                <w:sz w:val="32"/>
                <w:szCs w:val="32"/>
              </w:rPr>
            </w:pPr>
            <w:r w:rsidRPr="00C9161D">
              <w:rPr>
                <w:rFonts w:ascii="Arial" w:hAnsi="Arial" w:cs="Arial"/>
                <w:b/>
                <w:sz w:val="32"/>
                <w:szCs w:val="32"/>
              </w:rPr>
              <w:t>CBD</w:t>
            </w:r>
          </w:p>
        </w:tc>
      </w:tr>
      <w:tr w:rsidR="00907941" w14:paraId="2C891408" w14:textId="77777777" w:rsidTr="00907941">
        <w:tc>
          <w:tcPr>
            <w:tcW w:w="6117" w:type="dxa"/>
            <w:gridSpan w:val="2"/>
            <w:tcBorders>
              <w:top w:val="single" w:sz="12" w:space="0" w:color="auto"/>
              <w:bottom w:val="single" w:sz="36" w:space="0" w:color="auto"/>
            </w:tcBorders>
            <w:vAlign w:val="center"/>
          </w:tcPr>
          <w:p w14:paraId="1B3D2ECB" w14:textId="77777777" w:rsidR="00907941" w:rsidRDefault="00907941" w:rsidP="00907941">
            <w:r>
              <w:rPr>
                <w:noProof/>
                <w:lang w:val="en-US"/>
              </w:rPr>
              <w:drawing>
                <wp:inline distT="0" distB="0" distL="0" distR="0" wp14:anchorId="0A4B370B" wp14:editId="028B5AC5">
                  <wp:extent cx="2887853" cy="1080000"/>
                  <wp:effectExtent l="0" t="0" r="8255" b="12700"/>
                  <wp:docPr id="13" name="Picture 13" descr="Macintosh HD:Users:bilodeau:Desktop:logos:template 2017:cb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ilodeau:Desktop:logos:template 2017:cbd.e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7853" cy="1080000"/>
                          </a:xfrm>
                          <a:prstGeom prst="rect">
                            <a:avLst/>
                          </a:prstGeom>
                          <a:noFill/>
                          <a:ln>
                            <a:noFill/>
                          </a:ln>
                        </pic:spPr>
                      </pic:pic>
                    </a:graphicData>
                  </a:graphic>
                </wp:inline>
              </w:drawing>
            </w:r>
          </w:p>
        </w:tc>
        <w:tc>
          <w:tcPr>
            <w:tcW w:w="4090" w:type="dxa"/>
            <w:tcBorders>
              <w:top w:val="single" w:sz="12" w:space="0" w:color="auto"/>
              <w:bottom w:val="single" w:sz="36" w:space="0" w:color="auto"/>
            </w:tcBorders>
          </w:tcPr>
          <w:p w14:paraId="1538E483" w14:textId="77777777" w:rsidR="00907941" w:rsidRPr="00C9161D" w:rsidRDefault="00907941" w:rsidP="00907941">
            <w:pPr>
              <w:ind w:left="1215"/>
              <w:rPr>
                <w:szCs w:val="22"/>
              </w:rPr>
            </w:pPr>
            <w:r w:rsidRPr="00C9161D">
              <w:rPr>
                <w:szCs w:val="22"/>
              </w:rPr>
              <w:t>Distr.</w:t>
            </w:r>
          </w:p>
          <w:p w14:paraId="42A322FF" w14:textId="0F1A33E1" w:rsidR="00907941" w:rsidRPr="00C9161D" w:rsidRDefault="009E53BE" w:rsidP="00907941">
            <w:pPr>
              <w:ind w:left="1215"/>
              <w:rPr>
                <w:szCs w:val="22"/>
              </w:rPr>
            </w:pPr>
            <w:sdt>
              <w:sdtPr>
                <w:rPr>
                  <w:caps/>
                  <w:szCs w:val="22"/>
                </w:rPr>
                <w:alias w:val="Status"/>
                <w:tag w:val=""/>
                <w:id w:val="307985777"/>
                <w:placeholder>
                  <w:docPart w:val="308A98F78DE14A1285108C2C5063AB8A"/>
                </w:placeholder>
                <w:dataBinding w:prefixMappings="xmlns:ns0='http://purl.org/dc/elements/1.1/' xmlns:ns1='http://schemas.openxmlformats.org/package/2006/metadata/core-properties' " w:xpath="/ns1:coreProperties[1]/ns1:contentStatus[1]" w:storeItemID="{6C3C8BC8-F283-45AE-878A-BAB7291924A1}"/>
                <w:text/>
              </w:sdtPr>
              <w:sdtEndPr/>
              <w:sdtContent>
                <w:r w:rsidR="00907941">
                  <w:rPr>
                    <w:caps/>
                    <w:szCs w:val="22"/>
                  </w:rPr>
                  <w:t>GENERAL</w:t>
                </w:r>
              </w:sdtContent>
            </w:sdt>
          </w:p>
          <w:p w14:paraId="07826D54" w14:textId="77777777" w:rsidR="00907941" w:rsidRPr="00C9161D" w:rsidRDefault="00907941" w:rsidP="00907941">
            <w:pPr>
              <w:ind w:left="1215"/>
              <w:rPr>
                <w:szCs w:val="22"/>
              </w:rPr>
            </w:pPr>
          </w:p>
          <w:p w14:paraId="31A8D714" w14:textId="2C112074" w:rsidR="00907941" w:rsidRPr="00C9161D" w:rsidRDefault="009E53BE" w:rsidP="00907941">
            <w:pPr>
              <w:ind w:left="1215"/>
              <w:rPr>
                <w:szCs w:val="22"/>
              </w:rPr>
            </w:pPr>
            <w:sdt>
              <w:sdtPr>
                <w:rPr>
                  <w:lang w:val="en-US"/>
                </w:rPr>
                <w:alias w:val="Subject"/>
                <w:tag w:val=""/>
                <w:id w:val="2137136483"/>
                <w:placeholder>
                  <w:docPart w:val="BB98BD2C3DFC4E4AB71818DBC40457E6"/>
                </w:placeholder>
                <w:dataBinding w:prefixMappings="xmlns:ns0='http://purl.org/dc/elements/1.1/' xmlns:ns1='http://schemas.openxmlformats.org/package/2006/metadata/core-properties' " w:xpath="/ns1:coreProperties[1]/ns0:subject[1]" w:storeItemID="{6C3C8BC8-F283-45AE-878A-BAB7291924A1}"/>
                <w:text/>
              </w:sdtPr>
              <w:sdtEndPr/>
              <w:sdtContent>
                <w:r w:rsidR="00907941">
                  <w:rPr>
                    <w:lang w:val="en-US"/>
                  </w:rPr>
                  <w:t>CBD/EBSA/WS/2019/1/</w:t>
                </w:r>
                <w:r>
                  <w:rPr>
                    <w:lang w:val="en-US"/>
                  </w:rPr>
                  <w:t>4</w:t>
                </w:r>
              </w:sdtContent>
            </w:sdt>
          </w:p>
          <w:p w14:paraId="354FF082" w14:textId="622DC3C7" w:rsidR="00907941" w:rsidRPr="00C9161D" w:rsidRDefault="00907941" w:rsidP="00907941">
            <w:pPr>
              <w:ind w:left="1215"/>
              <w:rPr>
                <w:szCs w:val="22"/>
              </w:rPr>
            </w:pPr>
            <w:r>
              <w:rPr>
                <w:szCs w:val="22"/>
              </w:rPr>
              <w:t>8 November 2019</w:t>
            </w:r>
          </w:p>
          <w:p w14:paraId="56CA87B0" w14:textId="77777777" w:rsidR="00907941" w:rsidRPr="00C9161D" w:rsidRDefault="00907941" w:rsidP="00907941">
            <w:pPr>
              <w:ind w:left="1215"/>
              <w:rPr>
                <w:szCs w:val="22"/>
              </w:rPr>
            </w:pPr>
          </w:p>
          <w:p w14:paraId="32C44A53" w14:textId="39B2BFA8" w:rsidR="00907941" w:rsidRPr="00C9161D" w:rsidRDefault="00907941" w:rsidP="00907941">
            <w:pPr>
              <w:ind w:left="1215"/>
              <w:rPr>
                <w:szCs w:val="22"/>
              </w:rPr>
            </w:pPr>
            <w:r w:rsidRPr="00C9161D">
              <w:rPr>
                <w:szCs w:val="22"/>
              </w:rPr>
              <w:t>ENGLISH</w:t>
            </w:r>
            <w:r>
              <w:rPr>
                <w:szCs w:val="22"/>
              </w:rPr>
              <w:t xml:space="preserve"> ONLY</w:t>
            </w:r>
          </w:p>
          <w:p w14:paraId="2F640E65" w14:textId="77777777" w:rsidR="00907941" w:rsidRDefault="00907941" w:rsidP="00907941"/>
        </w:tc>
      </w:tr>
      <w:bookmarkEnd w:id="0"/>
    </w:tbl>
    <w:p w14:paraId="381A5F8B" w14:textId="77777777" w:rsidR="00711C74" w:rsidRPr="006220EA" w:rsidRDefault="00711C74" w:rsidP="00254CC1">
      <w:pPr>
        <w:ind w:left="227" w:right="3970" w:hanging="227"/>
        <w:rPr>
          <w:rFonts w:eastAsia="Batang"/>
          <w:color w:val="000000"/>
          <w:sz w:val="22"/>
          <w:szCs w:val="22"/>
          <w:lang w:eastAsia="ko-KR"/>
        </w:rPr>
        <w:sectPr w:rsidR="00711C74" w:rsidRPr="006220EA" w:rsidSect="001422CE">
          <w:headerReference w:type="even" r:id="rId11"/>
          <w:headerReference w:type="default" r:id="rId12"/>
          <w:type w:val="continuous"/>
          <w:pgSz w:w="12240" w:h="15840" w:code="1"/>
          <w:pgMar w:top="567" w:right="1440" w:bottom="1134" w:left="1440" w:header="0" w:footer="720" w:gutter="0"/>
          <w:cols w:space="708"/>
          <w:titlePg/>
          <w:docGrid w:linePitch="360"/>
        </w:sectPr>
      </w:pPr>
    </w:p>
    <w:p w14:paraId="66D03561" w14:textId="5B0B800F" w:rsidR="00F952A8" w:rsidRDefault="009E53BE" w:rsidP="00DC50DB">
      <w:pPr>
        <w:keepNext/>
        <w:spacing w:before="240"/>
        <w:jc w:val="center"/>
        <w:outlineLvl w:val="0"/>
        <w:rPr>
          <w:b/>
          <w:caps/>
          <w:sz w:val="22"/>
          <w:szCs w:val="22"/>
        </w:rPr>
      </w:pPr>
      <w:sdt>
        <w:sdtPr>
          <w:rPr>
            <w:b/>
            <w:caps/>
            <w:sz w:val="22"/>
            <w:szCs w:val="22"/>
          </w:rPr>
          <w:alias w:val="Title"/>
          <w:tag w:val=""/>
          <w:id w:val="-1799301268"/>
          <w:placeholder>
            <w:docPart w:val="A2D3A7E4BEF6403D951970FC03D8691A"/>
          </w:placeholder>
          <w:dataBinding w:prefixMappings="xmlns:ns0='http://purl.org/dc/elements/1.1/' xmlns:ns1='http://schemas.openxmlformats.org/package/2006/metadata/core-properties' " w:xpath="/ns1:coreProperties[1]/ns0:title[1]" w:storeItemID="{6C3C8BC8-F283-45AE-878A-BAB7291924A1}"/>
          <w:text/>
        </w:sdtPr>
        <w:sdtEndPr/>
        <w:sdtContent>
          <w:r w:rsidR="00DC50DB">
            <w:rPr>
              <w:b/>
              <w:caps/>
              <w:sz w:val="22"/>
              <w:szCs w:val="22"/>
            </w:rPr>
            <w:t>Report of the regional workshop to facilitate the description of ecologically or biologically significant marine areas in THE NORTH-EAST ATLANTIC OCEAN</w:t>
          </w:r>
        </w:sdtContent>
      </w:sdt>
      <w:r w:rsidR="00F952A8" w:rsidRPr="00606D05">
        <w:rPr>
          <w:rStyle w:val="FootnoteReference"/>
          <w:b/>
          <w:caps/>
          <w:sz w:val="22"/>
          <w:szCs w:val="22"/>
          <w:u w:val="none"/>
          <w:vertAlign w:val="superscript"/>
        </w:rPr>
        <w:footnoteReference w:id="1"/>
      </w:r>
    </w:p>
    <w:p w14:paraId="6DC72998" w14:textId="5869A594" w:rsidR="003A44F0" w:rsidRPr="006220EA" w:rsidRDefault="003A44F0" w:rsidP="002D5462">
      <w:pPr>
        <w:keepNext/>
        <w:spacing w:after="120"/>
        <w:jc w:val="center"/>
        <w:outlineLvl w:val="0"/>
        <w:rPr>
          <w:b/>
          <w:caps/>
          <w:sz w:val="22"/>
          <w:szCs w:val="22"/>
        </w:rPr>
      </w:pPr>
      <w:r>
        <w:rPr>
          <w:b/>
          <w:caps/>
          <w:sz w:val="22"/>
          <w:szCs w:val="22"/>
        </w:rPr>
        <w:t>S</w:t>
      </w:r>
      <w:r>
        <w:rPr>
          <w:b/>
          <w:sz w:val="22"/>
          <w:szCs w:val="22"/>
        </w:rPr>
        <w:t>tockholm</w:t>
      </w:r>
      <w:r>
        <w:rPr>
          <w:b/>
          <w:caps/>
          <w:sz w:val="22"/>
          <w:szCs w:val="22"/>
        </w:rPr>
        <w:t>, 22-27 S</w:t>
      </w:r>
      <w:r>
        <w:rPr>
          <w:b/>
          <w:sz w:val="22"/>
          <w:szCs w:val="22"/>
        </w:rPr>
        <w:t>eptember</w:t>
      </w:r>
      <w:r>
        <w:rPr>
          <w:b/>
          <w:caps/>
          <w:sz w:val="22"/>
          <w:szCs w:val="22"/>
        </w:rPr>
        <w:t xml:space="preserve"> 2019</w:t>
      </w:r>
    </w:p>
    <w:p w14:paraId="5C9CBAEE" w14:textId="77777777" w:rsidR="004D21E2" w:rsidRPr="006220EA" w:rsidRDefault="004D21E2" w:rsidP="00D702B6">
      <w:pPr>
        <w:pStyle w:val="Heading1"/>
        <w:rPr>
          <w:szCs w:val="22"/>
        </w:rPr>
      </w:pPr>
      <w:r w:rsidRPr="006220EA">
        <w:rPr>
          <w:szCs w:val="22"/>
        </w:rPr>
        <w:t>INTRODUCTION</w:t>
      </w:r>
    </w:p>
    <w:p w14:paraId="5648907C" w14:textId="5BD51B3E" w:rsidR="00210C1F" w:rsidRPr="006220EA" w:rsidRDefault="00CE39DC" w:rsidP="006220EA">
      <w:pPr>
        <w:spacing w:afterLines="50" w:after="120"/>
        <w:jc w:val="both"/>
        <w:rPr>
          <w:iCs/>
          <w:sz w:val="22"/>
          <w:szCs w:val="22"/>
          <w:lang w:eastAsia="ko-KR"/>
        </w:rPr>
      </w:pPr>
      <w:r w:rsidRPr="006220EA">
        <w:rPr>
          <w:iCs/>
          <w:sz w:val="22"/>
          <w:szCs w:val="22"/>
          <w:lang w:eastAsia="ko-KR"/>
        </w:rPr>
        <w:t>1.</w:t>
      </w:r>
      <w:r w:rsidRPr="006220EA">
        <w:rPr>
          <w:iCs/>
          <w:sz w:val="22"/>
          <w:szCs w:val="22"/>
          <w:lang w:eastAsia="ko-KR"/>
        </w:rPr>
        <w:tab/>
      </w:r>
      <w:r w:rsidR="00210C1F" w:rsidRPr="006220EA">
        <w:rPr>
          <w:iCs/>
          <w:sz w:val="22"/>
          <w:szCs w:val="22"/>
          <w:lang w:eastAsia="ko-KR"/>
        </w:rPr>
        <w:t>At its tenth meeting, the Conference of the Parties to the Convention on Biological Diversity requested the Executive Secretary to work with Parties and other Governments as well as competent organizations and regional initiatives, such as the Food and Agriculture Organization of the United Nations (FAO), regional seas conventions and action plans, and, where appropriate, regional fisheries management organizations (RFMOs) to organize, including the setting of terms of reference, a series of regional workshops, with a primary objective to facilitate the description of ecologically or biologically significant marine areas (EBSAs) through the application of the scientific criteria given in decision IX/20, annex I, as well as other relevant compatible and complementary nationally and intergovernmentally agreed scientific criteria, as well as the scientific guidance on the identification of marine areas beyond national jurisdiction, which meet the scientific criteria in annex I to decision IX/20 (see decision X/29, para. 36).</w:t>
      </w:r>
    </w:p>
    <w:p w14:paraId="38DBC3AF" w14:textId="4F2EB68F" w:rsidR="00210C1F" w:rsidRPr="006220EA" w:rsidRDefault="00210C1F" w:rsidP="006220EA">
      <w:pPr>
        <w:spacing w:afterLines="50" w:after="120"/>
        <w:jc w:val="both"/>
        <w:rPr>
          <w:iCs/>
          <w:sz w:val="22"/>
          <w:szCs w:val="22"/>
          <w:lang w:eastAsia="ko-KR"/>
        </w:rPr>
      </w:pPr>
      <w:r w:rsidRPr="006220EA">
        <w:rPr>
          <w:iCs/>
          <w:sz w:val="22"/>
          <w:szCs w:val="22"/>
          <w:lang w:eastAsia="ko-KR"/>
        </w:rPr>
        <w:t>2.</w:t>
      </w:r>
      <w:r w:rsidRPr="006220EA">
        <w:rPr>
          <w:iCs/>
          <w:sz w:val="22"/>
          <w:szCs w:val="22"/>
          <w:lang w:eastAsia="ko-KR"/>
        </w:rPr>
        <w:tab/>
        <w:t xml:space="preserve">Subsequently, at its eleventh, twelfth, thirteenth and fourteenth meetings, the Conference of the Parties reviewed the outcomes of </w:t>
      </w:r>
      <w:r w:rsidR="00332BCE">
        <w:rPr>
          <w:iCs/>
          <w:sz w:val="22"/>
          <w:szCs w:val="22"/>
          <w:lang w:eastAsia="ko-KR"/>
        </w:rPr>
        <w:t xml:space="preserve">the </w:t>
      </w:r>
      <w:r w:rsidRPr="006220EA">
        <w:rPr>
          <w:iCs/>
          <w:sz w:val="22"/>
          <w:szCs w:val="22"/>
          <w:lang w:eastAsia="ko-KR"/>
        </w:rPr>
        <w:t>regional workshops conducted and requested the Executive Secretary to include the summary reports prepared by the Subsidiary Body on Scientific, Technical and Technological Advice, as contained in the annexes to decisions XI/17, XII/22, XIII/12 and 14/9, in the repository of ecologically or biologically significant marine areas, and to transmit the summary reports to the United Nations General Assembly and its relevant processes, as well as to Parties, other Governments and relevant international organizations, in line with the purpose and procedures set out in decisions X/29, XI/17 and XII/22.</w:t>
      </w:r>
    </w:p>
    <w:p w14:paraId="61EED3DC" w14:textId="14DDE9D3" w:rsidR="00210C1F" w:rsidRDefault="00210C1F" w:rsidP="006220EA">
      <w:pPr>
        <w:spacing w:afterLines="50" w:after="120"/>
        <w:jc w:val="both"/>
        <w:rPr>
          <w:iCs/>
          <w:sz w:val="22"/>
          <w:szCs w:val="22"/>
          <w:lang w:eastAsia="ko-KR"/>
        </w:rPr>
      </w:pPr>
      <w:r w:rsidRPr="006220EA">
        <w:rPr>
          <w:iCs/>
          <w:sz w:val="22"/>
          <w:szCs w:val="22"/>
          <w:lang w:eastAsia="ko-KR"/>
        </w:rPr>
        <w:t>3.</w:t>
      </w:r>
      <w:r w:rsidRPr="006220EA">
        <w:rPr>
          <w:iCs/>
          <w:sz w:val="22"/>
          <w:szCs w:val="22"/>
          <w:lang w:eastAsia="ko-KR"/>
        </w:rPr>
        <w:tab/>
        <w:t>The Conference of the Parties to the Convention, at its thirteenth meeting, also requested the Executive Secretary, in line with paragraph 36 of decision X/29, paragraph 12 of decision XI/17 and paragraph 6 of decision XII/22, to continue to facilitate the description of areas meeting the criteria for ecologically or biologically significant marine areas through the organization of additional regional or subregional workshops where Parties wish workshops to be held. Furthermore, the Conference of the Parties to the Convention, at its fourteenth meeting, invited Parties to submit descriptions of areas that meet the criteria for EBSAs in the North-East Atlantic.</w:t>
      </w:r>
    </w:p>
    <w:p w14:paraId="47B2820A" w14:textId="6C6C8F12" w:rsidR="00EE3AF9" w:rsidRPr="00EE3AF9" w:rsidRDefault="00BA0392" w:rsidP="006220EA">
      <w:pPr>
        <w:spacing w:afterLines="50" w:after="120"/>
        <w:jc w:val="both"/>
        <w:rPr>
          <w:iCs/>
          <w:sz w:val="22"/>
          <w:szCs w:val="22"/>
          <w:lang w:val="en-GB" w:eastAsia="ko-KR"/>
        </w:rPr>
      </w:pPr>
      <w:r>
        <w:rPr>
          <w:iCs/>
          <w:sz w:val="22"/>
          <w:szCs w:val="22"/>
          <w:lang w:eastAsia="ko-KR"/>
        </w:rPr>
        <w:t>4.</w:t>
      </w:r>
      <w:r>
        <w:rPr>
          <w:iCs/>
          <w:sz w:val="22"/>
          <w:szCs w:val="22"/>
          <w:lang w:eastAsia="ko-KR"/>
        </w:rPr>
        <w:tab/>
        <w:t xml:space="preserve">On 30 November 2018, Ms. Susana Salvador, Executive Secretary of the </w:t>
      </w:r>
      <w:r w:rsidR="00D20CF1" w:rsidRPr="006220EA">
        <w:rPr>
          <w:iCs/>
          <w:sz w:val="22"/>
          <w:szCs w:val="22"/>
          <w:lang w:eastAsia="ko-KR"/>
        </w:rPr>
        <w:t xml:space="preserve">Convention for the Protection of the Marine Environment of the North-East Atlantic </w:t>
      </w:r>
      <w:r w:rsidR="00D20CF1">
        <w:rPr>
          <w:iCs/>
          <w:sz w:val="22"/>
          <w:szCs w:val="22"/>
          <w:lang w:eastAsia="ko-KR"/>
        </w:rPr>
        <w:t>(</w:t>
      </w:r>
      <w:r>
        <w:rPr>
          <w:iCs/>
          <w:sz w:val="22"/>
          <w:szCs w:val="22"/>
          <w:lang w:eastAsia="ko-KR"/>
        </w:rPr>
        <w:t>OSPAR Commission</w:t>
      </w:r>
      <w:r w:rsidR="00D20CF1">
        <w:rPr>
          <w:iCs/>
          <w:sz w:val="22"/>
          <w:szCs w:val="22"/>
          <w:lang w:eastAsia="ko-KR"/>
        </w:rPr>
        <w:t>)</w:t>
      </w:r>
      <w:r>
        <w:rPr>
          <w:iCs/>
          <w:sz w:val="22"/>
          <w:szCs w:val="22"/>
          <w:lang w:eastAsia="ko-KR"/>
        </w:rPr>
        <w:t xml:space="preserve">, and </w:t>
      </w:r>
      <w:r w:rsidR="00EE3AF9">
        <w:rPr>
          <w:iCs/>
          <w:sz w:val="22"/>
          <w:szCs w:val="22"/>
          <w:lang w:eastAsia="ko-KR"/>
        </w:rPr>
        <w:t>Mr. Darius Campbell,</w:t>
      </w:r>
      <w:r>
        <w:rPr>
          <w:iCs/>
          <w:sz w:val="22"/>
          <w:szCs w:val="22"/>
          <w:lang w:eastAsia="ko-KR"/>
        </w:rPr>
        <w:t xml:space="preserve"> Secretary of </w:t>
      </w:r>
      <w:r w:rsidR="00D20CF1" w:rsidRPr="006220EA">
        <w:rPr>
          <w:iCs/>
          <w:sz w:val="22"/>
          <w:szCs w:val="22"/>
          <w:lang w:eastAsia="ko-KR"/>
        </w:rPr>
        <w:t xml:space="preserve">the North-East Atlantic Fisheries Commission </w:t>
      </w:r>
      <w:r w:rsidR="00D20CF1">
        <w:rPr>
          <w:iCs/>
          <w:sz w:val="22"/>
          <w:szCs w:val="22"/>
          <w:lang w:eastAsia="ko-KR"/>
        </w:rPr>
        <w:t>(</w:t>
      </w:r>
      <w:r>
        <w:rPr>
          <w:iCs/>
          <w:sz w:val="22"/>
          <w:szCs w:val="22"/>
          <w:lang w:eastAsia="ko-KR"/>
        </w:rPr>
        <w:t>NEAFC</w:t>
      </w:r>
      <w:r w:rsidR="00D20CF1">
        <w:rPr>
          <w:iCs/>
          <w:sz w:val="22"/>
          <w:szCs w:val="22"/>
          <w:lang w:eastAsia="ko-KR"/>
        </w:rPr>
        <w:t>)</w:t>
      </w:r>
      <w:r w:rsidR="00EE3AF9">
        <w:rPr>
          <w:iCs/>
          <w:sz w:val="22"/>
          <w:szCs w:val="22"/>
          <w:lang w:eastAsia="ko-KR"/>
        </w:rPr>
        <w:t xml:space="preserve">, transmitted a letter to Ms. </w:t>
      </w:r>
      <w:r w:rsidR="00EE3AF9" w:rsidRPr="00EE3AF9">
        <w:rPr>
          <w:iCs/>
          <w:sz w:val="22"/>
          <w:szCs w:val="22"/>
          <w:lang w:val="pt-PT" w:eastAsia="ko-KR"/>
        </w:rPr>
        <w:t>Cristiana Pașca Palmer</w:t>
      </w:r>
      <w:r w:rsidR="00EE3AF9">
        <w:rPr>
          <w:iCs/>
          <w:sz w:val="22"/>
          <w:szCs w:val="22"/>
          <w:lang w:val="pt-PT" w:eastAsia="ko-KR"/>
        </w:rPr>
        <w:t xml:space="preserve">, Executive Secretary of the CBD, to </w:t>
      </w:r>
      <w:r w:rsidR="00EE3AF9" w:rsidRPr="00EE3AF9">
        <w:rPr>
          <w:iCs/>
          <w:sz w:val="22"/>
          <w:szCs w:val="22"/>
          <w:lang w:val="en-GB" w:eastAsia="ko-KR"/>
        </w:rPr>
        <w:t xml:space="preserve">request collaboration between </w:t>
      </w:r>
      <w:r w:rsidR="00EE3AF9">
        <w:rPr>
          <w:iCs/>
          <w:sz w:val="22"/>
          <w:szCs w:val="22"/>
          <w:lang w:val="en-GB" w:eastAsia="ko-KR"/>
        </w:rPr>
        <w:t xml:space="preserve">the </w:t>
      </w:r>
      <w:r w:rsidR="00EE3AF9" w:rsidRPr="00EE3AF9">
        <w:rPr>
          <w:iCs/>
          <w:sz w:val="22"/>
          <w:szCs w:val="22"/>
          <w:lang w:val="en-GB" w:eastAsia="ko-KR"/>
        </w:rPr>
        <w:t>CBD</w:t>
      </w:r>
      <w:r w:rsidR="00EE3AF9">
        <w:rPr>
          <w:iCs/>
          <w:sz w:val="22"/>
          <w:szCs w:val="22"/>
          <w:lang w:val="en-GB" w:eastAsia="ko-KR"/>
        </w:rPr>
        <w:t xml:space="preserve"> Secretariat, the </w:t>
      </w:r>
      <w:r w:rsidR="00EE3AF9" w:rsidRPr="00EE3AF9">
        <w:rPr>
          <w:iCs/>
          <w:sz w:val="22"/>
          <w:szCs w:val="22"/>
          <w:lang w:val="en-GB" w:eastAsia="ko-KR"/>
        </w:rPr>
        <w:t>OSPAR</w:t>
      </w:r>
      <w:r w:rsidR="00EE3AF9">
        <w:rPr>
          <w:iCs/>
          <w:sz w:val="22"/>
          <w:szCs w:val="22"/>
          <w:lang w:val="en-GB" w:eastAsia="ko-KR"/>
        </w:rPr>
        <w:t xml:space="preserve"> Commission</w:t>
      </w:r>
      <w:r w:rsidR="00EE3AF9" w:rsidRPr="00EE3AF9">
        <w:rPr>
          <w:iCs/>
          <w:sz w:val="22"/>
          <w:szCs w:val="22"/>
          <w:lang w:val="en-GB" w:eastAsia="ko-KR"/>
        </w:rPr>
        <w:t xml:space="preserve"> and NEAFC to organi</w:t>
      </w:r>
      <w:r w:rsidR="00D20CF1">
        <w:rPr>
          <w:iCs/>
          <w:sz w:val="22"/>
          <w:szCs w:val="22"/>
          <w:lang w:val="en-GB" w:eastAsia="ko-KR"/>
        </w:rPr>
        <w:t>z</w:t>
      </w:r>
      <w:r w:rsidR="00EE3AF9" w:rsidRPr="00EE3AF9">
        <w:rPr>
          <w:iCs/>
          <w:sz w:val="22"/>
          <w:szCs w:val="22"/>
          <w:lang w:val="en-GB" w:eastAsia="ko-KR"/>
        </w:rPr>
        <w:t xml:space="preserve">e a CBD regional workshop to facilitate the </w:t>
      </w:r>
      <w:r w:rsidR="00EE3AF9" w:rsidRPr="00EE3AF9">
        <w:rPr>
          <w:iCs/>
          <w:sz w:val="22"/>
          <w:szCs w:val="22"/>
          <w:lang w:val="en-GB" w:eastAsia="ko-KR"/>
        </w:rPr>
        <w:lastRenderedPageBreak/>
        <w:t>description of EBSA</w:t>
      </w:r>
      <w:r w:rsidR="00D20CF1">
        <w:rPr>
          <w:iCs/>
          <w:sz w:val="22"/>
          <w:szCs w:val="22"/>
          <w:lang w:val="en-GB" w:eastAsia="ko-KR"/>
        </w:rPr>
        <w:t>s</w:t>
      </w:r>
      <w:r w:rsidR="00EE3AF9" w:rsidRPr="00EE3AF9">
        <w:rPr>
          <w:iCs/>
          <w:sz w:val="22"/>
          <w:szCs w:val="22"/>
          <w:lang w:val="en-GB" w:eastAsia="ko-KR"/>
        </w:rPr>
        <w:t xml:space="preserve"> in the North-East Atlantic</w:t>
      </w:r>
      <w:r w:rsidR="00EE3AF9">
        <w:rPr>
          <w:iCs/>
          <w:sz w:val="22"/>
          <w:szCs w:val="22"/>
          <w:lang w:val="en-GB" w:eastAsia="ko-KR"/>
        </w:rPr>
        <w:t xml:space="preserve">. The letter further </w:t>
      </w:r>
      <w:r w:rsidR="00EE3AF9" w:rsidRPr="00EE3AF9">
        <w:rPr>
          <w:iCs/>
          <w:sz w:val="22"/>
          <w:szCs w:val="22"/>
          <w:lang w:val="en-GB" w:eastAsia="ko-KR"/>
        </w:rPr>
        <w:t>invit</w:t>
      </w:r>
      <w:r w:rsidR="00EE3AF9">
        <w:rPr>
          <w:iCs/>
          <w:sz w:val="22"/>
          <w:szCs w:val="22"/>
          <w:lang w:val="en-GB" w:eastAsia="ko-KR"/>
        </w:rPr>
        <w:t>ed</w:t>
      </w:r>
      <w:r w:rsidR="00EE3AF9" w:rsidRPr="00EE3AF9">
        <w:rPr>
          <w:iCs/>
          <w:sz w:val="22"/>
          <w:szCs w:val="22"/>
          <w:lang w:val="en-GB" w:eastAsia="ko-KR"/>
        </w:rPr>
        <w:t xml:space="preserve"> the workshop to consider the information collated for the regional EBSA process organi</w:t>
      </w:r>
      <w:r w:rsidR="00D20CF1">
        <w:rPr>
          <w:iCs/>
          <w:sz w:val="22"/>
          <w:szCs w:val="22"/>
          <w:lang w:val="en-GB" w:eastAsia="ko-KR"/>
        </w:rPr>
        <w:t>z</w:t>
      </w:r>
      <w:r w:rsidR="00EE3AF9" w:rsidRPr="00EE3AF9">
        <w:rPr>
          <w:iCs/>
          <w:sz w:val="22"/>
          <w:szCs w:val="22"/>
          <w:lang w:val="en-GB" w:eastAsia="ko-KR"/>
        </w:rPr>
        <w:t xml:space="preserve">ed by </w:t>
      </w:r>
      <w:r w:rsidR="00EE3AF9">
        <w:rPr>
          <w:iCs/>
          <w:sz w:val="22"/>
          <w:szCs w:val="22"/>
          <w:lang w:val="en-GB" w:eastAsia="ko-KR"/>
        </w:rPr>
        <w:t xml:space="preserve">the </w:t>
      </w:r>
      <w:r w:rsidR="00EE3AF9" w:rsidRPr="00EE3AF9">
        <w:rPr>
          <w:iCs/>
          <w:sz w:val="22"/>
          <w:szCs w:val="22"/>
          <w:lang w:val="en-GB" w:eastAsia="ko-KR"/>
        </w:rPr>
        <w:t xml:space="preserve">OSPAR </w:t>
      </w:r>
      <w:r w:rsidR="00EE3AF9">
        <w:rPr>
          <w:iCs/>
          <w:sz w:val="22"/>
          <w:szCs w:val="22"/>
          <w:lang w:val="en-GB" w:eastAsia="ko-KR"/>
        </w:rPr>
        <w:t xml:space="preserve">Commission </w:t>
      </w:r>
      <w:r w:rsidR="00EE3AF9" w:rsidRPr="00EE3AF9">
        <w:rPr>
          <w:iCs/>
          <w:sz w:val="22"/>
          <w:szCs w:val="22"/>
          <w:lang w:val="en-GB" w:eastAsia="ko-KR"/>
        </w:rPr>
        <w:t>and NEAFC, in collaboration with the CBD Secretariat, in 2011 and 2013</w:t>
      </w:r>
      <w:bookmarkStart w:id="1" w:name="_GoBack"/>
      <w:bookmarkEnd w:id="1"/>
      <w:r w:rsidR="00EE3AF9" w:rsidRPr="00EE3AF9">
        <w:rPr>
          <w:iCs/>
          <w:sz w:val="22"/>
          <w:szCs w:val="22"/>
          <w:lang w:val="en-GB" w:eastAsia="ko-KR"/>
        </w:rPr>
        <w:t xml:space="preserve"> and peer reviewed by</w:t>
      </w:r>
      <w:r w:rsidR="005A03D3">
        <w:rPr>
          <w:iCs/>
          <w:sz w:val="22"/>
          <w:szCs w:val="22"/>
          <w:lang w:val="en-GB" w:eastAsia="ko-KR"/>
        </w:rPr>
        <w:t xml:space="preserve"> the</w:t>
      </w:r>
      <w:r w:rsidR="005A03D3" w:rsidRPr="005A03D3">
        <w:t xml:space="preserve"> </w:t>
      </w:r>
      <w:r w:rsidR="005A03D3" w:rsidRPr="005A03D3">
        <w:rPr>
          <w:iCs/>
          <w:sz w:val="22"/>
          <w:szCs w:val="22"/>
          <w:lang w:val="en-GB" w:eastAsia="ko-KR"/>
        </w:rPr>
        <w:t>International Council for Exploration of the Sea</w:t>
      </w:r>
      <w:r w:rsidR="00EE3AF9" w:rsidRPr="00EE3AF9">
        <w:rPr>
          <w:iCs/>
          <w:sz w:val="22"/>
          <w:szCs w:val="22"/>
          <w:lang w:val="en-GB" w:eastAsia="ko-KR"/>
        </w:rPr>
        <w:t xml:space="preserve"> </w:t>
      </w:r>
      <w:r w:rsidR="005A03D3">
        <w:rPr>
          <w:iCs/>
          <w:sz w:val="22"/>
          <w:szCs w:val="22"/>
          <w:lang w:val="en-GB" w:eastAsia="ko-KR"/>
        </w:rPr>
        <w:t>(</w:t>
      </w:r>
      <w:r w:rsidR="00EE3AF9" w:rsidRPr="00EE3AF9">
        <w:rPr>
          <w:iCs/>
          <w:sz w:val="22"/>
          <w:szCs w:val="22"/>
          <w:lang w:val="en-GB" w:eastAsia="ko-KR"/>
        </w:rPr>
        <w:t>ICES</w:t>
      </w:r>
      <w:r w:rsidR="005A03D3">
        <w:rPr>
          <w:iCs/>
          <w:sz w:val="22"/>
          <w:szCs w:val="22"/>
          <w:lang w:val="en-GB" w:eastAsia="ko-KR"/>
        </w:rPr>
        <w:t>)</w:t>
      </w:r>
      <w:r w:rsidR="00EE3AF9" w:rsidRPr="00EE3AF9">
        <w:rPr>
          <w:iCs/>
          <w:sz w:val="22"/>
          <w:szCs w:val="22"/>
          <w:lang w:val="en-GB" w:eastAsia="ko-KR"/>
        </w:rPr>
        <w:t xml:space="preserve"> in 2013</w:t>
      </w:r>
      <w:r w:rsidR="00EE3AF9" w:rsidRPr="00846AD1">
        <w:rPr>
          <w:rStyle w:val="FootnoteReference"/>
          <w:iCs/>
          <w:szCs w:val="22"/>
          <w:vertAlign w:val="superscript"/>
          <w:lang w:val="en-GB" w:eastAsia="ko-KR"/>
        </w:rPr>
        <w:footnoteReference w:id="2"/>
      </w:r>
      <w:r w:rsidR="00EE3AF9" w:rsidRPr="00EE3AF9">
        <w:rPr>
          <w:iCs/>
          <w:sz w:val="22"/>
          <w:szCs w:val="22"/>
          <w:lang w:val="en-GB" w:eastAsia="ko-KR"/>
        </w:rPr>
        <w:t xml:space="preserve"> and any additional new information that has been collected in the intervening period.</w:t>
      </w:r>
    </w:p>
    <w:p w14:paraId="529087FF" w14:textId="4FF9354D" w:rsidR="00210C1F" w:rsidRPr="006220EA" w:rsidRDefault="00EE3AF9" w:rsidP="006220EA">
      <w:pPr>
        <w:spacing w:afterLines="50" w:after="120"/>
        <w:jc w:val="both"/>
        <w:rPr>
          <w:iCs/>
          <w:sz w:val="22"/>
          <w:szCs w:val="22"/>
          <w:lang w:eastAsia="ko-KR"/>
        </w:rPr>
      </w:pPr>
      <w:r>
        <w:rPr>
          <w:iCs/>
          <w:sz w:val="22"/>
          <w:szCs w:val="22"/>
          <w:lang w:eastAsia="ko-KR"/>
        </w:rPr>
        <w:t>5</w:t>
      </w:r>
      <w:r w:rsidR="00210C1F" w:rsidRPr="006220EA">
        <w:rPr>
          <w:iCs/>
          <w:sz w:val="22"/>
          <w:szCs w:val="22"/>
          <w:lang w:eastAsia="ko-KR"/>
        </w:rPr>
        <w:t>.</w:t>
      </w:r>
      <w:r w:rsidR="00210C1F" w:rsidRPr="006220EA">
        <w:rPr>
          <w:iCs/>
          <w:sz w:val="22"/>
          <w:szCs w:val="22"/>
          <w:lang w:eastAsia="ko-KR"/>
        </w:rPr>
        <w:tab/>
        <w:t>Pursuant to the above requests</w:t>
      </w:r>
      <w:r w:rsidR="005A03D3">
        <w:rPr>
          <w:iCs/>
          <w:sz w:val="22"/>
          <w:szCs w:val="22"/>
          <w:lang w:eastAsia="ko-KR"/>
        </w:rPr>
        <w:t>,</w:t>
      </w:r>
      <w:r w:rsidR="00210C1F" w:rsidRPr="006220EA">
        <w:rPr>
          <w:iCs/>
          <w:sz w:val="22"/>
          <w:szCs w:val="22"/>
          <w:lang w:eastAsia="ko-KR"/>
        </w:rPr>
        <w:t xml:space="preserve"> and with financial support from the Governments of Sweden, France, </w:t>
      </w:r>
      <w:r w:rsidR="00D57CC4" w:rsidRPr="006220EA">
        <w:rPr>
          <w:iCs/>
          <w:sz w:val="22"/>
          <w:szCs w:val="22"/>
          <w:lang w:eastAsia="ko-KR"/>
        </w:rPr>
        <w:t xml:space="preserve">Denmark and </w:t>
      </w:r>
      <w:r w:rsidR="00210C1F" w:rsidRPr="006220EA">
        <w:rPr>
          <w:iCs/>
          <w:sz w:val="22"/>
          <w:szCs w:val="22"/>
          <w:lang w:eastAsia="ko-KR"/>
        </w:rPr>
        <w:t>Germany, the Secretariat of the Convention on Biological Diversity conven</w:t>
      </w:r>
      <w:r w:rsidR="00D57CC4" w:rsidRPr="006220EA">
        <w:rPr>
          <w:iCs/>
          <w:sz w:val="22"/>
          <w:szCs w:val="22"/>
          <w:lang w:eastAsia="ko-KR"/>
        </w:rPr>
        <w:t>ed</w:t>
      </w:r>
      <w:r w:rsidR="00210C1F" w:rsidRPr="006220EA">
        <w:rPr>
          <w:iCs/>
          <w:sz w:val="22"/>
          <w:szCs w:val="22"/>
          <w:lang w:eastAsia="ko-KR"/>
        </w:rPr>
        <w:t xml:space="preserve"> the Regional Workshop to Facilitate the Description of Ecologically or Biologically Significant Marine Areas in the North-East Atlantic Ocean, in Stockholm, from 23 to 27 September 2019, preceded by a training session on 22 September 2019. The workshop w</w:t>
      </w:r>
      <w:r w:rsidR="00651480" w:rsidRPr="006220EA">
        <w:rPr>
          <w:iCs/>
          <w:sz w:val="22"/>
          <w:szCs w:val="22"/>
          <w:lang w:eastAsia="ko-KR"/>
        </w:rPr>
        <w:t>as</w:t>
      </w:r>
      <w:r w:rsidR="00210C1F" w:rsidRPr="006220EA">
        <w:rPr>
          <w:iCs/>
          <w:sz w:val="22"/>
          <w:szCs w:val="22"/>
          <w:lang w:eastAsia="ko-KR"/>
        </w:rPr>
        <w:t xml:space="preserve"> hosted by the Government of Sweden and organized in collaboration with the OSPAR Commission and NEAFC. </w:t>
      </w:r>
    </w:p>
    <w:p w14:paraId="7E4C41FB" w14:textId="2CE2F806" w:rsidR="00F952A8" w:rsidRPr="006220EA" w:rsidRDefault="00EE3AF9" w:rsidP="00846AD1">
      <w:pPr>
        <w:spacing w:before="120" w:after="120"/>
        <w:jc w:val="both"/>
        <w:rPr>
          <w:bCs/>
          <w:snapToGrid w:val="0"/>
          <w:sz w:val="22"/>
          <w:szCs w:val="22"/>
        </w:rPr>
      </w:pPr>
      <w:r>
        <w:rPr>
          <w:sz w:val="22"/>
          <w:szCs w:val="22"/>
        </w:rPr>
        <w:t>6</w:t>
      </w:r>
      <w:r w:rsidR="00CE39DC" w:rsidRPr="006220EA">
        <w:rPr>
          <w:sz w:val="22"/>
          <w:szCs w:val="22"/>
        </w:rPr>
        <w:t>.</w:t>
      </w:r>
      <w:r w:rsidR="00CE39DC" w:rsidRPr="006220EA">
        <w:rPr>
          <w:sz w:val="22"/>
          <w:szCs w:val="22"/>
        </w:rPr>
        <w:tab/>
      </w:r>
      <w:r w:rsidR="00F952A8" w:rsidRPr="006220EA">
        <w:rPr>
          <w:sz w:val="22"/>
          <w:szCs w:val="22"/>
        </w:rPr>
        <w:t xml:space="preserve">Scientific and technical support for this workshop </w:t>
      </w:r>
      <w:r w:rsidR="00B44C9D" w:rsidRPr="006220EA">
        <w:rPr>
          <w:sz w:val="22"/>
          <w:szCs w:val="22"/>
        </w:rPr>
        <w:t xml:space="preserve">was provided by </w:t>
      </w:r>
      <w:r w:rsidR="00651480" w:rsidRPr="006220EA">
        <w:rPr>
          <w:sz w:val="22"/>
          <w:szCs w:val="22"/>
        </w:rPr>
        <w:t xml:space="preserve">a team from </w:t>
      </w:r>
      <w:r w:rsidR="00B44C9D" w:rsidRPr="006220EA">
        <w:rPr>
          <w:sz w:val="22"/>
          <w:szCs w:val="22"/>
        </w:rPr>
        <w:t>Duke</w:t>
      </w:r>
      <w:r w:rsidR="00210C1F" w:rsidRPr="006220EA">
        <w:rPr>
          <w:sz w:val="22"/>
          <w:szCs w:val="22"/>
        </w:rPr>
        <w:t xml:space="preserve"> University</w:t>
      </w:r>
      <w:r w:rsidR="00F952A8" w:rsidRPr="006220EA">
        <w:rPr>
          <w:sz w:val="22"/>
          <w:szCs w:val="22"/>
        </w:rPr>
        <w:t xml:space="preserve">. </w:t>
      </w:r>
      <w:r w:rsidR="00F952A8" w:rsidRPr="006220EA">
        <w:rPr>
          <w:iCs/>
          <w:sz w:val="22"/>
          <w:szCs w:val="22"/>
        </w:rPr>
        <w:t xml:space="preserve">The results of technical preparation for the workshop were made available in the meeting document entitled “Data to Inform the Regional Workshop to Facilitate the Description of Ecologically or Biologically Significant Marine Areas </w:t>
      </w:r>
      <w:r w:rsidR="00D20CF1">
        <w:rPr>
          <w:iCs/>
          <w:sz w:val="22"/>
          <w:szCs w:val="22"/>
        </w:rPr>
        <w:t xml:space="preserve">(EBSAs) </w:t>
      </w:r>
      <w:r w:rsidR="00F952A8" w:rsidRPr="006220EA">
        <w:rPr>
          <w:iCs/>
          <w:sz w:val="22"/>
          <w:szCs w:val="22"/>
        </w:rPr>
        <w:t xml:space="preserve">in the </w:t>
      </w:r>
      <w:r w:rsidR="00210C1F" w:rsidRPr="006220EA">
        <w:rPr>
          <w:iCs/>
          <w:sz w:val="22"/>
          <w:szCs w:val="22"/>
        </w:rPr>
        <w:t>North-East Atlantic</w:t>
      </w:r>
      <w:r w:rsidR="00D20CF1">
        <w:rPr>
          <w:iCs/>
          <w:sz w:val="22"/>
          <w:szCs w:val="22"/>
        </w:rPr>
        <w:t xml:space="preserve"> Ocean</w:t>
      </w:r>
      <w:r w:rsidR="00F952A8" w:rsidRPr="006220EA">
        <w:rPr>
          <w:iCs/>
          <w:sz w:val="22"/>
          <w:szCs w:val="22"/>
        </w:rPr>
        <w:t>” (</w:t>
      </w:r>
      <w:r w:rsidR="00CE39DC" w:rsidRPr="006220EA">
        <w:rPr>
          <w:bCs/>
          <w:sz w:val="22"/>
          <w:szCs w:val="22"/>
          <w:shd w:val="clear" w:color="auto" w:fill="FFFFFF"/>
        </w:rPr>
        <w:t>CBD/EBSA/WS/201</w:t>
      </w:r>
      <w:r w:rsidR="00210C1F" w:rsidRPr="006220EA">
        <w:rPr>
          <w:bCs/>
          <w:sz w:val="22"/>
          <w:szCs w:val="22"/>
          <w:shd w:val="clear" w:color="auto" w:fill="FFFFFF"/>
        </w:rPr>
        <w:t>9</w:t>
      </w:r>
      <w:r w:rsidR="00F952A8" w:rsidRPr="006220EA">
        <w:rPr>
          <w:bCs/>
          <w:sz w:val="22"/>
          <w:szCs w:val="22"/>
          <w:shd w:val="clear" w:color="auto" w:fill="FFFFFF"/>
        </w:rPr>
        <w:t>/1/</w:t>
      </w:r>
      <w:r w:rsidR="00651480" w:rsidRPr="006220EA">
        <w:rPr>
          <w:bCs/>
          <w:sz w:val="22"/>
          <w:szCs w:val="22"/>
          <w:shd w:val="clear" w:color="auto" w:fill="FFFFFF"/>
        </w:rPr>
        <w:t>3</w:t>
      </w:r>
      <w:r w:rsidR="00F952A8" w:rsidRPr="006220EA">
        <w:rPr>
          <w:bCs/>
          <w:sz w:val="22"/>
          <w:szCs w:val="22"/>
          <w:lang w:val="en-US"/>
        </w:rPr>
        <w:t>).</w:t>
      </w:r>
      <w:r w:rsidR="00D20CF1" w:rsidRPr="00D20CF1">
        <w:rPr>
          <w:rFonts w:ascii="Segoe UI" w:hAnsi="Segoe UI" w:cs="Segoe UI"/>
          <w:b/>
          <w:bCs/>
          <w:color w:val="00483A"/>
        </w:rPr>
        <w:t xml:space="preserve"> </w:t>
      </w:r>
    </w:p>
    <w:p w14:paraId="4E8C3D4F" w14:textId="191F90EC" w:rsidR="00F952A8" w:rsidRPr="006220EA" w:rsidRDefault="00EE3AF9" w:rsidP="006220EA">
      <w:pPr>
        <w:spacing w:afterLines="50" w:after="120"/>
        <w:jc w:val="both"/>
        <w:rPr>
          <w:sz w:val="22"/>
          <w:szCs w:val="22"/>
        </w:rPr>
      </w:pPr>
      <w:r>
        <w:rPr>
          <w:sz w:val="22"/>
          <w:szCs w:val="22"/>
          <w:lang w:val="en-US"/>
        </w:rPr>
        <w:t>7</w:t>
      </w:r>
      <w:r w:rsidR="00CE39DC" w:rsidRPr="006220EA">
        <w:rPr>
          <w:sz w:val="22"/>
          <w:szCs w:val="22"/>
          <w:lang w:val="en-US"/>
        </w:rPr>
        <w:t>.</w:t>
      </w:r>
      <w:r w:rsidR="00CE39DC" w:rsidRPr="006220EA">
        <w:rPr>
          <w:sz w:val="22"/>
          <w:szCs w:val="22"/>
          <w:lang w:val="en-US"/>
        </w:rPr>
        <w:tab/>
      </w:r>
      <w:r w:rsidR="00F952A8" w:rsidRPr="006220EA">
        <w:rPr>
          <w:sz w:val="22"/>
          <w:szCs w:val="22"/>
          <w:lang w:val="en-US"/>
        </w:rPr>
        <w:t xml:space="preserve">The meeting was attended by experts from </w:t>
      </w:r>
      <w:r w:rsidR="00050590" w:rsidRPr="006220EA">
        <w:rPr>
          <w:sz w:val="22"/>
          <w:szCs w:val="22"/>
          <w:lang w:val="en-US"/>
        </w:rPr>
        <w:t>Belgium, Denmark</w:t>
      </w:r>
      <w:r w:rsidR="007409A7">
        <w:rPr>
          <w:sz w:val="22"/>
          <w:szCs w:val="22"/>
          <w:lang w:val="en-US"/>
        </w:rPr>
        <w:t xml:space="preserve"> (Kingdom of)</w:t>
      </w:r>
      <w:r w:rsidR="00050590" w:rsidRPr="006220EA">
        <w:rPr>
          <w:sz w:val="22"/>
          <w:szCs w:val="22"/>
          <w:lang w:val="en-US"/>
        </w:rPr>
        <w:t xml:space="preserve">, European Union, Germany, Iceland, Ireland, Netherlands, Norway, Portugal, Russian Federation, Spain, Sweden, United Kingdom of Great Britain and Northern Ireland, </w:t>
      </w:r>
      <w:r w:rsidR="00D57CC4" w:rsidRPr="006220EA">
        <w:rPr>
          <w:sz w:val="22"/>
          <w:szCs w:val="22"/>
          <w:lang w:val="en-US"/>
        </w:rPr>
        <w:t xml:space="preserve">International Seabed Authority, North-East Atlantic Fisheries Commission (NEAFC), </w:t>
      </w:r>
      <w:r w:rsidR="00D57CC4" w:rsidRPr="006220EA">
        <w:rPr>
          <w:sz w:val="22"/>
          <w:szCs w:val="22"/>
        </w:rPr>
        <w:t>OSPAR Commission</w:t>
      </w:r>
      <w:r w:rsidR="00D57CC4" w:rsidRPr="006220EA">
        <w:rPr>
          <w:sz w:val="22"/>
          <w:szCs w:val="22"/>
          <w:lang w:val="en-US"/>
        </w:rPr>
        <w:t xml:space="preserve">, International Council for Exploration of the Sea (ICES), </w:t>
      </w:r>
      <w:r w:rsidR="00050590" w:rsidRPr="006220EA">
        <w:rPr>
          <w:sz w:val="22"/>
          <w:szCs w:val="22"/>
          <w:lang w:val="en-US"/>
        </w:rPr>
        <w:t>Saami Council, BirdLife International, Global Ocean Biodiversity Initiative</w:t>
      </w:r>
      <w:r w:rsidR="00E713B7" w:rsidRPr="006220EA">
        <w:rPr>
          <w:sz w:val="22"/>
          <w:szCs w:val="22"/>
          <w:lang w:val="en-US"/>
        </w:rPr>
        <w:t xml:space="preserve">, </w:t>
      </w:r>
      <w:r w:rsidR="00D57CC4" w:rsidRPr="006220EA">
        <w:rPr>
          <w:sz w:val="22"/>
          <w:szCs w:val="22"/>
          <w:lang w:val="en-US"/>
        </w:rPr>
        <w:t xml:space="preserve">Fisheries Expert Group of the IUCN Commission of Ecosystem Management, </w:t>
      </w:r>
      <w:r w:rsidR="00E713B7" w:rsidRPr="006220EA">
        <w:rPr>
          <w:sz w:val="22"/>
          <w:szCs w:val="22"/>
          <w:lang w:val="en-US"/>
        </w:rPr>
        <w:t xml:space="preserve">IUCN Marine Mammal Protected Areas Task Force, </w:t>
      </w:r>
      <w:r w:rsidR="00E713B7" w:rsidRPr="006220EA">
        <w:rPr>
          <w:sz w:val="22"/>
          <w:szCs w:val="22"/>
        </w:rPr>
        <w:t xml:space="preserve">and the </w:t>
      </w:r>
      <w:r w:rsidR="00E713B7" w:rsidRPr="006220EA">
        <w:rPr>
          <w:sz w:val="22"/>
          <w:szCs w:val="22"/>
          <w:lang w:val="en-US"/>
        </w:rPr>
        <w:t>World Wide Fund for Nature</w:t>
      </w:r>
      <w:r w:rsidR="00D57CC4" w:rsidRPr="006220EA">
        <w:rPr>
          <w:sz w:val="22"/>
          <w:szCs w:val="22"/>
          <w:lang w:val="en-US"/>
        </w:rPr>
        <w:t xml:space="preserve"> (WWF)</w:t>
      </w:r>
      <w:r w:rsidR="00F952A8" w:rsidRPr="006220EA">
        <w:rPr>
          <w:sz w:val="22"/>
          <w:szCs w:val="22"/>
        </w:rPr>
        <w:t>.</w:t>
      </w:r>
      <w:r w:rsidR="00FD155C" w:rsidRPr="0079121A">
        <w:rPr>
          <w:rStyle w:val="FootnoteReference"/>
          <w:sz w:val="22"/>
          <w:szCs w:val="22"/>
          <w:u w:val="none"/>
          <w:vertAlign w:val="superscript"/>
        </w:rPr>
        <w:footnoteReference w:id="3"/>
      </w:r>
      <w:r w:rsidR="00F952A8" w:rsidRPr="002D5462">
        <w:rPr>
          <w:sz w:val="22"/>
          <w:szCs w:val="22"/>
          <w:vertAlign w:val="superscript"/>
        </w:rPr>
        <w:t xml:space="preserve"> </w:t>
      </w:r>
      <w:r w:rsidR="00F952A8" w:rsidRPr="006220EA">
        <w:rPr>
          <w:sz w:val="22"/>
          <w:szCs w:val="22"/>
          <w:lang w:val="en-US"/>
        </w:rPr>
        <w:t xml:space="preserve">The full list of participants is </w:t>
      </w:r>
      <w:r w:rsidR="00D57CC4" w:rsidRPr="006220EA">
        <w:rPr>
          <w:sz w:val="22"/>
          <w:szCs w:val="22"/>
          <w:lang w:val="en-US"/>
        </w:rPr>
        <w:t>provided in</w:t>
      </w:r>
      <w:r w:rsidR="00F952A8" w:rsidRPr="006220EA">
        <w:rPr>
          <w:sz w:val="22"/>
          <w:szCs w:val="22"/>
          <w:lang w:val="en-US"/>
        </w:rPr>
        <w:t xml:space="preserve"> annex I.</w:t>
      </w:r>
      <w:r w:rsidR="00D57CC4" w:rsidRPr="006220EA">
        <w:rPr>
          <w:sz w:val="22"/>
          <w:szCs w:val="22"/>
          <w:lang w:val="en-US"/>
        </w:rPr>
        <w:t xml:space="preserve"> </w:t>
      </w:r>
    </w:p>
    <w:p w14:paraId="7518D4BD" w14:textId="77777777" w:rsidR="00E20DD7" w:rsidRPr="006220EA" w:rsidRDefault="00E20DD7" w:rsidP="00A306BB">
      <w:pPr>
        <w:pStyle w:val="Heading1"/>
        <w:rPr>
          <w:szCs w:val="22"/>
        </w:rPr>
      </w:pPr>
      <w:r w:rsidRPr="006220EA">
        <w:rPr>
          <w:szCs w:val="22"/>
        </w:rPr>
        <w:t>ITEM 1.</w:t>
      </w:r>
      <w:r w:rsidR="00362D74" w:rsidRPr="006220EA">
        <w:rPr>
          <w:szCs w:val="22"/>
        </w:rPr>
        <w:tab/>
      </w:r>
      <w:r w:rsidRPr="006220EA">
        <w:rPr>
          <w:szCs w:val="22"/>
        </w:rPr>
        <w:t xml:space="preserve">OPENING OF THE </w:t>
      </w:r>
      <w:r w:rsidR="00CF41A5" w:rsidRPr="006220EA">
        <w:rPr>
          <w:szCs w:val="22"/>
        </w:rPr>
        <w:t>workshop</w:t>
      </w:r>
    </w:p>
    <w:p w14:paraId="54A65D15" w14:textId="52C73521" w:rsidR="00F952A8" w:rsidRDefault="00EE3AF9" w:rsidP="006220EA">
      <w:pPr>
        <w:spacing w:before="120" w:after="120"/>
        <w:jc w:val="both"/>
        <w:rPr>
          <w:color w:val="201F1E"/>
          <w:sz w:val="22"/>
          <w:szCs w:val="22"/>
          <w:shd w:val="clear" w:color="auto" w:fill="FFFFFF"/>
        </w:rPr>
      </w:pPr>
      <w:r>
        <w:rPr>
          <w:sz w:val="22"/>
          <w:szCs w:val="22"/>
        </w:rPr>
        <w:t>8</w:t>
      </w:r>
      <w:r w:rsidR="00E20DD7" w:rsidRPr="006220EA">
        <w:rPr>
          <w:sz w:val="22"/>
          <w:szCs w:val="22"/>
        </w:rPr>
        <w:t>.</w:t>
      </w:r>
      <w:r w:rsidR="00E20DD7" w:rsidRPr="006220EA">
        <w:rPr>
          <w:sz w:val="22"/>
          <w:szCs w:val="22"/>
        </w:rPr>
        <w:tab/>
      </w:r>
      <w:r w:rsidR="00F952A8" w:rsidRPr="006220EA">
        <w:rPr>
          <w:sz w:val="22"/>
          <w:szCs w:val="22"/>
          <w:lang w:val="en-US"/>
        </w:rPr>
        <w:t xml:space="preserve">On behalf of the </w:t>
      </w:r>
      <w:r w:rsidR="00CE39DC" w:rsidRPr="006220EA">
        <w:rPr>
          <w:sz w:val="22"/>
          <w:szCs w:val="22"/>
          <w:lang w:val="en-US"/>
        </w:rPr>
        <w:t xml:space="preserve">Government of </w:t>
      </w:r>
      <w:r w:rsidR="00210C1F" w:rsidRPr="006220EA">
        <w:rPr>
          <w:sz w:val="22"/>
          <w:szCs w:val="22"/>
          <w:lang w:val="en-US"/>
        </w:rPr>
        <w:t>Swed</w:t>
      </w:r>
      <w:r w:rsidR="00C57469" w:rsidRPr="006220EA">
        <w:rPr>
          <w:color w:val="201F1E"/>
          <w:sz w:val="22"/>
          <w:szCs w:val="22"/>
          <w:shd w:val="clear" w:color="auto" w:fill="FFFFFF"/>
          <w:lang w:val="en-US"/>
        </w:rPr>
        <w:t xml:space="preserve">en, Ms. </w:t>
      </w:r>
      <w:r w:rsidR="00887152" w:rsidRPr="006220EA">
        <w:rPr>
          <w:color w:val="201F1E"/>
          <w:sz w:val="22"/>
          <w:szCs w:val="22"/>
          <w:shd w:val="clear" w:color="auto" w:fill="FFFFFF"/>
        </w:rPr>
        <w:t xml:space="preserve">Charlotta Sörqvist, Senior Adviser, Division for Natural Environment, Ministry of the Environment of Sweden, delivered opening remarks. She welcomed participants to </w:t>
      </w:r>
      <w:r w:rsidR="000204F7" w:rsidRPr="006220EA">
        <w:rPr>
          <w:color w:val="201F1E"/>
          <w:sz w:val="22"/>
          <w:szCs w:val="22"/>
        </w:rPr>
        <w:t xml:space="preserve">Sweden and </w:t>
      </w:r>
      <w:r w:rsidR="00887152" w:rsidRPr="006220EA">
        <w:rPr>
          <w:color w:val="201F1E"/>
          <w:sz w:val="22"/>
          <w:szCs w:val="22"/>
        </w:rPr>
        <w:t>to Stockholm.</w:t>
      </w:r>
      <w:r w:rsidR="00C57469" w:rsidRPr="006220EA">
        <w:rPr>
          <w:color w:val="201F1E"/>
          <w:sz w:val="22"/>
          <w:szCs w:val="22"/>
        </w:rPr>
        <w:t xml:space="preserve"> She noted that the </w:t>
      </w:r>
      <w:r w:rsidR="00D57CC4" w:rsidRPr="006220EA">
        <w:rPr>
          <w:color w:val="201F1E"/>
          <w:sz w:val="22"/>
          <w:szCs w:val="22"/>
        </w:rPr>
        <w:t xml:space="preserve">2011 OSPAR/NEAFC/CBD </w:t>
      </w:r>
      <w:r w:rsidR="00C57469" w:rsidRPr="006220EA">
        <w:rPr>
          <w:color w:val="201F1E"/>
          <w:sz w:val="22"/>
          <w:szCs w:val="22"/>
        </w:rPr>
        <w:t>EBSA workshop</w:t>
      </w:r>
      <w:r w:rsidR="004C3195" w:rsidRPr="006220EA">
        <w:rPr>
          <w:color w:val="201F1E"/>
          <w:sz w:val="22"/>
          <w:szCs w:val="22"/>
        </w:rPr>
        <w:t xml:space="preserve"> </w:t>
      </w:r>
      <w:r w:rsidR="00C57469" w:rsidRPr="006220EA">
        <w:rPr>
          <w:color w:val="201F1E"/>
          <w:sz w:val="22"/>
          <w:szCs w:val="22"/>
        </w:rPr>
        <w:t>for the North-East Atlantic</w:t>
      </w:r>
      <w:r w:rsidR="004C3195" w:rsidRPr="006220EA">
        <w:rPr>
          <w:color w:val="201F1E"/>
          <w:sz w:val="22"/>
          <w:szCs w:val="22"/>
        </w:rPr>
        <w:t>, which was also the first-ever EBSA workshop,</w:t>
      </w:r>
      <w:r w:rsidR="00C57469" w:rsidRPr="006220EA">
        <w:rPr>
          <w:color w:val="201F1E"/>
          <w:sz w:val="22"/>
          <w:szCs w:val="22"/>
        </w:rPr>
        <w:t xml:space="preserve"> was held eight years ago, due to the eagerness of scientists in </w:t>
      </w:r>
      <w:r w:rsidR="00D055D6" w:rsidRPr="006220EA">
        <w:rPr>
          <w:color w:val="201F1E"/>
          <w:sz w:val="22"/>
          <w:szCs w:val="22"/>
        </w:rPr>
        <w:t xml:space="preserve">the North-East Atlantic </w:t>
      </w:r>
      <w:r w:rsidR="00C57469" w:rsidRPr="006220EA">
        <w:rPr>
          <w:color w:val="201F1E"/>
          <w:sz w:val="22"/>
          <w:szCs w:val="22"/>
        </w:rPr>
        <w:t>region to apply</w:t>
      </w:r>
      <w:r w:rsidR="000204F7" w:rsidRPr="006220EA">
        <w:rPr>
          <w:color w:val="201F1E"/>
          <w:sz w:val="22"/>
          <w:szCs w:val="22"/>
        </w:rPr>
        <w:t xml:space="preserve"> the EBSA concept </w:t>
      </w:r>
      <w:r w:rsidR="00C57469" w:rsidRPr="006220EA">
        <w:rPr>
          <w:color w:val="201F1E"/>
          <w:sz w:val="22"/>
          <w:szCs w:val="22"/>
        </w:rPr>
        <w:t>to</w:t>
      </w:r>
      <w:r w:rsidR="00D055D6" w:rsidRPr="006220EA">
        <w:rPr>
          <w:color w:val="201F1E"/>
          <w:sz w:val="22"/>
          <w:szCs w:val="22"/>
        </w:rPr>
        <w:t xml:space="preserve"> their region</w:t>
      </w:r>
      <w:r w:rsidR="000204F7" w:rsidRPr="006220EA">
        <w:rPr>
          <w:color w:val="201F1E"/>
          <w:sz w:val="22"/>
          <w:szCs w:val="22"/>
        </w:rPr>
        <w:t>.</w:t>
      </w:r>
      <w:r w:rsidR="000204F7" w:rsidRPr="006220EA">
        <w:rPr>
          <w:color w:val="201F1E"/>
          <w:sz w:val="22"/>
          <w:szCs w:val="22"/>
          <w:shd w:val="clear" w:color="auto" w:fill="FFFFFF"/>
        </w:rPr>
        <w:t xml:space="preserve"> </w:t>
      </w:r>
      <w:r w:rsidR="004C3195" w:rsidRPr="006220EA">
        <w:rPr>
          <w:color w:val="201F1E"/>
          <w:sz w:val="22"/>
          <w:szCs w:val="22"/>
          <w:shd w:val="clear" w:color="auto" w:fill="FFFFFF"/>
        </w:rPr>
        <w:t>She noted that this process was now closer than</w:t>
      </w:r>
      <w:r w:rsidR="00B27312" w:rsidRPr="006220EA">
        <w:rPr>
          <w:color w:val="201F1E"/>
          <w:sz w:val="22"/>
          <w:szCs w:val="22"/>
          <w:shd w:val="clear" w:color="auto" w:fill="FFFFFF"/>
        </w:rPr>
        <w:t xml:space="preserve"> ever to reaching a conclusion</w:t>
      </w:r>
      <w:r w:rsidR="007574B6" w:rsidRPr="006220EA">
        <w:rPr>
          <w:color w:val="201F1E"/>
          <w:sz w:val="22"/>
          <w:szCs w:val="22"/>
          <w:shd w:val="clear" w:color="auto" w:fill="FFFFFF"/>
        </w:rPr>
        <w:t xml:space="preserve"> in this region</w:t>
      </w:r>
      <w:r w:rsidR="00B27312" w:rsidRPr="006220EA">
        <w:rPr>
          <w:color w:val="201F1E"/>
          <w:sz w:val="22"/>
          <w:szCs w:val="22"/>
          <w:shd w:val="clear" w:color="auto" w:fill="FFFFFF"/>
        </w:rPr>
        <w:t xml:space="preserve">, an </w:t>
      </w:r>
      <w:r w:rsidR="000204F7" w:rsidRPr="006220EA">
        <w:rPr>
          <w:color w:val="201F1E"/>
          <w:sz w:val="22"/>
          <w:szCs w:val="22"/>
          <w:shd w:val="clear" w:color="auto" w:fill="FFFFFF"/>
        </w:rPr>
        <w:t xml:space="preserve">important step towards a COP decision next year. </w:t>
      </w:r>
      <w:r w:rsidR="007574B6" w:rsidRPr="006220EA">
        <w:rPr>
          <w:color w:val="201F1E"/>
          <w:sz w:val="22"/>
          <w:szCs w:val="22"/>
          <w:shd w:val="clear" w:color="auto" w:fill="FFFFFF"/>
        </w:rPr>
        <w:t xml:space="preserve">She affirmed </w:t>
      </w:r>
      <w:r w:rsidR="000204F7" w:rsidRPr="006220EA">
        <w:rPr>
          <w:color w:val="201F1E"/>
          <w:sz w:val="22"/>
          <w:szCs w:val="22"/>
          <w:shd w:val="clear" w:color="auto" w:fill="FFFFFF"/>
        </w:rPr>
        <w:t>Sweden</w:t>
      </w:r>
      <w:r w:rsidR="007574B6" w:rsidRPr="006220EA">
        <w:rPr>
          <w:color w:val="201F1E"/>
          <w:sz w:val="22"/>
          <w:szCs w:val="22"/>
          <w:shd w:val="clear" w:color="auto" w:fill="FFFFFF"/>
        </w:rPr>
        <w:t>’s</w:t>
      </w:r>
      <w:r w:rsidR="000204F7" w:rsidRPr="006220EA">
        <w:rPr>
          <w:color w:val="201F1E"/>
          <w:sz w:val="22"/>
          <w:szCs w:val="22"/>
          <w:shd w:val="clear" w:color="auto" w:fill="FFFFFF"/>
        </w:rPr>
        <w:t xml:space="preserve"> faith in the process</w:t>
      </w:r>
      <w:r w:rsidR="007574B6" w:rsidRPr="006220EA">
        <w:rPr>
          <w:color w:val="201F1E"/>
          <w:sz w:val="22"/>
          <w:szCs w:val="22"/>
          <w:shd w:val="clear" w:color="auto" w:fill="FFFFFF"/>
        </w:rPr>
        <w:t xml:space="preserve">, </w:t>
      </w:r>
      <w:r w:rsidR="000204F7" w:rsidRPr="006220EA">
        <w:rPr>
          <w:color w:val="201F1E"/>
          <w:sz w:val="22"/>
          <w:szCs w:val="22"/>
          <w:shd w:val="clear" w:color="auto" w:fill="FFFFFF"/>
        </w:rPr>
        <w:t xml:space="preserve">which </w:t>
      </w:r>
      <w:r w:rsidR="007574B6" w:rsidRPr="006220EA">
        <w:rPr>
          <w:color w:val="201F1E"/>
          <w:sz w:val="22"/>
          <w:szCs w:val="22"/>
          <w:shd w:val="clear" w:color="auto" w:fill="FFFFFF"/>
        </w:rPr>
        <w:t>the Government</w:t>
      </w:r>
      <w:r w:rsidR="000204F7" w:rsidRPr="006220EA">
        <w:rPr>
          <w:color w:val="201F1E"/>
          <w:sz w:val="22"/>
          <w:szCs w:val="22"/>
          <w:shd w:val="clear" w:color="auto" w:fill="FFFFFF"/>
        </w:rPr>
        <w:t xml:space="preserve"> s</w:t>
      </w:r>
      <w:r w:rsidR="0079121A">
        <w:rPr>
          <w:color w:val="201F1E"/>
          <w:sz w:val="22"/>
          <w:szCs w:val="22"/>
          <w:shd w:val="clear" w:color="auto" w:fill="FFFFFF"/>
        </w:rPr>
        <w:t>aw</w:t>
      </w:r>
      <w:r w:rsidR="000204F7" w:rsidRPr="006220EA">
        <w:rPr>
          <w:color w:val="201F1E"/>
          <w:sz w:val="22"/>
          <w:szCs w:val="22"/>
          <w:shd w:val="clear" w:color="auto" w:fill="FFFFFF"/>
        </w:rPr>
        <w:t xml:space="preserve"> as very important in building knowledge about the marine environment on which </w:t>
      </w:r>
      <w:r w:rsidR="007574B6" w:rsidRPr="006220EA">
        <w:rPr>
          <w:color w:val="201F1E"/>
          <w:sz w:val="22"/>
          <w:szCs w:val="22"/>
          <w:shd w:val="clear" w:color="auto" w:fill="FFFFFF"/>
        </w:rPr>
        <w:t>human beings</w:t>
      </w:r>
      <w:r w:rsidR="000204F7" w:rsidRPr="006220EA">
        <w:rPr>
          <w:color w:val="201F1E"/>
          <w:sz w:val="22"/>
          <w:szCs w:val="22"/>
          <w:shd w:val="clear" w:color="auto" w:fill="FFFFFF"/>
        </w:rPr>
        <w:t xml:space="preserve"> depend</w:t>
      </w:r>
      <w:r w:rsidR="0079121A">
        <w:rPr>
          <w:color w:val="201F1E"/>
          <w:sz w:val="22"/>
          <w:szCs w:val="22"/>
          <w:shd w:val="clear" w:color="auto" w:fill="FFFFFF"/>
        </w:rPr>
        <w:t>ed</w:t>
      </w:r>
      <w:r w:rsidR="000204F7" w:rsidRPr="006220EA">
        <w:rPr>
          <w:color w:val="201F1E"/>
          <w:sz w:val="22"/>
          <w:szCs w:val="22"/>
          <w:shd w:val="clear" w:color="auto" w:fill="FFFFFF"/>
        </w:rPr>
        <w:t xml:space="preserve">. </w:t>
      </w:r>
      <w:r w:rsidR="00C07576">
        <w:rPr>
          <w:color w:val="201F1E"/>
          <w:sz w:val="22"/>
          <w:szCs w:val="22"/>
          <w:shd w:val="clear" w:color="auto" w:fill="FFFFFF"/>
        </w:rPr>
        <w:t>She noted that, looking</w:t>
      </w:r>
      <w:r w:rsidR="000204F7" w:rsidRPr="006220EA">
        <w:rPr>
          <w:color w:val="201F1E"/>
          <w:sz w:val="22"/>
          <w:szCs w:val="22"/>
          <w:shd w:val="clear" w:color="auto" w:fill="FFFFFF"/>
        </w:rPr>
        <w:t xml:space="preserve"> ahead </w:t>
      </w:r>
      <w:r w:rsidR="007574B6" w:rsidRPr="006220EA">
        <w:rPr>
          <w:color w:val="201F1E"/>
          <w:sz w:val="22"/>
          <w:szCs w:val="22"/>
          <w:shd w:val="clear" w:color="auto" w:fill="FFFFFF"/>
        </w:rPr>
        <w:t xml:space="preserve">to the </w:t>
      </w:r>
      <w:r w:rsidR="00D57CC4" w:rsidRPr="006220EA">
        <w:rPr>
          <w:color w:val="201F1E"/>
          <w:sz w:val="22"/>
          <w:szCs w:val="22"/>
          <w:shd w:val="clear" w:color="auto" w:fill="FFFFFF"/>
        </w:rPr>
        <w:t>p</w:t>
      </w:r>
      <w:r w:rsidR="007574B6" w:rsidRPr="006220EA">
        <w:rPr>
          <w:color w:val="201F1E"/>
          <w:sz w:val="22"/>
          <w:szCs w:val="22"/>
          <w:shd w:val="clear" w:color="auto" w:fill="FFFFFF"/>
        </w:rPr>
        <w:t xml:space="preserve">ost-2020 </w:t>
      </w:r>
      <w:r w:rsidR="00D57CC4" w:rsidRPr="006220EA">
        <w:rPr>
          <w:color w:val="201F1E"/>
          <w:sz w:val="22"/>
          <w:szCs w:val="22"/>
          <w:shd w:val="clear" w:color="auto" w:fill="FFFFFF"/>
        </w:rPr>
        <w:t>g</w:t>
      </w:r>
      <w:r w:rsidR="007574B6" w:rsidRPr="006220EA">
        <w:rPr>
          <w:color w:val="201F1E"/>
          <w:sz w:val="22"/>
          <w:szCs w:val="22"/>
          <w:shd w:val="clear" w:color="auto" w:fill="FFFFFF"/>
        </w:rPr>
        <w:t xml:space="preserve">lobal </w:t>
      </w:r>
      <w:r w:rsidR="00D57CC4" w:rsidRPr="006220EA">
        <w:rPr>
          <w:color w:val="201F1E"/>
          <w:sz w:val="22"/>
          <w:szCs w:val="22"/>
          <w:shd w:val="clear" w:color="auto" w:fill="FFFFFF"/>
        </w:rPr>
        <w:t>b</w:t>
      </w:r>
      <w:r w:rsidR="007574B6" w:rsidRPr="006220EA">
        <w:rPr>
          <w:color w:val="201F1E"/>
          <w:sz w:val="22"/>
          <w:szCs w:val="22"/>
          <w:shd w:val="clear" w:color="auto" w:fill="FFFFFF"/>
        </w:rPr>
        <w:t xml:space="preserve">iodiversity </w:t>
      </w:r>
      <w:r w:rsidR="00D57CC4" w:rsidRPr="006220EA">
        <w:rPr>
          <w:color w:val="201F1E"/>
          <w:sz w:val="22"/>
          <w:szCs w:val="22"/>
          <w:shd w:val="clear" w:color="auto" w:fill="FFFFFF"/>
        </w:rPr>
        <w:t>f</w:t>
      </w:r>
      <w:r w:rsidR="007574B6" w:rsidRPr="006220EA">
        <w:rPr>
          <w:color w:val="201F1E"/>
          <w:sz w:val="22"/>
          <w:szCs w:val="22"/>
          <w:shd w:val="clear" w:color="auto" w:fill="FFFFFF"/>
        </w:rPr>
        <w:t xml:space="preserve">ramework, one thing </w:t>
      </w:r>
      <w:r w:rsidR="0079121A">
        <w:rPr>
          <w:color w:val="201F1E"/>
          <w:sz w:val="22"/>
          <w:szCs w:val="22"/>
          <w:shd w:val="clear" w:color="auto" w:fill="FFFFFF"/>
        </w:rPr>
        <w:t>wa</w:t>
      </w:r>
      <w:r w:rsidR="007574B6" w:rsidRPr="006220EA">
        <w:rPr>
          <w:color w:val="201F1E"/>
          <w:sz w:val="22"/>
          <w:szCs w:val="22"/>
          <w:shd w:val="clear" w:color="auto" w:fill="FFFFFF"/>
        </w:rPr>
        <w:t>s certain:</w:t>
      </w:r>
      <w:r w:rsidR="000204F7" w:rsidRPr="006220EA">
        <w:rPr>
          <w:color w:val="201F1E"/>
          <w:sz w:val="22"/>
          <w:szCs w:val="22"/>
          <w:shd w:val="clear" w:color="auto" w:fill="FFFFFF"/>
        </w:rPr>
        <w:t xml:space="preserve"> marine and coastal biodiversity </w:t>
      </w:r>
      <w:r w:rsidR="0079121A">
        <w:rPr>
          <w:color w:val="201F1E"/>
          <w:sz w:val="22"/>
          <w:szCs w:val="22"/>
          <w:shd w:val="clear" w:color="auto" w:fill="FFFFFF"/>
        </w:rPr>
        <w:t>would</w:t>
      </w:r>
      <w:r w:rsidR="0079121A" w:rsidRPr="006220EA">
        <w:rPr>
          <w:color w:val="201F1E"/>
          <w:sz w:val="22"/>
          <w:szCs w:val="22"/>
          <w:shd w:val="clear" w:color="auto" w:fill="FFFFFF"/>
        </w:rPr>
        <w:t xml:space="preserve"> </w:t>
      </w:r>
      <w:r w:rsidR="007574B6" w:rsidRPr="006220EA">
        <w:rPr>
          <w:color w:val="201F1E"/>
          <w:sz w:val="22"/>
          <w:szCs w:val="22"/>
          <w:shd w:val="clear" w:color="auto" w:fill="FFFFFF"/>
        </w:rPr>
        <w:t xml:space="preserve">continue to face serious </w:t>
      </w:r>
      <w:r w:rsidR="000204F7" w:rsidRPr="006220EA">
        <w:rPr>
          <w:color w:val="201F1E"/>
          <w:sz w:val="22"/>
          <w:szCs w:val="22"/>
          <w:shd w:val="clear" w:color="auto" w:fill="FFFFFF"/>
        </w:rPr>
        <w:t>challenge</w:t>
      </w:r>
      <w:r w:rsidR="007574B6" w:rsidRPr="006220EA">
        <w:rPr>
          <w:color w:val="201F1E"/>
          <w:sz w:val="22"/>
          <w:szCs w:val="22"/>
          <w:shd w:val="clear" w:color="auto" w:fill="FFFFFF"/>
        </w:rPr>
        <w:t>s</w:t>
      </w:r>
      <w:r w:rsidR="000204F7" w:rsidRPr="006220EA">
        <w:rPr>
          <w:color w:val="201F1E"/>
          <w:sz w:val="22"/>
          <w:szCs w:val="22"/>
          <w:shd w:val="clear" w:color="auto" w:fill="FFFFFF"/>
        </w:rPr>
        <w:t xml:space="preserve">. </w:t>
      </w:r>
      <w:r w:rsidR="00FD155C" w:rsidRPr="006220EA">
        <w:rPr>
          <w:color w:val="201F1E"/>
          <w:sz w:val="22"/>
          <w:szCs w:val="22"/>
          <w:shd w:val="clear" w:color="auto" w:fill="FFFFFF"/>
        </w:rPr>
        <w:t xml:space="preserve">She stressed that </w:t>
      </w:r>
      <w:r w:rsidR="000204F7" w:rsidRPr="006220EA">
        <w:rPr>
          <w:color w:val="201F1E"/>
          <w:sz w:val="22"/>
          <w:szCs w:val="22"/>
          <w:shd w:val="clear" w:color="auto" w:fill="FFFFFF"/>
        </w:rPr>
        <w:t xml:space="preserve">Sweden </w:t>
      </w:r>
      <w:r w:rsidR="003C6EAC">
        <w:rPr>
          <w:color w:val="201F1E"/>
          <w:sz w:val="22"/>
          <w:szCs w:val="22"/>
          <w:shd w:val="clear" w:color="auto" w:fill="FFFFFF"/>
        </w:rPr>
        <w:t>saw</w:t>
      </w:r>
      <w:r w:rsidR="003C6EAC" w:rsidRPr="006220EA">
        <w:rPr>
          <w:color w:val="201F1E"/>
          <w:sz w:val="22"/>
          <w:szCs w:val="22"/>
          <w:shd w:val="clear" w:color="auto" w:fill="FFFFFF"/>
        </w:rPr>
        <w:t xml:space="preserve"> </w:t>
      </w:r>
      <w:r w:rsidR="000204F7" w:rsidRPr="006220EA">
        <w:rPr>
          <w:color w:val="201F1E"/>
          <w:sz w:val="22"/>
          <w:szCs w:val="22"/>
          <w:shd w:val="clear" w:color="auto" w:fill="FFFFFF"/>
        </w:rPr>
        <w:t>EBSAs as having a potentially important role</w:t>
      </w:r>
      <w:r w:rsidR="00FD155C" w:rsidRPr="006220EA">
        <w:rPr>
          <w:color w:val="201F1E"/>
          <w:sz w:val="22"/>
          <w:szCs w:val="22"/>
          <w:shd w:val="clear" w:color="auto" w:fill="FFFFFF"/>
        </w:rPr>
        <w:t xml:space="preserve"> as conservation efforts</w:t>
      </w:r>
      <w:r w:rsidR="00C07576">
        <w:rPr>
          <w:color w:val="201F1E"/>
          <w:sz w:val="22"/>
          <w:szCs w:val="22"/>
          <w:shd w:val="clear" w:color="auto" w:fill="FFFFFF"/>
        </w:rPr>
        <w:t xml:space="preserve"> a</w:t>
      </w:r>
      <w:r w:rsidR="003C6EAC">
        <w:rPr>
          <w:color w:val="201F1E"/>
          <w:sz w:val="22"/>
          <w:szCs w:val="22"/>
          <w:shd w:val="clear" w:color="auto" w:fill="FFFFFF"/>
        </w:rPr>
        <w:t>were</w:t>
      </w:r>
      <w:r w:rsidR="00C07576">
        <w:rPr>
          <w:color w:val="201F1E"/>
          <w:sz w:val="22"/>
          <w:szCs w:val="22"/>
          <w:shd w:val="clear" w:color="auto" w:fill="FFFFFF"/>
        </w:rPr>
        <w:t>re stepped up</w:t>
      </w:r>
      <w:r w:rsidR="00FD155C" w:rsidRPr="006220EA">
        <w:rPr>
          <w:color w:val="201F1E"/>
          <w:sz w:val="22"/>
          <w:szCs w:val="22"/>
          <w:shd w:val="clear" w:color="auto" w:fill="FFFFFF"/>
        </w:rPr>
        <w:t>, n</w:t>
      </w:r>
      <w:r w:rsidR="000204F7" w:rsidRPr="006220EA">
        <w:rPr>
          <w:color w:val="201F1E"/>
          <w:sz w:val="22"/>
          <w:szCs w:val="22"/>
          <w:shd w:val="clear" w:color="auto" w:fill="FFFFFF"/>
        </w:rPr>
        <w:t xml:space="preserve">ot </w:t>
      </w:r>
      <w:r w:rsidR="00FD155C" w:rsidRPr="006220EA">
        <w:rPr>
          <w:color w:val="201F1E"/>
          <w:sz w:val="22"/>
          <w:szCs w:val="22"/>
          <w:shd w:val="clear" w:color="auto" w:fill="FFFFFF"/>
        </w:rPr>
        <w:t>only</w:t>
      </w:r>
      <w:r w:rsidR="000204F7" w:rsidRPr="006220EA">
        <w:rPr>
          <w:color w:val="201F1E"/>
          <w:sz w:val="22"/>
          <w:szCs w:val="22"/>
          <w:shd w:val="clear" w:color="auto" w:fill="FFFFFF"/>
        </w:rPr>
        <w:t xml:space="preserve"> for the knowledge</w:t>
      </w:r>
      <w:r w:rsidR="00743832">
        <w:rPr>
          <w:color w:val="201F1E"/>
          <w:sz w:val="22"/>
          <w:szCs w:val="22"/>
          <w:shd w:val="clear" w:color="auto" w:fill="FFFFFF"/>
        </w:rPr>
        <w:t xml:space="preserve"> that</w:t>
      </w:r>
      <w:r w:rsidR="000204F7" w:rsidRPr="006220EA">
        <w:rPr>
          <w:color w:val="201F1E"/>
          <w:sz w:val="22"/>
          <w:szCs w:val="22"/>
          <w:shd w:val="clear" w:color="auto" w:fill="FFFFFF"/>
        </w:rPr>
        <w:t xml:space="preserve"> the process ha</w:t>
      </w:r>
      <w:r w:rsidR="003C6EAC">
        <w:rPr>
          <w:color w:val="201F1E"/>
          <w:sz w:val="22"/>
          <w:szCs w:val="22"/>
          <w:shd w:val="clear" w:color="auto" w:fill="FFFFFF"/>
        </w:rPr>
        <w:t>d</w:t>
      </w:r>
      <w:r w:rsidR="000204F7" w:rsidRPr="006220EA">
        <w:rPr>
          <w:color w:val="201F1E"/>
          <w:sz w:val="22"/>
          <w:szCs w:val="22"/>
          <w:shd w:val="clear" w:color="auto" w:fill="FFFFFF"/>
        </w:rPr>
        <w:t xml:space="preserve"> generated, but also in the light of environmental challenges</w:t>
      </w:r>
      <w:r w:rsidR="007574B6" w:rsidRPr="006220EA">
        <w:rPr>
          <w:color w:val="201F1E"/>
          <w:sz w:val="22"/>
          <w:szCs w:val="22"/>
          <w:shd w:val="clear" w:color="auto" w:fill="FFFFFF"/>
        </w:rPr>
        <w:t>,</w:t>
      </w:r>
      <w:r w:rsidR="000204F7" w:rsidRPr="006220EA">
        <w:rPr>
          <w:color w:val="201F1E"/>
          <w:sz w:val="22"/>
          <w:szCs w:val="22"/>
          <w:shd w:val="clear" w:color="auto" w:fill="FFFFFF"/>
        </w:rPr>
        <w:t xml:space="preserve"> such as climate change.</w:t>
      </w:r>
      <w:r w:rsidR="007574B6" w:rsidRPr="006220EA">
        <w:rPr>
          <w:color w:val="201F1E"/>
          <w:sz w:val="22"/>
          <w:szCs w:val="22"/>
          <w:shd w:val="clear" w:color="auto" w:fill="FFFFFF"/>
        </w:rPr>
        <w:t xml:space="preserve"> </w:t>
      </w:r>
      <w:r w:rsidR="007574B6" w:rsidRPr="006220EA">
        <w:rPr>
          <w:color w:val="201F1E"/>
          <w:sz w:val="22"/>
          <w:szCs w:val="22"/>
          <w:shd w:val="clear" w:color="auto" w:fill="FFFFFF"/>
          <w:lang w:val="en-US"/>
        </w:rPr>
        <w:t xml:space="preserve">Ms. </w:t>
      </w:r>
      <w:r w:rsidR="007574B6" w:rsidRPr="006220EA">
        <w:rPr>
          <w:color w:val="201F1E"/>
          <w:sz w:val="22"/>
          <w:szCs w:val="22"/>
          <w:shd w:val="clear" w:color="auto" w:fill="FFFFFF"/>
        </w:rPr>
        <w:t>Sörqvist thanked participants for their dedication to the EBSA process and wished them a productive week.</w:t>
      </w:r>
    </w:p>
    <w:p w14:paraId="7B65EB7A" w14:textId="3E06C49A" w:rsidR="008D7665" w:rsidRPr="006220EA" w:rsidRDefault="00EE3AF9" w:rsidP="006220EA">
      <w:pPr>
        <w:spacing w:before="120" w:after="120"/>
        <w:jc w:val="both"/>
        <w:rPr>
          <w:sz w:val="22"/>
          <w:szCs w:val="22"/>
          <w:lang w:val="en-US"/>
        </w:rPr>
      </w:pPr>
      <w:r w:rsidRPr="005F6EC5">
        <w:rPr>
          <w:sz w:val="22"/>
          <w:szCs w:val="22"/>
        </w:rPr>
        <w:t>9</w:t>
      </w:r>
      <w:r w:rsidR="00CE39DC" w:rsidRPr="005F6EC5">
        <w:rPr>
          <w:sz w:val="22"/>
          <w:szCs w:val="22"/>
        </w:rPr>
        <w:t>.</w:t>
      </w:r>
      <w:r w:rsidR="00CE39DC" w:rsidRPr="005F6EC5">
        <w:rPr>
          <w:sz w:val="22"/>
          <w:szCs w:val="22"/>
        </w:rPr>
        <w:tab/>
      </w:r>
      <w:r w:rsidR="002D5462" w:rsidRPr="005F6EC5">
        <w:rPr>
          <w:sz w:val="22"/>
          <w:szCs w:val="22"/>
          <w:lang w:val="en-US"/>
        </w:rPr>
        <w:t>Ms. Lena Avellan delivered an opening statement o</w:t>
      </w:r>
      <w:r w:rsidR="00CE39DC" w:rsidRPr="005F6EC5">
        <w:rPr>
          <w:sz w:val="22"/>
          <w:szCs w:val="22"/>
          <w:lang w:val="en-US"/>
        </w:rPr>
        <w:t xml:space="preserve">n behalf of </w:t>
      </w:r>
      <w:r w:rsidR="008D7665" w:rsidRPr="005F6EC5">
        <w:rPr>
          <w:sz w:val="22"/>
          <w:szCs w:val="22"/>
          <w:lang w:val="en-US"/>
        </w:rPr>
        <w:t xml:space="preserve">Ms. Susana Salvador, Executive Secretary of </w:t>
      </w:r>
      <w:r w:rsidR="00CE39DC" w:rsidRPr="005F6EC5">
        <w:rPr>
          <w:sz w:val="22"/>
          <w:szCs w:val="22"/>
          <w:lang w:val="en-US"/>
        </w:rPr>
        <w:t xml:space="preserve">the </w:t>
      </w:r>
      <w:r w:rsidR="00210C1F" w:rsidRPr="005F6EC5">
        <w:rPr>
          <w:sz w:val="22"/>
          <w:szCs w:val="22"/>
          <w:lang w:val="en-US"/>
        </w:rPr>
        <w:t>OSPAR Commission</w:t>
      </w:r>
      <w:r w:rsidR="002D5462" w:rsidRPr="005F6EC5">
        <w:rPr>
          <w:sz w:val="22"/>
          <w:szCs w:val="22"/>
          <w:lang w:val="en-US"/>
        </w:rPr>
        <w:t xml:space="preserve">. </w:t>
      </w:r>
      <w:r w:rsidR="00985307" w:rsidRPr="005F6EC5">
        <w:rPr>
          <w:sz w:val="22"/>
          <w:szCs w:val="22"/>
          <w:lang w:val="en-US"/>
        </w:rPr>
        <w:t xml:space="preserve">She </w:t>
      </w:r>
      <w:r w:rsidR="008D7665" w:rsidRPr="005F6EC5">
        <w:rPr>
          <w:sz w:val="22"/>
          <w:szCs w:val="22"/>
          <w:lang w:val="en-US"/>
        </w:rPr>
        <w:t>express</w:t>
      </w:r>
      <w:r w:rsidR="00985307" w:rsidRPr="00CC2D57">
        <w:rPr>
          <w:sz w:val="22"/>
          <w:szCs w:val="22"/>
          <w:lang w:val="en-US"/>
        </w:rPr>
        <w:t>ed her</w:t>
      </w:r>
      <w:r w:rsidR="008D7665" w:rsidRPr="00CC2D57">
        <w:rPr>
          <w:sz w:val="22"/>
          <w:szCs w:val="22"/>
          <w:lang w:val="en-US"/>
        </w:rPr>
        <w:t xml:space="preserve"> gratitude to</w:t>
      </w:r>
      <w:r w:rsidR="0027480D" w:rsidRPr="00CC2D57">
        <w:rPr>
          <w:sz w:val="22"/>
          <w:szCs w:val="22"/>
          <w:lang w:val="en-US"/>
        </w:rPr>
        <w:t xml:space="preserve"> the </w:t>
      </w:r>
      <w:r w:rsidR="005F6EC5" w:rsidRPr="00846AD1">
        <w:rPr>
          <w:sz w:val="22"/>
          <w:szCs w:val="22"/>
        </w:rPr>
        <w:t xml:space="preserve">Convention on Biological Diversity for arranging this important regional workshop and to the technical team from the Marine Geospatial Ecology Lab of Duke University for its technical support. She also thanked the </w:t>
      </w:r>
      <w:r w:rsidR="0027480D" w:rsidRPr="005F6EC5">
        <w:rPr>
          <w:sz w:val="22"/>
          <w:szCs w:val="22"/>
          <w:lang w:val="en-US"/>
        </w:rPr>
        <w:t xml:space="preserve">Government of </w:t>
      </w:r>
      <w:r w:rsidR="0027480D" w:rsidRPr="005F6EC5">
        <w:rPr>
          <w:sz w:val="22"/>
          <w:szCs w:val="22"/>
          <w:lang w:val="en-US"/>
        </w:rPr>
        <w:lastRenderedPageBreak/>
        <w:t xml:space="preserve">Sweden for generously hosting this workshop and the Governments of France, Denmark and Germany for their valuable financial contributions, as well as </w:t>
      </w:r>
      <w:r w:rsidR="005F6EC5" w:rsidRPr="00CC2D57">
        <w:rPr>
          <w:sz w:val="22"/>
          <w:szCs w:val="22"/>
          <w:lang w:val="en-US"/>
        </w:rPr>
        <w:t>the</w:t>
      </w:r>
      <w:r w:rsidR="0027480D" w:rsidRPr="00CC2D57">
        <w:rPr>
          <w:sz w:val="22"/>
          <w:szCs w:val="22"/>
          <w:lang w:val="en-US"/>
        </w:rPr>
        <w:t xml:space="preserve"> other Governments that ha</w:t>
      </w:r>
      <w:r w:rsidR="003C6EAC">
        <w:rPr>
          <w:sz w:val="22"/>
          <w:szCs w:val="22"/>
          <w:lang w:val="en-US"/>
        </w:rPr>
        <w:t>d</w:t>
      </w:r>
      <w:r w:rsidR="0027480D" w:rsidRPr="00CC2D57">
        <w:rPr>
          <w:sz w:val="22"/>
          <w:szCs w:val="22"/>
          <w:lang w:val="en-US"/>
        </w:rPr>
        <w:t xml:space="preserve"> contributed to mak</w:t>
      </w:r>
      <w:r w:rsidR="005F6EC5" w:rsidRPr="00CC2D57">
        <w:rPr>
          <w:sz w:val="22"/>
          <w:szCs w:val="22"/>
          <w:lang w:val="en-US"/>
        </w:rPr>
        <w:t>ing</w:t>
      </w:r>
      <w:r w:rsidR="0027480D" w:rsidRPr="00CC2D57">
        <w:rPr>
          <w:sz w:val="22"/>
          <w:szCs w:val="22"/>
          <w:lang w:val="en-US"/>
        </w:rPr>
        <w:t xml:space="preserve"> this workshop possible. </w:t>
      </w:r>
      <w:r w:rsidR="0027480D" w:rsidRPr="006220EA">
        <w:rPr>
          <w:sz w:val="22"/>
          <w:szCs w:val="22"/>
          <w:lang w:val="en-US"/>
        </w:rPr>
        <w:t>She also</w:t>
      </w:r>
      <w:r w:rsidR="008D7665" w:rsidRPr="006220EA">
        <w:rPr>
          <w:sz w:val="22"/>
          <w:szCs w:val="22"/>
          <w:lang w:val="en-US"/>
        </w:rPr>
        <w:t xml:space="preserve"> thank</w:t>
      </w:r>
      <w:r w:rsidR="0027480D" w:rsidRPr="006220EA">
        <w:rPr>
          <w:sz w:val="22"/>
          <w:szCs w:val="22"/>
          <w:lang w:val="en-US"/>
        </w:rPr>
        <w:t>ed</w:t>
      </w:r>
      <w:r w:rsidR="008D7665" w:rsidRPr="006220EA">
        <w:rPr>
          <w:sz w:val="22"/>
          <w:szCs w:val="22"/>
          <w:lang w:val="en-US"/>
        </w:rPr>
        <w:t xml:space="preserve"> NEAFC for the productive and continued cooperation in this area of work. </w:t>
      </w:r>
      <w:r w:rsidR="0027480D" w:rsidRPr="006220EA">
        <w:rPr>
          <w:sz w:val="22"/>
          <w:szCs w:val="22"/>
          <w:lang w:val="en-US"/>
        </w:rPr>
        <w:t>She noted that i</w:t>
      </w:r>
      <w:r w:rsidR="008D7665" w:rsidRPr="006220EA">
        <w:rPr>
          <w:sz w:val="22"/>
          <w:szCs w:val="22"/>
          <w:lang w:val="en-US"/>
        </w:rPr>
        <w:t xml:space="preserve">n the past ten years, </w:t>
      </w:r>
      <w:r w:rsidR="0027480D" w:rsidRPr="006220EA">
        <w:rPr>
          <w:sz w:val="22"/>
          <w:szCs w:val="22"/>
          <w:lang w:val="en-US"/>
        </w:rPr>
        <w:t>their</w:t>
      </w:r>
      <w:r w:rsidR="008D7665" w:rsidRPr="006220EA">
        <w:rPr>
          <w:sz w:val="22"/>
          <w:szCs w:val="22"/>
          <w:lang w:val="en-US"/>
        </w:rPr>
        <w:t xml:space="preserve"> two organi</w:t>
      </w:r>
      <w:r w:rsidR="0027480D" w:rsidRPr="006220EA">
        <w:rPr>
          <w:sz w:val="22"/>
          <w:szCs w:val="22"/>
          <w:lang w:val="en-US"/>
        </w:rPr>
        <w:t>z</w:t>
      </w:r>
      <w:r w:rsidR="008D7665" w:rsidRPr="006220EA">
        <w:rPr>
          <w:sz w:val="22"/>
          <w:szCs w:val="22"/>
          <w:lang w:val="en-US"/>
        </w:rPr>
        <w:t>ations ha</w:t>
      </w:r>
      <w:r w:rsidR="003C6EAC">
        <w:rPr>
          <w:sz w:val="22"/>
          <w:szCs w:val="22"/>
          <w:lang w:val="en-US"/>
        </w:rPr>
        <w:t>d</w:t>
      </w:r>
      <w:r w:rsidR="008D7665" w:rsidRPr="006220EA">
        <w:rPr>
          <w:sz w:val="22"/>
          <w:szCs w:val="22"/>
          <w:lang w:val="en-US"/>
        </w:rPr>
        <w:t xml:space="preserve"> developed a </w:t>
      </w:r>
      <w:r w:rsidR="0027480D" w:rsidRPr="006220EA">
        <w:rPr>
          <w:sz w:val="22"/>
          <w:szCs w:val="22"/>
          <w:lang w:val="en-US"/>
        </w:rPr>
        <w:t>strong</w:t>
      </w:r>
      <w:r w:rsidR="008D7665" w:rsidRPr="006220EA">
        <w:rPr>
          <w:sz w:val="22"/>
          <w:szCs w:val="22"/>
          <w:lang w:val="en-US"/>
        </w:rPr>
        <w:t xml:space="preserve"> collaboration, shared information of common interest, and, above all, significant</w:t>
      </w:r>
      <w:r w:rsidR="0027480D" w:rsidRPr="006220EA">
        <w:rPr>
          <w:sz w:val="22"/>
          <w:szCs w:val="22"/>
          <w:lang w:val="en-US"/>
        </w:rPr>
        <w:t>ly</w:t>
      </w:r>
      <w:r w:rsidR="008D7665" w:rsidRPr="006220EA">
        <w:rPr>
          <w:sz w:val="22"/>
          <w:szCs w:val="22"/>
          <w:lang w:val="en-US"/>
        </w:rPr>
        <w:t xml:space="preserve"> enhance</w:t>
      </w:r>
      <w:r w:rsidR="0027480D" w:rsidRPr="006220EA">
        <w:rPr>
          <w:sz w:val="22"/>
          <w:szCs w:val="22"/>
          <w:lang w:val="en-US"/>
        </w:rPr>
        <w:t>d</w:t>
      </w:r>
      <w:r w:rsidR="008D7665" w:rsidRPr="006220EA">
        <w:rPr>
          <w:sz w:val="22"/>
          <w:szCs w:val="22"/>
          <w:lang w:val="en-US"/>
        </w:rPr>
        <w:t xml:space="preserve"> the collective arrangement as a forum for regional and cross-sectoral dialogue. </w:t>
      </w:r>
      <w:r w:rsidR="00FD155C" w:rsidRPr="006220EA">
        <w:rPr>
          <w:sz w:val="22"/>
          <w:szCs w:val="22"/>
          <w:lang w:val="en-US"/>
        </w:rPr>
        <w:t>She emphasized that the organizations</w:t>
      </w:r>
      <w:r w:rsidR="008D7665" w:rsidRPr="006220EA">
        <w:rPr>
          <w:sz w:val="22"/>
          <w:szCs w:val="22"/>
          <w:lang w:val="en-US"/>
        </w:rPr>
        <w:t xml:space="preserve"> ha</w:t>
      </w:r>
      <w:r w:rsidR="003C6EAC">
        <w:rPr>
          <w:sz w:val="22"/>
          <w:szCs w:val="22"/>
          <w:lang w:val="en-US"/>
        </w:rPr>
        <w:t>d</w:t>
      </w:r>
      <w:r w:rsidR="008D7665" w:rsidRPr="006220EA">
        <w:rPr>
          <w:sz w:val="22"/>
          <w:szCs w:val="22"/>
          <w:lang w:val="en-US"/>
        </w:rPr>
        <w:t xml:space="preserve"> furthermore explor</w:t>
      </w:r>
      <w:r w:rsidR="0027480D" w:rsidRPr="006220EA">
        <w:rPr>
          <w:sz w:val="22"/>
          <w:szCs w:val="22"/>
          <w:lang w:val="en-US"/>
        </w:rPr>
        <w:t>ed</w:t>
      </w:r>
      <w:r w:rsidR="008D7665" w:rsidRPr="006220EA">
        <w:rPr>
          <w:sz w:val="22"/>
          <w:szCs w:val="22"/>
          <w:lang w:val="en-US"/>
        </w:rPr>
        <w:t xml:space="preserve"> ways to promote the identification of areas meeting the EBSA criteria and </w:t>
      </w:r>
      <w:r w:rsidR="003C6EAC">
        <w:rPr>
          <w:sz w:val="22"/>
          <w:szCs w:val="22"/>
          <w:lang w:val="en-US"/>
        </w:rPr>
        <w:t>were</w:t>
      </w:r>
      <w:r w:rsidR="003C6EAC" w:rsidRPr="006220EA">
        <w:rPr>
          <w:sz w:val="22"/>
          <w:szCs w:val="22"/>
          <w:lang w:val="en-US"/>
        </w:rPr>
        <w:t xml:space="preserve"> </w:t>
      </w:r>
      <w:r w:rsidR="008D7665" w:rsidRPr="006220EA">
        <w:rPr>
          <w:sz w:val="22"/>
          <w:szCs w:val="22"/>
          <w:lang w:val="en-US"/>
        </w:rPr>
        <w:t xml:space="preserve">proud of working together with the </w:t>
      </w:r>
      <w:r w:rsidR="003C6EAC">
        <w:rPr>
          <w:sz w:val="22"/>
          <w:szCs w:val="22"/>
          <w:lang w:val="en-US"/>
        </w:rPr>
        <w:t>Convention</w:t>
      </w:r>
      <w:r w:rsidR="008D7665" w:rsidRPr="006220EA">
        <w:rPr>
          <w:sz w:val="22"/>
          <w:szCs w:val="22"/>
          <w:lang w:val="en-US"/>
        </w:rPr>
        <w:t>.</w:t>
      </w:r>
      <w:r w:rsidR="001452B8" w:rsidRPr="006220EA">
        <w:rPr>
          <w:sz w:val="22"/>
          <w:szCs w:val="22"/>
          <w:lang w:val="en-US"/>
        </w:rPr>
        <w:t xml:space="preserve"> </w:t>
      </w:r>
      <w:r w:rsidR="0027480D" w:rsidRPr="006220EA">
        <w:rPr>
          <w:sz w:val="22"/>
          <w:szCs w:val="22"/>
          <w:lang w:val="en-US"/>
        </w:rPr>
        <w:t>She noted that</w:t>
      </w:r>
      <w:r w:rsidR="00743832">
        <w:rPr>
          <w:sz w:val="22"/>
          <w:szCs w:val="22"/>
          <w:lang w:val="en-US"/>
        </w:rPr>
        <w:t>,</w:t>
      </w:r>
      <w:r w:rsidR="0027480D" w:rsidRPr="006220EA">
        <w:rPr>
          <w:sz w:val="22"/>
          <w:szCs w:val="22"/>
          <w:lang w:val="en-US"/>
        </w:rPr>
        <w:t xml:space="preserve"> while t</w:t>
      </w:r>
      <w:r w:rsidR="008D7665" w:rsidRPr="006220EA">
        <w:rPr>
          <w:sz w:val="22"/>
          <w:szCs w:val="22"/>
          <w:lang w:val="en-US"/>
        </w:rPr>
        <w:t xml:space="preserve">he North-East Atlantic </w:t>
      </w:r>
      <w:r w:rsidR="003C6EAC">
        <w:rPr>
          <w:sz w:val="22"/>
          <w:szCs w:val="22"/>
          <w:lang w:val="en-US"/>
        </w:rPr>
        <w:t>wa</w:t>
      </w:r>
      <w:r w:rsidR="008D7665" w:rsidRPr="006220EA">
        <w:rPr>
          <w:sz w:val="22"/>
          <w:szCs w:val="22"/>
          <w:lang w:val="en-US"/>
        </w:rPr>
        <w:t xml:space="preserve">s a well-studied area, </w:t>
      </w:r>
      <w:r w:rsidR="00743832">
        <w:rPr>
          <w:sz w:val="22"/>
          <w:szCs w:val="22"/>
          <w:lang w:val="en-US"/>
        </w:rPr>
        <w:t xml:space="preserve">the </w:t>
      </w:r>
      <w:r w:rsidR="008D7665" w:rsidRPr="006220EA">
        <w:rPr>
          <w:sz w:val="22"/>
          <w:szCs w:val="22"/>
          <w:lang w:val="en-US"/>
        </w:rPr>
        <w:t xml:space="preserve">OSPAR </w:t>
      </w:r>
      <w:r w:rsidR="00743832">
        <w:rPr>
          <w:sz w:val="22"/>
          <w:szCs w:val="22"/>
          <w:lang w:val="en-US"/>
        </w:rPr>
        <w:t xml:space="preserve">Commission still </w:t>
      </w:r>
      <w:r w:rsidR="0027480D" w:rsidRPr="006220EA">
        <w:rPr>
          <w:sz w:val="22"/>
          <w:szCs w:val="22"/>
          <w:lang w:val="en-US"/>
        </w:rPr>
        <w:t>ha</w:t>
      </w:r>
      <w:r w:rsidR="003C6EAC">
        <w:rPr>
          <w:sz w:val="22"/>
          <w:szCs w:val="22"/>
          <w:lang w:val="en-US"/>
        </w:rPr>
        <w:t>d</w:t>
      </w:r>
      <w:r w:rsidR="008D7665" w:rsidRPr="006220EA">
        <w:rPr>
          <w:sz w:val="22"/>
          <w:szCs w:val="22"/>
          <w:lang w:val="en-US"/>
        </w:rPr>
        <w:t xml:space="preserve"> insufficient knowledge of the ecosystems to fully apply an ecosystem approach to managing human activities. OSPAR applie</w:t>
      </w:r>
      <w:r w:rsidR="003C6EAC">
        <w:rPr>
          <w:sz w:val="22"/>
          <w:szCs w:val="22"/>
          <w:lang w:val="en-US"/>
        </w:rPr>
        <w:t>d</w:t>
      </w:r>
      <w:r w:rsidR="008D7665" w:rsidRPr="006220EA">
        <w:rPr>
          <w:sz w:val="22"/>
          <w:szCs w:val="22"/>
          <w:lang w:val="en-US"/>
        </w:rPr>
        <w:t xml:space="preserve"> the precautionary principle to management of human activities and aim</w:t>
      </w:r>
      <w:r w:rsidR="003C6EAC">
        <w:rPr>
          <w:sz w:val="22"/>
          <w:szCs w:val="22"/>
          <w:lang w:val="en-US"/>
        </w:rPr>
        <w:t>ed</w:t>
      </w:r>
      <w:r w:rsidR="008D7665" w:rsidRPr="006220EA">
        <w:rPr>
          <w:sz w:val="22"/>
          <w:szCs w:val="22"/>
          <w:lang w:val="en-US"/>
        </w:rPr>
        <w:t xml:space="preserve"> to increase availability of information to inform and sustain policy decisions. </w:t>
      </w:r>
      <w:r w:rsidR="00FD155C" w:rsidRPr="006220EA">
        <w:rPr>
          <w:sz w:val="22"/>
          <w:szCs w:val="22"/>
          <w:lang w:val="en-US"/>
        </w:rPr>
        <w:t>She noted that t</w:t>
      </w:r>
      <w:r w:rsidR="008D7665" w:rsidRPr="006220EA">
        <w:rPr>
          <w:sz w:val="22"/>
          <w:szCs w:val="22"/>
          <w:lang w:val="en-US"/>
        </w:rPr>
        <w:t>he outputs of this workshop w</w:t>
      </w:r>
      <w:r w:rsidR="003C6EAC">
        <w:rPr>
          <w:sz w:val="22"/>
          <w:szCs w:val="22"/>
          <w:lang w:val="en-US"/>
        </w:rPr>
        <w:t>ould</w:t>
      </w:r>
      <w:r w:rsidR="008D7665" w:rsidRPr="006220EA">
        <w:rPr>
          <w:sz w:val="22"/>
          <w:szCs w:val="22"/>
          <w:lang w:val="en-US"/>
        </w:rPr>
        <w:t xml:space="preserve"> be helpful to the future work of OSPAR as it contribute</w:t>
      </w:r>
      <w:r w:rsidR="003C6EAC">
        <w:rPr>
          <w:sz w:val="22"/>
          <w:szCs w:val="22"/>
          <w:lang w:val="en-US"/>
        </w:rPr>
        <w:t>d</w:t>
      </w:r>
      <w:r w:rsidR="008D7665" w:rsidRPr="006220EA">
        <w:rPr>
          <w:sz w:val="22"/>
          <w:szCs w:val="22"/>
          <w:lang w:val="en-US"/>
        </w:rPr>
        <w:t xml:space="preserve"> to efforts </w:t>
      </w:r>
      <w:r w:rsidR="00304356" w:rsidRPr="006220EA">
        <w:rPr>
          <w:sz w:val="22"/>
          <w:szCs w:val="22"/>
          <w:lang w:val="en-US"/>
        </w:rPr>
        <w:t>to</w:t>
      </w:r>
      <w:r w:rsidR="008D7665" w:rsidRPr="006220EA">
        <w:rPr>
          <w:sz w:val="22"/>
          <w:szCs w:val="22"/>
          <w:lang w:val="en-US"/>
        </w:rPr>
        <w:t xml:space="preserve"> </w:t>
      </w:r>
      <w:r w:rsidR="00944142" w:rsidRPr="006220EA">
        <w:rPr>
          <w:sz w:val="22"/>
          <w:szCs w:val="22"/>
          <w:lang w:val="en-US"/>
        </w:rPr>
        <w:t>increas</w:t>
      </w:r>
      <w:r w:rsidR="00304356" w:rsidRPr="006220EA">
        <w:rPr>
          <w:sz w:val="22"/>
          <w:szCs w:val="22"/>
          <w:lang w:val="en-US"/>
        </w:rPr>
        <w:t>e</w:t>
      </w:r>
      <w:r w:rsidR="00944142" w:rsidRPr="006220EA">
        <w:rPr>
          <w:sz w:val="22"/>
          <w:szCs w:val="22"/>
          <w:lang w:val="en-US"/>
        </w:rPr>
        <w:t xml:space="preserve"> the availability of </w:t>
      </w:r>
      <w:r w:rsidR="008D7665" w:rsidRPr="006220EA">
        <w:rPr>
          <w:sz w:val="22"/>
          <w:szCs w:val="22"/>
          <w:lang w:val="en-US"/>
        </w:rPr>
        <w:t xml:space="preserve">scientific information to policymakers. </w:t>
      </w:r>
      <w:r w:rsidR="00944142" w:rsidRPr="006220EA">
        <w:rPr>
          <w:sz w:val="22"/>
          <w:szCs w:val="22"/>
          <w:lang w:val="en-US"/>
        </w:rPr>
        <w:t>She noted that the</w:t>
      </w:r>
      <w:r w:rsidR="008D7665" w:rsidRPr="006220EA">
        <w:rPr>
          <w:sz w:val="22"/>
          <w:szCs w:val="22"/>
          <w:lang w:val="en-US"/>
        </w:rPr>
        <w:t xml:space="preserve"> Contracting Parties </w:t>
      </w:r>
      <w:r w:rsidR="00944142" w:rsidRPr="006220EA">
        <w:rPr>
          <w:sz w:val="22"/>
          <w:szCs w:val="22"/>
          <w:lang w:val="en-US"/>
        </w:rPr>
        <w:t xml:space="preserve">to OSPAR </w:t>
      </w:r>
      <w:r w:rsidR="003C6EAC">
        <w:rPr>
          <w:sz w:val="22"/>
          <w:szCs w:val="22"/>
          <w:lang w:val="en-US"/>
        </w:rPr>
        <w:t>were</w:t>
      </w:r>
      <w:r w:rsidR="003C6EAC" w:rsidRPr="006220EA">
        <w:rPr>
          <w:sz w:val="22"/>
          <w:szCs w:val="22"/>
          <w:lang w:val="en-US"/>
        </w:rPr>
        <w:t xml:space="preserve"> </w:t>
      </w:r>
      <w:r w:rsidR="008D7665" w:rsidRPr="006220EA">
        <w:rPr>
          <w:sz w:val="22"/>
          <w:szCs w:val="22"/>
          <w:lang w:val="en-US"/>
        </w:rPr>
        <w:t xml:space="preserve">currently developing a new </w:t>
      </w:r>
      <w:r w:rsidR="00944142" w:rsidRPr="006220EA">
        <w:rPr>
          <w:sz w:val="22"/>
          <w:szCs w:val="22"/>
          <w:lang w:val="en-US"/>
        </w:rPr>
        <w:t>s</w:t>
      </w:r>
      <w:r w:rsidR="008D7665" w:rsidRPr="006220EA">
        <w:rPr>
          <w:sz w:val="22"/>
          <w:szCs w:val="22"/>
          <w:lang w:val="en-US"/>
        </w:rPr>
        <w:t xml:space="preserve">trategy based on an ambitious programme for the next decade, to be launched in July 2020. An important part of this work </w:t>
      </w:r>
      <w:r w:rsidR="003C6EAC">
        <w:rPr>
          <w:sz w:val="22"/>
          <w:szCs w:val="22"/>
          <w:lang w:val="en-US"/>
        </w:rPr>
        <w:t>wa</w:t>
      </w:r>
      <w:r w:rsidR="00304356" w:rsidRPr="006220EA">
        <w:rPr>
          <w:sz w:val="22"/>
          <w:szCs w:val="22"/>
          <w:lang w:val="en-US"/>
        </w:rPr>
        <w:t>s to</w:t>
      </w:r>
      <w:r w:rsidR="008D7665" w:rsidRPr="006220EA">
        <w:rPr>
          <w:sz w:val="22"/>
          <w:szCs w:val="22"/>
          <w:lang w:val="en-US"/>
        </w:rPr>
        <w:t xml:space="preserve"> evaluat</w:t>
      </w:r>
      <w:r w:rsidR="00304356" w:rsidRPr="006220EA">
        <w:rPr>
          <w:sz w:val="22"/>
          <w:szCs w:val="22"/>
          <w:lang w:val="en-US"/>
        </w:rPr>
        <w:t>e</w:t>
      </w:r>
      <w:r w:rsidR="008D7665" w:rsidRPr="006220EA">
        <w:rPr>
          <w:sz w:val="22"/>
          <w:szCs w:val="22"/>
          <w:lang w:val="en-US"/>
        </w:rPr>
        <w:t xml:space="preserve"> achievements against current objectives and targets</w:t>
      </w:r>
      <w:r w:rsidR="00304356" w:rsidRPr="006220EA">
        <w:rPr>
          <w:sz w:val="22"/>
          <w:szCs w:val="22"/>
          <w:lang w:val="en-US"/>
        </w:rPr>
        <w:t>,</w:t>
      </w:r>
      <w:r w:rsidR="008D7665" w:rsidRPr="006220EA">
        <w:rPr>
          <w:sz w:val="22"/>
          <w:szCs w:val="22"/>
          <w:lang w:val="en-US"/>
        </w:rPr>
        <w:t xml:space="preserve"> which were set in 2010. But when looking towards the future, ambitions need</w:t>
      </w:r>
      <w:r w:rsidR="003C6EAC">
        <w:rPr>
          <w:sz w:val="22"/>
          <w:szCs w:val="22"/>
          <w:lang w:val="en-US"/>
        </w:rPr>
        <w:t>ed</w:t>
      </w:r>
      <w:r w:rsidR="008D7665" w:rsidRPr="006220EA">
        <w:rPr>
          <w:sz w:val="22"/>
          <w:szCs w:val="22"/>
          <w:lang w:val="en-US"/>
        </w:rPr>
        <w:t xml:space="preserve"> to take emerging pressures</w:t>
      </w:r>
      <w:r w:rsidR="00A96713" w:rsidRPr="006220EA">
        <w:rPr>
          <w:sz w:val="22"/>
          <w:szCs w:val="22"/>
          <w:lang w:val="en-US"/>
        </w:rPr>
        <w:t>, such as climate change,</w:t>
      </w:r>
      <w:r w:rsidR="008D7665" w:rsidRPr="006220EA">
        <w:rPr>
          <w:sz w:val="22"/>
          <w:szCs w:val="22"/>
          <w:lang w:val="en-US"/>
        </w:rPr>
        <w:t xml:space="preserve"> into account. Through the new Strategy for 2020-2030, the OSPAR Commission aim</w:t>
      </w:r>
      <w:r w:rsidR="003C6EAC">
        <w:rPr>
          <w:sz w:val="22"/>
          <w:szCs w:val="22"/>
          <w:lang w:val="en-US"/>
        </w:rPr>
        <w:t>ed</w:t>
      </w:r>
      <w:r w:rsidR="008D7665" w:rsidRPr="006220EA">
        <w:rPr>
          <w:sz w:val="22"/>
          <w:szCs w:val="22"/>
          <w:lang w:val="en-US"/>
        </w:rPr>
        <w:t xml:space="preserve"> </w:t>
      </w:r>
      <w:r w:rsidR="00A96713" w:rsidRPr="006220EA">
        <w:rPr>
          <w:sz w:val="22"/>
          <w:szCs w:val="22"/>
          <w:lang w:val="en-US"/>
        </w:rPr>
        <w:t>to</w:t>
      </w:r>
      <w:r w:rsidR="008D7665" w:rsidRPr="006220EA">
        <w:rPr>
          <w:sz w:val="22"/>
          <w:szCs w:val="22"/>
          <w:lang w:val="en-US"/>
        </w:rPr>
        <w:t xml:space="preserve"> set out the main commitments to protect the marine environment of the North East Atlantic in the wider context of ocean governance and </w:t>
      </w:r>
      <w:r w:rsidR="00A96713" w:rsidRPr="006220EA">
        <w:rPr>
          <w:sz w:val="22"/>
          <w:szCs w:val="22"/>
          <w:lang w:val="en-US"/>
        </w:rPr>
        <w:t>to</w:t>
      </w:r>
      <w:r w:rsidR="008D7665" w:rsidRPr="006220EA">
        <w:rPr>
          <w:sz w:val="22"/>
          <w:szCs w:val="22"/>
          <w:lang w:val="en-US"/>
        </w:rPr>
        <w:t xml:space="preserve"> contribut</w:t>
      </w:r>
      <w:r w:rsidR="00A96713" w:rsidRPr="006220EA">
        <w:rPr>
          <w:sz w:val="22"/>
          <w:szCs w:val="22"/>
          <w:lang w:val="en-US"/>
        </w:rPr>
        <w:t>e</w:t>
      </w:r>
      <w:r w:rsidR="008D7665" w:rsidRPr="006220EA">
        <w:rPr>
          <w:sz w:val="22"/>
          <w:szCs w:val="22"/>
          <w:lang w:val="en-US"/>
        </w:rPr>
        <w:t xml:space="preserve"> to the UN 2030 Agenda, mostly the delivery of many of the Sustainable Development Goals. Reinforced international cooperation </w:t>
      </w:r>
      <w:r w:rsidR="003C6EAC">
        <w:rPr>
          <w:sz w:val="22"/>
          <w:szCs w:val="22"/>
          <w:lang w:val="en-US"/>
        </w:rPr>
        <w:t>wa</w:t>
      </w:r>
      <w:r w:rsidR="008D7665" w:rsidRPr="006220EA">
        <w:rPr>
          <w:sz w:val="22"/>
          <w:szCs w:val="22"/>
          <w:lang w:val="en-US"/>
        </w:rPr>
        <w:t>s therefore a fundamental component of our plan of action for the decade ahead. OSPAR believe</w:t>
      </w:r>
      <w:r w:rsidR="003C6EAC">
        <w:rPr>
          <w:sz w:val="22"/>
          <w:szCs w:val="22"/>
          <w:lang w:val="en-US"/>
        </w:rPr>
        <w:t>d</w:t>
      </w:r>
      <w:r w:rsidR="008D7665" w:rsidRPr="006220EA">
        <w:rPr>
          <w:sz w:val="22"/>
          <w:szCs w:val="22"/>
          <w:lang w:val="en-US"/>
        </w:rPr>
        <w:t xml:space="preserve"> the </w:t>
      </w:r>
      <w:r w:rsidR="003C6EAC">
        <w:rPr>
          <w:color w:val="201F1E"/>
          <w:sz w:val="22"/>
          <w:szCs w:val="22"/>
          <w:shd w:val="clear" w:color="auto" w:fill="FFFFFF"/>
        </w:rPr>
        <w:t>p</w:t>
      </w:r>
      <w:r w:rsidR="00A96713" w:rsidRPr="006220EA">
        <w:rPr>
          <w:color w:val="201F1E"/>
          <w:sz w:val="22"/>
          <w:szCs w:val="22"/>
          <w:shd w:val="clear" w:color="auto" w:fill="FFFFFF"/>
        </w:rPr>
        <w:t xml:space="preserve">ost-2020 </w:t>
      </w:r>
      <w:r w:rsidR="003C6EAC">
        <w:rPr>
          <w:color w:val="201F1E"/>
          <w:sz w:val="22"/>
          <w:szCs w:val="22"/>
          <w:shd w:val="clear" w:color="auto" w:fill="FFFFFF"/>
        </w:rPr>
        <w:t>g</w:t>
      </w:r>
      <w:r w:rsidR="00A96713" w:rsidRPr="006220EA">
        <w:rPr>
          <w:color w:val="201F1E"/>
          <w:sz w:val="22"/>
          <w:szCs w:val="22"/>
          <w:shd w:val="clear" w:color="auto" w:fill="FFFFFF"/>
        </w:rPr>
        <w:t xml:space="preserve">lobal </w:t>
      </w:r>
      <w:r w:rsidR="003C6EAC">
        <w:rPr>
          <w:color w:val="201F1E"/>
          <w:sz w:val="22"/>
          <w:szCs w:val="22"/>
          <w:shd w:val="clear" w:color="auto" w:fill="FFFFFF"/>
        </w:rPr>
        <w:t>b</w:t>
      </w:r>
      <w:r w:rsidR="00A96713" w:rsidRPr="006220EA">
        <w:rPr>
          <w:color w:val="201F1E"/>
          <w:sz w:val="22"/>
          <w:szCs w:val="22"/>
          <w:shd w:val="clear" w:color="auto" w:fill="FFFFFF"/>
        </w:rPr>
        <w:t xml:space="preserve">iodiversity </w:t>
      </w:r>
      <w:r w:rsidR="003C6EAC">
        <w:rPr>
          <w:color w:val="201F1E"/>
          <w:sz w:val="22"/>
          <w:szCs w:val="22"/>
          <w:shd w:val="clear" w:color="auto" w:fill="FFFFFF"/>
        </w:rPr>
        <w:t>f</w:t>
      </w:r>
      <w:r w:rsidR="00A96713" w:rsidRPr="006220EA">
        <w:rPr>
          <w:color w:val="201F1E"/>
          <w:sz w:val="22"/>
          <w:szCs w:val="22"/>
          <w:shd w:val="clear" w:color="auto" w:fill="FFFFFF"/>
        </w:rPr>
        <w:t>ramework</w:t>
      </w:r>
      <w:r w:rsidR="00A96713" w:rsidRPr="006220EA">
        <w:rPr>
          <w:sz w:val="22"/>
          <w:szCs w:val="22"/>
          <w:lang w:val="en-US"/>
        </w:rPr>
        <w:t xml:space="preserve"> </w:t>
      </w:r>
      <w:r w:rsidR="003C6EAC">
        <w:rPr>
          <w:sz w:val="22"/>
          <w:szCs w:val="22"/>
          <w:lang w:val="en-US"/>
        </w:rPr>
        <w:t>wa</w:t>
      </w:r>
      <w:r w:rsidR="008D7665" w:rsidRPr="006220EA">
        <w:rPr>
          <w:sz w:val="22"/>
          <w:szCs w:val="22"/>
          <w:lang w:val="en-US"/>
        </w:rPr>
        <w:t>s of crucial importance in the context of global biodiversity conservation</w:t>
      </w:r>
      <w:r w:rsidR="00A96713" w:rsidRPr="006220EA">
        <w:rPr>
          <w:sz w:val="22"/>
          <w:szCs w:val="22"/>
          <w:lang w:val="en-US"/>
        </w:rPr>
        <w:t>,</w:t>
      </w:r>
      <w:r w:rsidR="008D7665" w:rsidRPr="006220EA">
        <w:rPr>
          <w:sz w:val="22"/>
          <w:szCs w:val="22"/>
          <w:lang w:val="en-US"/>
        </w:rPr>
        <w:t xml:space="preserve"> and OSPAR </w:t>
      </w:r>
      <w:r w:rsidR="003C6EAC">
        <w:rPr>
          <w:sz w:val="22"/>
          <w:szCs w:val="22"/>
          <w:lang w:val="en-US"/>
        </w:rPr>
        <w:t>sought</w:t>
      </w:r>
      <w:r w:rsidR="003C6EAC" w:rsidRPr="006220EA">
        <w:rPr>
          <w:sz w:val="22"/>
          <w:szCs w:val="22"/>
          <w:lang w:val="en-US"/>
        </w:rPr>
        <w:t xml:space="preserve"> </w:t>
      </w:r>
      <w:r w:rsidR="008D7665" w:rsidRPr="006220EA">
        <w:rPr>
          <w:sz w:val="22"/>
          <w:szCs w:val="22"/>
          <w:lang w:val="en-US"/>
        </w:rPr>
        <w:t xml:space="preserve">to support the CBD process by contributing results and findings from regional efforts and aligning common objectives and targets. OSPAR </w:t>
      </w:r>
      <w:r w:rsidR="003C6EAC">
        <w:rPr>
          <w:sz w:val="22"/>
          <w:szCs w:val="22"/>
          <w:lang w:val="en-US"/>
        </w:rPr>
        <w:t>sought</w:t>
      </w:r>
      <w:r w:rsidR="003C6EAC" w:rsidRPr="006220EA">
        <w:rPr>
          <w:sz w:val="22"/>
          <w:szCs w:val="22"/>
          <w:lang w:val="en-US"/>
        </w:rPr>
        <w:t xml:space="preserve"> </w:t>
      </w:r>
      <w:r w:rsidR="008D7665" w:rsidRPr="006220EA">
        <w:rPr>
          <w:sz w:val="22"/>
          <w:szCs w:val="22"/>
          <w:lang w:val="en-US"/>
        </w:rPr>
        <w:t>to take further steps in supporting global efforts on conserving marine biodiversity</w:t>
      </w:r>
      <w:r w:rsidR="00A96713" w:rsidRPr="006220EA">
        <w:rPr>
          <w:sz w:val="22"/>
          <w:szCs w:val="22"/>
          <w:lang w:val="en-US"/>
        </w:rPr>
        <w:t>,</w:t>
      </w:r>
      <w:r w:rsidR="008D7665" w:rsidRPr="006220EA">
        <w:rPr>
          <w:sz w:val="22"/>
          <w:szCs w:val="22"/>
          <w:lang w:val="en-US"/>
        </w:rPr>
        <w:t xml:space="preserve"> and collaboration on EBSA </w:t>
      </w:r>
      <w:r w:rsidR="003C6EAC">
        <w:rPr>
          <w:sz w:val="22"/>
          <w:szCs w:val="22"/>
          <w:lang w:val="en-US"/>
        </w:rPr>
        <w:t>wa</w:t>
      </w:r>
      <w:r w:rsidR="008D7665" w:rsidRPr="006220EA">
        <w:rPr>
          <w:sz w:val="22"/>
          <w:szCs w:val="22"/>
          <w:lang w:val="en-US"/>
        </w:rPr>
        <w:t>s one important step towards this end. In conclusion,</w:t>
      </w:r>
      <w:r w:rsidR="00BB221D" w:rsidRPr="006220EA">
        <w:rPr>
          <w:sz w:val="22"/>
          <w:szCs w:val="22"/>
          <w:lang w:val="en-US"/>
        </w:rPr>
        <w:t xml:space="preserve"> she </w:t>
      </w:r>
      <w:r w:rsidR="008D7665" w:rsidRPr="006220EA">
        <w:rPr>
          <w:sz w:val="22"/>
          <w:szCs w:val="22"/>
          <w:lang w:val="en-US"/>
        </w:rPr>
        <w:t>reiterate</w:t>
      </w:r>
      <w:r w:rsidR="00BB221D" w:rsidRPr="006220EA">
        <w:rPr>
          <w:sz w:val="22"/>
          <w:szCs w:val="22"/>
          <w:lang w:val="en-US"/>
        </w:rPr>
        <w:t>d</w:t>
      </w:r>
      <w:r w:rsidR="008D7665" w:rsidRPr="006220EA">
        <w:rPr>
          <w:sz w:val="22"/>
          <w:szCs w:val="22"/>
          <w:lang w:val="en-US"/>
        </w:rPr>
        <w:t xml:space="preserve"> the appreciation of OSPAR to the </w:t>
      </w:r>
      <w:r w:rsidR="003C6EAC">
        <w:rPr>
          <w:sz w:val="22"/>
          <w:szCs w:val="22"/>
          <w:lang w:val="en-US"/>
        </w:rPr>
        <w:t>Convention</w:t>
      </w:r>
      <w:r w:rsidR="003C6EAC" w:rsidRPr="006220EA">
        <w:rPr>
          <w:sz w:val="22"/>
          <w:szCs w:val="22"/>
          <w:lang w:val="en-US"/>
        </w:rPr>
        <w:t xml:space="preserve"> </w:t>
      </w:r>
      <w:r w:rsidR="008D7665" w:rsidRPr="006220EA">
        <w:rPr>
          <w:sz w:val="22"/>
          <w:szCs w:val="22"/>
          <w:lang w:val="en-US"/>
        </w:rPr>
        <w:t xml:space="preserve">for </w:t>
      </w:r>
      <w:r w:rsidR="00BB221D" w:rsidRPr="006220EA">
        <w:rPr>
          <w:sz w:val="22"/>
          <w:szCs w:val="22"/>
          <w:lang w:val="en-US"/>
        </w:rPr>
        <w:t>its</w:t>
      </w:r>
      <w:r w:rsidR="008D7665" w:rsidRPr="006220EA">
        <w:rPr>
          <w:sz w:val="22"/>
          <w:szCs w:val="22"/>
          <w:lang w:val="en-US"/>
        </w:rPr>
        <w:t xml:space="preserve"> collaboration </w:t>
      </w:r>
      <w:r w:rsidR="00944142" w:rsidRPr="006220EA">
        <w:rPr>
          <w:sz w:val="22"/>
          <w:szCs w:val="22"/>
          <w:lang w:val="en-US"/>
        </w:rPr>
        <w:t>i</w:t>
      </w:r>
      <w:r w:rsidR="008D7665" w:rsidRPr="006220EA">
        <w:rPr>
          <w:sz w:val="22"/>
          <w:szCs w:val="22"/>
          <w:lang w:val="en-US"/>
        </w:rPr>
        <w:t>n identifying EBSAs in the North East Atlantic, and reaffirm</w:t>
      </w:r>
      <w:r w:rsidR="00BB221D" w:rsidRPr="006220EA">
        <w:rPr>
          <w:sz w:val="22"/>
          <w:szCs w:val="22"/>
          <w:lang w:val="en-US"/>
        </w:rPr>
        <w:t>ed</w:t>
      </w:r>
      <w:r w:rsidR="008D7665" w:rsidRPr="006220EA">
        <w:rPr>
          <w:sz w:val="22"/>
          <w:szCs w:val="22"/>
          <w:lang w:val="en-US"/>
        </w:rPr>
        <w:t xml:space="preserve"> OSPAR’s willingness to support this process and work ahead.</w:t>
      </w:r>
      <w:r w:rsidR="00AB1315" w:rsidRPr="006220EA">
        <w:rPr>
          <w:sz w:val="22"/>
          <w:szCs w:val="22"/>
          <w:lang w:val="en-US"/>
        </w:rPr>
        <w:t xml:space="preserve"> She wished participants a successful workshop.</w:t>
      </w:r>
    </w:p>
    <w:p w14:paraId="191F50F4" w14:textId="3C90474D" w:rsidR="00734DD3" w:rsidRPr="006220EA" w:rsidRDefault="00EE3AF9" w:rsidP="006220EA">
      <w:pPr>
        <w:spacing w:before="120" w:after="120"/>
        <w:jc w:val="both"/>
        <w:rPr>
          <w:sz w:val="22"/>
          <w:szCs w:val="22"/>
          <w:lang w:val="en-US"/>
        </w:rPr>
      </w:pPr>
      <w:r>
        <w:rPr>
          <w:sz w:val="22"/>
          <w:szCs w:val="22"/>
          <w:lang w:val="en-US"/>
        </w:rPr>
        <w:t>10</w:t>
      </w:r>
      <w:r w:rsidR="00F60B01" w:rsidRPr="006220EA">
        <w:rPr>
          <w:sz w:val="22"/>
          <w:szCs w:val="22"/>
          <w:lang w:val="en-US"/>
        </w:rPr>
        <w:t>.</w:t>
      </w:r>
      <w:r w:rsidR="00FD155C" w:rsidRPr="006220EA">
        <w:rPr>
          <w:sz w:val="22"/>
          <w:szCs w:val="22"/>
          <w:lang w:val="en-US"/>
        </w:rPr>
        <w:tab/>
      </w:r>
      <w:r w:rsidR="00D50ACE" w:rsidRPr="006220EA">
        <w:rPr>
          <w:sz w:val="22"/>
          <w:szCs w:val="22"/>
          <w:lang w:val="en-US"/>
        </w:rPr>
        <w:t>Mr. Darius Campbell</w:t>
      </w:r>
      <w:r w:rsidR="00FD155C" w:rsidRPr="006220EA">
        <w:rPr>
          <w:sz w:val="22"/>
          <w:szCs w:val="22"/>
          <w:lang w:val="en-US"/>
        </w:rPr>
        <w:t>, Secretary of NEAFC,</w:t>
      </w:r>
      <w:r w:rsidR="00D50ACE" w:rsidRPr="006220EA">
        <w:rPr>
          <w:sz w:val="22"/>
          <w:szCs w:val="22"/>
          <w:lang w:val="en-US"/>
        </w:rPr>
        <w:t xml:space="preserve"> delivered opening remarks.</w:t>
      </w:r>
      <w:r w:rsidR="00D50ACE" w:rsidRPr="006220EA">
        <w:rPr>
          <w:sz w:val="22"/>
          <w:szCs w:val="22"/>
        </w:rPr>
        <w:t xml:space="preserve"> </w:t>
      </w:r>
      <w:r w:rsidR="0022192E" w:rsidRPr="006220EA">
        <w:rPr>
          <w:sz w:val="22"/>
          <w:szCs w:val="22"/>
        </w:rPr>
        <w:t>After thanking the Swedish Government for hosting, the CBD</w:t>
      </w:r>
      <w:r w:rsidR="00FD155C" w:rsidRPr="006220EA">
        <w:rPr>
          <w:sz w:val="22"/>
          <w:szCs w:val="22"/>
        </w:rPr>
        <w:t xml:space="preserve"> Secretariat</w:t>
      </w:r>
      <w:r w:rsidR="0022192E" w:rsidRPr="006220EA">
        <w:rPr>
          <w:sz w:val="22"/>
          <w:szCs w:val="22"/>
        </w:rPr>
        <w:t xml:space="preserve"> for organizing, and </w:t>
      </w:r>
      <w:r w:rsidR="00A5672B">
        <w:rPr>
          <w:sz w:val="22"/>
          <w:szCs w:val="22"/>
        </w:rPr>
        <w:t xml:space="preserve">the </w:t>
      </w:r>
      <w:r w:rsidR="0022192E" w:rsidRPr="006220EA">
        <w:rPr>
          <w:sz w:val="22"/>
          <w:szCs w:val="22"/>
          <w:lang w:val="en-US"/>
        </w:rPr>
        <w:t>Governments of France, Denmark and Germany for financial</w:t>
      </w:r>
      <w:r w:rsidR="005372E9" w:rsidRPr="006220EA">
        <w:rPr>
          <w:sz w:val="22"/>
          <w:szCs w:val="22"/>
          <w:lang w:val="en-US"/>
        </w:rPr>
        <w:t>ly</w:t>
      </w:r>
      <w:r w:rsidR="0022192E" w:rsidRPr="006220EA">
        <w:rPr>
          <w:sz w:val="22"/>
          <w:szCs w:val="22"/>
          <w:lang w:val="en-US"/>
        </w:rPr>
        <w:t xml:space="preserve"> support</w:t>
      </w:r>
      <w:r w:rsidR="005372E9" w:rsidRPr="006220EA">
        <w:rPr>
          <w:sz w:val="22"/>
          <w:szCs w:val="22"/>
          <w:lang w:val="en-US"/>
        </w:rPr>
        <w:t>ing</w:t>
      </w:r>
      <w:r w:rsidR="0022192E" w:rsidRPr="006220EA">
        <w:rPr>
          <w:sz w:val="22"/>
          <w:szCs w:val="22"/>
          <w:lang w:val="en-US"/>
        </w:rPr>
        <w:t xml:space="preserve"> th</w:t>
      </w:r>
      <w:r w:rsidR="003C6EAC">
        <w:rPr>
          <w:sz w:val="22"/>
          <w:szCs w:val="22"/>
          <w:lang w:val="en-US"/>
        </w:rPr>
        <w:t>e</w:t>
      </w:r>
      <w:r w:rsidR="0022192E" w:rsidRPr="006220EA">
        <w:rPr>
          <w:sz w:val="22"/>
          <w:szCs w:val="22"/>
          <w:lang w:val="en-US"/>
        </w:rPr>
        <w:t xml:space="preserve"> workshop, Mr. Campbell provided some historic</w:t>
      </w:r>
      <w:r w:rsidR="00A5672B">
        <w:rPr>
          <w:sz w:val="22"/>
          <w:szCs w:val="22"/>
          <w:lang w:val="en-US"/>
        </w:rPr>
        <w:t>al</w:t>
      </w:r>
      <w:r w:rsidR="0022192E" w:rsidRPr="006220EA">
        <w:rPr>
          <w:sz w:val="22"/>
          <w:szCs w:val="22"/>
          <w:lang w:val="en-US"/>
        </w:rPr>
        <w:t xml:space="preserve"> context. </w:t>
      </w:r>
      <w:r w:rsidR="00F60B01" w:rsidRPr="006220EA">
        <w:rPr>
          <w:sz w:val="22"/>
          <w:szCs w:val="22"/>
          <w:lang w:val="en-US"/>
        </w:rPr>
        <w:t>He recalled th</w:t>
      </w:r>
      <w:r w:rsidR="003C6EAC">
        <w:rPr>
          <w:sz w:val="22"/>
          <w:szCs w:val="22"/>
          <w:lang w:val="en-US"/>
        </w:rPr>
        <w:t xml:space="preserve">e previous </w:t>
      </w:r>
      <w:r w:rsidR="00F60B01" w:rsidRPr="006220EA">
        <w:rPr>
          <w:sz w:val="22"/>
          <w:szCs w:val="22"/>
          <w:lang w:val="en-US"/>
        </w:rPr>
        <w:t xml:space="preserve">year, </w:t>
      </w:r>
      <w:r w:rsidR="0022192E" w:rsidRPr="006220EA">
        <w:rPr>
          <w:color w:val="000000"/>
          <w:sz w:val="22"/>
          <w:szCs w:val="22"/>
        </w:rPr>
        <w:t xml:space="preserve">NEAFC and OSPAR requested the Convention on Biological Diversity to hold this workshop, following a </w:t>
      </w:r>
      <w:r w:rsidR="00F60B01" w:rsidRPr="006220EA">
        <w:rPr>
          <w:color w:val="000000"/>
          <w:sz w:val="22"/>
          <w:szCs w:val="22"/>
        </w:rPr>
        <w:t xml:space="preserve">process </w:t>
      </w:r>
      <w:r w:rsidR="0022192E" w:rsidRPr="006220EA">
        <w:rPr>
          <w:color w:val="000000"/>
          <w:sz w:val="22"/>
          <w:szCs w:val="22"/>
        </w:rPr>
        <w:t xml:space="preserve">to </w:t>
      </w:r>
      <w:r w:rsidR="00F60B01" w:rsidRPr="006220EA">
        <w:rPr>
          <w:color w:val="000000"/>
          <w:sz w:val="22"/>
          <w:szCs w:val="22"/>
        </w:rPr>
        <w:t>describe EBSAs in the North</w:t>
      </w:r>
      <w:r w:rsidR="00A5672B">
        <w:rPr>
          <w:color w:val="000000"/>
          <w:sz w:val="22"/>
          <w:szCs w:val="22"/>
        </w:rPr>
        <w:t>-</w:t>
      </w:r>
      <w:r w:rsidR="00F60B01" w:rsidRPr="006220EA">
        <w:rPr>
          <w:color w:val="000000"/>
          <w:sz w:val="22"/>
          <w:szCs w:val="22"/>
        </w:rPr>
        <w:t>East Atlantic that began in 2011</w:t>
      </w:r>
      <w:r w:rsidR="00957EEC" w:rsidRPr="006220EA">
        <w:rPr>
          <w:color w:val="000000"/>
          <w:sz w:val="22"/>
          <w:szCs w:val="22"/>
        </w:rPr>
        <w:t>, following decision</w:t>
      </w:r>
      <w:r w:rsidR="005372E9" w:rsidRPr="006220EA">
        <w:rPr>
          <w:color w:val="000000"/>
          <w:sz w:val="22"/>
          <w:szCs w:val="22"/>
        </w:rPr>
        <w:t xml:space="preserve"> X/29, whereby the Conference of the Parties requested the Executive Secretary to </w:t>
      </w:r>
      <w:r w:rsidR="0022192E" w:rsidRPr="006220EA">
        <w:rPr>
          <w:color w:val="000000"/>
          <w:sz w:val="22"/>
          <w:szCs w:val="22"/>
        </w:rPr>
        <w:t xml:space="preserve">organize </w:t>
      </w:r>
      <w:r w:rsidR="005372E9" w:rsidRPr="006220EA">
        <w:rPr>
          <w:sz w:val="22"/>
          <w:szCs w:val="22"/>
        </w:rPr>
        <w:t>a series of regional workshops to facilitate the description of EBSAs.</w:t>
      </w:r>
      <w:r w:rsidR="0022192E" w:rsidRPr="006220EA">
        <w:rPr>
          <w:color w:val="000000"/>
          <w:sz w:val="22"/>
          <w:szCs w:val="22"/>
        </w:rPr>
        <w:t xml:space="preserve"> OSPAR, NEAFC and </w:t>
      </w:r>
      <w:r w:rsidR="001F327A" w:rsidRPr="006220EA">
        <w:rPr>
          <w:color w:val="000000"/>
          <w:sz w:val="22"/>
          <w:szCs w:val="22"/>
        </w:rPr>
        <w:t xml:space="preserve">the </w:t>
      </w:r>
      <w:r w:rsidR="0022192E" w:rsidRPr="006220EA">
        <w:rPr>
          <w:color w:val="000000"/>
          <w:sz w:val="22"/>
          <w:szCs w:val="22"/>
        </w:rPr>
        <w:t xml:space="preserve">CBD </w:t>
      </w:r>
      <w:r w:rsidR="001F327A" w:rsidRPr="006220EA">
        <w:rPr>
          <w:color w:val="000000"/>
          <w:sz w:val="22"/>
          <w:szCs w:val="22"/>
        </w:rPr>
        <w:t xml:space="preserve">Secretariat </w:t>
      </w:r>
      <w:r w:rsidR="0022192E" w:rsidRPr="006220EA">
        <w:rPr>
          <w:color w:val="000000"/>
          <w:sz w:val="22"/>
          <w:szCs w:val="22"/>
        </w:rPr>
        <w:t>kicked off this process in the North</w:t>
      </w:r>
      <w:r w:rsidR="00A5672B">
        <w:rPr>
          <w:color w:val="000000"/>
          <w:sz w:val="22"/>
          <w:szCs w:val="22"/>
        </w:rPr>
        <w:t>-</w:t>
      </w:r>
      <w:r w:rsidR="0022192E" w:rsidRPr="006220EA">
        <w:rPr>
          <w:color w:val="000000"/>
          <w:sz w:val="22"/>
          <w:szCs w:val="22"/>
        </w:rPr>
        <w:t xml:space="preserve">East Atlantic via a workshop held in 2011. </w:t>
      </w:r>
      <w:r w:rsidR="001F327A" w:rsidRPr="006220EA">
        <w:rPr>
          <w:color w:val="000000"/>
          <w:sz w:val="22"/>
          <w:szCs w:val="22"/>
        </w:rPr>
        <w:t>Following</w:t>
      </w:r>
      <w:r w:rsidR="0022192E" w:rsidRPr="006220EA">
        <w:rPr>
          <w:color w:val="000000"/>
          <w:sz w:val="22"/>
          <w:szCs w:val="22"/>
        </w:rPr>
        <w:t xml:space="preserve"> a </w:t>
      </w:r>
      <w:r w:rsidR="001F327A" w:rsidRPr="006220EA">
        <w:rPr>
          <w:color w:val="000000"/>
          <w:sz w:val="22"/>
          <w:szCs w:val="22"/>
        </w:rPr>
        <w:t>sci</w:t>
      </w:r>
      <w:r w:rsidR="0022192E" w:rsidRPr="006220EA">
        <w:rPr>
          <w:color w:val="000000"/>
          <w:sz w:val="22"/>
          <w:szCs w:val="22"/>
        </w:rPr>
        <w:t xml:space="preserve">entific review </w:t>
      </w:r>
      <w:r w:rsidR="001F327A" w:rsidRPr="006220EA">
        <w:rPr>
          <w:color w:val="000000"/>
          <w:sz w:val="22"/>
          <w:szCs w:val="22"/>
        </w:rPr>
        <w:t xml:space="preserve">process, </w:t>
      </w:r>
      <w:r w:rsidR="0022192E" w:rsidRPr="006220EA">
        <w:rPr>
          <w:color w:val="000000"/>
          <w:sz w:val="22"/>
          <w:szCs w:val="22"/>
        </w:rPr>
        <w:t xml:space="preserve">some refined draft proposals were developed in 2013. </w:t>
      </w:r>
      <w:r w:rsidR="001F327A" w:rsidRPr="006220EA">
        <w:rPr>
          <w:color w:val="000000"/>
          <w:sz w:val="22"/>
          <w:szCs w:val="22"/>
        </w:rPr>
        <w:t>F</w:t>
      </w:r>
      <w:r w:rsidR="0022192E" w:rsidRPr="006220EA">
        <w:rPr>
          <w:color w:val="000000"/>
          <w:sz w:val="22"/>
          <w:szCs w:val="22"/>
        </w:rPr>
        <w:t>urther progress was</w:t>
      </w:r>
      <w:r w:rsidR="001F327A" w:rsidRPr="006220EA">
        <w:rPr>
          <w:color w:val="000000"/>
          <w:sz w:val="22"/>
          <w:szCs w:val="22"/>
        </w:rPr>
        <w:t>, however,</w:t>
      </w:r>
      <w:r w:rsidR="0022192E" w:rsidRPr="006220EA">
        <w:rPr>
          <w:color w:val="000000"/>
          <w:sz w:val="22"/>
          <w:szCs w:val="22"/>
        </w:rPr>
        <w:t xml:space="preserve"> prevented until last year’s joint request to</w:t>
      </w:r>
      <w:r w:rsidR="001F327A" w:rsidRPr="006220EA">
        <w:rPr>
          <w:color w:val="000000"/>
          <w:sz w:val="22"/>
          <w:szCs w:val="22"/>
        </w:rPr>
        <w:t xml:space="preserve"> the</w:t>
      </w:r>
      <w:r w:rsidR="0022192E" w:rsidRPr="006220EA">
        <w:rPr>
          <w:color w:val="000000"/>
          <w:sz w:val="22"/>
          <w:szCs w:val="22"/>
        </w:rPr>
        <w:t xml:space="preserve"> CBD.</w:t>
      </w:r>
      <w:r w:rsidR="000C49EB" w:rsidRPr="006220EA">
        <w:rPr>
          <w:color w:val="000000"/>
          <w:sz w:val="22"/>
          <w:szCs w:val="22"/>
        </w:rPr>
        <w:t xml:space="preserve"> He noted that NEAFC, OSPAR and the CBD should be proud of their history of </w:t>
      </w:r>
      <w:r w:rsidR="0022192E" w:rsidRPr="006220EA">
        <w:rPr>
          <w:color w:val="000000"/>
          <w:sz w:val="22"/>
          <w:szCs w:val="22"/>
        </w:rPr>
        <w:t>cooperation on the EBSA process</w:t>
      </w:r>
      <w:r w:rsidR="000C49EB" w:rsidRPr="006220EA">
        <w:rPr>
          <w:color w:val="000000"/>
          <w:sz w:val="22"/>
          <w:szCs w:val="22"/>
        </w:rPr>
        <w:t>, as such collaboration</w:t>
      </w:r>
      <w:r w:rsidR="0022192E" w:rsidRPr="006220EA">
        <w:rPr>
          <w:color w:val="000000"/>
          <w:sz w:val="22"/>
          <w:szCs w:val="22"/>
        </w:rPr>
        <w:t xml:space="preserve"> </w:t>
      </w:r>
      <w:r w:rsidR="000C49EB" w:rsidRPr="006220EA">
        <w:rPr>
          <w:color w:val="000000"/>
          <w:sz w:val="22"/>
          <w:szCs w:val="22"/>
        </w:rPr>
        <w:t xml:space="preserve">was unusual in 2011. </w:t>
      </w:r>
      <w:r w:rsidR="00E247B3" w:rsidRPr="006220EA">
        <w:rPr>
          <w:color w:val="000000"/>
          <w:sz w:val="22"/>
          <w:szCs w:val="22"/>
        </w:rPr>
        <w:t>Mr. Campbell noted his pleasure at the renewal of efforts on the EBSA process for the North-</w:t>
      </w:r>
      <w:r w:rsidR="0022192E" w:rsidRPr="006220EA">
        <w:rPr>
          <w:color w:val="000000"/>
          <w:sz w:val="22"/>
          <w:szCs w:val="22"/>
        </w:rPr>
        <w:t>East Atlantic</w:t>
      </w:r>
      <w:r w:rsidR="00E247B3" w:rsidRPr="006220EA">
        <w:rPr>
          <w:color w:val="000000"/>
          <w:sz w:val="22"/>
          <w:szCs w:val="22"/>
        </w:rPr>
        <w:t xml:space="preserve">, and his hope that these efforts would lead to a successful </w:t>
      </w:r>
      <w:r w:rsidR="0022192E" w:rsidRPr="006220EA">
        <w:rPr>
          <w:color w:val="000000"/>
          <w:sz w:val="22"/>
          <w:szCs w:val="22"/>
        </w:rPr>
        <w:t xml:space="preserve">conclusion in the </w:t>
      </w:r>
      <w:r w:rsidR="00E247B3" w:rsidRPr="006220EA">
        <w:rPr>
          <w:color w:val="000000"/>
          <w:sz w:val="22"/>
          <w:szCs w:val="22"/>
        </w:rPr>
        <w:t xml:space="preserve">very near </w:t>
      </w:r>
      <w:r w:rsidR="0022192E" w:rsidRPr="006220EA">
        <w:rPr>
          <w:color w:val="000000"/>
          <w:sz w:val="22"/>
          <w:szCs w:val="22"/>
        </w:rPr>
        <w:t xml:space="preserve">future. </w:t>
      </w:r>
      <w:r w:rsidR="00E247B3" w:rsidRPr="006220EA">
        <w:rPr>
          <w:color w:val="000000"/>
          <w:sz w:val="22"/>
          <w:szCs w:val="22"/>
        </w:rPr>
        <w:t xml:space="preserve">He noted that </w:t>
      </w:r>
      <w:r w:rsidR="0022192E" w:rsidRPr="006220EA">
        <w:rPr>
          <w:color w:val="000000"/>
          <w:sz w:val="22"/>
          <w:szCs w:val="22"/>
        </w:rPr>
        <w:t>since 2011, NEAFC ha</w:t>
      </w:r>
      <w:r w:rsidR="003C6EAC">
        <w:rPr>
          <w:color w:val="000000"/>
          <w:sz w:val="22"/>
          <w:szCs w:val="22"/>
        </w:rPr>
        <w:t>d</w:t>
      </w:r>
      <w:r w:rsidR="0022192E" w:rsidRPr="006220EA">
        <w:rPr>
          <w:color w:val="000000"/>
          <w:sz w:val="22"/>
          <w:szCs w:val="22"/>
        </w:rPr>
        <w:t xml:space="preserve"> </w:t>
      </w:r>
      <w:r w:rsidR="00E247B3" w:rsidRPr="006220EA">
        <w:rPr>
          <w:color w:val="000000"/>
          <w:sz w:val="22"/>
          <w:szCs w:val="22"/>
        </w:rPr>
        <w:t xml:space="preserve">continued to make progress </w:t>
      </w:r>
      <w:r w:rsidR="0022192E" w:rsidRPr="006220EA">
        <w:rPr>
          <w:color w:val="000000"/>
          <w:sz w:val="22"/>
          <w:szCs w:val="22"/>
        </w:rPr>
        <w:t xml:space="preserve">in moving from science to action in terms of conservation in Areas </w:t>
      </w:r>
      <w:r w:rsidR="00E247B3" w:rsidRPr="006220EA">
        <w:rPr>
          <w:color w:val="000000"/>
          <w:sz w:val="22"/>
          <w:szCs w:val="22"/>
        </w:rPr>
        <w:t>b</w:t>
      </w:r>
      <w:r w:rsidR="0022192E" w:rsidRPr="006220EA">
        <w:rPr>
          <w:color w:val="000000"/>
          <w:sz w:val="22"/>
          <w:szCs w:val="22"/>
        </w:rPr>
        <w:t>eyond Nat</w:t>
      </w:r>
      <w:r w:rsidR="00E247B3" w:rsidRPr="006220EA">
        <w:rPr>
          <w:color w:val="000000"/>
          <w:sz w:val="22"/>
          <w:szCs w:val="22"/>
        </w:rPr>
        <w:t>ional Jurisdiction in the North-</w:t>
      </w:r>
      <w:r w:rsidR="0022192E" w:rsidRPr="006220EA">
        <w:rPr>
          <w:color w:val="000000"/>
          <w:sz w:val="22"/>
          <w:szCs w:val="22"/>
        </w:rPr>
        <w:t>East Atlantic. Since 2004 NEAFC ha</w:t>
      </w:r>
      <w:r w:rsidR="003C6EAC">
        <w:rPr>
          <w:color w:val="000000"/>
          <w:sz w:val="22"/>
          <w:szCs w:val="22"/>
        </w:rPr>
        <w:t>d</w:t>
      </w:r>
      <w:r w:rsidR="0022192E" w:rsidRPr="006220EA">
        <w:rPr>
          <w:color w:val="000000"/>
          <w:sz w:val="22"/>
          <w:szCs w:val="22"/>
        </w:rPr>
        <w:t xml:space="preserve"> closed several areas to bottom fisheries, where Vulnerable Marine Ecosystems occu</w:t>
      </w:r>
      <w:r w:rsidR="003C6EAC">
        <w:rPr>
          <w:color w:val="000000"/>
          <w:sz w:val="22"/>
          <w:szCs w:val="22"/>
        </w:rPr>
        <w:t>r</w:t>
      </w:r>
      <w:r w:rsidR="0022192E" w:rsidRPr="006220EA">
        <w:rPr>
          <w:color w:val="000000"/>
          <w:sz w:val="22"/>
          <w:szCs w:val="22"/>
        </w:rPr>
        <w:t>r</w:t>
      </w:r>
      <w:r w:rsidR="003C6EAC">
        <w:rPr>
          <w:color w:val="000000"/>
          <w:sz w:val="22"/>
          <w:szCs w:val="22"/>
        </w:rPr>
        <w:t>ed</w:t>
      </w:r>
      <w:r w:rsidR="0022192E" w:rsidRPr="006220EA">
        <w:rPr>
          <w:color w:val="000000"/>
          <w:sz w:val="22"/>
          <w:szCs w:val="22"/>
        </w:rPr>
        <w:t>. Moreover, in all but a very small part of the NEAFC Regulatory Area</w:t>
      </w:r>
      <w:r w:rsidR="00A5672B">
        <w:rPr>
          <w:color w:val="000000"/>
          <w:sz w:val="22"/>
          <w:szCs w:val="22"/>
        </w:rPr>
        <w:t>,</w:t>
      </w:r>
      <w:r w:rsidR="0022192E" w:rsidRPr="006220EA">
        <w:rPr>
          <w:color w:val="000000"/>
          <w:sz w:val="22"/>
          <w:szCs w:val="22"/>
        </w:rPr>
        <w:t xml:space="preserve"> where already established bottom fi</w:t>
      </w:r>
      <w:r w:rsidR="00E247B3" w:rsidRPr="006220EA">
        <w:rPr>
          <w:color w:val="000000"/>
          <w:sz w:val="22"/>
          <w:szCs w:val="22"/>
        </w:rPr>
        <w:t xml:space="preserve">shing </w:t>
      </w:r>
      <w:r w:rsidR="003C6EAC">
        <w:rPr>
          <w:color w:val="000000"/>
          <w:sz w:val="22"/>
          <w:szCs w:val="22"/>
        </w:rPr>
        <w:t>wa</w:t>
      </w:r>
      <w:r w:rsidR="00E247B3" w:rsidRPr="006220EA">
        <w:rPr>
          <w:color w:val="000000"/>
          <w:sz w:val="22"/>
          <w:szCs w:val="22"/>
        </w:rPr>
        <w:t>s allowed, no new bottom-</w:t>
      </w:r>
      <w:r w:rsidR="0022192E" w:rsidRPr="006220EA">
        <w:rPr>
          <w:color w:val="000000"/>
          <w:sz w:val="22"/>
          <w:szCs w:val="22"/>
        </w:rPr>
        <w:t xml:space="preserve">fishing activity </w:t>
      </w:r>
      <w:r w:rsidR="003C6EAC">
        <w:rPr>
          <w:color w:val="000000"/>
          <w:sz w:val="22"/>
          <w:szCs w:val="22"/>
        </w:rPr>
        <w:t>could</w:t>
      </w:r>
      <w:r w:rsidR="003C6EAC" w:rsidRPr="006220EA">
        <w:rPr>
          <w:color w:val="000000"/>
          <w:sz w:val="22"/>
          <w:szCs w:val="22"/>
        </w:rPr>
        <w:t xml:space="preserve"> </w:t>
      </w:r>
      <w:r w:rsidR="0022192E" w:rsidRPr="006220EA">
        <w:rPr>
          <w:color w:val="000000"/>
          <w:sz w:val="22"/>
          <w:szCs w:val="22"/>
        </w:rPr>
        <w:t>progress without a strict impact assessment process.</w:t>
      </w:r>
      <w:r w:rsidR="00E247B3" w:rsidRPr="006220EA">
        <w:rPr>
          <w:color w:val="000000"/>
          <w:sz w:val="22"/>
          <w:szCs w:val="22"/>
        </w:rPr>
        <w:t xml:space="preserve"> In closing, he emphasized that </w:t>
      </w:r>
      <w:r w:rsidR="0022192E" w:rsidRPr="006220EA">
        <w:rPr>
          <w:color w:val="000000"/>
          <w:sz w:val="22"/>
          <w:szCs w:val="22"/>
        </w:rPr>
        <w:t>NEAFC</w:t>
      </w:r>
      <w:r w:rsidR="00E247B3" w:rsidRPr="006220EA">
        <w:rPr>
          <w:color w:val="000000"/>
          <w:sz w:val="22"/>
          <w:szCs w:val="22"/>
        </w:rPr>
        <w:t xml:space="preserve"> concentrate</w:t>
      </w:r>
      <w:r w:rsidR="003C6EAC">
        <w:rPr>
          <w:color w:val="000000"/>
          <w:sz w:val="22"/>
          <w:szCs w:val="22"/>
        </w:rPr>
        <w:t>d</w:t>
      </w:r>
      <w:r w:rsidR="0022192E" w:rsidRPr="006220EA">
        <w:rPr>
          <w:color w:val="000000"/>
          <w:sz w:val="22"/>
          <w:szCs w:val="22"/>
        </w:rPr>
        <w:t xml:space="preserve"> on policy</w:t>
      </w:r>
      <w:r w:rsidR="00E247B3" w:rsidRPr="006220EA">
        <w:rPr>
          <w:color w:val="000000"/>
          <w:sz w:val="22"/>
          <w:szCs w:val="22"/>
        </w:rPr>
        <w:t>, while</w:t>
      </w:r>
      <w:r w:rsidR="0022192E" w:rsidRPr="006220EA">
        <w:rPr>
          <w:color w:val="000000"/>
          <w:sz w:val="22"/>
          <w:szCs w:val="22"/>
        </w:rPr>
        <w:t xml:space="preserve"> scientific advice </w:t>
      </w:r>
      <w:r w:rsidR="003C6EAC">
        <w:rPr>
          <w:color w:val="000000"/>
          <w:sz w:val="22"/>
          <w:szCs w:val="22"/>
        </w:rPr>
        <w:t>wa</w:t>
      </w:r>
      <w:r w:rsidR="00E247B3" w:rsidRPr="006220EA">
        <w:rPr>
          <w:color w:val="000000"/>
          <w:sz w:val="22"/>
          <w:szCs w:val="22"/>
        </w:rPr>
        <w:t xml:space="preserve">s provided </w:t>
      </w:r>
      <w:r w:rsidR="0022192E" w:rsidRPr="006220EA">
        <w:rPr>
          <w:color w:val="000000"/>
          <w:sz w:val="22"/>
          <w:szCs w:val="22"/>
        </w:rPr>
        <w:t>only by the International Council for Exploration of the Sea</w:t>
      </w:r>
      <w:r w:rsidR="00E247B3" w:rsidRPr="006220EA">
        <w:rPr>
          <w:color w:val="000000"/>
          <w:sz w:val="22"/>
          <w:szCs w:val="22"/>
        </w:rPr>
        <w:t xml:space="preserve"> (ICES), and that NEAFC was</w:t>
      </w:r>
      <w:r w:rsidR="0022192E" w:rsidRPr="006220EA">
        <w:rPr>
          <w:color w:val="000000"/>
          <w:sz w:val="22"/>
          <w:szCs w:val="22"/>
        </w:rPr>
        <w:t xml:space="preserve"> therefore very </w:t>
      </w:r>
      <w:r w:rsidR="00E247B3" w:rsidRPr="006220EA">
        <w:rPr>
          <w:color w:val="000000"/>
          <w:sz w:val="22"/>
          <w:szCs w:val="22"/>
        </w:rPr>
        <w:t xml:space="preserve">pleased </w:t>
      </w:r>
      <w:r w:rsidR="0022192E" w:rsidRPr="006220EA">
        <w:rPr>
          <w:color w:val="000000"/>
          <w:sz w:val="22"/>
          <w:szCs w:val="22"/>
        </w:rPr>
        <w:t xml:space="preserve">to note </w:t>
      </w:r>
      <w:r w:rsidR="00E247B3" w:rsidRPr="006220EA">
        <w:rPr>
          <w:color w:val="000000"/>
          <w:sz w:val="22"/>
          <w:szCs w:val="22"/>
        </w:rPr>
        <w:t xml:space="preserve">that </w:t>
      </w:r>
      <w:r w:rsidR="0022192E" w:rsidRPr="006220EA">
        <w:rPr>
          <w:color w:val="000000"/>
          <w:sz w:val="22"/>
          <w:szCs w:val="22"/>
        </w:rPr>
        <w:t xml:space="preserve">ICES </w:t>
      </w:r>
      <w:r w:rsidR="00E247B3" w:rsidRPr="006220EA">
        <w:rPr>
          <w:color w:val="000000"/>
          <w:sz w:val="22"/>
          <w:szCs w:val="22"/>
        </w:rPr>
        <w:t>would lend it</w:t>
      </w:r>
      <w:r w:rsidR="0022192E" w:rsidRPr="006220EA">
        <w:rPr>
          <w:color w:val="000000"/>
          <w:sz w:val="22"/>
          <w:szCs w:val="22"/>
        </w:rPr>
        <w:t>s expertise</w:t>
      </w:r>
      <w:r w:rsidR="00E247B3" w:rsidRPr="006220EA">
        <w:rPr>
          <w:color w:val="000000"/>
          <w:sz w:val="22"/>
          <w:szCs w:val="22"/>
        </w:rPr>
        <w:t xml:space="preserve"> to this workshop</w:t>
      </w:r>
      <w:r w:rsidR="0022192E" w:rsidRPr="006220EA">
        <w:rPr>
          <w:color w:val="000000"/>
          <w:sz w:val="22"/>
          <w:szCs w:val="22"/>
        </w:rPr>
        <w:t>. At the same time</w:t>
      </w:r>
      <w:r w:rsidR="00E247B3" w:rsidRPr="006220EA">
        <w:rPr>
          <w:color w:val="000000"/>
          <w:sz w:val="22"/>
          <w:szCs w:val="22"/>
        </w:rPr>
        <w:t xml:space="preserve">, he </w:t>
      </w:r>
      <w:r w:rsidR="00E247B3" w:rsidRPr="006220EA">
        <w:rPr>
          <w:color w:val="000000"/>
          <w:sz w:val="22"/>
          <w:szCs w:val="22"/>
        </w:rPr>
        <w:lastRenderedPageBreak/>
        <w:t>indicated that</w:t>
      </w:r>
      <w:r w:rsidR="0022192E" w:rsidRPr="006220EA">
        <w:rPr>
          <w:color w:val="000000"/>
          <w:sz w:val="22"/>
          <w:szCs w:val="22"/>
        </w:rPr>
        <w:t xml:space="preserve"> ICES </w:t>
      </w:r>
      <w:r w:rsidR="00E247B3" w:rsidRPr="006220EA">
        <w:rPr>
          <w:color w:val="000000"/>
          <w:sz w:val="22"/>
          <w:szCs w:val="22"/>
        </w:rPr>
        <w:t>would likely</w:t>
      </w:r>
      <w:r w:rsidR="0022192E" w:rsidRPr="006220EA">
        <w:rPr>
          <w:color w:val="000000"/>
          <w:sz w:val="22"/>
          <w:szCs w:val="22"/>
        </w:rPr>
        <w:t xml:space="preserve"> </w:t>
      </w:r>
      <w:r w:rsidR="00A5672B" w:rsidRPr="006220EA">
        <w:rPr>
          <w:color w:val="000000"/>
          <w:sz w:val="22"/>
          <w:szCs w:val="22"/>
        </w:rPr>
        <w:t>consider</w:t>
      </w:r>
      <w:r w:rsidR="0022192E" w:rsidRPr="006220EA">
        <w:rPr>
          <w:color w:val="000000"/>
          <w:sz w:val="22"/>
          <w:szCs w:val="22"/>
        </w:rPr>
        <w:t xml:space="preserve"> the information established in this process as it provides scientific advice to NEAFC.</w:t>
      </w:r>
      <w:r w:rsidR="00AF7DB8" w:rsidRPr="006220EA">
        <w:rPr>
          <w:color w:val="000000"/>
          <w:sz w:val="22"/>
          <w:szCs w:val="22"/>
        </w:rPr>
        <w:t xml:space="preserve"> He wished</w:t>
      </w:r>
      <w:r w:rsidR="0022192E" w:rsidRPr="006220EA">
        <w:rPr>
          <w:color w:val="000000"/>
          <w:sz w:val="22"/>
          <w:szCs w:val="22"/>
        </w:rPr>
        <w:t xml:space="preserve"> all participants a fruitful workshop</w:t>
      </w:r>
      <w:r w:rsidR="00AF7DB8" w:rsidRPr="006220EA">
        <w:rPr>
          <w:color w:val="000000"/>
          <w:sz w:val="22"/>
          <w:szCs w:val="22"/>
        </w:rPr>
        <w:t>.</w:t>
      </w:r>
    </w:p>
    <w:p w14:paraId="21127E05" w14:textId="18778C58" w:rsidR="00CE39DC" w:rsidRPr="006220EA" w:rsidRDefault="00B543D0" w:rsidP="006220EA">
      <w:pPr>
        <w:spacing w:before="120" w:after="120"/>
        <w:jc w:val="both"/>
        <w:rPr>
          <w:sz w:val="22"/>
          <w:szCs w:val="22"/>
          <w:lang w:val="en-US"/>
        </w:rPr>
      </w:pPr>
      <w:r w:rsidRPr="006220EA">
        <w:rPr>
          <w:sz w:val="22"/>
          <w:szCs w:val="22"/>
        </w:rPr>
        <w:t>1</w:t>
      </w:r>
      <w:r w:rsidR="00EE3AF9">
        <w:rPr>
          <w:sz w:val="22"/>
          <w:szCs w:val="22"/>
        </w:rPr>
        <w:t>1</w:t>
      </w:r>
      <w:r w:rsidR="00CE39DC" w:rsidRPr="006220EA">
        <w:rPr>
          <w:sz w:val="22"/>
          <w:szCs w:val="22"/>
        </w:rPr>
        <w:t>.</w:t>
      </w:r>
      <w:r w:rsidR="00CE39DC" w:rsidRPr="006220EA">
        <w:rPr>
          <w:sz w:val="22"/>
          <w:szCs w:val="22"/>
        </w:rPr>
        <w:tab/>
      </w:r>
      <w:r w:rsidR="00FD155C" w:rsidRPr="006220EA">
        <w:rPr>
          <w:sz w:val="22"/>
          <w:szCs w:val="22"/>
          <w:lang w:val="en-US"/>
        </w:rPr>
        <w:t>Mr. Joseph Appiott delivered an opening statement o</w:t>
      </w:r>
      <w:r w:rsidR="00CE39DC" w:rsidRPr="006220EA">
        <w:rPr>
          <w:sz w:val="22"/>
          <w:szCs w:val="22"/>
          <w:lang w:val="en-US"/>
        </w:rPr>
        <w:t xml:space="preserve">n behalf of </w:t>
      </w:r>
      <w:r w:rsidR="005E0DFD" w:rsidRPr="006220EA">
        <w:rPr>
          <w:sz w:val="22"/>
          <w:szCs w:val="22"/>
          <w:lang w:val="en-US"/>
        </w:rPr>
        <w:t xml:space="preserve">Ms. </w:t>
      </w:r>
      <w:r w:rsidR="009459BF" w:rsidRPr="006220EA">
        <w:rPr>
          <w:sz w:val="22"/>
          <w:szCs w:val="22"/>
          <w:lang w:val="en-US"/>
        </w:rPr>
        <w:t>C</w:t>
      </w:r>
      <w:r w:rsidR="005E0DFD" w:rsidRPr="006220EA">
        <w:rPr>
          <w:sz w:val="22"/>
          <w:szCs w:val="22"/>
          <w:lang w:val="en-US"/>
        </w:rPr>
        <w:t xml:space="preserve">ristiana Paşca Palmer, </w:t>
      </w:r>
      <w:r w:rsidR="00FD155C" w:rsidRPr="006220EA">
        <w:rPr>
          <w:sz w:val="22"/>
          <w:szCs w:val="22"/>
          <w:lang w:val="en-US"/>
        </w:rPr>
        <w:t>Executive Secretary of the Convention on Biological Diversity</w:t>
      </w:r>
      <w:r w:rsidR="009459BF" w:rsidRPr="006220EA">
        <w:rPr>
          <w:sz w:val="22"/>
          <w:szCs w:val="22"/>
          <w:lang w:val="en-US"/>
        </w:rPr>
        <w:t xml:space="preserve">. </w:t>
      </w:r>
      <w:r w:rsidR="000A210B" w:rsidRPr="006220EA">
        <w:rPr>
          <w:sz w:val="22"/>
          <w:szCs w:val="22"/>
          <w:lang w:val="en-US"/>
        </w:rPr>
        <w:t>He thanked participants for</w:t>
      </w:r>
      <w:r w:rsidR="009459BF" w:rsidRPr="006220EA">
        <w:rPr>
          <w:sz w:val="22"/>
          <w:szCs w:val="22"/>
          <w:lang w:val="en-US"/>
        </w:rPr>
        <w:t xml:space="preserve"> joining th</w:t>
      </w:r>
      <w:r w:rsidR="00FE0291">
        <w:rPr>
          <w:sz w:val="22"/>
          <w:szCs w:val="22"/>
          <w:lang w:val="en-US"/>
        </w:rPr>
        <w:t>e</w:t>
      </w:r>
      <w:r w:rsidR="009459BF" w:rsidRPr="006220EA">
        <w:rPr>
          <w:sz w:val="22"/>
          <w:szCs w:val="22"/>
          <w:lang w:val="en-US"/>
        </w:rPr>
        <w:t xml:space="preserve"> </w:t>
      </w:r>
      <w:r w:rsidR="000A210B" w:rsidRPr="006220EA">
        <w:rPr>
          <w:sz w:val="22"/>
          <w:szCs w:val="22"/>
          <w:lang w:val="en-US"/>
        </w:rPr>
        <w:t xml:space="preserve">workshop </w:t>
      </w:r>
      <w:r w:rsidR="009459BF" w:rsidRPr="006220EA">
        <w:rPr>
          <w:sz w:val="22"/>
          <w:szCs w:val="22"/>
          <w:lang w:val="en-US"/>
        </w:rPr>
        <w:t xml:space="preserve">and lending </w:t>
      </w:r>
      <w:r w:rsidR="000A210B" w:rsidRPr="006220EA">
        <w:rPr>
          <w:sz w:val="22"/>
          <w:szCs w:val="22"/>
          <w:lang w:val="en-US"/>
        </w:rPr>
        <w:t xml:space="preserve">their </w:t>
      </w:r>
      <w:r w:rsidR="009459BF" w:rsidRPr="006220EA">
        <w:rPr>
          <w:sz w:val="22"/>
          <w:szCs w:val="22"/>
          <w:lang w:val="en-US"/>
        </w:rPr>
        <w:t>valuable scientific expertise to this important process.</w:t>
      </w:r>
      <w:r w:rsidR="000A210B" w:rsidRPr="006220EA">
        <w:rPr>
          <w:sz w:val="22"/>
          <w:szCs w:val="22"/>
          <w:lang w:val="en-US"/>
        </w:rPr>
        <w:t xml:space="preserve"> He also expressed his gratitude </w:t>
      </w:r>
      <w:r w:rsidR="009459BF" w:rsidRPr="006220EA">
        <w:rPr>
          <w:sz w:val="22"/>
          <w:szCs w:val="22"/>
          <w:lang w:val="en-US"/>
        </w:rPr>
        <w:t>to the Government of Sweden for hosting th</w:t>
      </w:r>
      <w:r w:rsidR="00FE0291">
        <w:rPr>
          <w:sz w:val="22"/>
          <w:szCs w:val="22"/>
          <w:lang w:val="en-US"/>
        </w:rPr>
        <w:t>e</w:t>
      </w:r>
      <w:r w:rsidR="009459BF" w:rsidRPr="006220EA">
        <w:rPr>
          <w:sz w:val="22"/>
          <w:szCs w:val="22"/>
          <w:lang w:val="en-US"/>
        </w:rPr>
        <w:t xml:space="preserve"> workshop and to the Governments of France, Denmark and Germany for their valuable financial support. </w:t>
      </w:r>
      <w:r w:rsidR="000A210B" w:rsidRPr="006220EA">
        <w:rPr>
          <w:sz w:val="22"/>
          <w:szCs w:val="22"/>
          <w:lang w:val="en-US"/>
        </w:rPr>
        <w:t xml:space="preserve">He </w:t>
      </w:r>
      <w:r w:rsidR="009459BF" w:rsidRPr="006220EA">
        <w:rPr>
          <w:sz w:val="22"/>
          <w:szCs w:val="22"/>
          <w:lang w:val="en-US"/>
        </w:rPr>
        <w:t>also thank</w:t>
      </w:r>
      <w:r w:rsidR="000A210B" w:rsidRPr="006220EA">
        <w:rPr>
          <w:sz w:val="22"/>
          <w:szCs w:val="22"/>
          <w:lang w:val="en-US"/>
        </w:rPr>
        <w:t>ed</w:t>
      </w:r>
      <w:r w:rsidR="009459BF" w:rsidRPr="006220EA">
        <w:rPr>
          <w:sz w:val="22"/>
          <w:szCs w:val="22"/>
          <w:lang w:val="en-US"/>
        </w:rPr>
        <w:t xml:space="preserve"> the OSPAR Commission and </w:t>
      </w:r>
      <w:r w:rsidR="00E84EAF" w:rsidRPr="006220EA">
        <w:rPr>
          <w:sz w:val="22"/>
          <w:szCs w:val="22"/>
          <w:lang w:val="en-US"/>
        </w:rPr>
        <w:t>NEAFC</w:t>
      </w:r>
      <w:r w:rsidR="009459BF" w:rsidRPr="006220EA">
        <w:rPr>
          <w:sz w:val="22"/>
          <w:szCs w:val="22"/>
          <w:lang w:val="en-US"/>
        </w:rPr>
        <w:t xml:space="preserve"> for their collaboration and valuable technical input</w:t>
      </w:r>
      <w:r w:rsidR="000A210B" w:rsidRPr="006220EA">
        <w:rPr>
          <w:sz w:val="22"/>
          <w:szCs w:val="22"/>
          <w:lang w:val="en-US"/>
        </w:rPr>
        <w:t xml:space="preserve"> and expressed h</w:t>
      </w:r>
      <w:r w:rsidR="00DB7F15" w:rsidRPr="006220EA">
        <w:rPr>
          <w:sz w:val="22"/>
          <w:szCs w:val="22"/>
          <w:lang w:val="en-US"/>
        </w:rPr>
        <w:t>is</w:t>
      </w:r>
      <w:r w:rsidR="000A210B" w:rsidRPr="006220EA">
        <w:rPr>
          <w:sz w:val="22"/>
          <w:szCs w:val="22"/>
          <w:lang w:val="en-US"/>
        </w:rPr>
        <w:t xml:space="preserve"> gratitude to the technical support team from the Marine Geospatial Ecology Lab of Duke University, </w:t>
      </w:r>
      <w:r w:rsidR="009459BF" w:rsidRPr="006220EA">
        <w:rPr>
          <w:sz w:val="22"/>
          <w:szCs w:val="22"/>
          <w:lang w:val="en-US"/>
        </w:rPr>
        <w:t xml:space="preserve">whose </w:t>
      </w:r>
      <w:r w:rsidR="00FD155C" w:rsidRPr="006220EA">
        <w:rPr>
          <w:sz w:val="22"/>
          <w:szCs w:val="22"/>
          <w:lang w:val="en-US"/>
        </w:rPr>
        <w:t>important work</w:t>
      </w:r>
      <w:r w:rsidR="009459BF" w:rsidRPr="006220EA">
        <w:rPr>
          <w:sz w:val="22"/>
          <w:szCs w:val="22"/>
          <w:lang w:val="en-US"/>
        </w:rPr>
        <w:t xml:space="preserve"> in geospatial mapping ha</w:t>
      </w:r>
      <w:r w:rsidR="003C6EAC">
        <w:rPr>
          <w:sz w:val="22"/>
          <w:szCs w:val="22"/>
          <w:lang w:val="en-US"/>
        </w:rPr>
        <w:t>d</w:t>
      </w:r>
      <w:r w:rsidR="009459BF" w:rsidRPr="006220EA">
        <w:rPr>
          <w:sz w:val="22"/>
          <w:szCs w:val="22"/>
          <w:lang w:val="en-US"/>
        </w:rPr>
        <w:t xml:space="preserve"> been </w:t>
      </w:r>
      <w:r w:rsidR="000A210B" w:rsidRPr="006220EA">
        <w:rPr>
          <w:sz w:val="22"/>
          <w:szCs w:val="22"/>
          <w:lang w:val="en-US"/>
        </w:rPr>
        <w:t>crucial to the success of</w:t>
      </w:r>
      <w:r w:rsidR="009459BF" w:rsidRPr="006220EA">
        <w:rPr>
          <w:sz w:val="22"/>
          <w:szCs w:val="22"/>
          <w:lang w:val="en-US"/>
        </w:rPr>
        <w:t xml:space="preserve"> the EBSA process.</w:t>
      </w:r>
      <w:r w:rsidR="00DB7F15" w:rsidRPr="006220EA">
        <w:rPr>
          <w:sz w:val="22"/>
          <w:szCs w:val="22"/>
          <w:lang w:val="en-US"/>
        </w:rPr>
        <w:t xml:space="preserve"> He noted that the</w:t>
      </w:r>
      <w:r w:rsidR="009459BF" w:rsidRPr="006220EA">
        <w:rPr>
          <w:sz w:val="22"/>
          <w:szCs w:val="22"/>
          <w:lang w:val="en-US"/>
        </w:rPr>
        <w:t xml:space="preserve"> North-East Atlantic </w:t>
      </w:r>
      <w:r w:rsidR="003C6EAC">
        <w:rPr>
          <w:sz w:val="22"/>
          <w:szCs w:val="22"/>
          <w:lang w:val="en-US"/>
        </w:rPr>
        <w:t>wa</w:t>
      </w:r>
      <w:r w:rsidR="009459BF" w:rsidRPr="006220EA">
        <w:rPr>
          <w:sz w:val="22"/>
          <w:szCs w:val="22"/>
          <w:lang w:val="en-US"/>
        </w:rPr>
        <w:t>s a diverse place</w:t>
      </w:r>
      <w:r w:rsidR="00DB7F15" w:rsidRPr="006220EA">
        <w:rPr>
          <w:sz w:val="22"/>
          <w:szCs w:val="22"/>
          <w:lang w:val="en-US"/>
        </w:rPr>
        <w:t xml:space="preserve">, with an </w:t>
      </w:r>
      <w:r w:rsidR="009459BF" w:rsidRPr="006220EA">
        <w:rPr>
          <w:sz w:val="22"/>
          <w:szCs w:val="22"/>
          <w:lang w:val="en-US"/>
        </w:rPr>
        <w:t xml:space="preserve">ecology </w:t>
      </w:r>
      <w:r w:rsidR="00DB7F15" w:rsidRPr="006220EA">
        <w:rPr>
          <w:sz w:val="22"/>
          <w:szCs w:val="22"/>
          <w:lang w:val="en-US"/>
        </w:rPr>
        <w:t>that</w:t>
      </w:r>
      <w:r w:rsidR="009459BF" w:rsidRPr="006220EA">
        <w:rPr>
          <w:sz w:val="22"/>
          <w:szCs w:val="22"/>
          <w:lang w:val="en-US"/>
        </w:rPr>
        <w:t xml:space="preserve"> include</w:t>
      </w:r>
      <w:r w:rsidR="003C6EAC">
        <w:rPr>
          <w:sz w:val="22"/>
          <w:szCs w:val="22"/>
          <w:lang w:val="en-US"/>
        </w:rPr>
        <w:t>d</w:t>
      </w:r>
      <w:r w:rsidR="009459BF" w:rsidRPr="006220EA">
        <w:rPr>
          <w:sz w:val="22"/>
          <w:szCs w:val="22"/>
          <w:lang w:val="en-US"/>
        </w:rPr>
        <w:t xml:space="preserve"> an enormous range of species and habitats</w:t>
      </w:r>
      <w:r w:rsidR="00DB7F15" w:rsidRPr="006220EA">
        <w:rPr>
          <w:sz w:val="22"/>
          <w:szCs w:val="22"/>
          <w:lang w:val="en-US"/>
        </w:rPr>
        <w:t xml:space="preserve">. </w:t>
      </w:r>
      <w:r w:rsidR="009459BF" w:rsidRPr="006220EA">
        <w:rPr>
          <w:sz w:val="22"/>
          <w:szCs w:val="22"/>
          <w:lang w:val="en-US"/>
        </w:rPr>
        <w:t>The intense human activities in the region place</w:t>
      </w:r>
      <w:r w:rsidR="003C6EAC">
        <w:rPr>
          <w:sz w:val="22"/>
          <w:szCs w:val="22"/>
          <w:lang w:val="en-US"/>
        </w:rPr>
        <w:t>d</w:t>
      </w:r>
      <w:r w:rsidR="009459BF" w:rsidRPr="006220EA">
        <w:rPr>
          <w:sz w:val="22"/>
          <w:szCs w:val="22"/>
          <w:lang w:val="en-US"/>
        </w:rPr>
        <w:t xml:space="preserve"> considerable pressure on the marine environment and on the ability of the ocean to continue to provide the services that ha</w:t>
      </w:r>
      <w:r w:rsidR="003C6EAC">
        <w:rPr>
          <w:sz w:val="22"/>
          <w:szCs w:val="22"/>
          <w:lang w:val="en-US"/>
        </w:rPr>
        <w:t>d</w:t>
      </w:r>
      <w:r w:rsidR="009459BF" w:rsidRPr="006220EA">
        <w:rPr>
          <w:sz w:val="22"/>
          <w:szCs w:val="22"/>
          <w:lang w:val="en-US"/>
        </w:rPr>
        <w:t xml:space="preserve"> supported </w:t>
      </w:r>
      <w:r w:rsidR="00FE0291">
        <w:rPr>
          <w:sz w:val="22"/>
          <w:szCs w:val="22"/>
          <w:lang w:val="en-US"/>
        </w:rPr>
        <w:t>the region’s economic</w:t>
      </w:r>
      <w:r w:rsidR="009459BF" w:rsidRPr="006220EA">
        <w:rPr>
          <w:sz w:val="22"/>
          <w:szCs w:val="22"/>
          <w:lang w:val="en-US"/>
        </w:rPr>
        <w:t xml:space="preserve"> development and social well-being. These challenges </w:t>
      </w:r>
      <w:r w:rsidR="00FE0291">
        <w:rPr>
          <w:sz w:val="22"/>
          <w:szCs w:val="22"/>
          <w:lang w:val="en-US"/>
        </w:rPr>
        <w:t>ha</w:t>
      </w:r>
      <w:r w:rsidR="003C6EAC">
        <w:rPr>
          <w:sz w:val="22"/>
          <w:szCs w:val="22"/>
          <w:lang w:val="en-US"/>
        </w:rPr>
        <w:t>d</w:t>
      </w:r>
      <w:r w:rsidR="00FE0291">
        <w:rPr>
          <w:sz w:val="22"/>
          <w:szCs w:val="22"/>
          <w:lang w:val="en-US"/>
        </w:rPr>
        <w:t xml:space="preserve"> been</w:t>
      </w:r>
      <w:r w:rsidR="009459BF" w:rsidRPr="006220EA">
        <w:rPr>
          <w:sz w:val="22"/>
          <w:szCs w:val="22"/>
          <w:lang w:val="en-US"/>
        </w:rPr>
        <w:t xml:space="preserve"> further exacerbated by global drivers such as climate change and ocean acidification</w:t>
      </w:r>
      <w:r w:rsidR="00DB7F15" w:rsidRPr="006220EA">
        <w:rPr>
          <w:sz w:val="22"/>
          <w:szCs w:val="22"/>
          <w:lang w:val="en-US"/>
        </w:rPr>
        <w:t xml:space="preserve">. </w:t>
      </w:r>
      <w:r w:rsidR="009459BF" w:rsidRPr="006220EA">
        <w:rPr>
          <w:sz w:val="22"/>
          <w:szCs w:val="22"/>
          <w:lang w:val="en-US"/>
        </w:rPr>
        <w:t>In view of these challenges, biodiversity must not be seen as a hindrance, but rather a solution for sustainable economic growth and human well-being</w:t>
      </w:r>
      <w:r w:rsidR="00DB7F15" w:rsidRPr="006220EA">
        <w:rPr>
          <w:sz w:val="22"/>
          <w:szCs w:val="22"/>
          <w:lang w:val="en-US"/>
        </w:rPr>
        <w:t>, by</w:t>
      </w:r>
      <w:r w:rsidR="009459BF" w:rsidRPr="006220EA">
        <w:rPr>
          <w:sz w:val="22"/>
          <w:szCs w:val="22"/>
          <w:lang w:val="en-US"/>
        </w:rPr>
        <w:t xml:space="preserve"> supporting the functioning of the Earth’s life support system. </w:t>
      </w:r>
      <w:r w:rsidR="008C3E42" w:rsidRPr="006220EA">
        <w:rPr>
          <w:sz w:val="22"/>
          <w:szCs w:val="22"/>
          <w:lang w:val="en-US"/>
        </w:rPr>
        <w:t>He noted that s</w:t>
      </w:r>
      <w:r w:rsidR="009459BF" w:rsidRPr="006220EA">
        <w:rPr>
          <w:sz w:val="22"/>
          <w:szCs w:val="22"/>
          <w:lang w:val="en-US"/>
        </w:rPr>
        <w:t>ignificant strides ha</w:t>
      </w:r>
      <w:r w:rsidR="003C6EAC">
        <w:rPr>
          <w:sz w:val="22"/>
          <w:szCs w:val="22"/>
          <w:lang w:val="en-US"/>
        </w:rPr>
        <w:t>d</w:t>
      </w:r>
      <w:r w:rsidR="009459BF" w:rsidRPr="006220EA">
        <w:rPr>
          <w:sz w:val="22"/>
          <w:szCs w:val="22"/>
          <w:lang w:val="en-US"/>
        </w:rPr>
        <w:t xml:space="preserve"> been made in the region</w:t>
      </w:r>
      <w:r w:rsidR="00087C05" w:rsidRPr="006220EA">
        <w:rPr>
          <w:sz w:val="22"/>
          <w:szCs w:val="22"/>
          <w:lang w:val="en-US"/>
        </w:rPr>
        <w:t xml:space="preserve"> </w:t>
      </w:r>
      <w:r w:rsidR="00C51AAC">
        <w:rPr>
          <w:sz w:val="22"/>
          <w:szCs w:val="22"/>
          <w:lang w:val="en-US"/>
        </w:rPr>
        <w:t>towards</w:t>
      </w:r>
      <w:r w:rsidR="00087C05" w:rsidRPr="006220EA">
        <w:rPr>
          <w:sz w:val="22"/>
          <w:szCs w:val="22"/>
          <w:lang w:val="en-US"/>
        </w:rPr>
        <w:t xml:space="preserve"> sustainable development</w:t>
      </w:r>
      <w:r w:rsidR="009459BF" w:rsidRPr="006220EA">
        <w:rPr>
          <w:sz w:val="22"/>
          <w:szCs w:val="22"/>
          <w:lang w:val="en-US"/>
        </w:rPr>
        <w:t xml:space="preserve">. </w:t>
      </w:r>
      <w:r w:rsidR="008C3E42" w:rsidRPr="006220EA">
        <w:rPr>
          <w:sz w:val="22"/>
          <w:szCs w:val="22"/>
          <w:lang w:val="en-US"/>
        </w:rPr>
        <w:t>T</w:t>
      </w:r>
      <w:r w:rsidR="009459BF" w:rsidRPr="006220EA">
        <w:rPr>
          <w:sz w:val="22"/>
          <w:szCs w:val="22"/>
          <w:lang w:val="en-US"/>
        </w:rPr>
        <w:t xml:space="preserve">he OSPAR Commission, NEAFC and other multilateral processes </w:t>
      </w:r>
      <w:r w:rsidR="008C3E42" w:rsidRPr="006220EA">
        <w:rPr>
          <w:sz w:val="22"/>
          <w:szCs w:val="22"/>
          <w:lang w:val="en-US"/>
        </w:rPr>
        <w:t>ha</w:t>
      </w:r>
      <w:r w:rsidR="003C6EAC">
        <w:rPr>
          <w:sz w:val="22"/>
          <w:szCs w:val="22"/>
          <w:lang w:val="en-US"/>
        </w:rPr>
        <w:t>d</w:t>
      </w:r>
      <w:r w:rsidR="008C3E42" w:rsidRPr="006220EA">
        <w:rPr>
          <w:sz w:val="22"/>
          <w:szCs w:val="22"/>
          <w:lang w:val="en-US"/>
        </w:rPr>
        <w:t xml:space="preserve"> brought together countries in the region </w:t>
      </w:r>
      <w:r w:rsidR="009459BF" w:rsidRPr="006220EA">
        <w:rPr>
          <w:sz w:val="22"/>
          <w:szCs w:val="22"/>
          <w:lang w:val="en-US"/>
        </w:rPr>
        <w:t>to tak</w:t>
      </w:r>
      <w:r w:rsidR="008C3E42" w:rsidRPr="006220EA">
        <w:rPr>
          <w:sz w:val="22"/>
          <w:szCs w:val="22"/>
          <w:lang w:val="en-US"/>
        </w:rPr>
        <w:t>e</w:t>
      </w:r>
      <w:r w:rsidR="009459BF" w:rsidRPr="006220EA">
        <w:rPr>
          <w:sz w:val="22"/>
          <w:szCs w:val="22"/>
          <w:lang w:val="en-US"/>
        </w:rPr>
        <w:t xml:space="preserve"> steps to improve the conservation and sustainable use of the region’s marine and coastal resources. This region ha</w:t>
      </w:r>
      <w:r w:rsidR="00DF5DFF">
        <w:rPr>
          <w:sz w:val="22"/>
          <w:szCs w:val="22"/>
          <w:lang w:val="en-US"/>
        </w:rPr>
        <w:t>d</w:t>
      </w:r>
      <w:r w:rsidR="009459BF" w:rsidRPr="006220EA">
        <w:rPr>
          <w:sz w:val="22"/>
          <w:szCs w:val="22"/>
          <w:lang w:val="en-US"/>
        </w:rPr>
        <w:t xml:space="preserve"> shown leadership in cross-sectoral approaches to understanding and managing its marine resources, including through the robust collaboration between the OSPAR Commission and NEAFC, which </w:t>
      </w:r>
      <w:r w:rsidR="00391A92">
        <w:rPr>
          <w:sz w:val="22"/>
          <w:szCs w:val="22"/>
          <w:lang w:val="en-US"/>
        </w:rPr>
        <w:t>wa</w:t>
      </w:r>
      <w:r w:rsidR="009459BF" w:rsidRPr="006220EA">
        <w:rPr>
          <w:sz w:val="22"/>
          <w:szCs w:val="22"/>
          <w:lang w:val="en-US"/>
        </w:rPr>
        <w:t>s widely viewed as a model of regional collaboration for the whole world to follow.</w:t>
      </w:r>
      <w:r w:rsidR="000944FD" w:rsidRPr="006220EA">
        <w:rPr>
          <w:sz w:val="22"/>
          <w:szCs w:val="22"/>
          <w:lang w:val="en-US"/>
        </w:rPr>
        <w:t xml:space="preserve"> </w:t>
      </w:r>
      <w:r w:rsidR="009459BF" w:rsidRPr="006220EA">
        <w:rPr>
          <w:sz w:val="22"/>
          <w:szCs w:val="22"/>
          <w:lang w:val="en-US"/>
        </w:rPr>
        <w:t xml:space="preserve">At such a crucial time in the global ocean policy landscape, particularly in view of the ongoing deliberations for the post-2020 global biodiversity framework, </w:t>
      </w:r>
      <w:r w:rsidR="000944FD" w:rsidRPr="006220EA">
        <w:rPr>
          <w:sz w:val="22"/>
          <w:szCs w:val="22"/>
          <w:lang w:val="en-US"/>
        </w:rPr>
        <w:t>he</w:t>
      </w:r>
      <w:r w:rsidR="009459BF" w:rsidRPr="006220EA">
        <w:rPr>
          <w:sz w:val="22"/>
          <w:szCs w:val="22"/>
          <w:lang w:val="en-US"/>
        </w:rPr>
        <w:t xml:space="preserve"> urge</w:t>
      </w:r>
      <w:r w:rsidR="000944FD" w:rsidRPr="006220EA">
        <w:rPr>
          <w:sz w:val="22"/>
          <w:szCs w:val="22"/>
          <w:lang w:val="en-US"/>
        </w:rPr>
        <w:t>d participants</w:t>
      </w:r>
      <w:r w:rsidR="009459BF" w:rsidRPr="006220EA">
        <w:rPr>
          <w:sz w:val="22"/>
          <w:szCs w:val="22"/>
          <w:lang w:val="en-US"/>
        </w:rPr>
        <w:t xml:space="preserve"> to demonstrate </w:t>
      </w:r>
      <w:r w:rsidR="000944FD" w:rsidRPr="006220EA">
        <w:rPr>
          <w:sz w:val="22"/>
          <w:szCs w:val="22"/>
          <w:lang w:val="en-US"/>
        </w:rPr>
        <w:t xml:space="preserve">once again </w:t>
      </w:r>
      <w:r w:rsidR="009459BF" w:rsidRPr="006220EA">
        <w:rPr>
          <w:sz w:val="22"/>
          <w:szCs w:val="22"/>
          <w:lang w:val="en-US"/>
        </w:rPr>
        <w:t>the leadership role that the North-East Atlantic ha</w:t>
      </w:r>
      <w:r w:rsidR="005D6322">
        <w:rPr>
          <w:sz w:val="22"/>
          <w:szCs w:val="22"/>
          <w:lang w:val="en-US"/>
        </w:rPr>
        <w:t>d</w:t>
      </w:r>
      <w:r w:rsidR="009459BF" w:rsidRPr="006220EA">
        <w:rPr>
          <w:sz w:val="22"/>
          <w:szCs w:val="22"/>
          <w:lang w:val="en-US"/>
        </w:rPr>
        <w:t xml:space="preserve"> long played in regional collaboration to better understand, conserve and sustainably use marine biodiversity.</w:t>
      </w:r>
      <w:r w:rsidR="000944FD" w:rsidRPr="006220EA">
        <w:rPr>
          <w:sz w:val="22"/>
          <w:szCs w:val="22"/>
          <w:lang w:val="en-US"/>
        </w:rPr>
        <w:t xml:space="preserve"> In conclusion, he wished participants</w:t>
      </w:r>
      <w:r w:rsidR="009459BF" w:rsidRPr="006220EA">
        <w:rPr>
          <w:sz w:val="22"/>
          <w:szCs w:val="22"/>
          <w:lang w:val="en-US"/>
        </w:rPr>
        <w:t xml:space="preserve"> a successful workshop. </w:t>
      </w:r>
    </w:p>
    <w:p w14:paraId="7B4CFE0E" w14:textId="77777777" w:rsidR="007A0941" w:rsidRPr="006220EA" w:rsidRDefault="004D21E2" w:rsidP="00A306BB">
      <w:pPr>
        <w:pStyle w:val="Heading1longmultiline"/>
        <w:rPr>
          <w:szCs w:val="22"/>
        </w:rPr>
      </w:pPr>
      <w:r w:rsidRPr="006220EA">
        <w:rPr>
          <w:szCs w:val="22"/>
        </w:rPr>
        <w:t>ITEM 2.</w:t>
      </w:r>
      <w:r w:rsidRPr="006220EA">
        <w:rPr>
          <w:szCs w:val="22"/>
        </w:rPr>
        <w:tab/>
        <w:t xml:space="preserve">ELECTION OF THE </w:t>
      </w:r>
      <w:r w:rsidR="00CF41A5" w:rsidRPr="006220EA">
        <w:rPr>
          <w:szCs w:val="22"/>
        </w:rPr>
        <w:t xml:space="preserve">workshop </w:t>
      </w:r>
      <w:r w:rsidRPr="006220EA">
        <w:rPr>
          <w:szCs w:val="22"/>
        </w:rPr>
        <w:t>CO-CHAIRS, ADOPTION OF THE AGENDA AND ORGANIZATION OF WORK</w:t>
      </w:r>
    </w:p>
    <w:p w14:paraId="53BB6A87" w14:textId="273378AE" w:rsidR="00F952A8" w:rsidRPr="006220EA" w:rsidRDefault="00B543D0" w:rsidP="006220EA">
      <w:pPr>
        <w:autoSpaceDE w:val="0"/>
        <w:autoSpaceDN w:val="0"/>
        <w:adjustRightInd w:val="0"/>
        <w:spacing w:afterLines="50" w:after="120"/>
        <w:jc w:val="both"/>
        <w:rPr>
          <w:sz w:val="22"/>
          <w:szCs w:val="22"/>
          <w:lang w:val="en-US"/>
        </w:rPr>
      </w:pPr>
      <w:r w:rsidRPr="006220EA">
        <w:rPr>
          <w:sz w:val="22"/>
          <w:szCs w:val="22"/>
        </w:rPr>
        <w:t>1</w:t>
      </w:r>
      <w:r w:rsidR="00EE3AF9">
        <w:rPr>
          <w:sz w:val="22"/>
          <w:szCs w:val="22"/>
        </w:rPr>
        <w:t>2</w:t>
      </w:r>
      <w:r w:rsidR="00F952A8" w:rsidRPr="006220EA">
        <w:rPr>
          <w:sz w:val="22"/>
          <w:szCs w:val="22"/>
        </w:rPr>
        <w:t>.</w:t>
      </w:r>
      <w:r w:rsidR="00F952A8" w:rsidRPr="006220EA">
        <w:rPr>
          <w:sz w:val="22"/>
          <w:szCs w:val="22"/>
        </w:rPr>
        <w:tab/>
        <w:t>After a brief explanation by the CBD Secretariat on procedures for electing the workshop co-chairs, M</w:t>
      </w:r>
      <w:r w:rsidRPr="006220EA">
        <w:rPr>
          <w:sz w:val="22"/>
          <w:szCs w:val="22"/>
        </w:rPr>
        <w:t>r</w:t>
      </w:r>
      <w:r w:rsidR="00F952A8" w:rsidRPr="006220EA">
        <w:rPr>
          <w:sz w:val="22"/>
          <w:szCs w:val="22"/>
        </w:rPr>
        <w:t xml:space="preserve">. </w:t>
      </w:r>
      <w:r w:rsidRPr="006220EA">
        <w:rPr>
          <w:sz w:val="22"/>
          <w:szCs w:val="22"/>
        </w:rPr>
        <w:t>Staffan Danielsson</w:t>
      </w:r>
      <w:r w:rsidR="00F952A8" w:rsidRPr="006220EA">
        <w:rPr>
          <w:bCs/>
          <w:sz w:val="22"/>
          <w:szCs w:val="22"/>
        </w:rPr>
        <w:t xml:space="preserve"> </w:t>
      </w:r>
      <w:r w:rsidR="00F952A8" w:rsidRPr="006220EA">
        <w:rPr>
          <w:sz w:val="22"/>
          <w:szCs w:val="22"/>
        </w:rPr>
        <w:t>(</w:t>
      </w:r>
      <w:r w:rsidRPr="006220EA">
        <w:rPr>
          <w:sz w:val="22"/>
          <w:szCs w:val="22"/>
        </w:rPr>
        <w:t>Sweden</w:t>
      </w:r>
      <w:r w:rsidR="00F952A8" w:rsidRPr="006220EA">
        <w:rPr>
          <w:sz w:val="22"/>
          <w:szCs w:val="22"/>
        </w:rPr>
        <w:t xml:space="preserve">), as offered by the host Government, and </w:t>
      </w:r>
      <w:r w:rsidR="00CE39DC" w:rsidRPr="006220EA">
        <w:rPr>
          <w:sz w:val="22"/>
          <w:szCs w:val="22"/>
        </w:rPr>
        <w:t>Mr</w:t>
      </w:r>
      <w:r w:rsidR="00F952A8" w:rsidRPr="006220EA">
        <w:rPr>
          <w:sz w:val="22"/>
          <w:szCs w:val="22"/>
        </w:rPr>
        <w:t xml:space="preserve">. </w:t>
      </w:r>
      <w:r w:rsidRPr="006220EA">
        <w:rPr>
          <w:sz w:val="22"/>
          <w:szCs w:val="22"/>
          <w:lang w:val="en-US"/>
        </w:rPr>
        <w:t>Juan-Pablo Pertierra</w:t>
      </w:r>
      <w:r w:rsidR="00CE39DC" w:rsidRPr="006220EA">
        <w:rPr>
          <w:sz w:val="22"/>
          <w:szCs w:val="22"/>
        </w:rPr>
        <w:t xml:space="preserve"> </w:t>
      </w:r>
      <w:r w:rsidR="00F952A8" w:rsidRPr="006220EA">
        <w:rPr>
          <w:sz w:val="22"/>
          <w:szCs w:val="22"/>
        </w:rPr>
        <w:t>(</w:t>
      </w:r>
      <w:r w:rsidRPr="006220EA">
        <w:rPr>
          <w:sz w:val="22"/>
          <w:szCs w:val="22"/>
        </w:rPr>
        <w:t>E</w:t>
      </w:r>
      <w:r w:rsidR="00190457" w:rsidRPr="006220EA">
        <w:rPr>
          <w:sz w:val="22"/>
          <w:szCs w:val="22"/>
        </w:rPr>
        <w:t>U</w:t>
      </w:r>
      <w:r w:rsidR="00F952A8" w:rsidRPr="006220EA">
        <w:rPr>
          <w:sz w:val="22"/>
          <w:szCs w:val="22"/>
        </w:rPr>
        <w:t xml:space="preserve">), proposed by an expert from </w:t>
      </w:r>
      <w:r w:rsidRPr="006220EA">
        <w:rPr>
          <w:sz w:val="22"/>
          <w:szCs w:val="22"/>
        </w:rPr>
        <w:t>Sweden</w:t>
      </w:r>
      <w:r w:rsidR="00F952A8" w:rsidRPr="006220EA">
        <w:rPr>
          <w:sz w:val="22"/>
          <w:szCs w:val="22"/>
        </w:rPr>
        <w:t xml:space="preserve"> and seconded by the floor unanimously, were elected as the workshop co-chairs.</w:t>
      </w:r>
    </w:p>
    <w:p w14:paraId="57F2983B" w14:textId="36F1CFC7" w:rsidR="00F952A8" w:rsidRPr="006220EA" w:rsidRDefault="00F952A8" w:rsidP="006220EA">
      <w:pPr>
        <w:autoSpaceDE w:val="0"/>
        <w:autoSpaceDN w:val="0"/>
        <w:adjustRightInd w:val="0"/>
        <w:spacing w:afterLines="50" w:after="120"/>
        <w:jc w:val="both"/>
        <w:rPr>
          <w:sz w:val="22"/>
          <w:szCs w:val="22"/>
        </w:rPr>
      </w:pPr>
      <w:r w:rsidRPr="006220EA">
        <w:rPr>
          <w:sz w:val="22"/>
          <w:szCs w:val="22"/>
        </w:rPr>
        <w:t>1</w:t>
      </w:r>
      <w:r w:rsidR="00EE3AF9">
        <w:rPr>
          <w:sz w:val="22"/>
          <w:szCs w:val="22"/>
        </w:rPr>
        <w:t>3</w:t>
      </w:r>
      <w:r w:rsidRPr="006220EA">
        <w:rPr>
          <w:sz w:val="22"/>
          <w:szCs w:val="22"/>
        </w:rPr>
        <w:t>.</w:t>
      </w:r>
      <w:r w:rsidRPr="006220EA">
        <w:rPr>
          <w:sz w:val="22"/>
          <w:szCs w:val="22"/>
        </w:rPr>
        <w:tab/>
        <w:t xml:space="preserve">Participants </w:t>
      </w:r>
      <w:r w:rsidRPr="006220EA">
        <w:rPr>
          <w:iCs/>
          <w:sz w:val="22"/>
          <w:szCs w:val="22"/>
        </w:rPr>
        <w:t>were</w:t>
      </w:r>
      <w:r w:rsidRPr="006220EA">
        <w:rPr>
          <w:sz w:val="22"/>
          <w:szCs w:val="22"/>
        </w:rPr>
        <w:t xml:space="preserve"> then </w:t>
      </w:r>
      <w:r w:rsidRPr="006220EA">
        <w:rPr>
          <w:color w:val="000000"/>
          <w:sz w:val="22"/>
          <w:szCs w:val="22"/>
        </w:rPr>
        <w:t xml:space="preserve">invited to consider the </w:t>
      </w:r>
      <w:r w:rsidRPr="006220EA">
        <w:rPr>
          <w:sz w:val="22"/>
          <w:szCs w:val="22"/>
        </w:rPr>
        <w:t>provisional agenda (</w:t>
      </w:r>
      <w:r w:rsidR="00CE39DC" w:rsidRPr="006220EA">
        <w:rPr>
          <w:bCs/>
          <w:sz w:val="22"/>
          <w:szCs w:val="22"/>
          <w:shd w:val="clear" w:color="auto" w:fill="FFFFFF"/>
        </w:rPr>
        <w:t>CBD/EBSA/WS/201</w:t>
      </w:r>
      <w:r w:rsidR="00B543D0" w:rsidRPr="006220EA">
        <w:rPr>
          <w:bCs/>
          <w:sz w:val="22"/>
          <w:szCs w:val="22"/>
          <w:shd w:val="clear" w:color="auto" w:fill="FFFFFF"/>
        </w:rPr>
        <w:t>9</w:t>
      </w:r>
      <w:r w:rsidRPr="006220EA">
        <w:rPr>
          <w:bCs/>
          <w:sz w:val="22"/>
          <w:szCs w:val="22"/>
          <w:shd w:val="clear" w:color="auto" w:fill="FFFFFF"/>
        </w:rPr>
        <w:t>/1/1</w:t>
      </w:r>
      <w:r w:rsidRPr="006220EA">
        <w:rPr>
          <w:sz w:val="22"/>
          <w:szCs w:val="22"/>
        </w:rPr>
        <w:t>) and the proposed organization of work, as contained in annex II to the annotations to the provisional agenda (</w:t>
      </w:r>
      <w:r w:rsidR="00CE39DC" w:rsidRPr="006220EA">
        <w:rPr>
          <w:bCs/>
          <w:sz w:val="22"/>
          <w:szCs w:val="22"/>
          <w:shd w:val="clear" w:color="auto" w:fill="FFFFFF"/>
        </w:rPr>
        <w:t>CBD/EBSA/WS/201</w:t>
      </w:r>
      <w:r w:rsidR="00B543D0" w:rsidRPr="006220EA">
        <w:rPr>
          <w:bCs/>
          <w:sz w:val="22"/>
          <w:szCs w:val="22"/>
          <w:shd w:val="clear" w:color="auto" w:fill="FFFFFF"/>
        </w:rPr>
        <w:t>9</w:t>
      </w:r>
      <w:r w:rsidRPr="006220EA">
        <w:rPr>
          <w:bCs/>
          <w:sz w:val="22"/>
          <w:szCs w:val="22"/>
          <w:shd w:val="clear" w:color="auto" w:fill="FFFFFF"/>
        </w:rPr>
        <w:t>/1/1/Add.1</w:t>
      </w:r>
      <w:r w:rsidRPr="006220EA">
        <w:rPr>
          <w:sz w:val="22"/>
          <w:szCs w:val="22"/>
        </w:rPr>
        <w:t xml:space="preserve">) and adopted them without any amendments. </w:t>
      </w:r>
    </w:p>
    <w:p w14:paraId="10C6EB73" w14:textId="5F30B11B" w:rsidR="00F952A8" w:rsidRPr="006220EA" w:rsidRDefault="00F952A8" w:rsidP="006220EA">
      <w:pPr>
        <w:autoSpaceDE w:val="0"/>
        <w:autoSpaceDN w:val="0"/>
        <w:adjustRightInd w:val="0"/>
        <w:spacing w:afterLines="50" w:after="120"/>
        <w:jc w:val="both"/>
        <w:rPr>
          <w:sz w:val="22"/>
          <w:szCs w:val="22"/>
          <w:lang w:eastAsia="ko-KR"/>
        </w:rPr>
      </w:pPr>
      <w:r w:rsidRPr="006220EA">
        <w:rPr>
          <w:sz w:val="22"/>
          <w:szCs w:val="22"/>
        </w:rPr>
        <w:t>1</w:t>
      </w:r>
      <w:r w:rsidR="00EE3AF9">
        <w:rPr>
          <w:sz w:val="22"/>
          <w:szCs w:val="22"/>
        </w:rPr>
        <w:t>4</w:t>
      </w:r>
      <w:r w:rsidRPr="006220EA">
        <w:rPr>
          <w:sz w:val="22"/>
          <w:szCs w:val="22"/>
        </w:rPr>
        <w:t>.</w:t>
      </w:r>
      <w:r w:rsidRPr="006220EA">
        <w:rPr>
          <w:sz w:val="22"/>
          <w:szCs w:val="22"/>
        </w:rPr>
        <w:tab/>
        <w:t>The workshop was organized in plenary and break-out group sessions</w:t>
      </w:r>
      <w:r w:rsidRPr="006220EA">
        <w:rPr>
          <w:sz w:val="22"/>
          <w:szCs w:val="22"/>
          <w:lang w:eastAsia="ko-KR"/>
        </w:rPr>
        <w:t>. The co-chairs nominated</w:t>
      </w:r>
      <w:r w:rsidR="002D5462">
        <w:rPr>
          <w:sz w:val="22"/>
          <w:szCs w:val="22"/>
          <w:lang w:eastAsia="ko-KR"/>
        </w:rPr>
        <w:t xml:space="preserve"> </w:t>
      </w:r>
      <w:r w:rsidR="00C51AAC">
        <w:rPr>
          <w:sz w:val="22"/>
          <w:szCs w:val="22"/>
          <w:lang w:eastAsia="ko-KR"/>
        </w:rPr>
        <w:t xml:space="preserve"> </w:t>
      </w:r>
      <w:r w:rsidR="002D5462" w:rsidRPr="006220EA">
        <w:rPr>
          <w:bCs/>
          <w:kern w:val="22"/>
          <w:sz w:val="22"/>
          <w:szCs w:val="22"/>
          <w:lang w:eastAsia="ko-KR"/>
        </w:rPr>
        <w:t>Mr. David Johnson (GOBI)</w:t>
      </w:r>
      <w:r w:rsidR="002D5462">
        <w:rPr>
          <w:bCs/>
          <w:kern w:val="22"/>
          <w:sz w:val="22"/>
          <w:szCs w:val="22"/>
          <w:lang w:eastAsia="ko-KR"/>
        </w:rPr>
        <w:t xml:space="preserve"> as </w:t>
      </w:r>
      <w:r w:rsidRPr="006220EA">
        <w:rPr>
          <w:sz w:val="22"/>
          <w:szCs w:val="22"/>
          <w:lang w:eastAsia="ko-KR"/>
        </w:rPr>
        <w:t xml:space="preserve">rapporteur to assist the CBD Secretariat in preparing the draft workshop report on the </w:t>
      </w:r>
      <w:r w:rsidR="002D5462">
        <w:rPr>
          <w:sz w:val="22"/>
          <w:szCs w:val="22"/>
          <w:lang w:eastAsia="ko-KR"/>
        </w:rPr>
        <w:t xml:space="preserve">workshop </w:t>
      </w:r>
      <w:r w:rsidRPr="006220EA">
        <w:rPr>
          <w:sz w:val="22"/>
          <w:szCs w:val="22"/>
          <w:lang w:eastAsia="ko-KR"/>
        </w:rPr>
        <w:t xml:space="preserve">discussions </w:t>
      </w:r>
      <w:r w:rsidR="002D5462">
        <w:rPr>
          <w:sz w:val="22"/>
          <w:szCs w:val="22"/>
          <w:lang w:eastAsia="ko-KR"/>
        </w:rPr>
        <w:t>with respect</w:t>
      </w:r>
      <w:r w:rsidR="00FD155C" w:rsidRPr="006220EA">
        <w:rPr>
          <w:sz w:val="22"/>
          <w:szCs w:val="22"/>
          <w:lang w:eastAsia="ko-KR"/>
        </w:rPr>
        <w:t xml:space="preserve"> to agenda item 6</w:t>
      </w:r>
      <w:r w:rsidR="002D5462">
        <w:rPr>
          <w:sz w:val="22"/>
          <w:szCs w:val="22"/>
          <w:lang w:eastAsia="ko-KR"/>
        </w:rPr>
        <w:t>.</w:t>
      </w:r>
    </w:p>
    <w:p w14:paraId="7CA58FD8" w14:textId="77777777" w:rsidR="00CF41A5" w:rsidRPr="006220EA" w:rsidRDefault="004D21E2" w:rsidP="00A306BB">
      <w:pPr>
        <w:pStyle w:val="Heading1"/>
        <w:rPr>
          <w:szCs w:val="22"/>
        </w:rPr>
      </w:pPr>
      <w:r w:rsidRPr="006220EA">
        <w:rPr>
          <w:szCs w:val="22"/>
        </w:rPr>
        <w:t>ITEM 3.</w:t>
      </w:r>
      <w:r w:rsidRPr="006220EA">
        <w:rPr>
          <w:szCs w:val="22"/>
        </w:rPr>
        <w:tab/>
      </w:r>
      <w:r w:rsidR="00CF41A5" w:rsidRPr="006220EA">
        <w:rPr>
          <w:szCs w:val="22"/>
        </w:rPr>
        <w:t>Workshop background, scope and output</w:t>
      </w:r>
    </w:p>
    <w:p w14:paraId="768C508B" w14:textId="6A07514B" w:rsidR="00F952A8" w:rsidRPr="006220EA" w:rsidRDefault="00CE39DC" w:rsidP="006220EA">
      <w:pPr>
        <w:autoSpaceDE w:val="0"/>
        <w:autoSpaceDN w:val="0"/>
        <w:adjustRightInd w:val="0"/>
        <w:spacing w:afterLines="50" w:after="120"/>
        <w:jc w:val="both"/>
        <w:rPr>
          <w:sz w:val="22"/>
          <w:szCs w:val="22"/>
        </w:rPr>
      </w:pPr>
      <w:r w:rsidRPr="006220EA">
        <w:rPr>
          <w:sz w:val="22"/>
          <w:szCs w:val="22"/>
        </w:rPr>
        <w:t>1</w:t>
      </w:r>
      <w:r w:rsidR="00EE3AF9">
        <w:rPr>
          <w:sz w:val="22"/>
          <w:szCs w:val="22"/>
        </w:rPr>
        <w:t>5</w:t>
      </w:r>
      <w:r w:rsidRPr="006220EA">
        <w:rPr>
          <w:sz w:val="22"/>
          <w:szCs w:val="22"/>
        </w:rPr>
        <w:t>.</w:t>
      </w:r>
      <w:r w:rsidRPr="006220EA">
        <w:rPr>
          <w:sz w:val="22"/>
          <w:szCs w:val="22"/>
        </w:rPr>
        <w:tab/>
      </w:r>
      <w:r w:rsidR="00F952A8" w:rsidRPr="006220EA">
        <w:rPr>
          <w:sz w:val="22"/>
          <w:szCs w:val="22"/>
        </w:rPr>
        <w:t>Under this agenda item, participants were provided with a series of presentations during the training day, including presentations on the scientific aspects of the EBSA criteria</w:t>
      </w:r>
      <w:r w:rsidR="00FD155C" w:rsidRPr="006220EA">
        <w:rPr>
          <w:sz w:val="22"/>
          <w:szCs w:val="22"/>
        </w:rPr>
        <w:t xml:space="preserve"> and</w:t>
      </w:r>
      <w:r w:rsidR="00F952A8" w:rsidRPr="006220EA">
        <w:rPr>
          <w:sz w:val="22"/>
          <w:szCs w:val="22"/>
        </w:rPr>
        <w:t xml:space="preserve"> the application of the EBSA criteria:</w:t>
      </w:r>
    </w:p>
    <w:p w14:paraId="7FFAE718" w14:textId="35C68715" w:rsidR="00F952A8" w:rsidRPr="006220EA" w:rsidRDefault="00F952A8" w:rsidP="002E4B39">
      <w:pPr>
        <w:pStyle w:val="ListParagraph"/>
        <w:numPr>
          <w:ilvl w:val="0"/>
          <w:numId w:val="60"/>
        </w:numPr>
        <w:autoSpaceDE w:val="0"/>
        <w:autoSpaceDN w:val="0"/>
        <w:adjustRightInd w:val="0"/>
        <w:spacing w:before="120" w:afterLines="50" w:after="120"/>
        <w:ind w:leftChars="0" w:left="0" w:firstLine="698"/>
        <w:rPr>
          <w:szCs w:val="22"/>
          <w:lang w:val="en-US" w:eastAsia="ko-KR"/>
        </w:rPr>
      </w:pPr>
      <w:r w:rsidRPr="006220EA">
        <w:rPr>
          <w:szCs w:val="22"/>
        </w:rPr>
        <w:t xml:space="preserve">Mr. Joseph Appiott (CBD Secretariat) </w:t>
      </w:r>
      <w:r w:rsidR="00EE73BF" w:rsidRPr="006220EA">
        <w:rPr>
          <w:szCs w:val="22"/>
        </w:rPr>
        <w:t xml:space="preserve">delivered a </w:t>
      </w:r>
      <w:r w:rsidRPr="006220EA">
        <w:rPr>
          <w:szCs w:val="22"/>
        </w:rPr>
        <w:t>presentation on the work of the CBD on EBSAs and the global context for the workshop;</w:t>
      </w:r>
    </w:p>
    <w:p w14:paraId="1DC8F6CF" w14:textId="183AF1D6" w:rsidR="00C622E1" w:rsidRPr="00C622E1" w:rsidRDefault="00C622E1" w:rsidP="002E4B39">
      <w:pPr>
        <w:pStyle w:val="ListParagraph"/>
        <w:numPr>
          <w:ilvl w:val="0"/>
          <w:numId w:val="60"/>
        </w:numPr>
        <w:autoSpaceDE w:val="0"/>
        <w:autoSpaceDN w:val="0"/>
        <w:adjustRightInd w:val="0"/>
        <w:spacing w:before="120" w:afterLines="50" w:after="120"/>
        <w:ind w:leftChars="0" w:left="0" w:firstLine="698"/>
        <w:rPr>
          <w:szCs w:val="22"/>
          <w:lang w:val="en-US" w:eastAsia="ko-KR"/>
        </w:rPr>
      </w:pPr>
      <w:r w:rsidRPr="00C622E1">
        <w:rPr>
          <w:szCs w:val="22"/>
          <w:lang w:val="en-US" w:eastAsia="ko-KR"/>
        </w:rPr>
        <w:t>Ms. Hedvig Hogfors</w:t>
      </w:r>
      <w:r>
        <w:rPr>
          <w:szCs w:val="22"/>
          <w:lang w:val="en-US" w:eastAsia="ko-KR"/>
        </w:rPr>
        <w:t xml:space="preserve"> </w:t>
      </w:r>
      <w:r w:rsidRPr="00C622E1">
        <w:rPr>
          <w:szCs w:val="22"/>
          <w:lang w:val="en-US" w:eastAsia="ko-KR"/>
        </w:rPr>
        <w:t>(</w:t>
      </w:r>
      <w:r>
        <w:rPr>
          <w:szCs w:val="22"/>
          <w:lang w:val="en-US" w:eastAsia="ko-KR"/>
        </w:rPr>
        <w:t xml:space="preserve">Sweden) delivered a presentation on </w:t>
      </w:r>
      <w:r w:rsidRPr="00C622E1">
        <w:rPr>
          <w:szCs w:val="22"/>
          <w:lang w:val="en-US" w:eastAsia="ko-KR"/>
        </w:rPr>
        <w:t>Mosaic</w:t>
      </w:r>
      <w:r>
        <w:rPr>
          <w:szCs w:val="22"/>
          <w:lang w:val="en-US" w:eastAsia="ko-KR"/>
        </w:rPr>
        <w:t>,</w:t>
      </w:r>
      <w:r w:rsidRPr="00C622E1">
        <w:rPr>
          <w:szCs w:val="22"/>
          <w:lang w:val="en-US" w:eastAsia="ko-KR"/>
        </w:rPr>
        <w:t xml:space="preserve"> a new framework </w:t>
      </w:r>
      <w:r>
        <w:rPr>
          <w:szCs w:val="22"/>
          <w:lang w:val="en-US" w:eastAsia="ko-KR"/>
        </w:rPr>
        <w:t xml:space="preserve">in Sweden </w:t>
      </w:r>
      <w:r w:rsidRPr="00C622E1">
        <w:rPr>
          <w:szCs w:val="22"/>
          <w:lang w:val="en-US" w:eastAsia="ko-KR"/>
        </w:rPr>
        <w:t xml:space="preserve">to facilitate </w:t>
      </w:r>
      <w:r w:rsidR="00FE0291">
        <w:rPr>
          <w:szCs w:val="22"/>
          <w:lang w:val="en-US" w:eastAsia="ko-KR"/>
        </w:rPr>
        <w:t xml:space="preserve">the </w:t>
      </w:r>
      <w:r w:rsidRPr="00C622E1">
        <w:rPr>
          <w:szCs w:val="22"/>
          <w:lang w:val="en-US" w:eastAsia="ko-KR"/>
        </w:rPr>
        <w:t>ecosystem approach to spatial management</w:t>
      </w:r>
      <w:r>
        <w:rPr>
          <w:szCs w:val="22"/>
          <w:lang w:val="en-US" w:eastAsia="ko-KR"/>
        </w:rPr>
        <w:t>;</w:t>
      </w:r>
    </w:p>
    <w:p w14:paraId="5C8453A9" w14:textId="5DB63972" w:rsidR="007E2B66" w:rsidRPr="006220EA" w:rsidRDefault="00F952A8" w:rsidP="002E4B39">
      <w:pPr>
        <w:pStyle w:val="ListParagraph"/>
        <w:numPr>
          <w:ilvl w:val="0"/>
          <w:numId w:val="60"/>
        </w:numPr>
        <w:autoSpaceDE w:val="0"/>
        <w:autoSpaceDN w:val="0"/>
        <w:adjustRightInd w:val="0"/>
        <w:spacing w:before="120" w:afterLines="50" w:after="120"/>
        <w:ind w:leftChars="0" w:left="0" w:firstLine="698"/>
        <w:rPr>
          <w:szCs w:val="22"/>
          <w:lang w:val="en-US" w:eastAsia="ko-KR"/>
        </w:rPr>
      </w:pPr>
      <w:r w:rsidRPr="006220EA">
        <w:rPr>
          <w:bCs/>
          <w:kern w:val="22"/>
          <w:szCs w:val="22"/>
          <w:lang w:eastAsia="ko-KR"/>
        </w:rPr>
        <w:lastRenderedPageBreak/>
        <w:t xml:space="preserve">Ms. </w:t>
      </w:r>
      <w:r w:rsidR="00563356" w:rsidRPr="006220EA">
        <w:rPr>
          <w:bCs/>
          <w:kern w:val="22"/>
          <w:szCs w:val="22"/>
          <w:lang w:eastAsia="ko-KR"/>
        </w:rPr>
        <w:t>Lena Avellan</w:t>
      </w:r>
      <w:r w:rsidR="005218B1" w:rsidRPr="006220EA">
        <w:rPr>
          <w:bCs/>
          <w:kern w:val="22"/>
          <w:szCs w:val="22"/>
          <w:lang w:eastAsia="ko-KR"/>
        </w:rPr>
        <w:t xml:space="preserve"> (</w:t>
      </w:r>
      <w:r w:rsidR="00563356" w:rsidRPr="006220EA">
        <w:rPr>
          <w:bCs/>
          <w:kern w:val="22"/>
          <w:szCs w:val="22"/>
          <w:lang w:eastAsia="ko-KR"/>
        </w:rPr>
        <w:t>OSPAR Commission</w:t>
      </w:r>
      <w:r w:rsidR="005218B1" w:rsidRPr="006220EA">
        <w:rPr>
          <w:bCs/>
          <w:kern w:val="22"/>
          <w:szCs w:val="22"/>
          <w:lang w:eastAsia="ko-KR"/>
        </w:rPr>
        <w:t xml:space="preserve">) </w:t>
      </w:r>
      <w:r w:rsidR="00EE73BF" w:rsidRPr="006220EA">
        <w:rPr>
          <w:bCs/>
          <w:kern w:val="22"/>
          <w:szCs w:val="22"/>
          <w:lang w:eastAsia="ko-KR"/>
        </w:rPr>
        <w:t xml:space="preserve">delivered a presentation </w:t>
      </w:r>
      <w:r w:rsidR="00CE56A8">
        <w:rPr>
          <w:bCs/>
          <w:kern w:val="22"/>
          <w:szCs w:val="22"/>
          <w:lang w:eastAsia="ko-KR"/>
        </w:rPr>
        <w:t xml:space="preserve">on the role and mandate of the OSPAR Commission, and its work in assessing the state of the marine environment, and the forthcoming 2023 OSPAR Quality Status Report, </w:t>
      </w:r>
      <w:r w:rsidR="00CE56A8">
        <w:rPr>
          <w:bCs/>
          <w:kern w:val="22"/>
          <w:szCs w:val="22"/>
          <w:lang w:val="en-CA" w:eastAsia="ko-KR"/>
        </w:rPr>
        <w:t>which will</w:t>
      </w:r>
      <w:r w:rsidR="00CE56A8" w:rsidRPr="00CE56A8">
        <w:rPr>
          <w:bCs/>
          <w:kern w:val="22"/>
          <w:szCs w:val="22"/>
          <w:lang w:val="en-CA" w:eastAsia="ko-KR"/>
        </w:rPr>
        <w:t xml:space="preserve"> evaluate the North-East Atlantic Environment Strategy 2010-2020</w:t>
      </w:r>
      <w:r w:rsidRPr="006220EA">
        <w:rPr>
          <w:bCs/>
          <w:kern w:val="22"/>
          <w:szCs w:val="22"/>
          <w:lang w:eastAsia="ko-KR"/>
        </w:rPr>
        <w:t>;</w:t>
      </w:r>
    </w:p>
    <w:p w14:paraId="5352D858" w14:textId="516ED222" w:rsidR="007E2B66" w:rsidRPr="00CE56A8" w:rsidRDefault="007E2B66" w:rsidP="002E4B39">
      <w:pPr>
        <w:pStyle w:val="ListParagraph"/>
        <w:numPr>
          <w:ilvl w:val="0"/>
          <w:numId w:val="60"/>
        </w:numPr>
        <w:autoSpaceDE w:val="0"/>
        <w:autoSpaceDN w:val="0"/>
        <w:adjustRightInd w:val="0"/>
        <w:spacing w:before="120" w:afterLines="50" w:after="120"/>
        <w:ind w:leftChars="0" w:left="0" w:firstLine="698"/>
        <w:rPr>
          <w:color w:val="000000" w:themeColor="text1"/>
          <w:szCs w:val="22"/>
          <w:lang w:val="en-US" w:eastAsia="ko-KR"/>
        </w:rPr>
      </w:pPr>
      <w:r w:rsidRPr="006220EA">
        <w:rPr>
          <w:szCs w:val="22"/>
        </w:rPr>
        <w:t>M</w:t>
      </w:r>
      <w:r w:rsidR="00563356" w:rsidRPr="006220EA">
        <w:rPr>
          <w:szCs w:val="22"/>
        </w:rPr>
        <w:t>r</w:t>
      </w:r>
      <w:r w:rsidRPr="006220EA">
        <w:rPr>
          <w:szCs w:val="22"/>
        </w:rPr>
        <w:t xml:space="preserve">. </w:t>
      </w:r>
      <w:r w:rsidR="00563356" w:rsidRPr="006220EA">
        <w:rPr>
          <w:szCs w:val="22"/>
        </w:rPr>
        <w:t xml:space="preserve">Darius Campbell </w:t>
      </w:r>
      <w:r w:rsidRPr="006220EA">
        <w:rPr>
          <w:szCs w:val="22"/>
        </w:rPr>
        <w:t>(</w:t>
      </w:r>
      <w:r w:rsidR="00563356" w:rsidRPr="006220EA">
        <w:rPr>
          <w:szCs w:val="22"/>
        </w:rPr>
        <w:t>NEAFC</w:t>
      </w:r>
      <w:r w:rsidRPr="006220EA">
        <w:rPr>
          <w:szCs w:val="22"/>
        </w:rPr>
        <w:t xml:space="preserve">) </w:t>
      </w:r>
      <w:r w:rsidR="00EE73BF" w:rsidRPr="006220EA">
        <w:rPr>
          <w:bCs/>
          <w:kern w:val="22"/>
          <w:szCs w:val="22"/>
          <w:lang w:eastAsia="ko-KR"/>
        </w:rPr>
        <w:t xml:space="preserve">delivered a presentation </w:t>
      </w:r>
      <w:r w:rsidR="00CE56A8">
        <w:rPr>
          <w:bCs/>
          <w:kern w:val="22"/>
          <w:szCs w:val="22"/>
          <w:lang w:eastAsia="ko-KR"/>
        </w:rPr>
        <w:t xml:space="preserve">on the role and mandate of the NEAFC, </w:t>
      </w:r>
      <w:r w:rsidR="00CE56A8" w:rsidRPr="00CE56A8">
        <w:rPr>
          <w:bCs/>
          <w:kern w:val="22"/>
          <w:szCs w:val="22"/>
          <w:lang w:val="en-US" w:eastAsia="ko-KR"/>
        </w:rPr>
        <w:t xml:space="preserve">the background </w:t>
      </w:r>
      <w:r w:rsidR="00CE56A8">
        <w:rPr>
          <w:bCs/>
          <w:kern w:val="22"/>
          <w:szCs w:val="22"/>
          <w:lang w:val="en-US" w:eastAsia="ko-KR"/>
        </w:rPr>
        <w:t>of</w:t>
      </w:r>
      <w:r w:rsidR="00CE56A8" w:rsidRPr="00CE56A8">
        <w:rPr>
          <w:bCs/>
          <w:kern w:val="22"/>
          <w:szCs w:val="22"/>
          <w:lang w:val="en-US" w:eastAsia="ko-KR"/>
        </w:rPr>
        <w:t xml:space="preserve"> inter-sectoral cooperation with OSPAR </w:t>
      </w:r>
      <w:r w:rsidR="00CE56A8">
        <w:rPr>
          <w:bCs/>
          <w:kern w:val="22"/>
          <w:szCs w:val="22"/>
          <w:lang w:val="en-US" w:eastAsia="ko-KR"/>
        </w:rPr>
        <w:t xml:space="preserve">and </w:t>
      </w:r>
      <w:r w:rsidR="00606D08">
        <w:rPr>
          <w:bCs/>
          <w:color w:val="000000" w:themeColor="text1"/>
          <w:kern w:val="22"/>
          <w:szCs w:val="22"/>
          <w:lang w:val="en-US" w:eastAsia="ko-KR"/>
        </w:rPr>
        <w:t>on</w:t>
      </w:r>
      <w:r w:rsidR="00CE56A8" w:rsidRPr="00CE56A8">
        <w:rPr>
          <w:bCs/>
          <w:color w:val="000000" w:themeColor="text1"/>
          <w:kern w:val="22"/>
          <w:szCs w:val="22"/>
          <w:lang w:val="en-US" w:eastAsia="ko-KR"/>
        </w:rPr>
        <w:t xml:space="preserve"> previous efforts towards identifying EBSAs in the region, which strengthened regional cooperation;</w:t>
      </w:r>
    </w:p>
    <w:p w14:paraId="102228A8" w14:textId="23804E2D" w:rsidR="007E2B66" w:rsidRPr="00CE56A8" w:rsidRDefault="007E2B66" w:rsidP="002E4B39">
      <w:pPr>
        <w:pStyle w:val="ListParagraph"/>
        <w:numPr>
          <w:ilvl w:val="0"/>
          <w:numId w:val="60"/>
        </w:numPr>
        <w:autoSpaceDE w:val="0"/>
        <w:autoSpaceDN w:val="0"/>
        <w:adjustRightInd w:val="0"/>
        <w:spacing w:before="120" w:afterLines="50" w:after="120"/>
        <w:ind w:leftChars="0" w:left="0" w:firstLine="698"/>
        <w:rPr>
          <w:color w:val="000000" w:themeColor="text1"/>
          <w:szCs w:val="22"/>
          <w:lang w:val="en-US" w:eastAsia="ko-KR"/>
        </w:rPr>
      </w:pPr>
      <w:r w:rsidRPr="00CE56A8">
        <w:rPr>
          <w:color w:val="000000" w:themeColor="text1"/>
          <w:szCs w:val="22"/>
        </w:rPr>
        <w:t xml:space="preserve">Mr. </w:t>
      </w:r>
      <w:r w:rsidR="00563356" w:rsidRPr="00CE56A8">
        <w:rPr>
          <w:color w:val="000000" w:themeColor="text1"/>
          <w:szCs w:val="22"/>
        </w:rPr>
        <w:t>Eugene Nixon</w:t>
      </w:r>
      <w:r w:rsidRPr="00CE56A8">
        <w:rPr>
          <w:color w:val="000000" w:themeColor="text1"/>
          <w:szCs w:val="22"/>
        </w:rPr>
        <w:t xml:space="preserve"> (</w:t>
      </w:r>
      <w:r w:rsidR="00563356" w:rsidRPr="00CE56A8">
        <w:rPr>
          <w:color w:val="000000" w:themeColor="text1"/>
          <w:szCs w:val="22"/>
        </w:rPr>
        <w:t>ICES</w:t>
      </w:r>
      <w:r w:rsidRPr="00CE56A8">
        <w:rPr>
          <w:color w:val="000000" w:themeColor="text1"/>
          <w:szCs w:val="22"/>
        </w:rPr>
        <w:t xml:space="preserve">) </w:t>
      </w:r>
      <w:r w:rsidR="00EE73BF" w:rsidRPr="00CE56A8">
        <w:rPr>
          <w:bCs/>
          <w:color w:val="000000" w:themeColor="text1"/>
          <w:kern w:val="22"/>
          <w:szCs w:val="22"/>
          <w:lang w:eastAsia="ko-KR"/>
        </w:rPr>
        <w:t>delivered a presentation on work under ICES relevant to the workshop discussions</w:t>
      </w:r>
      <w:r w:rsidR="00CE56A8" w:rsidRPr="00CE56A8">
        <w:rPr>
          <w:color w:val="000000" w:themeColor="text1"/>
          <w:szCs w:val="22"/>
        </w:rPr>
        <w:t xml:space="preserve"> and explained the role o</w:t>
      </w:r>
      <w:r w:rsidR="00CE56A8" w:rsidRPr="00CE56A8">
        <w:rPr>
          <w:color w:val="000000" w:themeColor="text1"/>
          <w:szCs w:val="22"/>
          <w:shd w:val="clear" w:color="auto" w:fill="FFFFFF"/>
        </w:rPr>
        <w:t>f ICES as an intergovernmental scientific organization that provides independent evidence-based advice on marine-related issues to OSPAR and NEAFC;</w:t>
      </w:r>
    </w:p>
    <w:p w14:paraId="0BBB0E91" w14:textId="2400F889" w:rsidR="007E2B66" w:rsidRPr="006220EA" w:rsidRDefault="007E2B66" w:rsidP="002E4B39">
      <w:pPr>
        <w:numPr>
          <w:ilvl w:val="0"/>
          <w:numId w:val="60"/>
        </w:numPr>
        <w:spacing w:before="120" w:after="50"/>
        <w:ind w:left="0" w:firstLine="698"/>
        <w:jc w:val="both"/>
        <w:rPr>
          <w:sz w:val="22"/>
          <w:szCs w:val="22"/>
        </w:rPr>
      </w:pPr>
      <w:r w:rsidRPr="006220EA">
        <w:rPr>
          <w:sz w:val="22"/>
          <w:szCs w:val="22"/>
        </w:rPr>
        <w:t xml:space="preserve">Ms. </w:t>
      </w:r>
      <w:r w:rsidR="00563356" w:rsidRPr="006220EA">
        <w:rPr>
          <w:sz w:val="22"/>
          <w:szCs w:val="22"/>
        </w:rPr>
        <w:t>Jihyun Lee</w:t>
      </w:r>
      <w:r w:rsidRPr="006220EA">
        <w:rPr>
          <w:sz w:val="22"/>
          <w:szCs w:val="22"/>
        </w:rPr>
        <w:t xml:space="preserve"> (</w:t>
      </w:r>
      <w:r w:rsidR="00563356" w:rsidRPr="006220EA">
        <w:rPr>
          <w:sz w:val="22"/>
          <w:szCs w:val="22"/>
        </w:rPr>
        <w:t>ISA</w:t>
      </w:r>
      <w:r w:rsidR="0046370D">
        <w:rPr>
          <w:sz w:val="22"/>
          <w:szCs w:val="22"/>
        </w:rPr>
        <w:t xml:space="preserve"> Secretariat</w:t>
      </w:r>
      <w:r w:rsidRPr="006220EA">
        <w:rPr>
          <w:sz w:val="22"/>
          <w:szCs w:val="22"/>
        </w:rPr>
        <w:t xml:space="preserve">) </w:t>
      </w:r>
      <w:r w:rsidR="00EE73BF" w:rsidRPr="006220EA">
        <w:rPr>
          <w:bCs/>
          <w:kern w:val="22"/>
          <w:sz w:val="22"/>
          <w:szCs w:val="22"/>
          <w:lang w:eastAsia="ko-KR"/>
        </w:rPr>
        <w:t>delivered a presentation on work under the ISA relevant to the workshop discussion</w:t>
      </w:r>
      <w:r w:rsidR="00CE56A8">
        <w:rPr>
          <w:bCs/>
          <w:kern w:val="22"/>
          <w:sz w:val="22"/>
          <w:szCs w:val="22"/>
          <w:lang w:eastAsia="ko-KR"/>
        </w:rPr>
        <w:t>s, including scientific data</w:t>
      </w:r>
      <w:r w:rsidR="00CE56A8" w:rsidRPr="00CE56A8">
        <w:rPr>
          <w:bCs/>
          <w:kern w:val="22"/>
          <w:sz w:val="22"/>
          <w:szCs w:val="22"/>
          <w:lang w:eastAsia="ko-KR"/>
        </w:rPr>
        <w:t xml:space="preserve"> </w:t>
      </w:r>
      <w:r w:rsidR="00CE56A8">
        <w:rPr>
          <w:bCs/>
          <w:kern w:val="22"/>
          <w:sz w:val="22"/>
          <w:szCs w:val="22"/>
          <w:lang w:eastAsia="ko-KR"/>
        </w:rPr>
        <w:t>collected through</w:t>
      </w:r>
      <w:r w:rsidR="00CE56A8" w:rsidRPr="00CE56A8">
        <w:rPr>
          <w:bCs/>
          <w:kern w:val="22"/>
          <w:sz w:val="22"/>
          <w:szCs w:val="22"/>
          <w:lang w:eastAsia="ko-KR"/>
        </w:rPr>
        <w:t xml:space="preserve"> exploration activities</w:t>
      </w:r>
      <w:r w:rsidR="00CE56A8">
        <w:rPr>
          <w:bCs/>
          <w:kern w:val="22"/>
          <w:sz w:val="22"/>
          <w:szCs w:val="22"/>
          <w:lang w:eastAsia="ko-KR"/>
        </w:rPr>
        <w:t xml:space="preserve">, which supports </w:t>
      </w:r>
      <w:r w:rsidR="00CE56A8" w:rsidRPr="00CE56A8">
        <w:rPr>
          <w:bCs/>
          <w:kern w:val="22"/>
          <w:sz w:val="22"/>
          <w:szCs w:val="22"/>
          <w:lang w:eastAsia="ko-KR"/>
        </w:rPr>
        <w:t>the effective implementation of ISA’s environmental management system, together with scientific analysis, modeling and observations being undertaken by other scientific groups</w:t>
      </w:r>
      <w:r w:rsidR="00CE56A8">
        <w:rPr>
          <w:bCs/>
          <w:kern w:val="22"/>
          <w:sz w:val="22"/>
          <w:szCs w:val="22"/>
          <w:lang w:eastAsia="ko-KR"/>
        </w:rPr>
        <w:t>;</w:t>
      </w:r>
    </w:p>
    <w:p w14:paraId="084FC0BB" w14:textId="0C43D670" w:rsidR="00F952A8" w:rsidRPr="006220EA" w:rsidRDefault="00F952A8" w:rsidP="002E4B39">
      <w:pPr>
        <w:pStyle w:val="ListParagraph"/>
        <w:numPr>
          <w:ilvl w:val="0"/>
          <w:numId w:val="60"/>
        </w:numPr>
        <w:autoSpaceDE w:val="0"/>
        <w:autoSpaceDN w:val="0"/>
        <w:adjustRightInd w:val="0"/>
        <w:spacing w:before="120" w:afterLines="50" w:after="120"/>
        <w:ind w:leftChars="0" w:left="0" w:firstLine="698"/>
        <w:rPr>
          <w:szCs w:val="22"/>
          <w:lang w:val="en-US" w:eastAsia="ko-KR"/>
        </w:rPr>
      </w:pPr>
      <w:r w:rsidRPr="006220EA">
        <w:rPr>
          <w:szCs w:val="22"/>
        </w:rPr>
        <w:t>M</w:t>
      </w:r>
      <w:r w:rsidR="00E84EAF" w:rsidRPr="006220EA">
        <w:rPr>
          <w:szCs w:val="22"/>
        </w:rPr>
        <w:t>r</w:t>
      </w:r>
      <w:r w:rsidRPr="006220EA">
        <w:rPr>
          <w:szCs w:val="22"/>
        </w:rPr>
        <w:t>. Patrick Halpin (</w:t>
      </w:r>
      <w:r w:rsidRPr="006220EA">
        <w:rPr>
          <w:color w:val="000000"/>
          <w:szCs w:val="22"/>
          <w:lang w:val="en-US" w:eastAsia="ko-KR"/>
        </w:rPr>
        <w:t>technical support team</w:t>
      </w:r>
      <w:r w:rsidRPr="006220EA">
        <w:rPr>
          <w:szCs w:val="22"/>
        </w:rPr>
        <w:t>) gave a presentation on the scientific criteria for EBSAs and approaches and experiences in the description of areas meeting the EBSA criteria;</w:t>
      </w:r>
    </w:p>
    <w:p w14:paraId="76A16E18" w14:textId="77777777" w:rsidR="00F952A8" w:rsidRPr="006220EA" w:rsidRDefault="00F952A8" w:rsidP="002E4B39">
      <w:pPr>
        <w:pStyle w:val="ListParagraph"/>
        <w:numPr>
          <w:ilvl w:val="0"/>
          <w:numId w:val="60"/>
        </w:numPr>
        <w:autoSpaceDE w:val="0"/>
        <w:autoSpaceDN w:val="0"/>
        <w:adjustRightInd w:val="0"/>
        <w:spacing w:before="120" w:afterLines="50" w:after="120"/>
        <w:ind w:leftChars="0" w:left="0" w:firstLine="698"/>
        <w:rPr>
          <w:szCs w:val="22"/>
          <w:lang w:val="en-US" w:eastAsia="ko-KR"/>
        </w:rPr>
      </w:pPr>
      <w:r w:rsidRPr="006220EA">
        <w:rPr>
          <w:szCs w:val="22"/>
        </w:rPr>
        <w:t>Mr. Patrick Halpin (</w:t>
      </w:r>
      <w:r w:rsidRPr="006220EA">
        <w:rPr>
          <w:color w:val="000000"/>
          <w:szCs w:val="22"/>
          <w:lang w:val="en-US" w:eastAsia="ko-KR"/>
        </w:rPr>
        <w:t>technical support team</w:t>
      </w:r>
      <w:r w:rsidRPr="006220EA">
        <w:rPr>
          <w:szCs w:val="22"/>
        </w:rPr>
        <w:t>) gave a presentation on the scientific information compiled for the workshop;</w:t>
      </w:r>
    </w:p>
    <w:p w14:paraId="729C0F2A" w14:textId="6AE9809F" w:rsidR="007E2B66" w:rsidRPr="006220EA" w:rsidRDefault="007E2B66" w:rsidP="006220EA">
      <w:pPr>
        <w:autoSpaceDE w:val="0"/>
        <w:autoSpaceDN w:val="0"/>
        <w:adjustRightInd w:val="0"/>
        <w:spacing w:after="120"/>
        <w:jc w:val="both"/>
        <w:rPr>
          <w:sz w:val="22"/>
          <w:szCs w:val="22"/>
          <w:lang w:val="en-US" w:eastAsia="ko-KR"/>
        </w:rPr>
      </w:pPr>
      <w:r w:rsidRPr="006220EA">
        <w:rPr>
          <w:sz w:val="22"/>
          <w:szCs w:val="22"/>
          <w:lang w:val="en-US" w:eastAsia="ko-KR"/>
        </w:rPr>
        <w:t>1</w:t>
      </w:r>
      <w:r w:rsidR="00EE3AF9">
        <w:rPr>
          <w:sz w:val="22"/>
          <w:szCs w:val="22"/>
          <w:lang w:val="en-US" w:eastAsia="ko-KR"/>
        </w:rPr>
        <w:t>6</w:t>
      </w:r>
      <w:r w:rsidRPr="006220EA">
        <w:rPr>
          <w:sz w:val="22"/>
          <w:szCs w:val="22"/>
          <w:lang w:val="en-US" w:eastAsia="ko-KR"/>
        </w:rPr>
        <w:t>.</w:t>
      </w:r>
      <w:r w:rsidRPr="006220EA">
        <w:rPr>
          <w:sz w:val="22"/>
          <w:szCs w:val="22"/>
          <w:lang w:val="en-US" w:eastAsia="ko-KR"/>
        </w:rPr>
        <w:tab/>
        <w:t>Summaries of the above presentations are provided in annex II.</w:t>
      </w:r>
    </w:p>
    <w:p w14:paraId="59B933E7" w14:textId="2186421C" w:rsidR="00F952A8" w:rsidRPr="006220EA" w:rsidRDefault="007E2B66" w:rsidP="006220EA">
      <w:pPr>
        <w:autoSpaceDE w:val="0"/>
        <w:autoSpaceDN w:val="0"/>
        <w:adjustRightInd w:val="0"/>
        <w:spacing w:afterLines="50" w:after="120"/>
        <w:jc w:val="both"/>
        <w:rPr>
          <w:sz w:val="22"/>
          <w:szCs w:val="22"/>
          <w:lang w:val="en-US" w:eastAsia="ko-KR"/>
        </w:rPr>
      </w:pPr>
      <w:r w:rsidRPr="006220EA">
        <w:rPr>
          <w:sz w:val="22"/>
          <w:szCs w:val="22"/>
          <w:lang w:val="en-US" w:eastAsia="ko-KR"/>
        </w:rPr>
        <w:t>1</w:t>
      </w:r>
      <w:r w:rsidR="00EE3AF9">
        <w:rPr>
          <w:sz w:val="22"/>
          <w:szCs w:val="22"/>
          <w:lang w:val="en-US" w:eastAsia="ko-KR"/>
        </w:rPr>
        <w:t>7</w:t>
      </w:r>
      <w:r w:rsidR="00F952A8" w:rsidRPr="006220EA">
        <w:rPr>
          <w:sz w:val="22"/>
          <w:szCs w:val="22"/>
          <w:lang w:val="en-US" w:eastAsia="ko-KR"/>
        </w:rPr>
        <w:t>.</w:t>
      </w:r>
      <w:r w:rsidR="00F952A8" w:rsidRPr="006220EA">
        <w:rPr>
          <w:sz w:val="22"/>
          <w:szCs w:val="22"/>
          <w:lang w:val="en-US" w:eastAsia="ko-KR"/>
        </w:rPr>
        <w:tab/>
        <w:t>M</w:t>
      </w:r>
      <w:r w:rsidR="00B543D0" w:rsidRPr="006220EA">
        <w:rPr>
          <w:sz w:val="22"/>
          <w:szCs w:val="22"/>
          <w:lang w:val="en-US" w:eastAsia="ko-KR"/>
        </w:rPr>
        <w:t>r. Joseph Appiott</w:t>
      </w:r>
      <w:r w:rsidR="00F952A8" w:rsidRPr="006220EA">
        <w:rPr>
          <w:sz w:val="22"/>
          <w:szCs w:val="22"/>
          <w:lang w:val="en-US" w:eastAsia="ko-KR"/>
        </w:rPr>
        <w:t xml:space="preserve"> (CBD Secretariat) briefed the </w:t>
      </w:r>
      <w:r w:rsidR="00606D08">
        <w:rPr>
          <w:sz w:val="22"/>
          <w:szCs w:val="22"/>
          <w:lang w:val="en-US" w:eastAsia="ko-KR"/>
        </w:rPr>
        <w:t>participants</w:t>
      </w:r>
      <w:r w:rsidR="00F952A8" w:rsidRPr="006220EA">
        <w:rPr>
          <w:sz w:val="22"/>
          <w:szCs w:val="22"/>
          <w:lang w:val="en-US" w:eastAsia="ko-KR"/>
        </w:rPr>
        <w:t xml:space="preserve"> on the workshop objectives, expected outputs and geographic scope, building on </w:t>
      </w:r>
      <w:r w:rsidR="00563356" w:rsidRPr="006220EA">
        <w:rPr>
          <w:sz w:val="22"/>
          <w:szCs w:val="22"/>
          <w:lang w:val="en-US" w:eastAsia="ko-KR"/>
        </w:rPr>
        <w:t>his</w:t>
      </w:r>
      <w:r w:rsidR="00F952A8" w:rsidRPr="006220EA">
        <w:rPr>
          <w:sz w:val="22"/>
          <w:szCs w:val="22"/>
          <w:lang w:val="en-US" w:eastAsia="ko-KR"/>
        </w:rPr>
        <w:t xml:space="preserve"> presentation on the Convention's EBSA process</w:t>
      </w:r>
      <w:r w:rsidR="00A07116">
        <w:rPr>
          <w:sz w:val="22"/>
          <w:szCs w:val="22"/>
          <w:lang w:val="en-US" w:eastAsia="ko-KR"/>
        </w:rPr>
        <w:t xml:space="preserve"> that was</w:t>
      </w:r>
      <w:r w:rsidR="00F952A8" w:rsidRPr="006220EA">
        <w:rPr>
          <w:sz w:val="22"/>
          <w:szCs w:val="22"/>
          <w:lang w:val="en-US" w:eastAsia="ko-KR"/>
        </w:rPr>
        <w:t xml:space="preserve"> delivered on the training day. </w:t>
      </w:r>
    </w:p>
    <w:p w14:paraId="31090D98" w14:textId="5CDE22E2" w:rsidR="00F952A8" w:rsidRPr="0028621C" w:rsidRDefault="00F952A8" w:rsidP="007C21FC">
      <w:pPr>
        <w:autoSpaceDE w:val="0"/>
        <w:autoSpaceDN w:val="0"/>
        <w:adjustRightInd w:val="0"/>
        <w:spacing w:afterLines="50" w:after="120"/>
        <w:jc w:val="both"/>
        <w:rPr>
          <w:sz w:val="22"/>
          <w:szCs w:val="22"/>
          <w:lang w:val="en-IE" w:eastAsia="ko-KR"/>
        </w:rPr>
      </w:pPr>
      <w:r w:rsidRPr="008E15EF">
        <w:rPr>
          <w:sz w:val="22"/>
          <w:szCs w:val="22"/>
          <w:lang w:val="en-US" w:eastAsia="ko-KR"/>
        </w:rPr>
        <w:t>1</w:t>
      </w:r>
      <w:r w:rsidR="00EE3AF9" w:rsidRPr="008E15EF">
        <w:rPr>
          <w:sz w:val="22"/>
          <w:szCs w:val="22"/>
          <w:lang w:val="en-US" w:eastAsia="ko-KR"/>
        </w:rPr>
        <w:t>8</w:t>
      </w:r>
      <w:r w:rsidRPr="008E15EF">
        <w:rPr>
          <w:sz w:val="22"/>
          <w:szCs w:val="22"/>
          <w:lang w:val="en-US" w:eastAsia="ko-KR"/>
        </w:rPr>
        <w:t>.</w:t>
      </w:r>
      <w:r w:rsidRPr="008E15EF">
        <w:rPr>
          <w:sz w:val="22"/>
          <w:szCs w:val="22"/>
          <w:lang w:val="en-US" w:eastAsia="ko-KR"/>
        </w:rPr>
        <w:tab/>
      </w:r>
      <w:r w:rsidR="00FD155C" w:rsidRPr="008E15EF">
        <w:rPr>
          <w:sz w:val="22"/>
          <w:szCs w:val="22"/>
          <w:lang w:val="en-IE" w:eastAsia="ko-KR"/>
        </w:rPr>
        <w:t xml:space="preserve">The participants discussed the scope of the workshop. </w:t>
      </w:r>
      <w:r w:rsidR="008E15EF">
        <w:rPr>
          <w:sz w:val="22"/>
          <w:szCs w:val="22"/>
          <w:lang w:val="en-IE" w:eastAsia="ko-KR"/>
        </w:rPr>
        <w:t>It was</w:t>
      </w:r>
      <w:r w:rsidR="008E15EF" w:rsidRPr="008E15EF">
        <w:rPr>
          <w:sz w:val="22"/>
          <w:szCs w:val="22"/>
          <w:lang w:val="en-IE" w:eastAsia="ko-KR"/>
        </w:rPr>
        <w:t xml:space="preserve"> agreed to align the scope of the workshop with the maritime areas of the OSPAR</w:t>
      </w:r>
      <w:r w:rsidR="008E15EF">
        <w:rPr>
          <w:sz w:val="22"/>
          <w:szCs w:val="22"/>
          <w:lang w:val="en-IE" w:eastAsia="ko-KR"/>
        </w:rPr>
        <w:t xml:space="preserve"> </w:t>
      </w:r>
      <w:r w:rsidR="008E15EF" w:rsidRPr="008E15EF">
        <w:rPr>
          <w:sz w:val="22"/>
          <w:szCs w:val="22"/>
          <w:lang w:val="en-IE" w:eastAsia="ko-KR"/>
        </w:rPr>
        <w:t>Commission and NEAFC (which are identical), except for the southern boundary, which the workshop</w:t>
      </w:r>
      <w:r w:rsidR="008E15EF">
        <w:rPr>
          <w:sz w:val="22"/>
          <w:szCs w:val="22"/>
          <w:lang w:val="en-IE" w:eastAsia="ko-KR"/>
        </w:rPr>
        <w:t xml:space="preserve"> </w:t>
      </w:r>
      <w:r w:rsidR="008E15EF" w:rsidRPr="008E15EF">
        <w:rPr>
          <w:sz w:val="22"/>
          <w:szCs w:val="22"/>
          <w:lang w:val="en-IE" w:eastAsia="ko-KR"/>
        </w:rPr>
        <w:t>agreed to extend. The southern boundary of the workshop scope was extended south, partially overlapping</w:t>
      </w:r>
      <w:r w:rsidR="008E15EF">
        <w:rPr>
          <w:sz w:val="22"/>
          <w:szCs w:val="22"/>
          <w:lang w:val="en-IE" w:eastAsia="ko-KR"/>
        </w:rPr>
        <w:t xml:space="preserve"> </w:t>
      </w:r>
      <w:r w:rsidR="008E15EF" w:rsidRPr="008E15EF">
        <w:rPr>
          <w:sz w:val="22"/>
          <w:szCs w:val="22"/>
          <w:lang w:val="en-IE" w:eastAsia="ko-KR"/>
        </w:rPr>
        <w:t>with the scope of the CBD regional EBSA workshop for the South-Eastern Atlantic (Swakopmund,</w:t>
      </w:r>
      <w:r w:rsidR="008E15EF">
        <w:rPr>
          <w:sz w:val="22"/>
          <w:szCs w:val="22"/>
          <w:lang w:val="en-IE" w:eastAsia="ko-KR"/>
        </w:rPr>
        <w:t xml:space="preserve"> </w:t>
      </w:r>
      <w:r w:rsidR="008E15EF" w:rsidRPr="008E15EF">
        <w:rPr>
          <w:sz w:val="22"/>
          <w:szCs w:val="22"/>
          <w:lang w:val="en-IE" w:eastAsia="ko-KR"/>
        </w:rPr>
        <w:t>Namibia, 8-12 April 2013), in order to encompass waters and features surrounding the islands of Madeira</w:t>
      </w:r>
      <w:r w:rsidR="008E15EF">
        <w:rPr>
          <w:sz w:val="22"/>
          <w:szCs w:val="22"/>
          <w:lang w:val="en-IE" w:eastAsia="ko-KR"/>
        </w:rPr>
        <w:t xml:space="preserve"> </w:t>
      </w:r>
      <w:r w:rsidR="008E15EF" w:rsidRPr="008E15EF">
        <w:rPr>
          <w:sz w:val="22"/>
          <w:szCs w:val="22"/>
          <w:lang w:val="en-IE" w:eastAsia="ko-KR"/>
        </w:rPr>
        <w:t>and the Azores (Portugal) and the Canary Islands (Spain), as (a) experts from Portugal and Spain had not</w:t>
      </w:r>
      <w:r w:rsidR="008E15EF">
        <w:rPr>
          <w:sz w:val="22"/>
          <w:szCs w:val="22"/>
          <w:lang w:val="en-IE" w:eastAsia="ko-KR"/>
        </w:rPr>
        <w:t xml:space="preserve"> </w:t>
      </w:r>
      <w:r w:rsidR="008E15EF" w:rsidRPr="008E15EF">
        <w:rPr>
          <w:sz w:val="22"/>
          <w:szCs w:val="22"/>
          <w:lang w:val="en-IE" w:eastAsia="ko-KR"/>
        </w:rPr>
        <w:t>been present at the South-Eastern Atlantic workshop, (b) features surrounding the islands of Madeira and</w:t>
      </w:r>
      <w:r w:rsidR="008E15EF">
        <w:rPr>
          <w:sz w:val="22"/>
          <w:szCs w:val="22"/>
          <w:lang w:val="en-IE" w:eastAsia="ko-KR"/>
        </w:rPr>
        <w:t xml:space="preserve"> </w:t>
      </w:r>
      <w:r w:rsidR="008E15EF" w:rsidRPr="008E15EF">
        <w:rPr>
          <w:sz w:val="22"/>
          <w:szCs w:val="22"/>
          <w:lang w:val="en-IE" w:eastAsia="ko-KR"/>
        </w:rPr>
        <w:t>the Azores (Portugal) and the Canary Islands (Spain) had generally not been</w:t>
      </w:r>
      <w:r w:rsidR="008E15EF">
        <w:rPr>
          <w:sz w:val="22"/>
          <w:szCs w:val="22"/>
          <w:lang w:val="en-IE" w:eastAsia="ko-KR"/>
        </w:rPr>
        <w:t xml:space="preserve"> </w:t>
      </w:r>
      <w:r w:rsidR="008E15EF" w:rsidRPr="008E15EF">
        <w:rPr>
          <w:sz w:val="22"/>
          <w:szCs w:val="22"/>
          <w:lang w:val="en-IE" w:eastAsia="ko-KR"/>
        </w:rPr>
        <w:t>considered in the South</w:t>
      </w:r>
      <w:r w:rsidR="008E15EF">
        <w:rPr>
          <w:sz w:val="22"/>
          <w:szCs w:val="22"/>
          <w:lang w:val="en-IE" w:eastAsia="ko-KR"/>
        </w:rPr>
        <w:t>-</w:t>
      </w:r>
      <w:r w:rsidR="008E15EF" w:rsidRPr="008E15EF">
        <w:rPr>
          <w:sz w:val="22"/>
          <w:szCs w:val="22"/>
          <w:lang w:val="en-IE" w:eastAsia="ko-KR"/>
        </w:rPr>
        <w:t>Eastern Atlantic workshop, and (c) additional information from those areas was</w:t>
      </w:r>
      <w:r w:rsidR="008E15EF">
        <w:rPr>
          <w:sz w:val="22"/>
          <w:szCs w:val="22"/>
          <w:lang w:val="en-IE" w:eastAsia="ko-KR"/>
        </w:rPr>
        <w:t xml:space="preserve"> </w:t>
      </w:r>
      <w:r w:rsidR="008E15EF" w:rsidRPr="008E15EF">
        <w:rPr>
          <w:sz w:val="22"/>
          <w:szCs w:val="22"/>
          <w:lang w:val="en-IE" w:eastAsia="ko-KR"/>
        </w:rPr>
        <w:t>made available at the</w:t>
      </w:r>
      <w:r w:rsidR="008E15EF">
        <w:rPr>
          <w:sz w:val="22"/>
          <w:szCs w:val="22"/>
          <w:lang w:val="en-IE" w:eastAsia="ko-KR"/>
        </w:rPr>
        <w:t xml:space="preserve"> </w:t>
      </w:r>
      <w:r w:rsidR="008E15EF" w:rsidRPr="008E15EF">
        <w:rPr>
          <w:sz w:val="22"/>
          <w:szCs w:val="22"/>
          <w:lang w:val="en-IE" w:eastAsia="ko-KR"/>
        </w:rPr>
        <w:t>regional EBSA workshop for the North-East Atlantic. As the scope of the workshop also partially</w:t>
      </w:r>
      <w:r w:rsidR="008E15EF">
        <w:rPr>
          <w:sz w:val="22"/>
          <w:szCs w:val="22"/>
          <w:lang w:val="en-IE" w:eastAsia="ko-KR"/>
        </w:rPr>
        <w:t xml:space="preserve"> </w:t>
      </w:r>
      <w:r w:rsidR="008E15EF" w:rsidRPr="008E15EF">
        <w:rPr>
          <w:sz w:val="22"/>
          <w:szCs w:val="22"/>
          <w:lang w:val="en-IE" w:eastAsia="ko-KR"/>
        </w:rPr>
        <w:t>overlapped with the scope of the CBD regional EBSA workshop for the Arctic (Helsinki, 3-7 March 2014)</w:t>
      </w:r>
      <w:r w:rsidR="008E15EF">
        <w:rPr>
          <w:sz w:val="22"/>
          <w:szCs w:val="22"/>
          <w:lang w:val="en-IE" w:eastAsia="ko-KR"/>
        </w:rPr>
        <w:t xml:space="preserve"> </w:t>
      </w:r>
      <w:r w:rsidR="008E15EF" w:rsidRPr="008E15EF">
        <w:rPr>
          <w:sz w:val="22"/>
          <w:szCs w:val="22"/>
          <w:lang w:val="en-IE" w:eastAsia="ko-KR"/>
        </w:rPr>
        <w:t>and the CBD regional EBSA workshop for the Baltic Sea (Helsinki, 19-24 February 2018), the workshop</w:t>
      </w:r>
      <w:r w:rsidR="008E15EF">
        <w:rPr>
          <w:sz w:val="22"/>
          <w:szCs w:val="22"/>
          <w:lang w:val="en-IE" w:eastAsia="ko-KR"/>
        </w:rPr>
        <w:t xml:space="preserve"> </w:t>
      </w:r>
      <w:r w:rsidR="008E15EF" w:rsidRPr="008E15EF">
        <w:rPr>
          <w:sz w:val="22"/>
          <w:szCs w:val="22"/>
          <w:lang w:val="en-IE" w:eastAsia="ko-KR"/>
        </w:rPr>
        <w:t>also took note of the results of these previous workshops.</w:t>
      </w:r>
    </w:p>
    <w:p w14:paraId="6C1A3EBC" w14:textId="4EA0C70E" w:rsidR="00E72478" w:rsidRPr="0028621C" w:rsidRDefault="00FD155C" w:rsidP="006220EA">
      <w:pPr>
        <w:autoSpaceDE w:val="0"/>
        <w:autoSpaceDN w:val="0"/>
        <w:adjustRightInd w:val="0"/>
        <w:spacing w:afterLines="50" w:after="120"/>
        <w:jc w:val="both"/>
        <w:rPr>
          <w:sz w:val="22"/>
          <w:szCs w:val="22"/>
          <w:lang w:eastAsia="ko-KR"/>
        </w:rPr>
      </w:pPr>
      <w:r w:rsidRPr="00F564EE">
        <w:rPr>
          <w:sz w:val="22"/>
          <w:szCs w:val="22"/>
          <w:lang w:val="en-IE" w:eastAsia="ko-KR"/>
        </w:rPr>
        <w:t>1</w:t>
      </w:r>
      <w:r w:rsidR="00EE3AF9" w:rsidRPr="00F564EE">
        <w:rPr>
          <w:sz w:val="22"/>
          <w:szCs w:val="22"/>
          <w:lang w:val="en-IE" w:eastAsia="ko-KR"/>
        </w:rPr>
        <w:t>9</w:t>
      </w:r>
      <w:r w:rsidRPr="00F019BD">
        <w:rPr>
          <w:sz w:val="22"/>
          <w:szCs w:val="22"/>
          <w:lang w:val="en-IE" w:eastAsia="ko-KR"/>
        </w:rPr>
        <w:t>.</w:t>
      </w:r>
      <w:r w:rsidRPr="00F019BD">
        <w:rPr>
          <w:sz w:val="22"/>
          <w:szCs w:val="22"/>
          <w:lang w:val="en-IE" w:eastAsia="ko-KR"/>
        </w:rPr>
        <w:tab/>
      </w:r>
      <w:bookmarkStart w:id="2" w:name="_Hlk23777671"/>
      <w:bookmarkStart w:id="3" w:name="_Hlk23758724"/>
      <w:r w:rsidR="00474B39" w:rsidRPr="00F019BD">
        <w:rPr>
          <w:sz w:val="22"/>
          <w:szCs w:val="22"/>
          <w:lang w:val="en-IE" w:eastAsia="ko-KR"/>
        </w:rPr>
        <w:t>Germany, Greenland (Kingdom of Denmark</w:t>
      </w:r>
      <w:r w:rsidR="00606D08" w:rsidRPr="00F019BD">
        <w:rPr>
          <w:sz w:val="22"/>
          <w:szCs w:val="22"/>
          <w:lang w:val="en-IE" w:eastAsia="ko-KR"/>
        </w:rPr>
        <w:t>)</w:t>
      </w:r>
      <w:r w:rsidR="00474B39" w:rsidRPr="00F019BD">
        <w:rPr>
          <w:sz w:val="22"/>
          <w:szCs w:val="22"/>
          <w:lang w:val="en-IE" w:eastAsia="ko-KR"/>
        </w:rPr>
        <w:t>, Iceland, Ireland, Netherlands, Norway, and the U</w:t>
      </w:r>
      <w:r w:rsidR="00606D08" w:rsidRPr="00F021BF">
        <w:rPr>
          <w:sz w:val="22"/>
          <w:szCs w:val="22"/>
          <w:lang w:val="en-IE" w:eastAsia="ko-KR"/>
        </w:rPr>
        <w:t>nited Kingdom of Great Britain and Nor</w:t>
      </w:r>
      <w:r w:rsidR="00606D08" w:rsidRPr="00137D78">
        <w:rPr>
          <w:sz w:val="22"/>
          <w:szCs w:val="22"/>
          <w:lang w:val="en-IE" w:eastAsia="ko-KR"/>
        </w:rPr>
        <w:t>thern Ireland</w:t>
      </w:r>
      <w:r w:rsidR="00474B39" w:rsidRPr="00137D78">
        <w:rPr>
          <w:sz w:val="22"/>
          <w:szCs w:val="22"/>
          <w:lang w:val="en-IE" w:eastAsia="ko-KR"/>
        </w:rPr>
        <w:t xml:space="preserve"> </w:t>
      </w:r>
      <w:r w:rsidR="005817D1" w:rsidRPr="00137D78">
        <w:rPr>
          <w:sz w:val="22"/>
          <w:szCs w:val="22"/>
          <w:lang w:val="en-IE" w:eastAsia="ko-KR"/>
        </w:rPr>
        <w:t xml:space="preserve">did not include their </w:t>
      </w:r>
      <w:r w:rsidR="00A04D1C">
        <w:rPr>
          <w:sz w:val="22"/>
          <w:szCs w:val="22"/>
          <w:lang w:val="en-IE" w:eastAsia="ko-KR"/>
        </w:rPr>
        <w:t>Exclusive Economic Zones (EEZs)</w:t>
      </w:r>
      <w:r w:rsidR="00A04D1C" w:rsidRPr="00137D78">
        <w:rPr>
          <w:sz w:val="22"/>
          <w:szCs w:val="22"/>
          <w:lang w:val="en-IE" w:eastAsia="ko-KR"/>
        </w:rPr>
        <w:t xml:space="preserve"> </w:t>
      </w:r>
      <w:r w:rsidR="005817D1" w:rsidRPr="00137D78">
        <w:rPr>
          <w:sz w:val="22"/>
          <w:szCs w:val="22"/>
          <w:lang w:val="en-IE" w:eastAsia="ko-KR"/>
        </w:rPr>
        <w:t>in the workshop scope due to the fact</w:t>
      </w:r>
      <w:r w:rsidR="00A07116" w:rsidRPr="00137D78">
        <w:rPr>
          <w:sz w:val="22"/>
          <w:szCs w:val="22"/>
          <w:lang w:val="en-IE" w:eastAsia="ko-KR"/>
        </w:rPr>
        <w:t xml:space="preserve"> </w:t>
      </w:r>
      <w:r w:rsidR="005817D1" w:rsidRPr="00137D78">
        <w:rPr>
          <w:sz w:val="22"/>
          <w:szCs w:val="22"/>
          <w:lang w:val="en-IE" w:eastAsia="ko-KR"/>
        </w:rPr>
        <w:t xml:space="preserve">that those Parties had conducted, or were in the process of conducting, </w:t>
      </w:r>
      <w:r w:rsidR="005817D1" w:rsidRPr="00137D78">
        <w:rPr>
          <w:sz w:val="22"/>
          <w:szCs w:val="22"/>
          <w:lang w:eastAsia="ko-KR"/>
        </w:rPr>
        <w:t>relevant national processes applying the EBSA criteria or other similar criteria for identifying marine areas of particular importance</w:t>
      </w:r>
      <w:r w:rsidR="00A07116" w:rsidRPr="00137D78">
        <w:rPr>
          <w:sz w:val="22"/>
          <w:szCs w:val="22"/>
          <w:lang w:val="en-IE" w:eastAsia="ko-KR"/>
        </w:rPr>
        <w:t xml:space="preserve">. </w:t>
      </w:r>
      <w:r w:rsidR="005817D1" w:rsidRPr="00137D78">
        <w:rPr>
          <w:sz w:val="22"/>
          <w:szCs w:val="22"/>
          <w:lang w:eastAsia="ko-KR"/>
        </w:rPr>
        <w:t>W</w:t>
      </w:r>
      <w:r w:rsidR="00C10B6D" w:rsidRPr="00137D78">
        <w:rPr>
          <w:sz w:val="22"/>
          <w:szCs w:val="22"/>
          <w:lang w:eastAsia="ko-KR"/>
        </w:rPr>
        <w:t>orkshop participants from those Parties were invited to provide brief summaries of the</w:t>
      </w:r>
      <w:r w:rsidR="005817D1" w:rsidRPr="00137D78">
        <w:rPr>
          <w:sz w:val="22"/>
          <w:szCs w:val="22"/>
          <w:lang w:eastAsia="ko-KR"/>
        </w:rPr>
        <w:t>se</w:t>
      </w:r>
      <w:r w:rsidR="00C10B6D" w:rsidRPr="00137D78">
        <w:rPr>
          <w:sz w:val="22"/>
          <w:szCs w:val="22"/>
          <w:lang w:eastAsia="ko-KR"/>
        </w:rPr>
        <w:t xml:space="preserve"> national processes. </w:t>
      </w:r>
      <w:r w:rsidR="00474B39" w:rsidRPr="00846AD1">
        <w:rPr>
          <w:sz w:val="22"/>
          <w:szCs w:val="22"/>
          <w:lang w:eastAsia="ko-KR"/>
        </w:rPr>
        <w:t>Sweden and the Russian Federation</w:t>
      </w:r>
      <w:r w:rsidR="00E72478" w:rsidRPr="00F564EE">
        <w:rPr>
          <w:sz w:val="22"/>
          <w:szCs w:val="22"/>
          <w:lang w:eastAsia="ko-KR"/>
        </w:rPr>
        <w:t xml:space="preserve"> </w:t>
      </w:r>
      <w:r w:rsidR="00E72478" w:rsidRPr="00F019BD">
        <w:rPr>
          <w:sz w:val="22"/>
          <w:szCs w:val="22"/>
          <w:lang w:eastAsia="ko-KR"/>
        </w:rPr>
        <w:t xml:space="preserve">had already described EBSAs in their </w:t>
      </w:r>
      <w:r w:rsidR="00A04D1C">
        <w:rPr>
          <w:sz w:val="22"/>
          <w:szCs w:val="22"/>
          <w:lang w:eastAsia="ko-KR"/>
        </w:rPr>
        <w:t>EEZs</w:t>
      </w:r>
      <w:r w:rsidR="00A04D1C" w:rsidRPr="00F019BD">
        <w:rPr>
          <w:sz w:val="22"/>
          <w:szCs w:val="22"/>
          <w:lang w:eastAsia="ko-KR"/>
        </w:rPr>
        <w:t xml:space="preserve"> </w:t>
      </w:r>
      <w:r w:rsidR="00E72478" w:rsidRPr="00F019BD">
        <w:rPr>
          <w:sz w:val="22"/>
          <w:szCs w:val="22"/>
          <w:lang w:eastAsia="ko-KR"/>
        </w:rPr>
        <w:t>in previous CBD regional EBSA workshops that overlapped with the scope of th</w:t>
      </w:r>
      <w:r w:rsidR="00F019BD">
        <w:rPr>
          <w:sz w:val="22"/>
          <w:szCs w:val="22"/>
          <w:lang w:eastAsia="ko-KR"/>
        </w:rPr>
        <w:t>e present</w:t>
      </w:r>
      <w:r w:rsidR="00E72478" w:rsidRPr="00F019BD">
        <w:rPr>
          <w:sz w:val="22"/>
          <w:szCs w:val="22"/>
          <w:lang w:eastAsia="ko-KR"/>
        </w:rPr>
        <w:t xml:space="preserve"> workshop, and did not </w:t>
      </w:r>
      <w:r w:rsidR="00474B39" w:rsidRPr="00846AD1">
        <w:rPr>
          <w:sz w:val="22"/>
          <w:szCs w:val="22"/>
          <w:lang w:eastAsia="ko-KR"/>
        </w:rPr>
        <w:t>describe</w:t>
      </w:r>
      <w:r w:rsidR="00474B39" w:rsidRPr="00F564EE">
        <w:rPr>
          <w:sz w:val="22"/>
          <w:szCs w:val="22"/>
          <w:lang w:eastAsia="ko-KR"/>
        </w:rPr>
        <w:t xml:space="preserve"> </w:t>
      </w:r>
      <w:r w:rsidR="00E72478" w:rsidRPr="00F564EE">
        <w:rPr>
          <w:sz w:val="22"/>
          <w:szCs w:val="22"/>
          <w:lang w:eastAsia="ko-KR"/>
        </w:rPr>
        <w:t xml:space="preserve">additional features or information in their </w:t>
      </w:r>
      <w:r w:rsidR="00472E01">
        <w:rPr>
          <w:sz w:val="22"/>
          <w:szCs w:val="22"/>
          <w:lang w:eastAsia="ko-KR"/>
        </w:rPr>
        <w:t>EEZs</w:t>
      </w:r>
      <w:r w:rsidR="00E72478" w:rsidRPr="00F564EE">
        <w:rPr>
          <w:sz w:val="22"/>
          <w:szCs w:val="22"/>
          <w:lang w:eastAsia="ko-KR"/>
        </w:rPr>
        <w:t>.</w:t>
      </w:r>
      <w:r w:rsidR="00F52F69" w:rsidRPr="00846AD1">
        <w:rPr>
          <w:sz w:val="22"/>
          <w:szCs w:val="22"/>
          <w:lang w:eastAsia="ko-KR"/>
        </w:rPr>
        <w:t xml:space="preserve"> </w:t>
      </w:r>
      <w:r w:rsidR="00E72478" w:rsidRPr="00F564EE">
        <w:rPr>
          <w:sz w:val="22"/>
          <w:szCs w:val="22"/>
          <w:lang w:eastAsia="ko-KR"/>
        </w:rPr>
        <w:t xml:space="preserve"> </w:t>
      </w:r>
      <w:bookmarkEnd w:id="2"/>
      <w:r w:rsidR="00E72478" w:rsidRPr="00F564EE">
        <w:rPr>
          <w:sz w:val="22"/>
          <w:szCs w:val="22"/>
          <w:lang w:eastAsia="ko-KR"/>
        </w:rPr>
        <w:t>Annex III provides information on the above.</w:t>
      </w:r>
      <w:r w:rsidR="00955AB8">
        <w:rPr>
          <w:sz w:val="22"/>
          <w:szCs w:val="22"/>
          <w:lang w:eastAsia="ko-KR"/>
        </w:rPr>
        <w:t xml:space="preserve"> </w:t>
      </w:r>
      <w:bookmarkEnd w:id="3"/>
    </w:p>
    <w:p w14:paraId="301EC75E" w14:textId="6EFD0BF3" w:rsidR="00C10B6D" w:rsidRPr="006220EA" w:rsidRDefault="00EE3AF9" w:rsidP="006220EA">
      <w:pPr>
        <w:autoSpaceDE w:val="0"/>
        <w:autoSpaceDN w:val="0"/>
        <w:adjustRightInd w:val="0"/>
        <w:spacing w:afterLines="50" w:after="120"/>
        <w:jc w:val="both"/>
        <w:rPr>
          <w:sz w:val="22"/>
          <w:szCs w:val="22"/>
          <w:lang w:val="en-IE" w:eastAsia="ko-KR"/>
        </w:rPr>
      </w:pPr>
      <w:r w:rsidRPr="0028621C">
        <w:rPr>
          <w:sz w:val="22"/>
          <w:szCs w:val="22"/>
          <w:lang w:eastAsia="ko-KR"/>
        </w:rPr>
        <w:t>20</w:t>
      </w:r>
      <w:r w:rsidR="00C10B6D" w:rsidRPr="0028621C">
        <w:rPr>
          <w:sz w:val="22"/>
          <w:szCs w:val="22"/>
          <w:lang w:eastAsia="ko-KR"/>
        </w:rPr>
        <w:t>.</w:t>
      </w:r>
      <w:r w:rsidR="00C10B6D" w:rsidRPr="0028621C">
        <w:rPr>
          <w:sz w:val="22"/>
          <w:szCs w:val="22"/>
          <w:lang w:eastAsia="ko-KR"/>
        </w:rPr>
        <w:tab/>
      </w:r>
      <w:r w:rsidR="00F019BD">
        <w:rPr>
          <w:sz w:val="22"/>
          <w:szCs w:val="22"/>
          <w:lang w:val="en-IE" w:eastAsia="ko-KR"/>
        </w:rPr>
        <w:t>A</w:t>
      </w:r>
      <w:r w:rsidR="00C10B6D" w:rsidRPr="0028621C">
        <w:rPr>
          <w:sz w:val="22"/>
          <w:szCs w:val="22"/>
          <w:lang w:val="en-IE" w:eastAsia="ko-KR"/>
        </w:rPr>
        <w:t xml:space="preserve">n expert nominated by the </w:t>
      </w:r>
      <w:r w:rsidR="00F96706">
        <w:rPr>
          <w:sz w:val="22"/>
          <w:szCs w:val="22"/>
          <w:lang w:val="en-IE" w:eastAsia="ko-KR"/>
        </w:rPr>
        <w:t>G</w:t>
      </w:r>
      <w:r w:rsidR="00C10B6D" w:rsidRPr="0028621C">
        <w:rPr>
          <w:sz w:val="22"/>
          <w:szCs w:val="22"/>
          <w:lang w:val="en-IE" w:eastAsia="ko-KR"/>
        </w:rPr>
        <w:t xml:space="preserve">overnment of France was scheduled to attend the workshop. However, due to unforeseen circumstances, the participant was unable to attend, and it was not possible in the limited </w:t>
      </w:r>
      <w:r w:rsidR="00C10B6D" w:rsidRPr="0028621C">
        <w:rPr>
          <w:sz w:val="22"/>
          <w:szCs w:val="22"/>
          <w:lang w:val="en-IE" w:eastAsia="ko-KR"/>
        </w:rPr>
        <w:lastRenderedPageBreak/>
        <w:t xml:space="preserve">timeframe to arrange for an alternate expert from France to attend. Thus, features in the </w:t>
      </w:r>
      <w:r w:rsidR="00472E01">
        <w:rPr>
          <w:sz w:val="22"/>
          <w:szCs w:val="22"/>
          <w:lang w:val="en-IE" w:eastAsia="ko-KR"/>
        </w:rPr>
        <w:t>EEZ</w:t>
      </w:r>
      <w:r w:rsidR="00472E01" w:rsidRPr="0028621C">
        <w:rPr>
          <w:sz w:val="22"/>
          <w:szCs w:val="22"/>
          <w:lang w:val="en-IE" w:eastAsia="ko-KR"/>
        </w:rPr>
        <w:t xml:space="preserve"> </w:t>
      </w:r>
      <w:r w:rsidR="00C10B6D" w:rsidRPr="0028621C">
        <w:rPr>
          <w:sz w:val="22"/>
          <w:szCs w:val="22"/>
          <w:lang w:val="en-IE" w:eastAsia="ko-KR"/>
        </w:rPr>
        <w:t>of France were not considered in th</w:t>
      </w:r>
      <w:r w:rsidR="00DC58DC" w:rsidRPr="0028621C">
        <w:rPr>
          <w:sz w:val="22"/>
          <w:szCs w:val="22"/>
          <w:lang w:val="en-IE" w:eastAsia="ko-KR"/>
        </w:rPr>
        <w:t>e scope of this</w:t>
      </w:r>
      <w:r w:rsidR="00C10B6D" w:rsidRPr="0028621C">
        <w:rPr>
          <w:sz w:val="22"/>
          <w:szCs w:val="22"/>
          <w:lang w:val="en-IE" w:eastAsia="ko-KR"/>
        </w:rPr>
        <w:t xml:space="preserve"> workshop.</w:t>
      </w:r>
    </w:p>
    <w:p w14:paraId="0A0AD564" w14:textId="7F08012A" w:rsidR="00C10B6D" w:rsidRPr="006220EA" w:rsidRDefault="00C10B6D">
      <w:pPr>
        <w:autoSpaceDE w:val="0"/>
        <w:autoSpaceDN w:val="0"/>
        <w:adjustRightInd w:val="0"/>
        <w:spacing w:afterLines="50" w:after="120"/>
        <w:jc w:val="both"/>
        <w:rPr>
          <w:sz w:val="22"/>
          <w:szCs w:val="22"/>
          <w:lang w:eastAsia="ko-KR"/>
        </w:rPr>
      </w:pPr>
      <w:r w:rsidRPr="006220EA">
        <w:rPr>
          <w:sz w:val="22"/>
          <w:szCs w:val="22"/>
          <w:lang w:val="en-IE" w:eastAsia="ko-KR"/>
        </w:rPr>
        <w:t>2</w:t>
      </w:r>
      <w:r w:rsidR="00EE3AF9">
        <w:rPr>
          <w:sz w:val="22"/>
          <w:szCs w:val="22"/>
          <w:lang w:val="en-IE" w:eastAsia="ko-KR"/>
        </w:rPr>
        <w:t>1</w:t>
      </w:r>
      <w:r w:rsidRPr="006220EA">
        <w:rPr>
          <w:sz w:val="22"/>
          <w:szCs w:val="22"/>
          <w:lang w:val="en-IE" w:eastAsia="ko-KR"/>
        </w:rPr>
        <w:t>.</w:t>
      </w:r>
      <w:r w:rsidRPr="006220EA">
        <w:rPr>
          <w:sz w:val="22"/>
          <w:szCs w:val="22"/>
          <w:lang w:val="en-IE" w:eastAsia="ko-KR"/>
        </w:rPr>
        <w:tab/>
        <w:t>The map of the workshop scope is provided in annex IV.</w:t>
      </w:r>
    </w:p>
    <w:p w14:paraId="6CAE5171" w14:textId="264AE95A" w:rsidR="00C10B6D" w:rsidRPr="006220EA" w:rsidRDefault="00C10B6D" w:rsidP="006220EA">
      <w:pPr>
        <w:autoSpaceDE w:val="0"/>
        <w:autoSpaceDN w:val="0"/>
        <w:adjustRightInd w:val="0"/>
        <w:spacing w:afterLines="50" w:after="120"/>
        <w:jc w:val="both"/>
        <w:rPr>
          <w:sz w:val="22"/>
          <w:szCs w:val="22"/>
          <w:lang w:val="en-GB"/>
        </w:rPr>
      </w:pPr>
      <w:r w:rsidRPr="006220EA">
        <w:rPr>
          <w:sz w:val="22"/>
          <w:szCs w:val="22"/>
          <w:lang w:val="en-US" w:eastAsia="ko-KR"/>
        </w:rPr>
        <w:t>2</w:t>
      </w:r>
      <w:r w:rsidR="00EE3AF9">
        <w:rPr>
          <w:sz w:val="22"/>
          <w:szCs w:val="22"/>
          <w:lang w:val="en-US" w:eastAsia="ko-KR"/>
        </w:rPr>
        <w:t>2</w:t>
      </w:r>
      <w:r w:rsidR="00F952A8" w:rsidRPr="006220EA">
        <w:rPr>
          <w:sz w:val="22"/>
          <w:szCs w:val="22"/>
          <w:lang w:val="en-US" w:eastAsia="ko-KR"/>
        </w:rPr>
        <w:t>.</w:t>
      </w:r>
      <w:r w:rsidR="00F952A8" w:rsidRPr="006220EA">
        <w:rPr>
          <w:sz w:val="22"/>
          <w:szCs w:val="22"/>
          <w:lang w:val="en-US" w:eastAsia="ko-KR"/>
        </w:rPr>
        <w:tab/>
      </w:r>
      <w:r w:rsidRPr="006220EA">
        <w:rPr>
          <w:sz w:val="22"/>
          <w:szCs w:val="22"/>
          <w:lang w:val="en-US" w:eastAsia="ko-KR"/>
        </w:rPr>
        <w:t xml:space="preserve">The workshop participants noted the following points regarding the guidance of the Conference of the Parties </w:t>
      </w:r>
      <w:r w:rsidR="00F019BD">
        <w:rPr>
          <w:sz w:val="22"/>
          <w:szCs w:val="22"/>
          <w:lang w:val="en-US" w:eastAsia="ko-KR"/>
        </w:rPr>
        <w:t xml:space="preserve">to the Convention on Biological Diversity </w:t>
      </w:r>
      <w:r w:rsidRPr="006220EA">
        <w:rPr>
          <w:sz w:val="22"/>
          <w:szCs w:val="22"/>
          <w:lang w:val="en-US" w:eastAsia="ko-KR"/>
        </w:rPr>
        <w:t>on the regional workshop process as well as the potential contribution of the scientific information produced by the workshops:</w:t>
      </w:r>
    </w:p>
    <w:p w14:paraId="76774C84" w14:textId="555CC3EC" w:rsidR="00C10B6D" w:rsidRPr="006220EA" w:rsidRDefault="00C10B6D" w:rsidP="002E4B39">
      <w:pPr>
        <w:numPr>
          <w:ilvl w:val="0"/>
          <w:numId w:val="61"/>
        </w:numPr>
        <w:autoSpaceDE w:val="0"/>
        <w:autoSpaceDN w:val="0"/>
        <w:adjustRightInd w:val="0"/>
        <w:spacing w:afterLines="50" w:after="120"/>
        <w:ind w:left="0" w:firstLine="698"/>
        <w:jc w:val="both"/>
        <w:rPr>
          <w:sz w:val="22"/>
          <w:szCs w:val="22"/>
          <w:lang w:val="en-US" w:eastAsia="ko-KR"/>
        </w:rPr>
      </w:pPr>
      <w:r w:rsidRPr="006220EA">
        <w:rPr>
          <w:sz w:val="22"/>
          <w:szCs w:val="22"/>
          <w:lang w:val="en-US" w:eastAsia="ko-KR"/>
        </w:rPr>
        <w:t>The Conference of the Parties, at its tenth meeting, noted that the application of the scientific criteria in annex I of decision IX/20 for the identification of ecologically or biologically significant marine areas presents a tool which Parties and competent intergovernmental organizations may choose to use to progress towards the implementation of ecosystem approaches in relation to areas both within and beyond national jurisdiction, through the identification of areas and features of the marine environment that are important for conservation and sustainable use of marine and coastal biodiversity (paragraph 25, decision X/29);</w:t>
      </w:r>
    </w:p>
    <w:p w14:paraId="59BF5684" w14:textId="75BCD431" w:rsidR="00C10B6D" w:rsidRPr="006220EA" w:rsidRDefault="00C10B6D" w:rsidP="002E4B39">
      <w:pPr>
        <w:numPr>
          <w:ilvl w:val="0"/>
          <w:numId w:val="61"/>
        </w:numPr>
        <w:autoSpaceDE w:val="0"/>
        <w:autoSpaceDN w:val="0"/>
        <w:adjustRightInd w:val="0"/>
        <w:spacing w:afterLines="50" w:after="120"/>
        <w:ind w:left="0" w:firstLine="698"/>
        <w:jc w:val="both"/>
        <w:rPr>
          <w:sz w:val="22"/>
          <w:szCs w:val="22"/>
          <w:lang w:val="en-US" w:eastAsia="ko-KR"/>
        </w:rPr>
      </w:pPr>
      <w:r w:rsidRPr="006220EA">
        <w:rPr>
          <w:sz w:val="22"/>
          <w:szCs w:val="22"/>
          <w:lang w:val="en-US" w:eastAsia="ko-KR"/>
        </w:rPr>
        <w:t xml:space="preserve">The application of the EBSA criteria is a scientific and technical exercise, </w:t>
      </w:r>
      <w:r w:rsidRPr="006220EA">
        <w:rPr>
          <w:rFonts w:eastAsia="MS Mincho"/>
          <w:sz w:val="22"/>
          <w:szCs w:val="22"/>
          <w:lang w:val="en-US" w:eastAsia="ja-JP"/>
        </w:rPr>
        <w:t>and t</w:t>
      </w:r>
      <w:r w:rsidRPr="006220EA">
        <w:rPr>
          <w:sz w:val="22"/>
          <w:szCs w:val="22"/>
          <w:lang w:val="en-US" w:eastAsia="ko-KR"/>
        </w:rPr>
        <w:t>he identification of EBSAs and the selection of conservation and management measures is a matter for States and competent intergovernmental organizations, in accordance with international law, including the United Nations Convention on the Law of the Sea (decision X/29</w:t>
      </w:r>
      <w:r w:rsidR="00AC0BAC">
        <w:rPr>
          <w:sz w:val="22"/>
          <w:szCs w:val="22"/>
          <w:lang w:val="en-US" w:eastAsia="ko-KR"/>
        </w:rPr>
        <w:t>,</w:t>
      </w:r>
      <w:r w:rsidR="00AC0BAC" w:rsidRPr="00AC0BAC">
        <w:rPr>
          <w:sz w:val="22"/>
          <w:szCs w:val="22"/>
          <w:lang w:val="en-US" w:eastAsia="ko-KR"/>
        </w:rPr>
        <w:t xml:space="preserve"> </w:t>
      </w:r>
      <w:r w:rsidR="00AC0BAC" w:rsidRPr="006220EA">
        <w:rPr>
          <w:sz w:val="22"/>
          <w:szCs w:val="22"/>
          <w:lang w:val="en-US" w:eastAsia="ko-KR"/>
        </w:rPr>
        <w:t>para</w:t>
      </w:r>
      <w:r w:rsidR="00AC0BAC">
        <w:rPr>
          <w:sz w:val="22"/>
          <w:szCs w:val="22"/>
          <w:lang w:val="en-US" w:eastAsia="ko-KR"/>
        </w:rPr>
        <w:t>.</w:t>
      </w:r>
      <w:r w:rsidR="00AC0BAC" w:rsidRPr="006220EA">
        <w:rPr>
          <w:sz w:val="22"/>
          <w:szCs w:val="22"/>
          <w:lang w:val="en-US" w:eastAsia="ko-KR"/>
        </w:rPr>
        <w:t xml:space="preserve"> 26,</w:t>
      </w:r>
      <w:r w:rsidRPr="006220EA">
        <w:rPr>
          <w:sz w:val="22"/>
          <w:szCs w:val="22"/>
          <w:lang w:val="en-US" w:eastAsia="ko-KR"/>
        </w:rPr>
        <w:t xml:space="preserve">); </w:t>
      </w:r>
    </w:p>
    <w:p w14:paraId="1C66FBD1" w14:textId="68253FE7" w:rsidR="00C10B6D" w:rsidRPr="006220EA" w:rsidRDefault="00C10B6D" w:rsidP="002E4B39">
      <w:pPr>
        <w:numPr>
          <w:ilvl w:val="0"/>
          <w:numId w:val="61"/>
        </w:numPr>
        <w:autoSpaceDE w:val="0"/>
        <w:autoSpaceDN w:val="0"/>
        <w:adjustRightInd w:val="0"/>
        <w:spacing w:afterLines="50" w:after="120"/>
        <w:ind w:left="0" w:firstLine="698"/>
        <w:jc w:val="both"/>
        <w:rPr>
          <w:sz w:val="22"/>
          <w:szCs w:val="22"/>
          <w:lang w:val="en-US" w:eastAsia="ko-KR"/>
        </w:rPr>
      </w:pPr>
      <w:r w:rsidRPr="006220EA">
        <w:rPr>
          <w:sz w:val="22"/>
          <w:szCs w:val="22"/>
          <w:lang w:val="en-US" w:eastAsia="ko-KR"/>
        </w:rPr>
        <w:t>The EBSA description process is open-ended, and additional regional or subregional workshops may be organized when there is sufficient advancement in the availability of scientific information (decision XI/17</w:t>
      </w:r>
      <w:r w:rsidR="00AC0BAC">
        <w:rPr>
          <w:sz w:val="22"/>
          <w:szCs w:val="22"/>
          <w:lang w:val="en-US" w:eastAsia="ko-KR"/>
        </w:rPr>
        <w:t>,</w:t>
      </w:r>
      <w:r w:rsidR="00AC0BAC" w:rsidRPr="00AC0BAC">
        <w:rPr>
          <w:sz w:val="22"/>
          <w:szCs w:val="22"/>
          <w:lang w:val="en-US" w:eastAsia="ko-KR"/>
        </w:rPr>
        <w:t xml:space="preserve"> </w:t>
      </w:r>
      <w:r w:rsidR="00AC0BAC" w:rsidRPr="006220EA">
        <w:rPr>
          <w:sz w:val="22"/>
          <w:szCs w:val="22"/>
          <w:lang w:val="en-US" w:eastAsia="ko-KR"/>
        </w:rPr>
        <w:t>paras</w:t>
      </w:r>
      <w:r w:rsidR="00AC0BAC">
        <w:rPr>
          <w:sz w:val="22"/>
          <w:szCs w:val="22"/>
          <w:lang w:val="en-US" w:eastAsia="ko-KR"/>
        </w:rPr>
        <w:t>.</w:t>
      </w:r>
      <w:r w:rsidR="00AC0BAC" w:rsidRPr="006220EA">
        <w:rPr>
          <w:sz w:val="22"/>
          <w:szCs w:val="22"/>
          <w:lang w:val="en-US" w:eastAsia="ko-KR"/>
        </w:rPr>
        <w:t xml:space="preserve"> 9 and 12</w:t>
      </w:r>
      <w:r w:rsidRPr="006220EA">
        <w:rPr>
          <w:sz w:val="22"/>
          <w:szCs w:val="22"/>
          <w:lang w:val="en-US" w:eastAsia="ko-KR"/>
        </w:rPr>
        <w:t xml:space="preserve">); </w:t>
      </w:r>
    </w:p>
    <w:p w14:paraId="35D7500D" w14:textId="77777777" w:rsidR="00C10B6D" w:rsidRPr="006220EA" w:rsidRDefault="00C10B6D" w:rsidP="002E4B39">
      <w:pPr>
        <w:numPr>
          <w:ilvl w:val="0"/>
          <w:numId w:val="61"/>
        </w:numPr>
        <w:autoSpaceDE w:val="0"/>
        <w:autoSpaceDN w:val="0"/>
        <w:adjustRightInd w:val="0"/>
        <w:spacing w:afterLines="50" w:after="120"/>
        <w:ind w:left="0" w:firstLine="698"/>
        <w:jc w:val="both"/>
        <w:rPr>
          <w:sz w:val="22"/>
          <w:szCs w:val="22"/>
          <w:lang w:val="en-US" w:eastAsia="ko-KR"/>
        </w:rPr>
      </w:pPr>
      <w:r w:rsidRPr="006220EA">
        <w:rPr>
          <w:sz w:val="22"/>
          <w:szCs w:val="22"/>
          <w:lang w:val="en-US" w:eastAsia="ko-KR"/>
        </w:rPr>
        <w:t xml:space="preserve">Each workshop is tasked to describe areas meeting the scientific criteria for EBSAs based on best available scientific information. As such, experts at the workshops are not expected to discuss any management issues, including threats to the areas; </w:t>
      </w:r>
    </w:p>
    <w:p w14:paraId="2026D55F" w14:textId="78117487" w:rsidR="00C10B6D" w:rsidRPr="006220EA" w:rsidRDefault="00C10B6D" w:rsidP="002E4B39">
      <w:pPr>
        <w:numPr>
          <w:ilvl w:val="0"/>
          <w:numId w:val="61"/>
        </w:numPr>
        <w:autoSpaceDE w:val="0"/>
        <w:autoSpaceDN w:val="0"/>
        <w:adjustRightInd w:val="0"/>
        <w:spacing w:afterLines="50" w:after="120"/>
        <w:ind w:left="0" w:firstLine="698"/>
        <w:jc w:val="both"/>
        <w:rPr>
          <w:sz w:val="22"/>
          <w:szCs w:val="22"/>
          <w:lang w:val="en-US" w:eastAsia="ko-KR"/>
        </w:rPr>
      </w:pPr>
      <w:r w:rsidRPr="006220EA">
        <w:rPr>
          <w:sz w:val="22"/>
          <w:szCs w:val="22"/>
          <w:lang w:val="en-US" w:eastAsia="ko-KR"/>
        </w:rPr>
        <w:t xml:space="preserve">The EBSA description process facilitates scientific collaboration and information-sharing at national, subregional and regional levels, as demonstrated by </w:t>
      </w:r>
      <w:r w:rsidR="00F019BD">
        <w:rPr>
          <w:sz w:val="22"/>
          <w:szCs w:val="22"/>
          <w:lang w:val="en-US" w:eastAsia="ko-KR"/>
        </w:rPr>
        <w:t xml:space="preserve">the </w:t>
      </w:r>
      <w:r w:rsidRPr="006220EA">
        <w:rPr>
          <w:sz w:val="22"/>
          <w:szCs w:val="22"/>
          <w:lang w:val="en-US" w:eastAsia="ko-KR"/>
        </w:rPr>
        <w:t xml:space="preserve">collective work by workshop participants with different expertise, contributing to each other’s description of areas meeting the EBSA criteria; </w:t>
      </w:r>
    </w:p>
    <w:p w14:paraId="6332A6EB" w14:textId="752EBBF8" w:rsidR="00BA0392" w:rsidRPr="00EE3AF9" w:rsidRDefault="00C10B6D" w:rsidP="00AB0765">
      <w:pPr>
        <w:pStyle w:val="ListParagraph"/>
        <w:numPr>
          <w:ilvl w:val="0"/>
          <w:numId w:val="19"/>
        </w:numPr>
        <w:spacing w:after="120"/>
        <w:ind w:leftChars="0" w:left="0" w:hanging="11"/>
        <w:rPr>
          <w:szCs w:val="22"/>
        </w:rPr>
      </w:pPr>
      <w:r w:rsidRPr="00A10760">
        <w:rPr>
          <w:szCs w:val="22"/>
        </w:rPr>
        <w:t>Participating experts were invited through a selection process, based on nominations by CBD National Focal Points, using the selection criteria provided in the CBD notification dated 25 March 2019 (reference number 2019-036). Prior to the workshop, selected experts were asked to provide relevant scientific and technical information, in collaboration with relevant scientists within their respective countries, to support the workshop discussions, including by filling in the EBSA information template (appended to the notification above).</w:t>
      </w:r>
    </w:p>
    <w:p w14:paraId="6F3CE6E6" w14:textId="77777777" w:rsidR="00EB53DD" w:rsidRPr="006220EA" w:rsidRDefault="004D21E2" w:rsidP="00A306BB">
      <w:pPr>
        <w:pStyle w:val="Heading1longmultiline"/>
        <w:rPr>
          <w:szCs w:val="22"/>
        </w:rPr>
      </w:pPr>
      <w:r w:rsidRPr="006220EA">
        <w:rPr>
          <w:szCs w:val="22"/>
        </w:rPr>
        <w:t>ITEM 4.</w:t>
      </w:r>
      <w:r w:rsidRPr="006220EA">
        <w:rPr>
          <w:szCs w:val="22"/>
        </w:rPr>
        <w:tab/>
      </w:r>
      <w:r w:rsidR="00EB53DD" w:rsidRPr="006220EA">
        <w:rPr>
          <w:szCs w:val="22"/>
        </w:rPr>
        <w:t xml:space="preserve">Review </w:t>
      </w:r>
      <w:r w:rsidR="003C4AA5" w:rsidRPr="006220EA">
        <w:rPr>
          <w:szCs w:val="22"/>
        </w:rPr>
        <w:t xml:space="preserve">of </w:t>
      </w:r>
      <w:r w:rsidR="00EB53DD" w:rsidRPr="006220EA">
        <w:rPr>
          <w:szCs w:val="22"/>
        </w:rPr>
        <w:t xml:space="preserve">relevant scientific data/information/maps compiled </w:t>
      </w:r>
      <w:r w:rsidR="00F61507" w:rsidRPr="006220EA">
        <w:rPr>
          <w:szCs w:val="22"/>
        </w:rPr>
        <w:t>for the workshop</w:t>
      </w:r>
    </w:p>
    <w:p w14:paraId="0E730888" w14:textId="1AD253BC" w:rsidR="00F952A8" w:rsidRPr="006220EA" w:rsidRDefault="00C10B6D" w:rsidP="006220EA">
      <w:pPr>
        <w:autoSpaceDE w:val="0"/>
        <w:autoSpaceDN w:val="0"/>
        <w:adjustRightInd w:val="0"/>
        <w:spacing w:afterLines="50" w:after="120"/>
        <w:jc w:val="both"/>
        <w:rPr>
          <w:sz w:val="22"/>
          <w:szCs w:val="22"/>
          <w:lang w:val="en-US" w:eastAsia="ko-KR"/>
        </w:rPr>
      </w:pPr>
      <w:r w:rsidRPr="006220EA">
        <w:rPr>
          <w:sz w:val="22"/>
          <w:szCs w:val="22"/>
          <w:lang w:eastAsia="ko-KR"/>
        </w:rPr>
        <w:t>2</w:t>
      </w:r>
      <w:r w:rsidR="00EE3AF9">
        <w:rPr>
          <w:sz w:val="22"/>
          <w:szCs w:val="22"/>
          <w:lang w:eastAsia="ko-KR"/>
        </w:rPr>
        <w:t>4</w:t>
      </w:r>
      <w:r w:rsidR="007E2B66" w:rsidRPr="006220EA">
        <w:rPr>
          <w:sz w:val="22"/>
          <w:szCs w:val="22"/>
          <w:lang w:eastAsia="ko-KR"/>
        </w:rPr>
        <w:t>.</w:t>
      </w:r>
      <w:r w:rsidR="007E2B66" w:rsidRPr="006220EA">
        <w:rPr>
          <w:sz w:val="22"/>
          <w:szCs w:val="22"/>
          <w:lang w:eastAsia="ko-KR"/>
        </w:rPr>
        <w:tab/>
      </w:r>
      <w:r w:rsidR="00F952A8" w:rsidRPr="006220EA">
        <w:rPr>
          <w:sz w:val="22"/>
          <w:szCs w:val="22"/>
          <w:lang w:eastAsia="ko-KR"/>
        </w:rPr>
        <w:t>For the consideration of this item, t</w:t>
      </w:r>
      <w:r w:rsidR="00F952A8" w:rsidRPr="006220EA">
        <w:rPr>
          <w:sz w:val="22"/>
          <w:szCs w:val="22"/>
          <w:lang w:val="en-US" w:eastAsia="ko-KR"/>
        </w:rPr>
        <w:t>he workshop had before it two information notes by the Executive Secretary</w:t>
      </w:r>
      <w:r w:rsidR="00A10760" w:rsidRPr="00A10760">
        <w:rPr>
          <w:sz w:val="22"/>
          <w:szCs w:val="22"/>
        </w:rPr>
        <w:t xml:space="preserve"> </w:t>
      </w:r>
      <w:r w:rsidR="00F019BD">
        <w:rPr>
          <w:sz w:val="22"/>
          <w:szCs w:val="22"/>
        </w:rPr>
        <w:t>that</w:t>
      </w:r>
      <w:r w:rsidR="00A10760" w:rsidRPr="006220EA">
        <w:rPr>
          <w:sz w:val="22"/>
          <w:szCs w:val="22"/>
        </w:rPr>
        <w:t xml:space="preserve"> </w:t>
      </w:r>
      <w:r w:rsidR="00A10760">
        <w:rPr>
          <w:sz w:val="22"/>
          <w:szCs w:val="22"/>
        </w:rPr>
        <w:t>were</w:t>
      </w:r>
      <w:r w:rsidR="00A10760" w:rsidRPr="006220EA">
        <w:rPr>
          <w:sz w:val="22"/>
          <w:szCs w:val="22"/>
        </w:rPr>
        <w:t xml:space="preserve"> prepared in support of the workshop deliberation</w:t>
      </w:r>
      <w:r w:rsidR="00A10760">
        <w:rPr>
          <w:sz w:val="22"/>
          <w:szCs w:val="22"/>
        </w:rPr>
        <w:t>s</w:t>
      </w:r>
      <w:r w:rsidR="00F952A8" w:rsidRPr="006220EA">
        <w:rPr>
          <w:sz w:val="22"/>
          <w:szCs w:val="22"/>
          <w:lang w:val="en-US" w:eastAsia="ko-KR"/>
        </w:rPr>
        <w:t xml:space="preserve">: </w:t>
      </w:r>
      <w:r w:rsidR="00A10760" w:rsidRPr="006220EA">
        <w:rPr>
          <w:i/>
          <w:sz w:val="22"/>
          <w:szCs w:val="22"/>
        </w:rPr>
        <w:t>Compilation of Relevant Scientific Information Submitted by Parties, Other Governments and Relevant Organizations in Support of the Workshop Objectives</w:t>
      </w:r>
      <w:r w:rsidR="00A10760" w:rsidRPr="006220EA">
        <w:rPr>
          <w:sz w:val="22"/>
          <w:szCs w:val="22"/>
          <w:lang w:val="en-US" w:eastAsia="ko-KR"/>
        </w:rPr>
        <w:t xml:space="preserve"> (</w:t>
      </w:r>
      <w:r w:rsidR="00A10760" w:rsidRPr="006220EA">
        <w:rPr>
          <w:sz w:val="22"/>
          <w:szCs w:val="22"/>
        </w:rPr>
        <w:t xml:space="preserve">document </w:t>
      </w:r>
      <w:hyperlink r:id="rId13" w:history="1">
        <w:r w:rsidR="00A10760" w:rsidRPr="00686E2D">
          <w:rPr>
            <w:rStyle w:val="Hyperlink"/>
            <w:bCs/>
            <w:sz w:val="22"/>
            <w:szCs w:val="22"/>
            <w:shd w:val="clear" w:color="auto" w:fill="FFFFFF"/>
          </w:rPr>
          <w:t>CBD/EBSA/WS/2019/1/2</w:t>
        </w:r>
      </w:hyperlink>
      <w:r w:rsidR="00A10760" w:rsidRPr="006220EA">
        <w:rPr>
          <w:bCs/>
          <w:sz w:val="22"/>
          <w:szCs w:val="22"/>
          <w:shd w:val="clear" w:color="auto" w:fill="FFFFFF"/>
        </w:rPr>
        <w:t>)</w:t>
      </w:r>
      <w:r w:rsidR="00A10760">
        <w:rPr>
          <w:bCs/>
          <w:sz w:val="22"/>
          <w:szCs w:val="22"/>
          <w:shd w:val="clear" w:color="auto" w:fill="FFFFFF"/>
        </w:rPr>
        <w:t xml:space="preserve">, </w:t>
      </w:r>
      <w:r w:rsidR="00A10760" w:rsidRPr="006220EA">
        <w:rPr>
          <w:sz w:val="22"/>
          <w:szCs w:val="22"/>
        </w:rPr>
        <w:t xml:space="preserve">which was </w:t>
      </w:r>
      <w:r w:rsidR="00A10760" w:rsidRPr="006220EA">
        <w:rPr>
          <w:sz w:val="22"/>
          <w:szCs w:val="22"/>
          <w:lang w:val="en-US" w:eastAsia="ko-KR"/>
        </w:rPr>
        <w:t xml:space="preserve">compiled based on submissions in response to the Secretariat’s notification </w:t>
      </w:r>
      <w:r w:rsidR="00A10760" w:rsidRPr="006220EA">
        <w:rPr>
          <w:sz w:val="22"/>
          <w:szCs w:val="22"/>
          <w:lang w:val="en-US"/>
        </w:rPr>
        <w:t>(</w:t>
      </w:r>
      <w:r w:rsidR="00A10760" w:rsidRPr="006220EA">
        <w:rPr>
          <w:color w:val="262626"/>
          <w:sz w:val="22"/>
          <w:szCs w:val="22"/>
          <w:lang w:val="en-US"/>
        </w:rPr>
        <w:t xml:space="preserve">2019-050, </w:t>
      </w:r>
      <w:r w:rsidR="00A10760" w:rsidRPr="006220EA">
        <w:rPr>
          <w:sz w:val="22"/>
          <w:szCs w:val="22"/>
          <w:lang w:eastAsia="ko-KR"/>
        </w:rPr>
        <w:t>dated 28 May 2019</w:t>
      </w:r>
      <w:r w:rsidR="00A10760" w:rsidRPr="006220EA">
        <w:rPr>
          <w:sz w:val="22"/>
          <w:szCs w:val="22"/>
          <w:lang w:val="en-US" w:eastAsia="ko-KR"/>
        </w:rPr>
        <w:t>)</w:t>
      </w:r>
      <w:r w:rsidR="00A10760">
        <w:rPr>
          <w:sz w:val="22"/>
          <w:szCs w:val="22"/>
          <w:lang w:val="en-US" w:eastAsia="ko-KR"/>
        </w:rPr>
        <w:t>,</w:t>
      </w:r>
      <w:r w:rsidR="00A10760" w:rsidRPr="006220EA">
        <w:rPr>
          <w:sz w:val="22"/>
          <w:szCs w:val="22"/>
          <w:lang w:val="en-US" w:eastAsia="ko-KR"/>
        </w:rPr>
        <w:t xml:space="preserve"> </w:t>
      </w:r>
      <w:r w:rsidR="00A10760">
        <w:rPr>
          <w:sz w:val="22"/>
          <w:szCs w:val="22"/>
          <w:lang w:val="en-US" w:eastAsia="ko-KR"/>
        </w:rPr>
        <w:t xml:space="preserve">and </w:t>
      </w:r>
      <w:r w:rsidR="00F952A8" w:rsidRPr="006220EA">
        <w:rPr>
          <w:i/>
          <w:sz w:val="22"/>
          <w:szCs w:val="22"/>
        </w:rPr>
        <w:t xml:space="preserve">Data to Inform the CBD Regional Workshop to Facilitate the Description of Ecologically or Biologically Significant Marine Areas in the </w:t>
      </w:r>
      <w:r w:rsidR="007956AD">
        <w:rPr>
          <w:i/>
          <w:sz w:val="22"/>
          <w:szCs w:val="22"/>
        </w:rPr>
        <w:t>North-East Atlantic Ocean</w:t>
      </w:r>
      <w:r w:rsidR="00F952A8" w:rsidRPr="006220EA">
        <w:rPr>
          <w:sz w:val="22"/>
          <w:szCs w:val="22"/>
          <w:lang w:val="en-US" w:eastAsia="ko-KR"/>
        </w:rPr>
        <w:t xml:space="preserve"> (document</w:t>
      </w:r>
      <w:r w:rsidR="00F952A8" w:rsidRPr="006220EA">
        <w:rPr>
          <w:sz w:val="22"/>
          <w:szCs w:val="22"/>
          <w:lang w:val="en-US"/>
        </w:rPr>
        <w:t xml:space="preserve"> </w:t>
      </w:r>
      <w:hyperlink r:id="rId14" w:history="1">
        <w:r w:rsidR="00F952A8" w:rsidRPr="00686E2D">
          <w:rPr>
            <w:rStyle w:val="Hyperlink"/>
            <w:bCs/>
            <w:sz w:val="22"/>
            <w:szCs w:val="22"/>
            <w:shd w:val="clear" w:color="auto" w:fill="FFFFFF"/>
          </w:rPr>
          <w:t>C</w:t>
        </w:r>
        <w:r w:rsidR="007E2B66" w:rsidRPr="00686E2D">
          <w:rPr>
            <w:rStyle w:val="Hyperlink"/>
            <w:bCs/>
            <w:sz w:val="22"/>
            <w:szCs w:val="22"/>
            <w:shd w:val="clear" w:color="auto" w:fill="FFFFFF"/>
          </w:rPr>
          <w:t>BD/EBSA/WS/201</w:t>
        </w:r>
        <w:r w:rsidR="00537982" w:rsidRPr="00686E2D">
          <w:rPr>
            <w:rStyle w:val="Hyperlink"/>
            <w:bCs/>
            <w:sz w:val="22"/>
            <w:szCs w:val="22"/>
            <w:shd w:val="clear" w:color="auto" w:fill="FFFFFF"/>
          </w:rPr>
          <w:t>9</w:t>
        </w:r>
        <w:r w:rsidR="00F952A8" w:rsidRPr="00686E2D">
          <w:rPr>
            <w:rStyle w:val="Hyperlink"/>
            <w:bCs/>
            <w:sz w:val="22"/>
            <w:szCs w:val="22"/>
            <w:shd w:val="clear" w:color="auto" w:fill="FFFFFF"/>
          </w:rPr>
          <w:t>/1/3</w:t>
        </w:r>
      </w:hyperlink>
      <w:r w:rsidR="00F952A8" w:rsidRPr="006220EA">
        <w:rPr>
          <w:bCs/>
          <w:sz w:val="22"/>
          <w:szCs w:val="22"/>
          <w:shd w:val="clear" w:color="auto" w:fill="FFFFFF"/>
        </w:rPr>
        <w:t>)</w:t>
      </w:r>
      <w:r w:rsidR="00F952A8" w:rsidRPr="006220EA">
        <w:rPr>
          <w:sz w:val="22"/>
          <w:szCs w:val="22"/>
          <w:lang w:val="en-US" w:eastAsia="ko-KR"/>
        </w:rPr>
        <w:t>. The documents/references submitted prior to the workshop were made available for the information of workshop participants on the meeting website (</w:t>
      </w:r>
      <w:hyperlink r:id="rId15" w:history="1">
        <w:r w:rsidR="00537982" w:rsidRPr="006220EA">
          <w:rPr>
            <w:rStyle w:val="Hyperlink"/>
            <w:sz w:val="22"/>
            <w:szCs w:val="22"/>
            <w:lang w:val="en-US" w:eastAsia="ko-KR"/>
          </w:rPr>
          <w:t>https://www.cbd.int/meetings/EBSA-WS-2019-01</w:t>
        </w:r>
      </w:hyperlink>
      <w:r w:rsidR="00537982" w:rsidRPr="006220EA">
        <w:rPr>
          <w:sz w:val="22"/>
          <w:szCs w:val="22"/>
          <w:lang w:val="en-US" w:eastAsia="ko-KR"/>
        </w:rPr>
        <w:t xml:space="preserve">). </w:t>
      </w:r>
    </w:p>
    <w:p w14:paraId="6E1B105C" w14:textId="11E316E3" w:rsidR="00F952A8" w:rsidRPr="006220EA" w:rsidRDefault="00537982" w:rsidP="006220EA">
      <w:pPr>
        <w:autoSpaceDE w:val="0"/>
        <w:autoSpaceDN w:val="0"/>
        <w:adjustRightInd w:val="0"/>
        <w:spacing w:afterLines="50" w:after="120"/>
        <w:jc w:val="both"/>
        <w:rPr>
          <w:sz w:val="22"/>
          <w:szCs w:val="22"/>
          <w:lang w:val="en-US" w:eastAsia="ko-KR"/>
        </w:rPr>
      </w:pPr>
      <w:r w:rsidRPr="006220EA">
        <w:rPr>
          <w:sz w:val="22"/>
          <w:szCs w:val="22"/>
          <w:lang w:val="en-US" w:eastAsia="ko-KR"/>
        </w:rPr>
        <w:t>2</w:t>
      </w:r>
      <w:r w:rsidR="00EE3AF9">
        <w:rPr>
          <w:sz w:val="22"/>
          <w:szCs w:val="22"/>
          <w:lang w:val="en-US" w:eastAsia="ko-KR"/>
        </w:rPr>
        <w:t>5</w:t>
      </w:r>
      <w:r w:rsidR="00F952A8" w:rsidRPr="006220EA">
        <w:rPr>
          <w:sz w:val="22"/>
          <w:szCs w:val="22"/>
          <w:lang w:val="en-US" w:eastAsia="ko-KR"/>
        </w:rPr>
        <w:t>.</w:t>
      </w:r>
      <w:r w:rsidR="00F952A8" w:rsidRPr="006220EA">
        <w:rPr>
          <w:sz w:val="22"/>
          <w:szCs w:val="22"/>
          <w:lang w:val="en-US" w:eastAsia="ko-KR"/>
        </w:rPr>
        <w:tab/>
        <w:t xml:space="preserve">Mr. </w:t>
      </w:r>
      <w:r w:rsidR="00F952A8" w:rsidRPr="006220EA">
        <w:rPr>
          <w:color w:val="000000"/>
          <w:sz w:val="22"/>
          <w:szCs w:val="22"/>
          <w:lang w:val="en-US" w:eastAsia="ko-KR"/>
        </w:rPr>
        <w:t xml:space="preserve">Patrick Halpin (technical support team) provided a presentation </w:t>
      </w:r>
      <w:r w:rsidR="00C10B6D" w:rsidRPr="006220EA">
        <w:rPr>
          <w:color w:val="000000"/>
          <w:sz w:val="22"/>
          <w:szCs w:val="22"/>
          <w:lang w:val="en-US" w:eastAsia="ko-KR"/>
        </w:rPr>
        <w:t>that r</w:t>
      </w:r>
      <w:r w:rsidR="00F952A8" w:rsidRPr="006220EA">
        <w:rPr>
          <w:color w:val="000000"/>
          <w:sz w:val="22"/>
          <w:szCs w:val="22"/>
          <w:lang w:val="en-US"/>
        </w:rPr>
        <w:t>eview</w:t>
      </w:r>
      <w:r w:rsidR="00C10B6D" w:rsidRPr="006220EA">
        <w:rPr>
          <w:color w:val="000000"/>
          <w:sz w:val="22"/>
          <w:szCs w:val="22"/>
          <w:lang w:val="en-US"/>
        </w:rPr>
        <w:t>ed</w:t>
      </w:r>
      <w:r w:rsidR="00F952A8" w:rsidRPr="006220EA">
        <w:rPr>
          <w:color w:val="000000"/>
          <w:sz w:val="22"/>
          <w:szCs w:val="22"/>
          <w:lang w:val="en-US"/>
        </w:rPr>
        <w:t xml:space="preserve"> </w:t>
      </w:r>
      <w:r w:rsidR="00C10B6D" w:rsidRPr="006220EA">
        <w:rPr>
          <w:color w:val="000000"/>
          <w:sz w:val="22"/>
          <w:szCs w:val="22"/>
          <w:lang w:val="en-US"/>
        </w:rPr>
        <w:t>the</w:t>
      </w:r>
      <w:r w:rsidR="00F952A8" w:rsidRPr="006220EA">
        <w:rPr>
          <w:color w:val="000000"/>
          <w:sz w:val="22"/>
          <w:szCs w:val="22"/>
          <w:lang w:val="en-US"/>
        </w:rPr>
        <w:t xml:space="preserve"> relevant scientific data/information/maps </w:t>
      </w:r>
      <w:r w:rsidR="00F952A8" w:rsidRPr="006220EA">
        <w:rPr>
          <w:sz w:val="22"/>
          <w:szCs w:val="22"/>
          <w:lang w:val="en-US"/>
        </w:rPr>
        <w:t xml:space="preserve">compiled to </w:t>
      </w:r>
      <w:r w:rsidR="00C10B6D" w:rsidRPr="006220EA">
        <w:rPr>
          <w:sz w:val="22"/>
          <w:szCs w:val="22"/>
          <w:lang w:val="en-US"/>
        </w:rPr>
        <w:t>support the workshop deliberations</w:t>
      </w:r>
      <w:r w:rsidR="00F952A8" w:rsidRPr="006220EA">
        <w:rPr>
          <w:sz w:val="22"/>
          <w:szCs w:val="22"/>
          <w:lang w:val="en-US"/>
        </w:rPr>
        <w:t>,</w:t>
      </w:r>
      <w:r w:rsidR="00F952A8" w:rsidRPr="006220EA">
        <w:rPr>
          <w:sz w:val="22"/>
          <w:szCs w:val="22"/>
          <w:lang w:eastAsia="ko-KR"/>
        </w:rPr>
        <w:t xml:space="preserve"> based on document</w:t>
      </w:r>
      <w:r w:rsidR="007E2B66" w:rsidRPr="006220EA">
        <w:rPr>
          <w:bCs/>
          <w:sz w:val="22"/>
          <w:szCs w:val="22"/>
          <w:lang w:val="en-US"/>
        </w:rPr>
        <w:t xml:space="preserve"> </w:t>
      </w:r>
      <w:r w:rsidR="007E2B66" w:rsidRPr="006220EA">
        <w:rPr>
          <w:bCs/>
          <w:sz w:val="22"/>
          <w:szCs w:val="22"/>
          <w:lang w:val="en-US"/>
        </w:rPr>
        <w:lastRenderedPageBreak/>
        <w:t>CBD/EBSA/WS/201</w:t>
      </w:r>
      <w:r w:rsidRPr="006220EA">
        <w:rPr>
          <w:bCs/>
          <w:sz w:val="22"/>
          <w:szCs w:val="22"/>
          <w:lang w:val="en-US"/>
        </w:rPr>
        <w:t>9</w:t>
      </w:r>
      <w:r w:rsidR="00F952A8" w:rsidRPr="006220EA">
        <w:rPr>
          <w:bCs/>
          <w:sz w:val="22"/>
          <w:szCs w:val="22"/>
          <w:lang w:val="en-US"/>
        </w:rPr>
        <w:t>/1/3</w:t>
      </w:r>
      <w:r w:rsidR="00F952A8" w:rsidRPr="006220EA">
        <w:rPr>
          <w:color w:val="000000"/>
          <w:sz w:val="22"/>
          <w:szCs w:val="22"/>
        </w:rPr>
        <w:t>.</w:t>
      </w:r>
      <w:r w:rsidR="00F952A8" w:rsidRPr="006220EA">
        <w:rPr>
          <w:sz w:val="22"/>
          <w:szCs w:val="22"/>
        </w:rPr>
        <w:t xml:space="preserve"> </w:t>
      </w:r>
      <w:r w:rsidR="00F952A8" w:rsidRPr="006220EA">
        <w:rPr>
          <w:sz w:val="22"/>
          <w:szCs w:val="22"/>
          <w:lang w:val="en-US" w:eastAsia="ko-KR"/>
        </w:rPr>
        <w:t xml:space="preserve">The information provided in this presentation was considered in the description of areas meeting the EBSA criteria by the break-out groups. </w:t>
      </w:r>
      <w:r w:rsidR="00F952A8" w:rsidRPr="006220EA">
        <w:rPr>
          <w:sz w:val="22"/>
          <w:szCs w:val="22"/>
        </w:rPr>
        <w:t xml:space="preserve">A </w:t>
      </w:r>
      <w:r w:rsidR="00F952A8" w:rsidRPr="006220EA">
        <w:rPr>
          <w:sz w:val="22"/>
          <w:szCs w:val="22"/>
          <w:lang w:val="en-US" w:eastAsia="ko-KR"/>
        </w:rPr>
        <w:t>summary of this presentation is provided in annex II.</w:t>
      </w:r>
    </w:p>
    <w:p w14:paraId="1F4F9A27" w14:textId="4FF1AFCC" w:rsidR="00F952A8" w:rsidRPr="006220EA" w:rsidRDefault="007E2B66" w:rsidP="006220EA">
      <w:pPr>
        <w:autoSpaceDE w:val="0"/>
        <w:autoSpaceDN w:val="0"/>
        <w:adjustRightInd w:val="0"/>
        <w:spacing w:afterLines="50" w:after="120"/>
        <w:jc w:val="both"/>
        <w:rPr>
          <w:sz w:val="22"/>
          <w:szCs w:val="22"/>
          <w:lang w:val="en-US" w:eastAsia="ko-KR"/>
        </w:rPr>
      </w:pPr>
      <w:r w:rsidRPr="006220EA">
        <w:rPr>
          <w:sz w:val="22"/>
          <w:szCs w:val="22"/>
          <w:lang w:val="en-US" w:eastAsia="ko-KR"/>
        </w:rPr>
        <w:t>2</w:t>
      </w:r>
      <w:r w:rsidR="005056C7">
        <w:rPr>
          <w:sz w:val="22"/>
          <w:szCs w:val="22"/>
          <w:lang w:val="en-US" w:eastAsia="ko-KR"/>
        </w:rPr>
        <w:t>6</w:t>
      </w:r>
      <w:r w:rsidR="00F952A8" w:rsidRPr="006220EA">
        <w:rPr>
          <w:sz w:val="22"/>
          <w:szCs w:val="22"/>
          <w:lang w:val="en-US" w:eastAsia="ko-KR"/>
        </w:rPr>
        <w:t>.</w:t>
      </w:r>
      <w:r w:rsidR="00F952A8" w:rsidRPr="006220EA">
        <w:rPr>
          <w:sz w:val="22"/>
          <w:szCs w:val="22"/>
          <w:lang w:val="en-US" w:eastAsia="ko-KR"/>
        </w:rPr>
        <w:tab/>
        <w:t>Workshop participants</w:t>
      </w:r>
      <w:r w:rsidR="00537982" w:rsidRPr="006220EA">
        <w:rPr>
          <w:sz w:val="22"/>
          <w:szCs w:val="22"/>
          <w:lang w:val="en-US" w:eastAsia="ko-KR"/>
        </w:rPr>
        <w:t xml:space="preserve"> </w:t>
      </w:r>
      <w:r w:rsidR="00F952A8" w:rsidRPr="006220EA">
        <w:rPr>
          <w:sz w:val="22"/>
          <w:szCs w:val="22"/>
          <w:lang w:val="en-US" w:eastAsia="ko-KR"/>
        </w:rPr>
        <w:t xml:space="preserve">who had submitted relevant scientific information using the EBSA templates prior to the workshop, as contained in the document </w:t>
      </w:r>
      <w:r w:rsidR="003440A4" w:rsidRPr="006220EA">
        <w:rPr>
          <w:bCs/>
          <w:sz w:val="22"/>
          <w:szCs w:val="22"/>
          <w:shd w:val="clear" w:color="auto" w:fill="FFFFFF"/>
        </w:rPr>
        <w:t>CBD/EBSA/WS/20</w:t>
      </w:r>
      <w:r w:rsidR="00537982" w:rsidRPr="006220EA">
        <w:rPr>
          <w:bCs/>
          <w:sz w:val="22"/>
          <w:szCs w:val="22"/>
          <w:shd w:val="clear" w:color="auto" w:fill="FFFFFF"/>
        </w:rPr>
        <w:t>19</w:t>
      </w:r>
      <w:r w:rsidR="00F952A8" w:rsidRPr="006220EA">
        <w:rPr>
          <w:bCs/>
          <w:sz w:val="22"/>
          <w:szCs w:val="22"/>
          <w:shd w:val="clear" w:color="auto" w:fill="FFFFFF"/>
        </w:rPr>
        <w:t>/1/2</w:t>
      </w:r>
      <w:r w:rsidR="00F952A8" w:rsidRPr="006220EA">
        <w:rPr>
          <w:bCs/>
          <w:sz w:val="22"/>
          <w:szCs w:val="22"/>
          <w:lang w:val="en-US"/>
        </w:rPr>
        <w:t>,</w:t>
      </w:r>
      <w:r w:rsidR="00F952A8" w:rsidRPr="006220EA">
        <w:rPr>
          <w:sz w:val="22"/>
          <w:szCs w:val="22"/>
          <w:lang w:val="en-US" w:eastAsia="ko-KR"/>
        </w:rPr>
        <w:t xml:space="preserve"> were invited to present their draft descriptions of areas potentially meeting the EBSA criteria.</w:t>
      </w:r>
    </w:p>
    <w:p w14:paraId="4BD9800B" w14:textId="6CC97185" w:rsidR="00F952A8" w:rsidRDefault="003440A4" w:rsidP="006220EA">
      <w:pPr>
        <w:autoSpaceDE w:val="0"/>
        <w:autoSpaceDN w:val="0"/>
        <w:adjustRightInd w:val="0"/>
        <w:spacing w:afterLines="50" w:after="120"/>
        <w:jc w:val="both"/>
        <w:rPr>
          <w:bCs/>
          <w:sz w:val="22"/>
          <w:szCs w:val="22"/>
        </w:rPr>
      </w:pPr>
      <w:r w:rsidRPr="006220EA">
        <w:rPr>
          <w:bCs/>
          <w:sz w:val="22"/>
          <w:szCs w:val="22"/>
        </w:rPr>
        <w:t>2</w:t>
      </w:r>
      <w:r w:rsidR="005056C7">
        <w:rPr>
          <w:bCs/>
          <w:sz w:val="22"/>
          <w:szCs w:val="22"/>
        </w:rPr>
        <w:t>7</w:t>
      </w:r>
      <w:r w:rsidR="00F952A8" w:rsidRPr="006220EA">
        <w:rPr>
          <w:bCs/>
          <w:sz w:val="22"/>
          <w:szCs w:val="22"/>
        </w:rPr>
        <w:t>.</w:t>
      </w:r>
      <w:r w:rsidR="00F952A8" w:rsidRPr="006220EA">
        <w:rPr>
          <w:bCs/>
          <w:sz w:val="22"/>
          <w:szCs w:val="22"/>
        </w:rPr>
        <w:tab/>
        <w:t>Spatial data compiled for this workshop was available to workshop participants both in hard-copy maps as well as in a Geographic Information System (GIS) database, for their use, analysis and interpretation in the application of the EBSA criteria.</w:t>
      </w:r>
    </w:p>
    <w:p w14:paraId="0F871CD4" w14:textId="05F1FAD5" w:rsidR="006C0CB6" w:rsidRPr="006220EA" w:rsidRDefault="006C0CB6" w:rsidP="006220EA">
      <w:pPr>
        <w:autoSpaceDE w:val="0"/>
        <w:autoSpaceDN w:val="0"/>
        <w:adjustRightInd w:val="0"/>
        <w:spacing w:afterLines="50" w:after="120"/>
        <w:jc w:val="both"/>
        <w:rPr>
          <w:bCs/>
          <w:sz w:val="22"/>
          <w:szCs w:val="22"/>
        </w:rPr>
      </w:pPr>
      <w:r w:rsidRPr="00BA3EED">
        <w:rPr>
          <w:bCs/>
          <w:sz w:val="22"/>
          <w:szCs w:val="22"/>
        </w:rPr>
        <w:t>28.</w:t>
      </w:r>
      <w:r w:rsidRPr="00BA3EED">
        <w:rPr>
          <w:bCs/>
          <w:sz w:val="22"/>
          <w:szCs w:val="22"/>
        </w:rPr>
        <w:tab/>
        <w:t>The workshop participants also noted the previous information</w:t>
      </w:r>
      <w:r w:rsidRPr="00BA3EED">
        <w:rPr>
          <w:iCs/>
          <w:sz w:val="22"/>
          <w:szCs w:val="22"/>
          <w:lang w:val="en-GB" w:eastAsia="ko-KR"/>
        </w:rPr>
        <w:t xml:space="preserve"> </w:t>
      </w:r>
      <w:r w:rsidRPr="00BA3EED">
        <w:rPr>
          <w:bCs/>
          <w:iCs/>
          <w:sz w:val="22"/>
          <w:szCs w:val="22"/>
          <w:lang w:val="en-GB"/>
        </w:rPr>
        <w:t>collated for the regional EBSA process organi</w:t>
      </w:r>
      <w:r w:rsidR="00AC0BAC">
        <w:rPr>
          <w:bCs/>
          <w:iCs/>
          <w:sz w:val="22"/>
          <w:szCs w:val="22"/>
          <w:lang w:val="en-GB"/>
        </w:rPr>
        <w:t>z</w:t>
      </w:r>
      <w:r w:rsidRPr="00BA3EED">
        <w:rPr>
          <w:bCs/>
          <w:iCs/>
          <w:sz w:val="22"/>
          <w:szCs w:val="22"/>
          <w:lang w:val="en-GB"/>
        </w:rPr>
        <w:t>ed by the OSPAR Commission and NEAFC, in collaboration with the CBD Secretariat, in 2011 and 2013</w:t>
      </w:r>
      <w:r w:rsidR="00241DE3" w:rsidRPr="00BA3EED">
        <w:rPr>
          <w:bCs/>
          <w:iCs/>
          <w:sz w:val="22"/>
          <w:szCs w:val="22"/>
          <w:lang w:val="en-GB"/>
        </w:rPr>
        <w:t>,</w:t>
      </w:r>
      <w:r w:rsidRPr="00BA3EED">
        <w:rPr>
          <w:bCs/>
          <w:iCs/>
          <w:sz w:val="22"/>
          <w:szCs w:val="22"/>
          <w:lang w:val="en-GB"/>
        </w:rPr>
        <w:t xml:space="preserve"> and peer</w:t>
      </w:r>
      <w:r w:rsidR="00241DE3" w:rsidRPr="00BA3EED">
        <w:rPr>
          <w:bCs/>
          <w:iCs/>
          <w:sz w:val="22"/>
          <w:szCs w:val="22"/>
          <w:lang w:val="en-GB"/>
        </w:rPr>
        <w:t>-</w:t>
      </w:r>
      <w:r w:rsidRPr="00BA3EED">
        <w:rPr>
          <w:bCs/>
          <w:iCs/>
          <w:sz w:val="22"/>
          <w:szCs w:val="22"/>
          <w:lang w:val="en-GB"/>
        </w:rPr>
        <w:t>reviewed by ICES in 2013,</w:t>
      </w:r>
      <w:r w:rsidRPr="002E4B39">
        <w:rPr>
          <w:bCs/>
          <w:iCs/>
          <w:sz w:val="22"/>
          <w:szCs w:val="22"/>
          <w:vertAlign w:val="superscript"/>
          <w:lang w:val="en-GB"/>
        </w:rPr>
        <w:footnoteReference w:id="4"/>
      </w:r>
      <w:r w:rsidRPr="00BA3EED">
        <w:rPr>
          <w:bCs/>
          <w:iCs/>
          <w:sz w:val="22"/>
          <w:szCs w:val="22"/>
          <w:lang w:val="en-GB"/>
        </w:rPr>
        <w:t xml:space="preserve"> </w:t>
      </w:r>
      <w:r w:rsidR="00BA3EED" w:rsidRPr="00846AD1">
        <w:rPr>
          <w:bCs/>
          <w:iCs/>
          <w:sz w:val="22"/>
          <w:szCs w:val="22"/>
          <w:lang w:val="en-GB"/>
        </w:rPr>
        <w:t>the outputs of which were</w:t>
      </w:r>
      <w:r w:rsidR="00BA3EED" w:rsidRPr="00BA3EED">
        <w:rPr>
          <w:bCs/>
          <w:iCs/>
          <w:sz w:val="22"/>
          <w:szCs w:val="22"/>
          <w:lang w:val="en-GB"/>
        </w:rPr>
        <w:t xml:space="preserve"> </w:t>
      </w:r>
      <w:r w:rsidRPr="00BA3EED">
        <w:rPr>
          <w:bCs/>
          <w:iCs/>
          <w:sz w:val="22"/>
          <w:szCs w:val="22"/>
          <w:lang w:val="en-GB"/>
        </w:rPr>
        <w:t>made available for the workshop discussions.</w:t>
      </w:r>
    </w:p>
    <w:p w14:paraId="354340ED" w14:textId="640B4CC1" w:rsidR="00F952A8" w:rsidRDefault="003440A4" w:rsidP="006220EA">
      <w:pPr>
        <w:autoSpaceDE w:val="0"/>
        <w:autoSpaceDN w:val="0"/>
        <w:adjustRightInd w:val="0"/>
        <w:spacing w:afterLines="50" w:after="120"/>
        <w:jc w:val="both"/>
        <w:rPr>
          <w:sz w:val="22"/>
          <w:szCs w:val="22"/>
        </w:rPr>
      </w:pPr>
      <w:r w:rsidRPr="006220EA">
        <w:rPr>
          <w:bCs/>
          <w:sz w:val="22"/>
          <w:szCs w:val="22"/>
        </w:rPr>
        <w:t>2</w:t>
      </w:r>
      <w:r w:rsidR="006C0CB6">
        <w:rPr>
          <w:bCs/>
          <w:sz w:val="22"/>
          <w:szCs w:val="22"/>
        </w:rPr>
        <w:t>9</w:t>
      </w:r>
      <w:r w:rsidR="00F952A8" w:rsidRPr="006220EA">
        <w:rPr>
          <w:bCs/>
          <w:sz w:val="22"/>
          <w:szCs w:val="22"/>
        </w:rPr>
        <w:t>.</w:t>
      </w:r>
      <w:r w:rsidR="00F952A8" w:rsidRPr="006220EA">
        <w:rPr>
          <w:bCs/>
          <w:sz w:val="22"/>
          <w:szCs w:val="22"/>
        </w:rPr>
        <w:tab/>
        <w:t xml:space="preserve">Workshop </w:t>
      </w:r>
      <w:r w:rsidR="00F952A8" w:rsidRPr="006220EA">
        <w:rPr>
          <w:sz w:val="22"/>
          <w:szCs w:val="22"/>
        </w:rPr>
        <w:t xml:space="preserve">participants noted with appreciation the considerable amount of data/information gathered, including GIS data, for the workshop deliberation and highlighted the importance of making it available through the development of relevant information platforms (e.g., EBSA regional repository) at national and regional scales. </w:t>
      </w:r>
    </w:p>
    <w:p w14:paraId="701E9E62" w14:textId="42564AA7" w:rsidR="00EB53DD" w:rsidRPr="006220EA" w:rsidRDefault="00484C18" w:rsidP="00F952A8">
      <w:pPr>
        <w:pStyle w:val="Heading1longmultiline"/>
        <w:keepLines/>
        <w:ind w:left="1701" w:right="270"/>
        <w:rPr>
          <w:szCs w:val="22"/>
        </w:rPr>
      </w:pPr>
      <w:r w:rsidRPr="006220EA">
        <w:rPr>
          <w:szCs w:val="22"/>
        </w:rPr>
        <w:t>ITEM 5.</w:t>
      </w:r>
      <w:r w:rsidRPr="006220EA">
        <w:rPr>
          <w:szCs w:val="22"/>
        </w:rPr>
        <w:tab/>
      </w:r>
      <w:r w:rsidR="00BE65D8" w:rsidRPr="006220EA">
        <w:rPr>
          <w:szCs w:val="22"/>
        </w:rPr>
        <w:t xml:space="preserve">Description of ecologically or biologically significant marine areas through </w:t>
      </w:r>
      <w:r w:rsidR="00BE65D8" w:rsidRPr="006220EA">
        <w:rPr>
          <w:szCs w:val="22"/>
          <w:lang w:eastAsia="ko-KR"/>
        </w:rPr>
        <w:t xml:space="preserve">the </w:t>
      </w:r>
      <w:r w:rsidR="00BE65D8" w:rsidRPr="006220EA">
        <w:rPr>
          <w:szCs w:val="22"/>
        </w:rPr>
        <w:t xml:space="preserve">application of the scientific criteria (decision IX/20, annex I) </w:t>
      </w:r>
    </w:p>
    <w:p w14:paraId="13309723" w14:textId="14EEAF10" w:rsidR="00C10B6D" w:rsidRPr="006220EA" w:rsidRDefault="005056C7" w:rsidP="006220EA">
      <w:pPr>
        <w:spacing w:afterLines="50" w:after="120"/>
        <w:jc w:val="both"/>
        <w:rPr>
          <w:sz w:val="22"/>
          <w:szCs w:val="22"/>
        </w:rPr>
      </w:pPr>
      <w:r>
        <w:rPr>
          <w:sz w:val="22"/>
          <w:szCs w:val="22"/>
        </w:rPr>
        <w:t>30</w:t>
      </w:r>
      <w:r w:rsidR="00F952A8" w:rsidRPr="006220EA">
        <w:rPr>
          <w:sz w:val="22"/>
          <w:szCs w:val="22"/>
        </w:rPr>
        <w:t>.</w:t>
      </w:r>
      <w:r w:rsidR="00F952A8" w:rsidRPr="006220EA">
        <w:rPr>
          <w:sz w:val="22"/>
          <w:szCs w:val="22"/>
        </w:rPr>
        <w:tab/>
      </w:r>
      <w:r w:rsidR="00C10B6D" w:rsidRPr="006220EA">
        <w:rPr>
          <w:sz w:val="22"/>
          <w:szCs w:val="22"/>
        </w:rPr>
        <w:t xml:space="preserve">Building on the theme presentations provided in the previous agenda items, the workshop participants exchanged their views on possible ways of organizing their work </w:t>
      </w:r>
      <w:r w:rsidR="00A10760">
        <w:rPr>
          <w:sz w:val="22"/>
          <w:szCs w:val="22"/>
        </w:rPr>
        <w:t>under this agenda item</w:t>
      </w:r>
      <w:r w:rsidR="00C10B6D" w:rsidRPr="006220EA">
        <w:rPr>
          <w:sz w:val="22"/>
          <w:szCs w:val="22"/>
        </w:rPr>
        <w:t xml:space="preserve">. In this regard, participants noted the following points with regard to the description of areas meeting the EBSA criteria: </w:t>
      </w:r>
    </w:p>
    <w:p w14:paraId="4A22C71F" w14:textId="77777777" w:rsidR="00C10B6D" w:rsidRPr="006220EA" w:rsidRDefault="00C10B6D" w:rsidP="002E4B39">
      <w:pPr>
        <w:pStyle w:val="ListParagraph"/>
        <w:numPr>
          <w:ilvl w:val="0"/>
          <w:numId w:val="62"/>
        </w:numPr>
        <w:spacing w:afterLines="50" w:after="120"/>
        <w:ind w:leftChars="0" w:left="0" w:firstLine="709"/>
        <w:rPr>
          <w:szCs w:val="22"/>
        </w:rPr>
      </w:pPr>
      <w:r w:rsidRPr="006220EA">
        <w:rPr>
          <w:szCs w:val="22"/>
        </w:rPr>
        <w:t xml:space="preserve">The description of EBSAs is based on the scientific information and expert knowledge available at the time of the workshop, and, as the EBSA process is iterative and ongoing, there may be additional areas described as meeting the EBSA criteria in future regional or sub-regional workshops; </w:t>
      </w:r>
    </w:p>
    <w:p w14:paraId="333DCCF3" w14:textId="77777777" w:rsidR="00C10B6D" w:rsidRPr="006220EA" w:rsidRDefault="00C10B6D" w:rsidP="002E4B39">
      <w:pPr>
        <w:pStyle w:val="ListParagraph"/>
        <w:numPr>
          <w:ilvl w:val="0"/>
          <w:numId w:val="62"/>
        </w:numPr>
        <w:spacing w:afterLines="50" w:after="120"/>
        <w:ind w:leftChars="0" w:left="0" w:firstLine="709"/>
        <w:rPr>
          <w:szCs w:val="22"/>
        </w:rPr>
      </w:pPr>
      <w:r w:rsidRPr="006220EA">
        <w:rPr>
          <w:szCs w:val="22"/>
        </w:rPr>
        <w:t>In describing multiple ecological and/or biological components of a given area, participants should consider how these components may be interconnected as part of a system, and that, if separate components cannot be described as part of a coherent system approach, these components should be described separately;</w:t>
      </w:r>
    </w:p>
    <w:p w14:paraId="64EC5433" w14:textId="77777777" w:rsidR="00C10B6D" w:rsidRPr="006220EA" w:rsidRDefault="00C10B6D" w:rsidP="002E4B39">
      <w:pPr>
        <w:numPr>
          <w:ilvl w:val="0"/>
          <w:numId w:val="62"/>
        </w:numPr>
        <w:autoSpaceDE w:val="0"/>
        <w:autoSpaceDN w:val="0"/>
        <w:adjustRightInd w:val="0"/>
        <w:spacing w:afterLines="50" w:after="120"/>
        <w:ind w:left="0" w:firstLine="709"/>
        <w:jc w:val="both"/>
        <w:rPr>
          <w:sz w:val="22"/>
          <w:szCs w:val="22"/>
          <w:lang w:val="en-US" w:eastAsia="ko-KR"/>
        </w:rPr>
      </w:pPr>
      <w:r w:rsidRPr="006220EA">
        <w:rPr>
          <w:sz w:val="22"/>
          <w:szCs w:val="22"/>
        </w:rPr>
        <w:t xml:space="preserve">The EBSA criteria can be applied on all scales from global to local. Once a scale has been </w:t>
      </w:r>
      <w:r w:rsidRPr="00A10760">
        <w:rPr>
          <w:sz w:val="22"/>
          <w:szCs w:val="22"/>
        </w:rPr>
        <w:t>selected, however, the criteria are intended to be used to evaluate areas and ecosystem features in a context relative to other</w:t>
      </w:r>
      <w:r w:rsidRPr="006220EA">
        <w:rPr>
          <w:sz w:val="22"/>
          <w:szCs w:val="22"/>
        </w:rPr>
        <w:t xml:space="preserve"> areas and features at the given scale;</w:t>
      </w:r>
    </w:p>
    <w:p w14:paraId="59672522" w14:textId="77777777" w:rsidR="00C10B6D" w:rsidRPr="006220EA" w:rsidRDefault="00C10B6D" w:rsidP="002E4B39">
      <w:pPr>
        <w:numPr>
          <w:ilvl w:val="0"/>
          <w:numId w:val="62"/>
        </w:numPr>
        <w:autoSpaceDE w:val="0"/>
        <w:autoSpaceDN w:val="0"/>
        <w:adjustRightInd w:val="0"/>
        <w:spacing w:afterLines="50" w:after="120"/>
        <w:ind w:left="0" w:firstLine="709"/>
        <w:jc w:val="both"/>
        <w:rPr>
          <w:sz w:val="22"/>
          <w:szCs w:val="22"/>
          <w:lang w:val="en-US" w:eastAsia="ko-KR"/>
        </w:rPr>
      </w:pPr>
      <w:r w:rsidRPr="006220EA">
        <w:rPr>
          <w:sz w:val="22"/>
          <w:szCs w:val="22"/>
          <w:lang w:eastAsia="ko-KR"/>
        </w:rPr>
        <w:t xml:space="preserve">There are no thresholds that </w:t>
      </w:r>
      <w:r w:rsidRPr="006220EA">
        <w:rPr>
          <w:iCs/>
          <w:sz w:val="22"/>
          <w:szCs w:val="22"/>
          <w:lang w:eastAsia="ko-KR"/>
        </w:rPr>
        <w:t xml:space="preserve">must be </w:t>
      </w:r>
      <w:r w:rsidRPr="006220EA">
        <w:rPr>
          <w:sz w:val="22"/>
          <w:szCs w:val="22"/>
          <w:lang w:eastAsia="ko-KR"/>
        </w:rPr>
        <w:t xml:space="preserve">met, judgements are comparative to adjacent areas, and the current ranking system (e.g., high, medium, low, no information) for assessing the areas meeting each EBSA criterion is devised to facilitate better understanding of available scientific information in describing the areas with regard to the extent to which they meet different criteria. The current ranking system, however, does not intend to compare the importance of each criterion; </w:t>
      </w:r>
    </w:p>
    <w:p w14:paraId="650865D0" w14:textId="77777777" w:rsidR="00C10B6D" w:rsidRPr="006220EA" w:rsidRDefault="00C10B6D" w:rsidP="002E4B39">
      <w:pPr>
        <w:numPr>
          <w:ilvl w:val="0"/>
          <w:numId w:val="62"/>
        </w:numPr>
        <w:autoSpaceDE w:val="0"/>
        <w:autoSpaceDN w:val="0"/>
        <w:adjustRightInd w:val="0"/>
        <w:spacing w:afterLines="50" w:after="120"/>
        <w:ind w:left="0" w:firstLine="709"/>
        <w:jc w:val="both"/>
        <w:rPr>
          <w:sz w:val="22"/>
          <w:szCs w:val="22"/>
          <w:lang w:val="en-US" w:eastAsia="ko-KR"/>
        </w:rPr>
      </w:pPr>
      <w:r w:rsidRPr="006220EA">
        <w:rPr>
          <w:sz w:val="22"/>
          <w:szCs w:val="22"/>
          <w:lang w:eastAsia="ko-KR"/>
        </w:rPr>
        <w:t xml:space="preserve">Relative assessments are necessarily scale dependent. </w:t>
      </w:r>
      <w:r w:rsidRPr="006220EA">
        <w:rPr>
          <w:sz w:val="22"/>
          <w:szCs w:val="22"/>
          <w:lang w:val="en-US" w:eastAsia="ko-KR"/>
        </w:rPr>
        <w:t xml:space="preserve">Relative significance of areas has generally been viewed from regional or large sub-regional scales; </w:t>
      </w:r>
    </w:p>
    <w:p w14:paraId="0E36BBF3" w14:textId="7190431B" w:rsidR="00C10B6D" w:rsidRPr="00A10760" w:rsidRDefault="00A10760" w:rsidP="002E4B39">
      <w:pPr>
        <w:numPr>
          <w:ilvl w:val="0"/>
          <w:numId w:val="62"/>
        </w:numPr>
        <w:autoSpaceDE w:val="0"/>
        <w:autoSpaceDN w:val="0"/>
        <w:adjustRightInd w:val="0"/>
        <w:spacing w:afterLines="50" w:after="120"/>
        <w:ind w:left="0" w:firstLine="709"/>
        <w:jc w:val="both"/>
        <w:rPr>
          <w:sz w:val="22"/>
          <w:szCs w:val="22"/>
          <w:lang w:eastAsia="ko-KR"/>
        </w:rPr>
      </w:pPr>
      <w:r w:rsidRPr="00A10760">
        <w:rPr>
          <w:sz w:val="22"/>
          <w:szCs w:val="22"/>
          <w:lang w:eastAsia="ko-KR"/>
        </w:rPr>
        <w:t>Areas may meet multiple criteria, and that is important, but ranking at least one as high is also necessary for a proposed area to be described as an EBSA;</w:t>
      </w:r>
    </w:p>
    <w:p w14:paraId="64D51585" w14:textId="77777777" w:rsidR="00C10B6D" w:rsidRPr="006220EA" w:rsidRDefault="00C10B6D" w:rsidP="002E4B39">
      <w:pPr>
        <w:numPr>
          <w:ilvl w:val="0"/>
          <w:numId w:val="62"/>
        </w:numPr>
        <w:autoSpaceDE w:val="0"/>
        <w:autoSpaceDN w:val="0"/>
        <w:adjustRightInd w:val="0"/>
        <w:spacing w:afterLines="50" w:after="120"/>
        <w:ind w:left="0" w:firstLine="709"/>
        <w:jc w:val="both"/>
        <w:rPr>
          <w:sz w:val="22"/>
          <w:szCs w:val="22"/>
          <w:lang w:val="en-US" w:eastAsia="ko-KR"/>
        </w:rPr>
      </w:pPr>
      <w:r w:rsidRPr="006220EA">
        <w:rPr>
          <w:sz w:val="22"/>
          <w:szCs w:val="22"/>
          <w:lang w:val="en-US" w:eastAsia="ko-KR"/>
        </w:rPr>
        <w:lastRenderedPageBreak/>
        <w:t xml:space="preserve">Areas described to meet the EBSA criteria have ranged from relatively small sites to very extensive oceanographic features; </w:t>
      </w:r>
    </w:p>
    <w:p w14:paraId="5DA76AA7" w14:textId="77777777" w:rsidR="00C10B6D" w:rsidRPr="006220EA" w:rsidRDefault="00C10B6D" w:rsidP="002E4B39">
      <w:pPr>
        <w:numPr>
          <w:ilvl w:val="0"/>
          <w:numId w:val="62"/>
        </w:numPr>
        <w:autoSpaceDE w:val="0"/>
        <w:autoSpaceDN w:val="0"/>
        <w:adjustRightInd w:val="0"/>
        <w:spacing w:afterLines="50" w:after="120"/>
        <w:ind w:left="0" w:firstLine="709"/>
        <w:jc w:val="both"/>
        <w:rPr>
          <w:sz w:val="22"/>
          <w:szCs w:val="22"/>
          <w:lang w:val="en-US" w:eastAsia="ko-KR"/>
        </w:rPr>
      </w:pPr>
      <w:r w:rsidRPr="006220EA">
        <w:rPr>
          <w:sz w:val="22"/>
          <w:szCs w:val="22"/>
          <w:lang w:val="en-US" w:eastAsia="ko-KR"/>
        </w:rPr>
        <w:t xml:space="preserve">Areas described to meet the EBSA criteria can be overlapped or nested; </w:t>
      </w:r>
    </w:p>
    <w:p w14:paraId="5140EB18" w14:textId="2F306910" w:rsidR="00C10B6D" w:rsidRPr="00A10760" w:rsidRDefault="00C10B6D" w:rsidP="002E4B39">
      <w:pPr>
        <w:pStyle w:val="ListParagraph"/>
        <w:numPr>
          <w:ilvl w:val="0"/>
          <w:numId w:val="62"/>
        </w:numPr>
        <w:spacing w:afterLines="50" w:after="120"/>
        <w:ind w:leftChars="0" w:left="0" w:firstLine="709"/>
        <w:rPr>
          <w:rFonts w:eastAsia="Batang"/>
          <w:szCs w:val="22"/>
        </w:rPr>
      </w:pPr>
      <w:r w:rsidRPr="006220EA">
        <w:rPr>
          <w:bCs/>
          <w:szCs w:val="22"/>
        </w:rPr>
        <w:t>Difficulties are often encountered in applying EBSA criterion 4 (vulnerability, fragility, sensitivity, and/or slow recovery)</w:t>
      </w:r>
      <w:r w:rsidR="00A10760">
        <w:rPr>
          <w:bCs/>
          <w:szCs w:val="22"/>
        </w:rPr>
        <w:t>. C</w:t>
      </w:r>
      <w:r w:rsidRPr="00A10760">
        <w:rPr>
          <w:bCs/>
          <w:szCs w:val="22"/>
        </w:rPr>
        <w:t>riterion 4 applies to an a</w:t>
      </w:r>
      <w:r w:rsidRPr="00A10760">
        <w:rPr>
          <w:rFonts w:eastAsia="Batang"/>
          <w:szCs w:val="22"/>
          <w:lang w:val="en-US"/>
        </w:rPr>
        <w:t>rea that contain</w:t>
      </w:r>
      <w:r w:rsidR="00241DE3">
        <w:rPr>
          <w:rFonts w:eastAsia="Batang"/>
          <w:szCs w:val="22"/>
          <w:lang w:val="en-US"/>
        </w:rPr>
        <w:t>s</w:t>
      </w:r>
      <w:r w:rsidRPr="00A10760">
        <w:rPr>
          <w:rFonts w:eastAsia="Batang"/>
          <w:szCs w:val="22"/>
          <w:lang w:val="en-US"/>
        </w:rPr>
        <w:t xml:space="preserve"> a relatively high proportion of sensitive habitats, biotopes or species that are functionally fragile (highly susceptible to degradation or depletion by human activity or by natural events) or with slow recovery</w:t>
      </w:r>
      <w:r w:rsidRPr="00A10760">
        <w:rPr>
          <w:szCs w:val="22"/>
          <w:lang w:val="en-US"/>
        </w:rPr>
        <w:t>, not directly describing the anthropogenic threats or pressures affecting the areas</w:t>
      </w:r>
      <w:r w:rsidR="00AC0BAC">
        <w:rPr>
          <w:szCs w:val="22"/>
          <w:lang w:val="en-US"/>
        </w:rPr>
        <w:t>.</w:t>
      </w:r>
    </w:p>
    <w:p w14:paraId="6EE3F39A" w14:textId="1823CDFF" w:rsidR="00C10B6D" w:rsidRPr="00282BF0" w:rsidRDefault="00A10760" w:rsidP="006220EA">
      <w:pPr>
        <w:spacing w:afterLines="50" w:after="120"/>
        <w:jc w:val="both"/>
        <w:rPr>
          <w:sz w:val="22"/>
          <w:szCs w:val="22"/>
        </w:rPr>
      </w:pPr>
      <w:r>
        <w:rPr>
          <w:sz w:val="22"/>
          <w:szCs w:val="22"/>
        </w:rPr>
        <w:t>3</w:t>
      </w:r>
      <w:r w:rsidR="005056C7">
        <w:rPr>
          <w:sz w:val="22"/>
          <w:szCs w:val="22"/>
        </w:rPr>
        <w:t>1</w:t>
      </w:r>
      <w:r w:rsidR="00C10B6D" w:rsidRPr="006220EA">
        <w:rPr>
          <w:sz w:val="22"/>
          <w:szCs w:val="22"/>
        </w:rPr>
        <w:t>.</w:t>
      </w:r>
      <w:r w:rsidR="00C10B6D" w:rsidRPr="006220EA">
        <w:rPr>
          <w:sz w:val="22"/>
          <w:szCs w:val="22"/>
        </w:rPr>
        <w:tab/>
        <w:t xml:space="preserve">This workshop was mandated to evaluate areas at a regional scale within the North-East Atlantic. However, the workshop considered that the entire region has </w:t>
      </w:r>
      <w:r>
        <w:rPr>
          <w:sz w:val="22"/>
          <w:szCs w:val="22"/>
        </w:rPr>
        <w:t>significant</w:t>
      </w:r>
      <w:r w:rsidR="00C10B6D" w:rsidRPr="006220EA">
        <w:rPr>
          <w:sz w:val="22"/>
          <w:szCs w:val="22"/>
        </w:rPr>
        <w:t xml:space="preserve"> ecological or biological features </w:t>
      </w:r>
      <w:r w:rsidR="00241DE3">
        <w:rPr>
          <w:sz w:val="22"/>
          <w:szCs w:val="22"/>
        </w:rPr>
        <w:t>that</w:t>
      </w:r>
      <w:r w:rsidR="00C10B6D" w:rsidRPr="00282BF0">
        <w:rPr>
          <w:sz w:val="22"/>
          <w:szCs w:val="22"/>
        </w:rPr>
        <w:t xml:space="preserve"> </w:t>
      </w:r>
      <w:r w:rsidR="00241DE3">
        <w:rPr>
          <w:sz w:val="22"/>
          <w:szCs w:val="22"/>
        </w:rPr>
        <w:t>should</w:t>
      </w:r>
      <w:r w:rsidR="00C10B6D" w:rsidRPr="00282BF0">
        <w:rPr>
          <w:sz w:val="22"/>
          <w:szCs w:val="22"/>
        </w:rPr>
        <w:t xml:space="preserve"> be viewed on a global scale. This perspective is presented in annex </w:t>
      </w:r>
      <w:r w:rsidR="00826D67" w:rsidRPr="00282BF0">
        <w:rPr>
          <w:sz w:val="22"/>
          <w:szCs w:val="22"/>
        </w:rPr>
        <w:t>V</w:t>
      </w:r>
      <w:r w:rsidR="00C10B6D" w:rsidRPr="00282BF0">
        <w:rPr>
          <w:sz w:val="22"/>
          <w:szCs w:val="22"/>
        </w:rPr>
        <w:t xml:space="preserve"> of this report.</w:t>
      </w:r>
    </w:p>
    <w:p w14:paraId="51661098" w14:textId="1E64C0D4" w:rsidR="008836EC" w:rsidRDefault="00A10760" w:rsidP="001F339A">
      <w:pPr>
        <w:spacing w:afterLines="50" w:after="120"/>
        <w:jc w:val="both"/>
        <w:rPr>
          <w:sz w:val="22"/>
          <w:szCs w:val="22"/>
        </w:rPr>
      </w:pPr>
      <w:r w:rsidRPr="0028621C">
        <w:rPr>
          <w:sz w:val="22"/>
          <w:szCs w:val="22"/>
        </w:rPr>
        <w:t>3</w:t>
      </w:r>
      <w:r w:rsidR="005056C7" w:rsidRPr="0028621C">
        <w:rPr>
          <w:sz w:val="22"/>
          <w:szCs w:val="22"/>
        </w:rPr>
        <w:t>2</w:t>
      </w:r>
      <w:r w:rsidR="00826D67" w:rsidRPr="0028621C">
        <w:rPr>
          <w:sz w:val="22"/>
          <w:szCs w:val="22"/>
        </w:rPr>
        <w:t>.</w:t>
      </w:r>
      <w:r w:rsidR="00826D67" w:rsidRPr="0028621C">
        <w:rPr>
          <w:sz w:val="22"/>
          <w:szCs w:val="22"/>
        </w:rPr>
        <w:tab/>
      </w:r>
      <w:r w:rsidR="00AD2152" w:rsidRPr="0028621C">
        <w:rPr>
          <w:sz w:val="22"/>
          <w:szCs w:val="22"/>
        </w:rPr>
        <w:t xml:space="preserve">Participants recognized that indigenous peoples and local communities in the North-East Atlantic have </w:t>
      </w:r>
      <w:r w:rsidR="005602FC" w:rsidRPr="0028621C">
        <w:rPr>
          <w:sz w:val="22"/>
          <w:szCs w:val="22"/>
        </w:rPr>
        <w:t xml:space="preserve">a significant amount of </w:t>
      </w:r>
      <w:r w:rsidR="00AD2152" w:rsidRPr="0028621C">
        <w:rPr>
          <w:sz w:val="22"/>
          <w:szCs w:val="22"/>
        </w:rPr>
        <w:t>endemic, traditional knowledge</w:t>
      </w:r>
      <w:r w:rsidR="005602FC" w:rsidRPr="0028621C">
        <w:rPr>
          <w:sz w:val="22"/>
          <w:szCs w:val="22"/>
        </w:rPr>
        <w:t xml:space="preserve"> relevant to the description of EBSAs,</w:t>
      </w:r>
      <w:r w:rsidR="00AD2152" w:rsidRPr="0028621C">
        <w:rPr>
          <w:sz w:val="22"/>
          <w:szCs w:val="22"/>
        </w:rPr>
        <w:t xml:space="preserve"> and that traditional knowledge should be appropriately considered and engaged in the description of areas meeting the EBSA criteria through the</w:t>
      </w:r>
      <w:r w:rsidR="00282BF0" w:rsidRPr="0028621C">
        <w:rPr>
          <w:sz w:val="22"/>
          <w:szCs w:val="22"/>
        </w:rPr>
        <w:t xml:space="preserve"> full and</w:t>
      </w:r>
      <w:r w:rsidR="00AD2152" w:rsidRPr="0028621C">
        <w:rPr>
          <w:sz w:val="22"/>
          <w:szCs w:val="22"/>
        </w:rPr>
        <w:t xml:space="preserve"> effective participation of indigenous peoples and local communities. </w:t>
      </w:r>
      <w:r w:rsidR="00826D67" w:rsidRPr="0028621C">
        <w:rPr>
          <w:sz w:val="22"/>
          <w:szCs w:val="22"/>
        </w:rPr>
        <w:t xml:space="preserve">Participants </w:t>
      </w:r>
      <w:r w:rsidR="00AD2152" w:rsidRPr="0028621C">
        <w:rPr>
          <w:sz w:val="22"/>
          <w:szCs w:val="22"/>
        </w:rPr>
        <w:t>noted</w:t>
      </w:r>
      <w:r w:rsidRPr="0028621C">
        <w:rPr>
          <w:sz w:val="22"/>
          <w:szCs w:val="22"/>
        </w:rPr>
        <w:t xml:space="preserve"> that</w:t>
      </w:r>
      <w:r w:rsidR="00826D67" w:rsidRPr="0028621C">
        <w:rPr>
          <w:sz w:val="22"/>
          <w:szCs w:val="22"/>
        </w:rPr>
        <w:t xml:space="preserve"> </w:t>
      </w:r>
      <w:r w:rsidR="008836EC" w:rsidRPr="0028621C">
        <w:rPr>
          <w:sz w:val="22"/>
          <w:szCs w:val="22"/>
        </w:rPr>
        <w:t xml:space="preserve">indigenous peoples and local communities have long been part of the North-East Atlantic ecosystem, and its biodiversity has been the basis for ways of life for indigenous peoples for millennia and is still a vital part of their material and spiritual existence. </w:t>
      </w:r>
      <w:r w:rsidR="00282BF0" w:rsidRPr="0028621C">
        <w:rPr>
          <w:sz w:val="22"/>
          <w:szCs w:val="22"/>
        </w:rPr>
        <w:t>They further noted the importance of r</w:t>
      </w:r>
      <w:r w:rsidR="008836EC" w:rsidRPr="0028621C">
        <w:rPr>
          <w:sz w:val="22"/>
          <w:szCs w:val="22"/>
        </w:rPr>
        <w:t>ecognizing the linkage between culture and biodiversity, given that healthy and productive marine and ecosystems are the foundation of indigenous cultures, traditions and identities.</w:t>
      </w:r>
      <w:r w:rsidR="00AD2152" w:rsidRPr="0028621C">
        <w:rPr>
          <w:sz w:val="22"/>
          <w:szCs w:val="22"/>
        </w:rPr>
        <w:t xml:space="preserve"> </w:t>
      </w:r>
      <w:r w:rsidR="008836EC" w:rsidRPr="0028621C">
        <w:rPr>
          <w:sz w:val="22"/>
          <w:szCs w:val="22"/>
        </w:rPr>
        <w:t xml:space="preserve">Although the workshop </w:t>
      </w:r>
      <w:r w:rsidR="00282BF0" w:rsidRPr="0028621C">
        <w:rPr>
          <w:sz w:val="22"/>
          <w:szCs w:val="22"/>
        </w:rPr>
        <w:t>did</w:t>
      </w:r>
      <w:r w:rsidR="008836EC" w:rsidRPr="0028621C">
        <w:rPr>
          <w:sz w:val="22"/>
          <w:szCs w:val="22"/>
        </w:rPr>
        <w:t xml:space="preserve"> not consider </w:t>
      </w:r>
      <w:r w:rsidR="00C51AAC">
        <w:rPr>
          <w:sz w:val="22"/>
          <w:szCs w:val="22"/>
        </w:rPr>
        <w:t>many</w:t>
      </w:r>
      <w:r w:rsidR="00C51AAC" w:rsidRPr="0028621C">
        <w:rPr>
          <w:sz w:val="22"/>
          <w:szCs w:val="22"/>
        </w:rPr>
        <w:t xml:space="preserve"> </w:t>
      </w:r>
      <w:r w:rsidR="008836EC" w:rsidRPr="0028621C">
        <w:rPr>
          <w:sz w:val="22"/>
          <w:szCs w:val="22"/>
        </w:rPr>
        <w:t xml:space="preserve">areas where </w:t>
      </w:r>
      <w:r w:rsidR="00AD2152" w:rsidRPr="0028621C">
        <w:rPr>
          <w:sz w:val="22"/>
          <w:szCs w:val="22"/>
        </w:rPr>
        <w:t>indigenous</w:t>
      </w:r>
      <w:r w:rsidR="008836EC" w:rsidRPr="0028621C">
        <w:rPr>
          <w:sz w:val="22"/>
          <w:szCs w:val="22"/>
        </w:rPr>
        <w:t xml:space="preserve"> people</w:t>
      </w:r>
      <w:r w:rsidR="00AD2152" w:rsidRPr="0028621C">
        <w:rPr>
          <w:sz w:val="22"/>
          <w:szCs w:val="22"/>
        </w:rPr>
        <w:t>s and local communities</w:t>
      </w:r>
      <w:r w:rsidR="008836EC" w:rsidRPr="0028621C">
        <w:rPr>
          <w:sz w:val="22"/>
          <w:szCs w:val="22"/>
        </w:rPr>
        <w:t xml:space="preserve"> live, </w:t>
      </w:r>
      <w:r w:rsidR="00282BF0" w:rsidRPr="0028621C">
        <w:rPr>
          <w:sz w:val="22"/>
          <w:szCs w:val="22"/>
        </w:rPr>
        <w:t xml:space="preserve">indigenous peoples and local communities </w:t>
      </w:r>
      <w:r w:rsidR="008836EC" w:rsidRPr="0028621C">
        <w:rPr>
          <w:sz w:val="22"/>
          <w:szCs w:val="22"/>
        </w:rPr>
        <w:t>have always known that remote areas outside the</w:t>
      </w:r>
      <w:r w:rsidR="00282BF0" w:rsidRPr="0028621C">
        <w:rPr>
          <w:sz w:val="22"/>
          <w:szCs w:val="22"/>
        </w:rPr>
        <w:t>ir</w:t>
      </w:r>
      <w:r w:rsidR="008836EC" w:rsidRPr="0028621C">
        <w:rPr>
          <w:sz w:val="22"/>
          <w:szCs w:val="22"/>
        </w:rPr>
        <w:t xml:space="preserve"> </w:t>
      </w:r>
      <w:r w:rsidR="00282BF0" w:rsidRPr="0028621C">
        <w:rPr>
          <w:sz w:val="22"/>
          <w:szCs w:val="22"/>
        </w:rPr>
        <w:t>immediate</w:t>
      </w:r>
      <w:r w:rsidR="008836EC" w:rsidRPr="0028621C">
        <w:rPr>
          <w:sz w:val="22"/>
          <w:szCs w:val="22"/>
        </w:rPr>
        <w:t xml:space="preserve"> environment are important areas for refuge and homes to other beings and respected </w:t>
      </w:r>
      <w:r w:rsidR="008836EC" w:rsidRPr="00A218EA">
        <w:rPr>
          <w:sz w:val="22"/>
          <w:szCs w:val="22"/>
        </w:rPr>
        <w:t>as such.</w:t>
      </w:r>
      <w:r w:rsidR="00AD2152" w:rsidRPr="00A218EA">
        <w:rPr>
          <w:sz w:val="22"/>
          <w:szCs w:val="22"/>
        </w:rPr>
        <w:t xml:space="preserve"> </w:t>
      </w:r>
      <w:r w:rsidR="008836EC" w:rsidRPr="00A218EA">
        <w:rPr>
          <w:sz w:val="22"/>
          <w:szCs w:val="22"/>
        </w:rPr>
        <w:t>If th</w:t>
      </w:r>
      <w:r w:rsidR="00A218EA">
        <w:rPr>
          <w:sz w:val="22"/>
          <w:szCs w:val="22"/>
        </w:rPr>
        <w:t>ose</w:t>
      </w:r>
      <w:r w:rsidR="008836EC" w:rsidRPr="00A218EA">
        <w:rPr>
          <w:sz w:val="22"/>
          <w:szCs w:val="22"/>
        </w:rPr>
        <w:t xml:space="preserve"> areas </w:t>
      </w:r>
      <w:r w:rsidR="00282BF0" w:rsidRPr="00A218EA">
        <w:rPr>
          <w:sz w:val="22"/>
          <w:szCs w:val="22"/>
        </w:rPr>
        <w:t>had been considered in the context of this workshop</w:t>
      </w:r>
      <w:r w:rsidR="008836EC" w:rsidRPr="00A218EA">
        <w:rPr>
          <w:sz w:val="22"/>
          <w:szCs w:val="22"/>
        </w:rPr>
        <w:t xml:space="preserve">, </w:t>
      </w:r>
      <w:r w:rsidR="00282BF0" w:rsidRPr="00A218EA">
        <w:rPr>
          <w:sz w:val="22"/>
          <w:szCs w:val="22"/>
        </w:rPr>
        <w:t xml:space="preserve">traditional knowledge on features such </w:t>
      </w:r>
      <w:r w:rsidR="008836EC" w:rsidRPr="00A218EA">
        <w:rPr>
          <w:sz w:val="22"/>
          <w:szCs w:val="22"/>
        </w:rPr>
        <w:t>fishing grounds, spawning areas, streams, fauna, bird habitats, seabed conditions and also knowledge of customary use of areas, areas of social and economic importance, cultural heritage sites, subsistence use areas and sacred sites would have been highly relevant</w:t>
      </w:r>
      <w:r w:rsidR="00A218EA">
        <w:rPr>
          <w:sz w:val="22"/>
          <w:szCs w:val="22"/>
        </w:rPr>
        <w:t>.</w:t>
      </w:r>
    </w:p>
    <w:p w14:paraId="3A05530E" w14:textId="45B101DF" w:rsidR="00C10B6D" w:rsidRPr="006220EA" w:rsidRDefault="00826D67" w:rsidP="006220EA">
      <w:pPr>
        <w:spacing w:before="120" w:afterLines="50" w:after="120"/>
        <w:jc w:val="both"/>
        <w:rPr>
          <w:sz w:val="22"/>
          <w:szCs w:val="22"/>
        </w:rPr>
      </w:pPr>
      <w:r w:rsidRPr="006220EA">
        <w:rPr>
          <w:sz w:val="22"/>
          <w:szCs w:val="22"/>
        </w:rPr>
        <w:t>3</w:t>
      </w:r>
      <w:r w:rsidR="005056C7">
        <w:rPr>
          <w:sz w:val="22"/>
          <w:szCs w:val="22"/>
        </w:rPr>
        <w:t>3</w:t>
      </w:r>
      <w:r w:rsidR="00C10B6D" w:rsidRPr="006220EA">
        <w:rPr>
          <w:sz w:val="22"/>
          <w:szCs w:val="22"/>
        </w:rPr>
        <w:t>.</w:t>
      </w:r>
      <w:r w:rsidR="00C10B6D" w:rsidRPr="006220EA">
        <w:rPr>
          <w:sz w:val="22"/>
          <w:szCs w:val="22"/>
        </w:rPr>
        <w:tab/>
        <w:t>For effective review of available scientific information and assessment of potential areas meeting the EBSA criteria, the workshop participants were split into two break-out groups. These sub-groupings were not based on any geographic, ecological, biological, political or any other criteria or considerations, nor based on any existing sub-groupings used in any other processes. The participants were split into these sub-groupings only to facilitate a more efficient mode of working, especially in light of limitations posed by the relatively small number of technical support staff present at the workshop to support the description of areas meeting the EBSA criteria. These sub-groupings are as follows:</w:t>
      </w:r>
    </w:p>
    <w:p w14:paraId="79502084" w14:textId="4DE97CC7" w:rsidR="00C10B6D" w:rsidRPr="006220EA" w:rsidRDefault="00C10B6D" w:rsidP="002E4B39">
      <w:pPr>
        <w:pStyle w:val="ListParagraph"/>
        <w:numPr>
          <w:ilvl w:val="0"/>
          <w:numId w:val="63"/>
        </w:numPr>
        <w:spacing w:before="120" w:afterLines="50" w:after="120"/>
        <w:ind w:leftChars="0" w:left="0" w:firstLine="709"/>
        <w:rPr>
          <w:szCs w:val="22"/>
        </w:rPr>
      </w:pPr>
      <w:r w:rsidRPr="006220EA">
        <w:rPr>
          <w:szCs w:val="22"/>
        </w:rPr>
        <w:t>Northern part of the North-East Atlantic</w:t>
      </w:r>
      <w:r w:rsidR="00AC0BAC">
        <w:rPr>
          <w:szCs w:val="22"/>
        </w:rPr>
        <w:t>;</w:t>
      </w:r>
    </w:p>
    <w:p w14:paraId="11FC5F64" w14:textId="1164BC7B" w:rsidR="00C10B6D" w:rsidRPr="006220EA" w:rsidRDefault="00C10B6D" w:rsidP="002E4B39">
      <w:pPr>
        <w:pStyle w:val="ListParagraph"/>
        <w:numPr>
          <w:ilvl w:val="0"/>
          <w:numId w:val="63"/>
        </w:numPr>
        <w:spacing w:before="120" w:afterLines="50" w:after="120"/>
        <w:ind w:leftChars="0" w:left="0" w:firstLine="709"/>
        <w:rPr>
          <w:szCs w:val="22"/>
        </w:rPr>
      </w:pPr>
      <w:r w:rsidRPr="006220EA">
        <w:rPr>
          <w:szCs w:val="22"/>
        </w:rPr>
        <w:t>Southern part of the North-East Atlantic</w:t>
      </w:r>
      <w:r w:rsidR="00AC0BAC">
        <w:rPr>
          <w:szCs w:val="22"/>
        </w:rPr>
        <w:t>.</w:t>
      </w:r>
    </w:p>
    <w:p w14:paraId="19E4477D" w14:textId="2E80A453" w:rsidR="00C10B6D" w:rsidRPr="006220EA" w:rsidRDefault="00C10B6D" w:rsidP="006220EA">
      <w:pPr>
        <w:spacing w:before="120" w:after="50"/>
        <w:jc w:val="both"/>
        <w:rPr>
          <w:sz w:val="22"/>
          <w:szCs w:val="22"/>
        </w:rPr>
      </w:pPr>
      <w:r w:rsidRPr="006220EA">
        <w:rPr>
          <w:sz w:val="22"/>
          <w:szCs w:val="22"/>
        </w:rPr>
        <w:t>3</w:t>
      </w:r>
      <w:r w:rsidR="005056C7">
        <w:rPr>
          <w:sz w:val="22"/>
          <w:szCs w:val="22"/>
        </w:rPr>
        <w:t>4</w:t>
      </w:r>
      <w:r w:rsidRPr="006220EA">
        <w:rPr>
          <w:sz w:val="22"/>
          <w:szCs w:val="22"/>
        </w:rPr>
        <w:t>.</w:t>
      </w:r>
      <w:r w:rsidRPr="006220EA">
        <w:rPr>
          <w:sz w:val="22"/>
          <w:szCs w:val="22"/>
        </w:rPr>
        <w:tab/>
        <w:t>Each break-out group was advised to focus on the following in their discussion: </w:t>
      </w:r>
    </w:p>
    <w:p w14:paraId="659736D0" w14:textId="77777777" w:rsidR="00C10B6D" w:rsidRPr="006220EA" w:rsidRDefault="00C10B6D" w:rsidP="002E4B39">
      <w:pPr>
        <w:numPr>
          <w:ilvl w:val="0"/>
          <w:numId w:val="64"/>
        </w:numPr>
        <w:spacing w:before="120" w:after="50"/>
        <w:ind w:left="0" w:firstLine="698"/>
        <w:jc w:val="both"/>
        <w:rPr>
          <w:sz w:val="22"/>
          <w:szCs w:val="22"/>
        </w:rPr>
      </w:pPr>
      <w:r w:rsidRPr="006220EA">
        <w:rPr>
          <w:sz w:val="22"/>
          <w:szCs w:val="22"/>
        </w:rPr>
        <w:t>Review the layers of information available, including GIS maps of ocean features, other types of data sets, primary and other scientific and technical reports and publications, and expert knowledge, relative to each of the CBD EBSA criteria;</w:t>
      </w:r>
    </w:p>
    <w:p w14:paraId="751EB070" w14:textId="77777777" w:rsidR="00C10B6D" w:rsidRPr="006220EA" w:rsidRDefault="00C10B6D" w:rsidP="002E4B39">
      <w:pPr>
        <w:numPr>
          <w:ilvl w:val="0"/>
          <w:numId w:val="64"/>
        </w:numPr>
        <w:spacing w:before="120" w:after="50"/>
        <w:ind w:left="0" w:firstLine="698"/>
        <w:jc w:val="both"/>
        <w:rPr>
          <w:sz w:val="22"/>
          <w:szCs w:val="22"/>
        </w:rPr>
      </w:pPr>
      <w:r w:rsidRPr="006220EA">
        <w:rPr>
          <w:sz w:val="22"/>
          <w:szCs w:val="22"/>
        </w:rPr>
        <w:t>Based on the review of available scientific information, describe areas that may be considered to be relatively ecologically or biologically significant, based on their relative importance on one or more of the criteria;</w:t>
      </w:r>
    </w:p>
    <w:p w14:paraId="3563A197" w14:textId="458FCE7E" w:rsidR="00C10B6D" w:rsidRPr="006220EA" w:rsidRDefault="00C10B6D" w:rsidP="002E4B39">
      <w:pPr>
        <w:numPr>
          <w:ilvl w:val="0"/>
          <w:numId w:val="64"/>
        </w:numPr>
        <w:spacing w:before="120" w:after="50"/>
        <w:ind w:left="0" w:firstLine="698"/>
        <w:jc w:val="both"/>
        <w:rPr>
          <w:sz w:val="22"/>
          <w:szCs w:val="22"/>
        </w:rPr>
      </w:pPr>
      <w:r w:rsidRPr="006220EA">
        <w:rPr>
          <w:sz w:val="22"/>
          <w:szCs w:val="22"/>
        </w:rPr>
        <w:t xml:space="preserve">Document the description of each area considered to be ecologically or biologically significant, using the EBSA template and augmenting the template with narrative text and maps considered necessary to reflect the rationales of the group. Where appropriate, the narrative text may report on strengths and weaknesses in the information used in </w:t>
      </w:r>
      <w:r w:rsidR="00241DE3">
        <w:rPr>
          <w:sz w:val="22"/>
          <w:szCs w:val="22"/>
        </w:rPr>
        <w:t xml:space="preserve">the </w:t>
      </w:r>
      <w:r w:rsidRPr="006220EA">
        <w:rPr>
          <w:sz w:val="22"/>
          <w:szCs w:val="22"/>
        </w:rPr>
        <w:t>description of the area, and key uncertainties;</w:t>
      </w:r>
    </w:p>
    <w:p w14:paraId="4A3ADCB8" w14:textId="125112B1" w:rsidR="00C10B6D" w:rsidRPr="006220EA" w:rsidRDefault="00C10B6D" w:rsidP="002E4B39">
      <w:pPr>
        <w:numPr>
          <w:ilvl w:val="0"/>
          <w:numId w:val="64"/>
        </w:numPr>
        <w:spacing w:before="120" w:after="50"/>
        <w:ind w:left="0" w:firstLine="698"/>
        <w:jc w:val="both"/>
        <w:rPr>
          <w:sz w:val="22"/>
          <w:szCs w:val="22"/>
        </w:rPr>
      </w:pPr>
      <w:r w:rsidRPr="006220EA">
        <w:rPr>
          <w:sz w:val="22"/>
          <w:szCs w:val="22"/>
        </w:rPr>
        <w:lastRenderedPageBreak/>
        <w:t>Review existing compilation of templates and refine them</w:t>
      </w:r>
      <w:r w:rsidR="00241DE3" w:rsidRPr="00241DE3">
        <w:rPr>
          <w:sz w:val="22"/>
          <w:szCs w:val="22"/>
        </w:rPr>
        <w:t xml:space="preserve"> </w:t>
      </w:r>
      <w:r w:rsidR="00241DE3" w:rsidRPr="006220EA">
        <w:rPr>
          <w:sz w:val="22"/>
          <w:szCs w:val="22"/>
        </w:rPr>
        <w:t>as necessary</w:t>
      </w:r>
      <w:r w:rsidRPr="006220EA">
        <w:rPr>
          <w:sz w:val="22"/>
          <w:szCs w:val="22"/>
        </w:rPr>
        <w:t>, considering comments provided by the Secretariat and the workshop plenary, in terms of scientific data/information</w:t>
      </w:r>
      <w:r w:rsidR="00241DE3">
        <w:rPr>
          <w:sz w:val="22"/>
          <w:szCs w:val="22"/>
        </w:rPr>
        <w:t>,</w:t>
      </w:r>
      <w:r w:rsidRPr="006220EA">
        <w:rPr>
          <w:sz w:val="22"/>
          <w:szCs w:val="22"/>
        </w:rPr>
        <w:t xml:space="preserve"> and polygon boundaries of areas to be mapped; </w:t>
      </w:r>
    </w:p>
    <w:p w14:paraId="4F3267E5" w14:textId="6F90AC98" w:rsidR="00C10B6D" w:rsidRPr="006220EA" w:rsidRDefault="00C10B6D" w:rsidP="002E4B39">
      <w:pPr>
        <w:numPr>
          <w:ilvl w:val="0"/>
          <w:numId w:val="64"/>
        </w:numPr>
        <w:spacing w:before="120" w:after="50"/>
        <w:ind w:left="0" w:firstLine="698"/>
        <w:jc w:val="both"/>
        <w:rPr>
          <w:sz w:val="22"/>
          <w:szCs w:val="22"/>
        </w:rPr>
      </w:pPr>
      <w:r w:rsidRPr="006220EA">
        <w:rPr>
          <w:sz w:val="22"/>
          <w:szCs w:val="22"/>
        </w:rPr>
        <w:t>Where appropriate</w:t>
      </w:r>
      <w:r w:rsidR="00241DE3">
        <w:rPr>
          <w:sz w:val="22"/>
          <w:szCs w:val="22"/>
        </w:rPr>
        <w:t>,</w:t>
      </w:r>
      <w:r w:rsidRPr="006220EA">
        <w:rPr>
          <w:sz w:val="22"/>
          <w:szCs w:val="22"/>
        </w:rPr>
        <w:t xml:space="preserve"> consider merging areas described in draft descriptions with other areas or refining them into small</w:t>
      </w:r>
      <w:r w:rsidR="00241DE3">
        <w:rPr>
          <w:sz w:val="22"/>
          <w:szCs w:val="22"/>
        </w:rPr>
        <w:t>er</w:t>
      </w:r>
      <w:r w:rsidRPr="006220EA">
        <w:rPr>
          <w:sz w:val="22"/>
          <w:szCs w:val="22"/>
        </w:rPr>
        <w:t xml:space="preserve"> areas so that the description can accurately cover the ecosystem features under consideration;</w:t>
      </w:r>
    </w:p>
    <w:p w14:paraId="5BC888FE" w14:textId="77777777" w:rsidR="00C10B6D" w:rsidRPr="006220EA" w:rsidRDefault="00C10B6D" w:rsidP="002E4B39">
      <w:pPr>
        <w:numPr>
          <w:ilvl w:val="0"/>
          <w:numId w:val="64"/>
        </w:numPr>
        <w:spacing w:before="120" w:after="50"/>
        <w:ind w:left="0" w:firstLine="698"/>
        <w:jc w:val="both"/>
        <w:rPr>
          <w:sz w:val="22"/>
          <w:szCs w:val="22"/>
        </w:rPr>
      </w:pPr>
      <w:r w:rsidRPr="006220EA">
        <w:rPr>
          <w:sz w:val="22"/>
          <w:szCs w:val="22"/>
        </w:rPr>
        <w:t>Identify the needs for future scientific research, scientific collaboration, data/information sharing, and capacity building to further enable application of the EBSA criteria in the region, particularly for areas or types of information for which there is a lack of scientific information or expert knowledge at this workshop, as inputs to agenda item 6;</w:t>
      </w:r>
    </w:p>
    <w:p w14:paraId="373C5915" w14:textId="77777777" w:rsidR="00C10B6D" w:rsidRPr="006220EA" w:rsidRDefault="00C10B6D" w:rsidP="002E4B39">
      <w:pPr>
        <w:numPr>
          <w:ilvl w:val="0"/>
          <w:numId w:val="64"/>
        </w:numPr>
        <w:spacing w:before="120" w:after="50"/>
        <w:ind w:left="0" w:firstLine="698"/>
        <w:jc w:val="both"/>
        <w:rPr>
          <w:sz w:val="22"/>
          <w:szCs w:val="22"/>
        </w:rPr>
      </w:pPr>
      <w:r w:rsidRPr="006220EA">
        <w:rPr>
          <w:sz w:val="22"/>
          <w:szCs w:val="22"/>
        </w:rPr>
        <w:t>Work with technical support team to define the polygon boundary of areas of your EBSA description on the GIS map; and</w:t>
      </w:r>
    </w:p>
    <w:p w14:paraId="2132482F" w14:textId="77777777" w:rsidR="00C10B6D" w:rsidRPr="006220EA" w:rsidRDefault="00C10B6D" w:rsidP="002E4B39">
      <w:pPr>
        <w:numPr>
          <w:ilvl w:val="0"/>
          <w:numId w:val="64"/>
        </w:numPr>
        <w:spacing w:before="120" w:after="50"/>
        <w:ind w:left="0" w:firstLine="698"/>
        <w:jc w:val="both"/>
        <w:rPr>
          <w:sz w:val="22"/>
          <w:szCs w:val="22"/>
        </w:rPr>
      </w:pPr>
      <w:r w:rsidRPr="006220EA">
        <w:rPr>
          <w:sz w:val="22"/>
          <w:szCs w:val="22"/>
        </w:rPr>
        <w:t>Invite relevant international/regional experts available at the meeting for their expert opinions.</w:t>
      </w:r>
    </w:p>
    <w:p w14:paraId="2107E67A" w14:textId="0A2DE364" w:rsidR="00C10B6D" w:rsidRPr="006220EA" w:rsidRDefault="00C10B6D" w:rsidP="006220EA">
      <w:pPr>
        <w:spacing w:before="120" w:afterLines="50" w:after="120"/>
        <w:jc w:val="both"/>
        <w:rPr>
          <w:sz w:val="22"/>
          <w:szCs w:val="22"/>
        </w:rPr>
      </w:pPr>
      <w:r w:rsidRPr="006220EA">
        <w:rPr>
          <w:sz w:val="22"/>
          <w:szCs w:val="22"/>
        </w:rPr>
        <w:t>3</w:t>
      </w:r>
      <w:r w:rsidR="005056C7">
        <w:rPr>
          <w:sz w:val="22"/>
          <w:szCs w:val="22"/>
        </w:rPr>
        <w:t>5</w:t>
      </w:r>
      <w:r w:rsidRPr="006220EA">
        <w:rPr>
          <w:sz w:val="22"/>
          <w:szCs w:val="22"/>
        </w:rPr>
        <w:t>.</w:t>
      </w:r>
      <w:r w:rsidRPr="006220EA">
        <w:rPr>
          <w:sz w:val="22"/>
          <w:szCs w:val="22"/>
        </w:rPr>
        <w:tab/>
        <w:t xml:space="preserve">Participants were assisted by the technical support team, including GIS operators, who made hard/electronic copies of the maps available for the deliberation of the break-out group discussion, and provided data in a GIS database, and supported data analysis and interpretation as well as mapping of potential areas meeting the EBSA criteria. </w:t>
      </w:r>
    </w:p>
    <w:p w14:paraId="4721A106" w14:textId="74D73AB4" w:rsidR="00C10B6D" w:rsidRPr="006220EA" w:rsidRDefault="00C10B6D" w:rsidP="006220EA">
      <w:pPr>
        <w:spacing w:afterLines="50" w:after="120"/>
        <w:jc w:val="both"/>
        <w:rPr>
          <w:sz w:val="22"/>
          <w:szCs w:val="22"/>
        </w:rPr>
      </w:pPr>
      <w:r w:rsidRPr="006220EA">
        <w:rPr>
          <w:sz w:val="22"/>
          <w:szCs w:val="22"/>
          <w:lang w:eastAsia="ko-KR"/>
        </w:rPr>
        <w:t>3</w:t>
      </w:r>
      <w:r w:rsidR="005056C7">
        <w:rPr>
          <w:sz w:val="22"/>
          <w:szCs w:val="22"/>
          <w:lang w:eastAsia="ko-KR"/>
        </w:rPr>
        <w:t>6</w:t>
      </w:r>
      <w:r w:rsidRPr="006220EA">
        <w:rPr>
          <w:sz w:val="22"/>
          <w:szCs w:val="22"/>
          <w:lang w:eastAsia="ko-KR"/>
        </w:rPr>
        <w:t>.</w:t>
      </w:r>
      <w:r w:rsidRPr="006220EA">
        <w:rPr>
          <w:sz w:val="22"/>
          <w:szCs w:val="22"/>
          <w:lang w:eastAsia="ko-KR"/>
        </w:rPr>
        <w:tab/>
        <w:t>During the break-out group discussions, p</w:t>
      </w:r>
      <w:r w:rsidRPr="006220EA">
        <w:rPr>
          <w:sz w:val="22"/>
          <w:szCs w:val="22"/>
        </w:rPr>
        <w:t xml:space="preserve">articipants working on the description of areas meeting EBSA criteria drew approximate polygons of areas meeting the EBSA criteria on a map provided by the technical support team. </w:t>
      </w:r>
    </w:p>
    <w:p w14:paraId="702B40B0" w14:textId="210EB62F" w:rsidR="00C10B6D" w:rsidRPr="006220EA" w:rsidRDefault="00C10B6D" w:rsidP="006220EA">
      <w:pPr>
        <w:spacing w:afterLines="50" w:after="120"/>
        <w:jc w:val="both"/>
        <w:rPr>
          <w:sz w:val="22"/>
          <w:szCs w:val="22"/>
        </w:rPr>
      </w:pPr>
      <w:r w:rsidRPr="006220EA">
        <w:rPr>
          <w:sz w:val="22"/>
          <w:szCs w:val="22"/>
        </w:rPr>
        <w:t>3</w:t>
      </w:r>
      <w:r w:rsidR="005056C7">
        <w:rPr>
          <w:sz w:val="22"/>
          <w:szCs w:val="22"/>
        </w:rPr>
        <w:t>7</w:t>
      </w:r>
      <w:r w:rsidRPr="006220EA">
        <w:rPr>
          <w:sz w:val="22"/>
          <w:szCs w:val="22"/>
        </w:rPr>
        <w:t>.</w:t>
      </w:r>
      <w:r w:rsidRPr="006220EA">
        <w:rPr>
          <w:sz w:val="22"/>
          <w:szCs w:val="22"/>
        </w:rPr>
        <w:tab/>
        <w:t>The results of the break-out groups were reported at the plenary for consideration. A</w:t>
      </w:r>
      <w:r w:rsidRPr="006220EA">
        <w:rPr>
          <w:sz w:val="22"/>
          <w:szCs w:val="22"/>
          <w:lang w:eastAsia="ko-KR"/>
        </w:rPr>
        <w:t>t</w:t>
      </w:r>
      <w:r w:rsidRPr="006220EA">
        <w:rPr>
          <w:sz w:val="22"/>
          <w:szCs w:val="22"/>
        </w:rPr>
        <w:t xml:space="preserve"> the plenary session</w:t>
      </w:r>
      <w:r w:rsidR="00241DE3">
        <w:rPr>
          <w:sz w:val="22"/>
          <w:szCs w:val="22"/>
        </w:rPr>
        <w:t>s</w:t>
      </w:r>
      <w:r w:rsidRPr="006220EA">
        <w:rPr>
          <w:sz w:val="22"/>
          <w:szCs w:val="22"/>
        </w:rPr>
        <w:t xml:space="preserve">, workshop participants reviewed the description of areas meeting the EBSA criteria proposed by the break-out group sessions, including the draft descriptions, using templates provided by the CBD Secretariat, and considered them for inclusion in the final list of areas meeting EBSA criteria. </w:t>
      </w:r>
    </w:p>
    <w:p w14:paraId="09A85A6B" w14:textId="4C6FFD38" w:rsidR="00F952A8" w:rsidRPr="006220EA" w:rsidRDefault="00C10B6D" w:rsidP="006220EA">
      <w:pPr>
        <w:spacing w:afterLines="50" w:after="120"/>
        <w:jc w:val="both"/>
        <w:rPr>
          <w:sz w:val="22"/>
          <w:szCs w:val="22"/>
        </w:rPr>
      </w:pPr>
      <w:r w:rsidRPr="006220EA">
        <w:rPr>
          <w:sz w:val="22"/>
          <w:szCs w:val="22"/>
          <w:lang w:val="en-US" w:eastAsia="ko-KR"/>
        </w:rPr>
        <w:t>3</w:t>
      </w:r>
      <w:r w:rsidR="005056C7">
        <w:rPr>
          <w:sz w:val="22"/>
          <w:szCs w:val="22"/>
          <w:lang w:val="en-US" w:eastAsia="ko-KR"/>
        </w:rPr>
        <w:t>8</w:t>
      </w:r>
      <w:r w:rsidRPr="006220EA">
        <w:rPr>
          <w:sz w:val="22"/>
          <w:szCs w:val="22"/>
          <w:lang w:val="en-US" w:eastAsia="ko-KR"/>
        </w:rPr>
        <w:t>.</w:t>
      </w:r>
      <w:r w:rsidRPr="006220EA">
        <w:rPr>
          <w:sz w:val="22"/>
          <w:szCs w:val="22"/>
          <w:lang w:val="en-US" w:eastAsia="ko-KR"/>
        </w:rPr>
        <w:tab/>
        <w:t xml:space="preserve">The workshop participants agreed on descriptions of </w:t>
      </w:r>
      <w:r w:rsidR="001F339A">
        <w:rPr>
          <w:sz w:val="22"/>
          <w:szCs w:val="22"/>
          <w:lang w:val="en-US" w:eastAsia="ko-KR"/>
        </w:rPr>
        <w:t>17</w:t>
      </w:r>
      <w:r w:rsidRPr="006220EA">
        <w:rPr>
          <w:sz w:val="22"/>
          <w:szCs w:val="22"/>
          <w:lang w:val="en-US" w:eastAsia="ko-KR"/>
        </w:rPr>
        <w:t xml:space="preserve"> areas meeting the EBSA criteria. The map of described areas is contained in annex </w:t>
      </w:r>
      <w:r w:rsidR="00826D67" w:rsidRPr="006220EA">
        <w:rPr>
          <w:sz w:val="22"/>
          <w:szCs w:val="22"/>
          <w:lang w:val="en-US" w:eastAsia="ko-KR"/>
        </w:rPr>
        <w:t>VI</w:t>
      </w:r>
      <w:r w:rsidRPr="006220EA">
        <w:rPr>
          <w:sz w:val="22"/>
          <w:szCs w:val="22"/>
          <w:lang w:val="en-US" w:eastAsia="ko-KR"/>
        </w:rPr>
        <w:t xml:space="preserve">. </w:t>
      </w:r>
      <w:r w:rsidRPr="006220EA">
        <w:rPr>
          <w:sz w:val="22"/>
          <w:szCs w:val="22"/>
          <w:lang w:eastAsia="ko-KR"/>
        </w:rPr>
        <w:t>They</w:t>
      </w:r>
      <w:r w:rsidRPr="006220EA">
        <w:rPr>
          <w:sz w:val="22"/>
          <w:szCs w:val="22"/>
          <w:lang w:val="en-US" w:eastAsia="ko-KR"/>
        </w:rPr>
        <w:t xml:space="preserve"> are listed in annex </w:t>
      </w:r>
      <w:r w:rsidR="00826D67" w:rsidRPr="006220EA">
        <w:rPr>
          <w:sz w:val="22"/>
          <w:szCs w:val="22"/>
          <w:lang w:val="en-US" w:eastAsia="ko-KR"/>
        </w:rPr>
        <w:t>VII</w:t>
      </w:r>
      <w:r w:rsidRPr="006220EA">
        <w:rPr>
          <w:sz w:val="22"/>
          <w:szCs w:val="22"/>
          <w:lang w:val="en-US" w:eastAsia="ko-KR"/>
        </w:rPr>
        <w:t xml:space="preserve"> and described in its appendix</w:t>
      </w:r>
      <w:r w:rsidR="00241DE3">
        <w:rPr>
          <w:sz w:val="22"/>
          <w:szCs w:val="22"/>
          <w:lang w:val="en-US" w:eastAsia="ko-KR"/>
        </w:rPr>
        <w:t>.</w:t>
      </w:r>
    </w:p>
    <w:p w14:paraId="1AA16ECD" w14:textId="5665E98A" w:rsidR="00EB53DD" w:rsidRPr="006220EA" w:rsidRDefault="00EB53DD" w:rsidP="00195EEB">
      <w:pPr>
        <w:pStyle w:val="Heading1longmultiline"/>
        <w:ind w:left="1701" w:right="4"/>
        <w:rPr>
          <w:szCs w:val="22"/>
        </w:rPr>
      </w:pPr>
      <w:r w:rsidRPr="006220EA">
        <w:rPr>
          <w:szCs w:val="22"/>
        </w:rPr>
        <w:t>ITEM 6.</w:t>
      </w:r>
      <w:r w:rsidRPr="006220EA">
        <w:rPr>
          <w:szCs w:val="22"/>
        </w:rPr>
        <w:tab/>
      </w:r>
      <w:r w:rsidR="005626C8" w:rsidRPr="006220EA">
        <w:rPr>
          <w:szCs w:val="22"/>
        </w:rPr>
        <w:t xml:space="preserve">Identification of </w:t>
      </w:r>
      <w:r w:rsidRPr="006220EA">
        <w:rPr>
          <w:szCs w:val="22"/>
        </w:rPr>
        <w:t xml:space="preserve">gaps and needs for further elaboration in describing </w:t>
      </w:r>
      <w:r w:rsidR="00DF4A47" w:rsidRPr="006220EA">
        <w:rPr>
          <w:szCs w:val="22"/>
        </w:rPr>
        <w:t xml:space="preserve">AREAS MEETING </w:t>
      </w:r>
      <w:r w:rsidR="00C13A06" w:rsidRPr="006220EA">
        <w:rPr>
          <w:szCs w:val="22"/>
        </w:rPr>
        <w:t>ebsa</w:t>
      </w:r>
      <w:r w:rsidR="00DF4A47" w:rsidRPr="006220EA">
        <w:rPr>
          <w:caps w:val="0"/>
          <w:smallCaps/>
          <w:szCs w:val="22"/>
        </w:rPr>
        <w:t xml:space="preserve"> CRITERIA</w:t>
      </w:r>
      <w:r w:rsidRPr="006220EA">
        <w:rPr>
          <w:szCs w:val="22"/>
        </w:rPr>
        <w:t xml:space="preserve">, including the need </w:t>
      </w:r>
      <w:r w:rsidR="00563356" w:rsidRPr="006220EA">
        <w:rPr>
          <w:szCs w:val="22"/>
        </w:rPr>
        <w:t>TO</w:t>
      </w:r>
      <w:r w:rsidR="00255F41" w:rsidRPr="006220EA">
        <w:rPr>
          <w:szCs w:val="22"/>
        </w:rPr>
        <w:t xml:space="preserve"> develo</w:t>
      </w:r>
      <w:r w:rsidR="00563356" w:rsidRPr="006220EA">
        <w:rPr>
          <w:szCs w:val="22"/>
        </w:rPr>
        <w:t>P</w:t>
      </w:r>
      <w:r w:rsidR="00255F41" w:rsidRPr="006220EA">
        <w:rPr>
          <w:szCs w:val="22"/>
        </w:rPr>
        <w:t xml:space="preserve"> </w:t>
      </w:r>
      <w:r w:rsidR="00AB1AC0" w:rsidRPr="006220EA">
        <w:rPr>
          <w:szCs w:val="22"/>
        </w:rPr>
        <w:t>scientific capacity</w:t>
      </w:r>
      <w:r w:rsidR="001422CE" w:rsidRPr="006220EA">
        <w:rPr>
          <w:szCs w:val="22"/>
        </w:rPr>
        <w:t xml:space="preserve"> AND</w:t>
      </w:r>
      <w:r w:rsidR="00AB1AC0" w:rsidRPr="006220EA">
        <w:rPr>
          <w:szCs w:val="22"/>
        </w:rPr>
        <w:t xml:space="preserve"> </w:t>
      </w:r>
      <w:r w:rsidR="00563356" w:rsidRPr="006220EA">
        <w:rPr>
          <w:szCs w:val="22"/>
        </w:rPr>
        <w:t xml:space="preserve">FUTURE </w:t>
      </w:r>
      <w:r w:rsidR="00AB1AC0" w:rsidRPr="006220EA">
        <w:rPr>
          <w:szCs w:val="22"/>
        </w:rPr>
        <w:t>scientific </w:t>
      </w:r>
      <w:r w:rsidRPr="006220EA">
        <w:rPr>
          <w:szCs w:val="22"/>
        </w:rPr>
        <w:t>collaboration</w:t>
      </w:r>
    </w:p>
    <w:p w14:paraId="3E245D3A" w14:textId="3CF993FF" w:rsidR="00F952A8" w:rsidRDefault="00F952A8" w:rsidP="006220EA">
      <w:pPr>
        <w:spacing w:afterLines="50" w:after="120"/>
        <w:jc w:val="both"/>
        <w:rPr>
          <w:sz w:val="22"/>
          <w:szCs w:val="22"/>
          <w:lang w:val="en-US" w:eastAsia="ko-KR"/>
        </w:rPr>
      </w:pPr>
      <w:r w:rsidRPr="006220EA">
        <w:rPr>
          <w:sz w:val="22"/>
          <w:szCs w:val="22"/>
          <w:lang w:val="en-US" w:eastAsia="ko-KR"/>
        </w:rPr>
        <w:t>3</w:t>
      </w:r>
      <w:r w:rsidR="005056C7">
        <w:rPr>
          <w:sz w:val="22"/>
          <w:szCs w:val="22"/>
          <w:lang w:val="en-US" w:eastAsia="ko-KR"/>
        </w:rPr>
        <w:t>9</w:t>
      </w:r>
      <w:r w:rsidRPr="006220EA">
        <w:rPr>
          <w:sz w:val="22"/>
          <w:szCs w:val="22"/>
          <w:lang w:val="en-US" w:eastAsia="ko-KR"/>
        </w:rPr>
        <w:t>.</w:t>
      </w:r>
      <w:r w:rsidRPr="006220EA">
        <w:rPr>
          <w:sz w:val="22"/>
          <w:szCs w:val="22"/>
          <w:lang w:val="en-US" w:eastAsia="ko-KR"/>
        </w:rPr>
        <w:tab/>
        <w:t>Building on the workshop deliberation</w:t>
      </w:r>
      <w:r w:rsidR="001F339A">
        <w:rPr>
          <w:sz w:val="22"/>
          <w:szCs w:val="22"/>
          <w:lang w:val="en-US" w:eastAsia="ko-KR"/>
        </w:rPr>
        <w:t>s</w:t>
      </w:r>
      <w:r w:rsidRPr="006220EA">
        <w:rPr>
          <w:sz w:val="22"/>
          <w:szCs w:val="22"/>
          <w:lang w:val="en-US" w:eastAsia="ko-KR"/>
        </w:rPr>
        <w:t xml:space="preserve">, the workshop participants were invited to identify, through break-out group sessions and plenary discussion, gaps and needs for further elaboration in describing areas meeting the EBSA criteria, including the need for scientific information, scientific capacity development and scientific collaboration. The results of the plenary and subgroup discussions are compiled in annex </w:t>
      </w:r>
      <w:r w:rsidR="008836EC">
        <w:rPr>
          <w:sz w:val="22"/>
          <w:szCs w:val="22"/>
          <w:lang w:val="en-US" w:eastAsia="ko-KR"/>
        </w:rPr>
        <w:t>VIII</w:t>
      </w:r>
      <w:r w:rsidRPr="006220EA">
        <w:rPr>
          <w:sz w:val="22"/>
          <w:szCs w:val="22"/>
          <w:lang w:val="en-US" w:eastAsia="ko-KR"/>
        </w:rPr>
        <w:t>.</w:t>
      </w:r>
    </w:p>
    <w:p w14:paraId="2F201DC1" w14:textId="30D0EE6C" w:rsidR="001F339A" w:rsidRPr="00BA0392" w:rsidRDefault="005056C7" w:rsidP="006220EA">
      <w:pPr>
        <w:spacing w:afterLines="50" w:after="120"/>
        <w:jc w:val="both"/>
        <w:rPr>
          <w:sz w:val="22"/>
          <w:szCs w:val="22"/>
          <w:lang w:val="en-US" w:eastAsia="ko-KR"/>
        </w:rPr>
      </w:pPr>
      <w:r w:rsidRPr="0028621C">
        <w:rPr>
          <w:sz w:val="22"/>
          <w:szCs w:val="22"/>
          <w:lang w:val="en-US" w:eastAsia="ko-KR"/>
        </w:rPr>
        <w:t>40</w:t>
      </w:r>
      <w:r w:rsidR="001F339A" w:rsidRPr="0028621C">
        <w:rPr>
          <w:sz w:val="22"/>
          <w:szCs w:val="22"/>
          <w:lang w:val="en-US" w:eastAsia="ko-KR"/>
        </w:rPr>
        <w:t>.</w:t>
      </w:r>
      <w:r w:rsidR="001F339A" w:rsidRPr="0028621C">
        <w:rPr>
          <w:sz w:val="22"/>
          <w:szCs w:val="22"/>
          <w:lang w:val="en-US" w:eastAsia="ko-KR"/>
        </w:rPr>
        <w:tab/>
      </w:r>
      <w:r w:rsidR="00BA0392" w:rsidRPr="0028621C">
        <w:rPr>
          <w:sz w:val="22"/>
          <w:szCs w:val="22"/>
          <w:lang w:val="en-US" w:eastAsia="ko-KR"/>
        </w:rPr>
        <w:t>Workshop participants discussed Arctic sea ice habitats in the context of the application of the EBSA criteria in this region, noting specific challenges in describing such features during this workshop</w:t>
      </w:r>
      <w:r w:rsidR="006F0374" w:rsidRPr="0028621C">
        <w:rPr>
          <w:sz w:val="22"/>
          <w:szCs w:val="22"/>
          <w:lang w:val="en-US" w:eastAsia="ko-KR"/>
        </w:rPr>
        <w:t>,</w:t>
      </w:r>
      <w:r w:rsidR="00BA0392" w:rsidRPr="0028621C">
        <w:rPr>
          <w:sz w:val="22"/>
          <w:szCs w:val="22"/>
          <w:lang w:val="en-US" w:eastAsia="ko-KR"/>
        </w:rPr>
        <w:t xml:space="preserve"> following previous work in describing these features as meeting the EBSA criteria at the </w:t>
      </w:r>
      <w:r w:rsidR="00BA0392" w:rsidRPr="0028621C">
        <w:rPr>
          <w:sz w:val="22"/>
          <w:szCs w:val="22"/>
          <w:lang w:eastAsia="ko-KR"/>
        </w:rPr>
        <w:t xml:space="preserve">2011 Joint OSPAR/NEAFC/CBD Scientific Workshop on the identification of EBSAs in the North-East Atlantic and the </w:t>
      </w:r>
      <w:r w:rsidR="00BA0392" w:rsidRPr="0028621C">
        <w:rPr>
          <w:sz w:val="22"/>
          <w:szCs w:val="22"/>
          <w:lang w:val="en-US" w:eastAsia="ko-KR"/>
        </w:rPr>
        <w:t xml:space="preserve">2014 </w:t>
      </w:r>
      <w:r w:rsidR="00BA0392" w:rsidRPr="0028621C">
        <w:rPr>
          <w:sz w:val="22"/>
          <w:szCs w:val="22"/>
          <w:lang w:eastAsia="ko-KR"/>
        </w:rPr>
        <w:t>CBD Arctic Regional Workshop to Facilitate the Description of EBSAs</w:t>
      </w:r>
      <w:r w:rsidR="00BA0392" w:rsidRPr="0028621C">
        <w:rPr>
          <w:sz w:val="22"/>
          <w:szCs w:val="22"/>
          <w:lang w:val="en-US" w:eastAsia="ko-KR"/>
        </w:rPr>
        <w:t xml:space="preserve">. The results of the plenary and subgroup discussions </w:t>
      </w:r>
      <w:r w:rsidR="002C76CE" w:rsidRPr="0028621C">
        <w:rPr>
          <w:sz w:val="22"/>
          <w:szCs w:val="22"/>
          <w:lang w:val="en-US" w:eastAsia="ko-KR"/>
        </w:rPr>
        <w:t xml:space="preserve">on this issue </w:t>
      </w:r>
      <w:r w:rsidR="00BA0392" w:rsidRPr="0028621C">
        <w:rPr>
          <w:sz w:val="22"/>
          <w:szCs w:val="22"/>
          <w:lang w:val="en-US" w:eastAsia="ko-KR"/>
        </w:rPr>
        <w:t>are provided in the appendix to annex VIII.</w:t>
      </w:r>
    </w:p>
    <w:p w14:paraId="2CAECC8E" w14:textId="77777777" w:rsidR="00484C18" w:rsidRPr="006220EA" w:rsidRDefault="00484C18" w:rsidP="005626C8">
      <w:pPr>
        <w:pStyle w:val="Heading1"/>
        <w:rPr>
          <w:szCs w:val="22"/>
        </w:rPr>
      </w:pPr>
      <w:r w:rsidRPr="006220EA">
        <w:rPr>
          <w:szCs w:val="22"/>
        </w:rPr>
        <w:t xml:space="preserve">ITEM </w:t>
      </w:r>
      <w:r w:rsidR="007126FD" w:rsidRPr="006220EA">
        <w:rPr>
          <w:szCs w:val="22"/>
        </w:rPr>
        <w:t>7</w:t>
      </w:r>
      <w:r w:rsidR="00362D74" w:rsidRPr="006220EA">
        <w:rPr>
          <w:szCs w:val="22"/>
        </w:rPr>
        <w:t>.</w:t>
      </w:r>
      <w:r w:rsidR="00362D74" w:rsidRPr="006220EA">
        <w:rPr>
          <w:szCs w:val="22"/>
        </w:rPr>
        <w:tab/>
      </w:r>
      <w:r w:rsidRPr="006220EA">
        <w:rPr>
          <w:szCs w:val="22"/>
        </w:rPr>
        <w:t>OTHER MATTERS</w:t>
      </w:r>
    </w:p>
    <w:p w14:paraId="48EA4092" w14:textId="29D5CBB6" w:rsidR="00F952A8" w:rsidRPr="006220EA" w:rsidRDefault="001F339A" w:rsidP="006220EA">
      <w:pPr>
        <w:spacing w:before="120" w:after="120"/>
        <w:jc w:val="both"/>
        <w:rPr>
          <w:sz w:val="22"/>
          <w:szCs w:val="22"/>
        </w:rPr>
      </w:pPr>
      <w:r>
        <w:rPr>
          <w:sz w:val="22"/>
          <w:szCs w:val="22"/>
        </w:rPr>
        <w:t>4</w:t>
      </w:r>
      <w:r w:rsidR="005056C7">
        <w:rPr>
          <w:sz w:val="22"/>
          <w:szCs w:val="22"/>
        </w:rPr>
        <w:t>1</w:t>
      </w:r>
      <w:r w:rsidR="00F952A8" w:rsidRPr="006220EA">
        <w:rPr>
          <w:sz w:val="22"/>
          <w:szCs w:val="22"/>
        </w:rPr>
        <w:t>.</w:t>
      </w:r>
      <w:r w:rsidR="00F952A8" w:rsidRPr="006220EA">
        <w:rPr>
          <w:sz w:val="22"/>
          <w:szCs w:val="22"/>
        </w:rPr>
        <w:tab/>
      </w:r>
      <w:r w:rsidR="00C10B6D" w:rsidRPr="006220EA">
        <w:rPr>
          <w:sz w:val="22"/>
          <w:szCs w:val="22"/>
        </w:rPr>
        <w:t>No other matters were discussed</w:t>
      </w:r>
      <w:r w:rsidR="00F952A8" w:rsidRPr="006220EA">
        <w:rPr>
          <w:sz w:val="22"/>
          <w:szCs w:val="22"/>
        </w:rPr>
        <w:t>.</w:t>
      </w:r>
    </w:p>
    <w:p w14:paraId="5DBC0AD6" w14:textId="77777777" w:rsidR="0064575C" w:rsidRPr="006220EA" w:rsidRDefault="00484C18" w:rsidP="005626C8">
      <w:pPr>
        <w:pStyle w:val="Heading1"/>
        <w:rPr>
          <w:szCs w:val="22"/>
        </w:rPr>
      </w:pPr>
      <w:r w:rsidRPr="006220EA">
        <w:rPr>
          <w:szCs w:val="22"/>
        </w:rPr>
        <w:lastRenderedPageBreak/>
        <w:t xml:space="preserve">ITEM </w:t>
      </w:r>
      <w:r w:rsidR="007126FD" w:rsidRPr="006220EA">
        <w:rPr>
          <w:szCs w:val="22"/>
        </w:rPr>
        <w:t>8</w:t>
      </w:r>
      <w:r w:rsidR="00362D74" w:rsidRPr="006220EA">
        <w:rPr>
          <w:szCs w:val="22"/>
        </w:rPr>
        <w:t>.</w:t>
      </w:r>
      <w:r w:rsidR="00362D74" w:rsidRPr="006220EA">
        <w:rPr>
          <w:szCs w:val="22"/>
        </w:rPr>
        <w:tab/>
      </w:r>
      <w:r w:rsidRPr="006220EA">
        <w:rPr>
          <w:szCs w:val="22"/>
        </w:rPr>
        <w:t>ADOPTION OF THE REPORT</w:t>
      </w:r>
    </w:p>
    <w:p w14:paraId="11F89FDE" w14:textId="11A1741C" w:rsidR="00F952A8" w:rsidRPr="00A218EA" w:rsidRDefault="001F339A" w:rsidP="006220EA">
      <w:pPr>
        <w:spacing w:afterLines="50" w:after="120"/>
        <w:jc w:val="both"/>
        <w:rPr>
          <w:sz w:val="22"/>
          <w:szCs w:val="22"/>
        </w:rPr>
      </w:pPr>
      <w:r w:rsidRPr="00A218EA">
        <w:rPr>
          <w:sz w:val="22"/>
          <w:szCs w:val="22"/>
        </w:rPr>
        <w:t>4</w:t>
      </w:r>
      <w:r w:rsidR="005056C7" w:rsidRPr="00A218EA">
        <w:rPr>
          <w:sz w:val="22"/>
          <w:szCs w:val="22"/>
        </w:rPr>
        <w:t>2</w:t>
      </w:r>
      <w:r w:rsidR="00F952A8" w:rsidRPr="00A218EA">
        <w:rPr>
          <w:sz w:val="22"/>
          <w:szCs w:val="22"/>
        </w:rPr>
        <w:t>.</w:t>
      </w:r>
      <w:r w:rsidR="00F952A8" w:rsidRPr="00A218EA">
        <w:rPr>
          <w:sz w:val="22"/>
          <w:szCs w:val="22"/>
        </w:rPr>
        <w:tab/>
        <w:t>The participants considered and adopted the workshop report on the basis of a draft report prepared and presented by the co-chairs</w:t>
      </w:r>
      <w:r w:rsidR="00C10B6D" w:rsidRPr="00A218EA">
        <w:rPr>
          <w:sz w:val="22"/>
          <w:szCs w:val="22"/>
        </w:rPr>
        <w:t>,</w:t>
      </w:r>
      <w:r w:rsidR="00F952A8" w:rsidRPr="00A218EA">
        <w:rPr>
          <w:sz w:val="22"/>
          <w:szCs w:val="22"/>
        </w:rPr>
        <w:t xml:space="preserve"> with some changes. </w:t>
      </w:r>
    </w:p>
    <w:p w14:paraId="0A19BF40" w14:textId="0B8ED5DF" w:rsidR="00F952A8" w:rsidRPr="006220EA" w:rsidRDefault="00826D67" w:rsidP="006220EA">
      <w:pPr>
        <w:spacing w:afterLines="50" w:after="120"/>
        <w:jc w:val="both"/>
        <w:rPr>
          <w:sz w:val="22"/>
          <w:szCs w:val="22"/>
        </w:rPr>
      </w:pPr>
      <w:r w:rsidRPr="00A218EA">
        <w:rPr>
          <w:sz w:val="22"/>
          <w:szCs w:val="22"/>
          <w:lang w:eastAsia="ko-KR"/>
        </w:rPr>
        <w:t>4</w:t>
      </w:r>
      <w:r w:rsidR="005056C7" w:rsidRPr="00A218EA">
        <w:rPr>
          <w:sz w:val="22"/>
          <w:szCs w:val="22"/>
          <w:lang w:eastAsia="ko-KR"/>
        </w:rPr>
        <w:t>3</w:t>
      </w:r>
      <w:r w:rsidR="00F952A8" w:rsidRPr="00A218EA">
        <w:rPr>
          <w:sz w:val="22"/>
          <w:szCs w:val="22"/>
          <w:lang w:eastAsia="ko-KR"/>
        </w:rPr>
        <w:t>.</w:t>
      </w:r>
      <w:r w:rsidR="00F952A8" w:rsidRPr="00A218EA">
        <w:rPr>
          <w:sz w:val="22"/>
          <w:szCs w:val="22"/>
          <w:lang w:eastAsia="ko-KR"/>
        </w:rPr>
        <w:tab/>
        <w:t xml:space="preserve">The participants agreed that any additional scientific references would be provided to the CBD Secretariat by workshop participants within </w:t>
      </w:r>
      <w:r w:rsidR="00C10B6D" w:rsidRPr="00A218EA">
        <w:rPr>
          <w:sz w:val="22"/>
          <w:szCs w:val="22"/>
          <w:lang w:eastAsia="ko-KR"/>
        </w:rPr>
        <w:t xml:space="preserve">one </w:t>
      </w:r>
      <w:r w:rsidR="00F952A8" w:rsidRPr="00A218EA">
        <w:rPr>
          <w:sz w:val="22"/>
          <w:szCs w:val="22"/>
          <w:lang w:eastAsia="ko-KR"/>
        </w:rPr>
        <w:t>week of the closing of the workshop in order to further refine the description of areas meeting EBSA criteria contained in annex V</w:t>
      </w:r>
      <w:r w:rsidRPr="00A218EA">
        <w:rPr>
          <w:sz w:val="22"/>
          <w:szCs w:val="22"/>
          <w:lang w:eastAsia="ko-KR"/>
        </w:rPr>
        <w:t>II</w:t>
      </w:r>
      <w:r w:rsidR="00F952A8" w:rsidRPr="00A218EA">
        <w:rPr>
          <w:sz w:val="22"/>
          <w:szCs w:val="22"/>
          <w:lang w:eastAsia="ko-KR"/>
        </w:rPr>
        <w:t xml:space="preserve"> and its appendix.</w:t>
      </w:r>
      <w:r w:rsidR="00F952A8" w:rsidRPr="006220EA">
        <w:rPr>
          <w:sz w:val="22"/>
          <w:szCs w:val="22"/>
          <w:lang w:eastAsia="ko-KR"/>
        </w:rPr>
        <w:t xml:space="preserve"> </w:t>
      </w:r>
    </w:p>
    <w:p w14:paraId="18CAA530" w14:textId="77777777" w:rsidR="00B70FB9" w:rsidRPr="006220EA" w:rsidRDefault="00484C18" w:rsidP="005626C8">
      <w:pPr>
        <w:pStyle w:val="Heading1"/>
        <w:rPr>
          <w:szCs w:val="22"/>
        </w:rPr>
      </w:pPr>
      <w:r w:rsidRPr="006220EA">
        <w:rPr>
          <w:szCs w:val="22"/>
        </w:rPr>
        <w:t xml:space="preserve">ITEM </w:t>
      </w:r>
      <w:r w:rsidR="007126FD" w:rsidRPr="006220EA">
        <w:rPr>
          <w:szCs w:val="22"/>
        </w:rPr>
        <w:t>9</w:t>
      </w:r>
      <w:r w:rsidR="00362D74" w:rsidRPr="006220EA">
        <w:rPr>
          <w:szCs w:val="22"/>
        </w:rPr>
        <w:t>.</w:t>
      </w:r>
      <w:r w:rsidR="00362D74" w:rsidRPr="006220EA">
        <w:rPr>
          <w:szCs w:val="22"/>
        </w:rPr>
        <w:tab/>
      </w:r>
      <w:r w:rsidRPr="006220EA">
        <w:rPr>
          <w:szCs w:val="22"/>
        </w:rPr>
        <w:t xml:space="preserve">CLOSURE OF THE </w:t>
      </w:r>
      <w:r w:rsidR="00A002FD" w:rsidRPr="006220EA">
        <w:rPr>
          <w:szCs w:val="22"/>
        </w:rPr>
        <w:t>workshop</w:t>
      </w:r>
    </w:p>
    <w:p w14:paraId="312FD8FD" w14:textId="1F83C3D9" w:rsidR="00F952A8" w:rsidRPr="006220EA" w:rsidRDefault="00826D67" w:rsidP="00A218EA">
      <w:pPr>
        <w:spacing w:afterLines="50" w:after="120"/>
        <w:jc w:val="both"/>
        <w:rPr>
          <w:sz w:val="22"/>
          <w:szCs w:val="22"/>
          <w:lang w:eastAsia="ko-KR"/>
        </w:rPr>
      </w:pPr>
      <w:r w:rsidRPr="006220EA">
        <w:rPr>
          <w:sz w:val="22"/>
          <w:szCs w:val="22"/>
          <w:lang w:eastAsia="ko-KR"/>
        </w:rPr>
        <w:t>4</w:t>
      </w:r>
      <w:r w:rsidR="005056C7">
        <w:rPr>
          <w:sz w:val="22"/>
          <w:szCs w:val="22"/>
          <w:lang w:eastAsia="ko-KR"/>
        </w:rPr>
        <w:t>4</w:t>
      </w:r>
      <w:r w:rsidR="00F952A8" w:rsidRPr="006220EA">
        <w:rPr>
          <w:sz w:val="22"/>
          <w:szCs w:val="22"/>
          <w:lang w:eastAsia="ko-KR"/>
        </w:rPr>
        <w:t>.</w:t>
      </w:r>
      <w:r w:rsidR="00F952A8" w:rsidRPr="006220EA">
        <w:rPr>
          <w:sz w:val="22"/>
          <w:szCs w:val="22"/>
          <w:lang w:eastAsia="ko-KR"/>
        </w:rPr>
        <w:tab/>
        <w:t xml:space="preserve">In closing the workshop, </w:t>
      </w:r>
      <w:r w:rsidR="00C10B6D" w:rsidRPr="006220EA">
        <w:rPr>
          <w:sz w:val="22"/>
          <w:szCs w:val="22"/>
          <w:lang w:eastAsia="ko-KR"/>
        </w:rPr>
        <w:t xml:space="preserve">the </w:t>
      </w:r>
      <w:r w:rsidR="00A218EA" w:rsidRPr="00A218EA">
        <w:rPr>
          <w:sz w:val="22"/>
          <w:szCs w:val="22"/>
          <w:lang w:eastAsia="ko-KR"/>
        </w:rPr>
        <w:t xml:space="preserve">participants expressed their appreciation to the Government of </w:t>
      </w:r>
      <w:r w:rsidR="00A218EA">
        <w:rPr>
          <w:sz w:val="22"/>
          <w:szCs w:val="22"/>
          <w:lang w:eastAsia="ko-KR"/>
        </w:rPr>
        <w:t xml:space="preserve">Sweden </w:t>
      </w:r>
      <w:r w:rsidR="00A218EA" w:rsidRPr="00A218EA">
        <w:rPr>
          <w:sz w:val="22"/>
          <w:szCs w:val="22"/>
          <w:lang w:eastAsia="ko-KR"/>
        </w:rPr>
        <w:t>for their hospitality and thanked the workshop co-chairs for their leadership</w:t>
      </w:r>
      <w:r w:rsidR="00A218EA">
        <w:rPr>
          <w:sz w:val="22"/>
          <w:szCs w:val="22"/>
          <w:lang w:eastAsia="ko-KR"/>
        </w:rPr>
        <w:t xml:space="preserve"> </w:t>
      </w:r>
      <w:r w:rsidR="00A218EA" w:rsidRPr="00A218EA">
        <w:rPr>
          <w:sz w:val="22"/>
          <w:szCs w:val="22"/>
          <w:lang w:eastAsia="ko-KR"/>
        </w:rPr>
        <w:t>in steering the workshop deliberation. They also thanked the rapporteurs, facilitators, and technical team</w:t>
      </w:r>
      <w:r w:rsidR="00A218EA">
        <w:rPr>
          <w:sz w:val="22"/>
          <w:szCs w:val="22"/>
          <w:lang w:eastAsia="ko-KR"/>
        </w:rPr>
        <w:t xml:space="preserve"> </w:t>
      </w:r>
      <w:r w:rsidR="00A218EA" w:rsidRPr="00A218EA">
        <w:rPr>
          <w:sz w:val="22"/>
          <w:szCs w:val="22"/>
          <w:lang w:eastAsia="ko-KR"/>
        </w:rPr>
        <w:t>for their valuable contributions. They acknowledged with thanks the hard work and efficient servicing by</w:t>
      </w:r>
      <w:r w:rsidR="00A218EA">
        <w:rPr>
          <w:sz w:val="22"/>
          <w:szCs w:val="22"/>
          <w:lang w:eastAsia="ko-KR"/>
        </w:rPr>
        <w:t xml:space="preserve"> </w:t>
      </w:r>
      <w:r w:rsidR="00A218EA" w:rsidRPr="00A218EA">
        <w:rPr>
          <w:sz w:val="22"/>
          <w:szCs w:val="22"/>
          <w:lang w:eastAsia="ko-KR"/>
        </w:rPr>
        <w:t>the Secretariat staff for successfully organizing and concluding the workshop.</w:t>
      </w:r>
    </w:p>
    <w:p w14:paraId="13A41E61" w14:textId="36ED1115" w:rsidR="00F952A8" w:rsidRPr="006220EA" w:rsidRDefault="00826D67" w:rsidP="006220EA">
      <w:pPr>
        <w:spacing w:afterLines="50" w:after="120"/>
        <w:jc w:val="both"/>
        <w:rPr>
          <w:sz w:val="22"/>
          <w:szCs w:val="22"/>
        </w:rPr>
      </w:pPr>
      <w:r w:rsidRPr="006220EA">
        <w:rPr>
          <w:sz w:val="22"/>
          <w:szCs w:val="22"/>
        </w:rPr>
        <w:t>4</w:t>
      </w:r>
      <w:r w:rsidR="005056C7">
        <w:rPr>
          <w:sz w:val="22"/>
          <w:szCs w:val="22"/>
        </w:rPr>
        <w:t>5</w:t>
      </w:r>
      <w:r w:rsidR="0015765B" w:rsidRPr="006220EA">
        <w:rPr>
          <w:sz w:val="22"/>
          <w:szCs w:val="22"/>
        </w:rPr>
        <w:t>.</w:t>
      </w:r>
      <w:r w:rsidR="0015765B" w:rsidRPr="006220EA">
        <w:rPr>
          <w:sz w:val="22"/>
          <w:szCs w:val="22"/>
        </w:rPr>
        <w:tab/>
        <w:t xml:space="preserve">The workshop was closed at </w:t>
      </w:r>
      <w:r w:rsidR="00241DE3">
        <w:rPr>
          <w:sz w:val="22"/>
          <w:szCs w:val="22"/>
        </w:rPr>
        <w:t>6pm on Friday, 27 September 2019.</w:t>
      </w:r>
      <w:r w:rsidR="00F952A8" w:rsidRPr="006220EA">
        <w:rPr>
          <w:sz w:val="22"/>
          <w:szCs w:val="22"/>
        </w:rPr>
        <w:t xml:space="preserve"> </w:t>
      </w:r>
    </w:p>
    <w:p w14:paraId="1A2E391F" w14:textId="77777777" w:rsidR="008152B4" w:rsidRPr="006220EA" w:rsidRDefault="008152B4" w:rsidP="0091449E">
      <w:pPr>
        <w:pStyle w:val="Heading3"/>
        <w:rPr>
          <w:szCs w:val="22"/>
        </w:rPr>
      </w:pPr>
      <w:r w:rsidRPr="006220EA">
        <w:rPr>
          <w:szCs w:val="22"/>
        </w:rPr>
        <w:br w:type="page"/>
      </w:r>
      <w:r w:rsidRPr="006220EA">
        <w:rPr>
          <w:szCs w:val="22"/>
        </w:rPr>
        <w:lastRenderedPageBreak/>
        <w:t>Annex I</w:t>
      </w:r>
    </w:p>
    <w:p w14:paraId="7A52117B" w14:textId="77777777" w:rsidR="00F952A8" w:rsidRPr="006220EA" w:rsidRDefault="00F952A8" w:rsidP="00F952A8">
      <w:pPr>
        <w:pStyle w:val="HEADINGNOTFORTOC"/>
        <w:rPr>
          <w:color w:val="FF0000"/>
          <w:szCs w:val="22"/>
        </w:rPr>
      </w:pPr>
      <w:r w:rsidRPr="006220EA">
        <w:rPr>
          <w:szCs w:val="22"/>
        </w:rPr>
        <w:t>LIST OF participants</w:t>
      </w:r>
    </w:p>
    <w:p w14:paraId="397596DE" w14:textId="77777777" w:rsidR="00F952A8" w:rsidRPr="006220EA" w:rsidRDefault="00F952A8" w:rsidP="00AE13CE">
      <w:pPr>
        <w:rPr>
          <w:b/>
          <w:sz w:val="22"/>
          <w:szCs w:val="22"/>
        </w:rPr>
      </w:pPr>
    </w:p>
    <w:p w14:paraId="3E961FC5" w14:textId="77777777" w:rsidR="00B71384" w:rsidRPr="006220EA" w:rsidRDefault="00B71384" w:rsidP="00AE13CE">
      <w:pPr>
        <w:rPr>
          <w:b/>
          <w:sz w:val="22"/>
          <w:szCs w:val="22"/>
        </w:rPr>
        <w:sectPr w:rsidR="00B71384" w:rsidRPr="006220EA" w:rsidSect="00360BA0">
          <w:headerReference w:type="even" r:id="rId16"/>
          <w:headerReference w:type="default" r:id="rId17"/>
          <w:footerReference w:type="even" r:id="rId18"/>
          <w:headerReference w:type="first" r:id="rId19"/>
          <w:type w:val="continuous"/>
          <w:pgSz w:w="12240" w:h="15840" w:code="1"/>
          <w:pgMar w:top="1021" w:right="1440" w:bottom="1134" w:left="1440" w:header="720" w:footer="720" w:gutter="0"/>
          <w:cols w:space="708"/>
          <w:titlePg/>
          <w:docGrid w:linePitch="360"/>
        </w:sectPr>
      </w:pPr>
    </w:p>
    <w:p w14:paraId="7959F311" w14:textId="1BFA6D21" w:rsidR="00B71384" w:rsidRPr="006220EA" w:rsidRDefault="00826D67" w:rsidP="00C622E1">
      <w:pPr>
        <w:spacing w:after="120"/>
        <w:rPr>
          <w:b/>
          <w:sz w:val="22"/>
          <w:szCs w:val="22"/>
        </w:rPr>
      </w:pPr>
      <w:r w:rsidRPr="006220EA">
        <w:rPr>
          <w:b/>
          <w:sz w:val="22"/>
          <w:szCs w:val="22"/>
        </w:rPr>
        <w:t>PARTIES</w:t>
      </w:r>
    </w:p>
    <w:p w14:paraId="0ACECDC3" w14:textId="77777777" w:rsidR="00B71384" w:rsidRPr="006220EA" w:rsidRDefault="00B71384" w:rsidP="006F4BF5">
      <w:pPr>
        <w:rPr>
          <w:b/>
          <w:sz w:val="22"/>
          <w:szCs w:val="22"/>
        </w:rPr>
      </w:pPr>
      <w:r w:rsidRPr="006220EA">
        <w:rPr>
          <w:b/>
          <w:sz w:val="22"/>
          <w:szCs w:val="22"/>
        </w:rPr>
        <w:t xml:space="preserve">Belgium </w:t>
      </w:r>
      <w:r w:rsidRPr="006220EA">
        <w:rPr>
          <w:b/>
          <w:sz w:val="22"/>
          <w:szCs w:val="22"/>
        </w:rPr>
        <w:tab/>
      </w:r>
    </w:p>
    <w:p w14:paraId="3AB86B9C"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Mr. Steven Degraer</w:t>
      </w:r>
      <w:r w:rsidRPr="006220EA">
        <w:rPr>
          <w:szCs w:val="22"/>
        </w:rPr>
        <w:tab/>
      </w:r>
    </w:p>
    <w:p w14:paraId="50051B3C" w14:textId="77777777" w:rsidR="00B71384" w:rsidRPr="006220EA" w:rsidRDefault="00B71384" w:rsidP="006F4BF5">
      <w:pPr>
        <w:rPr>
          <w:sz w:val="22"/>
          <w:szCs w:val="22"/>
        </w:rPr>
      </w:pPr>
      <w:r w:rsidRPr="006220EA">
        <w:rPr>
          <w:sz w:val="22"/>
          <w:szCs w:val="22"/>
        </w:rPr>
        <w:t xml:space="preserve">Senior scientist, </w:t>
      </w:r>
    </w:p>
    <w:p w14:paraId="6EF2A549" w14:textId="77777777" w:rsidR="00B71384" w:rsidRPr="006220EA" w:rsidRDefault="00B71384" w:rsidP="006F4BF5">
      <w:pPr>
        <w:rPr>
          <w:sz w:val="22"/>
          <w:szCs w:val="22"/>
        </w:rPr>
      </w:pPr>
      <w:r w:rsidRPr="006220EA">
        <w:rPr>
          <w:sz w:val="22"/>
          <w:szCs w:val="22"/>
        </w:rPr>
        <w:t>Royal Belgian Institute of Natural Sciences</w:t>
      </w:r>
      <w:r w:rsidRPr="006220EA">
        <w:rPr>
          <w:sz w:val="22"/>
          <w:szCs w:val="22"/>
        </w:rPr>
        <w:tab/>
      </w:r>
    </w:p>
    <w:p w14:paraId="6DBBCF36" w14:textId="77777777" w:rsidR="00B71384" w:rsidRPr="00846AD1" w:rsidRDefault="00B71384" w:rsidP="006F4BF5">
      <w:pPr>
        <w:rPr>
          <w:sz w:val="22"/>
          <w:szCs w:val="22"/>
        </w:rPr>
      </w:pPr>
      <w:r w:rsidRPr="00846AD1">
        <w:rPr>
          <w:sz w:val="22"/>
          <w:szCs w:val="22"/>
        </w:rPr>
        <w:t>Brussels - BELGIUM</w:t>
      </w:r>
      <w:r w:rsidRPr="00846AD1">
        <w:rPr>
          <w:sz w:val="22"/>
          <w:szCs w:val="22"/>
        </w:rPr>
        <w:tab/>
      </w:r>
    </w:p>
    <w:p w14:paraId="590947D2" w14:textId="77777777" w:rsidR="00B71384" w:rsidRPr="00846AD1" w:rsidRDefault="00B71384" w:rsidP="006F4BF5">
      <w:pPr>
        <w:rPr>
          <w:sz w:val="22"/>
          <w:szCs w:val="22"/>
        </w:rPr>
      </w:pPr>
      <w:r w:rsidRPr="00846AD1">
        <w:rPr>
          <w:sz w:val="22"/>
          <w:szCs w:val="22"/>
        </w:rPr>
        <w:t>sdegraer@naturalsciences.be</w:t>
      </w:r>
    </w:p>
    <w:p w14:paraId="54153135" w14:textId="77777777" w:rsidR="00B71384" w:rsidRPr="00846AD1" w:rsidRDefault="00B71384" w:rsidP="006F4BF5">
      <w:pPr>
        <w:rPr>
          <w:sz w:val="22"/>
          <w:szCs w:val="22"/>
        </w:rPr>
      </w:pPr>
    </w:p>
    <w:p w14:paraId="4C0DAA00" w14:textId="4B3904B1" w:rsidR="00B71384" w:rsidRPr="00846AD1" w:rsidRDefault="00B71384" w:rsidP="006F4BF5">
      <w:pPr>
        <w:rPr>
          <w:b/>
          <w:sz w:val="22"/>
          <w:szCs w:val="22"/>
        </w:rPr>
      </w:pPr>
      <w:r w:rsidRPr="00846AD1">
        <w:rPr>
          <w:b/>
          <w:sz w:val="22"/>
          <w:szCs w:val="22"/>
        </w:rPr>
        <w:t>Denmark</w:t>
      </w:r>
      <w:r w:rsidR="007409A7" w:rsidRPr="00846AD1">
        <w:rPr>
          <w:b/>
          <w:sz w:val="22"/>
          <w:szCs w:val="22"/>
        </w:rPr>
        <w:t xml:space="preserve"> (Kingdom of)</w:t>
      </w:r>
      <w:r w:rsidRPr="00846AD1">
        <w:rPr>
          <w:b/>
          <w:sz w:val="22"/>
          <w:szCs w:val="22"/>
        </w:rPr>
        <w:tab/>
      </w:r>
    </w:p>
    <w:p w14:paraId="433FA37B"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Mr. Karsten Dahl</w:t>
      </w:r>
      <w:r w:rsidRPr="006220EA">
        <w:rPr>
          <w:szCs w:val="22"/>
        </w:rPr>
        <w:tab/>
      </w:r>
    </w:p>
    <w:p w14:paraId="7B6F8B95" w14:textId="77777777" w:rsidR="00B71384" w:rsidRPr="006220EA" w:rsidRDefault="00B71384" w:rsidP="006F4BF5">
      <w:pPr>
        <w:rPr>
          <w:sz w:val="22"/>
          <w:szCs w:val="22"/>
        </w:rPr>
      </w:pPr>
      <w:r w:rsidRPr="006220EA">
        <w:rPr>
          <w:sz w:val="22"/>
          <w:szCs w:val="22"/>
        </w:rPr>
        <w:t>Section leader/Senior Advisor in Marine Biology</w:t>
      </w:r>
    </w:p>
    <w:p w14:paraId="014AD489" w14:textId="77777777" w:rsidR="00B71384" w:rsidRPr="006220EA" w:rsidRDefault="00B71384" w:rsidP="006F4BF5">
      <w:pPr>
        <w:rPr>
          <w:sz w:val="22"/>
          <w:szCs w:val="22"/>
        </w:rPr>
      </w:pPr>
      <w:r w:rsidRPr="006220EA">
        <w:rPr>
          <w:sz w:val="22"/>
          <w:szCs w:val="22"/>
        </w:rPr>
        <w:t>Department of Bioscience</w:t>
      </w:r>
    </w:p>
    <w:p w14:paraId="2EC8338F" w14:textId="77777777" w:rsidR="00B71384" w:rsidRPr="006220EA" w:rsidRDefault="00B71384" w:rsidP="006F4BF5">
      <w:pPr>
        <w:rPr>
          <w:sz w:val="22"/>
          <w:szCs w:val="22"/>
        </w:rPr>
      </w:pPr>
      <w:r w:rsidRPr="006220EA">
        <w:rPr>
          <w:sz w:val="22"/>
          <w:szCs w:val="22"/>
        </w:rPr>
        <w:t>Aarhus University</w:t>
      </w:r>
      <w:r w:rsidRPr="006220EA">
        <w:rPr>
          <w:sz w:val="22"/>
          <w:szCs w:val="22"/>
        </w:rPr>
        <w:tab/>
      </w:r>
    </w:p>
    <w:p w14:paraId="516EB9BC" w14:textId="77777777" w:rsidR="00B71384" w:rsidRPr="006220EA" w:rsidRDefault="00B71384" w:rsidP="006F4BF5">
      <w:pPr>
        <w:rPr>
          <w:sz w:val="22"/>
          <w:szCs w:val="22"/>
        </w:rPr>
      </w:pPr>
      <w:r w:rsidRPr="006220EA">
        <w:rPr>
          <w:sz w:val="22"/>
          <w:szCs w:val="22"/>
        </w:rPr>
        <w:t>Roskilde, Denmark</w:t>
      </w:r>
      <w:r w:rsidRPr="006220EA">
        <w:rPr>
          <w:sz w:val="22"/>
          <w:szCs w:val="22"/>
        </w:rPr>
        <w:tab/>
      </w:r>
    </w:p>
    <w:p w14:paraId="1FD83CE6" w14:textId="77777777" w:rsidR="00B71384" w:rsidRPr="006220EA" w:rsidRDefault="00B71384" w:rsidP="006F4BF5">
      <w:pPr>
        <w:rPr>
          <w:sz w:val="22"/>
          <w:szCs w:val="22"/>
        </w:rPr>
      </w:pPr>
      <w:r w:rsidRPr="006220EA">
        <w:rPr>
          <w:sz w:val="22"/>
          <w:szCs w:val="22"/>
        </w:rPr>
        <w:t>E-mail: kda@dmu.dk</w:t>
      </w:r>
    </w:p>
    <w:p w14:paraId="45A50C63" w14:textId="77777777" w:rsidR="00B71384" w:rsidRPr="006220EA" w:rsidRDefault="00B71384" w:rsidP="006F4BF5">
      <w:pPr>
        <w:rPr>
          <w:sz w:val="22"/>
          <w:szCs w:val="22"/>
        </w:rPr>
      </w:pPr>
    </w:p>
    <w:p w14:paraId="67D8FAB8"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 xml:space="preserve">Mr. Ib Krag Petersen </w:t>
      </w:r>
      <w:r w:rsidRPr="006220EA">
        <w:rPr>
          <w:szCs w:val="22"/>
        </w:rPr>
        <w:tab/>
      </w:r>
    </w:p>
    <w:p w14:paraId="0A174CFF" w14:textId="77777777" w:rsidR="00B71384" w:rsidRPr="006220EA" w:rsidRDefault="00B71384" w:rsidP="006F4BF5">
      <w:pPr>
        <w:rPr>
          <w:sz w:val="22"/>
          <w:szCs w:val="22"/>
        </w:rPr>
      </w:pPr>
      <w:r w:rsidRPr="006220EA">
        <w:rPr>
          <w:sz w:val="22"/>
          <w:szCs w:val="22"/>
        </w:rPr>
        <w:t>Senior Advisor</w:t>
      </w:r>
    </w:p>
    <w:p w14:paraId="3AF1988C" w14:textId="77777777" w:rsidR="00B71384" w:rsidRPr="006220EA" w:rsidRDefault="00B71384" w:rsidP="006F4BF5">
      <w:pPr>
        <w:rPr>
          <w:sz w:val="22"/>
          <w:szCs w:val="22"/>
        </w:rPr>
      </w:pPr>
      <w:r w:rsidRPr="006220EA">
        <w:rPr>
          <w:sz w:val="22"/>
          <w:szCs w:val="22"/>
        </w:rPr>
        <w:t>Wildlife Ecology</w:t>
      </w:r>
    </w:p>
    <w:p w14:paraId="6175F864" w14:textId="77777777" w:rsidR="00B71384" w:rsidRPr="006220EA" w:rsidRDefault="00B71384" w:rsidP="006F4BF5">
      <w:pPr>
        <w:rPr>
          <w:sz w:val="22"/>
          <w:szCs w:val="22"/>
        </w:rPr>
      </w:pPr>
      <w:r w:rsidRPr="006220EA">
        <w:rPr>
          <w:sz w:val="22"/>
          <w:szCs w:val="22"/>
        </w:rPr>
        <w:t>Institute of Bioscience</w:t>
      </w:r>
    </w:p>
    <w:p w14:paraId="05C703C0" w14:textId="77777777" w:rsidR="00B71384" w:rsidRPr="006220EA" w:rsidRDefault="00B71384" w:rsidP="006F4BF5">
      <w:pPr>
        <w:rPr>
          <w:sz w:val="22"/>
          <w:szCs w:val="22"/>
        </w:rPr>
      </w:pPr>
      <w:r w:rsidRPr="006220EA">
        <w:rPr>
          <w:sz w:val="22"/>
          <w:szCs w:val="22"/>
        </w:rPr>
        <w:t>Aarhus University</w:t>
      </w:r>
    </w:p>
    <w:p w14:paraId="3EE7940C" w14:textId="77777777" w:rsidR="00B71384" w:rsidRPr="006220EA" w:rsidRDefault="00B71384" w:rsidP="006F4BF5">
      <w:pPr>
        <w:rPr>
          <w:sz w:val="22"/>
          <w:szCs w:val="22"/>
        </w:rPr>
      </w:pPr>
      <w:r w:rsidRPr="006220EA">
        <w:rPr>
          <w:sz w:val="22"/>
          <w:szCs w:val="22"/>
        </w:rPr>
        <w:t>Rønde, Denmark</w:t>
      </w:r>
    </w:p>
    <w:p w14:paraId="55276C25" w14:textId="77777777" w:rsidR="00B71384" w:rsidRPr="006220EA" w:rsidRDefault="00B71384" w:rsidP="006F4BF5">
      <w:pPr>
        <w:rPr>
          <w:sz w:val="22"/>
          <w:szCs w:val="22"/>
          <w:lang w:val="fr-CA"/>
        </w:rPr>
      </w:pPr>
      <w:r w:rsidRPr="006220EA">
        <w:rPr>
          <w:sz w:val="22"/>
          <w:szCs w:val="22"/>
          <w:lang w:val="fr-CA"/>
        </w:rPr>
        <w:t>E-mail: ikp@bios.au.dk</w:t>
      </w:r>
    </w:p>
    <w:p w14:paraId="646CB4D6" w14:textId="77777777" w:rsidR="00B71384" w:rsidRPr="006220EA" w:rsidRDefault="00B71384" w:rsidP="006F4BF5">
      <w:pPr>
        <w:rPr>
          <w:b/>
          <w:sz w:val="22"/>
          <w:szCs w:val="22"/>
          <w:lang w:val="fr-CA"/>
        </w:rPr>
      </w:pPr>
    </w:p>
    <w:p w14:paraId="39625713"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Mr. Tom Christensen</w:t>
      </w:r>
    </w:p>
    <w:p w14:paraId="0CB34BDF" w14:textId="77777777" w:rsidR="00B71384" w:rsidRPr="006220EA" w:rsidRDefault="00B71384" w:rsidP="006F4BF5">
      <w:pPr>
        <w:rPr>
          <w:sz w:val="22"/>
          <w:szCs w:val="22"/>
        </w:rPr>
      </w:pPr>
      <w:r w:rsidRPr="006220EA">
        <w:rPr>
          <w:sz w:val="22"/>
          <w:szCs w:val="22"/>
        </w:rPr>
        <w:t>Section Leader, Section of Arctic Environment, Aarhus University</w:t>
      </w:r>
    </w:p>
    <w:p w14:paraId="557266ED" w14:textId="77777777" w:rsidR="00B71384" w:rsidRPr="006220EA" w:rsidRDefault="00B71384" w:rsidP="006F4BF5">
      <w:pPr>
        <w:rPr>
          <w:sz w:val="22"/>
          <w:szCs w:val="22"/>
        </w:rPr>
      </w:pPr>
      <w:r w:rsidRPr="006220EA">
        <w:rPr>
          <w:sz w:val="22"/>
          <w:szCs w:val="22"/>
        </w:rPr>
        <w:t>Arctic Research Centre/ Danish Centre of Energy and Environment,</w:t>
      </w:r>
    </w:p>
    <w:p w14:paraId="20E385CA" w14:textId="77777777" w:rsidR="00B71384" w:rsidRPr="006220EA" w:rsidRDefault="00B71384" w:rsidP="006F4BF5">
      <w:pPr>
        <w:rPr>
          <w:sz w:val="22"/>
          <w:szCs w:val="22"/>
        </w:rPr>
      </w:pPr>
      <w:r w:rsidRPr="006220EA">
        <w:rPr>
          <w:sz w:val="22"/>
          <w:szCs w:val="22"/>
        </w:rPr>
        <w:t>Institute of Bioscience, Aarhus University</w:t>
      </w:r>
    </w:p>
    <w:p w14:paraId="53905B3E" w14:textId="77777777" w:rsidR="00B71384" w:rsidRPr="006220EA" w:rsidRDefault="00B71384" w:rsidP="006F4BF5">
      <w:pPr>
        <w:rPr>
          <w:sz w:val="22"/>
          <w:szCs w:val="22"/>
        </w:rPr>
      </w:pPr>
      <w:r w:rsidRPr="006220EA">
        <w:rPr>
          <w:sz w:val="22"/>
          <w:szCs w:val="22"/>
        </w:rPr>
        <w:t>Roskilde, Denmark</w:t>
      </w:r>
      <w:r w:rsidRPr="006220EA">
        <w:rPr>
          <w:sz w:val="22"/>
          <w:szCs w:val="22"/>
        </w:rPr>
        <w:tab/>
      </w:r>
    </w:p>
    <w:p w14:paraId="64093097" w14:textId="77777777" w:rsidR="00B71384" w:rsidRPr="006220EA" w:rsidRDefault="00B71384" w:rsidP="006F4BF5">
      <w:pPr>
        <w:rPr>
          <w:sz w:val="22"/>
          <w:szCs w:val="22"/>
        </w:rPr>
      </w:pPr>
      <w:r w:rsidRPr="006220EA">
        <w:rPr>
          <w:sz w:val="22"/>
          <w:szCs w:val="22"/>
        </w:rPr>
        <w:t xml:space="preserve">toch@bios.au.dk </w:t>
      </w:r>
    </w:p>
    <w:p w14:paraId="4F99ED3E" w14:textId="77777777" w:rsidR="00B71384" w:rsidRPr="006220EA" w:rsidRDefault="00B71384" w:rsidP="006F4BF5">
      <w:pPr>
        <w:rPr>
          <w:b/>
          <w:sz w:val="22"/>
          <w:szCs w:val="22"/>
        </w:rPr>
      </w:pPr>
    </w:p>
    <w:p w14:paraId="5F2F3BF0" w14:textId="77777777" w:rsidR="00B71384" w:rsidRPr="006220EA" w:rsidRDefault="00B71384" w:rsidP="006F4BF5">
      <w:pPr>
        <w:rPr>
          <w:b/>
          <w:sz w:val="22"/>
          <w:szCs w:val="22"/>
        </w:rPr>
      </w:pPr>
      <w:r w:rsidRPr="006220EA">
        <w:rPr>
          <w:b/>
          <w:sz w:val="22"/>
          <w:szCs w:val="22"/>
        </w:rPr>
        <w:t>European Union</w:t>
      </w:r>
      <w:r w:rsidRPr="006220EA">
        <w:rPr>
          <w:b/>
          <w:sz w:val="22"/>
          <w:szCs w:val="22"/>
        </w:rPr>
        <w:tab/>
      </w:r>
    </w:p>
    <w:p w14:paraId="321B4CEA"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Juan-Pablo Pertierra Vera</w:t>
      </w:r>
    </w:p>
    <w:p w14:paraId="5C6287F8" w14:textId="77777777" w:rsidR="00B71384" w:rsidRPr="006220EA" w:rsidRDefault="00B71384" w:rsidP="006F4BF5">
      <w:pPr>
        <w:rPr>
          <w:sz w:val="22"/>
          <w:szCs w:val="22"/>
        </w:rPr>
      </w:pPr>
      <w:r w:rsidRPr="006220EA">
        <w:rPr>
          <w:sz w:val="22"/>
          <w:szCs w:val="22"/>
        </w:rPr>
        <w:t xml:space="preserve">Principal Administrator </w:t>
      </w:r>
    </w:p>
    <w:p w14:paraId="4B072290" w14:textId="77777777" w:rsidR="00B71384" w:rsidRPr="006220EA" w:rsidRDefault="00B71384" w:rsidP="006F4BF5">
      <w:pPr>
        <w:rPr>
          <w:sz w:val="22"/>
          <w:szCs w:val="22"/>
        </w:rPr>
      </w:pPr>
      <w:r w:rsidRPr="006220EA">
        <w:rPr>
          <w:sz w:val="22"/>
          <w:szCs w:val="22"/>
        </w:rPr>
        <w:t>European Commission</w:t>
      </w:r>
      <w:r w:rsidRPr="006220EA">
        <w:rPr>
          <w:sz w:val="22"/>
          <w:szCs w:val="22"/>
        </w:rPr>
        <w:tab/>
      </w:r>
    </w:p>
    <w:p w14:paraId="6BC5D69C" w14:textId="77777777" w:rsidR="00B71384" w:rsidRPr="006220EA" w:rsidRDefault="00B71384" w:rsidP="006F4BF5">
      <w:pPr>
        <w:rPr>
          <w:sz w:val="22"/>
          <w:szCs w:val="22"/>
        </w:rPr>
      </w:pPr>
      <w:r w:rsidRPr="006220EA">
        <w:rPr>
          <w:sz w:val="22"/>
          <w:szCs w:val="22"/>
        </w:rPr>
        <w:t>Brussels, Belgium</w:t>
      </w:r>
    </w:p>
    <w:p w14:paraId="1FC718E2" w14:textId="77777777" w:rsidR="00B71384" w:rsidRPr="006220EA" w:rsidRDefault="00B71384" w:rsidP="006F4BF5">
      <w:pPr>
        <w:rPr>
          <w:sz w:val="22"/>
          <w:szCs w:val="22"/>
          <w:lang w:val="fr-CA"/>
        </w:rPr>
      </w:pPr>
      <w:r w:rsidRPr="006220EA">
        <w:rPr>
          <w:sz w:val="22"/>
          <w:szCs w:val="22"/>
          <w:lang w:val="fr-CA"/>
        </w:rPr>
        <w:t>E-mail: Juan-Pablo.Pertierra@ec.europa.eu</w:t>
      </w:r>
    </w:p>
    <w:p w14:paraId="34125378" w14:textId="77777777" w:rsidR="00B71384" w:rsidRPr="006220EA" w:rsidRDefault="00B71384" w:rsidP="006F4BF5">
      <w:pPr>
        <w:rPr>
          <w:b/>
          <w:sz w:val="22"/>
          <w:szCs w:val="22"/>
          <w:lang w:val="fr-CA"/>
        </w:rPr>
      </w:pPr>
    </w:p>
    <w:p w14:paraId="6BA542BE" w14:textId="77777777" w:rsidR="00B71384" w:rsidRPr="006220EA" w:rsidRDefault="00B71384" w:rsidP="006F4BF5">
      <w:pPr>
        <w:rPr>
          <w:sz w:val="22"/>
          <w:szCs w:val="22"/>
        </w:rPr>
      </w:pPr>
      <w:r w:rsidRPr="006220EA">
        <w:rPr>
          <w:b/>
          <w:sz w:val="22"/>
          <w:szCs w:val="22"/>
        </w:rPr>
        <w:t>Germany</w:t>
      </w:r>
      <w:r w:rsidRPr="006220EA">
        <w:rPr>
          <w:sz w:val="22"/>
          <w:szCs w:val="22"/>
        </w:rPr>
        <w:tab/>
      </w:r>
    </w:p>
    <w:p w14:paraId="3DFE6BF5"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Mr. Henning von Nordheim</w:t>
      </w:r>
      <w:r w:rsidRPr="006220EA">
        <w:rPr>
          <w:szCs w:val="22"/>
        </w:rPr>
        <w:tab/>
      </w:r>
    </w:p>
    <w:p w14:paraId="6480766F" w14:textId="77777777" w:rsidR="00B71384" w:rsidRPr="006220EA" w:rsidRDefault="00B71384" w:rsidP="006F4BF5">
      <w:pPr>
        <w:rPr>
          <w:sz w:val="22"/>
          <w:szCs w:val="22"/>
        </w:rPr>
      </w:pPr>
      <w:r w:rsidRPr="006220EA">
        <w:rPr>
          <w:sz w:val="22"/>
          <w:szCs w:val="22"/>
        </w:rPr>
        <w:t>Head</w:t>
      </w:r>
    </w:p>
    <w:p w14:paraId="2F4C77C3" w14:textId="77777777" w:rsidR="00B71384" w:rsidRPr="006220EA" w:rsidRDefault="00B71384" w:rsidP="006F4BF5">
      <w:pPr>
        <w:rPr>
          <w:sz w:val="22"/>
          <w:szCs w:val="22"/>
        </w:rPr>
      </w:pPr>
      <w:r w:rsidRPr="006220EA">
        <w:rPr>
          <w:sz w:val="22"/>
          <w:szCs w:val="22"/>
        </w:rPr>
        <w:t xml:space="preserve">Directorate "Marine Nature Conservation" </w:t>
      </w:r>
    </w:p>
    <w:p w14:paraId="239B3BD9" w14:textId="77777777" w:rsidR="00B71384" w:rsidRPr="006220EA" w:rsidRDefault="00B71384" w:rsidP="006F4BF5">
      <w:pPr>
        <w:rPr>
          <w:sz w:val="22"/>
          <w:szCs w:val="22"/>
        </w:rPr>
      </w:pPr>
      <w:r w:rsidRPr="006220EA">
        <w:rPr>
          <w:sz w:val="22"/>
          <w:szCs w:val="22"/>
        </w:rPr>
        <w:t>German Federal Agency for Nature Conservation</w:t>
      </w:r>
    </w:p>
    <w:p w14:paraId="1553BCAA" w14:textId="77777777" w:rsidR="00B71384" w:rsidRPr="006220EA" w:rsidRDefault="00B71384" w:rsidP="006F4BF5">
      <w:pPr>
        <w:rPr>
          <w:sz w:val="22"/>
          <w:szCs w:val="22"/>
        </w:rPr>
      </w:pPr>
      <w:r w:rsidRPr="006220EA">
        <w:rPr>
          <w:sz w:val="22"/>
          <w:szCs w:val="22"/>
        </w:rPr>
        <w:t>Isle of Vilm - Branch Office</w:t>
      </w:r>
    </w:p>
    <w:p w14:paraId="48798E83" w14:textId="77777777" w:rsidR="00B71384" w:rsidRPr="006220EA" w:rsidRDefault="00B71384" w:rsidP="006F4BF5">
      <w:pPr>
        <w:rPr>
          <w:sz w:val="22"/>
          <w:szCs w:val="22"/>
        </w:rPr>
      </w:pPr>
      <w:r w:rsidRPr="006220EA">
        <w:rPr>
          <w:sz w:val="22"/>
          <w:szCs w:val="22"/>
        </w:rPr>
        <w:t>Putbus/Rügen Germany</w:t>
      </w:r>
      <w:r w:rsidRPr="006220EA">
        <w:rPr>
          <w:sz w:val="22"/>
          <w:szCs w:val="22"/>
        </w:rPr>
        <w:tab/>
      </w:r>
    </w:p>
    <w:p w14:paraId="7A5D1FBD" w14:textId="5CBFD5D5" w:rsidR="00B71384" w:rsidRPr="006220EA" w:rsidRDefault="00B71384" w:rsidP="006F4BF5">
      <w:pPr>
        <w:rPr>
          <w:rStyle w:val="Hyperlink"/>
          <w:sz w:val="22"/>
          <w:szCs w:val="22"/>
          <w:lang w:val="fr-CA"/>
        </w:rPr>
      </w:pPr>
      <w:r w:rsidRPr="006220EA">
        <w:rPr>
          <w:sz w:val="22"/>
          <w:szCs w:val="22"/>
          <w:lang w:val="fr-CA"/>
        </w:rPr>
        <w:t xml:space="preserve">E-mail: </w:t>
      </w:r>
      <w:hyperlink r:id="rId20" w:history="1">
        <w:r w:rsidR="00F00939" w:rsidRPr="006220EA">
          <w:rPr>
            <w:rStyle w:val="Hyperlink"/>
            <w:sz w:val="22"/>
            <w:szCs w:val="22"/>
            <w:lang w:val="fr-CA"/>
          </w:rPr>
          <w:t>henning.von.nordheim@bfn.de</w:t>
        </w:r>
      </w:hyperlink>
    </w:p>
    <w:p w14:paraId="467B23F8" w14:textId="77777777" w:rsidR="00826D67" w:rsidRPr="006220EA" w:rsidRDefault="00826D67" w:rsidP="006F4BF5">
      <w:pPr>
        <w:rPr>
          <w:sz w:val="22"/>
          <w:szCs w:val="22"/>
          <w:lang w:val="fr-CA"/>
        </w:rPr>
      </w:pPr>
    </w:p>
    <w:p w14:paraId="0C607370"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Mr. Boris Dorschel</w:t>
      </w:r>
    </w:p>
    <w:p w14:paraId="6B393958" w14:textId="77777777" w:rsidR="00B71384" w:rsidRPr="006220EA" w:rsidRDefault="00B71384" w:rsidP="006F4BF5">
      <w:pPr>
        <w:rPr>
          <w:sz w:val="22"/>
          <w:szCs w:val="22"/>
        </w:rPr>
      </w:pPr>
      <w:r w:rsidRPr="006220EA">
        <w:rPr>
          <w:sz w:val="22"/>
          <w:szCs w:val="22"/>
        </w:rPr>
        <w:t>Head</w:t>
      </w:r>
    </w:p>
    <w:p w14:paraId="0D59E4E0" w14:textId="77777777" w:rsidR="00B71384" w:rsidRPr="006220EA" w:rsidRDefault="00B71384" w:rsidP="006F4BF5">
      <w:pPr>
        <w:rPr>
          <w:sz w:val="22"/>
          <w:szCs w:val="22"/>
        </w:rPr>
      </w:pPr>
      <w:r w:rsidRPr="006220EA">
        <w:rPr>
          <w:sz w:val="22"/>
          <w:szCs w:val="22"/>
        </w:rPr>
        <w:t>Bathymetry Group,</w:t>
      </w:r>
    </w:p>
    <w:p w14:paraId="4CAE1B3F" w14:textId="77777777" w:rsidR="00B71384" w:rsidRPr="006220EA" w:rsidRDefault="00B71384" w:rsidP="006F4BF5">
      <w:pPr>
        <w:rPr>
          <w:sz w:val="22"/>
          <w:szCs w:val="22"/>
        </w:rPr>
      </w:pPr>
      <w:r w:rsidRPr="006220EA">
        <w:rPr>
          <w:sz w:val="22"/>
          <w:szCs w:val="22"/>
        </w:rPr>
        <w:t xml:space="preserve">Alfred Wegener Institute </w:t>
      </w:r>
    </w:p>
    <w:p w14:paraId="4E5830BA" w14:textId="667EF762" w:rsidR="00B71384" w:rsidRPr="006220EA" w:rsidRDefault="00B71384" w:rsidP="006F4BF5">
      <w:pPr>
        <w:rPr>
          <w:sz w:val="22"/>
          <w:szCs w:val="22"/>
        </w:rPr>
      </w:pPr>
      <w:r w:rsidRPr="006220EA">
        <w:rPr>
          <w:sz w:val="22"/>
          <w:szCs w:val="22"/>
        </w:rPr>
        <w:t>Helmholtz Centre for Polar and Marine Research</w:t>
      </w:r>
    </w:p>
    <w:p w14:paraId="28523E8A" w14:textId="77777777" w:rsidR="00B71384" w:rsidRPr="006220EA" w:rsidRDefault="00B71384" w:rsidP="006F4BF5">
      <w:pPr>
        <w:rPr>
          <w:sz w:val="22"/>
          <w:szCs w:val="22"/>
        </w:rPr>
      </w:pPr>
      <w:r w:rsidRPr="006220EA">
        <w:rPr>
          <w:sz w:val="22"/>
          <w:szCs w:val="22"/>
        </w:rPr>
        <w:t>Bremerhaven, Germany</w:t>
      </w:r>
      <w:r w:rsidRPr="006220EA">
        <w:rPr>
          <w:sz w:val="22"/>
          <w:szCs w:val="22"/>
        </w:rPr>
        <w:tab/>
      </w:r>
    </w:p>
    <w:p w14:paraId="76360E58" w14:textId="77777777" w:rsidR="00B71384" w:rsidRPr="006220EA" w:rsidRDefault="00B71384" w:rsidP="006F4BF5">
      <w:pPr>
        <w:rPr>
          <w:sz w:val="22"/>
          <w:szCs w:val="22"/>
        </w:rPr>
      </w:pPr>
      <w:r w:rsidRPr="006220EA">
        <w:rPr>
          <w:sz w:val="22"/>
          <w:szCs w:val="22"/>
        </w:rPr>
        <w:t>E-mail: Boris.Dorschel@awi.de</w:t>
      </w:r>
    </w:p>
    <w:p w14:paraId="12D13A7C" w14:textId="77777777" w:rsidR="00B71384" w:rsidRPr="006220EA" w:rsidRDefault="00B71384" w:rsidP="006F4BF5">
      <w:pPr>
        <w:rPr>
          <w:b/>
          <w:sz w:val="22"/>
          <w:szCs w:val="22"/>
        </w:rPr>
      </w:pPr>
    </w:p>
    <w:p w14:paraId="7FBD6BE7" w14:textId="77777777" w:rsidR="00B71384" w:rsidRPr="006220EA" w:rsidRDefault="00B71384" w:rsidP="006F4BF5">
      <w:pPr>
        <w:rPr>
          <w:b/>
          <w:sz w:val="22"/>
          <w:szCs w:val="22"/>
        </w:rPr>
      </w:pPr>
      <w:r w:rsidRPr="006220EA">
        <w:rPr>
          <w:b/>
          <w:sz w:val="22"/>
          <w:szCs w:val="22"/>
        </w:rPr>
        <w:t>Iceland</w:t>
      </w:r>
      <w:r w:rsidRPr="006220EA">
        <w:rPr>
          <w:b/>
          <w:sz w:val="22"/>
          <w:szCs w:val="22"/>
        </w:rPr>
        <w:tab/>
      </w:r>
    </w:p>
    <w:p w14:paraId="20E17A5A"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Mr. Gudmundur Gudmundsson</w:t>
      </w:r>
    </w:p>
    <w:p w14:paraId="051F84DF" w14:textId="77777777" w:rsidR="00B71384" w:rsidRPr="006220EA" w:rsidRDefault="00B71384" w:rsidP="006F4BF5">
      <w:pPr>
        <w:rPr>
          <w:sz w:val="22"/>
          <w:szCs w:val="22"/>
        </w:rPr>
      </w:pPr>
      <w:r w:rsidRPr="006220EA">
        <w:rPr>
          <w:sz w:val="22"/>
          <w:szCs w:val="22"/>
        </w:rPr>
        <w:t>Deputy Director</w:t>
      </w:r>
    </w:p>
    <w:p w14:paraId="25391F01" w14:textId="77777777" w:rsidR="00B71384" w:rsidRPr="006220EA" w:rsidRDefault="00B71384" w:rsidP="006F4BF5">
      <w:pPr>
        <w:rPr>
          <w:sz w:val="22"/>
          <w:szCs w:val="22"/>
        </w:rPr>
      </w:pPr>
      <w:r w:rsidRPr="006220EA">
        <w:rPr>
          <w:sz w:val="22"/>
          <w:szCs w:val="22"/>
        </w:rPr>
        <w:t>Icelandic Institute of Natural History</w:t>
      </w:r>
      <w:r w:rsidRPr="006220EA">
        <w:rPr>
          <w:sz w:val="22"/>
          <w:szCs w:val="22"/>
        </w:rPr>
        <w:tab/>
      </w:r>
    </w:p>
    <w:p w14:paraId="1B67217D" w14:textId="77777777" w:rsidR="00B71384" w:rsidRPr="006220EA" w:rsidRDefault="00B71384" w:rsidP="006F4BF5">
      <w:pPr>
        <w:rPr>
          <w:sz w:val="22"/>
          <w:szCs w:val="22"/>
          <w:lang w:val="fr-CA"/>
        </w:rPr>
      </w:pPr>
      <w:r w:rsidRPr="006220EA">
        <w:rPr>
          <w:sz w:val="22"/>
          <w:szCs w:val="22"/>
          <w:lang w:val="fr-CA"/>
        </w:rPr>
        <w:t>Gardsbær, Iceland</w:t>
      </w:r>
    </w:p>
    <w:p w14:paraId="5E7C6DC2" w14:textId="77777777" w:rsidR="00B71384" w:rsidRPr="006220EA" w:rsidRDefault="00B71384" w:rsidP="006F4BF5">
      <w:pPr>
        <w:rPr>
          <w:sz w:val="22"/>
          <w:szCs w:val="22"/>
          <w:lang w:val="fr-CA"/>
        </w:rPr>
      </w:pPr>
      <w:r w:rsidRPr="006220EA">
        <w:rPr>
          <w:sz w:val="22"/>
          <w:szCs w:val="22"/>
          <w:lang w:val="fr-CA"/>
        </w:rPr>
        <w:t>E-mail: gg@ni.is</w:t>
      </w:r>
    </w:p>
    <w:p w14:paraId="668B91E7" w14:textId="77777777" w:rsidR="00B71384" w:rsidRPr="006220EA" w:rsidRDefault="00B71384" w:rsidP="006F4BF5">
      <w:pPr>
        <w:rPr>
          <w:b/>
          <w:sz w:val="22"/>
          <w:szCs w:val="22"/>
          <w:lang w:val="fr-CA"/>
        </w:rPr>
      </w:pPr>
    </w:p>
    <w:p w14:paraId="13693060" w14:textId="77777777" w:rsidR="00B71384" w:rsidRPr="006220EA" w:rsidRDefault="00B71384" w:rsidP="006F4BF5">
      <w:pPr>
        <w:rPr>
          <w:b/>
          <w:sz w:val="22"/>
          <w:szCs w:val="22"/>
        </w:rPr>
      </w:pPr>
      <w:r w:rsidRPr="006220EA">
        <w:rPr>
          <w:b/>
          <w:sz w:val="22"/>
          <w:szCs w:val="22"/>
        </w:rPr>
        <w:t>Ireland</w:t>
      </w:r>
      <w:r w:rsidRPr="006220EA">
        <w:rPr>
          <w:b/>
          <w:sz w:val="22"/>
          <w:szCs w:val="22"/>
        </w:rPr>
        <w:tab/>
      </w:r>
    </w:p>
    <w:p w14:paraId="4571841A" w14:textId="77777777" w:rsidR="00B71384" w:rsidRPr="006220EA" w:rsidRDefault="00B71384" w:rsidP="00AB0765">
      <w:pPr>
        <w:pStyle w:val="ListParagraph"/>
        <w:numPr>
          <w:ilvl w:val="0"/>
          <w:numId w:val="9"/>
        </w:numPr>
        <w:ind w:leftChars="0" w:left="284" w:hanging="284"/>
        <w:jc w:val="left"/>
        <w:rPr>
          <w:szCs w:val="22"/>
        </w:rPr>
      </w:pPr>
      <w:r w:rsidRPr="006220EA">
        <w:rPr>
          <w:szCs w:val="22"/>
        </w:rPr>
        <w:t>Mr. Oliver Ó Cadhla</w:t>
      </w:r>
    </w:p>
    <w:p w14:paraId="2EE5C040" w14:textId="77777777" w:rsidR="00B71384" w:rsidRPr="006220EA" w:rsidRDefault="00B71384" w:rsidP="006F4BF5">
      <w:pPr>
        <w:rPr>
          <w:sz w:val="22"/>
          <w:szCs w:val="22"/>
        </w:rPr>
      </w:pPr>
      <w:r w:rsidRPr="006220EA">
        <w:rPr>
          <w:sz w:val="22"/>
          <w:szCs w:val="22"/>
        </w:rPr>
        <w:t>Marine Environment Section, Water Division,</w:t>
      </w:r>
    </w:p>
    <w:p w14:paraId="3F0D12D2" w14:textId="77777777" w:rsidR="00B71384" w:rsidRPr="006220EA" w:rsidRDefault="00B71384" w:rsidP="006F4BF5">
      <w:pPr>
        <w:rPr>
          <w:sz w:val="22"/>
          <w:szCs w:val="22"/>
        </w:rPr>
      </w:pPr>
      <w:r w:rsidRPr="006220EA">
        <w:rPr>
          <w:sz w:val="22"/>
          <w:szCs w:val="22"/>
        </w:rPr>
        <w:t>Department of Housing, Planning and Local Government, Ireland</w:t>
      </w:r>
      <w:r w:rsidRPr="006220EA">
        <w:rPr>
          <w:sz w:val="22"/>
          <w:szCs w:val="22"/>
        </w:rPr>
        <w:tab/>
      </w:r>
    </w:p>
    <w:p w14:paraId="7397C546" w14:textId="77777777" w:rsidR="00B71384" w:rsidRPr="006220EA" w:rsidRDefault="00B71384" w:rsidP="006F4BF5">
      <w:pPr>
        <w:rPr>
          <w:sz w:val="22"/>
          <w:szCs w:val="22"/>
          <w:lang w:val="fr-CA"/>
        </w:rPr>
      </w:pPr>
      <w:r w:rsidRPr="006220EA">
        <w:rPr>
          <w:sz w:val="22"/>
          <w:szCs w:val="22"/>
          <w:lang w:val="fr-CA"/>
        </w:rPr>
        <w:t>E-mail: oliver.ocadhla@housing.gov.ie</w:t>
      </w:r>
    </w:p>
    <w:p w14:paraId="2077F71B" w14:textId="77777777" w:rsidR="00B71384" w:rsidRPr="006220EA" w:rsidRDefault="00B71384" w:rsidP="006F4BF5">
      <w:pPr>
        <w:rPr>
          <w:sz w:val="22"/>
          <w:szCs w:val="22"/>
          <w:lang w:val="fr-CA"/>
        </w:rPr>
      </w:pPr>
    </w:p>
    <w:p w14:paraId="354F9735"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David Lyons</w:t>
      </w:r>
      <w:r w:rsidRPr="006220EA">
        <w:rPr>
          <w:szCs w:val="22"/>
        </w:rPr>
        <w:tab/>
      </w:r>
    </w:p>
    <w:p w14:paraId="4968A245" w14:textId="77777777" w:rsidR="00B71384" w:rsidRPr="006220EA" w:rsidRDefault="00B71384" w:rsidP="006F4BF5">
      <w:pPr>
        <w:rPr>
          <w:sz w:val="22"/>
          <w:szCs w:val="22"/>
        </w:rPr>
      </w:pPr>
      <w:r w:rsidRPr="006220EA">
        <w:rPr>
          <w:sz w:val="22"/>
          <w:szCs w:val="22"/>
        </w:rPr>
        <w:t>National Parks &amp; Wildlife Service</w:t>
      </w:r>
    </w:p>
    <w:p w14:paraId="4E261EFC" w14:textId="77777777" w:rsidR="00B71384" w:rsidRPr="006220EA" w:rsidRDefault="00B71384" w:rsidP="006F4BF5">
      <w:pPr>
        <w:rPr>
          <w:sz w:val="22"/>
          <w:szCs w:val="22"/>
        </w:rPr>
      </w:pPr>
      <w:r w:rsidRPr="006220EA">
        <w:rPr>
          <w:sz w:val="22"/>
          <w:szCs w:val="22"/>
        </w:rPr>
        <w:t>Department of Culture, Heritage and the Gaeltacht</w:t>
      </w:r>
      <w:r w:rsidRPr="006220EA">
        <w:rPr>
          <w:sz w:val="22"/>
          <w:szCs w:val="22"/>
        </w:rPr>
        <w:tab/>
      </w:r>
    </w:p>
    <w:p w14:paraId="277F954C" w14:textId="77777777" w:rsidR="00B71384" w:rsidRPr="006220EA" w:rsidRDefault="00B71384" w:rsidP="006F4BF5">
      <w:pPr>
        <w:rPr>
          <w:sz w:val="22"/>
          <w:szCs w:val="22"/>
        </w:rPr>
      </w:pPr>
      <w:r w:rsidRPr="006220EA">
        <w:rPr>
          <w:sz w:val="22"/>
          <w:szCs w:val="22"/>
        </w:rPr>
        <w:t>Galway, Ireland</w:t>
      </w:r>
    </w:p>
    <w:p w14:paraId="430A8058" w14:textId="3B4903DD" w:rsidR="00F00939" w:rsidRPr="006220EA" w:rsidRDefault="00B71384" w:rsidP="006F4BF5">
      <w:pPr>
        <w:rPr>
          <w:sz w:val="22"/>
          <w:szCs w:val="22"/>
        </w:rPr>
      </w:pPr>
      <w:r w:rsidRPr="006220EA">
        <w:rPr>
          <w:sz w:val="22"/>
          <w:szCs w:val="22"/>
        </w:rPr>
        <w:t xml:space="preserve">E-mail: </w:t>
      </w:r>
      <w:hyperlink r:id="rId21" w:history="1">
        <w:r w:rsidR="00F00939" w:rsidRPr="006220EA">
          <w:rPr>
            <w:rStyle w:val="Hyperlink"/>
            <w:sz w:val="22"/>
            <w:szCs w:val="22"/>
          </w:rPr>
          <w:t>David.Lyons@CHG.GOV.IE</w:t>
        </w:r>
      </w:hyperlink>
    </w:p>
    <w:p w14:paraId="7B261A6F" w14:textId="77777777" w:rsidR="00F00939" w:rsidRPr="006220EA" w:rsidRDefault="00F00939" w:rsidP="006F4BF5">
      <w:pPr>
        <w:rPr>
          <w:sz w:val="22"/>
          <w:szCs w:val="22"/>
        </w:rPr>
      </w:pPr>
    </w:p>
    <w:p w14:paraId="435478B6" w14:textId="04EA7E7F" w:rsidR="00B71384" w:rsidRPr="006220EA" w:rsidRDefault="00B71384" w:rsidP="006F4BF5">
      <w:pPr>
        <w:rPr>
          <w:b/>
          <w:sz w:val="22"/>
          <w:szCs w:val="22"/>
        </w:rPr>
      </w:pPr>
      <w:r w:rsidRPr="006220EA">
        <w:rPr>
          <w:b/>
          <w:sz w:val="22"/>
          <w:szCs w:val="22"/>
        </w:rPr>
        <w:t>Netherlands</w:t>
      </w:r>
      <w:r w:rsidRPr="006220EA">
        <w:rPr>
          <w:b/>
          <w:sz w:val="22"/>
          <w:szCs w:val="22"/>
        </w:rPr>
        <w:tab/>
      </w:r>
    </w:p>
    <w:p w14:paraId="1AA7C24D" w14:textId="77777777" w:rsidR="00B71384" w:rsidRPr="006220EA" w:rsidRDefault="00B71384" w:rsidP="00AB0765">
      <w:pPr>
        <w:pStyle w:val="ListParagraph"/>
        <w:numPr>
          <w:ilvl w:val="0"/>
          <w:numId w:val="9"/>
        </w:numPr>
        <w:ind w:leftChars="0" w:left="426" w:hanging="425"/>
        <w:jc w:val="left"/>
        <w:rPr>
          <w:szCs w:val="22"/>
        </w:rPr>
      </w:pPr>
      <w:r w:rsidRPr="006220EA">
        <w:rPr>
          <w:szCs w:val="22"/>
        </w:rPr>
        <w:t>Mr. Jeroen Vis</w:t>
      </w:r>
    </w:p>
    <w:p w14:paraId="30D5B1D4" w14:textId="77777777" w:rsidR="00B71384" w:rsidRPr="006220EA" w:rsidRDefault="00B71384" w:rsidP="006F4BF5">
      <w:pPr>
        <w:rPr>
          <w:sz w:val="22"/>
          <w:szCs w:val="22"/>
        </w:rPr>
      </w:pPr>
      <w:r w:rsidRPr="006220EA">
        <w:rPr>
          <w:sz w:val="22"/>
          <w:szCs w:val="22"/>
        </w:rPr>
        <w:t>Coordinator</w:t>
      </w:r>
    </w:p>
    <w:p w14:paraId="1113F227" w14:textId="77777777" w:rsidR="00B71384" w:rsidRPr="006220EA" w:rsidRDefault="00B71384" w:rsidP="006F4BF5">
      <w:pPr>
        <w:rPr>
          <w:sz w:val="22"/>
          <w:szCs w:val="22"/>
        </w:rPr>
      </w:pPr>
      <w:r w:rsidRPr="006220EA">
        <w:rPr>
          <w:sz w:val="22"/>
          <w:szCs w:val="22"/>
        </w:rPr>
        <w:t>North Sea and Nature Team Leader—Marine</w:t>
      </w:r>
    </w:p>
    <w:p w14:paraId="453D775E" w14:textId="77777777" w:rsidR="00B71384" w:rsidRPr="006220EA" w:rsidRDefault="00B71384" w:rsidP="006F4BF5">
      <w:pPr>
        <w:rPr>
          <w:sz w:val="22"/>
          <w:szCs w:val="22"/>
        </w:rPr>
      </w:pPr>
      <w:r w:rsidRPr="006220EA">
        <w:rPr>
          <w:sz w:val="22"/>
          <w:szCs w:val="22"/>
        </w:rPr>
        <w:t>Ministry of Agriculture, Nature and Food Quality</w:t>
      </w:r>
    </w:p>
    <w:p w14:paraId="621929A3" w14:textId="77777777" w:rsidR="00B71384" w:rsidRPr="006220EA" w:rsidRDefault="00B71384" w:rsidP="006F4BF5">
      <w:pPr>
        <w:rPr>
          <w:sz w:val="22"/>
          <w:szCs w:val="22"/>
        </w:rPr>
      </w:pPr>
      <w:r w:rsidRPr="006220EA">
        <w:rPr>
          <w:sz w:val="22"/>
          <w:szCs w:val="22"/>
        </w:rPr>
        <w:t>The Hague, Netherlands</w:t>
      </w:r>
    </w:p>
    <w:p w14:paraId="7A5F3FE8" w14:textId="77777777" w:rsidR="00B71384" w:rsidRPr="006220EA" w:rsidRDefault="00B71384" w:rsidP="006F4BF5">
      <w:pPr>
        <w:rPr>
          <w:sz w:val="22"/>
          <w:szCs w:val="22"/>
          <w:highlight w:val="yellow"/>
        </w:rPr>
      </w:pPr>
      <w:r w:rsidRPr="006220EA">
        <w:rPr>
          <w:sz w:val="22"/>
          <w:szCs w:val="22"/>
        </w:rPr>
        <w:t>E-mail: g.a.j.vis@minlnv.nl</w:t>
      </w:r>
      <w:r w:rsidRPr="006220EA">
        <w:rPr>
          <w:sz w:val="22"/>
          <w:szCs w:val="22"/>
          <w:highlight w:val="yellow"/>
        </w:rPr>
        <w:t xml:space="preserve"> </w:t>
      </w:r>
    </w:p>
    <w:p w14:paraId="3323A47D" w14:textId="77777777" w:rsidR="00B71384" w:rsidRPr="006220EA" w:rsidRDefault="00B71384" w:rsidP="006F4BF5">
      <w:pPr>
        <w:rPr>
          <w:sz w:val="22"/>
          <w:szCs w:val="22"/>
          <w:highlight w:val="yellow"/>
        </w:rPr>
      </w:pPr>
    </w:p>
    <w:p w14:paraId="796A16F7" w14:textId="77777777" w:rsidR="00B71384" w:rsidRPr="006220EA" w:rsidRDefault="00B71384" w:rsidP="006F4BF5">
      <w:pPr>
        <w:rPr>
          <w:b/>
          <w:sz w:val="22"/>
          <w:szCs w:val="22"/>
        </w:rPr>
      </w:pPr>
      <w:r w:rsidRPr="006220EA">
        <w:rPr>
          <w:b/>
          <w:sz w:val="22"/>
          <w:szCs w:val="22"/>
        </w:rPr>
        <w:t>Norway</w:t>
      </w:r>
      <w:r w:rsidRPr="006220EA">
        <w:rPr>
          <w:b/>
          <w:sz w:val="22"/>
          <w:szCs w:val="22"/>
        </w:rPr>
        <w:tab/>
      </w:r>
    </w:p>
    <w:p w14:paraId="75FFED79"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Ms. Cecilie Von Quillfeldt</w:t>
      </w:r>
      <w:r w:rsidRPr="006220EA">
        <w:rPr>
          <w:szCs w:val="22"/>
        </w:rPr>
        <w:tab/>
      </w:r>
    </w:p>
    <w:p w14:paraId="764642F3" w14:textId="77777777" w:rsidR="00B71384" w:rsidRPr="006220EA" w:rsidRDefault="00B71384" w:rsidP="006F4BF5">
      <w:pPr>
        <w:rPr>
          <w:sz w:val="22"/>
          <w:szCs w:val="22"/>
        </w:rPr>
      </w:pPr>
      <w:r w:rsidRPr="006220EA">
        <w:rPr>
          <w:sz w:val="22"/>
          <w:szCs w:val="22"/>
        </w:rPr>
        <w:t>Norwegian Polar Institute</w:t>
      </w:r>
    </w:p>
    <w:p w14:paraId="00835832" w14:textId="77777777" w:rsidR="00B71384" w:rsidRPr="006220EA" w:rsidRDefault="00B71384" w:rsidP="006F4BF5">
      <w:pPr>
        <w:rPr>
          <w:sz w:val="22"/>
          <w:szCs w:val="22"/>
        </w:rPr>
      </w:pPr>
      <w:r w:rsidRPr="006220EA">
        <w:rPr>
          <w:sz w:val="22"/>
          <w:szCs w:val="22"/>
        </w:rPr>
        <w:t>Tromsø, Norway</w:t>
      </w:r>
      <w:r w:rsidRPr="006220EA">
        <w:rPr>
          <w:sz w:val="22"/>
          <w:szCs w:val="22"/>
        </w:rPr>
        <w:tab/>
      </w:r>
    </w:p>
    <w:p w14:paraId="49DB29A4" w14:textId="77777777" w:rsidR="00B71384" w:rsidRPr="006220EA" w:rsidRDefault="00B71384" w:rsidP="006F4BF5">
      <w:pPr>
        <w:rPr>
          <w:sz w:val="22"/>
          <w:szCs w:val="22"/>
          <w:lang w:val="fr-CA"/>
        </w:rPr>
      </w:pPr>
      <w:r w:rsidRPr="006220EA">
        <w:rPr>
          <w:sz w:val="22"/>
          <w:szCs w:val="22"/>
          <w:lang w:val="fr-CA"/>
        </w:rPr>
        <w:t>E-mail: cecilie.quillfeldt@npolar.no</w:t>
      </w:r>
    </w:p>
    <w:p w14:paraId="77D94A40" w14:textId="77777777" w:rsidR="00B71384" w:rsidRPr="006220EA" w:rsidRDefault="00B71384" w:rsidP="006F4BF5">
      <w:pPr>
        <w:rPr>
          <w:sz w:val="22"/>
          <w:szCs w:val="22"/>
          <w:lang w:val="fr-CA"/>
        </w:rPr>
      </w:pPr>
    </w:p>
    <w:p w14:paraId="66025E1A"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Åge Høines</w:t>
      </w:r>
      <w:r w:rsidRPr="006220EA">
        <w:rPr>
          <w:szCs w:val="22"/>
        </w:rPr>
        <w:tab/>
      </w:r>
    </w:p>
    <w:p w14:paraId="03E0F82C" w14:textId="77777777" w:rsidR="00B71384" w:rsidRPr="006220EA" w:rsidRDefault="00B71384" w:rsidP="006F4BF5">
      <w:pPr>
        <w:rPr>
          <w:sz w:val="22"/>
          <w:szCs w:val="22"/>
        </w:rPr>
      </w:pPr>
      <w:r w:rsidRPr="006220EA">
        <w:rPr>
          <w:sz w:val="22"/>
          <w:szCs w:val="22"/>
        </w:rPr>
        <w:t>Scientist</w:t>
      </w:r>
    </w:p>
    <w:p w14:paraId="689D5299" w14:textId="77777777" w:rsidR="00B71384" w:rsidRPr="006220EA" w:rsidRDefault="00B71384" w:rsidP="006F4BF5">
      <w:pPr>
        <w:rPr>
          <w:sz w:val="22"/>
          <w:szCs w:val="22"/>
        </w:rPr>
      </w:pPr>
      <w:r w:rsidRPr="006220EA">
        <w:rPr>
          <w:sz w:val="22"/>
          <w:szCs w:val="22"/>
        </w:rPr>
        <w:t xml:space="preserve">Institute of Marine Research </w:t>
      </w:r>
      <w:r w:rsidRPr="006220EA">
        <w:rPr>
          <w:sz w:val="22"/>
          <w:szCs w:val="22"/>
        </w:rPr>
        <w:tab/>
      </w:r>
    </w:p>
    <w:p w14:paraId="7676B4A2" w14:textId="77777777" w:rsidR="00B71384" w:rsidRPr="006220EA" w:rsidRDefault="00B71384" w:rsidP="006F4BF5">
      <w:pPr>
        <w:rPr>
          <w:sz w:val="22"/>
          <w:szCs w:val="22"/>
        </w:rPr>
      </w:pPr>
      <w:r w:rsidRPr="006220EA">
        <w:rPr>
          <w:sz w:val="22"/>
          <w:szCs w:val="22"/>
        </w:rPr>
        <w:t>Bergen, Norway</w:t>
      </w:r>
    </w:p>
    <w:p w14:paraId="42FCB120" w14:textId="0173BD44" w:rsidR="00B71384" w:rsidRPr="006220EA" w:rsidRDefault="00B71384" w:rsidP="006F4BF5">
      <w:pPr>
        <w:rPr>
          <w:sz w:val="22"/>
          <w:szCs w:val="22"/>
        </w:rPr>
      </w:pPr>
      <w:r w:rsidRPr="006220EA">
        <w:rPr>
          <w:sz w:val="22"/>
          <w:szCs w:val="22"/>
        </w:rPr>
        <w:t xml:space="preserve">E-mail: </w:t>
      </w:r>
      <w:r w:rsidRPr="006220EA">
        <w:rPr>
          <w:sz w:val="22"/>
          <w:szCs w:val="22"/>
        </w:rPr>
        <w:tab/>
      </w:r>
      <w:hyperlink r:id="rId22" w:history="1">
        <w:r w:rsidR="00F00939" w:rsidRPr="006220EA">
          <w:rPr>
            <w:rStyle w:val="Hyperlink"/>
            <w:sz w:val="22"/>
            <w:szCs w:val="22"/>
          </w:rPr>
          <w:t>aageh@hi.no</w:t>
        </w:r>
      </w:hyperlink>
    </w:p>
    <w:p w14:paraId="7323DF48" w14:textId="77777777" w:rsidR="00B71384" w:rsidRPr="006220EA" w:rsidRDefault="00B71384" w:rsidP="006F4BF5">
      <w:pPr>
        <w:rPr>
          <w:b/>
          <w:sz w:val="22"/>
          <w:szCs w:val="22"/>
        </w:rPr>
      </w:pPr>
    </w:p>
    <w:p w14:paraId="4239B203" w14:textId="77777777" w:rsidR="00B71384" w:rsidRPr="006220EA" w:rsidRDefault="00B71384" w:rsidP="006F4BF5">
      <w:pPr>
        <w:rPr>
          <w:b/>
          <w:sz w:val="22"/>
          <w:szCs w:val="22"/>
        </w:rPr>
      </w:pPr>
      <w:r w:rsidRPr="006220EA">
        <w:rPr>
          <w:b/>
          <w:sz w:val="22"/>
          <w:szCs w:val="22"/>
        </w:rPr>
        <w:t>Portugal</w:t>
      </w:r>
      <w:r w:rsidRPr="006220EA">
        <w:rPr>
          <w:b/>
          <w:sz w:val="22"/>
          <w:szCs w:val="22"/>
        </w:rPr>
        <w:tab/>
      </w:r>
    </w:p>
    <w:p w14:paraId="3A6EE373"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Ms. Maria Ana Manso Dionísio</w:t>
      </w:r>
      <w:r w:rsidRPr="006220EA">
        <w:rPr>
          <w:szCs w:val="22"/>
        </w:rPr>
        <w:tab/>
      </w:r>
    </w:p>
    <w:p w14:paraId="4B187BC2" w14:textId="77777777" w:rsidR="00B71384" w:rsidRPr="006220EA" w:rsidRDefault="00B71384" w:rsidP="006F4BF5">
      <w:pPr>
        <w:rPr>
          <w:sz w:val="22"/>
          <w:szCs w:val="22"/>
        </w:rPr>
      </w:pPr>
      <w:r w:rsidRPr="006220EA">
        <w:rPr>
          <w:sz w:val="22"/>
          <w:szCs w:val="22"/>
        </w:rPr>
        <w:t>Head Scientist</w:t>
      </w:r>
    </w:p>
    <w:p w14:paraId="0550982C" w14:textId="77777777" w:rsidR="00B71384" w:rsidRPr="006220EA" w:rsidRDefault="00B71384" w:rsidP="006F4BF5">
      <w:pPr>
        <w:rPr>
          <w:sz w:val="22"/>
          <w:szCs w:val="22"/>
        </w:rPr>
      </w:pPr>
      <w:r w:rsidRPr="006220EA">
        <w:rPr>
          <w:sz w:val="22"/>
          <w:szCs w:val="22"/>
        </w:rPr>
        <w:t>Portugal EBSA process,</w:t>
      </w:r>
    </w:p>
    <w:p w14:paraId="7FEA8987" w14:textId="77777777" w:rsidR="00B71384" w:rsidRPr="006220EA" w:rsidRDefault="00B71384" w:rsidP="006F4BF5">
      <w:pPr>
        <w:rPr>
          <w:sz w:val="22"/>
          <w:szCs w:val="22"/>
        </w:rPr>
      </w:pPr>
      <w:r w:rsidRPr="006220EA">
        <w:rPr>
          <w:sz w:val="22"/>
          <w:szCs w:val="22"/>
        </w:rPr>
        <w:t>Institute for Nature Conservation and Forests</w:t>
      </w:r>
    </w:p>
    <w:p w14:paraId="63AAED10" w14:textId="77777777" w:rsidR="00B71384" w:rsidRPr="006220EA" w:rsidRDefault="00B71384" w:rsidP="006F4BF5">
      <w:pPr>
        <w:rPr>
          <w:sz w:val="22"/>
          <w:szCs w:val="22"/>
          <w:lang w:val="fr-CA"/>
        </w:rPr>
      </w:pPr>
      <w:r w:rsidRPr="006220EA">
        <w:rPr>
          <w:sz w:val="22"/>
          <w:szCs w:val="22"/>
          <w:lang w:val="fr-CA"/>
        </w:rPr>
        <w:t>Lisbon, Portugal</w:t>
      </w:r>
      <w:r w:rsidRPr="006220EA">
        <w:rPr>
          <w:sz w:val="22"/>
          <w:szCs w:val="22"/>
          <w:lang w:val="fr-CA"/>
        </w:rPr>
        <w:tab/>
      </w:r>
    </w:p>
    <w:p w14:paraId="2F5563BE" w14:textId="77777777" w:rsidR="00B71384" w:rsidRPr="006220EA" w:rsidRDefault="00B71384" w:rsidP="006F4BF5">
      <w:pPr>
        <w:rPr>
          <w:sz w:val="22"/>
          <w:szCs w:val="22"/>
          <w:lang w:val="fr-CA"/>
        </w:rPr>
      </w:pPr>
      <w:r w:rsidRPr="006220EA">
        <w:rPr>
          <w:sz w:val="22"/>
          <w:szCs w:val="22"/>
          <w:lang w:val="fr-CA"/>
        </w:rPr>
        <w:t>E-mail: anamdionisio@gmail.com</w:t>
      </w:r>
    </w:p>
    <w:p w14:paraId="79E03D32" w14:textId="77777777" w:rsidR="00B71384" w:rsidRPr="006220EA" w:rsidRDefault="00B71384" w:rsidP="006F4BF5">
      <w:pPr>
        <w:rPr>
          <w:b/>
          <w:sz w:val="22"/>
          <w:szCs w:val="22"/>
          <w:lang w:val="fr-CA"/>
        </w:rPr>
      </w:pPr>
      <w:r w:rsidRPr="006220EA">
        <w:rPr>
          <w:b/>
          <w:sz w:val="22"/>
          <w:szCs w:val="22"/>
          <w:lang w:val="fr-CA"/>
        </w:rPr>
        <w:tab/>
      </w:r>
    </w:p>
    <w:p w14:paraId="2A98AAD1"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Ms. Maria Ana Almeida Colaço</w:t>
      </w:r>
      <w:r w:rsidRPr="006220EA">
        <w:rPr>
          <w:szCs w:val="22"/>
        </w:rPr>
        <w:tab/>
      </w:r>
    </w:p>
    <w:p w14:paraId="3DDDCCF2" w14:textId="77777777" w:rsidR="00B71384" w:rsidRPr="006220EA" w:rsidRDefault="00B71384" w:rsidP="006F4BF5">
      <w:pPr>
        <w:rPr>
          <w:sz w:val="22"/>
          <w:szCs w:val="22"/>
        </w:rPr>
      </w:pPr>
      <w:r w:rsidRPr="006220EA">
        <w:rPr>
          <w:sz w:val="22"/>
          <w:szCs w:val="22"/>
        </w:rPr>
        <w:t>Marine Environmental Research Center- MARE/Instituto do Mar-IMAR</w:t>
      </w:r>
    </w:p>
    <w:p w14:paraId="010C4286" w14:textId="77777777" w:rsidR="00B71384" w:rsidRPr="006220EA" w:rsidRDefault="00B71384" w:rsidP="006F4BF5">
      <w:pPr>
        <w:rPr>
          <w:sz w:val="22"/>
          <w:szCs w:val="22"/>
          <w:lang w:val="fr-CA"/>
        </w:rPr>
      </w:pPr>
      <w:r w:rsidRPr="006220EA">
        <w:rPr>
          <w:sz w:val="22"/>
          <w:szCs w:val="22"/>
          <w:lang w:val="fr-CA"/>
        </w:rPr>
        <w:t xml:space="preserve">Departamento de Oceanografia e Pescas </w:t>
      </w:r>
    </w:p>
    <w:p w14:paraId="4E60C3A7" w14:textId="77777777" w:rsidR="00B71384" w:rsidRPr="006220EA" w:rsidRDefault="00B71384" w:rsidP="006F4BF5">
      <w:pPr>
        <w:rPr>
          <w:sz w:val="22"/>
          <w:szCs w:val="22"/>
          <w:lang w:val="fr-CA"/>
        </w:rPr>
      </w:pPr>
      <w:r w:rsidRPr="006220EA">
        <w:rPr>
          <w:sz w:val="22"/>
          <w:szCs w:val="22"/>
          <w:lang w:val="fr-CA"/>
        </w:rPr>
        <w:t>Universidade dos Açores</w:t>
      </w:r>
    </w:p>
    <w:p w14:paraId="713EC79D" w14:textId="77777777" w:rsidR="00B71384" w:rsidRPr="006220EA" w:rsidRDefault="00B71384" w:rsidP="006F4BF5">
      <w:pPr>
        <w:rPr>
          <w:sz w:val="22"/>
          <w:szCs w:val="22"/>
          <w:lang w:val="fr-CA"/>
        </w:rPr>
      </w:pPr>
      <w:r w:rsidRPr="006220EA">
        <w:rPr>
          <w:sz w:val="22"/>
          <w:szCs w:val="22"/>
          <w:lang w:val="fr-CA"/>
        </w:rPr>
        <w:t>Horta, Portugal</w:t>
      </w:r>
      <w:r w:rsidRPr="006220EA">
        <w:rPr>
          <w:sz w:val="22"/>
          <w:szCs w:val="22"/>
          <w:lang w:val="fr-CA"/>
        </w:rPr>
        <w:tab/>
      </w:r>
    </w:p>
    <w:p w14:paraId="107CD790" w14:textId="77777777" w:rsidR="00B71384" w:rsidRPr="006220EA" w:rsidRDefault="00B71384" w:rsidP="006F4BF5">
      <w:pPr>
        <w:rPr>
          <w:sz w:val="22"/>
          <w:szCs w:val="22"/>
          <w:lang w:val="fr-CA"/>
        </w:rPr>
      </w:pPr>
      <w:r w:rsidRPr="006220EA">
        <w:rPr>
          <w:sz w:val="22"/>
          <w:szCs w:val="22"/>
          <w:lang w:val="fr-CA"/>
        </w:rPr>
        <w:t>E-mail: maria.aa.colaco@uac.pt</w:t>
      </w:r>
    </w:p>
    <w:p w14:paraId="206656CD" w14:textId="77777777" w:rsidR="00B71384" w:rsidRPr="006220EA" w:rsidRDefault="00B71384" w:rsidP="006F4BF5">
      <w:pPr>
        <w:rPr>
          <w:b/>
          <w:sz w:val="22"/>
          <w:szCs w:val="22"/>
          <w:lang w:val="fr-CA"/>
        </w:rPr>
      </w:pPr>
    </w:p>
    <w:p w14:paraId="111CC5C0" w14:textId="77777777" w:rsidR="00B71384" w:rsidRPr="006220EA" w:rsidRDefault="00B71384" w:rsidP="006F4BF5">
      <w:pPr>
        <w:rPr>
          <w:sz w:val="22"/>
          <w:szCs w:val="22"/>
        </w:rPr>
      </w:pPr>
      <w:r w:rsidRPr="006220EA">
        <w:rPr>
          <w:b/>
          <w:sz w:val="22"/>
          <w:szCs w:val="22"/>
        </w:rPr>
        <w:t>Russian Federation</w:t>
      </w:r>
      <w:r w:rsidRPr="006220EA">
        <w:rPr>
          <w:sz w:val="22"/>
          <w:szCs w:val="22"/>
        </w:rPr>
        <w:tab/>
      </w:r>
    </w:p>
    <w:p w14:paraId="17DB10F9"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Ms. Tina N. Molodtsova</w:t>
      </w:r>
    </w:p>
    <w:p w14:paraId="4A26D91A" w14:textId="77777777" w:rsidR="00B71384" w:rsidRPr="006220EA" w:rsidRDefault="00B71384" w:rsidP="006F4BF5">
      <w:pPr>
        <w:rPr>
          <w:sz w:val="22"/>
          <w:szCs w:val="22"/>
        </w:rPr>
      </w:pPr>
      <w:r w:rsidRPr="006220EA">
        <w:rPr>
          <w:sz w:val="22"/>
          <w:szCs w:val="22"/>
        </w:rPr>
        <w:t>Senior Scientist</w:t>
      </w:r>
    </w:p>
    <w:p w14:paraId="4F63A092" w14:textId="77777777" w:rsidR="00B71384" w:rsidRPr="006220EA" w:rsidRDefault="00B71384" w:rsidP="006F4BF5">
      <w:pPr>
        <w:rPr>
          <w:sz w:val="22"/>
          <w:szCs w:val="22"/>
        </w:rPr>
      </w:pPr>
      <w:r w:rsidRPr="006220EA">
        <w:rPr>
          <w:sz w:val="22"/>
          <w:szCs w:val="22"/>
        </w:rPr>
        <w:t>P.P. Shirshov Institute of Oceanology RAS</w:t>
      </w:r>
    </w:p>
    <w:p w14:paraId="3C13F0FC" w14:textId="77777777" w:rsidR="00B71384" w:rsidRPr="006220EA" w:rsidRDefault="00B71384" w:rsidP="006F4BF5">
      <w:pPr>
        <w:rPr>
          <w:sz w:val="22"/>
          <w:szCs w:val="22"/>
        </w:rPr>
      </w:pPr>
      <w:r w:rsidRPr="006220EA">
        <w:rPr>
          <w:sz w:val="22"/>
          <w:szCs w:val="22"/>
        </w:rPr>
        <w:t>Moscow Russia</w:t>
      </w:r>
    </w:p>
    <w:p w14:paraId="6410B542" w14:textId="77777777" w:rsidR="00B71384" w:rsidRPr="006220EA" w:rsidRDefault="00B71384" w:rsidP="006F4BF5">
      <w:pPr>
        <w:rPr>
          <w:sz w:val="22"/>
          <w:szCs w:val="22"/>
        </w:rPr>
      </w:pPr>
      <w:r w:rsidRPr="006220EA">
        <w:rPr>
          <w:sz w:val="22"/>
          <w:szCs w:val="22"/>
        </w:rPr>
        <w:t>E-mail: tina@ocean.ru</w:t>
      </w:r>
    </w:p>
    <w:p w14:paraId="70068A47" w14:textId="77777777" w:rsidR="00B71384" w:rsidRPr="006220EA" w:rsidRDefault="00B71384" w:rsidP="006F4BF5">
      <w:pPr>
        <w:rPr>
          <w:b/>
          <w:sz w:val="22"/>
          <w:szCs w:val="22"/>
        </w:rPr>
      </w:pPr>
    </w:p>
    <w:p w14:paraId="45F3B5D0" w14:textId="77777777" w:rsidR="00B71384" w:rsidRPr="006220EA" w:rsidRDefault="00B71384" w:rsidP="006F4BF5">
      <w:pPr>
        <w:rPr>
          <w:b/>
          <w:sz w:val="22"/>
          <w:szCs w:val="22"/>
        </w:rPr>
      </w:pPr>
      <w:r w:rsidRPr="006220EA">
        <w:rPr>
          <w:b/>
          <w:sz w:val="22"/>
          <w:szCs w:val="22"/>
        </w:rPr>
        <w:t>Spain</w:t>
      </w:r>
      <w:r w:rsidRPr="006220EA">
        <w:rPr>
          <w:b/>
          <w:sz w:val="22"/>
          <w:szCs w:val="22"/>
        </w:rPr>
        <w:tab/>
      </w:r>
    </w:p>
    <w:p w14:paraId="3192B552" w14:textId="77777777" w:rsidR="00B71384" w:rsidRPr="006220EA" w:rsidRDefault="00B71384" w:rsidP="00AB0765">
      <w:pPr>
        <w:pStyle w:val="ListParagraph"/>
        <w:numPr>
          <w:ilvl w:val="0"/>
          <w:numId w:val="9"/>
        </w:numPr>
        <w:ind w:leftChars="0" w:left="426" w:hanging="426"/>
        <w:jc w:val="left"/>
        <w:rPr>
          <w:szCs w:val="22"/>
          <w:lang w:val="fr-CA"/>
        </w:rPr>
      </w:pPr>
      <w:r w:rsidRPr="006220EA">
        <w:rPr>
          <w:szCs w:val="22"/>
          <w:lang w:val="fr-CA"/>
        </w:rPr>
        <w:t>Ms. Ana de la Torriente</w:t>
      </w:r>
      <w:r w:rsidRPr="006220EA">
        <w:rPr>
          <w:szCs w:val="22"/>
          <w:lang w:val="fr-CA"/>
        </w:rPr>
        <w:tab/>
      </w:r>
    </w:p>
    <w:p w14:paraId="6442CC93" w14:textId="77777777" w:rsidR="00B71384" w:rsidRPr="006220EA" w:rsidRDefault="00B71384" w:rsidP="006F4BF5">
      <w:pPr>
        <w:rPr>
          <w:sz w:val="22"/>
          <w:szCs w:val="22"/>
        </w:rPr>
      </w:pPr>
      <w:r w:rsidRPr="006220EA">
        <w:rPr>
          <w:sz w:val="22"/>
          <w:szCs w:val="22"/>
        </w:rPr>
        <w:t>Researcher</w:t>
      </w:r>
    </w:p>
    <w:p w14:paraId="71AF0FAC" w14:textId="77777777" w:rsidR="00B71384" w:rsidRPr="006220EA" w:rsidRDefault="00B71384" w:rsidP="006F4BF5">
      <w:pPr>
        <w:rPr>
          <w:sz w:val="22"/>
          <w:szCs w:val="22"/>
        </w:rPr>
      </w:pPr>
      <w:r w:rsidRPr="006220EA">
        <w:rPr>
          <w:sz w:val="22"/>
          <w:szCs w:val="22"/>
        </w:rPr>
        <w:t xml:space="preserve">Spanish Institute of Oceanography </w:t>
      </w:r>
      <w:r w:rsidRPr="006220EA">
        <w:rPr>
          <w:sz w:val="22"/>
          <w:szCs w:val="22"/>
        </w:rPr>
        <w:tab/>
      </w:r>
    </w:p>
    <w:p w14:paraId="63F92561" w14:textId="77777777" w:rsidR="00B71384" w:rsidRPr="006220EA" w:rsidRDefault="00B71384" w:rsidP="006F4BF5">
      <w:pPr>
        <w:rPr>
          <w:sz w:val="22"/>
          <w:szCs w:val="22"/>
        </w:rPr>
      </w:pPr>
      <w:r w:rsidRPr="006220EA">
        <w:rPr>
          <w:sz w:val="22"/>
          <w:szCs w:val="22"/>
        </w:rPr>
        <w:t>Cantabria, Spain</w:t>
      </w:r>
      <w:r w:rsidRPr="006220EA">
        <w:rPr>
          <w:sz w:val="22"/>
          <w:szCs w:val="22"/>
        </w:rPr>
        <w:tab/>
      </w:r>
    </w:p>
    <w:p w14:paraId="681BE9A8" w14:textId="77777777" w:rsidR="00B71384" w:rsidRPr="006220EA" w:rsidRDefault="00B71384" w:rsidP="006F4BF5">
      <w:pPr>
        <w:rPr>
          <w:sz w:val="22"/>
          <w:szCs w:val="22"/>
        </w:rPr>
      </w:pPr>
      <w:r w:rsidRPr="006220EA">
        <w:rPr>
          <w:sz w:val="22"/>
          <w:szCs w:val="22"/>
        </w:rPr>
        <w:t>E-mail: ana.torriente@ieo.es</w:t>
      </w:r>
    </w:p>
    <w:p w14:paraId="11DFAFB2" w14:textId="77777777" w:rsidR="00B71384" w:rsidRPr="006220EA" w:rsidRDefault="00B71384" w:rsidP="006F4BF5">
      <w:pPr>
        <w:rPr>
          <w:b/>
          <w:sz w:val="22"/>
          <w:szCs w:val="22"/>
        </w:rPr>
      </w:pPr>
    </w:p>
    <w:p w14:paraId="4D63F516" w14:textId="77777777" w:rsidR="00B71384" w:rsidRPr="006220EA" w:rsidRDefault="00B71384" w:rsidP="006F4BF5">
      <w:pPr>
        <w:rPr>
          <w:b/>
          <w:sz w:val="22"/>
          <w:szCs w:val="22"/>
        </w:rPr>
      </w:pPr>
      <w:r w:rsidRPr="006220EA">
        <w:rPr>
          <w:b/>
          <w:sz w:val="22"/>
          <w:szCs w:val="22"/>
        </w:rPr>
        <w:t>Sweden</w:t>
      </w:r>
      <w:r w:rsidRPr="006220EA">
        <w:rPr>
          <w:b/>
          <w:sz w:val="22"/>
          <w:szCs w:val="22"/>
        </w:rPr>
        <w:tab/>
      </w:r>
    </w:p>
    <w:p w14:paraId="0EBE3A64"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 xml:space="preserve">Ms. Pia Norling </w:t>
      </w:r>
    </w:p>
    <w:p w14:paraId="32D2C94C" w14:textId="77777777" w:rsidR="00B71384" w:rsidRPr="006220EA" w:rsidRDefault="00B71384" w:rsidP="006F4BF5">
      <w:pPr>
        <w:rPr>
          <w:sz w:val="22"/>
          <w:szCs w:val="22"/>
        </w:rPr>
      </w:pPr>
      <w:r w:rsidRPr="006220EA">
        <w:rPr>
          <w:sz w:val="22"/>
          <w:szCs w:val="22"/>
        </w:rPr>
        <w:t>Senior analyst/adviser</w:t>
      </w:r>
    </w:p>
    <w:p w14:paraId="5B814093" w14:textId="42BA1BD2" w:rsidR="00B71384" w:rsidRPr="006220EA" w:rsidRDefault="00B71384" w:rsidP="006F4BF5">
      <w:pPr>
        <w:rPr>
          <w:sz w:val="22"/>
          <w:szCs w:val="22"/>
        </w:rPr>
      </w:pPr>
      <w:r w:rsidRPr="006220EA">
        <w:rPr>
          <w:sz w:val="22"/>
          <w:szCs w:val="22"/>
        </w:rPr>
        <w:t xml:space="preserve">Swedish Agency for Marine and Water Management </w:t>
      </w:r>
    </w:p>
    <w:p w14:paraId="08972AB0" w14:textId="77777777" w:rsidR="00B71384" w:rsidRPr="006220EA" w:rsidRDefault="00B71384" w:rsidP="006F4BF5">
      <w:pPr>
        <w:rPr>
          <w:sz w:val="22"/>
          <w:szCs w:val="22"/>
        </w:rPr>
      </w:pPr>
      <w:r w:rsidRPr="006220EA">
        <w:rPr>
          <w:sz w:val="22"/>
          <w:szCs w:val="22"/>
        </w:rPr>
        <w:t>Gothenburg, Sweden</w:t>
      </w:r>
    </w:p>
    <w:p w14:paraId="2A4D48E7" w14:textId="77777777" w:rsidR="00B71384" w:rsidRPr="006220EA" w:rsidRDefault="00B71384" w:rsidP="006F4BF5">
      <w:pPr>
        <w:rPr>
          <w:sz w:val="22"/>
          <w:szCs w:val="22"/>
        </w:rPr>
      </w:pPr>
      <w:r w:rsidRPr="006220EA">
        <w:rPr>
          <w:sz w:val="22"/>
          <w:szCs w:val="22"/>
        </w:rPr>
        <w:t>E-mail: pia.norling@havochvatten.se</w:t>
      </w:r>
    </w:p>
    <w:p w14:paraId="71F28AC6" w14:textId="77777777" w:rsidR="00B71384" w:rsidRPr="006220EA" w:rsidRDefault="00B71384" w:rsidP="006F4BF5">
      <w:pPr>
        <w:rPr>
          <w:b/>
          <w:sz w:val="22"/>
          <w:szCs w:val="22"/>
        </w:rPr>
      </w:pPr>
    </w:p>
    <w:p w14:paraId="00C2CB5D"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Staffan Danielsson</w:t>
      </w:r>
      <w:r w:rsidRPr="006220EA">
        <w:rPr>
          <w:szCs w:val="22"/>
        </w:rPr>
        <w:tab/>
      </w:r>
    </w:p>
    <w:p w14:paraId="4C0064F5" w14:textId="77777777" w:rsidR="00B71384" w:rsidRPr="006220EA" w:rsidRDefault="00B71384" w:rsidP="006F4BF5">
      <w:pPr>
        <w:rPr>
          <w:sz w:val="22"/>
          <w:szCs w:val="22"/>
        </w:rPr>
      </w:pPr>
      <w:r w:rsidRPr="006220EA">
        <w:rPr>
          <w:sz w:val="22"/>
          <w:szCs w:val="22"/>
        </w:rPr>
        <w:t>Head of Section</w:t>
      </w:r>
    </w:p>
    <w:p w14:paraId="462DF15B" w14:textId="77777777" w:rsidR="00B71384" w:rsidRPr="006220EA" w:rsidRDefault="00B71384" w:rsidP="006F4BF5">
      <w:pPr>
        <w:rPr>
          <w:sz w:val="22"/>
          <w:szCs w:val="22"/>
        </w:rPr>
      </w:pPr>
      <w:r w:rsidRPr="006220EA">
        <w:rPr>
          <w:sz w:val="22"/>
          <w:szCs w:val="22"/>
        </w:rPr>
        <w:t>Natural Environment division</w:t>
      </w:r>
    </w:p>
    <w:p w14:paraId="6B911A01" w14:textId="77777777" w:rsidR="00B71384" w:rsidRPr="006220EA" w:rsidRDefault="00B71384" w:rsidP="006F4BF5">
      <w:pPr>
        <w:rPr>
          <w:sz w:val="22"/>
          <w:szCs w:val="22"/>
        </w:rPr>
      </w:pPr>
      <w:r w:rsidRPr="006220EA">
        <w:rPr>
          <w:sz w:val="22"/>
          <w:szCs w:val="22"/>
        </w:rPr>
        <w:t>Ministry of the Environment</w:t>
      </w:r>
    </w:p>
    <w:p w14:paraId="389F926C" w14:textId="77777777" w:rsidR="00B71384" w:rsidRPr="006220EA" w:rsidRDefault="00B71384" w:rsidP="006F4BF5">
      <w:pPr>
        <w:rPr>
          <w:sz w:val="22"/>
          <w:szCs w:val="22"/>
        </w:rPr>
      </w:pPr>
      <w:r w:rsidRPr="006220EA">
        <w:rPr>
          <w:sz w:val="22"/>
          <w:szCs w:val="22"/>
        </w:rPr>
        <w:t>Stockholm, Sweden</w:t>
      </w:r>
    </w:p>
    <w:p w14:paraId="5CC10F07" w14:textId="77777777" w:rsidR="00B71384" w:rsidRPr="006220EA" w:rsidRDefault="00B71384" w:rsidP="006F4BF5">
      <w:pPr>
        <w:rPr>
          <w:sz w:val="22"/>
          <w:szCs w:val="22"/>
          <w:lang w:val="fr-CA"/>
        </w:rPr>
      </w:pPr>
      <w:r w:rsidRPr="006220EA">
        <w:rPr>
          <w:sz w:val="22"/>
          <w:szCs w:val="22"/>
          <w:lang w:val="fr-CA"/>
        </w:rPr>
        <w:t xml:space="preserve">E-mail: </w:t>
      </w:r>
      <w:hyperlink r:id="rId23" w:history="1">
        <w:r w:rsidRPr="006220EA">
          <w:rPr>
            <w:rStyle w:val="Hyperlink"/>
            <w:sz w:val="22"/>
            <w:szCs w:val="22"/>
            <w:lang w:val="fr-CA"/>
          </w:rPr>
          <w:t>staffan.danielsson@regeringskansliet.se</w:t>
        </w:r>
      </w:hyperlink>
    </w:p>
    <w:p w14:paraId="756A588E" w14:textId="77777777" w:rsidR="00B71384" w:rsidRPr="006220EA" w:rsidRDefault="00B71384" w:rsidP="006F4BF5">
      <w:pPr>
        <w:rPr>
          <w:sz w:val="22"/>
          <w:szCs w:val="22"/>
          <w:lang w:val="fr-CA"/>
        </w:rPr>
      </w:pPr>
    </w:p>
    <w:p w14:paraId="0BD437B3"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Mattias Sköld</w:t>
      </w:r>
    </w:p>
    <w:p w14:paraId="67698818" w14:textId="77777777" w:rsidR="00B71384" w:rsidRPr="006220EA" w:rsidRDefault="00B71384" w:rsidP="006F4BF5">
      <w:pPr>
        <w:rPr>
          <w:sz w:val="22"/>
          <w:szCs w:val="22"/>
        </w:rPr>
      </w:pPr>
      <w:r w:rsidRPr="006220EA">
        <w:rPr>
          <w:sz w:val="22"/>
          <w:szCs w:val="22"/>
        </w:rPr>
        <w:t>Senior Scientist</w:t>
      </w:r>
    </w:p>
    <w:p w14:paraId="5696F827" w14:textId="77777777" w:rsidR="00B71384" w:rsidRPr="006220EA" w:rsidRDefault="00B71384" w:rsidP="006F4BF5">
      <w:pPr>
        <w:rPr>
          <w:sz w:val="22"/>
          <w:szCs w:val="22"/>
        </w:rPr>
      </w:pPr>
      <w:r w:rsidRPr="006220EA">
        <w:rPr>
          <w:sz w:val="22"/>
          <w:szCs w:val="22"/>
        </w:rPr>
        <w:t>Institute of Marine Research</w:t>
      </w:r>
    </w:p>
    <w:p w14:paraId="78BADE89" w14:textId="77777777" w:rsidR="00B71384" w:rsidRPr="006220EA" w:rsidRDefault="00B71384" w:rsidP="006F4BF5">
      <w:pPr>
        <w:rPr>
          <w:sz w:val="22"/>
          <w:szCs w:val="22"/>
        </w:rPr>
      </w:pPr>
      <w:r w:rsidRPr="006220EA">
        <w:rPr>
          <w:sz w:val="22"/>
          <w:szCs w:val="22"/>
        </w:rPr>
        <w:t>Department of Aquatic Resources</w:t>
      </w:r>
    </w:p>
    <w:p w14:paraId="33F81CF7" w14:textId="77777777" w:rsidR="00B71384" w:rsidRPr="006220EA" w:rsidRDefault="00B71384" w:rsidP="006F4BF5">
      <w:pPr>
        <w:rPr>
          <w:sz w:val="22"/>
          <w:szCs w:val="22"/>
        </w:rPr>
      </w:pPr>
      <w:r w:rsidRPr="006220EA">
        <w:rPr>
          <w:sz w:val="22"/>
          <w:szCs w:val="22"/>
        </w:rPr>
        <w:t>Swedish University of Agriculture</w:t>
      </w:r>
      <w:r w:rsidRPr="006220EA">
        <w:rPr>
          <w:sz w:val="22"/>
          <w:szCs w:val="22"/>
        </w:rPr>
        <w:tab/>
      </w:r>
    </w:p>
    <w:p w14:paraId="507BF87C" w14:textId="77777777" w:rsidR="00B71384" w:rsidRPr="006220EA" w:rsidRDefault="00B71384" w:rsidP="006F4BF5">
      <w:pPr>
        <w:rPr>
          <w:sz w:val="22"/>
          <w:szCs w:val="22"/>
        </w:rPr>
      </w:pPr>
      <w:r w:rsidRPr="006220EA">
        <w:rPr>
          <w:sz w:val="22"/>
          <w:szCs w:val="22"/>
        </w:rPr>
        <w:t>Fiskebäckskil, Sweden</w:t>
      </w:r>
    </w:p>
    <w:p w14:paraId="3EF89533" w14:textId="77777777" w:rsidR="00B71384" w:rsidRPr="006220EA" w:rsidRDefault="00B71384" w:rsidP="006F4BF5">
      <w:pPr>
        <w:rPr>
          <w:sz w:val="22"/>
          <w:szCs w:val="22"/>
          <w:lang w:val="fr-CA"/>
        </w:rPr>
      </w:pPr>
      <w:r w:rsidRPr="006220EA">
        <w:rPr>
          <w:sz w:val="22"/>
          <w:szCs w:val="22"/>
          <w:lang w:val="fr-CA"/>
        </w:rPr>
        <w:t>E-mail: Mattias.skold@slu.se</w:t>
      </w:r>
    </w:p>
    <w:p w14:paraId="61808B6F" w14:textId="77777777" w:rsidR="00B71384" w:rsidRPr="006220EA" w:rsidRDefault="00B71384" w:rsidP="006F4BF5">
      <w:pPr>
        <w:rPr>
          <w:sz w:val="22"/>
          <w:szCs w:val="22"/>
          <w:lang w:val="fr-CA"/>
        </w:rPr>
      </w:pPr>
    </w:p>
    <w:p w14:paraId="1B720D39" w14:textId="77777777" w:rsidR="00B71384" w:rsidRPr="006220EA" w:rsidRDefault="00B71384" w:rsidP="006F4BF5">
      <w:pPr>
        <w:rPr>
          <w:b/>
          <w:sz w:val="22"/>
          <w:szCs w:val="22"/>
        </w:rPr>
      </w:pPr>
      <w:r w:rsidRPr="006220EA">
        <w:rPr>
          <w:b/>
          <w:sz w:val="22"/>
          <w:szCs w:val="22"/>
        </w:rPr>
        <w:t>United Kingdom of Great Britain and Northern Ireland</w:t>
      </w:r>
      <w:r w:rsidRPr="006220EA">
        <w:rPr>
          <w:b/>
          <w:sz w:val="22"/>
          <w:szCs w:val="22"/>
        </w:rPr>
        <w:tab/>
      </w:r>
    </w:p>
    <w:p w14:paraId="01720CC4"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Ms. Kerry Howell</w:t>
      </w:r>
    </w:p>
    <w:p w14:paraId="0F607281" w14:textId="77777777" w:rsidR="00B71384" w:rsidRPr="006220EA" w:rsidRDefault="00B71384" w:rsidP="006F4BF5">
      <w:pPr>
        <w:rPr>
          <w:sz w:val="22"/>
          <w:szCs w:val="22"/>
        </w:rPr>
      </w:pPr>
      <w:r w:rsidRPr="006220EA">
        <w:rPr>
          <w:sz w:val="22"/>
          <w:szCs w:val="22"/>
        </w:rPr>
        <w:t xml:space="preserve">Associate Professor (Reader) in Deep-Sea Ecology </w:t>
      </w:r>
    </w:p>
    <w:p w14:paraId="0215744B" w14:textId="77777777" w:rsidR="00B71384" w:rsidRPr="006220EA" w:rsidRDefault="00B71384" w:rsidP="006F4BF5">
      <w:pPr>
        <w:rPr>
          <w:sz w:val="22"/>
          <w:szCs w:val="22"/>
        </w:rPr>
      </w:pPr>
      <w:r w:rsidRPr="006220EA">
        <w:rPr>
          <w:sz w:val="22"/>
          <w:szCs w:val="22"/>
        </w:rPr>
        <w:t>University of Plymouth</w:t>
      </w:r>
      <w:r w:rsidRPr="006220EA">
        <w:rPr>
          <w:sz w:val="22"/>
          <w:szCs w:val="22"/>
        </w:rPr>
        <w:tab/>
      </w:r>
    </w:p>
    <w:p w14:paraId="0C1B0D6B" w14:textId="77777777" w:rsidR="00B71384" w:rsidRPr="006220EA" w:rsidRDefault="00B71384" w:rsidP="006F4BF5">
      <w:pPr>
        <w:rPr>
          <w:sz w:val="22"/>
          <w:szCs w:val="22"/>
        </w:rPr>
      </w:pPr>
      <w:r w:rsidRPr="006220EA">
        <w:rPr>
          <w:sz w:val="22"/>
          <w:szCs w:val="22"/>
        </w:rPr>
        <w:t>Plymouth, United Kingdom of Great Britain and Northern Ireland</w:t>
      </w:r>
    </w:p>
    <w:p w14:paraId="04DE8B7F" w14:textId="77777777" w:rsidR="00B71384" w:rsidRPr="006220EA" w:rsidRDefault="00B71384" w:rsidP="006F4BF5">
      <w:pPr>
        <w:rPr>
          <w:sz w:val="22"/>
          <w:szCs w:val="22"/>
          <w:lang w:val="fr-CA"/>
        </w:rPr>
      </w:pPr>
      <w:r w:rsidRPr="006220EA">
        <w:rPr>
          <w:sz w:val="22"/>
          <w:szCs w:val="22"/>
          <w:lang w:val="fr-CA"/>
        </w:rPr>
        <w:t>E-mail: kerry.howell@plymouth.ac.uk</w:t>
      </w:r>
    </w:p>
    <w:p w14:paraId="689A29C8" w14:textId="77777777" w:rsidR="00B71384" w:rsidRPr="006220EA" w:rsidRDefault="00B71384" w:rsidP="006F4BF5">
      <w:pPr>
        <w:rPr>
          <w:sz w:val="22"/>
          <w:szCs w:val="22"/>
          <w:lang w:val="fr-CA"/>
        </w:rPr>
      </w:pPr>
    </w:p>
    <w:p w14:paraId="7D41BBC1" w14:textId="75BA875C" w:rsidR="00B71384" w:rsidRPr="006220EA" w:rsidRDefault="00B71384" w:rsidP="00AB0765">
      <w:pPr>
        <w:pStyle w:val="ListParagraph"/>
        <w:numPr>
          <w:ilvl w:val="0"/>
          <w:numId w:val="9"/>
        </w:numPr>
        <w:ind w:leftChars="0" w:left="426" w:hanging="426"/>
        <w:jc w:val="left"/>
        <w:rPr>
          <w:szCs w:val="22"/>
        </w:rPr>
      </w:pPr>
      <w:r w:rsidRPr="006220EA">
        <w:rPr>
          <w:szCs w:val="22"/>
        </w:rPr>
        <w:t>Mr. J</w:t>
      </w:r>
      <w:r w:rsidR="002577CE">
        <w:rPr>
          <w:szCs w:val="22"/>
        </w:rPr>
        <w:t>.</w:t>
      </w:r>
      <w:r w:rsidRPr="006220EA">
        <w:rPr>
          <w:szCs w:val="22"/>
        </w:rPr>
        <w:t xml:space="preserve"> Murray Roberts </w:t>
      </w:r>
    </w:p>
    <w:p w14:paraId="5DCCD16C" w14:textId="77777777" w:rsidR="00B71384" w:rsidRPr="006220EA" w:rsidRDefault="00B71384" w:rsidP="006F4BF5">
      <w:pPr>
        <w:rPr>
          <w:sz w:val="22"/>
          <w:szCs w:val="22"/>
        </w:rPr>
      </w:pPr>
      <w:r w:rsidRPr="006220EA">
        <w:rPr>
          <w:sz w:val="22"/>
          <w:szCs w:val="22"/>
        </w:rPr>
        <w:t>Professor of Marine Biology</w:t>
      </w:r>
    </w:p>
    <w:p w14:paraId="158B153F" w14:textId="77777777" w:rsidR="00B71384" w:rsidRPr="006220EA" w:rsidRDefault="00B71384" w:rsidP="006F4BF5">
      <w:pPr>
        <w:rPr>
          <w:sz w:val="22"/>
          <w:szCs w:val="22"/>
        </w:rPr>
      </w:pPr>
      <w:r w:rsidRPr="006220EA">
        <w:rPr>
          <w:sz w:val="22"/>
          <w:szCs w:val="22"/>
        </w:rPr>
        <w:t>University of Edinburgh</w:t>
      </w:r>
    </w:p>
    <w:p w14:paraId="13BAD2C7" w14:textId="77777777" w:rsidR="00B71384" w:rsidRPr="006220EA" w:rsidRDefault="00B71384" w:rsidP="006F4BF5">
      <w:pPr>
        <w:rPr>
          <w:sz w:val="22"/>
          <w:szCs w:val="22"/>
        </w:rPr>
      </w:pPr>
      <w:r w:rsidRPr="006220EA">
        <w:rPr>
          <w:sz w:val="22"/>
          <w:szCs w:val="22"/>
        </w:rPr>
        <w:t>Edinburgh, United Kingdom of Great Britain and Northern Ireland</w:t>
      </w:r>
    </w:p>
    <w:p w14:paraId="0134DB50" w14:textId="77777777" w:rsidR="00B71384" w:rsidRPr="006220EA" w:rsidRDefault="00B71384" w:rsidP="006F4BF5">
      <w:pPr>
        <w:rPr>
          <w:sz w:val="22"/>
          <w:szCs w:val="22"/>
          <w:lang w:val="fr-CA"/>
        </w:rPr>
      </w:pPr>
      <w:r w:rsidRPr="006220EA">
        <w:rPr>
          <w:sz w:val="22"/>
          <w:szCs w:val="22"/>
          <w:lang w:val="fr-CA"/>
        </w:rPr>
        <w:t xml:space="preserve">E-mail: </w:t>
      </w:r>
      <w:hyperlink r:id="rId24" w:history="1">
        <w:r w:rsidRPr="006220EA">
          <w:rPr>
            <w:rStyle w:val="Hyperlink"/>
            <w:sz w:val="22"/>
            <w:szCs w:val="22"/>
            <w:lang w:val="fr-CA"/>
          </w:rPr>
          <w:t>Murray.Roberts@ed.ac.uk</w:t>
        </w:r>
      </w:hyperlink>
    </w:p>
    <w:p w14:paraId="63CE3652" w14:textId="77777777" w:rsidR="00B71384" w:rsidRPr="006220EA" w:rsidRDefault="00B71384" w:rsidP="006F4BF5">
      <w:pPr>
        <w:rPr>
          <w:sz w:val="22"/>
          <w:szCs w:val="22"/>
          <w:lang w:val="fr-CA"/>
        </w:rPr>
      </w:pPr>
    </w:p>
    <w:p w14:paraId="7906D2B6" w14:textId="16BE1E4A" w:rsidR="00B71384" w:rsidRPr="006220EA" w:rsidRDefault="00826D67" w:rsidP="00C622E1">
      <w:pPr>
        <w:spacing w:after="120"/>
        <w:rPr>
          <w:b/>
          <w:sz w:val="22"/>
          <w:szCs w:val="22"/>
        </w:rPr>
      </w:pPr>
      <w:r w:rsidRPr="006220EA">
        <w:rPr>
          <w:b/>
          <w:sz w:val="22"/>
          <w:szCs w:val="22"/>
        </w:rPr>
        <w:t>INDIGENOUS PEOPLES AND LOCAL COMMUNITIES</w:t>
      </w:r>
      <w:r w:rsidRPr="006220EA">
        <w:rPr>
          <w:b/>
          <w:sz w:val="22"/>
          <w:szCs w:val="22"/>
        </w:rPr>
        <w:tab/>
      </w:r>
    </w:p>
    <w:p w14:paraId="15CE7D24" w14:textId="0FE7C771" w:rsidR="00B71384" w:rsidRPr="006220EA" w:rsidRDefault="00B71384" w:rsidP="00AB0765">
      <w:pPr>
        <w:pStyle w:val="ListParagraph"/>
        <w:numPr>
          <w:ilvl w:val="0"/>
          <w:numId w:val="9"/>
        </w:numPr>
        <w:ind w:leftChars="0" w:left="426" w:hanging="426"/>
        <w:jc w:val="left"/>
        <w:rPr>
          <w:szCs w:val="22"/>
        </w:rPr>
      </w:pPr>
      <w:r w:rsidRPr="006220EA">
        <w:rPr>
          <w:szCs w:val="22"/>
        </w:rPr>
        <w:t>Mr</w:t>
      </w:r>
      <w:r w:rsidR="002577CE">
        <w:rPr>
          <w:szCs w:val="22"/>
        </w:rPr>
        <w:t>.</w:t>
      </w:r>
      <w:r w:rsidRPr="006220EA">
        <w:rPr>
          <w:szCs w:val="22"/>
        </w:rPr>
        <w:t xml:space="preserve"> Beaska Niillas</w:t>
      </w:r>
    </w:p>
    <w:p w14:paraId="2DA38CA5" w14:textId="77777777" w:rsidR="00B71384" w:rsidRPr="006220EA" w:rsidRDefault="00B71384" w:rsidP="006F4BF5">
      <w:pPr>
        <w:rPr>
          <w:sz w:val="22"/>
          <w:szCs w:val="22"/>
        </w:rPr>
      </w:pPr>
      <w:r w:rsidRPr="006220EA">
        <w:rPr>
          <w:sz w:val="22"/>
          <w:szCs w:val="22"/>
        </w:rPr>
        <w:t>Saami fisher/Traditional handicrafter</w:t>
      </w:r>
    </w:p>
    <w:p w14:paraId="7657631D" w14:textId="77777777" w:rsidR="00B71384" w:rsidRPr="006220EA" w:rsidRDefault="00B71384" w:rsidP="006F4BF5">
      <w:pPr>
        <w:rPr>
          <w:sz w:val="22"/>
          <w:szCs w:val="22"/>
        </w:rPr>
      </w:pPr>
      <w:r w:rsidRPr="006220EA">
        <w:rPr>
          <w:sz w:val="22"/>
          <w:szCs w:val="22"/>
        </w:rPr>
        <w:t>Saami Council</w:t>
      </w:r>
      <w:r w:rsidRPr="006220EA">
        <w:rPr>
          <w:sz w:val="22"/>
          <w:szCs w:val="22"/>
        </w:rPr>
        <w:tab/>
      </w:r>
      <w:r w:rsidRPr="006220EA">
        <w:rPr>
          <w:sz w:val="22"/>
          <w:szCs w:val="22"/>
        </w:rPr>
        <w:tab/>
      </w:r>
    </w:p>
    <w:p w14:paraId="11825330" w14:textId="77777777" w:rsidR="00B71384" w:rsidRPr="006220EA" w:rsidRDefault="00B71384" w:rsidP="006F4BF5">
      <w:pPr>
        <w:rPr>
          <w:sz w:val="22"/>
          <w:szCs w:val="22"/>
        </w:rPr>
      </w:pPr>
      <w:r w:rsidRPr="006220EA">
        <w:rPr>
          <w:sz w:val="22"/>
          <w:szCs w:val="22"/>
        </w:rPr>
        <w:t>Kirkenes, Norway</w:t>
      </w:r>
      <w:r w:rsidRPr="006220EA">
        <w:rPr>
          <w:sz w:val="22"/>
          <w:szCs w:val="22"/>
        </w:rPr>
        <w:tab/>
      </w:r>
    </w:p>
    <w:p w14:paraId="16C84583" w14:textId="7CC05D12" w:rsidR="00B71384" w:rsidRPr="006220EA" w:rsidRDefault="00B71384" w:rsidP="006F4BF5">
      <w:pPr>
        <w:rPr>
          <w:sz w:val="22"/>
          <w:szCs w:val="22"/>
        </w:rPr>
      </w:pPr>
      <w:r w:rsidRPr="006220EA">
        <w:rPr>
          <w:sz w:val="22"/>
          <w:szCs w:val="22"/>
        </w:rPr>
        <w:t xml:space="preserve">E-mail: </w:t>
      </w:r>
      <w:hyperlink r:id="rId25" w:history="1">
        <w:r w:rsidR="00F00939" w:rsidRPr="006220EA">
          <w:rPr>
            <w:rStyle w:val="Hyperlink"/>
            <w:sz w:val="22"/>
            <w:szCs w:val="22"/>
          </w:rPr>
          <w:t>beaskaniillas@gmail.com</w:t>
        </w:r>
      </w:hyperlink>
    </w:p>
    <w:p w14:paraId="3F7FF901" w14:textId="67E414F3" w:rsidR="00F00939" w:rsidRDefault="00F00939" w:rsidP="006F4BF5">
      <w:pPr>
        <w:rPr>
          <w:b/>
          <w:sz w:val="22"/>
          <w:szCs w:val="22"/>
        </w:rPr>
      </w:pPr>
    </w:p>
    <w:p w14:paraId="34049C33" w14:textId="77777777" w:rsidR="00C622E1" w:rsidRPr="006220EA" w:rsidRDefault="00C622E1" w:rsidP="006F4BF5">
      <w:pPr>
        <w:rPr>
          <w:b/>
          <w:sz w:val="22"/>
          <w:szCs w:val="22"/>
        </w:rPr>
      </w:pPr>
    </w:p>
    <w:p w14:paraId="2981D443" w14:textId="2FE915EA" w:rsidR="006220EA" w:rsidRPr="006220EA" w:rsidRDefault="006220EA" w:rsidP="00C622E1">
      <w:pPr>
        <w:spacing w:after="120"/>
        <w:rPr>
          <w:b/>
          <w:sz w:val="22"/>
          <w:szCs w:val="22"/>
        </w:rPr>
      </w:pPr>
      <w:r w:rsidRPr="006220EA">
        <w:rPr>
          <w:b/>
          <w:sz w:val="22"/>
          <w:szCs w:val="22"/>
        </w:rPr>
        <w:t>INTERGOVERNMENTAL ORGANIZATIONS</w:t>
      </w:r>
    </w:p>
    <w:p w14:paraId="106E9D7E" w14:textId="4DCFF418" w:rsidR="006220EA" w:rsidRPr="006220EA" w:rsidRDefault="006220EA" w:rsidP="006F4BF5">
      <w:pPr>
        <w:rPr>
          <w:b/>
          <w:sz w:val="22"/>
          <w:szCs w:val="22"/>
        </w:rPr>
      </w:pPr>
      <w:r w:rsidRPr="006220EA">
        <w:rPr>
          <w:b/>
          <w:sz w:val="22"/>
          <w:szCs w:val="22"/>
        </w:rPr>
        <w:t>International Seabed Authority</w:t>
      </w:r>
      <w:r w:rsidR="0046370D">
        <w:rPr>
          <w:b/>
          <w:sz w:val="22"/>
          <w:szCs w:val="22"/>
        </w:rPr>
        <w:t xml:space="preserve"> Secretariat</w:t>
      </w:r>
    </w:p>
    <w:p w14:paraId="7E9C9328" w14:textId="77777777" w:rsidR="006220EA" w:rsidRPr="006220EA" w:rsidRDefault="006220EA" w:rsidP="00AB0765">
      <w:pPr>
        <w:pStyle w:val="ListParagraph"/>
        <w:numPr>
          <w:ilvl w:val="0"/>
          <w:numId w:val="9"/>
        </w:numPr>
        <w:ind w:leftChars="0" w:left="426" w:hanging="426"/>
        <w:jc w:val="left"/>
        <w:rPr>
          <w:szCs w:val="22"/>
        </w:rPr>
      </w:pPr>
      <w:r w:rsidRPr="006220EA">
        <w:rPr>
          <w:szCs w:val="22"/>
        </w:rPr>
        <w:t>Ms. Jihyun Lee</w:t>
      </w:r>
    </w:p>
    <w:p w14:paraId="57C66210" w14:textId="77777777" w:rsidR="006220EA" w:rsidRPr="006220EA" w:rsidRDefault="006220EA" w:rsidP="006F4BF5">
      <w:pPr>
        <w:rPr>
          <w:sz w:val="22"/>
          <w:szCs w:val="22"/>
        </w:rPr>
      </w:pPr>
      <w:r w:rsidRPr="006220EA">
        <w:rPr>
          <w:sz w:val="22"/>
          <w:szCs w:val="22"/>
        </w:rPr>
        <w:t>Director</w:t>
      </w:r>
    </w:p>
    <w:p w14:paraId="70ACD574" w14:textId="77777777" w:rsidR="006220EA" w:rsidRPr="006220EA" w:rsidRDefault="006220EA" w:rsidP="006F4BF5">
      <w:pPr>
        <w:rPr>
          <w:sz w:val="22"/>
          <w:szCs w:val="22"/>
        </w:rPr>
      </w:pPr>
      <w:r w:rsidRPr="006220EA">
        <w:rPr>
          <w:sz w:val="22"/>
          <w:szCs w:val="22"/>
        </w:rPr>
        <w:t>Office of Environmental Management of Mineral Resources</w:t>
      </w:r>
    </w:p>
    <w:p w14:paraId="3185B495" w14:textId="1AE2BB18" w:rsidR="006220EA" w:rsidRPr="006220EA" w:rsidRDefault="006220EA" w:rsidP="006F4BF5">
      <w:pPr>
        <w:rPr>
          <w:sz w:val="22"/>
          <w:szCs w:val="22"/>
        </w:rPr>
      </w:pPr>
      <w:r w:rsidRPr="006220EA">
        <w:rPr>
          <w:sz w:val="22"/>
          <w:szCs w:val="22"/>
        </w:rPr>
        <w:t>International Seabed Authority</w:t>
      </w:r>
      <w:r w:rsidR="0046370D">
        <w:rPr>
          <w:sz w:val="22"/>
          <w:szCs w:val="22"/>
        </w:rPr>
        <w:t xml:space="preserve"> Secretariat</w:t>
      </w:r>
    </w:p>
    <w:p w14:paraId="716D9244" w14:textId="77777777" w:rsidR="006220EA" w:rsidRPr="006220EA" w:rsidRDefault="006220EA" w:rsidP="006F4BF5">
      <w:pPr>
        <w:rPr>
          <w:sz w:val="22"/>
          <w:szCs w:val="22"/>
        </w:rPr>
      </w:pPr>
      <w:r w:rsidRPr="006220EA">
        <w:rPr>
          <w:sz w:val="22"/>
          <w:szCs w:val="22"/>
        </w:rPr>
        <w:t>Kingston, Jamaica</w:t>
      </w:r>
    </w:p>
    <w:p w14:paraId="13912840" w14:textId="77777777" w:rsidR="006220EA" w:rsidRPr="00606D05" w:rsidRDefault="006220EA" w:rsidP="006F4BF5">
      <w:pPr>
        <w:rPr>
          <w:sz w:val="22"/>
          <w:szCs w:val="22"/>
          <w:lang w:val="fr-FR"/>
        </w:rPr>
      </w:pPr>
      <w:r w:rsidRPr="00606D05">
        <w:rPr>
          <w:sz w:val="22"/>
          <w:szCs w:val="22"/>
          <w:lang w:val="fr-FR"/>
        </w:rPr>
        <w:t>E-mail: jlee@isa.org.jm</w:t>
      </w:r>
    </w:p>
    <w:p w14:paraId="27F8D776" w14:textId="7B3BCCBE" w:rsidR="006220EA" w:rsidRPr="00606D05" w:rsidRDefault="006220EA" w:rsidP="006F4BF5">
      <w:pPr>
        <w:rPr>
          <w:b/>
          <w:sz w:val="22"/>
          <w:szCs w:val="22"/>
          <w:lang w:val="fr-FR"/>
        </w:rPr>
      </w:pPr>
    </w:p>
    <w:p w14:paraId="3D74DAC4" w14:textId="77777777" w:rsidR="006220EA" w:rsidRPr="006220EA" w:rsidRDefault="006220EA" w:rsidP="006F4BF5">
      <w:pPr>
        <w:rPr>
          <w:b/>
          <w:sz w:val="22"/>
          <w:szCs w:val="22"/>
        </w:rPr>
      </w:pPr>
      <w:r w:rsidRPr="006220EA">
        <w:rPr>
          <w:b/>
          <w:sz w:val="22"/>
          <w:szCs w:val="22"/>
        </w:rPr>
        <w:t>North-East Atlantic Fisheries Commission</w:t>
      </w:r>
      <w:r w:rsidRPr="006220EA">
        <w:rPr>
          <w:b/>
          <w:sz w:val="22"/>
          <w:szCs w:val="22"/>
        </w:rPr>
        <w:tab/>
      </w:r>
    </w:p>
    <w:p w14:paraId="46F95DA1" w14:textId="77777777" w:rsidR="006220EA" w:rsidRPr="006220EA" w:rsidRDefault="006220EA" w:rsidP="00AB0765">
      <w:pPr>
        <w:pStyle w:val="ListParagraph"/>
        <w:numPr>
          <w:ilvl w:val="0"/>
          <w:numId w:val="9"/>
        </w:numPr>
        <w:ind w:leftChars="0" w:left="426" w:hanging="426"/>
        <w:jc w:val="left"/>
        <w:rPr>
          <w:szCs w:val="22"/>
        </w:rPr>
      </w:pPr>
      <w:r w:rsidRPr="006220EA">
        <w:rPr>
          <w:szCs w:val="22"/>
        </w:rPr>
        <w:t>Mr. Darius Campbell</w:t>
      </w:r>
      <w:r w:rsidRPr="006220EA">
        <w:rPr>
          <w:szCs w:val="22"/>
        </w:rPr>
        <w:tab/>
      </w:r>
    </w:p>
    <w:p w14:paraId="6789CDD1" w14:textId="77777777" w:rsidR="006220EA" w:rsidRPr="006220EA" w:rsidRDefault="006220EA" w:rsidP="006F4BF5">
      <w:pPr>
        <w:rPr>
          <w:sz w:val="22"/>
          <w:szCs w:val="22"/>
        </w:rPr>
      </w:pPr>
      <w:r w:rsidRPr="006220EA">
        <w:rPr>
          <w:sz w:val="22"/>
          <w:szCs w:val="22"/>
        </w:rPr>
        <w:t>Secretary</w:t>
      </w:r>
    </w:p>
    <w:p w14:paraId="2CA9AD15" w14:textId="77777777" w:rsidR="006220EA" w:rsidRPr="006220EA" w:rsidRDefault="006220EA" w:rsidP="006F4BF5">
      <w:pPr>
        <w:rPr>
          <w:sz w:val="22"/>
          <w:szCs w:val="22"/>
        </w:rPr>
      </w:pPr>
      <w:r w:rsidRPr="006220EA">
        <w:rPr>
          <w:sz w:val="22"/>
          <w:szCs w:val="22"/>
        </w:rPr>
        <w:t xml:space="preserve">North East Atlantic Fisheries Commission </w:t>
      </w:r>
      <w:r w:rsidRPr="006220EA">
        <w:rPr>
          <w:sz w:val="22"/>
          <w:szCs w:val="22"/>
        </w:rPr>
        <w:tab/>
      </w:r>
    </w:p>
    <w:p w14:paraId="0461D686" w14:textId="77777777" w:rsidR="006220EA" w:rsidRPr="006220EA" w:rsidRDefault="006220EA" w:rsidP="006F4BF5">
      <w:pPr>
        <w:rPr>
          <w:sz w:val="22"/>
          <w:szCs w:val="22"/>
        </w:rPr>
      </w:pPr>
      <w:r w:rsidRPr="006220EA">
        <w:rPr>
          <w:sz w:val="22"/>
          <w:szCs w:val="22"/>
        </w:rPr>
        <w:t>London, United Kingdom of Great Britain and Northern Ireland</w:t>
      </w:r>
    </w:p>
    <w:p w14:paraId="386F88A1" w14:textId="77777777" w:rsidR="006220EA" w:rsidRPr="006220EA" w:rsidRDefault="006220EA" w:rsidP="006F4BF5">
      <w:pPr>
        <w:rPr>
          <w:sz w:val="22"/>
          <w:szCs w:val="22"/>
          <w:lang w:val="fr-CA"/>
        </w:rPr>
      </w:pPr>
      <w:r w:rsidRPr="006220EA">
        <w:rPr>
          <w:sz w:val="22"/>
          <w:szCs w:val="22"/>
          <w:lang w:val="fr-CA"/>
        </w:rPr>
        <w:lastRenderedPageBreak/>
        <w:t>E-mail: Darius@neafc.org</w:t>
      </w:r>
      <w:r w:rsidRPr="006220EA">
        <w:rPr>
          <w:sz w:val="22"/>
          <w:szCs w:val="22"/>
          <w:lang w:val="fr-CA"/>
        </w:rPr>
        <w:tab/>
      </w:r>
    </w:p>
    <w:p w14:paraId="29D959F0" w14:textId="77777777" w:rsidR="006220EA" w:rsidRPr="006220EA" w:rsidRDefault="006220EA" w:rsidP="006F4BF5">
      <w:pPr>
        <w:rPr>
          <w:sz w:val="22"/>
          <w:szCs w:val="22"/>
          <w:lang w:val="fr-CA"/>
        </w:rPr>
      </w:pPr>
    </w:p>
    <w:p w14:paraId="125C10AD" w14:textId="77777777" w:rsidR="006220EA" w:rsidRPr="006220EA" w:rsidRDefault="006220EA" w:rsidP="006F4BF5">
      <w:pPr>
        <w:rPr>
          <w:b/>
          <w:sz w:val="22"/>
          <w:szCs w:val="22"/>
        </w:rPr>
      </w:pPr>
      <w:r w:rsidRPr="006220EA">
        <w:rPr>
          <w:b/>
          <w:sz w:val="22"/>
          <w:szCs w:val="22"/>
        </w:rPr>
        <w:t>OSPAR Commission</w:t>
      </w:r>
      <w:r w:rsidRPr="006220EA">
        <w:rPr>
          <w:b/>
          <w:sz w:val="22"/>
          <w:szCs w:val="22"/>
        </w:rPr>
        <w:tab/>
      </w:r>
    </w:p>
    <w:p w14:paraId="70F87112" w14:textId="77777777" w:rsidR="006220EA" w:rsidRPr="006220EA" w:rsidRDefault="006220EA" w:rsidP="00AB0765">
      <w:pPr>
        <w:pStyle w:val="ListParagraph"/>
        <w:numPr>
          <w:ilvl w:val="0"/>
          <w:numId w:val="9"/>
        </w:numPr>
        <w:ind w:leftChars="0" w:left="426" w:hanging="426"/>
        <w:jc w:val="left"/>
        <w:rPr>
          <w:szCs w:val="22"/>
        </w:rPr>
      </w:pPr>
      <w:r w:rsidRPr="006220EA">
        <w:rPr>
          <w:szCs w:val="22"/>
        </w:rPr>
        <w:t>Ms. Lena Avellan</w:t>
      </w:r>
      <w:r w:rsidRPr="006220EA">
        <w:rPr>
          <w:szCs w:val="22"/>
        </w:rPr>
        <w:tab/>
      </w:r>
    </w:p>
    <w:p w14:paraId="0616B089" w14:textId="77777777" w:rsidR="006220EA" w:rsidRPr="006220EA" w:rsidRDefault="006220EA" w:rsidP="006F4BF5">
      <w:pPr>
        <w:rPr>
          <w:sz w:val="22"/>
          <w:szCs w:val="22"/>
        </w:rPr>
      </w:pPr>
      <w:r w:rsidRPr="006220EA">
        <w:rPr>
          <w:sz w:val="22"/>
          <w:szCs w:val="22"/>
        </w:rPr>
        <w:t>Deputy Secretary</w:t>
      </w:r>
    </w:p>
    <w:p w14:paraId="2F7F27F3" w14:textId="77777777" w:rsidR="006220EA" w:rsidRPr="006220EA" w:rsidRDefault="006220EA" w:rsidP="006F4BF5">
      <w:pPr>
        <w:rPr>
          <w:sz w:val="22"/>
          <w:szCs w:val="22"/>
        </w:rPr>
      </w:pPr>
      <w:r w:rsidRPr="006220EA">
        <w:rPr>
          <w:sz w:val="22"/>
          <w:szCs w:val="22"/>
        </w:rPr>
        <w:t>OSPAR Commission</w:t>
      </w:r>
      <w:r w:rsidRPr="006220EA">
        <w:rPr>
          <w:sz w:val="22"/>
          <w:szCs w:val="22"/>
        </w:rPr>
        <w:tab/>
      </w:r>
    </w:p>
    <w:p w14:paraId="3C2C6740" w14:textId="77777777" w:rsidR="006220EA" w:rsidRPr="006220EA" w:rsidRDefault="006220EA" w:rsidP="006F4BF5">
      <w:pPr>
        <w:rPr>
          <w:sz w:val="22"/>
          <w:szCs w:val="22"/>
        </w:rPr>
      </w:pPr>
      <w:r w:rsidRPr="006220EA">
        <w:rPr>
          <w:sz w:val="22"/>
          <w:szCs w:val="22"/>
        </w:rPr>
        <w:t>London, United Kingdom of Great Britain and Northern Ireland</w:t>
      </w:r>
    </w:p>
    <w:p w14:paraId="0E81D127" w14:textId="77777777" w:rsidR="006220EA" w:rsidRPr="006220EA" w:rsidRDefault="006220EA" w:rsidP="006F4BF5">
      <w:pPr>
        <w:rPr>
          <w:sz w:val="22"/>
          <w:szCs w:val="22"/>
          <w:lang w:val="fr-CA"/>
        </w:rPr>
      </w:pPr>
      <w:r w:rsidRPr="006220EA">
        <w:rPr>
          <w:sz w:val="22"/>
          <w:szCs w:val="22"/>
          <w:lang w:val="fr-CA"/>
        </w:rPr>
        <w:t xml:space="preserve">E-mail: </w:t>
      </w:r>
      <w:hyperlink r:id="rId26" w:history="1">
        <w:r w:rsidRPr="006220EA">
          <w:rPr>
            <w:rStyle w:val="Hyperlink"/>
            <w:sz w:val="22"/>
            <w:szCs w:val="22"/>
            <w:lang w:val="fr-CA"/>
          </w:rPr>
          <w:t>lena.avellan@ospar.org</w:t>
        </w:r>
      </w:hyperlink>
    </w:p>
    <w:p w14:paraId="402A9A79" w14:textId="77777777" w:rsidR="006220EA" w:rsidRPr="00846AD1" w:rsidRDefault="006220EA" w:rsidP="006F4BF5">
      <w:pPr>
        <w:rPr>
          <w:b/>
          <w:sz w:val="22"/>
          <w:szCs w:val="22"/>
          <w:lang w:val="fr-CA"/>
        </w:rPr>
      </w:pPr>
    </w:p>
    <w:p w14:paraId="7ABF7FB6" w14:textId="71391555" w:rsidR="00F00939" w:rsidRPr="006220EA" w:rsidRDefault="00826D67" w:rsidP="00C622E1">
      <w:pPr>
        <w:spacing w:after="120"/>
        <w:rPr>
          <w:b/>
          <w:sz w:val="22"/>
          <w:szCs w:val="22"/>
        </w:rPr>
      </w:pPr>
      <w:r w:rsidRPr="006220EA">
        <w:rPr>
          <w:b/>
          <w:sz w:val="22"/>
          <w:szCs w:val="22"/>
        </w:rPr>
        <w:t>ORGANIZATIONS</w:t>
      </w:r>
    </w:p>
    <w:p w14:paraId="7E05700A" w14:textId="77777777" w:rsidR="00B71384" w:rsidRPr="006220EA" w:rsidRDefault="00B71384" w:rsidP="006F4BF5">
      <w:pPr>
        <w:rPr>
          <w:b/>
          <w:sz w:val="22"/>
          <w:szCs w:val="22"/>
        </w:rPr>
      </w:pPr>
      <w:r w:rsidRPr="006220EA">
        <w:rPr>
          <w:b/>
          <w:sz w:val="22"/>
          <w:szCs w:val="22"/>
        </w:rPr>
        <w:t>BirdLife International</w:t>
      </w:r>
      <w:r w:rsidRPr="006220EA">
        <w:rPr>
          <w:b/>
          <w:sz w:val="22"/>
          <w:szCs w:val="22"/>
        </w:rPr>
        <w:tab/>
      </w:r>
    </w:p>
    <w:p w14:paraId="31A82BB7" w14:textId="77777777" w:rsidR="00B71384" w:rsidRPr="006220EA" w:rsidRDefault="00B71384" w:rsidP="00AB0765">
      <w:pPr>
        <w:pStyle w:val="xmsolistparagraph"/>
        <w:numPr>
          <w:ilvl w:val="0"/>
          <w:numId w:val="9"/>
        </w:numPr>
        <w:shd w:val="clear" w:color="auto" w:fill="FFFFFF"/>
        <w:spacing w:before="0" w:beforeAutospacing="0" w:after="0" w:afterAutospacing="0"/>
        <w:ind w:left="426" w:hanging="426"/>
        <w:rPr>
          <w:color w:val="201F1E"/>
          <w:sz w:val="22"/>
          <w:szCs w:val="22"/>
        </w:rPr>
      </w:pPr>
      <w:r w:rsidRPr="006220EA">
        <w:rPr>
          <w:color w:val="201F1E"/>
          <w:sz w:val="22"/>
          <w:szCs w:val="22"/>
          <w:bdr w:val="none" w:sz="0" w:space="0" w:color="auto" w:frame="1"/>
        </w:rPr>
        <w:t>Ms. Maria Ana Figueiredo Peixe Dia</w:t>
      </w:r>
    </w:p>
    <w:p w14:paraId="1BA1DD88" w14:textId="77777777" w:rsidR="00B71384" w:rsidRPr="006220EA" w:rsidRDefault="00B71384" w:rsidP="006F4BF5">
      <w:pPr>
        <w:pStyle w:val="xmsolistparagraph"/>
        <w:shd w:val="clear" w:color="auto" w:fill="FFFFFF"/>
        <w:spacing w:before="0" w:beforeAutospacing="0" w:after="0" w:afterAutospacing="0"/>
        <w:rPr>
          <w:color w:val="201F1E"/>
          <w:sz w:val="22"/>
          <w:szCs w:val="22"/>
          <w:bdr w:val="none" w:sz="0" w:space="0" w:color="auto" w:frame="1"/>
          <w:lang w:val="en-CA"/>
        </w:rPr>
      </w:pPr>
      <w:r w:rsidRPr="006220EA">
        <w:rPr>
          <w:color w:val="201F1E"/>
          <w:sz w:val="22"/>
          <w:szCs w:val="22"/>
          <w:bdr w:val="none" w:sz="0" w:space="0" w:color="auto" w:frame="1"/>
          <w:lang w:val="en-CA"/>
        </w:rPr>
        <w:t>Marine Science Coordinator</w:t>
      </w:r>
    </w:p>
    <w:p w14:paraId="2BBC59EA" w14:textId="77777777" w:rsidR="00B71384" w:rsidRPr="006220EA" w:rsidRDefault="00B71384" w:rsidP="006F4BF5">
      <w:pPr>
        <w:pStyle w:val="xmsolistparagraph"/>
        <w:shd w:val="clear" w:color="auto" w:fill="FFFFFF"/>
        <w:spacing w:before="0" w:beforeAutospacing="0" w:after="0" w:afterAutospacing="0"/>
        <w:rPr>
          <w:color w:val="201F1E"/>
          <w:sz w:val="22"/>
          <w:szCs w:val="22"/>
          <w:bdr w:val="none" w:sz="0" w:space="0" w:color="auto" w:frame="1"/>
          <w:lang w:val="en-CA"/>
        </w:rPr>
      </w:pPr>
      <w:r w:rsidRPr="006220EA">
        <w:rPr>
          <w:color w:val="201F1E"/>
          <w:sz w:val="22"/>
          <w:szCs w:val="22"/>
          <w:bdr w:val="none" w:sz="0" w:space="0" w:color="auto" w:frame="1"/>
          <w:lang w:val="en-CA"/>
        </w:rPr>
        <w:t>BirdLife International</w:t>
      </w:r>
    </w:p>
    <w:p w14:paraId="73D21FA0" w14:textId="77777777" w:rsidR="00B71384" w:rsidRPr="006220EA" w:rsidRDefault="00B71384" w:rsidP="006F4BF5">
      <w:pPr>
        <w:pStyle w:val="xmsolistparagraph"/>
        <w:shd w:val="clear" w:color="auto" w:fill="FFFFFF"/>
        <w:spacing w:before="0" w:beforeAutospacing="0" w:after="0" w:afterAutospacing="0"/>
        <w:rPr>
          <w:color w:val="201F1E"/>
          <w:sz w:val="22"/>
          <w:szCs w:val="22"/>
          <w:bdr w:val="none" w:sz="0" w:space="0" w:color="auto" w:frame="1"/>
          <w:lang w:val="en-CA"/>
        </w:rPr>
      </w:pPr>
      <w:r w:rsidRPr="006220EA">
        <w:rPr>
          <w:color w:val="201F1E"/>
          <w:sz w:val="22"/>
          <w:szCs w:val="22"/>
          <w:bdr w:val="none" w:sz="0" w:space="0" w:color="auto" w:frame="1"/>
          <w:lang w:val="en-CA"/>
        </w:rPr>
        <w:t>Cambridge, United Kingdom of Great Britain and Northern Ireland</w:t>
      </w:r>
    </w:p>
    <w:p w14:paraId="5F14311D" w14:textId="77777777" w:rsidR="00B71384" w:rsidRPr="006220EA" w:rsidRDefault="00B71384" w:rsidP="006F4BF5">
      <w:pPr>
        <w:pStyle w:val="xmsolistparagraph"/>
        <w:shd w:val="clear" w:color="auto" w:fill="FFFFFF"/>
        <w:spacing w:before="0" w:beforeAutospacing="0" w:after="0" w:afterAutospacing="0"/>
        <w:rPr>
          <w:color w:val="201F1E"/>
          <w:sz w:val="22"/>
          <w:szCs w:val="22"/>
        </w:rPr>
      </w:pPr>
      <w:r w:rsidRPr="006220EA">
        <w:rPr>
          <w:color w:val="201F1E"/>
          <w:sz w:val="22"/>
          <w:szCs w:val="22"/>
          <w:bdr w:val="none" w:sz="0" w:space="0" w:color="auto" w:frame="1"/>
        </w:rPr>
        <w:t>E-mail: maria.dias@birdlife.org      </w:t>
      </w:r>
    </w:p>
    <w:p w14:paraId="24AD0645" w14:textId="77777777" w:rsidR="00B71384" w:rsidRPr="006220EA" w:rsidRDefault="00B71384" w:rsidP="006F4BF5">
      <w:pPr>
        <w:rPr>
          <w:b/>
          <w:sz w:val="22"/>
          <w:szCs w:val="22"/>
          <w:lang w:val="fr-CA"/>
        </w:rPr>
      </w:pPr>
    </w:p>
    <w:p w14:paraId="1CD64BA7" w14:textId="77777777" w:rsidR="00B71384" w:rsidRPr="006220EA" w:rsidRDefault="00B71384" w:rsidP="006F4BF5">
      <w:pPr>
        <w:rPr>
          <w:b/>
          <w:sz w:val="22"/>
          <w:szCs w:val="22"/>
        </w:rPr>
      </w:pPr>
      <w:r w:rsidRPr="006220EA">
        <w:rPr>
          <w:b/>
          <w:sz w:val="22"/>
          <w:szCs w:val="22"/>
        </w:rPr>
        <w:t>Global Ocean Biodiversity Initiative</w:t>
      </w:r>
      <w:r w:rsidRPr="006220EA">
        <w:rPr>
          <w:b/>
          <w:sz w:val="22"/>
          <w:szCs w:val="22"/>
        </w:rPr>
        <w:tab/>
      </w:r>
    </w:p>
    <w:p w14:paraId="6420FD30"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David Johnson</w:t>
      </w:r>
    </w:p>
    <w:p w14:paraId="609E0B21" w14:textId="77777777" w:rsidR="00B71384" w:rsidRPr="006220EA" w:rsidRDefault="00B71384" w:rsidP="006F4BF5">
      <w:pPr>
        <w:rPr>
          <w:sz w:val="22"/>
          <w:szCs w:val="22"/>
        </w:rPr>
      </w:pPr>
      <w:r w:rsidRPr="006220EA">
        <w:rPr>
          <w:sz w:val="22"/>
          <w:szCs w:val="22"/>
        </w:rPr>
        <w:t>Director, Seascape Consultants Ltd.</w:t>
      </w:r>
      <w:r w:rsidRPr="006220EA">
        <w:rPr>
          <w:sz w:val="22"/>
          <w:szCs w:val="22"/>
        </w:rPr>
        <w:tab/>
      </w:r>
    </w:p>
    <w:p w14:paraId="2A1DD206" w14:textId="77777777" w:rsidR="00B71384" w:rsidRPr="006220EA" w:rsidRDefault="00B71384" w:rsidP="006F4BF5">
      <w:pPr>
        <w:rPr>
          <w:sz w:val="22"/>
          <w:szCs w:val="22"/>
        </w:rPr>
      </w:pPr>
      <w:r w:rsidRPr="006220EA">
        <w:rPr>
          <w:sz w:val="22"/>
          <w:szCs w:val="22"/>
        </w:rPr>
        <w:t>Romsey, United Kingdom of Great Britain and Northern Ireland</w:t>
      </w:r>
    </w:p>
    <w:p w14:paraId="550EEC45" w14:textId="77777777" w:rsidR="00B71384" w:rsidRPr="006220EA" w:rsidRDefault="00B71384" w:rsidP="006F4BF5">
      <w:pPr>
        <w:rPr>
          <w:sz w:val="22"/>
          <w:szCs w:val="22"/>
          <w:lang w:val="fr-CA"/>
        </w:rPr>
      </w:pPr>
      <w:r w:rsidRPr="006220EA">
        <w:rPr>
          <w:sz w:val="22"/>
          <w:szCs w:val="22"/>
          <w:lang w:val="fr-CA"/>
        </w:rPr>
        <w:t>E-mail: david.johnson@seascapeconsultants.co.uk</w:t>
      </w:r>
      <w:r w:rsidRPr="006220EA">
        <w:rPr>
          <w:sz w:val="22"/>
          <w:szCs w:val="22"/>
          <w:lang w:val="fr-CA"/>
        </w:rPr>
        <w:tab/>
      </w:r>
    </w:p>
    <w:p w14:paraId="388B06D5" w14:textId="77777777" w:rsidR="00B71384" w:rsidRPr="006220EA" w:rsidRDefault="00B71384" w:rsidP="006F4BF5">
      <w:pPr>
        <w:rPr>
          <w:b/>
          <w:sz w:val="22"/>
          <w:szCs w:val="22"/>
          <w:lang w:val="fr-CA"/>
        </w:rPr>
      </w:pPr>
    </w:p>
    <w:p w14:paraId="4891E535" w14:textId="77777777" w:rsidR="00B71384" w:rsidRPr="006220EA" w:rsidRDefault="00B71384" w:rsidP="006F4BF5">
      <w:pPr>
        <w:rPr>
          <w:b/>
          <w:sz w:val="22"/>
          <w:szCs w:val="22"/>
        </w:rPr>
      </w:pPr>
      <w:r w:rsidRPr="006220EA">
        <w:rPr>
          <w:b/>
          <w:sz w:val="22"/>
          <w:szCs w:val="22"/>
        </w:rPr>
        <w:t>International Council for Exploration of the Sea (ICES) Secretariat</w:t>
      </w:r>
      <w:r w:rsidRPr="006220EA">
        <w:rPr>
          <w:b/>
          <w:sz w:val="22"/>
          <w:szCs w:val="22"/>
        </w:rPr>
        <w:tab/>
      </w:r>
    </w:p>
    <w:p w14:paraId="2012F534"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Eugene Nixon</w:t>
      </w:r>
      <w:r w:rsidRPr="006220EA">
        <w:rPr>
          <w:szCs w:val="22"/>
        </w:rPr>
        <w:tab/>
      </w:r>
    </w:p>
    <w:p w14:paraId="1255824B" w14:textId="77777777" w:rsidR="00B71384" w:rsidRPr="006220EA" w:rsidRDefault="00B71384" w:rsidP="006F4BF5">
      <w:pPr>
        <w:rPr>
          <w:sz w:val="22"/>
          <w:szCs w:val="22"/>
        </w:rPr>
      </w:pPr>
      <w:r w:rsidRPr="006220EA">
        <w:rPr>
          <w:sz w:val="22"/>
          <w:szCs w:val="22"/>
        </w:rPr>
        <w:t>Vice Chair</w:t>
      </w:r>
    </w:p>
    <w:p w14:paraId="757425C6" w14:textId="77777777" w:rsidR="00B71384" w:rsidRPr="006220EA" w:rsidRDefault="00B71384" w:rsidP="006F4BF5">
      <w:pPr>
        <w:rPr>
          <w:sz w:val="22"/>
          <w:szCs w:val="22"/>
        </w:rPr>
      </w:pPr>
      <w:r w:rsidRPr="006220EA">
        <w:rPr>
          <w:sz w:val="22"/>
          <w:szCs w:val="22"/>
        </w:rPr>
        <w:t>Advisory Committee</w:t>
      </w:r>
    </w:p>
    <w:p w14:paraId="03DA156B" w14:textId="77777777" w:rsidR="00B71384" w:rsidRPr="006220EA" w:rsidRDefault="00B71384" w:rsidP="006F4BF5">
      <w:pPr>
        <w:rPr>
          <w:sz w:val="22"/>
          <w:szCs w:val="22"/>
        </w:rPr>
      </w:pPr>
      <w:r w:rsidRPr="006220EA">
        <w:rPr>
          <w:sz w:val="22"/>
          <w:szCs w:val="22"/>
        </w:rPr>
        <w:t>International Council for Exploration of the Sea (ICES)</w:t>
      </w:r>
      <w:r w:rsidRPr="006220EA">
        <w:rPr>
          <w:sz w:val="22"/>
          <w:szCs w:val="22"/>
        </w:rPr>
        <w:tab/>
      </w:r>
    </w:p>
    <w:p w14:paraId="60746058" w14:textId="77777777" w:rsidR="00B71384" w:rsidRPr="006220EA" w:rsidRDefault="00B71384" w:rsidP="006F4BF5">
      <w:pPr>
        <w:rPr>
          <w:sz w:val="22"/>
          <w:szCs w:val="22"/>
        </w:rPr>
      </w:pPr>
      <w:r w:rsidRPr="006220EA">
        <w:rPr>
          <w:sz w:val="22"/>
          <w:szCs w:val="22"/>
        </w:rPr>
        <w:t>Copenhagen, Denmark</w:t>
      </w:r>
      <w:r w:rsidRPr="006220EA">
        <w:rPr>
          <w:sz w:val="22"/>
          <w:szCs w:val="22"/>
        </w:rPr>
        <w:tab/>
      </w:r>
    </w:p>
    <w:p w14:paraId="6BA0EBD4" w14:textId="43076B64" w:rsidR="00B71384" w:rsidRPr="006220EA" w:rsidRDefault="00B71384" w:rsidP="006F4BF5">
      <w:pPr>
        <w:rPr>
          <w:sz w:val="22"/>
          <w:szCs w:val="22"/>
        </w:rPr>
      </w:pPr>
      <w:r w:rsidRPr="006220EA">
        <w:rPr>
          <w:sz w:val="22"/>
          <w:szCs w:val="22"/>
        </w:rPr>
        <w:t xml:space="preserve">E-mail: </w:t>
      </w:r>
      <w:hyperlink r:id="rId27" w:history="1">
        <w:r w:rsidR="00F00939" w:rsidRPr="006220EA">
          <w:rPr>
            <w:rStyle w:val="Hyperlink"/>
            <w:sz w:val="22"/>
            <w:szCs w:val="22"/>
          </w:rPr>
          <w:t>eugene.nixon@ices.dk</w:t>
        </w:r>
      </w:hyperlink>
      <w:r w:rsidRPr="006220EA">
        <w:rPr>
          <w:sz w:val="22"/>
          <w:szCs w:val="22"/>
        </w:rPr>
        <w:tab/>
      </w:r>
    </w:p>
    <w:p w14:paraId="57E6A482" w14:textId="77777777" w:rsidR="00B71384" w:rsidRPr="006220EA" w:rsidRDefault="00B71384" w:rsidP="006F4BF5">
      <w:pPr>
        <w:rPr>
          <w:sz w:val="22"/>
          <w:szCs w:val="22"/>
        </w:rPr>
      </w:pPr>
    </w:p>
    <w:p w14:paraId="4641F6B4" w14:textId="77777777" w:rsidR="00B71384" w:rsidRPr="006220EA" w:rsidRDefault="00B71384" w:rsidP="006F4BF5">
      <w:pPr>
        <w:rPr>
          <w:b/>
          <w:sz w:val="22"/>
          <w:szCs w:val="22"/>
        </w:rPr>
      </w:pPr>
      <w:r w:rsidRPr="006220EA">
        <w:rPr>
          <w:b/>
          <w:sz w:val="22"/>
          <w:szCs w:val="22"/>
        </w:rPr>
        <w:t>IUCN Marine Mammal Protected Areas Task Force</w:t>
      </w:r>
      <w:r w:rsidRPr="006220EA">
        <w:rPr>
          <w:b/>
          <w:sz w:val="22"/>
          <w:szCs w:val="22"/>
        </w:rPr>
        <w:tab/>
      </w:r>
    </w:p>
    <w:p w14:paraId="6BA22B4F"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 xml:space="preserve">Mr. Michael Tetley </w:t>
      </w:r>
    </w:p>
    <w:p w14:paraId="47646052" w14:textId="77777777" w:rsidR="00B71384" w:rsidRPr="006220EA" w:rsidRDefault="00B71384" w:rsidP="006F4BF5">
      <w:pPr>
        <w:rPr>
          <w:sz w:val="22"/>
          <w:szCs w:val="22"/>
        </w:rPr>
      </w:pPr>
      <w:r w:rsidRPr="006220EA">
        <w:rPr>
          <w:sz w:val="22"/>
          <w:szCs w:val="22"/>
        </w:rPr>
        <w:t xml:space="preserve">Coordinator </w:t>
      </w:r>
    </w:p>
    <w:p w14:paraId="70D015E8" w14:textId="77777777" w:rsidR="00B71384" w:rsidRPr="006220EA" w:rsidRDefault="00B71384" w:rsidP="006F4BF5">
      <w:pPr>
        <w:rPr>
          <w:sz w:val="22"/>
          <w:szCs w:val="22"/>
        </w:rPr>
      </w:pPr>
      <w:r w:rsidRPr="006220EA">
        <w:rPr>
          <w:sz w:val="22"/>
          <w:szCs w:val="22"/>
        </w:rPr>
        <w:t>IMMA Global Programme</w:t>
      </w:r>
    </w:p>
    <w:p w14:paraId="79E5699A" w14:textId="77777777" w:rsidR="00B71384" w:rsidRPr="006220EA" w:rsidRDefault="00B71384" w:rsidP="006F4BF5">
      <w:pPr>
        <w:rPr>
          <w:sz w:val="22"/>
          <w:szCs w:val="22"/>
        </w:rPr>
      </w:pPr>
      <w:r w:rsidRPr="006220EA">
        <w:rPr>
          <w:sz w:val="22"/>
          <w:szCs w:val="22"/>
        </w:rPr>
        <w:t>IUCN Marine Mammal Protected Areas Task Force</w:t>
      </w:r>
      <w:r w:rsidRPr="006220EA">
        <w:rPr>
          <w:sz w:val="22"/>
          <w:szCs w:val="22"/>
        </w:rPr>
        <w:tab/>
      </w:r>
    </w:p>
    <w:p w14:paraId="711130C1" w14:textId="77777777" w:rsidR="00B71384" w:rsidRPr="006220EA" w:rsidRDefault="00B71384" w:rsidP="006F4BF5">
      <w:pPr>
        <w:rPr>
          <w:sz w:val="22"/>
          <w:szCs w:val="22"/>
        </w:rPr>
      </w:pPr>
      <w:r w:rsidRPr="006220EA">
        <w:rPr>
          <w:sz w:val="22"/>
          <w:szCs w:val="22"/>
        </w:rPr>
        <w:t>Dervaig, United Kingdom of Great Britain and Northern Ireland</w:t>
      </w:r>
    </w:p>
    <w:p w14:paraId="3B884709" w14:textId="487BE26B" w:rsidR="00B71384" w:rsidRPr="006220EA" w:rsidRDefault="00AE13CE" w:rsidP="006F4BF5">
      <w:pPr>
        <w:rPr>
          <w:sz w:val="22"/>
          <w:szCs w:val="22"/>
        </w:rPr>
      </w:pPr>
      <w:r w:rsidRPr="006220EA">
        <w:rPr>
          <w:sz w:val="22"/>
          <w:szCs w:val="22"/>
        </w:rPr>
        <w:t>E-mail:</w:t>
      </w:r>
      <w:r w:rsidR="00B71384" w:rsidRPr="006220EA">
        <w:rPr>
          <w:sz w:val="22"/>
          <w:szCs w:val="22"/>
        </w:rPr>
        <w:t xml:space="preserve">immacoordinator@gmail.com; </w:t>
      </w:r>
      <w:hyperlink r:id="rId28" w:history="1">
        <w:r w:rsidR="00B71384" w:rsidRPr="006220EA">
          <w:rPr>
            <w:rStyle w:val="Hyperlink"/>
            <w:sz w:val="22"/>
            <w:szCs w:val="22"/>
          </w:rPr>
          <w:t>m.j.tetley@gmail.com</w:t>
        </w:r>
      </w:hyperlink>
    </w:p>
    <w:p w14:paraId="761A05E6" w14:textId="517F93C2" w:rsidR="00B71384" w:rsidRDefault="00B71384" w:rsidP="006F4BF5">
      <w:pPr>
        <w:rPr>
          <w:sz w:val="22"/>
          <w:szCs w:val="22"/>
        </w:rPr>
      </w:pPr>
    </w:p>
    <w:p w14:paraId="26546899" w14:textId="0F3D775F" w:rsidR="00C622E1" w:rsidRDefault="00C622E1" w:rsidP="006F4BF5">
      <w:pPr>
        <w:rPr>
          <w:sz w:val="22"/>
          <w:szCs w:val="22"/>
        </w:rPr>
      </w:pPr>
    </w:p>
    <w:p w14:paraId="44193D6B" w14:textId="77777777" w:rsidR="00C622E1" w:rsidRPr="006220EA" w:rsidRDefault="00C622E1" w:rsidP="006F4BF5">
      <w:pPr>
        <w:rPr>
          <w:sz w:val="22"/>
          <w:szCs w:val="22"/>
        </w:rPr>
      </w:pPr>
    </w:p>
    <w:p w14:paraId="0B4F66FB" w14:textId="77777777" w:rsidR="00B71384" w:rsidRPr="006220EA" w:rsidRDefault="00B71384" w:rsidP="006F4BF5">
      <w:pPr>
        <w:rPr>
          <w:b/>
          <w:sz w:val="22"/>
          <w:szCs w:val="22"/>
        </w:rPr>
      </w:pPr>
      <w:r w:rsidRPr="006220EA">
        <w:rPr>
          <w:b/>
          <w:sz w:val="22"/>
          <w:szCs w:val="22"/>
        </w:rPr>
        <w:t>IUCN – Fisheries Expert Group</w:t>
      </w:r>
      <w:r w:rsidRPr="006220EA">
        <w:rPr>
          <w:b/>
          <w:sz w:val="22"/>
          <w:szCs w:val="22"/>
        </w:rPr>
        <w:tab/>
      </w:r>
    </w:p>
    <w:p w14:paraId="002E59B8"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Eskild Kirkegaard</w:t>
      </w:r>
    </w:p>
    <w:p w14:paraId="0D34939B" w14:textId="77777777" w:rsidR="00B71384" w:rsidRPr="006220EA" w:rsidRDefault="00B71384" w:rsidP="006F4BF5">
      <w:pPr>
        <w:rPr>
          <w:sz w:val="22"/>
          <w:szCs w:val="22"/>
        </w:rPr>
      </w:pPr>
      <w:r w:rsidRPr="006220EA">
        <w:rPr>
          <w:sz w:val="22"/>
          <w:szCs w:val="22"/>
        </w:rPr>
        <w:t>Independent Consultant</w:t>
      </w:r>
    </w:p>
    <w:p w14:paraId="350F57C9" w14:textId="77777777" w:rsidR="00B71384" w:rsidRPr="006220EA" w:rsidRDefault="00B71384" w:rsidP="006F4BF5">
      <w:pPr>
        <w:rPr>
          <w:sz w:val="22"/>
          <w:szCs w:val="22"/>
        </w:rPr>
      </w:pPr>
      <w:r w:rsidRPr="006220EA">
        <w:rPr>
          <w:sz w:val="22"/>
          <w:szCs w:val="22"/>
        </w:rPr>
        <w:t>Holte, Denmark</w:t>
      </w:r>
    </w:p>
    <w:p w14:paraId="28A77DE6" w14:textId="77777777" w:rsidR="00B71384" w:rsidRPr="006220EA" w:rsidRDefault="00B71384" w:rsidP="006F4BF5">
      <w:pPr>
        <w:rPr>
          <w:sz w:val="22"/>
          <w:szCs w:val="22"/>
        </w:rPr>
      </w:pPr>
      <w:r w:rsidRPr="006220EA">
        <w:rPr>
          <w:sz w:val="22"/>
          <w:szCs w:val="22"/>
        </w:rPr>
        <w:t xml:space="preserve">E-mail: </w:t>
      </w:r>
      <w:hyperlink r:id="rId29" w:history="1">
        <w:r w:rsidRPr="006220EA">
          <w:rPr>
            <w:rStyle w:val="Hyperlink"/>
            <w:sz w:val="22"/>
            <w:szCs w:val="22"/>
          </w:rPr>
          <w:t>kirkegaardeskild@gmail.com</w:t>
        </w:r>
      </w:hyperlink>
    </w:p>
    <w:p w14:paraId="5B7022BA" w14:textId="77777777" w:rsidR="00B71384" w:rsidRPr="006220EA" w:rsidRDefault="00B71384" w:rsidP="006F4BF5">
      <w:pPr>
        <w:rPr>
          <w:sz w:val="22"/>
          <w:szCs w:val="22"/>
          <w:lang w:val="fr-CA"/>
        </w:rPr>
      </w:pPr>
    </w:p>
    <w:p w14:paraId="75B37E20" w14:textId="415A4267" w:rsidR="00B71384" w:rsidRPr="006220EA" w:rsidRDefault="00B71384" w:rsidP="006F4BF5">
      <w:pPr>
        <w:rPr>
          <w:b/>
          <w:sz w:val="22"/>
          <w:szCs w:val="22"/>
        </w:rPr>
      </w:pPr>
      <w:r w:rsidRPr="006220EA">
        <w:rPr>
          <w:b/>
          <w:sz w:val="22"/>
          <w:szCs w:val="22"/>
        </w:rPr>
        <w:t>World Wide Fund for Nature</w:t>
      </w:r>
      <w:r w:rsidR="00C622E1">
        <w:rPr>
          <w:b/>
          <w:sz w:val="22"/>
          <w:szCs w:val="22"/>
        </w:rPr>
        <w:t xml:space="preserve"> (WWF)</w:t>
      </w:r>
    </w:p>
    <w:p w14:paraId="01FA8757"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Tim Packeiser</w:t>
      </w:r>
    </w:p>
    <w:p w14:paraId="0326D5DF" w14:textId="77777777" w:rsidR="00B71384" w:rsidRPr="006220EA" w:rsidRDefault="00B71384" w:rsidP="006F4BF5">
      <w:pPr>
        <w:rPr>
          <w:sz w:val="22"/>
          <w:szCs w:val="22"/>
        </w:rPr>
      </w:pPr>
      <w:r w:rsidRPr="006220EA">
        <w:rPr>
          <w:sz w:val="22"/>
          <w:szCs w:val="22"/>
        </w:rPr>
        <w:t>Senior Policy Advisor Ocean Governance</w:t>
      </w:r>
    </w:p>
    <w:p w14:paraId="03E78783" w14:textId="77777777" w:rsidR="00B71384" w:rsidRPr="006220EA" w:rsidRDefault="00B71384" w:rsidP="006F4BF5">
      <w:pPr>
        <w:rPr>
          <w:sz w:val="22"/>
          <w:szCs w:val="22"/>
        </w:rPr>
      </w:pPr>
      <w:r w:rsidRPr="006220EA">
        <w:rPr>
          <w:sz w:val="22"/>
          <w:szCs w:val="22"/>
        </w:rPr>
        <w:t>International WWF-Centre for Marine Conservation</w:t>
      </w:r>
    </w:p>
    <w:p w14:paraId="6446593E" w14:textId="77777777" w:rsidR="00B71384" w:rsidRPr="006220EA" w:rsidRDefault="00B71384" w:rsidP="006F4BF5">
      <w:pPr>
        <w:rPr>
          <w:sz w:val="22"/>
          <w:szCs w:val="22"/>
        </w:rPr>
      </w:pPr>
      <w:r w:rsidRPr="006220EA">
        <w:rPr>
          <w:sz w:val="22"/>
          <w:szCs w:val="22"/>
        </w:rPr>
        <w:t xml:space="preserve">World Wide Fund for Nature </w:t>
      </w:r>
      <w:r w:rsidRPr="006220EA">
        <w:rPr>
          <w:sz w:val="22"/>
          <w:szCs w:val="22"/>
        </w:rPr>
        <w:tab/>
      </w:r>
    </w:p>
    <w:p w14:paraId="79DA7B9F" w14:textId="77777777" w:rsidR="00B71384" w:rsidRPr="006220EA" w:rsidRDefault="00B71384" w:rsidP="006F4BF5">
      <w:pPr>
        <w:rPr>
          <w:sz w:val="22"/>
          <w:szCs w:val="22"/>
        </w:rPr>
      </w:pPr>
      <w:r w:rsidRPr="006220EA">
        <w:rPr>
          <w:sz w:val="22"/>
          <w:szCs w:val="22"/>
        </w:rPr>
        <w:t>Hamburg, Germany</w:t>
      </w:r>
    </w:p>
    <w:p w14:paraId="4DC57C85" w14:textId="77777777" w:rsidR="00B71384" w:rsidRPr="006220EA" w:rsidRDefault="00B71384" w:rsidP="006F4BF5">
      <w:pPr>
        <w:rPr>
          <w:sz w:val="22"/>
          <w:szCs w:val="22"/>
        </w:rPr>
      </w:pPr>
      <w:r w:rsidRPr="006220EA">
        <w:rPr>
          <w:sz w:val="22"/>
          <w:szCs w:val="22"/>
        </w:rPr>
        <w:t xml:space="preserve">E-mail: </w:t>
      </w:r>
      <w:hyperlink r:id="rId30" w:history="1">
        <w:r w:rsidRPr="006220EA">
          <w:rPr>
            <w:rStyle w:val="Hyperlink"/>
            <w:sz w:val="22"/>
            <w:szCs w:val="22"/>
          </w:rPr>
          <w:t>tim.packeiser@wwf.de</w:t>
        </w:r>
      </w:hyperlink>
    </w:p>
    <w:p w14:paraId="2C46DA9A" w14:textId="3E359359" w:rsidR="00B71384" w:rsidRDefault="00B71384" w:rsidP="006F4BF5">
      <w:pPr>
        <w:rPr>
          <w:sz w:val="22"/>
          <w:szCs w:val="22"/>
        </w:rPr>
      </w:pPr>
    </w:p>
    <w:p w14:paraId="28628DBB" w14:textId="77777777" w:rsidR="00C622E1" w:rsidRPr="006220EA" w:rsidRDefault="00C622E1" w:rsidP="006F4BF5">
      <w:pPr>
        <w:rPr>
          <w:sz w:val="22"/>
          <w:szCs w:val="22"/>
        </w:rPr>
      </w:pPr>
    </w:p>
    <w:p w14:paraId="01923AE2" w14:textId="17561DC5" w:rsidR="00B71384" w:rsidRPr="00C622E1" w:rsidRDefault="00826D67" w:rsidP="00C622E1">
      <w:pPr>
        <w:spacing w:after="120"/>
        <w:rPr>
          <w:b/>
          <w:sz w:val="22"/>
          <w:szCs w:val="22"/>
        </w:rPr>
      </w:pPr>
      <w:r w:rsidRPr="006220EA">
        <w:rPr>
          <w:b/>
          <w:sz w:val="22"/>
          <w:szCs w:val="22"/>
        </w:rPr>
        <w:t>OBSERVERS</w:t>
      </w:r>
    </w:p>
    <w:p w14:paraId="61E991D1"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Ms. Anna Karlsson</w:t>
      </w:r>
      <w:r w:rsidRPr="006220EA">
        <w:rPr>
          <w:szCs w:val="22"/>
        </w:rPr>
        <w:tab/>
      </w:r>
    </w:p>
    <w:p w14:paraId="588BF516" w14:textId="77777777" w:rsidR="00B71384" w:rsidRPr="006220EA" w:rsidRDefault="00B71384" w:rsidP="006F4BF5">
      <w:pPr>
        <w:rPr>
          <w:sz w:val="22"/>
          <w:szCs w:val="22"/>
        </w:rPr>
      </w:pPr>
      <w:r w:rsidRPr="006220EA">
        <w:rPr>
          <w:sz w:val="22"/>
          <w:szCs w:val="22"/>
        </w:rPr>
        <w:t>Swedish Agency for Marine and Water Management</w:t>
      </w:r>
      <w:r w:rsidRPr="006220EA">
        <w:rPr>
          <w:sz w:val="22"/>
          <w:szCs w:val="22"/>
        </w:rPr>
        <w:tab/>
      </w:r>
    </w:p>
    <w:p w14:paraId="0C464375" w14:textId="77777777" w:rsidR="00B71384" w:rsidRPr="006220EA" w:rsidRDefault="00B71384" w:rsidP="006F4BF5">
      <w:pPr>
        <w:rPr>
          <w:sz w:val="22"/>
          <w:szCs w:val="22"/>
        </w:rPr>
      </w:pPr>
      <w:r w:rsidRPr="006220EA">
        <w:rPr>
          <w:sz w:val="22"/>
          <w:szCs w:val="22"/>
        </w:rPr>
        <w:t>Gothenberg, Sweden</w:t>
      </w:r>
      <w:r w:rsidRPr="006220EA">
        <w:rPr>
          <w:sz w:val="22"/>
          <w:szCs w:val="22"/>
        </w:rPr>
        <w:tab/>
      </w:r>
    </w:p>
    <w:p w14:paraId="7E9699A5" w14:textId="77777777" w:rsidR="00B71384" w:rsidRPr="006220EA" w:rsidRDefault="00B71384" w:rsidP="006F4BF5">
      <w:pPr>
        <w:rPr>
          <w:sz w:val="22"/>
          <w:szCs w:val="22"/>
        </w:rPr>
      </w:pPr>
      <w:r w:rsidRPr="006220EA">
        <w:rPr>
          <w:sz w:val="22"/>
          <w:szCs w:val="22"/>
        </w:rPr>
        <w:t xml:space="preserve">E-mail: </w:t>
      </w:r>
      <w:hyperlink r:id="rId31" w:history="1">
        <w:r w:rsidRPr="006220EA">
          <w:rPr>
            <w:rStyle w:val="Hyperlink"/>
            <w:sz w:val="22"/>
            <w:szCs w:val="22"/>
          </w:rPr>
          <w:t>Anna.karlsson@havochvatten.se</w:t>
        </w:r>
      </w:hyperlink>
    </w:p>
    <w:p w14:paraId="72914D58" w14:textId="77777777" w:rsidR="00B71384" w:rsidRPr="006220EA" w:rsidRDefault="00B71384" w:rsidP="006F4BF5">
      <w:pPr>
        <w:rPr>
          <w:sz w:val="22"/>
          <w:szCs w:val="22"/>
        </w:rPr>
      </w:pPr>
    </w:p>
    <w:p w14:paraId="4B51134B" w14:textId="77777777" w:rsidR="00B71384" w:rsidRPr="006220EA" w:rsidRDefault="00B71384" w:rsidP="00AB0765">
      <w:pPr>
        <w:pStyle w:val="ListParagraph"/>
        <w:numPr>
          <w:ilvl w:val="0"/>
          <w:numId w:val="9"/>
        </w:numPr>
        <w:ind w:leftChars="0" w:left="426" w:hanging="426"/>
        <w:jc w:val="left"/>
        <w:rPr>
          <w:szCs w:val="22"/>
          <w:lang w:val="en-CA"/>
        </w:rPr>
      </w:pPr>
      <w:r w:rsidRPr="006220EA">
        <w:rPr>
          <w:szCs w:val="22"/>
          <w:lang w:val="en-CA"/>
        </w:rPr>
        <w:t>Ms. Jenny Hedman</w:t>
      </w:r>
    </w:p>
    <w:p w14:paraId="005DF480" w14:textId="77777777" w:rsidR="00B71384" w:rsidRPr="006220EA" w:rsidRDefault="00B71384" w:rsidP="006F4BF5">
      <w:pPr>
        <w:rPr>
          <w:sz w:val="22"/>
          <w:szCs w:val="22"/>
        </w:rPr>
      </w:pPr>
      <w:r w:rsidRPr="006220EA">
        <w:rPr>
          <w:sz w:val="22"/>
          <w:szCs w:val="22"/>
        </w:rPr>
        <w:t>Head of section</w:t>
      </w:r>
    </w:p>
    <w:p w14:paraId="2F797438" w14:textId="77777777" w:rsidR="00B71384" w:rsidRPr="006220EA" w:rsidRDefault="00B71384" w:rsidP="006F4BF5">
      <w:pPr>
        <w:rPr>
          <w:sz w:val="22"/>
          <w:szCs w:val="22"/>
        </w:rPr>
      </w:pPr>
      <w:r w:rsidRPr="006220EA">
        <w:rPr>
          <w:sz w:val="22"/>
          <w:szCs w:val="22"/>
        </w:rPr>
        <w:t>Swedish Ministry of the Environment</w:t>
      </w:r>
    </w:p>
    <w:p w14:paraId="616C5824" w14:textId="23ABB273" w:rsidR="00B71384" w:rsidRPr="006220EA" w:rsidRDefault="00B71384" w:rsidP="006F4BF5">
      <w:pPr>
        <w:rPr>
          <w:sz w:val="22"/>
          <w:szCs w:val="22"/>
        </w:rPr>
      </w:pPr>
      <w:r w:rsidRPr="006220EA">
        <w:rPr>
          <w:sz w:val="22"/>
          <w:szCs w:val="22"/>
        </w:rPr>
        <w:t xml:space="preserve">Natural </w:t>
      </w:r>
      <w:r w:rsidR="002577CE">
        <w:rPr>
          <w:sz w:val="22"/>
          <w:szCs w:val="22"/>
        </w:rPr>
        <w:t>E</w:t>
      </w:r>
      <w:r w:rsidRPr="006220EA">
        <w:rPr>
          <w:sz w:val="22"/>
          <w:szCs w:val="22"/>
        </w:rPr>
        <w:t xml:space="preserve">nvironment </w:t>
      </w:r>
      <w:r w:rsidR="002577CE">
        <w:rPr>
          <w:sz w:val="22"/>
          <w:szCs w:val="22"/>
        </w:rPr>
        <w:t>D</w:t>
      </w:r>
      <w:r w:rsidRPr="006220EA">
        <w:rPr>
          <w:sz w:val="22"/>
          <w:szCs w:val="22"/>
        </w:rPr>
        <w:t>ivision</w:t>
      </w:r>
    </w:p>
    <w:p w14:paraId="147E5677" w14:textId="77777777" w:rsidR="00B71384" w:rsidRPr="006220EA" w:rsidRDefault="00B71384" w:rsidP="006F4BF5">
      <w:pPr>
        <w:rPr>
          <w:sz w:val="22"/>
          <w:szCs w:val="22"/>
        </w:rPr>
      </w:pPr>
      <w:r w:rsidRPr="006220EA">
        <w:rPr>
          <w:sz w:val="22"/>
          <w:szCs w:val="22"/>
        </w:rPr>
        <w:t>Stockholm, Sweden</w:t>
      </w:r>
    </w:p>
    <w:p w14:paraId="059A4E5C" w14:textId="53AA004E" w:rsidR="00B71384" w:rsidRPr="006F4BF5" w:rsidRDefault="00B71384" w:rsidP="006F4BF5">
      <w:pPr>
        <w:rPr>
          <w:sz w:val="22"/>
          <w:szCs w:val="22"/>
          <w:lang w:val="fr-CA"/>
        </w:rPr>
      </w:pPr>
      <w:r w:rsidRPr="006220EA">
        <w:rPr>
          <w:sz w:val="22"/>
          <w:szCs w:val="22"/>
          <w:lang w:val="fr-CA"/>
        </w:rPr>
        <w:t>E</w:t>
      </w:r>
      <w:r w:rsidRPr="006F4BF5">
        <w:rPr>
          <w:sz w:val="22"/>
          <w:szCs w:val="22"/>
          <w:lang w:val="fr-CA"/>
        </w:rPr>
        <w:t xml:space="preserve">-mail: </w:t>
      </w:r>
      <w:hyperlink r:id="rId32" w:history="1">
        <w:r w:rsidRPr="006F4BF5">
          <w:rPr>
            <w:rStyle w:val="Hyperlink"/>
            <w:sz w:val="22"/>
            <w:szCs w:val="22"/>
            <w:lang w:val="fr-CA"/>
          </w:rPr>
          <w:t>jenny.hedman@regeringskansliet.se</w:t>
        </w:r>
      </w:hyperlink>
    </w:p>
    <w:p w14:paraId="64D9DFE6" w14:textId="3BAEB1F9" w:rsidR="00B71384" w:rsidRPr="006F4BF5" w:rsidRDefault="00B71384" w:rsidP="006F4BF5">
      <w:pPr>
        <w:rPr>
          <w:sz w:val="22"/>
          <w:szCs w:val="22"/>
          <w:lang w:val="fr-CA"/>
        </w:rPr>
      </w:pPr>
    </w:p>
    <w:p w14:paraId="37EE6B9C" w14:textId="32F3B557" w:rsidR="006220EA" w:rsidRPr="002577CE" w:rsidRDefault="006220EA" w:rsidP="00AB0765">
      <w:pPr>
        <w:pStyle w:val="ListParagraph"/>
        <w:numPr>
          <w:ilvl w:val="0"/>
          <w:numId w:val="9"/>
        </w:numPr>
        <w:ind w:leftChars="0" w:left="426" w:hanging="426"/>
        <w:rPr>
          <w:szCs w:val="22"/>
          <w:lang w:val="fr-CA"/>
        </w:rPr>
      </w:pPr>
      <w:r w:rsidRPr="002577CE">
        <w:rPr>
          <w:szCs w:val="22"/>
          <w:lang w:val="fr-CA"/>
        </w:rPr>
        <w:t>Ms. Hedvig Hogfors</w:t>
      </w:r>
    </w:p>
    <w:p w14:paraId="0D16BBD6" w14:textId="77777777" w:rsidR="002577CE" w:rsidRPr="002577CE" w:rsidRDefault="002577CE" w:rsidP="006F4BF5">
      <w:pPr>
        <w:rPr>
          <w:sz w:val="22"/>
          <w:szCs w:val="22"/>
        </w:rPr>
      </w:pPr>
      <w:r w:rsidRPr="002577CE">
        <w:rPr>
          <w:sz w:val="22"/>
          <w:szCs w:val="22"/>
        </w:rPr>
        <w:t>Analyst</w:t>
      </w:r>
    </w:p>
    <w:p w14:paraId="5F63D716" w14:textId="77777777" w:rsidR="002577CE" w:rsidRPr="00DC0741" w:rsidRDefault="002577CE" w:rsidP="002577CE">
      <w:pPr>
        <w:autoSpaceDE w:val="0"/>
        <w:autoSpaceDN w:val="0"/>
        <w:spacing w:line="240" w:lineRule="atLeast"/>
        <w:rPr>
          <w:color w:val="000000"/>
          <w:sz w:val="22"/>
          <w:szCs w:val="22"/>
          <w:lang w:val="en-GB" w:eastAsia="sv-SE"/>
        </w:rPr>
      </w:pPr>
      <w:r w:rsidRPr="00DC0741">
        <w:rPr>
          <w:color w:val="000000"/>
          <w:sz w:val="22"/>
          <w:szCs w:val="22"/>
          <w:lang w:val="en-GB" w:eastAsia="sv-SE"/>
        </w:rPr>
        <w:t>Aquatic Biodiversity and Protected Areas</w:t>
      </w:r>
    </w:p>
    <w:p w14:paraId="67826978" w14:textId="5E3EA828" w:rsidR="002577CE" w:rsidRPr="00137D78" w:rsidRDefault="002577CE" w:rsidP="002577CE">
      <w:pPr>
        <w:rPr>
          <w:sz w:val="22"/>
          <w:szCs w:val="22"/>
        </w:rPr>
      </w:pPr>
      <w:r w:rsidRPr="00DC0741">
        <w:rPr>
          <w:color w:val="000000"/>
          <w:sz w:val="22"/>
          <w:szCs w:val="22"/>
          <w:lang w:val="en-GB" w:eastAsia="sv-SE"/>
        </w:rPr>
        <w:t>Department for Marine and Water Management</w:t>
      </w:r>
      <w:r w:rsidRPr="002577CE">
        <w:rPr>
          <w:sz w:val="22"/>
          <w:szCs w:val="22"/>
        </w:rPr>
        <w:t xml:space="preserve"> </w:t>
      </w:r>
      <w:r w:rsidR="006220EA" w:rsidRPr="00137D78">
        <w:rPr>
          <w:sz w:val="22"/>
          <w:szCs w:val="22"/>
        </w:rPr>
        <w:t>Swedish Agency for Marine and Water Management</w:t>
      </w:r>
    </w:p>
    <w:p w14:paraId="4A809C94" w14:textId="52D055BC" w:rsidR="006220EA" w:rsidRPr="00846AD1" w:rsidRDefault="006220EA" w:rsidP="006F4BF5">
      <w:pPr>
        <w:rPr>
          <w:sz w:val="22"/>
          <w:szCs w:val="22"/>
        </w:rPr>
      </w:pPr>
      <w:r w:rsidRPr="002577CE">
        <w:rPr>
          <w:sz w:val="22"/>
          <w:szCs w:val="22"/>
        </w:rPr>
        <w:t>Gothenberg, Sweden</w:t>
      </w:r>
    </w:p>
    <w:p w14:paraId="18EECC9B" w14:textId="6B472559" w:rsidR="006220EA" w:rsidRPr="00846AD1" w:rsidRDefault="006220EA" w:rsidP="006F4BF5">
      <w:pPr>
        <w:rPr>
          <w:sz w:val="22"/>
          <w:szCs w:val="22"/>
        </w:rPr>
      </w:pPr>
      <w:r w:rsidRPr="00846AD1">
        <w:rPr>
          <w:sz w:val="22"/>
          <w:szCs w:val="22"/>
        </w:rPr>
        <w:t xml:space="preserve">E-mail: </w:t>
      </w:r>
      <w:hyperlink r:id="rId33" w:history="1">
        <w:r w:rsidRPr="00846AD1">
          <w:rPr>
            <w:rStyle w:val="Hyperlink"/>
            <w:sz w:val="22"/>
            <w:szCs w:val="22"/>
          </w:rPr>
          <w:t>hedvig.hogfors@havochvatten.se</w:t>
        </w:r>
      </w:hyperlink>
      <w:r w:rsidRPr="00846AD1">
        <w:rPr>
          <w:sz w:val="22"/>
          <w:szCs w:val="22"/>
        </w:rPr>
        <w:t xml:space="preserve">  </w:t>
      </w:r>
    </w:p>
    <w:p w14:paraId="671479A4" w14:textId="0301FCCC" w:rsidR="006220EA" w:rsidRPr="00846AD1" w:rsidRDefault="006220EA" w:rsidP="006F4BF5">
      <w:pPr>
        <w:rPr>
          <w:b/>
          <w:sz w:val="22"/>
          <w:szCs w:val="22"/>
        </w:rPr>
      </w:pPr>
    </w:p>
    <w:p w14:paraId="7E4BD4F4" w14:textId="77777777" w:rsidR="00C622E1" w:rsidRPr="00846AD1" w:rsidRDefault="00C622E1" w:rsidP="006F4BF5">
      <w:pPr>
        <w:rPr>
          <w:b/>
          <w:sz w:val="22"/>
          <w:szCs w:val="22"/>
        </w:rPr>
      </w:pPr>
    </w:p>
    <w:p w14:paraId="6DFC5638" w14:textId="7C9770F2" w:rsidR="00B71384" w:rsidRPr="00C622E1" w:rsidRDefault="00826D67" w:rsidP="00C622E1">
      <w:pPr>
        <w:spacing w:after="120"/>
        <w:rPr>
          <w:b/>
          <w:sz w:val="22"/>
          <w:szCs w:val="22"/>
        </w:rPr>
      </w:pPr>
      <w:r w:rsidRPr="006220EA">
        <w:rPr>
          <w:b/>
          <w:sz w:val="22"/>
          <w:szCs w:val="22"/>
        </w:rPr>
        <w:t>TECHNICAL SUPPORT TEAM</w:t>
      </w:r>
    </w:p>
    <w:p w14:paraId="04849450" w14:textId="77777777" w:rsidR="00B71384" w:rsidRPr="006220EA" w:rsidRDefault="00B71384" w:rsidP="00AB0765">
      <w:pPr>
        <w:pStyle w:val="ListParagraph"/>
        <w:numPr>
          <w:ilvl w:val="0"/>
          <w:numId w:val="9"/>
        </w:numPr>
        <w:ind w:leftChars="0" w:left="426" w:hanging="426"/>
        <w:jc w:val="left"/>
        <w:rPr>
          <w:szCs w:val="22"/>
        </w:rPr>
      </w:pPr>
      <w:r w:rsidRPr="006220EA">
        <w:rPr>
          <w:szCs w:val="22"/>
        </w:rPr>
        <w:t>Mr. Patrick N. Halpin</w:t>
      </w:r>
      <w:r w:rsidRPr="006220EA">
        <w:rPr>
          <w:szCs w:val="22"/>
        </w:rPr>
        <w:tab/>
        <w:t xml:space="preserve"> </w:t>
      </w:r>
    </w:p>
    <w:p w14:paraId="6D3A7F2D" w14:textId="187CD39F" w:rsidR="00B71384" w:rsidRPr="006220EA" w:rsidRDefault="00B71384" w:rsidP="006F4BF5">
      <w:pPr>
        <w:rPr>
          <w:sz w:val="22"/>
          <w:szCs w:val="22"/>
        </w:rPr>
      </w:pPr>
      <w:r w:rsidRPr="006220EA">
        <w:rPr>
          <w:sz w:val="22"/>
          <w:szCs w:val="22"/>
        </w:rPr>
        <w:t>Associate Professor of Marine Geospatial Ecology</w:t>
      </w:r>
    </w:p>
    <w:p w14:paraId="1EF915AC" w14:textId="77777777" w:rsidR="002577CE" w:rsidRDefault="002577CE" w:rsidP="006F4BF5">
      <w:pPr>
        <w:rPr>
          <w:sz w:val="22"/>
          <w:szCs w:val="22"/>
        </w:rPr>
      </w:pPr>
      <w:r w:rsidRPr="006220EA">
        <w:rPr>
          <w:sz w:val="22"/>
          <w:szCs w:val="22"/>
        </w:rPr>
        <w:t xml:space="preserve">Marine Geospatial Ecology Lab </w:t>
      </w:r>
    </w:p>
    <w:p w14:paraId="7BAD7F6D" w14:textId="0CE9B0DC" w:rsidR="002577CE" w:rsidRDefault="00B71384" w:rsidP="006F4BF5">
      <w:pPr>
        <w:rPr>
          <w:sz w:val="22"/>
          <w:szCs w:val="22"/>
        </w:rPr>
      </w:pPr>
      <w:r w:rsidRPr="006220EA">
        <w:rPr>
          <w:sz w:val="22"/>
          <w:szCs w:val="22"/>
        </w:rPr>
        <w:t xml:space="preserve">Nicholas School of the Environment </w:t>
      </w:r>
    </w:p>
    <w:p w14:paraId="10C8ABB4" w14:textId="77777777" w:rsidR="00B71384" w:rsidRPr="006220EA" w:rsidRDefault="00B71384" w:rsidP="006F4BF5">
      <w:pPr>
        <w:rPr>
          <w:sz w:val="22"/>
          <w:szCs w:val="22"/>
        </w:rPr>
      </w:pPr>
      <w:r w:rsidRPr="006220EA">
        <w:rPr>
          <w:sz w:val="22"/>
          <w:szCs w:val="22"/>
        </w:rPr>
        <w:t>Duke University</w:t>
      </w:r>
    </w:p>
    <w:p w14:paraId="7D6FCF29" w14:textId="77777777" w:rsidR="00B71384" w:rsidRPr="006220EA" w:rsidRDefault="00B71384" w:rsidP="006F4BF5">
      <w:pPr>
        <w:rPr>
          <w:sz w:val="22"/>
          <w:szCs w:val="22"/>
        </w:rPr>
      </w:pPr>
      <w:r w:rsidRPr="006220EA">
        <w:rPr>
          <w:sz w:val="22"/>
          <w:szCs w:val="22"/>
        </w:rPr>
        <w:t>Beaufort, United States of America</w:t>
      </w:r>
    </w:p>
    <w:p w14:paraId="456B4FA1" w14:textId="77777777" w:rsidR="00B71384" w:rsidRPr="006220EA" w:rsidRDefault="00B71384" w:rsidP="006F4BF5">
      <w:pPr>
        <w:rPr>
          <w:sz w:val="22"/>
          <w:szCs w:val="22"/>
        </w:rPr>
      </w:pPr>
      <w:r w:rsidRPr="006220EA">
        <w:rPr>
          <w:sz w:val="22"/>
          <w:szCs w:val="22"/>
        </w:rPr>
        <w:t xml:space="preserve">E-mail: </w:t>
      </w:r>
      <w:hyperlink r:id="rId34" w:history="1">
        <w:r w:rsidRPr="006220EA">
          <w:rPr>
            <w:rStyle w:val="Hyperlink"/>
            <w:sz w:val="22"/>
            <w:szCs w:val="22"/>
          </w:rPr>
          <w:t>phalpin@duke.edu</w:t>
        </w:r>
      </w:hyperlink>
    </w:p>
    <w:p w14:paraId="63EA13CC" w14:textId="3EB2517E" w:rsidR="006F4BF5" w:rsidRDefault="006F4BF5" w:rsidP="006F4BF5">
      <w:pPr>
        <w:rPr>
          <w:sz w:val="22"/>
          <w:szCs w:val="22"/>
        </w:rPr>
      </w:pPr>
    </w:p>
    <w:p w14:paraId="59ED3413" w14:textId="7BF3ACEB" w:rsidR="00C622E1" w:rsidRDefault="00C622E1" w:rsidP="006F4BF5">
      <w:pPr>
        <w:rPr>
          <w:sz w:val="22"/>
          <w:szCs w:val="22"/>
        </w:rPr>
      </w:pPr>
    </w:p>
    <w:p w14:paraId="4E3DA26A" w14:textId="2D8C9DD7" w:rsidR="00C622E1" w:rsidRDefault="00C622E1" w:rsidP="006F4BF5">
      <w:pPr>
        <w:rPr>
          <w:sz w:val="22"/>
          <w:szCs w:val="22"/>
        </w:rPr>
      </w:pPr>
    </w:p>
    <w:p w14:paraId="585CA41E" w14:textId="77777777" w:rsidR="00C622E1" w:rsidRPr="006220EA" w:rsidRDefault="00C622E1" w:rsidP="006F4BF5">
      <w:pPr>
        <w:rPr>
          <w:sz w:val="22"/>
          <w:szCs w:val="22"/>
        </w:rPr>
      </w:pPr>
    </w:p>
    <w:p w14:paraId="21BF2F9A" w14:textId="77777777" w:rsidR="00B71384" w:rsidRPr="006220EA" w:rsidRDefault="00B71384" w:rsidP="00AB0765">
      <w:pPr>
        <w:numPr>
          <w:ilvl w:val="0"/>
          <w:numId w:val="9"/>
        </w:numPr>
        <w:ind w:left="426" w:hanging="426"/>
        <w:rPr>
          <w:sz w:val="22"/>
          <w:szCs w:val="22"/>
        </w:rPr>
      </w:pPr>
      <w:r w:rsidRPr="006220EA">
        <w:rPr>
          <w:sz w:val="22"/>
          <w:szCs w:val="22"/>
        </w:rPr>
        <w:t>Mr. Jesse Cleary</w:t>
      </w:r>
      <w:r w:rsidRPr="006220EA">
        <w:rPr>
          <w:sz w:val="22"/>
          <w:szCs w:val="22"/>
        </w:rPr>
        <w:tab/>
        <w:t xml:space="preserve"> </w:t>
      </w:r>
    </w:p>
    <w:p w14:paraId="3E91E8F5" w14:textId="77777777" w:rsidR="00B71384" w:rsidRPr="006220EA" w:rsidRDefault="00B71384" w:rsidP="006F4BF5">
      <w:pPr>
        <w:rPr>
          <w:sz w:val="22"/>
          <w:szCs w:val="22"/>
        </w:rPr>
      </w:pPr>
      <w:r w:rsidRPr="006220EA">
        <w:rPr>
          <w:sz w:val="22"/>
          <w:szCs w:val="22"/>
        </w:rPr>
        <w:t>Research Analyst</w:t>
      </w:r>
    </w:p>
    <w:p w14:paraId="7EA2D9D0" w14:textId="77777777" w:rsidR="00B71384" w:rsidRPr="006220EA" w:rsidRDefault="00B71384" w:rsidP="006F4BF5">
      <w:pPr>
        <w:rPr>
          <w:sz w:val="22"/>
          <w:szCs w:val="22"/>
        </w:rPr>
      </w:pPr>
      <w:r w:rsidRPr="006220EA">
        <w:rPr>
          <w:sz w:val="22"/>
          <w:szCs w:val="22"/>
        </w:rPr>
        <w:t>Marine Geospatial Ecology Lab, Nicholas School of the Environment</w:t>
      </w:r>
    </w:p>
    <w:p w14:paraId="488B0676" w14:textId="77777777" w:rsidR="00B71384" w:rsidRPr="006220EA" w:rsidRDefault="00B71384" w:rsidP="006F4BF5">
      <w:pPr>
        <w:rPr>
          <w:sz w:val="22"/>
          <w:szCs w:val="22"/>
        </w:rPr>
      </w:pPr>
      <w:r w:rsidRPr="006220EA">
        <w:rPr>
          <w:sz w:val="22"/>
          <w:szCs w:val="22"/>
        </w:rPr>
        <w:t>Duke University</w:t>
      </w:r>
    </w:p>
    <w:p w14:paraId="1883A720" w14:textId="77777777" w:rsidR="00B71384" w:rsidRPr="006220EA" w:rsidRDefault="00B71384" w:rsidP="006F4BF5">
      <w:pPr>
        <w:rPr>
          <w:sz w:val="22"/>
          <w:szCs w:val="22"/>
        </w:rPr>
      </w:pPr>
      <w:r w:rsidRPr="006220EA">
        <w:rPr>
          <w:sz w:val="22"/>
          <w:szCs w:val="22"/>
        </w:rPr>
        <w:t>Beaufort, United States of America</w:t>
      </w:r>
    </w:p>
    <w:p w14:paraId="0DAF2A54" w14:textId="77777777" w:rsidR="00B71384" w:rsidRPr="006220EA" w:rsidRDefault="00B71384" w:rsidP="006F4BF5">
      <w:pPr>
        <w:rPr>
          <w:sz w:val="22"/>
          <w:szCs w:val="22"/>
          <w:lang w:val="fr-CA"/>
        </w:rPr>
      </w:pPr>
      <w:r w:rsidRPr="006220EA">
        <w:rPr>
          <w:sz w:val="22"/>
          <w:szCs w:val="22"/>
          <w:lang w:val="fr-CA"/>
        </w:rPr>
        <w:t>E-mail: jesse.cleary@duke.edu</w:t>
      </w:r>
    </w:p>
    <w:p w14:paraId="13F798BB" w14:textId="77777777" w:rsidR="00B71384" w:rsidRPr="006220EA" w:rsidRDefault="00B71384" w:rsidP="006F4BF5">
      <w:pPr>
        <w:rPr>
          <w:sz w:val="22"/>
          <w:szCs w:val="22"/>
          <w:lang w:val="fr-CA"/>
        </w:rPr>
      </w:pPr>
    </w:p>
    <w:p w14:paraId="1CAB0AF6" w14:textId="77777777" w:rsidR="00B71384" w:rsidRPr="006220EA" w:rsidRDefault="00B71384" w:rsidP="00AB0765">
      <w:pPr>
        <w:numPr>
          <w:ilvl w:val="0"/>
          <w:numId w:val="9"/>
        </w:numPr>
        <w:ind w:left="426" w:hanging="426"/>
        <w:rPr>
          <w:sz w:val="22"/>
          <w:szCs w:val="22"/>
        </w:rPr>
      </w:pPr>
      <w:r w:rsidRPr="006220EA">
        <w:rPr>
          <w:sz w:val="22"/>
          <w:szCs w:val="22"/>
        </w:rPr>
        <w:t xml:space="preserve">Ms. Sarah DeLand </w:t>
      </w:r>
    </w:p>
    <w:p w14:paraId="68D04EB7" w14:textId="77777777" w:rsidR="00B71384" w:rsidRPr="006220EA" w:rsidRDefault="00B71384" w:rsidP="006F4BF5">
      <w:pPr>
        <w:rPr>
          <w:sz w:val="22"/>
          <w:szCs w:val="22"/>
        </w:rPr>
      </w:pPr>
      <w:r w:rsidRPr="006220EA">
        <w:rPr>
          <w:sz w:val="22"/>
          <w:szCs w:val="22"/>
        </w:rPr>
        <w:t>Research Associate</w:t>
      </w:r>
    </w:p>
    <w:p w14:paraId="1A68AA09" w14:textId="77777777" w:rsidR="00B71384" w:rsidRPr="006220EA" w:rsidRDefault="00B71384" w:rsidP="006F4BF5">
      <w:pPr>
        <w:rPr>
          <w:sz w:val="22"/>
          <w:szCs w:val="22"/>
        </w:rPr>
      </w:pPr>
      <w:r w:rsidRPr="006220EA">
        <w:rPr>
          <w:sz w:val="22"/>
          <w:szCs w:val="22"/>
        </w:rPr>
        <w:t>Marine Geospatial Ecology Lab</w:t>
      </w:r>
    </w:p>
    <w:p w14:paraId="3C4FCFCB" w14:textId="77777777" w:rsidR="00B71384" w:rsidRPr="006220EA" w:rsidRDefault="00B71384" w:rsidP="006F4BF5">
      <w:pPr>
        <w:rPr>
          <w:sz w:val="22"/>
          <w:szCs w:val="22"/>
        </w:rPr>
      </w:pPr>
      <w:r w:rsidRPr="006220EA">
        <w:rPr>
          <w:sz w:val="22"/>
          <w:szCs w:val="22"/>
        </w:rPr>
        <w:t>Nicholas School of the Environment</w:t>
      </w:r>
    </w:p>
    <w:p w14:paraId="5CE3853F" w14:textId="77777777" w:rsidR="00B71384" w:rsidRPr="006220EA" w:rsidRDefault="00B71384" w:rsidP="006F4BF5">
      <w:pPr>
        <w:rPr>
          <w:sz w:val="22"/>
          <w:szCs w:val="22"/>
        </w:rPr>
      </w:pPr>
      <w:r w:rsidRPr="006220EA">
        <w:rPr>
          <w:sz w:val="22"/>
          <w:szCs w:val="22"/>
        </w:rPr>
        <w:t>Duke University</w:t>
      </w:r>
    </w:p>
    <w:p w14:paraId="1F7BAE4F" w14:textId="77777777" w:rsidR="00B71384" w:rsidRPr="006220EA" w:rsidRDefault="00B71384" w:rsidP="006F4BF5">
      <w:pPr>
        <w:rPr>
          <w:sz w:val="22"/>
          <w:szCs w:val="22"/>
        </w:rPr>
      </w:pPr>
      <w:r w:rsidRPr="006220EA">
        <w:rPr>
          <w:sz w:val="22"/>
          <w:szCs w:val="22"/>
        </w:rPr>
        <w:t>Beaufort, United States of America</w:t>
      </w:r>
    </w:p>
    <w:p w14:paraId="66DAE02B" w14:textId="77777777" w:rsidR="00B71384" w:rsidRPr="006220EA" w:rsidRDefault="00B71384" w:rsidP="006F4BF5">
      <w:pPr>
        <w:rPr>
          <w:sz w:val="22"/>
          <w:szCs w:val="22"/>
          <w:lang w:val="fr-CA"/>
        </w:rPr>
      </w:pPr>
      <w:r w:rsidRPr="006220EA">
        <w:rPr>
          <w:sz w:val="22"/>
          <w:szCs w:val="22"/>
          <w:lang w:val="fr-CA"/>
        </w:rPr>
        <w:t xml:space="preserve">E-mail: </w:t>
      </w:r>
      <w:hyperlink r:id="rId35" w:history="1">
        <w:r w:rsidRPr="006220EA">
          <w:rPr>
            <w:rStyle w:val="Hyperlink"/>
            <w:sz w:val="22"/>
            <w:szCs w:val="22"/>
            <w:lang w:val="fr-CA"/>
          </w:rPr>
          <w:t>sarah.deland@duke.edu</w:t>
        </w:r>
      </w:hyperlink>
    </w:p>
    <w:p w14:paraId="75D6B8CB" w14:textId="77777777" w:rsidR="00B71384" w:rsidRPr="006220EA" w:rsidRDefault="00B71384" w:rsidP="006F4BF5">
      <w:pPr>
        <w:rPr>
          <w:sz w:val="22"/>
          <w:szCs w:val="22"/>
          <w:lang w:val="fr-CA"/>
        </w:rPr>
      </w:pPr>
    </w:p>
    <w:p w14:paraId="5E6B6A9B" w14:textId="77777777" w:rsidR="00427FED" w:rsidRPr="00606D05" w:rsidRDefault="00427FED" w:rsidP="00C622E1">
      <w:pPr>
        <w:spacing w:after="120"/>
        <w:rPr>
          <w:b/>
          <w:sz w:val="22"/>
          <w:szCs w:val="22"/>
          <w:lang w:val="fr-FR"/>
        </w:rPr>
      </w:pPr>
    </w:p>
    <w:p w14:paraId="5B1C5AAD" w14:textId="77777777" w:rsidR="00427FED" w:rsidRPr="00606D05" w:rsidRDefault="00427FED" w:rsidP="00C622E1">
      <w:pPr>
        <w:spacing w:after="120"/>
        <w:rPr>
          <w:b/>
          <w:sz w:val="22"/>
          <w:szCs w:val="22"/>
          <w:lang w:val="fr-FR"/>
        </w:rPr>
      </w:pPr>
    </w:p>
    <w:p w14:paraId="5BB6D72C" w14:textId="77777777" w:rsidR="00427FED" w:rsidRPr="00606D05" w:rsidRDefault="00427FED" w:rsidP="00C622E1">
      <w:pPr>
        <w:spacing w:after="120"/>
        <w:rPr>
          <w:b/>
          <w:sz w:val="22"/>
          <w:szCs w:val="22"/>
          <w:lang w:val="fr-FR"/>
        </w:rPr>
      </w:pPr>
    </w:p>
    <w:p w14:paraId="3CD6461E" w14:textId="77777777" w:rsidR="00427FED" w:rsidRPr="00606D05" w:rsidRDefault="00427FED" w:rsidP="00C622E1">
      <w:pPr>
        <w:spacing w:after="120"/>
        <w:rPr>
          <w:b/>
          <w:sz w:val="22"/>
          <w:szCs w:val="22"/>
          <w:lang w:val="fr-FR"/>
        </w:rPr>
      </w:pPr>
    </w:p>
    <w:p w14:paraId="3279DD75" w14:textId="77777777" w:rsidR="00427FED" w:rsidRPr="00606D05" w:rsidRDefault="00427FED" w:rsidP="00C622E1">
      <w:pPr>
        <w:spacing w:after="120"/>
        <w:rPr>
          <w:b/>
          <w:sz w:val="22"/>
          <w:szCs w:val="22"/>
          <w:lang w:val="fr-FR"/>
        </w:rPr>
      </w:pPr>
    </w:p>
    <w:p w14:paraId="7014EADB" w14:textId="77777777" w:rsidR="00427FED" w:rsidRPr="00606D05" w:rsidRDefault="00427FED" w:rsidP="00C622E1">
      <w:pPr>
        <w:spacing w:after="120"/>
        <w:rPr>
          <w:b/>
          <w:sz w:val="22"/>
          <w:szCs w:val="22"/>
          <w:lang w:val="fr-FR"/>
        </w:rPr>
      </w:pPr>
    </w:p>
    <w:p w14:paraId="3FF6EB10" w14:textId="08318DAD" w:rsidR="00B71384" w:rsidRPr="006220EA" w:rsidRDefault="00826D67" w:rsidP="00C622E1">
      <w:pPr>
        <w:spacing w:after="120"/>
        <w:rPr>
          <w:b/>
          <w:sz w:val="22"/>
          <w:szCs w:val="22"/>
        </w:rPr>
      </w:pPr>
      <w:r w:rsidRPr="006220EA">
        <w:rPr>
          <w:b/>
          <w:sz w:val="22"/>
          <w:szCs w:val="22"/>
        </w:rPr>
        <w:t>SECRETARIAT OF THE CONVENTION ON BIOLOGICAL DIVERSITY</w:t>
      </w:r>
    </w:p>
    <w:p w14:paraId="7EA488FE" w14:textId="0EFF57EB" w:rsidR="00B71384" w:rsidRPr="006220EA" w:rsidRDefault="00B71384" w:rsidP="00AB0765">
      <w:pPr>
        <w:pStyle w:val="ListParagraph"/>
        <w:numPr>
          <w:ilvl w:val="0"/>
          <w:numId w:val="9"/>
        </w:numPr>
        <w:ind w:leftChars="0" w:left="426" w:hanging="426"/>
        <w:jc w:val="left"/>
        <w:rPr>
          <w:szCs w:val="22"/>
        </w:rPr>
      </w:pPr>
      <w:r w:rsidRPr="006220EA">
        <w:rPr>
          <w:szCs w:val="22"/>
        </w:rPr>
        <w:t>Mr. Jo</w:t>
      </w:r>
      <w:r w:rsidR="00826D67" w:rsidRPr="006220EA">
        <w:rPr>
          <w:szCs w:val="22"/>
        </w:rPr>
        <w:t xml:space="preserve">seph </w:t>
      </w:r>
      <w:r w:rsidRPr="006220EA">
        <w:rPr>
          <w:szCs w:val="22"/>
        </w:rPr>
        <w:t>Appiott</w:t>
      </w:r>
    </w:p>
    <w:p w14:paraId="092883B8" w14:textId="77777777" w:rsidR="00B71384" w:rsidRPr="006220EA" w:rsidRDefault="00B71384" w:rsidP="006F4BF5">
      <w:pPr>
        <w:rPr>
          <w:sz w:val="22"/>
          <w:szCs w:val="22"/>
        </w:rPr>
      </w:pPr>
      <w:r w:rsidRPr="006220EA">
        <w:rPr>
          <w:sz w:val="22"/>
          <w:szCs w:val="22"/>
        </w:rPr>
        <w:t>Associate Programme Management Officer</w:t>
      </w:r>
    </w:p>
    <w:p w14:paraId="7251DEAA" w14:textId="77777777" w:rsidR="00B71384" w:rsidRPr="006220EA" w:rsidRDefault="00B71384" w:rsidP="006F4BF5">
      <w:pPr>
        <w:rPr>
          <w:sz w:val="22"/>
          <w:szCs w:val="22"/>
        </w:rPr>
      </w:pPr>
      <w:r w:rsidRPr="006220EA">
        <w:rPr>
          <w:sz w:val="22"/>
          <w:szCs w:val="22"/>
        </w:rPr>
        <w:t>Marine, Coastal and Island Biodiversity</w:t>
      </w:r>
    </w:p>
    <w:p w14:paraId="49D82222" w14:textId="77777777" w:rsidR="00B71384" w:rsidRPr="006220EA" w:rsidRDefault="00B71384" w:rsidP="006F4BF5">
      <w:pPr>
        <w:rPr>
          <w:sz w:val="22"/>
          <w:szCs w:val="22"/>
        </w:rPr>
      </w:pPr>
      <w:r w:rsidRPr="006220EA">
        <w:rPr>
          <w:sz w:val="22"/>
          <w:szCs w:val="22"/>
        </w:rPr>
        <w:t>Secretariat of the Convention on Biological Diversity</w:t>
      </w:r>
    </w:p>
    <w:p w14:paraId="03A24E4B" w14:textId="77777777" w:rsidR="00B71384" w:rsidRPr="006220EA" w:rsidRDefault="00B71384" w:rsidP="006F4BF5">
      <w:pPr>
        <w:rPr>
          <w:sz w:val="22"/>
          <w:szCs w:val="22"/>
        </w:rPr>
      </w:pPr>
      <w:r w:rsidRPr="006220EA">
        <w:rPr>
          <w:sz w:val="22"/>
          <w:szCs w:val="22"/>
        </w:rPr>
        <w:t>United Nations Environment Programme</w:t>
      </w:r>
    </w:p>
    <w:p w14:paraId="04A241DB" w14:textId="77777777" w:rsidR="00B71384" w:rsidRPr="006220EA" w:rsidRDefault="00B71384" w:rsidP="006F4BF5">
      <w:pPr>
        <w:rPr>
          <w:sz w:val="22"/>
          <w:szCs w:val="22"/>
        </w:rPr>
      </w:pPr>
      <w:r w:rsidRPr="006220EA">
        <w:rPr>
          <w:sz w:val="22"/>
          <w:szCs w:val="22"/>
        </w:rPr>
        <w:t>Montreal, Canada</w:t>
      </w:r>
    </w:p>
    <w:p w14:paraId="5FC52149" w14:textId="77777777" w:rsidR="00B71384" w:rsidRPr="006220EA" w:rsidRDefault="00B71384" w:rsidP="006F4BF5">
      <w:pPr>
        <w:rPr>
          <w:rStyle w:val="Hyperlink"/>
          <w:sz w:val="22"/>
          <w:szCs w:val="22"/>
        </w:rPr>
      </w:pPr>
      <w:r w:rsidRPr="006220EA">
        <w:rPr>
          <w:sz w:val="22"/>
          <w:szCs w:val="22"/>
        </w:rPr>
        <w:t xml:space="preserve">E-mail: </w:t>
      </w:r>
      <w:hyperlink r:id="rId36" w:history="1">
        <w:r w:rsidRPr="006220EA">
          <w:rPr>
            <w:rStyle w:val="Hyperlink"/>
            <w:sz w:val="22"/>
            <w:szCs w:val="22"/>
          </w:rPr>
          <w:t>joseph.appiott@cbd.int</w:t>
        </w:r>
      </w:hyperlink>
    </w:p>
    <w:p w14:paraId="289AC63D" w14:textId="6E1DE0C8" w:rsidR="00B71384" w:rsidRDefault="00B71384" w:rsidP="006F4BF5">
      <w:pPr>
        <w:rPr>
          <w:sz w:val="22"/>
          <w:szCs w:val="22"/>
        </w:rPr>
      </w:pPr>
    </w:p>
    <w:p w14:paraId="7E1B657E" w14:textId="77777777" w:rsidR="00C622E1" w:rsidRPr="006220EA" w:rsidRDefault="00C622E1" w:rsidP="00AB0765">
      <w:pPr>
        <w:pStyle w:val="ListParagraph"/>
        <w:numPr>
          <w:ilvl w:val="0"/>
          <w:numId w:val="9"/>
        </w:numPr>
        <w:ind w:leftChars="0" w:left="426" w:hanging="426"/>
        <w:jc w:val="left"/>
        <w:rPr>
          <w:szCs w:val="22"/>
        </w:rPr>
      </w:pPr>
      <w:r w:rsidRPr="006220EA">
        <w:rPr>
          <w:szCs w:val="22"/>
        </w:rPr>
        <w:t>Jacqueline Grekin</w:t>
      </w:r>
    </w:p>
    <w:p w14:paraId="7C117E84" w14:textId="77777777" w:rsidR="00C622E1" w:rsidRPr="006220EA" w:rsidRDefault="00C622E1" w:rsidP="00C622E1">
      <w:pPr>
        <w:rPr>
          <w:sz w:val="22"/>
          <w:szCs w:val="22"/>
        </w:rPr>
      </w:pPr>
      <w:r w:rsidRPr="006220EA">
        <w:rPr>
          <w:sz w:val="22"/>
          <w:szCs w:val="22"/>
        </w:rPr>
        <w:t>Programme Assistant</w:t>
      </w:r>
    </w:p>
    <w:p w14:paraId="462F95F3" w14:textId="77777777" w:rsidR="00C622E1" w:rsidRPr="006220EA" w:rsidRDefault="00C622E1" w:rsidP="00C622E1">
      <w:pPr>
        <w:rPr>
          <w:sz w:val="22"/>
          <w:szCs w:val="22"/>
        </w:rPr>
      </w:pPr>
      <w:r w:rsidRPr="006220EA">
        <w:rPr>
          <w:sz w:val="22"/>
          <w:szCs w:val="22"/>
        </w:rPr>
        <w:t>Marine, Coastal and Island Biodiversity</w:t>
      </w:r>
    </w:p>
    <w:p w14:paraId="2A9858D4" w14:textId="77777777" w:rsidR="00C622E1" w:rsidRPr="006220EA" w:rsidRDefault="00C622E1" w:rsidP="00C622E1">
      <w:pPr>
        <w:rPr>
          <w:sz w:val="22"/>
          <w:szCs w:val="22"/>
        </w:rPr>
      </w:pPr>
      <w:r w:rsidRPr="006220EA">
        <w:rPr>
          <w:sz w:val="22"/>
          <w:szCs w:val="22"/>
        </w:rPr>
        <w:t>Secretariat of the Convention on Biological Diversity</w:t>
      </w:r>
    </w:p>
    <w:p w14:paraId="319496C8" w14:textId="77777777" w:rsidR="00C622E1" w:rsidRPr="006220EA" w:rsidRDefault="00C622E1" w:rsidP="00C622E1">
      <w:pPr>
        <w:rPr>
          <w:sz w:val="22"/>
          <w:szCs w:val="22"/>
        </w:rPr>
      </w:pPr>
      <w:r w:rsidRPr="006220EA">
        <w:rPr>
          <w:sz w:val="22"/>
          <w:szCs w:val="22"/>
        </w:rPr>
        <w:t>United Nations Environment Programme</w:t>
      </w:r>
    </w:p>
    <w:p w14:paraId="2C69415C" w14:textId="77777777" w:rsidR="00C622E1" w:rsidRPr="006220EA" w:rsidRDefault="00C622E1" w:rsidP="00C622E1">
      <w:pPr>
        <w:rPr>
          <w:sz w:val="22"/>
          <w:szCs w:val="22"/>
        </w:rPr>
      </w:pPr>
      <w:r w:rsidRPr="006220EA">
        <w:rPr>
          <w:sz w:val="22"/>
          <w:szCs w:val="22"/>
        </w:rPr>
        <w:t>Montreal, Canada</w:t>
      </w:r>
    </w:p>
    <w:p w14:paraId="5CFD43EE" w14:textId="77777777" w:rsidR="00C622E1" w:rsidRPr="006220EA" w:rsidRDefault="00C622E1" w:rsidP="00C622E1">
      <w:pPr>
        <w:rPr>
          <w:sz w:val="22"/>
          <w:szCs w:val="22"/>
        </w:rPr>
      </w:pPr>
      <w:r w:rsidRPr="006220EA">
        <w:rPr>
          <w:sz w:val="22"/>
          <w:szCs w:val="22"/>
        </w:rPr>
        <w:t xml:space="preserve">E-mail: </w:t>
      </w:r>
      <w:hyperlink r:id="rId37" w:history="1">
        <w:r w:rsidRPr="006220EA">
          <w:rPr>
            <w:rStyle w:val="Hyperlink"/>
            <w:sz w:val="22"/>
            <w:szCs w:val="22"/>
          </w:rPr>
          <w:t>jacqueline.grekin@un.org</w:t>
        </w:r>
      </w:hyperlink>
    </w:p>
    <w:p w14:paraId="0B4556B0" w14:textId="77777777" w:rsidR="00C622E1" w:rsidRPr="006220EA" w:rsidRDefault="00C622E1" w:rsidP="006F4BF5">
      <w:pPr>
        <w:rPr>
          <w:sz w:val="22"/>
          <w:szCs w:val="22"/>
        </w:rPr>
      </w:pPr>
    </w:p>
    <w:p w14:paraId="54B3C808" w14:textId="72C09205" w:rsidR="00B71384" w:rsidRPr="006220EA" w:rsidRDefault="00B71384" w:rsidP="00AB0765">
      <w:pPr>
        <w:pStyle w:val="ListParagraph"/>
        <w:numPr>
          <w:ilvl w:val="0"/>
          <w:numId w:val="9"/>
        </w:numPr>
        <w:ind w:leftChars="0" w:left="426" w:hanging="426"/>
        <w:jc w:val="left"/>
        <w:rPr>
          <w:szCs w:val="22"/>
        </w:rPr>
      </w:pPr>
      <w:r w:rsidRPr="006220EA">
        <w:rPr>
          <w:szCs w:val="22"/>
        </w:rPr>
        <w:t>Mr. Christopher Barrio Froján</w:t>
      </w:r>
      <w:r w:rsidR="00C622E1" w:rsidRPr="00C622E1">
        <w:rPr>
          <w:rStyle w:val="FootnoteReference"/>
          <w:szCs w:val="22"/>
          <w:vertAlign w:val="superscript"/>
        </w:rPr>
        <w:footnoteReference w:id="5"/>
      </w:r>
    </w:p>
    <w:p w14:paraId="100DCBC0" w14:textId="77777777" w:rsidR="00B71384" w:rsidRPr="006220EA" w:rsidRDefault="00B71384" w:rsidP="006F4BF5">
      <w:pPr>
        <w:rPr>
          <w:sz w:val="22"/>
          <w:szCs w:val="22"/>
        </w:rPr>
      </w:pPr>
      <w:r w:rsidRPr="006220EA">
        <w:rPr>
          <w:sz w:val="22"/>
          <w:szCs w:val="22"/>
        </w:rPr>
        <w:t>Seascape Consultants Ltd</w:t>
      </w:r>
    </w:p>
    <w:p w14:paraId="7C4E4D5A" w14:textId="77777777" w:rsidR="00B71384" w:rsidRPr="006220EA" w:rsidRDefault="00B71384" w:rsidP="006F4BF5">
      <w:pPr>
        <w:rPr>
          <w:sz w:val="22"/>
          <w:szCs w:val="22"/>
        </w:rPr>
      </w:pPr>
      <w:r w:rsidRPr="006220EA">
        <w:rPr>
          <w:sz w:val="22"/>
          <w:szCs w:val="22"/>
        </w:rPr>
        <w:t>Romsey, United Kingdom of Great Britain and Northern Ireland</w:t>
      </w:r>
    </w:p>
    <w:p w14:paraId="62FA7645" w14:textId="18760747" w:rsidR="00B71384" w:rsidRPr="00846AD1" w:rsidRDefault="00B71384" w:rsidP="006F4BF5">
      <w:pPr>
        <w:rPr>
          <w:rStyle w:val="Hyperlink"/>
          <w:sz w:val="22"/>
          <w:szCs w:val="22"/>
          <w:lang w:val="fr-CA"/>
        </w:rPr>
      </w:pPr>
      <w:r w:rsidRPr="00846AD1">
        <w:rPr>
          <w:sz w:val="22"/>
          <w:szCs w:val="22"/>
          <w:lang w:val="fr-CA"/>
        </w:rPr>
        <w:t>E-mail:</w:t>
      </w:r>
      <w:r w:rsidR="00C622E1" w:rsidRPr="00846AD1">
        <w:rPr>
          <w:sz w:val="22"/>
          <w:szCs w:val="22"/>
          <w:lang w:val="fr-CA"/>
        </w:rPr>
        <w:t xml:space="preserve"> </w:t>
      </w:r>
      <w:hyperlink r:id="rId38" w:history="1">
        <w:r w:rsidR="00C622E1" w:rsidRPr="00846AD1">
          <w:rPr>
            <w:rStyle w:val="Hyperlink"/>
            <w:sz w:val="22"/>
            <w:szCs w:val="22"/>
            <w:lang w:val="fr-CA"/>
          </w:rPr>
          <w:t>christopher.barrio@seascapeconsultants.co.uk</w:t>
        </w:r>
      </w:hyperlink>
    </w:p>
    <w:p w14:paraId="3D982995" w14:textId="77777777" w:rsidR="00B71384" w:rsidRPr="00846AD1" w:rsidRDefault="00B71384" w:rsidP="006F4BF5">
      <w:pPr>
        <w:rPr>
          <w:sz w:val="22"/>
          <w:szCs w:val="22"/>
          <w:lang w:val="fr-CA"/>
        </w:rPr>
      </w:pPr>
    </w:p>
    <w:p w14:paraId="5AB5DFF9" w14:textId="77777777" w:rsidR="00B71384" w:rsidRPr="00846AD1" w:rsidRDefault="00B71384" w:rsidP="006F4BF5">
      <w:pPr>
        <w:rPr>
          <w:sz w:val="22"/>
          <w:szCs w:val="22"/>
          <w:lang w:val="fr-CA"/>
        </w:rPr>
        <w:sectPr w:rsidR="00B71384" w:rsidRPr="00846AD1" w:rsidSect="00B71384">
          <w:type w:val="continuous"/>
          <w:pgSz w:w="12240" w:h="15840" w:code="1"/>
          <w:pgMar w:top="1021" w:right="1440" w:bottom="1134" w:left="1440" w:header="720" w:footer="720" w:gutter="0"/>
          <w:cols w:num="2" w:space="708"/>
          <w:titlePg/>
          <w:docGrid w:linePitch="360"/>
        </w:sectPr>
      </w:pPr>
    </w:p>
    <w:p w14:paraId="3FBCBB8E" w14:textId="77777777" w:rsidR="007E767C" w:rsidRPr="00846AD1" w:rsidRDefault="007E767C" w:rsidP="006F4BF5">
      <w:pPr>
        <w:rPr>
          <w:sz w:val="22"/>
          <w:szCs w:val="22"/>
          <w:lang w:val="fr-CA"/>
        </w:rPr>
      </w:pPr>
      <w:r w:rsidRPr="00846AD1">
        <w:rPr>
          <w:sz w:val="22"/>
          <w:szCs w:val="22"/>
          <w:lang w:val="fr-CA"/>
        </w:rPr>
        <w:br w:type="page"/>
      </w:r>
    </w:p>
    <w:p w14:paraId="285F14D3" w14:textId="0E5E3A56" w:rsidR="00F952A8" w:rsidRPr="006220EA" w:rsidRDefault="008152B4" w:rsidP="00F952A8">
      <w:pPr>
        <w:pStyle w:val="Heading3"/>
        <w:spacing w:before="0"/>
        <w:rPr>
          <w:szCs w:val="22"/>
        </w:rPr>
      </w:pPr>
      <w:r w:rsidRPr="006220EA">
        <w:rPr>
          <w:szCs w:val="22"/>
        </w:rPr>
        <w:lastRenderedPageBreak/>
        <w:t>Annex II</w:t>
      </w:r>
    </w:p>
    <w:p w14:paraId="6009F2EA" w14:textId="5522C092" w:rsidR="00F952A8" w:rsidRPr="006220EA" w:rsidRDefault="00F952A8" w:rsidP="00773610">
      <w:pPr>
        <w:pStyle w:val="HEADINGNOTFORTOC"/>
        <w:rPr>
          <w:szCs w:val="22"/>
        </w:rPr>
      </w:pPr>
      <w:r w:rsidRPr="006220EA">
        <w:rPr>
          <w:szCs w:val="22"/>
        </w:rPr>
        <w:t>summary of theme presentations</w:t>
      </w:r>
    </w:p>
    <w:p w14:paraId="076DFEB8" w14:textId="49D9D515" w:rsidR="00EE73BF" w:rsidRPr="006220EA" w:rsidRDefault="00692F16" w:rsidP="00826D67">
      <w:pPr>
        <w:autoSpaceDE w:val="0"/>
        <w:autoSpaceDN w:val="0"/>
        <w:adjustRightInd w:val="0"/>
        <w:jc w:val="both"/>
        <w:rPr>
          <w:sz w:val="22"/>
          <w:szCs w:val="22"/>
        </w:rPr>
      </w:pPr>
      <w:r w:rsidRPr="006220EA">
        <w:rPr>
          <w:b/>
          <w:i/>
          <w:sz w:val="22"/>
          <w:szCs w:val="22"/>
        </w:rPr>
        <w:t>Mr. Joseph Appiott (Secretariat</w:t>
      </w:r>
      <w:r w:rsidR="00EE73BF" w:rsidRPr="006220EA">
        <w:rPr>
          <w:b/>
          <w:i/>
          <w:sz w:val="22"/>
          <w:szCs w:val="22"/>
        </w:rPr>
        <w:t xml:space="preserve"> of the Convention on Biological Diversity</w:t>
      </w:r>
      <w:r w:rsidRPr="006220EA">
        <w:rPr>
          <w:b/>
          <w:i/>
          <w:sz w:val="22"/>
          <w:szCs w:val="22"/>
        </w:rPr>
        <w:t>)</w:t>
      </w:r>
      <w:r w:rsidRPr="006220EA">
        <w:rPr>
          <w:sz w:val="22"/>
          <w:szCs w:val="22"/>
        </w:rPr>
        <w:t xml:space="preserve"> </w:t>
      </w:r>
    </w:p>
    <w:p w14:paraId="74F4BD7D" w14:textId="01F1B1BF" w:rsidR="00EE73BF" w:rsidRPr="006220EA" w:rsidRDefault="00EE73BF" w:rsidP="00EE73BF">
      <w:pPr>
        <w:autoSpaceDE w:val="0"/>
        <w:autoSpaceDN w:val="0"/>
        <w:adjustRightInd w:val="0"/>
        <w:jc w:val="both"/>
        <w:rPr>
          <w:sz w:val="22"/>
          <w:szCs w:val="22"/>
        </w:rPr>
      </w:pPr>
      <w:r w:rsidRPr="006220EA">
        <w:rPr>
          <w:sz w:val="22"/>
          <w:szCs w:val="22"/>
        </w:rPr>
        <w:t>Mr. Appiott delivered a presentation outlining the background of the workshop in the context of the Strategic Plan for Biodiversity 2011-2020 and its Aichi Biodiversity Targets. He highlighted the close interlinkages between the Aichi Targets and the Sustainable Development Goals (SDGs), particularly SDG 14. He described the relevant work of the C</w:t>
      </w:r>
      <w:r w:rsidR="002577CE">
        <w:rPr>
          <w:sz w:val="22"/>
          <w:szCs w:val="22"/>
        </w:rPr>
        <w:t>onvention</w:t>
      </w:r>
      <w:r w:rsidRPr="006220EA">
        <w:rPr>
          <w:sz w:val="22"/>
          <w:szCs w:val="22"/>
        </w:rPr>
        <w:t xml:space="preserve"> on marine and coastal biodiversity, including its work on facilitating the description of EBSAs, addressing the impacts of threats on marine biodiversity, management tools and guidelines, and the capacity</w:t>
      </w:r>
      <w:r w:rsidR="002577CE">
        <w:rPr>
          <w:sz w:val="22"/>
          <w:szCs w:val="22"/>
        </w:rPr>
        <w:t>-</w:t>
      </w:r>
      <w:r w:rsidRPr="006220EA">
        <w:rPr>
          <w:sz w:val="22"/>
          <w:szCs w:val="22"/>
        </w:rPr>
        <w:t>development activities of the Sustainable Ocean Initiative. He introduced the process for describing EBSAs, beginning with the adoption of the EBSA criteria at the ninth meeting of the Conference of the Parties (COP 9) to the CBD and the call by the tenth meeting of the Conference of the Parties (COP 10) to organize a series of regional EBSA workshops. Since 2011, the CBD Secretariat has convened 15 regional workshops (including th</w:t>
      </w:r>
      <w:r w:rsidR="002577CE">
        <w:rPr>
          <w:sz w:val="22"/>
          <w:szCs w:val="22"/>
        </w:rPr>
        <w:t>e</w:t>
      </w:r>
      <w:r w:rsidRPr="006220EA">
        <w:rPr>
          <w:sz w:val="22"/>
          <w:szCs w:val="22"/>
        </w:rPr>
        <w:t xml:space="preserve"> </w:t>
      </w:r>
      <w:r w:rsidR="002577CE">
        <w:rPr>
          <w:sz w:val="22"/>
          <w:szCs w:val="22"/>
        </w:rPr>
        <w:t xml:space="preserve">present </w:t>
      </w:r>
      <w:r w:rsidRPr="006220EA">
        <w:rPr>
          <w:sz w:val="22"/>
          <w:szCs w:val="22"/>
        </w:rPr>
        <w:t>workshop) to facilitate the description of areas meeting the EBSA criteria, pursuant to COP decisions X/29, XI/17, XII/22 and XIII/12. So far, a total of 321 areas have been described as meeting the EBSA criteria. These areas have been considered by the CBD COP at its eleventh, twelfth, thirteenth and fourteenth meetings, which have requested that the summary reports on the outputs of these regional EBSA workshops be submitted to the United Nations General Assembly and its relevant working groups. Mr. Appiott went on to emphasize that the application of the EBSA criteria is a scientific and technical exercise and that areas found to meet the EBSA criteria may require enhanced conservation and management measures, which can be achieved through a variety of means, including MPAs and impact assessments, for example. He emphasized that EBSAs are not MPAs, nor fishing closures, and that the identification of EBSAs and the selection of conservation and management measures is a matter for States and competent intergovernmental organizations. He then pointed out that the EBSA process may support the strengthening of the region’s efforts to meet its goals for conservation and sustainable use of marine biodiversity, by facilitating scientific collaboration and increasing awareness.</w:t>
      </w:r>
    </w:p>
    <w:p w14:paraId="1A49DACA" w14:textId="77777777" w:rsidR="00C35B9B" w:rsidRPr="006220EA" w:rsidRDefault="00C35B9B" w:rsidP="006220EA">
      <w:pPr>
        <w:autoSpaceDE w:val="0"/>
        <w:autoSpaceDN w:val="0"/>
        <w:adjustRightInd w:val="0"/>
        <w:jc w:val="both"/>
        <w:rPr>
          <w:sz w:val="22"/>
          <w:szCs w:val="22"/>
        </w:rPr>
      </w:pPr>
    </w:p>
    <w:p w14:paraId="1E5B25C4" w14:textId="1F2CE5B7" w:rsidR="00C35B9B" w:rsidRPr="006220EA" w:rsidRDefault="00C35B9B" w:rsidP="006220EA">
      <w:pPr>
        <w:autoSpaceDE w:val="0"/>
        <w:autoSpaceDN w:val="0"/>
        <w:adjustRightInd w:val="0"/>
        <w:jc w:val="both"/>
        <w:rPr>
          <w:b/>
          <w:i/>
          <w:sz w:val="22"/>
          <w:szCs w:val="22"/>
          <w:lang w:val="sv-SE" w:eastAsia="ko-KR"/>
        </w:rPr>
      </w:pPr>
      <w:r w:rsidRPr="006220EA">
        <w:rPr>
          <w:b/>
          <w:i/>
          <w:sz w:val="22"/>
          <w:szCs w:val="22"/>
          <w:lang w:val="sv-SE" w:eastAsia="ko-KR"/>
        </w:rPr>
        <w:t>Mosaic:</w:t>
      </w:r>
      <w:r w:rsidRPr="006220EA">
        <w:rPr>
          <w:rFonts w:eastAsiaTheme="minorEastAsia"/>
          <w:b/>
          <w:i/>
          <w:color w:val="FFFFFF" w:themeColor="background1"/>
          <w:kern w:val="24"/>
          <w:sz w:val="22"/>
          <w:szCs w:val="22"/>
          <w:lang w:val="en-US" w:eastAsia="fr-CA"/>
        </w:rPr>
        <w:t xml:space="preserve"> </w:t>
      </w:r>
      <w:r w:rsidRPr="006220EA">
        <w:rPr>
          <w:b/>
          <w:i/>
          <w:sz w:val="22"/>
          <w:szCs w:val="22"/>
          <w:lang w:val="en-US" w:eastAsia="ko-KR"/>
        </w:rPr>
        <w:t>a new framework to facilitate ecosystem approach to spatial</w:t>
      </w:r>
      <w:r w:rsidR="004457AD">
        <w:rPr>
          <w:b/>
          <w:i/>
          <w:sz w:val="22"/>
          <w:szCs w:val="22"/>
          <w:lang w:val="en-US" w:eastAsia="ko-KR"/>
        </w:rPr>
        <w:t xml:space="preserve"> </w:t>
      </w:r>
      <w:r w:rsidRPr="006220EA">
        <w:rPr>
          <w:b/>
          <w:i/>
          <w:sz w:val="22"/>
          <w:szCs w:val="22"/>
          <w:lang w:val="en-US" w:eastAsia="ko-KR"/>
        </w:rPr>
        <w:t xml:space="preserve">management (by Ms. </w:t>
      </w:r>
      <w:r w:rsidRPr="006220EA">
        <w:rPr>
          <w:b/>
          <w:i/>
          <w:sz w:val="22"/>
          <w:szCs w:val="22"/>
          <w:lang w:val="sv-SE" w:eastAsia="ko-KR"/>
        </w:rPr>
        <w:t>Hedvig Hogfors, (</w:t>
      </w:r>
      <w:r w:rsidR="002577CE" w:rsidRPr="002577CE">
        <w:rPr>
          <w:b/>
          <w:i/>
          <w:sz w:val="22"/>
          <w:szCs w:val="22"/>
          <w:lang w:val="sv-SE" w:eastAsia="ko-KR"/>
        </w:rPr>
        <w:t xml:space="preserve">Swedish Agency for Marine and Water Management </w:t>
      </w:r>
      <w:r w:rsidRPr="006220EA">
        <w:rPr>
          <w:b/>
          <w:i/>
          <w:sz w:val="22"/>
          <w:szCs w:val="22"/>
          <w:lang w:val="sv-SE" w:eastAsia="ko-KR"/>
        </w:rPr>
        <w:t>)</w:t>
      </w:r>
    </w:p>
    <w:p w14:paraId="11326025" w14:textId="67F532A7" w:rsidR="00686529" w:rsidRPr="006220EA" w:rsidRDefault="00B10A8E" w:rsidP="006220EA">
      <w:pPr>
        <w:tabs>
          <w:tab w:val="left" w:pos="8505"/>
        </w:tabs>
        <w:jc w:val="both"/>
        <w:rPr>
          <w:sz w:val="22"/>
          <w:szCs w:val="22"/>
        </w:rPr>
      </w:pPr>
      <w:bookmarkStart w:id="4" w:name="_Hlk480968487"/>
      <w:r w:rsidRPr="006220EA">
        <w:rPr>
          <w:sz w:val="22"/>
          <w:szCs w:val="22"/>
        </w:rPr>
        <w:t>Ms. Hogfors introduced the</w:t>
      </w:r>
      <w:r w:rsidR="00686529" w:rsidRPr="006220EA">
        <w:rPr>
          <w:sz w:val="22"/>
          <w:szCs w:val="22"/>
        </w:rPr>
        <w:t xml:space="preserve"> MOSAIC </w:t>
      </w:r>
      <w:r w:rsidRPr="006220EA">
        <w:rPr>
          <w:sz w:val="22"/>
          <w:szCs w:val="22"/>
        </w:rPr>
        <w:t>framework, which will</w:t>
      </w:r>
      <w:r w:rsidR="00686529" w:rsidRPr="006220EA">
        <w:rPr>
          <w:sz w:val="22"/>
          <w:szCs w:val="22"/>
        </w:rPr>
        <w:t xml:space="preserve"> become a Swedish national guideline. The objective is to facilitate an ecosystem approach to marine spatial management (e.g.</w:t>
      </w:r>
      <w:r w:rsidRPr="006220EA">
        <w:rPr>
          <w:sz w:val="22"/>
          <w:szCs w:val="22"/>
        </w:rPr>
        <w:t>,</w:t>
      </w:r>
      <w:r w:rsidR="00686529" w:rsidRPr="006220EA">
        <w:rPr>
          <w:sz w:val="22"/>
          <w:szCs w:val="22"/>
        </w:rPr>
        <w:t xml:space="preserve"> protected areas, coastal zone management and marine spatial planning) at different, but integrative, scales of governance. </w:t>
      </w:r>
      <w:bookmarkEnd w:id="4"/>
      <w:r w:rsidR="00686529" w:rsidRPr="006220EA">
        <w:rPr>
          <w:sz w:val="22"/>
          <w:szCs w:val="22"/>
        </w:rPr>
        <w:t xml:space="preserve">Based on </w:t>
      </w:r>
      <w:r w:rsidRPr="006220EA">
        <w:rPr>
          <w:sz w:val="22"/>
          <w:szCs w:val="22"/>
        </w:rPr>
        <w:t xml:space="preserve">the EBSA </w:t>
      </w:r>
      <w:r w:rsidR="00686529" w:rsidRPr="006220EA">
        <w:rPr>
          <w:sz w:val="22"/>
          <w:szCs w:val="22"/>
        </w:rPr>
        <w:t xml:space="preserve">criteria, it serves as a practical step-by-step tool to identify ecologically </w:t>
      </w:r>
      <w:r w:rsidR="00B866C9" w:rsidRPr="006220EA">
        <w:rPr>
          <w:sz w:val="22"/>
          <w:szCs w:val="22"/>
        </w:rPr>
        <w:t xml:space="preserve">or biologically </w:t>
      </w:r>
      <w:r w:rsidR="00686529" w:rsidRPr="006220EA">
        <w:rPr>
          <w:sz w:val="22"/>
          <w:szCs w:val="22"/>
        </w:rPr>
        <w:t xml:space="preserve">important areas in coherent networks, which can be used to support informed trade-off decisions. The framework has been tested and used by three county administrative boards, four coastal municipalities and a scientific </w:t>
      </w:r>
      <w:r w:rsidR="00686529" w:rsidRPr="006220EA">
        <w:rPr>
          <w:sz w:val="22"/>
          <w:szCs w:val="22"/>
          <w:lang w:val="en-US"/>
        </w:rPr>
        <w:t xml:space="preserve">cross-disciplinary </w:t>
      </w:r>
      <w:r w:rsidR="00686529" w:rsidRPr="006220EA">
        <w:rPr>
          <w:sz w:val="22"/>
          <w:szCs w:val="22"/>
        </w:rPr>
        <w:t xml:space="preserve">study involving </w:t>
      </w:r>
      <w:r w:rsidR="00686529" w:rsidRPr="006220EA">
        <w:rPr>
          <w:sz w:val="22"/>
          <w:szCs w:val="22"/>
          <w:lang w:val="en-US"/>
        </w:rPr>
        <w:t>experts in both ecology and law.</w:t>
      </w:r>
      <w:r w:rsidR="00B866C9" w:rsidRPr="006220EA">
        <w:rPr>
          <w:sz w:val="22"/>
          <w:szCs w:val="22"/>
          <w:lang w:val="en-US"/>
        </w:rPr>
        <w:t xml:space="preserve"> </w:t>
      </w:r>
      <w:r w:rsidR="00686529" w:rsidRPr="006220EA">
        <w:rPr>
          <w:sz w:val="22"/>
          <w:szCs w:val="22"/>
        </w:rPr>
        <w:t>To enable incorporation of new scientific knowledge, to follow changes over time, to minimize subjectivity of assessments and to be transparent, a key feature in MOSAIC is the use of predefined biotic ecosystem components. Lists of components and their associated values ha</w:t>
      </w:r>
      <w:r w:rsidR="00A148F1" w:rsidRPr="006220EA">
        <w:rPr>
          <w:sz w:val="22"/>
          <w:szCs w:val="22"/>
        </w:rPr>
        <w:t>ve</w:t>
      </w:r>
      <w:r w:rsidR="00686529" w:rsidRPr="006220EA">
        <w:rPr>
          <w:sz w:val="22"/>
          <w:szCs w:val="22"/>
        </w:rPr>
        <w:t xml:space="preserve"> been assessed t</w:t>
      </w:r>
      <w:r w:rsidR="00A148F1" w:rsidRPr="006220EA">
        <w:rPr>
          <w:sz w:val="22"/>
          <w:szCs w:val="22"/>
        </w:rPr>
        <w:t>h</w:t>
      </w:r>
      <w:r w:rsidR="00686529" w:rsidRPr="006220EA">
        <w:rPr>
          <w:sz w:val="22"/>
          <w:szCs w:val="22"/>
        </w:rPr>
        <w:t>rough several processes, including several workshops with local and scientific experts in marine ecology. Moreover, the framework is designed to include complex spatial analyses and detailed site-specific information.</w:t>
      </w:r>
    </w:p>
    <w:p w14:paraId="4B1A363D" w14:textId="77777777" w:rsidR="00686529" w:rsidRPr="006220EA" w:rsidRDefault="00686529" w:rsidP="006220EA">
      <w:pPr>
        <w:autoSpaceDE w:val="0"/>
        <w:autoSpaceDN w:val="0"/>
        <w:adjustRightInd w:val="0"/>
        <w:jc w:val="both"/>
        <w:rPr>
          <w:sz w:val="22"/>
          <w:szCs w:val="22"/>
          <w:lang w:eastAsia="ko-KR"/>
        </w:rPr>
      </w:pPr>
    </w:p>
    <w:p w14:paraId="66D16C40" w14:textId="707A6877" w:rsidR="00F42904" w:rsidRPr="006220EA" w:rsidRDefault="00046900" w:rsidP="006220EA">
      <w:pPr>
        <w:autoSpaceDE w:val="0"/>
        <w:autoSpaceDN w:val="0"/>
        <w:adjustRightInd w:val="0"/>
        <w:jc w:val="both"/>
        <w:rPr>
          <w:b/>
          <w:bCs/>
          <w:i/>
          <w:kern w:val="22"/>
          <w:sz w:val="22"/>
          <w:szCs w:val="22"/>
          <w:lang w:eastAsia="ko-KR"/>
        </w:rPr>
      </w:pPr>
      <w:r w:rsidRPr="006220EA">
        <w:rPr>
          <w:b/>
          <w:bCs/>
          <w:i/>
          <w:kern w:val="22"/>
          <w:sz w:val="22"/>
          <w:szCs w:val="22"/>
          <w:lang w:eastAsia="ko-KR"/>
        </w:rPr>
        <w:t xml:space="preserve">The work of the OSPAR Commission in a regional context (by </w:t>
      </w:r>
      <w:r w:rsidR="00692F16" w:rsidRPr="006220EA">
        <w:rPr>
          <w:b/>
          <w:bCs/>
          <w:i/>
          <w:kern w:val="22"/>
          <w:sz w:val="22"/>
          <w:szCs w:val="22"/>
          <w:lang w:eastAsia="ko-KR"/>
        </w:rPr>
        <w:t>Ms. Lena Avellan</w:t>
      </w:r>
      <w:r w:rsidRPr="006220EA">
        <w:rPr>
          <w:b/>
          <w:bCs/>
          <w:i/>
          <w:kern w:val="22"/>
          <w:sz w:val="22"/>
          <w:szCs w:val="22"/>
          <w:lang w:eastAsia="ko-KR"/>
        </w:rPr>
        <w:t xml:space="preserve">, </w:t>
      </w:r>
      <w:r w:rsidR="00692F16" w:rsidRPr="006220EA">
        <w:rPr>
          <w:b/>
          <w:bCs/>
          <w:i/>
          <w:kern w:val="22"/>
          <w:sz w:val="22"/>
          <w:szCs w:val="22"/>
          <w:lang w:eastAsia="ko-KR"/>
        </w:rPr>
        <w:t xml:space="preserve">OSPAR Commission) </w:t>
      </w:r>
    </w:p>
    <w:p w14:paraId="3CDE6AB1" w14:textId="15C141C0" w:rsidR="00F42904" w:rsidRPr="006220EA" w:rsidRDefault="00225D7A" w:rsidP="006220EA">
      <w:pPr>
        <w:tabs>
          <w:tab w:val="left" w:pos="567"/>
        </w:tabs>
        <w:jc w:val="both"/>
        <w:rPr>
          <w:sz w:val="22"/>
          <w:szCs w:val="22"/>
        </w:rPr>
      </w:pPr>
      <w:r w:rsidRPr="006220EA">
        <w:rPr>
          <w:sz w:val="22"/>
          <w:szCs w:val="22"/>
        </w:rPr>
        <w:t xml:space="preserve">Ms. Avellan explained that the </w:t>
      </w:r>
      <w:r w:rsidR="00F42904" w:rsidRPr="006220EA">
        <w:rPr>
          <w:sz w:val="22"/>
          <w:szCs w:val="22"/>
        </w:rPr>
        <w:t xml:space="preserve">OSPAR </w:t>
      </w:r>
      <w:r w:rsidR="002577CE">
        <w:rPr>
          <w:sz w:val="22"/>
          <w:szCs w:val="22"/>
        </w:rPr>
        <w:t xml:space="preserve">Convention </w:t>
      </w:r>
      <w:r w:rsidR="00F42904" w:rsidRPr="006220EA">
        <w:rPr>
          <w:sz w:val="22"/>
          <w:szCs w:val="22"/>
        </w:rPr>
        <w:t>is the mechanism by which 15 Governments and the E</w:t>
      </w:r>
      <w:r w:rsidR="007062DE" w:rsidRPr="006220EA">
        <w:rPr>
          <w:sz w:val="22"/>
          <w:szCs w:val="22"/>
        </w:rPr>
        <w:t xml:space="preserve">uropean </w:t>
      </w:r>
      <w:r w:rsidR="00F42904" w:rsidRPr="006220EA">
        <w:rPr>
          <w:sz w:val="22"/>
          <w:szCs w:val="22"/>
        </w:rPr>
        <w:t>U</w:t>
      </w:r>
      <w:r w:rsidR="007062DE" w:rsidRPr="006220EA">
        <w:rPr>
          <w:sz w:val="22"/>
          <w:szCs w:val="22"/>
        </w:rPr>
        <w:t>nion</w:t>
      </w:r>
      <w:r w:rsidR="00F42904" w:rsidRPr="006220EA">
        <w:rPr>
          <w:sz w:val="22"/>
          <w:szCs w:val="22"/>
        </w:rPr>
        <w:t xml:space="preserve"> cooperate to protect the marine environment of the North-East Atlantic. The OSPAR Convention was created in 1992 based on previous conventions to prevent pollution. Annex V on the protection and conservation of the ecosystems and biological diversity of the maritime area was signed in 1998 and forms the basis for OSPAR work on biodiversity.</w:t>
      </w:r>
      <w:r w:rsidRPr="006220EA">
        <w:rPr>
          <w:sz w:val="22"/>
          <w:szCs w:val="22"/>
        </w:rPr>
        <w:t xml:space="preserve"> </w:t>
      </w:r>
      <w:r w:rsidR="00F42904" w:rsidRPr="006220EA">
        <w:rPr>
          <w:sz w:val="22"/>
          <w:szCs w:val="22"/>
        </w:rPr>
        <w:t xml:space="preserve">Key achievements by the OSPAR </w:t>
      </w:r>
      <w:r w:rsidR="008E30FB" w:rsidRPr="006220EA">
        <w:rPr>
          <w:sz w:val="22"/>
          <w:szCs w:val="22"/>
        </w:rPr>
        <w:t>C</w:t>
      </w:r>
      <w:r w:rsidR="00F42904" w:rsidRPr="006220EA">
        <w:rPr>
          <w:sz w:val="22"/>
          <w:szCs w:val="22"/>
        </w:rPr>
        <w:t xml:space="preserve">ommission on biodiversity include the OSPAR network of </w:t>
      </w:r>
      <w:r w:rsidR="00865066" w:rsidRPr="006220EA">
        <w:rPr>
          <w:sz w:val="22"/>
          <w:szCs w:val="22"/>
        </w:rPr>
        <w:t>marine protected areas,</w:t>
      </w:r>
      <w:r w:rsidR="00F42904" w:rsidRPr="006220EA">
        <w:rPr>
          <w:sz w:val="22"/>
          <w:szCs w:val="22"/>
        </w:rPr>
        <w:t xml:space="preserve"> which</w:t>
      </w:r>
      <w:r w:rsidR="00865066" w:rsidRPr="006220EA">
        <w:rPr>
          <w:sz w:val="22"/>
          <w:szCs w:val="22"/>
        </w:rPr>
        <w:t>,</w:t>
      </w:r>
      <w:r w:rsidR="00F42904" w:rsidRPr="006220EA">
        <w:rPr>
          <w:sz w:val="22"/>
          <w:szCs w:val="22"/>
        </w:rPr>
        <w:t xml:space="preserve"> by 1 October 2018</w:t>
      </w:r>
      <w:r w:rsidR="00865066" w:rsidRPr="006220EA">
        <w:rPr>
          <w:sz w:val="22"/>
          <w:szCs w:val="22"/>
        </w:rPr>
        <w:t>,</w:t>
      </w:r>
      <w:r w:rsidR="00F42904" w:rsidRPr="006220EA">
        <w:rPr>
          <w:sz w:val="22"/>
          <w:szCs w:val="22"/>
        </w:rPr>
        <w:t xml:space="preserve"> included 495 areas covering 6.4</w:t>
      </w:r>
      <w:r w:rsidR="00865066" w:rsidRPr="006220EA">
        <w:rPr>
          <w:sz w:val="22"/>
          <w:szCs w:val="22"/>
        </w:rPr>
        <w:t xml:space="preserve"> per cent</w:t>
      </w:r>
      <w:r w:rsidR="00F42904" w:rsidRPr="006220EA">
        <w:rPr>
          <w:sz w:val="22"/>
          <w:szCs w:val="22"/>
        </w:rPr>
        <w:t xml:space="preserve"> of the OSPAR maritime area. OSPAR has listed species and habitats that </w:t>
      </w:r>
      <w:r w:rsidR="00F42904" w:rsidRPr="006220EA">
        <w:rPr>
          <w:sz w:val="22"/>
          <w:szCs w:val="22"/>
        </w:rPr>
        <w:lastRenderedPageBreak/>
        <w:t>are threatened and/or declining</w:t>
      </w:r>
      <w:r w:rsidR="00865066" w:rsidRPr="006220EA">
        <w:rPr>
          <w:sz w:val="22"/>
          <w:szCs w:val="22"/>
        </w:rPr>
        <w:t>,</w:t>
      </w:r>
      <w:r w:rsidR="00F42904" w:rsidRPr="006220EA">
        <w:rPr>
          <w:sz w:val="22"/>
          <w:szCs w:val="22"/>
        </w:rPr>
        <w:t xml:space="preserve"> for which regional priority action is needed. For these listed species</w:t>
      </w:r>
      <w:r w:rsidR="00865066" w:rsidRPr="006220EA">
        <w:rPr>
          <w:sz w:val="22"/>
          <w:szCs w:val="22"/>
        </w:rPr>
        <w:t>,</w:t>
      </w:r>
      <w:r w:rsidR="00F42904" w:rsidRPr="006220EA">
        <w:rPr>
          <w:sz w:val="22"/>
          <w:szCs w:val="22"/>
        </w:rPr>
        <w:t xml:space="preserve"> OSPAR has adopted 54 Recommendations describing protective actions that are to be taken by Contracting Parties nationally as well as collectively by OSPAR.</w:t>
      </w:r>
      <w:r w:rsidR="005D4298" w:rsidRPr="006220EA">
        <w:rPr>
          <w:sz w:val="22"/>
          <w:szCs w:val="22"/>
        </w:rPr>
        <w:t xml:space="preserve"> Ms. Avellan explained that r</w:t>
      </w:r>
      <w:r w:rsidR="00F42904" w:rsidRPr="006220EA">
        <w:rPr>
          <w:sz w:val="22"/>
          <w:szCs w:val="22"/>
        </w:rPr>
        <w:t>egularly developed status assessments of the North</w:t>
      </w:r>
      <w:r w:rsidR="005D4298" w:rsidRPr="006220EA">
        <w:rPr>
          <w:sz w:val="22"/>
          <w:szCs w:val="22"/>
        </w:rPr>
        <w:t>-</w:t>
      </w:r>
      <w:r w:rsidR="00F42904" w:rsidRPr="006220EA">
        <w:rPr>
          <w:sz w:val="22"/>
          <w:szCs w:val="22"/>
        </w:rPr>
        <w:t>East Atlantic are a core area of work, with the Intermediate Assessment published in 2017 being the latest development. OSPAR is currently preparing to deliver the next Quality Status Assessment to be published in 2023 (QSR 2023). The aim of the QSR 2023 is to evaluate the North-East A</w:t>
      </w:r>
      <w:r w:rsidR="001D17F7" w:rsidRPr="006220EA">
        <w:rPr>
          <w:sz w:val="22"/>
          <w:szCs w:val="22"/>
        </w:rPr>
        <w:t>tl</w:t>
      </w:r>
      <w:r w:rsidR="00F42904" w:rsidRPr="006220EA">
        <w:rPr>
          <w:sz w:val="22"/>
          <w:szCs w:val="22"/>
        </w:rPr>
        <w:t>antic Environment Strategy 2010-2020. This strategy will be followed by a new strategy for the period 2020-2030</w:t>
      </w:r>
      <w:r w:rsidR="005D4298" w:rsidRPr="006220EA">
        <w:rPr>
          <w:sz w:val="22"/>
          <w:szCs w:val="22"/>
        </w:rPr>
        <w:t>, which is</w:t>
      </w:r>
      <w:r w:rsidR="00F42904" w:rsidRPr="006220EA">
        <w:rPr>
          <w:sz w:val="22"/>
          <w:szCs w:val="22"/>
        </w:rPr>
        <w:t xml:space="preserve"> currently being developed by OSPAR and due for publication at the Ministerial Meeting in July 2020.</w:t>
      </w:r>
      <w:r w:rsidR="003278FA" w:rsidRPr="006220EA">
        <w:rPr>
          <w:sz w:val="22"/>
          <w:szCs w:val="22"/>
        </w:rPr>
        <w:t xml:space="preserve"> </w:t>
      </w:r>
      <w:r w:rsidR="00DB4F0C" w:rsidRPr="006220EA">
        <w:rPr>
          <w:sz w:val="22"/>
          <w:szCs w:val="22"/>
        </w:rPr>
        <w:t xml:space="preserve">She explained that the present </w:t>
      </w:r>
      <w:r w:rsidR="00F42904" w:rsidRPr="006220EA">
        <w:rPr>
          <w:sz w:val="22"/>
          <w:szCs w:val="22"/>
        </w:rPr>
        <w:t>EBSA workshop w</w:t>
      </w:r>
      <w:r w:rsidR="00DB4F0C" w:rsidRPr="006220EA">
        <w:rPr>
          <w:sz w:val="22"/>
          <w:szCs w:val="22"/>
        </w:rPr>
        <w:t>ould</w:t>
      </w:r>
      <w:r w:rsidR="00F42904" w:rsidRPr="006220EA">
        <w:rPr>
          <w:sz w:val="22"/>
          <w:szCs w:val="22"/>
        </w:rPr>
        <w:t xml:space="preserve"> contribute to OSPAR work by bringing forward a global perspective and insight to marine biodiversity. The EBSA process will contribute to the efforts of making </w:t>
      </w:r>
      <w:r w:rsidR="00DB4F0C" w:rsidRPr="006220EA">
        <w:rPr>
          <w:sz w:val="22"/>
          <w:szCs w:val="22"/>
        </w:rPr>
        <w:t xml:space="preserve">available </w:t>
      </w:r>
      <w:r w:rsidR="00F42904" w:rsidRPr="006220EA">
        <w:rPr>
          <w:sz w:val="22"/>
          <w:szCs w:val="22"/>
        </w:rPr>
        <w:t>scientific information on a regional scale</w:t>
      </w:r>
      <w:r w:rsidR="00DB4F0C" w:rsidRPr="006220EA">
        <w:rPr>
          <w:sz w:val="22"/>
          <w:szCs w:val="22"/>
        </w:rPr>
        <w:t xml:space="preserve"> </w:t>
      </w:r>
      <w:r w:rsidR="00F42904" w:rsidRPr="006220EA">
        <w:rPr>
          <w:sz w:val="22"/>
          <w:szCs w:val="22"/>
        </w:rPr>
        <w:t>to policy makers when implementing the ecosystem</w:t>
      </w:r>
      <w:r w:rsidR="00DB4F0C" w:rsidRPr="006220EA">
        <w:rPr>
          <w:sz w:val="22"/>
          <w:szCs w:val="22"/>
        </w:rPr>
        <w:t>-</w:t>
      </w:r>
      <w:r w:rsidR="00F42904" w:rsidRPr="006220EA">
        <w:rPr>
          <w:sz w:val="22"/>
          <w:szCs w:val="22"/>
        </w:rPr>
        <w:t>based approach to managing human activities.</w:t>
      </w:r>
    </w:p>
    <w:p w14:paraId="47DE8254" w14:textId="77777777" w:rsidR="00826D67" w:rsidRPr="006220EA" w:rsidRDefault="00826D67" w:rsidP="006220EA">
      <w:pPr>
        <w:tabs>
          <w:tab w:val="left" w:pos="567"/>
        </w:tabs>
        <w:jc w:val="both"/>
        <w:rPr>
          <w:bCs/>
          <w:kern w:val="22"/>
          <w:sz w:val="22"/>
          <w:szCs w:val="22"/>
          <w:lang w:eastAsia="ko-KR"/>
        </w:rPr>
      </w:pPr>
    </w:p>
    <w:p w14:paraId="10C36080" w14:textId="2F775F66" w:rsidR="00692F16" w:rsidRPr="006220EA" w:rsidRDefault="008F696A" w:rsidP="006220EA">
      <w:pPr>
        <w:autoSpaceDE w:val="0"/>
        <w:autoSpaceDN w:val="0"/>
        <w:adjustRightInd w:val="0"/>
        <w:jc w:val="both"/>
        <w:rPr>
          <w:b/>
          <w:i/>
          <w:sz w:val="22"/>
          <w:szCs w:val="22"/>
        </w:rPr>
      </w:pPr>
      <w:r w:rsidRPr="006220EA">
        <w:rPr>
          <w:b/>
          <w:bCs/>
          <w:i/>
          <w:sz w:val="22"/>
          <w:szCs w:val="22"/>
        </w:rPr>
        <w:t>EBSA Context: North</w:t>
      </w:r>
      <w:r w:rsidR="009F2C2E" w:rsidRPr="006220EA">
        <w:rPr>
          <w:b/>
          <w:bCs/>
          <w:i/>
          <w:sz w:val="22"/>
          <w:szCs w:val="22"/>
        </w:rPr>
        <w:t>-</w:t>
      </w:r>
      <w:r w:rsidRPr="006220EA">
        <w:rPr>
          <w:b/>
          <w:bCs/>
          <w:i/>
          <w:sz w:val="22"/>
          <w:szCs w:val="22"/>
        </w:rPr>
        <w:t xml:space="preserve">East Atlantic Fisheries </w:t>
      </w:r>
      <w:r w:rsidR="00A02ABD" w:rsidRPr="006220EA">
        <w:rPr>
          <w:b/>
          <w:bCs/>
          <w:i/>
          <w:sz w:val="22"/>
          <w:szCs w:val="22"/>
        </w:rPr>
        <w:t>i</w:t>
      </w:r>
      <w:r w:rsidRPr="006220EA">
        <w:rPr>
          <w:b/>
          <w:bCs/>
          <w:i/>
          <w:sz w:val="22"/>
          <w:szCs w:val="22"/>
        </w:rPr>
        <w:t xml:space="preserve">n Areas </w:t>
      </w:r>
      <w:r w:rsidR="00392897" w:rsidRPr="006220EA">
        <w:rPr>
          <w:b/>
          <w:bCs/>
          <w:i/>
          <w:sz w:val="22"/>
          <w:szCs w:val="22"/>
        </w:rPr>
        <w:t>b</w:t>
      </w:r>
      <w:r w:rsidRPr="006220EA">
        <w:rPr>
          <w:b/>
          <w:bCs/>
          <w:i/>
          <w:sz w:val="22"/>
          <w:szCs w:val="22"/>
        </w:rPr>
        <w:t>eyond National Jurisdiction (by M</w:t>
      </w:r>
      <w:r w:rsidRPr="006220EA">
        <w:rPr>
          <w:b/>
          <w:i/>
          <w:sz w:val="22"/>
          <w:szCs w:val="22"/>
        </w:rPr>
        <w:t xml:space="preserve">r. Darius Campbell, </w:t>
      </w:r>
      <w:r w:rsidR="00692F16" w:rsidRPr="006220EA">
        <w:rPr>
          <w:b/>
          <w:i/>
          <w:sz w:val="22"/>
          <w:szCs w:val="22"/>
        </w:rPr>
        <w:t xml:space="preserve">NEAFC) </w:t>
      </w:r>
    </w:p>
    <w:p w14:paraId="1514F1E0" w14:textId="0636D3B2" w:rsidR="00DD0EA8" w:rsidRPr="006220EA" w:rsidRDefault="00BA3805" w:rsidP="006220EA">
      <w:pPr>
        <w:autoSpaceDE w:val="0"/>
        <w:autoSpaceDN w:val="0"/>
        <w:adjustRightInd w:val="0"/>
        <w:jc w:val="both"/>
        <w:rPr>
          <w:sz w:val="22"/>
          <w:szCs w:val="22"/>
          <w:lang w:val="en-US" w:eastAsia="ko-KR"/>
        </w:rPr>
      </w:pPr>
      <w:r w:rsidRPr="006220EA">
        <w:rPr>
          <w:sz w:val="22"/>
          <w:szCs w:val="22"/>
          <w:lang w:val="en-US" w:eastAsia="ko-KR"/>
        </w:rPr>
        <w:t>Mr. Campbell</w:t>
      </w:r>
      <w:r w:rsidR="00DD0EA8" w:rsidRPr="006220EA">
        <w:rPr>
          <w:sz w:val="22"/>
          <w:szCs w:val="22"/>
          <w:lang w:val="en-US" w:eastAsia="ko-KR"/>
        </w:rPr>
        <w:t xml:space="preserve"> set out the fisheries perspectives from the North</w:t>
      </w:r>
      <w:r w:rsidR="009F2C2E" w:rsidRPr="006220EA">
        <w:rPr>
          <w:sz w:val="22"/>
          <w:szCs w:val="22"/>
          <w:lang w:val="en-US" w:eastAsia="ko-KR"/>
        </w:rPr>
        <w:t>-</w:t>
      </w:r>
      <w:r w:rsidR="00DD0EA8" w:rsidRPr="006220EA">
        <w:rPr>
          <w:sz w:val="22"/>
          <w:szCs w:val="22"/>
          <w:lang w:val="en-US" w:eastAsia="ko-KR"/>
        </w:rPr>
        <w:t xml:space="preserve">East Atlantic to provide context for the </w:t>
      </w:r>
      <w:r w:rsidR="009F2C2E" w:rsidRPr="006220EA">
        <w:rPr>
          <w:sz w:val="22"/>
          <w:szCs w:val="22"/>
          <w:lang w:val="en-US" w:eastAsia="ko-KR"/>
        </w:rPr>
        <w:t xml:space="preserve">workshop </w:t>
      </w:r>
      <w:r w:rsidR="00DD0EA8" w:rsidRPr="006220EA">
        <w:rPr>
          <w:sz w:val="22"/>
          <w:szCs w:val="22"/>
          <w:lang w:val="en-US" w:eastAsia="ko-KR"/>
        </w:rPr>
        <w:t xml:space="preserve">deliberations.  He described the binding fisheries management and conservation provisions made under the Commission, in particular on area-based management with respect to Vulnerable Marine Ecosystems.  In addition, </w:t>
      </w:r>
      <w:r w:rsidR="009F2C2E" w:rsidRPr="006220EA">
        <w:rPr>
          <w:sz w:val="22"/>
          <w:szCs w:val="22"/>
          <w:lang w:val="en-US" w:eastAsia="ko-KR"/>
        </w:rPr>
        <w:t xml:space="preserve">he explained </w:t>
      </w:r>
      <w:r w:rsidR="00DD0EA8" w:rsidRPr="006220EA">
        <w:rPr>
          <w:sz w:val="22"/>
          <w:szCs w:val="22"/>
          <w:lang w:val="en-US" w:eastAsia="ko-KR"/>
        </w:rPr>
        <w:t xml:space="preserve">the background for inter-sectoral cooperation with OSPAR, </w:t>
      </w:r>
      <w:r w:rsidR="009F2C2E" w:rsidRPr="006220EA">
        <w:rPr>
          <w:sz w:val="22"/>
          <w:szCs w:val="22"/>
          <w:lang w:val="en-US" w:eastAsia="ko-KR"/>
        </w:rPr>
        <w:t>which was</w:t>
      </w:r>
      <w:r w:rsidR="00DD0EA8" w:rsidRPr="006220EA">
        <w:rPr>
          <w:sz w:val="22"/>
          <w:szCs w:val="22"/>
          <w:lang w:val="en-US" w:eastAsia="ko-KR"/>
        </w:rPr>
        <w:t xml:space="preserve"> enhanced through cooperation on the identification of EBSAs.</w:t>
      </w:r>
      <w:r w:rsidR="009B1D97" w:rsidRPr="006220EA">
        <w:rPr>
          <w:sz w:val="22"/>
          <w:szCs w:val="22"/>
          <w:lang w:val="en-US" w:eastAsia="ko-KR"/>
        </w:rPr>
        <w:t xml:space="preserve"> </w:t>
      </w:r>
      <w:r w:rsidR="00DD0EA8" w:rsidRPr="006220EA">
        <w:rPr>
          <w:sz w:val="22"/>
          <w:szCs w:val="22"/>
          <w:lang w:val="en-US" w:eastAsia="ko-KR"/>
        </w:rPr>
        <w:t xml:space="preserve">In terms of EBSAs, </w:t>
      </w:r>
      <w:r w:rsidR="009B1D97" w:rsidRPr="006220EA">
        <w:rPr>
          <w:sz w:val="22"/>
          <w:szCs w:val="22"/>
          <w:lang w:val="en-US" w:eastAsia="ko-KR"/>
        </w:rPr>
        <w:t>Mr. Campbell</w:t>
      </w:r>
      <w:r w:rsidR="00DD0EA8" w:rsidRPr="006220EA">
        <w:rPr>
          <w:sz w:val="22"/>
          <w:szCs w:val="22"/>
          <w:lang w:val="en-US" w:eastAsia="ko-KR"/>
        </w:rPr>
        <w:t xml:space="preserve"> described the process undertaken jointly by OSPAR and NEAFC since their workshop in 2011 with CBD</w:t>
      </w:r>
      <w:r w:rsidR="009F2C2E" w:rsidRPr="006220EA">
        <w:rPr>
          <w:sz w:val="22"/>
          <w:szCs w:val="22"/>
          <w:lang w:val="en-US" w:eastAsia="ko-KR"/>
        </w:rPr>
        <w:t>,</w:t>
      </w:r>
      <w:r w:rsidR="00DD0EA8" w:rsidRPr="006220EA">
        <w:rPr>
          <w:sz w:val="22"/>
          <w:szCs w:val="22"/>
          <w:lang w:val="en-US" w:eastAsia="ko-KR"/>
        </w:rPr>
        <w:t xml:space="preserve"> which had developed 10 EBSA proposals.  These 10 proposals </w:t>
      </w:r>
      <w:r w:rsidR="009F2C2E" w:rsidRPr="006220EA">
        <w:rPr>
          <w:sz w:val="22"/>
          <w:szCs w:val="22"/>
          <w:lang w:val="en-US" w:eastAsia="ko-KR"/>
        </w:rPr>
        <w:t>were</w:t>
      </w:r>
      <w:r w:rsidR="00DD0EA8" w:rsidRPr="006220EA">
        <w:rPr>
          <w:sz w:val="22"/>
          <w:szCs w:val="22"/>
          <w:lang w:val="en-US" w:eastAsia="ko-KR"/>
        </w:rPr>
        <w:t xml:space="preserve"> subjected to a review process under the International Council for Exploration of the Seas (ICES)</w:t>
      </w:r>
      <w:r w:rsidR="009F2C2E" w:rsidRPr="006220EA">
        <w:rPr>
          <w:sz w:val="22"/>
          <w:szCs w:val="22"/>
          <w:lang w:val="en-US" w:eastAsia="ko-KR"/>
        </w:rPr>
        <w:t>,</w:t>
      </w:r>
      <w:r w:rsidR="00DD0EA8" w:rsidRPr="006220EA">
        <w:rPr>
          <w:sz w:val="22"/>
          <w:szCs w:val="22"/>
          <w:lang w:val="en-US" w:eastAsia="ko-KR"/>
        </w:rPr>
        <w:t xml:space="preserve"> leading to a refined suite of </w:t>
      </w:r>
      <w:r w:rsidR="009F2C2E" w:rsidRPr="006220EA">
        <w:rPr>
          <w:sz w:val="22"/>
          <w:szCs w:val="22"/>
          <w:lang w:val="en-US" w:eastAsia="ko-KR"/>
        </w:rPr>
        <w:t>four</w:t>
      </w:r>
      <w:r w:rsidR="00DD0EA8" w:rsidRPr="006220EA">
        <w:rPr>
          <w:sz w:val="22"/>
          <w:szCs w:val="22"/>
          <w:lang w:val="en-US" w:eastAsia="ko-KR"/>
        </w:rPr>
        <w:t xml:space="preserve"> final proposals in 2013. Due to other circumstances the process stalled until 2018, when OSPAR and NEAFC requested </w:t>
      </w:r>
      <w:r w:rsidR="009F2C2E" w:rsidRPr="006220EA">
        <w:rPr>
          <w:sz w:val="22"/>
          <w:szCs w:val="22"/>
          <w:lang w:val="en-US" w:eastAsia="ko-KR"/>
        </w:rPr>
        <w:t xml:space="preserve">the </w:t>
      </w:r>
      <w:r w:rsidR="00DD0EA8" w:rsidRPr="006220EA">
        <w:rPr>
          <w:sz w:val="22"/>
          <w:szCs w:val="22"/>
          <w:lang w:val="en-US" w:eastAsia="ko-KR"/>
        </w:rPr>
        <w:t xml:space="preserve">CBD to </w:t>
      </w:r>
      <w:r w:rsidR="009F2C2E" w:rsidRPr="006220EA">
        <w:rPr>
          <w:sz w:val="22"/>
          <w:szCs w:val="22"/>
          <w:lang w:val="en-US" w:eastAsia="ko-KR"/>
        </w:rPr>
        <w:t>organize</w:t>
      </w:r>
      <w:r w:rsidR="00DD0EA8" w:rsidRPr="006220EA">
        <w:rPr>
          <w:sz w:val="22"/>
          <w:szCs w:val="22"/>
          <w:lang w:val="en-US" w:eastAsia="ko-KR"/>
        </w:rPr>
        <w:t xml:space="preserve"> the current workshop, inviting it also to include consideration of the 2013 proposals in its process. </w:t>
      </w:r>
      <w:r w:rsidR="00170CE8" w:rsidRPr="006220EA">
        <w:rPr>
          <w:sz w:val="22"/>
          <w:szCs w:val="22"/>
          <w:lang w:val="en-US" w:eastAsia="ko-KR"/>
        </w:rPr>
        <w:t>Mr. Campbell</w:t>
      </w:r>
      <w:r w:rsidR="00DD0EA8" w:rsidRPr="006220EA">
        <w:rPr>
          <w:sz w:val="22"/>
          <w:szCs w:val="22"/>
          <w:lang w:val="en-US" w:eastAsia="ko-KR"/>
        </w:rPr>
        <w:t xml:space="preserve"> wished the workshop every success and noted that the outcomes would no doubt help inform ICES in its future scientific advice to NEAFC.</w:t>
      </w:r>
    </w:p>
    <w:p w14:paraId="69E8AAC6" w14:textId="77777777" w:rsidR="00826D67" w:rsidRPr="006220EA" w:rsidRDefault="00826D67" w:rsidP="006220EA">
      <w:pPr>
        <w:autoSpaceDE w:val="0"/>
        <w:autoSpaceDN w:val="0"/>
        <w:adjustRightInd w:val="0"/>
        <w:jc w:val="both"/>
        <w:rPr>
          <w:sz w:val="22"/>
          <w:szCs w:val="22"/>
          <w:lang w:val="en-US" w:eastAsia="ko-KR"/>
        </w:rPr>
      </w:pPr>
    </w:p>
    <w:p w14:paraId="3259B5B0" w14:textId="518ED167" w:rsidR="00692F16" w:rsidRPr="006220EA" w:rsidRDefault="008C0426" w:rsidP="006220EA">
      <w:pPr>
        <w:autoSpaceDE w:val="0"/>
        <w:autoSpaceDN w:val="0"/>
        <w:adjustRightInd w:val="0"/>
        <w:jc w:val="both"/>
        <w:rPr>
          <w:b/>
          <w:i/>
          <w:sz w:val="22"/>
          <w:szCs w:val="22"/>
        </w:rPr>
      </w:pPr>
      <w:r w:rsidRPr="006220EA">
        <w:rPr>
          <w:b/>
          <w:i/>
          <w:sz w:val="22"/>
          <w:szCs w:val="22"/>
        </w:rPr>
        <w:t xml:space="preserve">ICES approach as evidence provider to EBM (by </w:t>
      </w:r>
      <w:r w:rsidR="00692F16" w:rsidRPr="006220EA">
        <w:rPr>
          <w:b/>
          <w:i/>
          <w:sz w:val="22"/>
          <w:szCs w:val="22"/>
        </w:rPr>
        <w:t>Mr. Eugene Nixon</w:t>
      </w:r>
      <w:r w:rsidRPr="006220EA">
        <w:rPr>
          <w:b/>
          <w:i/>
          <w:sz w:val="22"/>
          <w:szCs w:val="22"/>
        </w:rPr>
        <w:t xml:space="preserve">, </w:t>
      </w:r>
      <w:r w:rsidR="00692F16" w:rsidRPr="006220EA">
        <w:rPr>
          <w:b/>
          <w:i/>
          <w:sz w:val="22"/>
          <w:szCs w:val="22"/>
        </w:rPr>
        <w:t xml:space="preserve">ICES) </w:t>
      </w:r>
    </w:p>
    <w:p w14:paraId="369BFAB4" w14:textId="05D591BD" w:rsidR="00692F16" w:rsidRPr="006220EA" w:rsidRDefault="009F2C2E" w:rsidP="006220EA">
      <w:pPr>
        <w:jc w:val="both"/>
        <w:rPr>
          <w:color w:val="201F1E"/>
          <w:sz w:val="22"/>
          <w:szCs w:val="22"/>
          <w:shd w:val="clear" w:color="auto" w:fill="FFFFFF"/>
        </w:rPr>
      </w:pPr>
      <w:r w:rsidRPr="006220EA">
        <w:rPr>
          <w:color w:val="201F1E"/>
          <w:sz w:val="22"/>
          <w:szCs w:val="22"/>
          <w:shd w:val="clear" w:color="auto" w:fill="FFFFFF"/>
        </w:rPr>
        <w:t>Mr. Nixon</w:t>
      </w:r>
      <w:r w:rsidR="001F17CF" w:rsidRPr="006220EA">
        <w:rPr>
          <w:color w:val="201F1E"/>
          <w:sz w:val="22"/>
          <w:szCs w:val="22"/>
          <w:shd w:val="clear" w:color="auto" w:fill="FFFFFF"/>
        </w:rPr>
        <w:t xml:space="preserve"> presented information on the status of ICES as an intergovernmental scientific organi</w:t>
      </w:r>
      <w:r w:rsidRPr="006220EA">
        <w:rPr>
          <w:color w:val="201F1E"/>
          <w:sz w:val="22"/>
          <w:szCs w:val="22"/>
          <w:shd w:val="clear" w:color="auto" w:fill="FFFFFF"/>
        </w:rPr>
        <w:t>z</w:t>
      </w:r>
      <w:r w:rsidR="001F17CF" w:rsidRPr="006220EA">
        <w:rPr>
          <w:color w:val="201F1E"/>
          <w:sz w:val="22"/>
          <w:szCs w:val="22"/>
          <w:shd w:val="clear" w:color="auto" w:fill="FFFFFF"/>
        </w:rPr>
        <w:t>ation and the processes used to provide independent evidence</w:t>
      </w:r>
      <w:r w:rsidRPr="006220EA">
        <w:rPr>
          <w:color w:val="201F1E"/>
          <w:sz w:val="22"/>
          <w:szCs w:val="22"/>
          <w:shd w:val="clear" w:color="auto" w:fill="FFFFFF"/>
        </w:rPr>
        <w:t>-</w:t>
      </w:r>
      <w:r w:rsidR="001F17CF" w:rsidRPr="006220EA">
        <w:rPr>
          <w:color w:val="201F1E"/>
          <w:sz w:val="22"/>
          <w:szCs w:val="22"/>
          <w:shd w:val="clear" w:color="auto" w:fill="FFFFFF"/>
        </w:rPr>
        <w:t>based advice on marine</w:t>
      </w:r>
      <w:r w:rsidRPr="006220EA">
        <w:rPr>
          <w:color w:val="201F1E"/>
          <w:sz w:val="22"/>
          <w:szCs w:val="22"/>
          <w:shd w:val="clear" w:color="auto" w:fill="FFFFFF"/>
        </w:rPr>
        <w:t>-</w:t>
      </w:r>
      <w:r w:rsidR="001F17CF" w:rsidRPr="006220EA">
        <w:rPr>
          <w:color w:val="201F1E"/>
          <w:sz w:val="22"/>
          <w:szCs w:val="22"/>
          <w:shd w:val="clear" w:color="auto" w:fill="FFFFFF"/>
        </w:rPr>
        <w:t xml:space="preserve">related issues.  Specific examples of ICES advice on EBSAs, including advice to OSPAR and NEAFC on four EBSA </w:t>
      </w:r>
      <w:r w:rsidRPr="006220EA">
        <w:rPr>
          <w:color w:val="201F1E"/>
          <w:sz w:val="22"/>
          <w:szCs w:val="22"/>
          <w:shd w:val="clear" w:color="auto" w:fill="FFFFFF"/>
        </w:rPr>
        <w:t>template descriptions,</w:t>
      </w:r>
      <w:r w:rsidR="001F17CF" w:rsidRPr="006220EA">
        <w:rPr>
          <w:color w:val="201F1E"/>
          <w:sz w:val="22"/>
          <w:szCs w:val="22"/>
          <w:shd w:val="clear" w:color="auto" w:fill="FFFFFF"/>
        </w:rPr>
        <w:t xml:space="preserve"> and to NEAFC on Vulnerable Marine Ecosystems in the North-East Atlantic</w:t>
      </w:r>
      <w:r w:rsidRPr="006220EA">
        <w:rPr>
          <w:color w:val="201F1E"/>
          <w:sz w:val="22"/>
          <w:szCs w:val="22"/>
          <w:shd w:val="clear" w:color="auto" w:fill="FFFFFF"/>
        </w:rPr>
        <w:t>,</w:t>
      </w:r>
      <w:r w:rsidR="001F17CF" w:rsidRPr="006220EA">
        <w:rPr>
          <w:color w:val="201F1E"/>
          <w:sz w:val="22"/>
          <w:szCs w:val="22"/>
          <w:shd w:val="clear" w:color="auto" w:fill="FFFFFF"/>
        </w:rPr>
        <w:t xml:space="preserve"> were outlined.  Sources of ICES data, information and advice, that could potentially be useful to the EBSA Workshop, were identified. </w:t>
      </w:r>
    </w:p>
    <w:p w14:paraId="103617F4" w14:textId="77777777" w:rsidR="00826D67" w:rsidRPr="006220EA" w:rsidRDefault="00826D67" w:rsidP="006220EA">
      <w:pPr>
        <w:jc w:val="both"/>
        <w:rPr>
          <w:sz w:val="22"/>
          <w:szCs w:val="22"/>
        </w:rPr>
      </w:pPr>
    </w:p>
    <w:p w14:paraId="750E7E43" w14:textId="622F7BF2" w:rsidR="009F2C2E" w:rsidRPr="006220EA" w:rsidRDefault="008941E1" w:rsidP="006220EA">
      <w:pPr>
        <w:pStyle w:val="NormalWeb"/>
        <w:spacing w:before="0" w:beforeAutospacing="0" w:after="0" w:afterAutospacing="0"/>
        <w:jc w:val="both"/>
        <w:rPr>
          <w:color w:val="000000"/>
          <w:sz w:val="22"/>
          <w:szCs w:val="22"/>
          <w:lang w:val="en-CA"/>
        </w:rPr>
      </w:pPr>
      <w:r w:rsidRPr="00846AD1">
        <w:rPr>
          <w:b/>
          <w:i/>
          <w:color w:val="000000"/>
          <w:sz w:val="22"/>
          <w:szCs w:val="22"/>
          <w:lang w:val="en-CA"/>
        </w:rPr>
        <w:t xml:space="preserve">Regional Environmental Management Planning Process of International Seabed Authority (by Ms. </w:t>
      </w:r>
      <w:r w:rsidR="00DD79B7" w:rsidRPr="00846AD1">
        <w:rPr>
          <w:b/>
          <w:i/>
          <w:color w:val="000000"/>
          <w:sz w:val="22"/>
          <w:szCs w:val="22"/>
          <w:lang w:val="en-CA"/>
        </w:rPr>
        <w:t xml:space="preserve">Jihyun Lee, </w:t>
      </w:r>
      <w:r w:rsidR="0066658F" w:rsidRPr="00846AD1">
        <w:rPr>
          <w:b/>
          <w:i/>
          <w:color w:val="000000"/>
          <w:sz w:val="22"/>
          <w:szCs w:val="22"/>
          <w:lang w:val="en-CA"/>
        </w:rPr>
        <w:t>International Seabed Authority</w:t>
      </w:r>
      <w:r w:rsidR="0046370D">
        <w:rPr>
          <w:b/>
          <w:i/>
          <w:color w:val="000000"/>
          <w:sz w:val="22"/>
          <w:szCs w:val="22"/>
          <w:lang w:val="en-CA"/>
        </w:rPr>
        <w:t xml:space="preserve"> Secretariat</w:t>
      </w:r>
      <w:r w:rsidR="00382380" w:rsidRPr="00846AD1">
        <w:rPr>
          <w:b/>
          <w:i/>
          <w:color w:val="000000"/>
          <w:sz w:val="22"/>
          <w:szCs w:val="22"/>
          <w:lang w:val="en-CA"/>
        </w:rPr>
        <w:t>)</w:t>
      </w:r>
    </w:p>
    <w:p w14:paraId="41926EC7" w14:textId="064199CD" w:rsidR="00DD79B7" w:rsidRPr="006220EA" w:rsidRDefault="00382380" w:rsidP="006220EA">
      <w:pPr>
        <w:pStyle w:val="NormalWeb"/>
        <w:spacing w:before="0" w:beforeAutospacing="0" w:after="0" w:afterAutospacing="0"/>
        <w:jc w:val="both"/>
        <w:rPr>
          <w:color w:val="000000"/>
          <w:sz w:val="22"/>
          <w:szCs w:val="22"/>
          <w:lang w:val="en-CA"/>
        </w:rPr>
      </w:pPr>
      <w:r w:rsidRPr="006220EA">
        <w:rPr>
          <w:color w:val="000000"/>
          <w:sz w:val="22"/>
          <w:szCs w:val="22"/>
          <w:lang w:val="en-CA"/>
        </w:rPr>
        <w:t>Ms. Lee introduced t</w:t>
      </w:r>
      <w:r w:rsidR="00DD79B7" w:rsidRPr="006220EA">
        <w:rPr>
          <w:color w:val="000000"/>
          <w:sz w:val="22"/>
          <w:szCs w:val="22"/>
          <w:lang w:val="en-CA"/>
        </w:rPr>
        <w:t xml:space="preserve">he work undertaken by </w:t>
      </w:r>
      <w:r w:rsidRPr="006220EA">
        <w:rPr>
          <w:color w:val="000000"/>
          <w:sz w:val="22"/>
          <w:szCs w:val="22"/>
          <w:lang w:val="en-CA"/>
        </w:rPr>
        <w:t xml:space="preserve">the </w:t>
      </w:r>
      <w:r w:rsidR="00DD79B7" w:rsidRPr="006220EA">
        <w:rPr>
          <w:color w:val="000000"/>
          <w:sz w:val="22"/>
          <w:szCs w:val="22"/>
          <w:lang w:val="en-CA"/>
        </w:rPr>
        <w:t xml:space="preserve">ISA in </w:t>
      </w:r>
      <w:r w:rsidRPr="006220EA">
        <w:rPr>
          <w:color w:val="000000"/>
          <w:sz w:val="22"/>
          <w:szCs w:val="22"/>
          <w:lang w:val="en-CA"/>
        </w:rPr>
        <w:t xml:space="preserve">the </w:t>
      </w:r>
      <w:r w:rsidR="00DD79B7" w:rsidRPr="006220EA">
        <w:rPr>
          <w:color w:val="000000"/>
          <w:sz w:val="22"/>
          <w:szCs w:val="22"/>
          <w:lang w:val="en-CA"/>
        </w:rPr>
        <w:t>past 25 years</w:t>
      </w:r>
      <w:r w:rsidRPr="006220EA">
        <w:rPr>
          <w:color w:val="000000"/>
          <w:sz w:val="22"/>
          <w:szCs w:val="22"/>
          <w:lang w:val="en-CA"/>
        </w:rPr>
        <w:t>,</w:t>
      </w:r>
      <w:r w:rsidR="00DD79B7" w:rsidRPr="006220EA">
        <w:rPr>
          <w:color w:val="000000"/>
          <w:sz w:val="22"/>
          <w:szCs w:val="22"/>
          <w:lang w:val="en-CA"/>
        </w:rPr>
        <w:t xml:space="preserve"> under the mandate of the UN Convention on the Law of the Sea for the protection of the marine environment (Article 145 of the Convention)</w:t>
      </w:r>
      <w:r w:rsidRPr="006220EA">
        <w:rPr>
          <w:color w:val="000000"/>
          <w:sz w:val="22"/>
          <w:szCs w:val="22"/>
          <w:lang w:val="en-CA"/>
        </w:rPr>
        <w:t xml:space="preserve">, in terms of its </w:t>
      </w:r>
      <w:r w:rsidR="00DD79B7" w:rsidRPr="006220EA">
        <w:rPr>
          <w:color w:val="000000"/>
          <w:sz w:val="22"/>
          <w:szCs w:val="22"/>
          <w:lang w:val="en-CA"/>
        </w:rPr>
        <w:t xml:space="preserve">application of the precautionary approach to regulating activities in the Area. Building on this mandate, the ISA Strategic Plan (2019-2023) elaborates the specific approaches and measures in the Strategic Direction 3 (Protect the marine environment), focusing on </w:t>
      </w:r>
      <w:r w:rsidRPr="006220EA">
        <w:rPr>
          <w:color w:val="000000"/>
          <w:sz w:val="22"/>
          <w:szCs w:val="22"/>
          <w:lang w:val="en-CA"/>
        </w:rPr>
        <w:t xml:space="preserve">an </w:t>
      </w:r>
      <w:r w:rsidR="00DD79B7" w:rsidRPr="006220EA">
        <w:rPr>
          <w:color w:val="000000"/>
          <w:sz w:val="22"/>
          <w:szCs w:val="22"/>
          <w:lang w:val="en-CA"/>
        </w:rPr>
        <w:t>adaptive, practical and technically feasible regulatory framework, regional environmental management plan, environmental impact/risk assessment, environmental monitoring, modeling</w:t>
      </w:r>
      <w:r w:rsidRPr="006220EA">
        <w:rPr>
          <w:color w:val="000000"/>
          <w:sz w:val="22"/>
          <w:szCs w:val="22"/>
          <w:lang w:val="en-CA"/>
        </w:rPr>
        <w:t>,</w:t>
      </w:r>
      <w:r w:rsidR="00DD79B7" w:rsidRPr="006220EA">
        <w:rPr>
          <w:color w:val="000000"/>
          <w:sz w:val="22"/>
          <w:szCs w:val="22"/>
          <w:lang w:val="en-CA"/>
        </w:rPr>
        <w:t xml:space="preserve"> data management and information access.</w:t>
      </w:r>
      <w:r w:rsidR="00E70236" w:rsidRPr="006220EA">
        <w:rPr>
          <w:color w:val="000000"/>
          <w:sz w:val="22"/>
          <w:szCs w:val="22"/>
          <w:lang w:val="en-CA"/>
        </w:rPr>
        <w:t xml:space="preserve"> </w:t>
      </w:r>
      <w:r w:rsidR="00DD79B7" w:rsidRPr="006220EA">
        <w:rPr>
          <w:color w:val="000000"/>
          <w:sz w:val="22"/>
          <w:szCs w:val="22"/>
          <w:lang w:val="en-CA"/>
        </w:rPr>
        <w:t xml:space="preserve">Scientific data/information being provided by contractors through their exploration activities critically underpins the effective implementation of ISA’s environmental management system, together with scientific analysis, modeling and observations being undertaken by other scientific groups. The data submitted by contractors are now compiled and collated through </w:t>
      </w:r>
      <w:r w:rsidR="00251058" w:rsidRPr="006220EA">
        <w:rPr>
          <w:color w:val="000000"/>
          <w:sz w:val="22"/>
          <w:szCs w:val="22"/>
          <w:lang w:val="en-CA"/>
        </w:rPr>
        <w:t xml:space="preserve">the </w:t>
      </w:r>
      <w:r w:rsidR="00DD79B7" w:rsidRPr="006220EA">
        <w:rPr>
          <w:color w:val="000000"/>
          <w:sz w:val="22"/>
          <w:szCs w:val="22"/>
          <w:lang w:val="en-CA"/>
        </w:rPr>
        <w:t xml:space="preserve">ISA database (“DeepData), </w:t>
      </w:r>
      <w:r w:rsidR="00251058" w:rsidRPr="006220EA">
        <w:rPr>
          <w:color w:val="000000"/>
          <w:sz w:val="22"/>
          <w:szCs w:val="22"/>
          <w:lang w:val="en-CA"/>
        </w:rPr>
        <w:t>through</w:t>
      </w:r>
      <w:r w:rsidR="00DD79B7" w:rsidRPr="006220EA">
        <w:rPr>
          <w:color w:val="000000"/>
          <w:sz w:val="22"/>
          <w:szCs w:val="22"/>
          <w:lang w:val="en-CA"/>
        </w:rPr>
        <w:t xml:space="preserve"> which environmental data </w:t>
      </w:r>
      <w:r w:rsidR="00251058" w:rsidRPr="006220EA">
        <w:rPr>
          <w:color w:val="000000"/>
          <w:sz w:val="22"/>
          <w:szCs w:val="22"/>
          <w:lang w:val="en-CA"/>
        </w:rPr>
        <w:t xml:space="preserve">has been </w:t>
      </w:r>
      <w:r w:rsidR="00DD79B7" w:rsidRPr="006220EA">
        <w:rPr>
          <w:color w:val="000000"/>
          <w:sz w:val="22"/>
          <w:szCs w:val="22"/>
          <w:lang w:val="en-CA"/>
        </w:rPr>
        <w:t>publicly available since July 2019</w:t>
      </w:r>
      <w:r w:rsidR="00251058" w:rsidRPr="006220EA">
        <w:rPr>
          <w:color w:val="000000"/>
          <w:sz w:val="22"/>
          <w:szCs w:val="22"/>
          <w:lang w:val="en-CA"/>
        </w:rPr>
        <w:t xml:space="preserve">, when it was </w:t>
      </w:r>
      <w:r w:rsidR="00DD79B7" w:rsidRPr="006220EA">
        <w:rPr>
          <w:color w:val="000000"/>
          <w:sz w:val="22"/>
          <w:szCs w:val="22"/>
          <w:lang w:val="en-CA"/>
        </w:rPr>
        <w:t>public</w:t>
      </w:r>
      <w:r w:rsidR="00251058" w:rsidRPr="006220EA">
        <w:rPr>
          <w:color w:val="000000"/>
          <w:sz w:val="22"/>
          <w:szCs w:val="22"/>
          <w:lang w:val="en-CA"/>
        </w:rPr>
        <w:t>ly</w:t>
      </w:r>
      <w:r w:rsidR="00DD79B7" w:rsidRPr="006220EA">
        <w:rPr>
          <w:color w:val="000000"/>
          <w:sz w:val="22"/>
          <w:szCs w:val="22"/>
          <w:lang w:val="en-CA"/>
        </w:rPr>
        <w:t xml:space="preserve"> launch</w:t>
      </w:r>
      <w:r w:rsidR="00251058" w:rsidRPr="006220EA">
        <w:rPr>
          <w:color w:val="000000"/>
          <w:sz w:val="22"/>
          <w:szCs w:val="22"/>
          <w:lang w:val="en-CA"/>
        </w:rPr>
        <w:t>ed</w:t>
      </w:r>
      <w:r w:rsidR="00DD79B7" w:rsidRPr="006220EA">
        <w:rPr>
          <w:color w:val="000000"/>
          <w:sz w:val="22"/>
          <w:szCs w:val="22"/>
          <w:lang w:val="en-CA"/>
        </w:rPr>
        <w:t>. Scientific collaboration among contractors and relevant scientific groups will be the key to successful development of regional environmental management plans</w:t>
      </w:r>
      <w:r w:rsidR="00FB263B" w:rsidRPr="006220EA">
        <w:rPr>
          <w:color w:val="000000"/>
          <w:sz w:val="22"/>
          <w:szCs w:val="22"/>
          <w:lang w:val="en-CA"/>
        </w:rPr>
        <w:t xml:space="preserve"> (REMPs)</w:t>
      </w:r>
      <w:r w:rsidR="00DD79B7" w:rsidRPr="006220EA">
        <w:rPr>
          <w:color w:val="000000"/>
          <w:sz w:val="22"/>
          <w:szCs w:val="22"/>
          <w:lang w:val="en-CA"/>
        </w:rPr>
        <w:t xml:space="preserve">, including through the forthcoming </w:t>
      </w:r>
      <w:r w:rsidR="00DD79B7" w:rsidRPr="006220EA">
        <w:rPr>
          <w:color w:val="000000"/>
          <w:sz w:val="22"/>
          <w:szCs w:val="22"/>
          <w:lang w:val="en-CA"/>
        </w:rPr>
        <w:lastRenderedPageBreak/>
        <w:t xml:space="preserve">workshops to be held in Portugal (November 2019) and </w:t>
      </w:r>
      <w:r w:rsidR="00BB3D04" w:rsidRPr="006220EA">
        <w:rPr>
          <w:color w:val="000000"/>
          <w:sz w:val="22"/>
          <w:szCs w:val="22"/>
          <w:lang w:val="en-CA"/>
        </w:rPr>
        <w:t xml:space="preserve">the </w:t>
      </w:r>
      <w:r w:rsidR="00DD79B7" w:rsidRPr="006220EA">
        <w:rPr>
          <w:color w:val="000000"/>
          <w:sz w:val="22"/>
          <w:szCs w:val="22"/>
          <w:lang w:val="en-CA"/>
        </w:rPr>
        <w:t>Russia</w:t>
      </w:r>
      <w:r w:rsidR="00BB3D04" w:rsidRPr="006220EA">
        <w:rPr>
          <w:color w:val="000000"/>
          <w:sz w:val="22"/>
          <w:szCs w:val="22"/>
          <w:lang w:val="en-CA"/>
        </w:rPr>
        <w:t>n Federation</w:t>
      </w:r>
      <w:r w:rsidR="00DD79B7" w:rsidRPr="006220EA">
        <w:rPr>
          <w:color w:val="000000"/>
          <w:sz w:val="22"/>
          <w:szCs w:val="22"/>
          <w:lang w:val="en-CA"/>
        </w:rPr>
        <w:t xml:space="preserve"> (June 2020) for the Area of the </w:t>
      </w:r>
      <w:r w:rsidR="00BB3D04" w:rsidRPr="006220EA">
        <w:rPr>
          <w:color w:val="000000"/>
          <w:sz w:val="22"/>
          <w:szCs w:val="22"/>
          <w:lang w:val="en-CA"/>
        </w:rPr>
        <w:t>n</w:t>
      </w:r>
      <w:r w:rsidR="00DD79B7" w:rsidRPr="006220EA">
        <w:rPr>
          <w:color w:val="000000"/>
          <w:sz w:val="22"/>
          <w:szCs w:val="22"/>
          <w:lang w:val="en-CA"/>
        </w:rPr>
        <w:t>orthern mid-Atlantic ridge. Likewise, ISA will apply coherent and coordinated approaches at various steps of the REMP development to ensure effective and meaningful engagement of stakeholders in a transparent manner within the auspices of the ISA.</w:t>
      </w:r>
    </w:p>
    <w:p w14:paraId="1DB5FCC1" w14:textId="77777777" w:rsidR="00826D67" w:rsidRPr="006220EA" w:rsidRDefault="00826D67" w:rsidP="006220EA">
      <w:pPr>
        <w:pStyle w:val="NormalWeb"/>
        <w:spacing w:before="0" w:beforeAutospacing="0" w:after="0" w:afterAutospacing="0"/>
        <w:jc w:val="both"/>
        <w:rPr>
          <w:color w:val="000000"/>
          <w:sz w:val="22"/>
          <w:szCs w:val="22"/>
          <w:lang w:val="en-CA"/>
        </w:rPr>
      </w:pPr>
    </w:p>
    <w:p w14:paraId="16D3652D" w14:textId="75E24BAF" w:rsidR="007E767C" w:rsidRPr="006220EA" w:rsidRDefault="007E767C" w:rsidP="006220EA">
      <w:pPr>
        <w:pStyle w:val="NormalWeb"/>
        <w:spacing w:before="0" w:beforeAutospacing="0" w:after="0" w:afterAutospacing="0"/>
        <w:jc w:val="both"/>
        <w:rPr>
          <w:b/>
          <w:i/>
          <w:color w:val="000000"/>
          <w:sz w:val="22"/>
          <w:szCs w:val="22"/>
          <w:lang w:val="en-CA"/>
        </w:rPr>
      </w:pPr>
      <w:r w:rsidRPr="006220EA">
        <w:rPr>
          <w:b/>
          <w:i/>
          <w:color w:val="000000"/>
          <w:sz w:val="22"/>
          <w:szCs w:val="22"/>
          <w:lang w:val="en-CA"/>
        </w:rPr>
        <w:t>Approaches and experiences in the description of EBSAs (by Mr. Patrick Halpin, Technical Support</w:t>
      </w:r>
      <w:r w:rsidR="00784226" w:rsidRPr="006220EA">
        <w:rPr>
          <w:b/>
          <w:i/>
          <w:color w:val="000000"/>
          <w:sz w:val="22"/>
          <w:szCs w:val="22"/>
          <w:lang w:val="en-CA"/>
        </w:rPr>
        <w:t xml:space="preserve"> Team</w:t>
      </w:r>
      <w:r w:rsidRPr="006220EA">
        <w:rPr>
          <w:b/>
          <w:i/>
          <w:color w:val="000000"/>
          <w:sz w:val="22"/>
          <w:szCs w:val="22"/>
          <w:lang w:val="en-CA"/>
        </w:rPr>
        <w:t>)</w:t>
      </w:r>
    </w:p>
    <w:p w14:paraId="46DD3D46" w14:textId="18755741" w:rsidR="007E767C" w:rsidRPr="006220EA" w:rsidRDefault="007E767C">
      <w:pPr>
        <w:pStyle w:val="NormalWeb"/>
        <w:spacing w:before="0" w:beforeAutospacing="0" w:after="0" w:afterAutospacing="0"/>
        <w:jc w:val="both"/>
        <w:rPr>
          <w:color w:val="000000"/>
          <w:sz w:val="22"/>
          <w:szCs w:val="22"/>
          <w:lang w:val="en-CA"/>
        </w:rPr>
      </w:pPr>
      <w:r w:rsidRPr="006220EA">
        <w:rPr>
          <w:color w:val="000000"/>
          <w:sz w:val="22"/>
          <w:szCs w:val="22"/>
          <w:lang w:val="en-CA"/>
        </w:rPr>
        <w:t xml:space="preserve">Mr. Halpin reviewed the seven criteria adopted by the Conference of the Parties at its ninth meeting (decision IX/20) for the description of </w:t>
      </w:r>
      <w:r w:rsidR="003E7065" w:rsidRPr="006220EA">
        <w:rPr>
          <w:color w:val="000000"/>
          <w:sz w:val="22"/>
          <w:szCs w:val="22"/>
          <w:lang w:val="en-CA"/>
        </w:rPr>
        <w:t>EBSAs</w:t>
      </w:r>
      <w:r w:rsidRPr="006220EA">
        <w:rPr>
          <w:color w:val="000000"/>
          <w:sz w:val="22"/>
          <w:szCs w:val="22"/>
          <w:lang w:val="en-CA"/>
        </w:rPr>
        <w:t xml:space="preserve">. Mr. Halpin introduced the definition of each criterion, provided some context for </w:t>
      </w:r>
      <w:r w:rsidR="003E7065" w:rsidRPr="006220EA">
        <w:rPr>
          <w:color w:val="000000"/>
          <w:sz w:val="22"/>
          <w:szCs w:val="22"/>
          <w:lang w:val="en-CA"/>
        </w:rPr>
        <w:t>its</w:t>
      </w:r>
      <w:r w:rsidRPr="006220EA">
        <w:rPr>
          <w:color w:val="000000"/>
          <w:sz w:val="22"/>
          <w:szCs w:val="22"/>
          <w:lang w:val="en-CA"/>
        </w:rPr>
        <w:t xml:space="preserve"> application at regional workshops, as well as some guidance on </w:t>
      </w:r>
      <w:r w:rsidR="003E7065" w:rsidRPr="006220EA">
        <w:rPr>
          <w:color w:val="000000"/>
          <w:sz w:val="22"/>
          <w:szCs w:val="22"/>
          <w:lang w:val="en-CA"/>
        </w:rPr>
        <w:t>its</w:t>
      </w:r>
      <w:r w:rsidRPr="006220EA">
        <w:rPr>
          <w:color w:val="000000"/>
          <w:sz w:val="22"/>
          <w:szCs w:val="22"/>
          <w:lang w:val="en-CA"/>
        </w:rPr>
        <w:t xml:space="preserve"> use, as contained in annex I to that decision. He also described four types of areas meeting the EBSA criteria, comprising both fixed and dynamic features. He then summarized some of the lessons that have been learned about the application of the criteria, based on experience with their use in other CBD workshops, </w:t>
      </w:r>
      <w:r w:rsidR="00F021BF" w:rsidRPr="006220EA">
        <w:rPr>
          <w:color w:val="000000"/>
          <w:sz w:val="22"/>
          <w:szCs w:val="22"/>
          <w:lang w:val="en-CA"/>
        </w:rPr>
        <w:t>addressing</w:t>
      </w:r>
      <w:r w:rsidRPr="006220EA">
        <w:rPr>
          <w:color w:val="000000"/>
          <w:sz w:val="22"/>
          <w:szCs w:val="22"/>
          <w:lang w:val="en-CA"/>
        </w:rPr>
        <w:t xml:space="preserve"> the questions of scale, aggregation/clustering, and overlapping and nested EBSAs, among others. He stressed that the criteria were designed to be applied individually with regard to their relative significance within the region under consideration. Mr. Halpin also noted that only the inherent properties of EBSAs are considered, rather than existing threats or management considerations. The presentation also covered the EBSA description process and the completion of the EBSA template, as well as the types of information, maps and references that can supplement templates.</w:t>
      </w:r>
    </w:p>
    <w:p w14:paraId="1B853B93" w14:textId="77777777" w:rsidR="00826D67" w:rsidRPr="006220EA" w:rsidRDefault="00826D67" w:rsidP="006220EA">
      <w:pPr>
        <w:pStyle w:val="NormalWeb"/>
        <w:spacing w:before="0" w:beforeAutospacing="0" w:after="0" w:afterAutospacing="0"/>
        <w:jc w:val="both"/>
        <w:rPr>
          <w:color w:val="000000"/>
          <w:sz w:val="22"/>
          <w:szCs w:val="22"/>
          <w:lang w:val="en-CA"/>
        </w:rPr>
      </w:pPr>
    </w:p>
    <w:p w14:paraId="7B9DCF3F" w14:textId="5F0ACFEA" w:rsidR="00477A1C" w:rsidRPr="006220EA" w:rsidRDefault="00477A1C" w:rsidP="006220EA">
      <w:pPr>
        <w:jc w:val="both"/>
        <w:rPr>
          <w:sz w:val="22"/>
          <w:szCs w:val="22"/>
        </w:rPr>
      </w:pPr>
      <w:r w:rsidRPr="006220EA">
        <w:rPr>
          <w:b/>
          <w:i/>
          <w:sz w:val="22"/>
          <w:szCs w:val="22"/>
        </w:rPr>
        <w:t>Review of relevant scientific data/information/maps compiled for the workshop (by Mr. Patrick Halpin, Technical Support Team)</w:t>
      </w:r>
    </w:p>
    <w:p w14:paraId="7024A523" w14:textId="68A10DCF" w:rsidR="00477A1C" w:rsidRPr="006220EA" w:rsidRDefault="00477A1C" w:rsidP="006220EA">
      <w:pPr>
        <w:jc w:val="both"/>
        <w:rPr>
          <w:sz w:val="22"/>
          <w:szCs w:val="22"/>
        </w:rPr>
      </w:pPr>
      <w:r w:rsidRPr="006220EA">
        <w:rPr>
          <w:sz w:val="22"/>
          <w:szCs w:val="22"/>
        </w:rPr>
        <w:t xml:space="preserve">Mr. Halpin reviewed the compilation of scientific data and information prepared for the workshop and presented in the document entitled </w:t>
      </w:r>
      <w:r w:rsidRPr="006220EA">
        <w:rPr>
          <w:i/>
          <w:sz w:val="22"/>
          <w:szCs w:val="22"/>
        </w:rPr>
        <w:t>Data to Inform the Regional Workshop to Facilitate the Description of Ecologically or Biologically Significant Marine Areas (EBSAs) in the North-East Atlantic Ocean</w:t>
      </w:r>
      <w:r w:rsidRPr="006220EA">
        <w:rPr>
          <w:sz w:val="22"/>
          <w:szCs w:val="22"/>
        </w:rPr>
        <w:t xml:space="preserve"> (CBD/EBSA/WS/2019/1/3). He explained that the baseline data layers developed for this workshop closely follow the data types prepared for previous EBSA workshops, to provide consistency between regional efforts, along with many data specific to the North-East Atlantic region. More than 75 data layers were prepared for this workshop. The presentation covered three general types of data: (1) biogeographic data, (2) biological data and (3) physical data. The biogeographic data focused on major biogeographic classification systems. The biological data portion of the presentation covered a variety of data sources to include data and statistical indices compiled by the Ocean Biogeographic Information System. The physical data layers included bathymetric and physical substrate data, oceanographic features and remotely sensed data. The data report also identified </w:t>
      </w:r>
      <w:r w:rsidR="00F021BF" w:rsidRPr="006220EA">
        <w:rPr>
          <w:sz w:val="22"/>
          <w:szCs w:val="22"/>
        </w:rPr>
        <w:t>several</w:t>
      </w:r>
      <w:r w:rsidRPr="006220EA">
        <w:rPr>
          <w:sz w:val="22"/>
          <w:szCs w:val="22"/>
        </w:rPr>
        <w:t xml:space="preserve"> published scientific papers that listed additional data resources. Mr. Halpin noted that there were likely a significant number of scientific data sets and papers for the North-East Atlantic region that were not located in internationally accessible sites and recommended that the workshop participants rely on local experts to help identify critical regional data sets and analyses that could be identified to supplement their efforts. Specific information on the data layers is provided in detail in the data report referred to above.</w:t>
      </w:r>
    </w:p>
    <w:p w14:paraId="78B8F151" w14:textId="30847CAC" w:rsidR="00F952A8" w:rsidRPr="006220EA" w:rsidRDefault="00F952A8" w:rsidP="006220EA">
      <w:pPr>
        <w:tabs>
          <w:tab w:val="left" w:pos="567"/>
        </w:tabs>
        <w:spacing w:before="120" w:after="120"/>
        <w:jc w:val="both"/>
        <w:rPr>
          <w:sz w:val="22"/>
          <w:szCs w:val="22"/>
        </w:rPr>
      </w:pPr>
      <w:r w:rsidRPr="006220EA">
        <w:rPr>
          <w:sz w:val="22"/>
          <w:szCs w:val="22"/>
        </w:rPr>
        <w:br w:type="page"/>
      </w:r>
    </w:p>
    <w:p w14:paraId="5D5488CA" w14:textId="14B0848F" w:rsidR="00826D67" w:rsidRPr="006220EA" w:rsidRDefault="00826D67" w:rsidP="00F952A8">
      <w:pPr>
        <w:pStyle w:val="Heading3"/>
        <w:spacing w:before="0"/>
        <w:rPr>
          <w:szCs w:val="22"/>
        </w:rPr>
      </w:pPr>
      <w:r w:rsidRPr="006220EA">
        <w:rPr>
          <w:szCs w:val="22"/>
        </w:rPr>
        <w:lastRenderedPageBreak/>
        <w:t>Annex III</w:t>
      </w:r>
    </w:p>
    <w:p w14:paraId="08FDBD6D" w14:textId="46E2CF4F" w:rsidR="00826D67" w:rsidRPr="006220EA" w:rsidRDefault="0047128F" w:rsidP="00F952A8">
      <w:pPr>
        <w:pStyle w:val="Heading3"/>
        <w:spacing w:before="0"/>
        <w:rPr>
          <w:b/>
          <w:bCs/>
          <w:i w:val="0"/>
          <w:iCs w:val="0"/>
          <w:szCs w:val="22"/>
        </w:rPr>
      </w:pPr>
      <w:r w:rsidRPr="005817D1">
        <w:rPr>
          <w:b/>
          <w:bCs/>
          <w:i w:val="0"/>
          <w:iCs w:val="0"/>
          <w:szCs w:val="22"/>
        </w:rPr>
        <w:t>SHARING EXPERIENCES FROM</w:t>
      </w:r>
      <w:r w:rsidRPr="005817D1">
        <w:rPr>
          <w:b/>
          <w:bCs/>
          <w:i w:val="0"/>
          <w:iCs w:val="0"/>
          <w:szCs w:val="22"/>
          <w:lang w:val="en-CA" w:eastAsia="ko-KR"/>
        </w:rPr>
        <w:t xml:space="preserve"> </w:t>
      </w:r>
      <w:r w:rsidRPr="005817D1">
        <w:rPr>
          <w:b/>
          <w:bCs/>
          <w:i w:val="0"/>
          <w:iCs w:val="0"/>
          <w:szCs w:val="22"/>
          <w:lang w:val="en-CA"/>
        </w:rPr>
        <w:t>RELEVANT NATIONAL PROCESSES APPLYING THE EBSA CRITERIA OR OTHER SIMILAR CRITERIA FOR IDENTIFYING MARINE AREAS OF PARTICULAR IMPORTANCE</w:t>
      </w:r>
      <w:r w:rsidR="00880A50" w:rsidRPr="002E4B39">
        <w:rPr>
          <w:rStyle w:val="FootnoteReference"/>
          <w:b/>
          <w:bCs/>
          <w:i w:val="0"/>
          <w:iCs w:val="0"/>
          <w:szCs w:val="22"/>
          <w:u w:val="none"/>
          <w:vertAlign w:val="superscript"/>
          <w:lang w:val="en-CA"/>
        </w:rPr>
        <w:footnoteReference w:id="6"/>
      </w:r>
    </w:p>
    <w:p w14:paraId="12A7F97D" w14:textId="59E71487" w:rsidR="00826D67" w:rsidRDefault="00826D67" w:rsidP="00826D67">
      <w:pPr>
        <w:rPr>
          <w:sz w:val="22"/>
          <w:szCs w:val="22"/>
        </w:rPr>
      </w:pPr>
    </w:p>
    <w:p w14:paraId="629353E3" w14:textId="31C0B9A4" w:rsidR="0095649D" w:rsidRDefault="00F021BF" w:rsidP="0095649D">
      <w:pPr>
        <w:autoSpaceDE w:val="0"/>
        <w:autoSpaceDN w:val="0"/>
        <w:adjustRightInd w:val="0"/>
        <w:jc w:val="both"/>
        <w:rPr>
          <w:sz w:val="22"/>
          <w:szCs w:val="22"/>
          <w:lang w:eastAsia="ko-KR"/>
        </w:rPr>
      </w:pPr>
      <w:r>
        <w:rPr>
          <w:sz w:val="22"/>
          <w:szCs w:val="22"/>
          <w:lang w:val="en-IE" w:eastAsia="ko-KR"/>
        </w:rPr>
        <w:t xml:space="preserve">As noted in paragraph 19, above, </w:t>
      </w:r>
      <w:r w:rsidR="0095649D" w:rsidRPr="0095649D">
        <w:rPr>
          <w:sz w:val="22"/>
          <w:szCs w:val="22"/>
          <w:lang w:eastAsia="ko-KR"/>
        </w:rPr>
        <w:t xml:space="preserve">Germany, Greenland (Kingdom of Denmark), Iceland, Ireland, Netherlands, Norway, and the United Kingdom of Great Britain and Northern Ireland did not include their </w:t>
      </w:r>
      <w:r w:rsidR="00472E01">
        <w:rPr>
          <w:sz w:val="22"/>
          <w:szCs w:val="22"/>
          <w:lang w:eastAsia="ko-KR"/>
        </w:rPr>
        <w:t>EEZs</w:t>
      </w:r>
      <w:r w:rsidR="00472E01" w:rsidRPr="0095649D">
        <w:rPr>
          <w:sz w:val="22"/>
          <w:szCs w:val="22"/>
          <w:lang w:eastAsia="ko-KR"/>
        </w:rPr>
        <w:t xml:space="preserve"> </w:t>
      </w:r>
      <w:r w:rsidR="0095649D" w:rsidRPr="0095649D">
        <w:rPr>
          <w:sz w:val="22"/>
          <w:szCs w:val="22"/>
          <w:lang w:eastAsia="ko-KR"/>
        </w:rPr>
        <w:t xml:space="preserve">in the workshop scope due to the fact that those Parties had conducted, or were in the process of conducting, relevant national processes applying the EBSA criteria or other similar criteria for identifying marine areas of particular importance. Workshop participants from those Parties were invited to provide brief summaries of these national processes. Sweden and the Russian Federation had already described EBSAs in their </w:t>
      </w:r>
      <w:r w:rsidR="00472E01">
        <w:rPr>
          <w:sz w:val="22"/>
          <w:szCs w:val="22"/>
          <w:lang w:eastAsia="ko-KR"/>
        </w:rPr>
        <w:t>EEzs</w:t>
      </w:r>
      <w:r w:rsidR="00472E01" w:rsidRPr="0095649D">
        <w:rPr>
          <w:sz w:val="22"/>
          <w:szCs w:val="22"/>
          <w:lang w:eastAsia="ko-KR"/>
        </w:rPr>
        <w:t xml:space="preserve"> </w:t>
      </w:r>
      <w:r w:rsidR="0095649D" w:rsidRPr="0095649D">
        <w:rPr>
          <w:sz w:val="22"/>
          <w:szCs w:val="22"/>
          <w:lang w:eastAsia="ko-KR"/>
        </w:rPr>
        <w:t xml:space="preserve">in previous CBD regional EBSA workshops that overlapped with the scope of the present workshop, and did not describe additional features or information in their </w:t>
      </w:r>
      <w:r w:rsidR="00472E01">
        <w:rPr>
          <w:sz w:val="22"/>
          <w:szCs w:val="22"/>
          <w:lang w:eastAsia="ko-KR"/>
        </w:rPr>
        <w:t>EEZs</w:t>
      </w:r>
      <w:r w:rsidR="0095649D" w:rsidRPr="0095649D">
        <w:rPr>
          <w:sz w:val="22"/>
          <w:szCs w:val="22"/>
          <w:lang w:eastAsia="ko-KR"/>
        </w:rPr>
        <w:t xml:space="preserve">.  </w:t>
      </w:r>
    </w:p>
    <w:p w14:paraId="0F073441" w14:textId="0666720B" w:rsidR="00826D67" w:rsidRDefault="00826D67" w:rsidP="00693C4F">
      <w:pPr>
        <w:rPr>
          <w:sz w:val="22"/>
          <w:szCs w:val="22"/>
          <w:highlight w:val="yellow"/>
        </w:rPr>
      </w:pPr>
    </w:p>
    <w:p w14:paraId="21D28050" w14:textId="3A8AAD17" w:rsidR="002234EC" w:rsidRPr="002C76CE" w:rsidRDefault="002C76CE" w:rsidP="00693C4F">
      <w:pPr>
        <w:jc w:val="both"/>
        <w:rPr>
          <w:color w:val="000000" w:themeColor="text1"/>
          <w:sz w:val="22"/>
          <w:szCs w:val="22"/>
          <w:lang w:val="en"/>
        </w:rPr>
      </w:pPr>
      <w:r w:rsidRPr="002C76CE">
        <w:rPr>
          <w:color w:val="000000" w:themeColor="text1"/>
          <w:sz w:val="22"/>
          <w:szCs w:val="22"/>
        </w:rPr>
        <w:t xml:space="preserve">The workshop also noted, with respect to the national processes of EU Member States, </w:t>
      </w:r>
      <w:r w:rsidR="00693C4F" w:rsidRPr="002C76CE">
        <w:rPr>
          <w:color w:val="000000" w:themeColor="text1"/>
          <w:sz w:val="22"/>
          <w:szCs w:val="22"/>
        </w:rPr>
        <w:t xml:space="preserve">that the </w:t>
      </w:r>
      <w:r w:rsidR="002234EC" w:rsidRPr="002C76CE">
        <w:rPr>
          <w:color w:val="000000" w:themeColor="text1"/>
          <w:sz w:val="22"/>
          <w:szCs w:val="22"/>
          <w:lang w:val="en"/>
        </w:rPr>
        <w:t>EU environmental policy in the marine domain include the Marine Strategy Framework Directive (MSFD),</w:t>
      </w:r>
      <w:r>
        <w:rPr>
          <w:rStyle w:val="FootnoteReference"/>
          <w:color w:val="000000" w:themeColor="text1"/>
          <w:szCs w:val="22"/>
          <w:lang w:val="en"/>
        </w:rPr>
        <w:footnoteReference w:id="7"/>
      </w:r>
      <w:r w:rsidR="002234EC" w:rsidRPr="002C76CE">
        <w:rPr>
          <w:color w:val="000000" w:themeColor="text1"/>
          <w:sz w:val="22"/>
          <w:szCs w:val="22"/>
          <w:lang w:val="en"/>
        </w:rPr>
        <w:t xml:space="preserve"> the Common Fisheries Policy (CFP), the 7th Environment Action Programme, the 2020 Biodiversity Strategy, and legislation such as the Birds Directive,</w:t>
      </w:r>
      <w:r>
        <w:rPr>
          <w:rStyle w:val="FootnoteReference"/>
          <w:color w:val="000000" w:themeColor="text1"/>
          <w:szCs w:val="22"/>
          <w:lang w:val="en"/>
        </w:rPr>
        <w:footnoteReference w:id="8"/>
      </w:r>
      <w:r w:rsidR="002234EC" w:rsidRPr="002C76CE">
        <w:rPr>
          <w:color w:val="000000" w:themeColor="text1"/>
          <w:sz w:val="22"/>
          <w:szCs w:val="22"/>
          <w:lang w:val="en"/>
        </w:rPr>
        <w:t xml:space="preserve"> Habitats Directive</w:t>
      </w:r>
      <w:r>
        <w:rPr>
          <w:rStyle w:val="FootnoteReference"/>
          <w:color w:val="000000" w:themeColor="text1"/>
          <w:szCs w:val="22"/>
          <w:lang w:val="en"/>
        </w:rPr>
        <w:footnoteReference w:id="9"/>
      </w:r>
      <w:r w:rsidR="002234EC" w:rsidRPr="002C76CE">
        <w:rPr>
          <w:color w:val="000000" w:themeColor="text1"/>
          <w:sz w:val="22"/>
          <w:szCs w:val="22"/>
          <w:lang w:val="en"/>
        </w:rPr>
        <w:t xml:space="preserve"> and the Water Framework Directive.</w:t>
      </w:r>
      <w:r w:rsidRPr="002C76CE">
        <w:rPr>
          <w:color w:val="000000" w:themeColor="text1"/>
          <w:sz w:val="22"/>
          <w:szCs w:val="22"/>
        </w:rPr>
        <w:t xml:space="preserve"> </w:t>
      </w:r>
      <w:r w:rsidR="002234EC" w:rsidRPr="002C76CE">
        <w:rPr>
          <w:color w:val="000000" w:themeColor="text1"/>
          <w:sz w:val="22"/>
          <w:szCs w:val="22"/>
          <w:lang w:val="en"/>
        </w:rPr>
        <w:t>The MSFD, as the environmental maritime pillar</w:t>
      </w:r>
      <w:r w:rsidR="008B0C4F">
        <w:rPr>
          <w:color w:val="000000" w:themeColor="text1"/>
          <w:sz w:val="22"/>
          <w:szCs w:val="22"/>
          <w:lang w:val="en"/>
        </w:rPr>
        <w:t>,</w:t>
      </w:r>
      <w:r w:rsidR="002234EC" w:rsidRPr="002C76CE">
        <w:rPr>
          <w:color w:val="000000" w:themeColor="text1"/>
          <w:sz w:val="22"/>
          <w:szCs w:val="22"/>
          <w:lang w:val="en"/>
        </w:rPr>
        <w:t xml:space="preserve"> is the key component of the EU's policy response to achieve healthy, clean and productive seas. The objective of the MSFD is for European marine waters to achieve </w:t>
      </w:r>
      <w:r w:rsidR="008B0C4F">
        <w:rPr>
          <w:color w:val="000000" w:themeColor="text1"/>
          <w:sz w:val="22"/>
          <w:szCs w:val="22"/>
          <w:lang w:val="en"/>
        </w:rPr>
        <w:t>“</w:t>
      </w:r>
      <w:r w:rsidR="002234EC" w:rsidRPr="002C76CE">
        <w:rPr>
          <w:color w:val="000000" w:themeColor="text1"/>
          <w:sz w:val="22"/>
          <w:szCs w:val="22"/>
          <w:lang w:val="en"/>
        </w:rPr>
        <w:t>good environmental status</w:t>
      </w:r>
      <w:r w:rsidR="008B0C4F">
        <w:rPr>
          <w:color w:val="000000" w:themeColor="text1"/>
          <w:sz w:val="22"/>
          <w:szCs w:val="22"/>
          <w:lang w:val="en"/>
        </w:rPr>
        <w:t>”</w:t>
      </w:r>
      <w:r w:rsidR="002234EC" w:rsidRPr="002C76CE">
        <w:rPr>
          <w:color w:val="000000" w:themeColor="text1"/>
          <w:sz w:val="22"/>
          <w:szCs w:val="22"/>
          <w:lang w:val="en"/>
        </w:rPr>
        <w:t xml:space="preserve"> (GES) by 2020. It aims to promote the sustainable use of the seas and conserve marine ecosystems through the implementation of an ecosystem-based approach to the management of human activities in the marine environment.</w:t>
      </w:r>
    </w:p>
    <w:p w14:paraId="37CFF304" w14:textId="77777777" w:rsidR="002C76CE" w:rsidRPr="002C76CE" w:rsidRDefault="002C76CE" w:rsidP="00693C4F">
      <w:pPr>
        <w:jc w:val="both"/>
        <w:rPr>
          <w:color w:val="000000" w:themeColor="text1"/>
          <w:sz w:val="22"/>
          <w:szCs w:val="22"/>
          <w:lang w:val="en-IE"/>
        </w:rPr>
      </w:pPr>
    </w:p>
    <w:p w14:paraId="177DE796" w14:textId="751F0CFD" w:rsidR="002234EC" w:rsidRPr="002C76CE" w:rsidRDefault="002234EC" w:rsidP="002C76CE">
      <w:pPr>
        <w:jc w:val="both"/>
        <w:rPr>
          <w:color w:val="000000"/>
          <w:sz w:val="22"/>
          <w:szCs w:val="22"/>
        </w:rPr>
      </w:pPr>
      <w:r w:rsidRPr="002C76CE">
        <w:rPr>
          <w:color w:val="000000" w:themeColor="text1"/>
          <w:sz w:val="22"/>
          <w:szCs w:val="22"/>
          <w:lang w:val="en-IE"/>
        </w:rPr>
        <w:t>The MSFD requires Member States to adopt Programmes of Measures to achieve good environmental status in their marine waters. These Programmes of Measures include spatial protection measures contributing to coherent and representative networks of marine protected areas (MPAs). M</w:t>
      </w:r>
      <w:r w:rsidR="008B0C4F">
        <w:rPr>
          <w:color w:val="000000" w:themeColor="text1"/>
          <w:sz w:val="22"/>
          <w:szCs w:val="22"/>
          <w:lang w:val="en-IE"/>
        </w:rPr>
        <w:t>PAs</w:t>
      </w:r>
      <w:r w:rsidRPr="002C76CE">
        <w:rPr>
          <w:color w:val="000000" w:themeColor="text1"/>
          <w:sz w:val="22"/>
          <w:szCs w:val="22"/>
          <w:lang w:val="en-IE"/>
        </w:rPr>
        <w:t xml:space="preserve"> are a measure used across Europe’s seas for protecting vulnerable species and habitats that have been referenced in both the Birds and Habitat Directives</w:t>
      </w:r>
      <w:r w:rsidRPr="002C76CE">
        <w:rPr>
          <w:color w:val="000000"/>
          <w:sz w:val="22"/>
          <w:szCs w:val="22"/>
          <w:lang w:val="en-IE"/>
        </w:rPr>
        <w:t>.</w:t>
      </w:r>
    </w:p>
    <w:p w14:paraId="76CE97BC" w14:textId="77777777" w:rsidR="004457AD" w:rsidRPr="007409A7" w:rsidRDefault="004457AD" w:rsidP="00826D67">
      <w:pPr>
        <w:pBdr>
          <w:bottom w:val="single" w:sz="6" w:space="1" w:color="auto"/>
        </w:pBdr>
        <w:rPr>
          <w:b/>
          <w:bCs/>
          <w:sz w:val="22"/>
          <w:szCs w:val="22"/>
        </w:rPr>
      </w:pPr>
    </w:p>
    <w:p w14:paraId="14C0A9B1" w14:textId="77777777" w:rsidR="007409A7" w:rsidRPr="007409A7" w:rsidRDefault="007409A7" w:rsidP="00826D67">
      <w:pPr>
        <w:rPr>
          <w:b/>
          <w:bCs/>
          <w:sz w:val="22"/>
          <w:szCs w:val="22"/>
        </w:rPr>
      </w:pPr>
    </w:p>
    <w:p w14:paraId="3F2BA990" w14:textId="5D30A1AD" w:rsidR="004457AD" w:rsidRPr="007409A7" w:rsidRDefault="004457AD" w:rsidP="007D6432">
      <w:pPr>
        <w:rPr>
          <w:b/>
          <w:bCs/>
          <w:sz w:val="22"/>
          <w:szCs w:val="22"/>
        </w:rPr>
      </w:pPr>
      <w:r w:rsidRPr="007409A7">
        <w:rPr>
          <w:b/>
          <w:bCs/>
          <w:sz w:val="22"/>
          <w:szCs w:val="22"/>
        </w:rPr>
        <w:t>GERMANY</w:t>
      </w:r>
    </w:p>
    <w:p w14:paraId="48D2109D" w14:textId="045FD667" w:rsidR="004457AD" w:rsidRDefault="004457AD" w:rsidP="007D6432">
      <w:pPr>
        <w:jc w:val="both"/>
        <w:rPr>
          <w:sz w:val="22"/>
          <w:szCs w:val="22"/>
          <w:lang w:val="en-US"/>
        </w:rPr>
      </w:pPr>
      <w:r w:rsidRPr="007409A7">
        <w:rPr>
          <w:sz w:val="22"/>
          <w:szCs w:val="22"/>
          <w:lang w:val="en-US"/>
        </w:rPr>
        <w:t>Since the 1980s</w:t>
      </w:r>
      <w:r w:rsidR="007D6432">
        <w:rPr>
          <w:sz w:val="22"/>
          <w:szCs w:val="22"/>
          <w:lang w:val="en-US"/>
        </w:rPr>
        <w:t xml:space="preserve">, </w:t>
      </w:r>
      <w:r w:rsidRPr="007409A7">
        <w:rPr>
          <w:sz w:val="22"/>
          <w:szCs w:val="22"/>
          <w:lang w:val="en-US"/>
        </w:rPr>
        <w:t xml:space="preserve">a substantial number of MPAs </w:t>
      </w:r>
      <w:r w:rsidR="008B0C4F">
        <w:rPr>
          <w:sz w:val="22"/>
          <w:szCs w:val="22"/>
          <w:lang w:val="en-US"/>
        </w:rPr>
        <w:t>have been</w:t>
      </w:r>
      <w:r w:rsidRPr="007409A7">
        <w:rPr>
          <w:sz w:val="22"/>
          <w:szCs w:val="22"/>
          <w:lang w:val="en-US"/>
        </w:rPr>
        <w:t xml:space="preserve"> established and are protected by national law as marine nature reserves or national parks</w:t>
      </w:r>
      <w:r w:rsidR="007D6432">
        <w:rPr>
          <w:sz w:val="22"/>
          <w:szCs w:val="22"/>
          <w:lang w:val="en-US"/>
        </w:rPr>
        <w:t xml:space="preserve"> </w:t>
      </w:r>
      <w:r w:rsidR="007D6432" w:rsidRPr="007D6432">
        <w:rPr>
          <w:sz w:val="22"/>
          <w:szCs w:val="22"/>
          <w:lang w:val="en-US"/>
        </w:rPr>
        <w:t>in the German waters of the North Sea</w:t>
      </w:r>
      <w:r w:rsidRPr="007D6432">
        <w:rPr>
          <w:sz w:val="22"/>
          <w:szCs w:val="22"/>
          <w:lang w:val="en-US"/>
        </w:rPr>
        <w:t xml:space="preserve">. </w:t>
      </w:r>
      <w:r w:rsidR="008B0C4F">
        <w:rPr>
          <w:sz w:val="22"/>
          <w:szCs w:val="22"/>
          <w:lang w:val="en-US"/>
        </w:rPr>
        <w:t>Today</w:t>
      </w:r>
      <w:r w:rsidR="007D6432" w:rsidRPr="007D6432">
        <w:rPr>
          <w:sz w:val="22"/>
          <w:szCs w:val="22"/>
          <w:lang w:val="en-US"/>
        </w:rPr>
        <w:t>,</w:t>
      </w:r>
      <w:r w:rsidRPr="007D6432">
        <w:rPr>
          <w:sz w:val="22"/>
          <w:szCs w:val="22"/>
          <w:lang w:val="en-US"/>
        </w:rPr>
        <w:t xml:space="preserve"> th</w:t>
      </w:r>
      <w:r w:rsidR="008B0C4F">
        <w:rPr>
          <w:sz w:val="22"/>
          <w:szCs w:val="22"/>
          <w:lang w:val="en-US"/>
        </w:rPr>
        <w:t>is</w:t>
      </w:r>
      <w:r w:rsidR="007D6432" w:rsidRPr="007D6432">
        <w:rPr>
          <w:sz w:val="22"/>
          <w:szCs w:val="22"/>
          <w:lang w:val="en-US"/>
        </w:rPr>
        <w:t xml:space="preserve"> MPA</w:t>
      </w:r>
      <w:r w:rsidRPr="007D6432">
        <w:rPr>
          <w:sz w:val="22"/>
          <w:szCs w:val="22"/>
          <w:lang w:val="en-US"/>
        </w:rPr>
        <w:t xml:space="preserve"> network </w:t>
      </w:r>
      <w:r w:rsidR="008B0C4F">
        <w:rPr>
          <w:sz w:val="22"/>
          <w:szCs w:val="22"/>
          <w:lang w:val="en-US"/>
        </w:rPr>
        <w:t xml:space="preserve">covers </w:t>
      </w:r>
      <w:r w:rsidRPr="007D6432">
        <w:rPr>
          <w:sz w:val="22"/>
          <w:szCs w:val="22"/>
          <w:lang w:val="en-US"/>
        </w:rPr>
        <w:t xml:space="preserve">as much as 43 </w:t>
      </w:r>
      <w:r w:rsidR="008B0C4F">
        <w:rPr>
          <w:sz w:val="22"/>
          <w:szCs w:val="22"/>
          <w:lang w:val="en-US"/>
        </w:rPr>
        <w:t>per cent</w:t>
      </w:r>
      <w:r w:rsidRPr="007D6432">
        <w:rPr>
          <w:sz w:val="22"/>
          <w:szCs w:val="22"/>
          <w:lang w:val="en-US"/>
        </w:rPr>
        <w:t xml:space="preserve"> of the German North Sea (see </w:t>
      </w:r>
      <w:r w:rsidRPr="002F7E4A">
        <w:rPr>
          <w:sz w:val="22"/>
          <w:szCs w:val="22"/>
          <w:lang w:val="en-US"/>
        </w:rPr>
        <w:t>Fig</w:t>
      </w:r>
      <w:r w:rsidR="007D6432" w:rsidRPr="002F7E4A">
        <w:rPr>
          <w:sz w:val="22"/>
          <w:szCs w:val="22"/>
          <w:lang w:val="en-US"/>
        </w:rPr>
        <w:t>ure 1</w:t>
      </w:r>
      <w:r w:rsidRPr="002F7E4A">
        <w:rPr>
          <w:sz w:val="22"/>
          <w:szCs w:val="22"/>
          <w:lang w:val="en-US"/>
        </w:rPr>
        <w:t>). All MPAs are Natura 2000 sites, i.e.</w:t>
      </w:r>
      <w:r w:rsidR="008B0C4F">
        <w:rPr>
          <w:sz w:val="22"/>
          <w:szCs w:val="22"/>
          <w:lang w:val="en-US"/>
        </w:rPr>
        <w:t>,</w:t>
      </w:r>
      <w:r w:rsidRPr="002F7E4A">
        <w:rPr>
          <w:sz w:val="22"/>
          <w:szCs w:val="22"/>
          <w:lang w:val="en-US"/>
        </w:rPr>
        <w:t xml:space="preserve"> protected according to European law. The criteria that were applied to select these MPAs are </w:t>
      </w:r>
      <w:r w:rsidR="008B0C4F">
        <w:rPr>
          <w:sz w:val="22"/>
          <w:szCs w:val="22"/>
          <w:lang w:val="en-US"/>
        </w:rPr>
        <w:t>almost identical</w:t>
      </w:r>
      <w:r w:rsidRPr="002F7E4A">
        <w:rPr>
          <w:sz w:val="22"/>
          <w:szCs w:val="22"/>
          <w:lang w:val="en-US"/>
        </w:rPr>
        <w:t xml:space="preserve"> to the selection criteria for </w:t>
      </w:r>
      <w:r w:rsidR="008B0C4F">
        <w:rPr>
          <w:sz w:val="22"/>
          <w:szCs w:val="22"/>
          <w:lang w:val="en-US"/>
        </w:rPr>
        <w:t xml:space="preserve">CBD </w:t>
      </w:r>
      <w:r w:rsidRPr="002F7E4A">
        <w:rPr>
          <w:sz w:val="22"/>
          <w:szCs w:val="22"/>
          <w:lang w:val="en-US"/>
        </w:rPr>
        <w:t xml:space="preserve">EBSAs. Each German MPA is also listed as </w:t>
      </w:r>
      <w:r w:rsidR="008B0C4F">
        <w:rPr>
          <w:sz w:val="22"/>
          <w:szCs w:val="22"/>
          <w:lang w:val="en-US"/>
        </w:rPr>
        <w:t xml:space="preserve">an </w:t>
      </w:r>
      <w:r w:rsidRPr="002F7E4A">
        <w:rPr>
          <w:sz w:val="22"/>
          <w:szCs w:val="22"/>
          <w:lang w:val="en-US"/>
        </w:rPr>
        <w:t>OSPAR MPA according to OSPAR</w:t>
      </w:r>
      <w:r w:rsidR="008B0C4F">
        <w:rPr>
          <w:sz w:val="22"/>
          <w:szCs w:val="22"/>
          <w:lang w:val="en-US"/>
        </w:rPr>
        <w:t>’</w:t>
      </w:r>
      <w:r w:rsidRPr="002F7E4A">
        <w:rPr>
          <w:sz w:val="22"/>
          <w:szCs w:val="22"/>
          <w:lang w:val="en-US"/>
        </w:rPr>
        <w:t>s selection criteria.</w:t>
      </w:r>
    </w:p>
    <w:p w14:paraId="4BB19B2E" w14:textId="77777777" w:rsidR="007D6432" w:rsidRPr="007409A7" w:rsidRDefault="007D6432" w:rsidP="007D6432">
      <w:pPr>
        <w:jc w:val="both"/>
        <w:rPr>
          <w:sz w:val="22"/>
          <w:szCs w:val="22"/>
          <w:lang w:val="en-US"/>
        </w:rPr>
      </w:pPr>
    </w:p>
    <w:p w14:paraId="3DD42FE7" w14:textId="6A173BF1" w:rsidR="004457AD" w:rsidRDefault="004457AD" w:rsidP="007D6432">
      <w:pPr>
        <w:jc w:val="both"/>
        <w:rPr>
          <w:sz w:val="22"/>
          <w:szCs w:val="22"/>
          <w:lang w:val="en-US"/>
        </w:rPr>
      </w:pPr>
      <w:r w:rsidRPr="007409A7">
        <w:rPr>
          <w:sz w:val="22"/>
          <w:szCs w:val="22"/>
          <w:lang w:val="en-US"/>
        </w:rPr>
        <w:t xml:space="preserve">In the territorial sea, the national parks in the Wadden Sea in Schleswig-Holstein, Lower Saxony and Hamburg completely </w:t>
      </w:r>
      <w:r w:rsidR="008B0C4F" w:rsidRPr="007409A7">
        <w:rPr>
          <w:sz w:val="22"/>
          <w:szCs w:val="22"/>
          <w:lang w:val="en-US"/>
        </w:rPr>
        <w:t xml:space="preserve">protect </w:t>
      </w:r>
      <w:r w:rsidR="008B0C4F">
        <w:rPr>
          <w:sz w:val="22"/>
          <w:szCs w:val="22"/>
          <w:lang w:val="en-US"/>
        </w:rPr>
        <w:t xml:space="preserve">the </w:t>
      </w:r>
      <w:r w:rsidRPr="007409A7">
        <w:rPr>
          <w:sz w:val="22"/>
          <w:szCs w:val="22"/>
          <w:lang w:val="en-US"/>
        </w:rPr>
        <w:t xml:space="preserve">coastal areas of the North Sea coast and all have management plans in </w:t>
      </w:r>
      <w:r w:rsidRPr="007409A7">
        <w:rPr>
          <w:sz w:val="22"/>
          <w:szCs w:val="22"/>
          <w:lang w:val="en-US"/>
        </w:rPr>
        <w:lastRenderedPageBreak/>
        <w:t>place. The area</w:t>
      </w:r>
      <w:r w:rsidR="002F7E4A">
        <w:rPr>
          <w:sz w:val="22"/>
          <w:szCs w:val="22"/>
          <w:lang w:val="en-US"/>
        </w:rPr>
        <w:t xml:space="preserve"> </w:t>
      </w:r>
      <w:r w:rsidRPr="007409A7">
        <w:rPr>
          <w:sz w:val="22"/>
          <w:szCs w:val="22"/>
          <w:lang w:val="en-US"/>
        </w:rPr>
        <w:t>sizes are 137 km² for the smallest national park in the coastal waters off Hamburg, 3</w:t>
      </w:r>
      <w:r w:rsidR="00062F1A">
        <w:rPr>
          <w:sz w:val="22"/>
          <w:szCs w:val="22"/>
          <w:lang w:val="en-US"/>
        </w:rPr>
        <w:t>,</w:t>
      </w:r>
      <w:r w:rsidRPr="007409A7">
        <w:rPr>
          <w:sz w:val="22"/>
          <w:szCs w:val="22"/>
          <w:lang w:val="en-US"/>
        </w:rPr>
        <w:t>458 km² in Lower Saxony and 4</w:t>
      </w:r>
      <w:r w:rsidR="00062F1A">
        <w:rPr>
          <w:sz w:val="22"/>
          <w:szCs w:val="22"/>
          <w:lang w:val="en-US"/>
        </w:rPr>
        <w:t>,</w:t>
      </w:r>
      <w:r w:rsidRPr="007409A7">
        <w:rPr>
          <w:sz w:val="22"/>
          <w:szCs w:val="22"/>
          <w:lang w:val="en-US"/>
        </w:rPr>
        <w:t xml:space="preserve">451 km² in Schleswig-Holstein. They all have the status of World </w:t>
      </w:r>
      <w:r w:rsidR="00062F1A">
        <w:rPr>
          <w:sz w:val="22"/>
          <w:szCs w:val="22"/>
          <w:lang w:val="en-US"/>
        </w:rPr>
        <w:t>H</w:t>
      </w:r>
      <w:r w:rsidRPr="007409A7">
        <w:rPr>
          <w:sz w:val="22"/>
          <w:szCs w:val="22"/>
          <w:lang w:val="en-US"/>
        </w:rPr>
        <w:t xml:space="preserve">eritage sites, </w:t>
      </w:r>
      <w:r w:rsidR="002F7E4A">
        <w:rPr>
          <w:sz w:val="22"/>
          <w:szCs w:val="22"/>
          <w:lang w:val="en-US"/>
        </w:rPr>
        <w:t xml:space="preserve">and </w:t>
      </w:r>
      <w:r w:rsidRPr="007409A7">
        <w:rPr>
          <w:sz w:val="22"/>
          <w:szCs w:val="22"/>
          <w:lang w:val="en-US"/>
        </w:rPr>
        <w:t>some are</w:t>
      </w:r>
      <w:r w:rsidR="002F7E4A">
        <w:rPr>
          <w:sz w:val="22"/>
          <w:szCs w:val="22"/>
          <w:lang w:val="en-US"/>
        </w:rPr>
        <w:t xml:space="preserve"> designated as</w:t>
      </w:r>
      <w:r w:rsidRPr="007409A7">
        <w:rPr>
          <w:sz w:val="22"/>
          <w:szCs w:val="22"/>
          <w:lang w:val="en-US"/>
        </w:rPr>
        <w:t xml:space="preserve"> Ramsar sites.</w:t>
      </w:r>
    </w:p>
    <w:p w14:paraId="15072D82" w14:textId="77777777" w:rsidR="007D6432" w:rsidRPr="007409A7" w:rsidRDefault="007D6432" w:rsidP="007D6432">
      <w:pPr>
        <w:jc w:val="both"/>
        <w:rPr>
          <w:sz w:val="22"/>
          <w:szCs w:val="22"/>
          <w:lang w:val="en-US"/>
        </w:rPr>
      </w:pPr>
    </w:p>
    <w:p w14:paraId="103E74BB" w14:textId="3D1BC54C" w:rsidR="004457AD" w:rsidRDefault="004457AD" w:rsidP="007D6432">
      <w:pPr>
        <w:jc w:val="both"/>
        <w:rPr>
          <w:sz w:val="22"/>
          <w:szCs w:val="22"/>
          <w:lang w:val="en-US"/>
        </w:rPr>
      </w:pPr>
      <w:r w:rsidRPr="007409A7">
        <w:rPr>
          <w:sz w:val="22"/>
          <w:szCs w:val="22"/>
          <w:lang w:val="en-US"/>
        </w:rPr>
        <w:t>In these national parks, sand and mud flats, seagrass meadows, sandbanks, salt marshes, beaches, dunes and riverine estuaries are protected</w:t>
      </w:r>
      <w:r w:rsidR="00062F1A">
        <w:rPr>
          <w:sz w:val="22"/>
          <w:szCs w:val="22"/>
          <w:lang w:val="en-US"/>
        </w:rPr>
        <w:t>,</w:t>
      </w:r>
      <w:r w:rsidRPr="007409A7">
        <w:rPr>
          <w:sz w:val="22"/>
          <w:szCs w:val="22"/>
          <w:lang w:val="en-US"/>
        </w:rPr>
        <w:t xml:space="preserve"> with special focus on conservation of natural processes and fauna and flora typical to the Wadden Sea. The mudflats are of global outstanding importance as resting places for migratory birds and are key moulting areas for birds from Nordic countries. About 10-12 million wading birds, geese, ducks and seagulls us</w:t>
      </w:r>
      <w:r w:rsidR="00062F1A">
        <w:rPr>
          <w:sz w:val="22"/>
          <w:szCs w:val="22"/>
          <w:lang w:val="en-US"/>
        </w:rPr>
        <w:t>e</w:t>
      </w:r>
      <w:r w:rsidRPr="007409A7">
        <w:rPr>
          <w:sz w:val="22"/>
          <w:szCs w:val="22"/>
          <w:lang w:val="en-US"/>
        </w:rPr>
        <w:t xml:space="preserve"> the entire Wadden Sea area. In addition, increasing populations of grey seals and habour seals have their resting and nursery places here. </w:t>
      </w:r>
    </w:p>
    <w:p w14:paraId="1D1226E1" w14:textId="77777777" w:rsidR="007D6432" w:rsidRPr="007409A7" w:rsidRDefault="007D6432" w:rsidP="007D6432">
      <w:pPr>
        <w:jc w:val="both"/>
        <w:rPr>
          <w:sz w:val="22"/>
          <w:szCs w:val="22"/>
          <w:lang w:val="en-US"/>
        </w:rPr>
      </w:pPr>
    </w:p>
    <w:p w14:paraId="6F411D56" w14:textId="7FA0E152" w:rsidR="004457AD" w:rsidRPr="007409A7" w:rsidRDefault="004457AD" w:rsidP="007D6432">
      <w:pPr>
        <w:jc w:val="both"/>
        <w:rPr>
          <w:sz w:val="22"/>
          <w:szCs w:val="22"/>
          <w:lang w:val="en-US"/>
        </w:rPr>
      </w:pPr>
      <w:r w:rsidRPr="007409A7">
        <w:rPr>
          <w:sz w:val="22"/>
          <w:szCs w:val="22"/>
          <w:lang w:val="en-US"/>
        </w:rPr>
        <w:t xml:space="preserve">In the German </w:t>
      </w:r>
      <w:r w:rsidR="002F7E4A">
        <w:rPr>
          <w:sz w:val="22"/>
          <w:szCs w:val="22"/>
          <w:lang w:val="en-US"/>
        </w:rPr>
        <w:t>waters</w:t>
      </w:r>
      <w:r w:rsidRPr="007409A7">
        <w:rPr>
          <w:sz w:val="22"/>
          <w:szCs w:val="22"/>
          <w:lang w:val="en-US"/>
        </w:rPr>
        <w:t xml:space="preserve"> of the North Sea</w:t>
      </w:r>
      <w:r w:rsidR="002F7E4A">
        <w:rPr>
          <w:sz w:val="22"/>
          <w:szCs w:val="22"/>
          <w:lang w:val="en-US"/>
        </w:rPr>
        <w:t>,</w:t>
      </w:r>
      <w:r w:rsidRPr="007409A7">
        <w:rPr>
          <w:sz w:val="22"/>
          <w:szCs w:val="22"/>
          <w:lang w:val="en-US"/>
        </w:rPr>
        <w:t xml:space="preserve"> there are three large </w:t>
      </w:r>
      <w:r w:rsidR="002F7E4A">
        <w:rPr>
          <w:sz w:val="22"/>
          <w:szCs w:val="22"/>
          <w:lang w:val="en-US"/>
        </w:rPr>
        <w:t>MPAs</w:t>
      </w:r>
      <w:r w:rsidR="00062F1A">
        <w:rPr>
          <w:sz w:val="22"/>
          <w:szCs w:val="22"/>
          <w:lang w:val="en-US"/>
        </w:rPr>
        <w:t>:</w:t>
      </w:r>
      <w:r w:rsidRPr="007409A7">
        <w:rPr>
          <w:sz w:val="22"/>
          <w:szCs w:val="22"/>
          <w:lang w:val="en-US"/>
        </w:rPr>
        <w:t xml:space="preserve"> the Doggerbank, Borkum Riffgrund and Sylt Outer Reef. The Sylt Outer Reef</w:t>
      </w:r>
      <w:r w:rsidR="00062F1A">
        <w:rPr>
          <w:sz w:val="22"/>
          <w:szCs w:val="22"/>
          <w:lang w:val="en-US"/>
        </w:rPr>
        <w:t>,</w:t>
      </w:r>
      <w:r w:rsidRPr="007409A7">
        <w:rPr>
          <w:sz w:val="22"/>
          <w:szCs w:val="22"/>
          <w:lang w:val="en-US"/>
        </w:rPr>
        <w:t xml:space="preserve"> with 5</w:t>
      </w:r>
      <w:r w:rsidR="00062F1A">
        <w:rPr>
          <w:sz w:val="22"/>
          <w:szCs w:val="22"/>
          <w:lang w:val="en-US"/>
        </w:rPr>
        <w:t>,</w:t>
      </w:r>
      <w:r w:rsidRPr="007409A7">
        <w:rPr>
          <w:sz w:val="22"/>
          <w:szCs w:val="22"/>
          <w:lang w:val="en-US"/>
        </w:rPr>
        <w:t>603 km²</w:t>
      </w:r>
      <w:r w:rsidR="00062F1A">
        <w:rPr>
          <w:sz w:val="22"/>
          <w:szCs w:val="22"/>
          <w:lang w:val="en-US"/>
        </w:rPr>
        <w:t>,</w:t>
      </w:r>
      <w:r w:rsidRPr="007409A7">
        <w:rPr>
          <w:sz w:val="22"/>
          <w:szCs w:val="22"/>
          <w:lang w:val="en-US"/>
        </w:rPr>
        <w:t xml:space="preserve"> is also the largest marine nature conservation reserve in German waters. In these areas, some </w:t>
      </w:r>
      <w:r w:rsidR="002F7E4A">
        <w:rPr>
          <w:sz w:val="22"/>
          <w:szCs w:val="22"/>
          <w:lang w:val="en-US"/>
        </w:rPr>
        <w:t xml:space="preserve">of which are </w:t>
      </w:r>
      <w:r w:rsidRPr="007409A7">
        <w:rPr>
          <w:sz w:val="22"/>
          <w:szCs w:val="22"/>
          <w:lang w:val="en-US"/>
        </w:rPr>
        <w:t>far offshore, conservation efforts focus on geogenic reefs and sandbanks and their characteristic species together with species-rich benthic communities of coarse sands and muddy areas. In addition, the reproduction areas of harbour porpoises are important conservation features. Further</w:t>
      </w:r>
      <w:r w:rsidR="002F7E4A">
        <w:rPr>
          <w:sz w:val="22"/>
          <w:szCs w:val="22"/>
          <w:lang w:val="en-US"/>
        </w:rPr>
        <w:t>more</w:t>
      </w:r>
      <w:r w:rsidRPr="007409A7">
        <w:rPr>
          <w:sz w:val="22"/>
          <w:szCs w:val="22"/>
          <w:lang w:val="en-US"/>
        </w:rPr>
        <w:t>, the</w:t>
      </w:r>
      <w:r w:rsidR="002F7E4A">
        <w:rPr>
          <w:sz w:val="22"/>
          <w:szCs w:val="22"/>
          <w:lang w:val="en-US"/>
        </w:rPr>
        <w:t>se</w:t>
      </w:r>
      <w:r w:rsidRPr="007409A7">
        <w:rPr>
          <w:sz w:val="22"/>
          <w:szCs w:val="22"/>
          <w:lang w:val="en-US"/>
        </w:rPr>
        <w:t xml:space="preserve"> MPAs are very important for large numbers of resting and moulting sea divers, sea ducks and seagulls</w:t>
      </w:r>
      <w:r w:rsidR="00062F1A">
        <w:rPr>
          <w:sz w:val="22"/>
          <w:szCs w:val="22"/>
          <w:lang w:val="en-US"/>
        </w:rPr>
        <w:t>,</w:t>
      </w:r>
      <w:r w:rsidRPr="007409A7">
        <w:rPr>
          <w:sz w:val="22"/>
          <w:szCs w:val="22"/>
          <w:lang w:val="en-US"/>
        </w:rPr>
        <w:t xml:space="preserve"> particularly in winter and spring.</w:t>
      </w:r>
    </w:p>
    <w:p w14:paraId="59C04EBF" w14:textId="4471BD8B" w:rsidR="004457AD" w:rsidRPr="007409A7" w:rsidRDefault="004457AD" w:rsidP="002F7E4A">
      <w:pPr>
        <w:jc w:val="center"/>
        <w:rPr>
          <w:sz w:val="22"/>
          <w:szCs w:val="22"/>
        </w:rPr>
      </w:pPr>
      <w:r w:rsidRPr="007409A7">
        <w:rPr>
          <w:noProof/>
          <w:sz w:val="22"/>
          <w:szCs w:val="22"/>
          <w:lang w:val="fr-CA" w:eastAsia="fr-CA"/>
        </w:rPr>
        <w:drawing>
          <wp:inline distT="0" distB="0" distL="0" distR="0" wp14:anchorId="442E5B90" wp14:editId="417B7655">
            <wp:extent cx="5324856" cy="4675632"/>
            <wp:effectExtent l="0" t="0" r="9525" b="0"/>
            <wp:docPr id="1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6_Natura2000_Nordsee_en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24856" cy="4675632"/>
                    </a:xfrm>
                    <a:prstGeom prst="rect">
                      <a:avLst/>
                    </a:prstGeom>
                  </pic:spPr>
                </pic:pic>
              </a:graphicData>
            </a:graphic>
          </wp:inline>
        </w:drawing>
      </w:r>
    </w:p>
    <w:p w14:paraId="4199CBDB" w14:textId="59F0FF7F" w:rsidR="004457AD" w:rsidRPr="007D6432" w:rsidRDefault="004457AD" w:rsidP="007D6432">
      <w:pPr>
        <w:jc w:val="both"/>
        <w:rPr>
          <w:sz w:val="22"/>
          <w:szCs w:val="22"/>
          <w:lang w:val="en-US"/>
        </w:rPr>
      </w:pPr>
      <w:r w:rsidRPr="007D6432">
        <w:rPr>
          <w:sz w:val="22"/>
          <w:szCs w:val="22"/>
          <w:lang w:val="en-US"/>
        </w:rPr>
        <w:t>Fig</w:t>
      </w:r>
      <w:r w:rsidR="007D6432" w:rsidRPr="007D6432">
        <w:rPr>
          <w:sz w:val="22"/>
          <w:szCs w:val="22"/>
          <w:lang w:val="en-US"/>
        </w:rPr>
        <w:t>ure 1.</w:t>
      </w:r>
      <w:r w:rsidRPr="007D6432">
        <w:rPr>
          <w:sz w:val="22"/>
          <w:szCs w:val="22"/>
          <w:lang w:val="en-US"/>
        </w:rPr>
        <w:t xml:space="preserve"> Marine protected Areas in the German North Sea, September 2019.</w:t>
      </w:r>
    </w:p>
    <w:p w14:paraId="6D28CF08" w14:textId="7FEE5ABC" w:rsidR="004457AD" w:rsidRPr="007409A7" w:rsidRDefault="004457AD" w:rsidP="00826D67">
      <w:pPr>
        <w:rPr>
          <w:b/>
          <w:bCs/>
          <w:sz w:val="22"/>
          <w:szCs w:val="22"/>
        </w:rPr>
      </w:pPr>
    </w:p>
    <w:p w14:paraId="761BC8EB" w14:textId="22F7CB7F" w:rsidR="007409A7" w:rsidRPr="007409A7" w:rsidRDefault="007409A7" w:rsidP="00826D67">
      <w:pPr>
        <w:pBdr>
          <w:bottom w:val="single" w:sz="6" w:space="1" w:color="auto"/>
        </w:pBdr>
        <w:rPr>
          <w:b/>
          <w:bCs/>
          <w:sz w:val="22"/>
          <w:szCs w:val="22"/>
        </w:rPr>
      </w:pPr>
    </w:p>
    <w:p w14:paraId="26EE8A7C" w14:textId="77777777" w:rsidR="00E86404" w:rsidRDefault="00E86404" w:rsidP="007409A7">
      <w:pPr>
        <w:spacing w:after="100"/>
        <w:rPr>
          <w:b/>
          <w:i/>
          <w:sz w:val="22"/>
          <w:szCs w:val="22"/>
        </w:rPr>
      </w:pPr>
    </w:p>
    <w:p w14:paraId="728CDD32" w14:textId="69851DD7" w:rsidR="007409A7" w:rsidRPr="00E86404" w:rsidRDefault="00E86404" w:rsidP="00FF58EA">
      <w:pPr>
        <w:rPr>
          <w:b/>
          <w:iCs/>
          <w:sz w:val="22"/>
          <w:szCs w:val="22"/>
        </w:rPr>
      </w:pPr>
      <w:r w:rsidRPr="00E86404">
        <w:rPr>
          <w:b/>
          <w:iCs/>
          <w:sz w:val="22"/>
          <w:szCs w:val="22"/>
        </w:rPr>
        <w:lastRenderedPageBreak/>
        <w:t>GREENLAND (KINGDOM OF DENMARK)</w:t>
      </w:r>
    </w:p>
    <w:p w14:paraId="4E1D3D3E" w14:textId="2323655F" w:rsidR="007409A7" w:rsidRDefault="007409A7" w:rsidP="00E86404">
      <w:pPr>
        <w:widowControl w:val="0"/>
        <w:autoSpaceDE w:val="0"/>
        <w:autoSpaceDN w:val="0"/>
        <w:adjustRightInd w:val="0"/>
        <w:jc w:val="both"/>
        <w:rPr>
          <w:sz w:val="22"/>
          <w:szCs w:val="22"/>
        </w:rPr>
      </w:pPr>
      <w:r w:rsidRPr="007409A7">
        <w:rPr>
          <w:sz w:val="22"/>
          <w:szCs w:val="22"/>
        </w:rPr>
        <w:t>Over the past decade</w:t>
      </w:r>
      <w:r w:rsidR="00E86404">
        <w:rPr>
          <w:sz w:val="22"/>
          <w:szCs w:val="22"/>
        </w:rPr>
        <w:t>,</w:t>
      </w:r>
      <w:r w:rsidRPr="007409A7">
        <w:rPr>
          <w:sz w:val="22"/>
          <w:szCs w:val="22"/>
        </w:rPr>
        <w:t xml:space="preserve"> the marine environment around Greenland has been evaluated to identify marine areas and coastlines vulnerable to oil spills. This includes key habitats, migration routes and the population size and ecology of sensitive species and resources in Greenland. These investigations have resulted in a number of strategic environmental impact assessments (SEIAs) for hydrocarbon exploration and exploitation activities (</w:t>
      </w:r>
      <w:r w:rsidRPr="007409A7">
        <w:rPr>
          <w:sz w:val="22"/>
          <w:szCs w:val="22"/>
          <w:lang w:val="en-US"/>
        </w:rPr>
        <w:t>Boertmann, D. &amp; Mosbech 2017</w:t>
      </w:r>
      <w:r w:rsidR="00921E26">
        <w:rPr>
          <w:sz w:val="22"/>
          <w:szCs w:val="22"/>
          <w:lang w:val="en-US"/>
        </w:rPr>
        <w:t>;</w:t>
      </w:r>
      <w:r w:rsidRPr="007409A7">
        <w:rPr>
          <w:sz w:val="22"/>
          <w:szCs w:val="22"/>
          <w:lang w:val="en-US"/>
        </w:rPr>
        <w:t xml:space="preserve"> Boertmann et al. 2013</w:t>
      </w:r>
      <w:r w:rsidR="00921E26">
        <w:rPr>
          <w:sz w:val="22"/>
          <w:szCs w:val="22"/>
          <w:lang w:val="en-US"/>
        </w:rPr>
        <w:t>;</w:t>
      </w:r>
      <w:r w:rsidRPr="007409A7">
        <w:rPr>
          <w:sz w:val="22"/>
          <w:szCs w:val="22"/>
          <w:lang w:val="en-US"/>
        </w:rPr>
        <w:t xml:space="preserve"> Boertmann, D. &amp; Mosbech, A. 2011</w:t>
      </w:r>
      <w:r w:rsidR="00921E26">
        <w:rPr>
          <w:sz w:val="22"/>
          <w:szCs w:val="22"/>
          <w:lang w:val="en-US"/>
        </w:rPr>
        <w:t>;</w:t>
      </w:r>
      <w:r w:rsidRPr="007409A7">
        <w:rPr>
          <w:sz w:val="22"/>
          <w:szCs w:val="22"/>
          <w:lang w:val="en-US"/>
        </w:rPr>
        <w:t xml:space="preserve"> Frederiksen et al. 2012</w:t>
      </w:r>
      <w:r w:rsidR="00921E26">
        <w:rPr>
          <w:sz w:val="22"/>
          <w:szCs w:val="22"/>
          <w:lang w:val="en-US"/>
        </w:rPr>
        <w:t>;</w:t>
      </w:r>
      <w:r w:rsidRPr="007409A7">
        <w:rPr>
          <w:sz w:val="22"/>
          <w:szCs w:val="22"/>
          <w:lang w:val="en-US"/>
        </w:rPr>
        <w:t xml:space="preserve"> Merkel et al. 2012)</w:t>
      </w:r>
      <w:r w:rsidRPr="007409A7">
        <w:rPr>
          <w:sz w:val="22"/>
          <w:szCs w:val="22"/>
        </w:rPr>
        <w:t>. The SEIAs are conducted for the Greenland Bureau of Minerals and Petroleum by scientific environmental institutions (Danish Center for Environment and Energy of Aarhus University and the Greenland Institute of Natural Resources). The SEIAs build on peer-reviewed scientific literature and supplementary scientific studies.</w:t>
      </w:r>
    </w:p>
    <w:p w14:paraId="5B226DAB" w14:textId="77777777" w:rsidR="00E86404" w:rsidRPr="007409A7" w:rsidRDefault="00E86404" w:rsidP="00E86404">
      <w:pPr>
        <w:widowControl w:val="0"/>
        <w:autoSpaceDE w:val="0"/>
        <w:autoSpaceDN w:val="0"/>
        <w:adjustRightInd w:val="0"/>
        <w:jc w:val="both"/>
        <w:rPr>
          <w:sz w:val="22"/>
          <w:szCs w:val="22"/>
        </w:rPr>
      </w:pPr>
    </w:p>
    <w:p w14:paraId="52C3444C" w14:textId="0A7431AF" w:rsidR="007409A7" w:rsidRDefault="007409A7" w:rsidP="00E86404">
      <w:pPr>
        <w:autoSpaceDE w:val="0"/>
        <w:autoSpaceDN w:val="0"/>
        <w:adjustRightInd w:val="0"/>
        <w:jc w:val="both"/>
        <w:rPr>
          <w:color w:val="000000" w:themeColor="text1"/>
          <w:sz w:val="22"/>
          <w:szCs w:val="22"/>
          <w:lang w:val="en-US"/>
        </w:rPr>
      </w:pPr>
      <w:r w:rsidRPr="007409A7">
        <w:rPr>
          <w:color w:val="000000" w:themeColor="text1"/>
          <w:sz w:val="22"/>
          <w:szCs w:val="22"/>
          <w:lang w:val="en-US"/>
        </w:rPr>
        <w:t xml:space="preserve">In recent years, </w:t>
      </w:r>
      <w:r w:rsidRPr="007409A7">
        <w:rPr>
          <w:color w:val="211D1E"/>
          <w:sz w:val="22"/>
          <w:szCs w:val="22"/>
          <w:lang w:val="en-US"/>
        </w:rPr>
        <w:t>several other initiatives to identify valuable ecosystems and biodiversity hot spots in Greenland ha</w:t>
      </w:r>
      <w:r w:rsidR="00921E26">
        <w:rPr>
          <w:color w:val="211D1E"/>
          <w:sz w:val="22"/>
          <w:szCs w:val="22"/>
          <w:lang w:val="en-US"/>
        </w:rPr>
        <w:t>ve</w:t>
      </w:r>
      <w:r w:rsidRPr="007409A7">
        <w:rPr>
          <w:color w:val="211D1E"/>
          <w:sz w:val="22"/>
          <w:szCs w:val="22"/>
          <w:lang w:val="en-US"/>
        </w:rPr>
        <w:t xml:space="preserve"> been carried out. These are mainly based on the data assembled in the above</w:t>
      </w:r>
      <w:r w:rsidR="00E86404">
        <w:rPr>
          <w:color w:val="211D1E"/>
          <w:sz w:val="22"/>
          <w:szCs w:val="22"/>
          <w:lang w:val="en-US"/>
        </w:rPr>
        <w:t>-</w:t>
      </w:r>
      <w:r w:rsidRPr="007409A7">
        <w:rPr>
          <w:color w:val="211D1E"/>
          <w:sz w:val="22"/>
          <w:szCs w:val="22"/>
          <w:lang w:val="en-US"/>
        </w:rPr>
        <w:t>mentioned SEIA</w:t>
      </w:r>
      <w:r w:rsidR="00921E26">
        <w:rPr>
          <w:color w:val="211D1E"/>
          <w:sz w:val="22"/>
          <w:szCs w:val="22"/>
          <w:lang w:val="en-US"/>
        </w:rPr>
        <w:t xml:space="preserve"> </w:t>
      </w:r>
      <w:r w:rsidRPr="007409A7">
        <w:rPr>
          <w:color w:val="211D1E"/>
          <w:sz w:val="22"/>
          <w:szCs w:val="22"/>
          <w:lang w:val="en-US"/>
        </w:rPr>
        <w:t xml:space="preserve">reports and on the monitoring of living resources carried out by </w:t>
      </w:r>
      <w:r w:rsidR="00921E26">
        <w:rPr>
          <w:color w:val="211D1E"/>
          <w:sz w:val="22"/>
          <w:szCs w:val="22"/>
          <w:lang w:val="en-US"/>
        </w:rPr>
        <w:t xml:space="preserve">the </w:t>
      </w:r>
      <w:r w:rsidRPr="007409A7">
        <w:rPr>
          <w:color w:val="000000" w:themeColor="text1"/>
          <w:sz w:val="22"/>
          <w:szCs w:val="22"/>
          <w:lang w:val="en-US"/>
        </w:rPr>
        <w:t xml:space="preserve">Greenland Institute for Natural Resources. </w:t>
      </w:r>
    </w:p>
    <w:p w14:paraId="7D904BC6" w14:textId="77777777" w:rsidR="00E86404" w:rsidRPr="007409A7" w:rsidRDefault="00E86404" w:rsidP="00E86404">
      <w:pPr>
        <w:autoSpaceDE w:val="0"/>
        <w:autoSpaceDN w:val="0"/>
        <w:adjustRightInd w:val="0"/>
        <w:jc w:val="both"/>
        <w:rPr>
          <w:color w:val="000000" w:themeColor="text1"/>
          <w:sz w:val="22"/>
          <w:szCs w:val="22"/>
          <w:lang w:val="en-US"/>
        </w:rPr>
      </w:pPr>
    </w:p>
    <w:p w14:paraId="281FEA1B" w14:textId="4CD68A3D" w:rsidR="007409A7" w:rsidRDefault="007409A7" w:rsidP="00E86404">
      <w:pPr>
        <w:autoSpaceDE w:val="0"/>
        <w:autoSpaceDN w:val="0"/>
        <w:adjustRightInd w:val="0"/>
        <w:jc w:val="both"/>
        <w:rPr>
          <w:color w:val="0A0A0A"/>
          <w:sz w:val="22"/>
          <w:szCs w:val="22"/>
          <w:lang w:val="en-US"/>
        </w:rPr>
      </w:pPr>
      <w:r w:rsidRPr="007409A7">
        <w:rPr>
          <w:sz w:val="22"/>
          <w:szCs w:val="22"/>
          <w:lang w:val="en-US"/>
        </w:rPr>
        <w:t xml:space="preserve">In 2012, a study was conducted to identify </w:t>
      </w:r>
      <w:r w:rsidRPr="007409A7">
        <w:rPr>
          <w:color w:val="211D1E"/>
          <w:sz w:val="22"/>
          <w:szCs w:val="22"/>
          <w:lang w:val="en-US"/>
        </w:rPr>
        <w:t>ecologically valuable and sensitive marine areas around Greenland</w:t>
      </w:r>
      <w:r w:rsidR="00921E26">
        <w:rPr>
          <w:color w:val="211D1E"/>
          <w:sz w:val="22"/>
          <w:szCs w:val="22"/>
          <w:lang w:val="en-US"/>
        </w:rPr>
        <w:t>,</w:t>
      </w:r>
      <w:r w:rsidRPr="007409A7">
        <w:rPr>
          <w:color w:val="211D1E"/>
          <w:sz w:val="22"/>
          <w:szCs w:val="22"/>
          <w:lang w:val="en-US"/>
        </w:rPr>
        <w:t xml:space="preserve"> based on </w:t>
      </w:r>
      <w:r w:rsidR="00921E26">
        <w:rPr>
          <w:color w:val="211D1E"/>
          <w:sz w:val="22"/>
          <w:szCs w:val="22"/>
          <w:lang w:val="en-US"/>
        </w:rPr>
        <w:t>the International Maritime Organization</w:t>
      </w:r>
      <w:r w:rsidRPr="007409A7">
        <w:rPr>
          <w:color w:val="211D1E"/>
          <w:sz w:val="22"/>
          <w:szCs w:val="22"/>
          <w:lang w:val="en-US"/>
        </w:rPr>
        <w:t xml:space="preserve">´s </w:t>
      </w:r>
      <w:r w:rsidR="00921E26">
        <w:rPr>
          <w:color w:val="211D1E"/>
          <w:sz w:val="22"/>
          <w:szCs w:val="22"/>
          <w:lang w:val="en-US"/>
        </w:rPr>
        <w:t>c</w:t>
      </w:r>
      <w:r w:rsidRPr="007409A7">
        <w:rPr>
          <w:color w:val="211D1E"/>
          <w:sz w:val="22"/>
          <w:szCs w:val="22"/>
          <w:lang w:val="en-US"/>
        </w:rPr>
        <w:t xml:space="preserve">riteria for Particularly Sensitive Sea Areas (PSSA) </w:t>
      </w:r>
      <w:r w:rsidRPr="007409A7">
        <w:rPr>
          <w:sz w:val="22"/>
          <w:szCs w:val="22"/>
        </w:rPr>
        <w:t>(Christensen et al. 2012; Mosbech, Christensen &amp; Falk in AMAP/ CAFF/ SDWG, 2013 – the AMSA II C report). A comparison between the 11 criteria for designating PSSAs with the EBSA criteria demonstrates that they are broadly similar (Skjoldal and Taropova, 2010 &amp; AMAP/ CAFF/ SDWG, 2013). This process showed that most of the coastal and offshore waters around Greenland host sensitive marine resources at least part of the year. Twelve marine areas have been identified to meet the PSSA criteria</w:t>
      </w:r>
      <w:r w:rsidRPr="007409A7">
        <w:rPr>
          <w:color w:val="0A0A0A"/>
          <w:sz w:val="22"/>
          <w:szCs w:val="22"/>
          <w:lang w:val="en-US"/>
        </w:rPr>
        <w:t xml:space="preserve">. </w:t>
      </w:r>
    </w:p>
    <w:p w14:paraId="06C20DE5" w14:textId="77777777" w:rsidR="00E86404" w:rsidRPr="00961DBE" w:rsidRDefault="00E86404" w:rsidP="00E86404">
      <w:pPr>
        <w:autoSpaceDE w:val="0"/>
        <w:autoSpaceDN w:val="0"/>
        <w:adjustRightInd w:val="0"/>
        <w:jc w:val="both"/>
        <w:rPr>
          <w:iCs/>
          <w:color w:val="000000" w:themeColor="text1"/>
          <w:sz w:val="22"/>
          <w:szCs w:val="22"/>
        </w:rPr>
      </w:pPr>
    </w:p>
    <w:p w14:paraId="6B64E71F" w14:textId="2834116C" w:rsidR="007409A7" w:rsidRPr="00961DBE" w:rsidRDefault="007409A7" w:rsidP="00E86404">
      <w:pPr>
        <w:autoSpaceDE w:val="0"/>
        <w:autoSpaceDN w:val="0"/>
        <w:adjustRightInd w:val="0"/>
        <w:jc w:val="both"/>
        <w:rPr>
          <w:color w:val="000000" w:themeColor="text1"/>
          <w:sz w:val="22"/>
          <w:szCs w:val="22"/>
          <w:lang w:val="en-US"/>
        </w:rPr>
      </w:pPr>
      <w:r w:rsidRPr="00961DBE">
        <w:rPr>
          <w:color w:val="000000" w:themeColor="text1"/>
          <w:sz w:val="22"/>
          <w:szCs w:val="22"/>
          <w:lang w:val="en-US"/>
        </w:rPr>
        <w:t>Parallel to these studies</w:t>
      </w:r>
      <w:r w:rsidR="00921E26">
        <w:rPr>
          <w:color w:val="000000" w:themeColor="text1"/>
          <w:sz w:val="22"/>
          <w:szCs w:val="22"/>
          <w:lang w:val="en-US"/>
        </w:rPr>
        <w:t>,</w:t>
      </w:r>
      <w:r w:rsidRPr="00961DBE">
        <w:rPr>
          <w:color w:val="000000" w:themeColor="text1"/>
          <w:sz w:val="22"/>
          <w:szCs w:val="22"/>
          <w:lang w:val="en-US"/>
        </w:rPr>
        <w:t xml:space="preserve"> Greenland has initiated a national project analyzing existing biodiversity hotspots. A report identifies biodiversity hotspots based on occurring species and ecosystem data in West Greenland and the southeastern part of Greenland (Christensen et al. 2016). Included in this study is a thorough analysis of the distribution of species (including red</w:t>
      </w:r>
      <w:r w:rsidR="00921E26">
        <w:rPr>
          <w:color w:val="000000" w:themeColor="text1"/>
          <w:sz w:val="22"/>
          <w:szCs w:val="22"/>
          <w:lang w:val="en-US"/>
        </w:rPr>
        <w:t>-</w:t>
      </w:r>
      <w:r w:rsidRPr="00961DBE">
        <w:rPr>
          <w:color w:val="000000" w:themeColor="text1"/>
          <w:sz w:val="22"/>
          <w:szCs w:val="22"/>
          <w:lang w:val="en-US"/>
        </w:rPr>
        <w:t>listed species), nature types and areas with high biological diversity. The study covers where and when these species are concentrated in specific areas and/ or can be sensitive to human activities. Each of the identified areas is mapped in GIS where all occurring resources/species are represented by a separate layer. These layers are rank</w:t>
      </w:r>
      <w:r w:rsidR="00921E26">
        <w:rPr>
          <w:color w:val="000000" w:themeColor="text1"/>
          <w:sz w:val="22"/>
          <w:szCs w:val="22"/>
          <w:lang w:val="en-US"/>
        </w:rPr>
        <w:t>ed</w:t>
      </w:r>
      <w:r w:rsidRPr="00961DBE">
        <w:rPr>
          <w:color w:val="000000" w:themeColor="text1"/>
          <w:sz w:val="22"/>
          <w:szCs w:val="22"/>
          <w:lang w:val="en-US"/>
        </w:rPr>
        <w:t>, based on internationally accepted criteria (such as the EBSA criteria, KBA criteria, Ramsar Criteria, areas with red listed species</w:t>
      </w:r>
      <w:r w:rsidR="00921E26">
        <w:rPr>
          <w:color w:val="000000" w:themeColor="text1"/>
          <w:sz w:val="22"/>
          <w:szCs w:val="22"/>
          <w:lang w:val="en-US"/>
        </w:rPr>
        <w:t>,</w:t>
      </w:r>
      <w:r w:rsidRPr="00961DBE">
        <w:rPr>
          <w:color w:val="000000" w:themeColor="text1"/>
          <w:sz w:val="22"/>
          <w:szCs w:val="22"/>
          <w:lang w:val="en-US"/>
        </w:rPr>
        <w:t xml:space="preserve"> etc.) and nationally formulated criteria (</w:t>
      </w:r>
      <w:r w:rsidR="00921E26">
        <w:rPr>
          <w:color w:val="000000" w:themeColor="text1"/>
          <w:sz w:val="22"/>
          <w:szCs w:val="22"/>
          <w:lang w:val="en-US"/>
        </w:rPr>
        <w:t xml:space="preserve">e.g., </w:t>
      </w:r>
      <w:r w:rsidRPr="00961DBE">
        <w:rPr>
          <w:color w:val="000000" w:themeColor="text1"/>
          <w:sz w:val="22"/>
          <w:szCs w:val="22"/>
          <w:lang w:val="en-US"/>
        </w:rPr>
        <w:t>importance of ecosystem services). Based on this, an overlay analysis has been performed to reveal where in Greenland</w:t>
      </w:r>
      <w:r w:rsidR="00921E26">
        <w:rPr>
          <w:color w:val="000000" w:themeColor="text1"/>
          <w:sz w:val="22"/>
          <w:szCs w:val="22"/>
          <w:lang w:val="en-US"/>
        </w:rPr>
        <w:t>’s</w:t>
      </w:r>
      <w:r w:rsidRPr="00961DBE">
        <w:rPr>
          <w:color w:val="000000" w:themeColor="text1"/>
          <w:sz w:val="22"/>
          <w:szCs w:val="22"/>
          <w:lang w:val="en-US"/>
        </w:rPr>
        <w:t xml:space="preserve"> biological hotspots are found. </w:t>
      </w:r>
      <w:r w:rsidR="00921E26">
        <w:rPr>
          <w:color w:val="000000" w:themeColor="text1"/>
          <w:sz w:val="22"/>
          <w:szCs w:val="22"/>
          <w:lang w:val="en-US"/>
        </w:rPr>
        <w:t>Twenty-three</w:t>
      </w:r>
      <w:r w:rsidRPr="00961DBE">
        <w:rPr>
          <w:color w:val="000000" w:themeColor="text1"/>
          <w:sz w:val="22"/>
          <w:szCs w:val="22"/>
          <w:lang w:val="en-US"/>
        </w:rPr>
        <w:t xml:space="preserve"> areas were identified as </w:t>
      </w:r>
      <w:r w:rsidR="00921E26">
        <w:rPr>
          <w:color w:val="000000" w:themeColor="text1"/>
          <w:sz w:val="22"/>
          <w:szCs w:val="22"/>
          <w:lang w:val="en-US"/>
        </w:rPr>
        <w:t>e</w:t>
      </w:r>
      <w:r w:rsidRPr="00961DBE">
        <w:rPr>
          <w:color w:val="000000" w:themeColor="text1"/>
          <w:sz w:val="22"/>
          <w:szCs w:val="22"/>
          <w:lang w:val="en-US"/>
        </w:rPr>
        <w:t>cological</w:t>
      </w:r>
      <w:r w:rsidR="00921E26">
        <w:rPr>
          <w:color w:val="000000" w:themeColor="text1"/>
          <w:sz w:val="22"/>
          <w:szCs w:val="22"/>
          <w:lang w:val="en-US"/>
        </w:rPr>
        <w:t>ly</w:t>
      </w:r>
      <w:r w:rsidRPr="00961DBE">
        <w:rPr>
          <w:color w:val="000000" w:themeColor="text1"/>
          <w:sz w:val="22"/>
          <w:szCs w:val="22"/>
          <w:lang w:val="en-US"/>
        </w:rPr>
        <w:t xml:space="preserve"> and </w:t>
      </w:r>
      <w:r w:rsidR="00921E26">
        <w:rPr>
          <w:color w:val="000000" w:themeColor="text1"/>
          <w:sz w:val="22"/>
          <w:szCs w:val="22"/>
          <w:lang w:val="en-US"/>
        </w:rPr>
        <w:t>b</w:t>
      </w:r>
      <w:r w:rsidRPr="00961DBE">
        <w:rPr>
          <w:color w:val="000000" w:themeColor="text1"/>
          <w:sz w:val="22"/>
          <w:szCs w:val="22"/>
          <w:lang w:val="en-US"/>
        </w:rPr>
        <w:t>iological</w:t>
      </w:r>
      <w:r w:rsidR="00921E26">
        <w:rPr>
          <w:color w:val="000000" w:themeColor="text1"/>
          <w:sz w:val="22"/>
          <w:szCs w:val="22"/>
          <w:lang w:val="en-US"/>
        </w:rPr>
        <w:t>ly</w:t>
      </w:r>
      <w:r w:rsidRPr="00961DBE">
        <w:rPr>
          <w:color w:val="000000" w:themeColor="text1"/>
          <w:sz w:val="22"/>
          <w:szCs w:val="22"/>
          <w:lang w:val="en-US"/>
        </w:rPr>
        <w:t xml:space="preserve"> valuable areas. In the second phase (which is in progress), a report is planned to assess important areas in the north-eastern part of Greenland.</w:t>
      </w:r>
    </w:p>
    <w:p w14:paraId="19037DE2" w14:textId="77777777" w:rsidR="007409A7" w:rsidRPr="007409A7" w:rsidRDefault="007409A7" w:rsidP="007409A7">
      <w:pPr>
        <w:autoSpaceDE w:val="0"/>
        <w:autoSpaceDN w:val="0"/>
        <w:adjustRightInd w:val="0"/>
        <w:spacing w:after="100"/>
        <w:rPr>
          <w:color w:val="211D1E"/>
          <w:sz w:val="22"/>
          <w:szCs w:val="22"/>
          <w:lang w:val="en-US"/>
        </w:rPr>
      </w:pPr>
    </w:p>
    <w:p w14:paraId="3601170D" w14:textId="77777777" w:rsidR="007409A7" w:rsidRPr="002F7E4A" w:rsidRDefault="007409A7" w:rsidP="007409A7">
      <w:pPr>
        <w:spacing w:afterLines="50" w:after="120"/>
        <w:rPr>
          <w:b/>
          <w:iCs/>
          <w:color w:val="000000"/>
          <w:sz w:val="22"/>
          <w:szCs w:val="22"/>
          <w:lang w:val="en-US"/>
        </w:rPr>
      </w:pPr>
      <w:r w:rsidRPr="002F7E4A">
        <w:rPr>
          <w:b/>
          <w:iCs/>
          <w:color w:val="000000"/>
          <w:sz w:val="22"/>
          <w:szCs w:val="22"/>
          <w:lang w:val="en-US"/>
        </w:rPr>
        <w:t xml:space="preserve">References </w:t>
      </w:r>
    </w:p>
    <w:p w14:paraId="62DE204B" w14:textId="77777777" w:rsidR="007409A7" w:rsidRPr="007409A7" w:rsidRDefault="007409A7" w:rsidP="00846AD1">
      <w:pPr>
        <w:widowControl w:val="0"/>
        <w:autoSpaceDE w:val="0"/>
        <w:autoSpaceDN w:val="0"/>
        <w:adjustRightInd w:val="0"/>
        <w:spacing w:afterLines="50" w:after="120"/>
        <w:ind w:left="284" w:hangingChars="129" w:hanging="284"/>
        <w:jc w:val="both"/>
        <w:rPr>
          <w:sz w:val="22"/>
          <w:szCs w:val="22"/>
          <w:lang w:val="en-US"/>
        </w:rPr>
      </w:pPr>
      <w:r w:rsidRPr="007409A7">
        <w:rPr>
          <w:sz w:val="22"/>
          <w:szCs w:val="22"/>
          <w:lang w:val="en-US"/>
        </w:rPr>
        <w:t xml:space="preserve">AMAP/CAFF/SDWG, 2013. Identification of Arctic marine areas of heightened ecological and cultural significance: Arctic Marine Shipping Assessment (AMSA) IIc. Arctic Monitoring and Assessment Programme (AMAP), Oslo. 114 pp. ISBN-978-82-7971-081-3 </w:t>
      </w:r>
      <w:hyperlink r:id="rId40" w:history="1">
        <w:r w:rsidRPr="007409A7">
          <w:rPr>
            <w:sz w:val="22"/>
            <w:szCs w:val="22"/>
            <w:lang w:val="en-US"/>
          </w:rPr>
          <w:t>http://www.amap.no/documents/download/1548</w:t>
        </w:r>
      </w:hyperlink>
    </w:p>
    <w:p w14:paraId="7E89BD87" w14:textId="77777777" w:rsidR="007409A7" w:rsidRPr="007409A7" w:rsidRDefault="007409A7" w:rsidP="00846AD1">
      <w:pPr>
        <w:widowControl w:val="0"/>
        <w:autoSpaceDE w:val="0"/>
        <w:autoSpaceDN w:val="0"/>
        <w:adjustRightInd w:val="0"/>
        <w:spacing w:afterLines="50" w:after="120"/>
        <w:ind w:left="284" w:hangingChars="129" w:hanging="284"/>
        <w:jc w:val="both"/>
        <w:rPr>
          <w:color w:val="000000" w:themeColor="text1"/>
          <w:sz w:val="22"/>
          <w:szCs w:val="22"/>
        </w:rPr>
      </w:pPr>
      <w:r w:rsidRPr="007409A7">
        <w:rPr>
          <w:color w:val="000000" w:themeColor="text1"/>
          <w:sz w:val="22"/>
          <w:szCs w:val="22"/>
        </w:rPr>
        <w:t xml:space="preserve">Boertmann D, Mosbech A (eds) 2017. Baffin Bay. An updated strategic environmental impact assessment of petroleum activities in the Greenland part of the Baffin Bay.  – Scientific Report from DCE – Danish Centre for Environment and Energy No. 215, 319 pp. </w:t>
      </w:r>
    </w:p>
    <w:p w14:paraId="0538CD8C" w14:textId="77777777" w:rsidR="007409A7" w:rsidRPr="007409A7" w:rsidRDefault="007409A7" w:rsidP="00846AD1">
      <w:pPr>
        <w:widowControl w:val="0"/>
        <w:autoSpaceDE w:val="0"/>
        <w:autoSpaceDN w:val="0"/>
        <w:adjustRightInd w:val="0"/>
        <w:spacing w:afterLines="50" w:after="120"/>
        <w:ind w:left="284" w:hangingChars="129" w:hanging="284"/>
        <w:jc w:val="both"/>
        <w:rPr>
          <w:color w:val="000000" w:themeColor="text1"/>
          <w:sz w:val="22"/>
          <w:szCs w:val="22"/>
          <w:lang w:val="en-US"/>
        </w:rPr>
      </w:pPr>
      <w:r w:rsidRPr="007409A7">
        <w:rPr>
          <w:color w:val="000000" w:themeColor="text1"/>
          <w:sz w:val="22"/>
          <w:szCs w:val="22"/>
          <w:lang w:val="en-US"/>
        </w:rPr>
        <w:t xml:space="preserve">Boertmann, D., Mosbech, A., Schiedek, D. &amp; Dünweber, M. (eds.) 2013. Disko West. A strategic environmental impact assessment of hydrocarbon activities. Aarhus University, DCE – Danish Centre for Environment and Energy, 306 pp. Scientifi c Report from DCE – Danish Centre for Environment and Energy No. 71. </w:t>
      </w:r>
      <w:hyperlink r:id="rId41" w:history="1">
        <w:r w:rsidRPr="007409A7">
          <w:rPr>
            <w:color w:val="000000" w:themeColor="text1"/>
            <w:sz w:val="22"/>
            <w:szCs w:val="22"/>
            <w:lang w:val="en-US"/>
          </w:rPr>
          <w:t>http://dce2.au.dk/pub/SR71.pdf</w:t>
        </w:r>
      </w:hyperlink>
    </w:p>
    <w:p w14:paraId="6F321DBE" w14:textId="77777777" w:rsidR="007409A7" w:rsidRPr="007409A7" w:rsidRDefault="007409A7" w:rsidP="00846AD1">
      <w:pPr>
        <w:widowControl w:val="0"/>
        <w:autoSpaceDE w:val="0"/>
        <w:autoSpaceDN w:val="0"/>
        <w:adjustRightInd w:val="0"/>
        <w:spacing w:afterLines="50" w:after="120"/>
        <w:ind w:left="284" w:hangingChars="129" w:hanging="284"/>
        <w:jc w:val="both"/>
        <w:rPr>
          <w:color w:val="000000" w:themeColor="text1"/>
          <w:sz w:val="22"/>
          <w:szCs w:val="22"/>
          <w:lang w:val="en-US"/>
        </w:rPr>
      </w:pPr>
      <w:r w:rsidRPr="007409A7">
        <w:rPr>
          <w:color w:val="000000" w:themeColor="text1"/>
          <w:sz w:val="22"/>
          <w:szCs w:val="22"/>
          <w:lang w:val="en-US"/>
        </w:rPr>
        <w:t xml:space="preserve">Boertmann, D. &amp; Mosbech, A. (eds.) 2011. The western Greenland Sea, a strategic environmental impact </w:t>
      </w:r>
      <w:r w:rsidRPr="007409A7">
        <w:rPr>
          <w:color w:val="000000" w:themeColor="text1"/>
          <w:sz w:val="22"/>
          <w:szCs w:val="22"/>
          <w:lang w:val="en-US"/>
        </w:rPr>
        <w:lastRenderedPageBreak/>
        <w:t xml:space="preserve">assessment of hydrocarbon activities.  Aarhus University, DCE – Danish Centre for Environment and Energy, 268 pp. - Scientific Report from DCE – Danish Centre for Environment and Energy no. 22.  </w:t>
      </w:r>
      <w:hyperlink r:id="rId42" w:history="1">
        <w:r w:rsidRPr="007409A7">
          <w:rPr>
            <w:color w:val="000000" w:themeColor="text1"/>
            <w:sz w:val="22"/>
            <w:szCs w:val="22"/>
            <w:lang w:val="en-US"/>
          </w:rPr>
          <w:t>http://www2.dmu.dk/Pub/SR22.pdf</w:t>
        </w:r>
      </w:hyperlink>
    </w:p>
    <w:p w14:paraId="70ABF077" w14:textId="77777777" w:rsidR="007409A7" w:rsidRPr="007409A7" w:rsidRDefault="009E53BE" w:rsidP="00846AD1">
      <w:pPr>
        <w:widowControl w:val="0"/>
        <w:autoSpaceDE w:val="0"/>
        <w:autoSpaceDN w:val="0"/>
        <w:adjustRightInd w:val="0"/>
        <w:spacing w:afterLines="50" w:after="120"/>
        <w:ind w:left="310" w:hangingChars="129" w:hanging="310"/>
        <w:jc w:val="both"/>
        <w:rPr>
          <w:color w:val="000000" w:themeColor="text1"/>
          <w:sz w:val="22"/>
          <w:szCs w:val="22"/>
        </w:rPr>
      </w:pPr>
      <w:hyperlink r:id="rId43" w:history="1">
        <w:r w:rsidR="007409A7" w:rsidRPr="007409A7">
          <w:rPr>
            <w:color w:val="000000" w:themeColor="text1"/>
            <w:sz w:val="22"/>
            <w:szCs w:val="22"/>
          </w:rPr>
          <w:t>Boertmann, DM</w:t>
        </w:r>
      </w:hyperlink>
      <w:hyperlink r:id="rId44" w:history="1">
        <w:r w:rsidR="007409A7" w:rsidRPr="007409A7">
          <w:rPr>
            <w:color w:val="000000" w:themeColor="text1"/>
            <w:sz w:val="22"/>
            <w:szCs w:val="22"/>
          </w:rPr>
          <w:t>, Kyhn, LA</w:t>
        </w:r>
      </w:hyperlink>
      <w:hyperlink r:id="rId45" w:history="1">
        <w:r w:rsidR="007409A7" w:rsidRPr="007409A7">
          <w:rPr>
            <w:color w:val="000000" w:themeColor="text1"/>
            <w:sz w:val="22"/>
            <w:szCs w:val="22"/>
          </w:rPr>
          <w:t xml:space="preserve"> &amp; Petersen, IK</w:t>
        </w:r>
      </w:hyperlink>
      <w:r w:rsidR="007409A7" w:rsidRPr="007409A7">
        <w:rPr>
          <w:color w:val="000000" w:themeColor="text1"/>
          <w:sz w:val="22"/>
          <w:szCs w:val="22"/>
        </w:rPr>
        <w:t xml:space="preserve"> 2019, </w:t>
      </w:r>
      <w:hyperlink r:id="rId46" w:history="1">
        <w:r w:rsidR="007409A7" w:rsidRPr="007409A7">
          <w:rPr>
            <w:i/>
            <w:iCs/>
            <w:color w:val="000000" w:themeColor="text1"/>
            <w:sz w:val="22"/>
            <w:szCs w:val="22"/>
          </w:rPr>
          <w:t>Seabirds and marine mammals in the eastern Greenland Sea, August-September 2017. Results from an aerial survey</w:t>
        </w:r>
      </w:hyperlink>
      <w:r w:rsidR="007409A7" w:rsidRPr="007409A7">
        <w:rPr>
          <w:color w:val="000000" w:themeColor="text1"/>
          <w:sz w:val="22"/>
          <w:szCs w:val="22"/>
        </w:rPr>
        <w:t>. Scienific Report from DCE, nr. 335.</w:t>
      </w:r>
    </w:p>
    <w:p w14:paraId="0F34FB8C" w14:textId="77777777" w:rsidR="007409A7" w:rsidRPr="007409A7" w:rsidRDefault="009E53BE" w:rsidP="00846AD1">
      <w:pPr>
        <w:widowControl w:val="0"/>
        <w:autoSpaceDE w:val="0"/>
        <w:autoSpaceDN w:val="0"/>
        <w:adjustRightInd w:val="0"/>
        <w:spacing w:afterLines="50" w:after="120"/>
        <w:ind w:left="310" w:hangingChars="129" w:hanging="310"/>
        <w:jc w:val="both"/>
        <w:rPr>
          <w:color w:val="000000" w:themeColor="text1"/>
          <w:sz w:val="22"/>
          <w:szCs w:val="22"/>
          <w:lang w:val="da-DK"/>
        </w:rPr>
      </w:pPr>
      <w:hyperlink r:id="rId47" w:history="1">
        <w:r w:rsidR="007409A7" w:rsidRPr="007409A7">
          <w:rPr>
            <w:color w:val="000000" w:themeColor="text1"/>
            <w:sz w:val="22"/>
            <w:szCs w:val="22"/>
            <w:lang w:val="da-DK"/>
          </w:rPr>
          <w:t>Christensen, T</w:t>
        </w:r>
      </w:hyperlink>
      <w:hyperlink r:id="rId48" w:history="1">
        <w:r w:rsidR="007409A7" w:rsidRPr="007409A7">
          <w:rPr>
            <w:color w:val="000000" w:themeColor="text1"/>
            <w:sz w:val="22"/>
            <w:szCs w:val="22"/>
            <w:lang w:val="da-DK"/>
          </w:rPr>
          <w:t>, Aastrup, P</w:t>
        </w:r>
      </w:hyperlink>
      <w:r w:rsidR="007409A7" w:rsidRPr="007409A7">
        <w:rPr>
          <w:color w:val="000000" w:themeColor="text1"/>
          <w:sz w:val="22"/>
          <w:szCs w:val="22"/>
          <w:lang w:val="da-DK"/>
        </w:rPr>
        <w:t>, Boye, T</w:t>
      </w:r>
      <w:hyperlink r:id="rId49" w:history="1">
        <w:r w:rsidR="007409A7" w:rsidRPr="007409A7">
          <w:rPr>
            <w:color w:val="000000" w:themeColor="text1"/>
            <w:sz w:val="22"/>
            <w:szCs w:val="22"/>
            <w:lang w:val="da-DK"/>
          </w:rPr>
          <w:t>, Boertmann, D</w:t>
        </w:r>
      </w:hyperlink>
      <w:r w:rsidR="007409A7" w:rsidRPr="007409A7">
        <w:rPr>
          <w:color w:val="000000" w:themeColor="text1"/>
          <w:sz w:val="22"/>
          <w:szCs w:val="22"/>
          <w:lang w:val="da-DK"/>
        </w:rPr>
        <w:t>, Hedeholm, R</w:t>
      </w:r>
      <w:hyperlink r:id="rId50" w:history="1">
        <w:r w:rsidR="007409A7" w:rsidRPr="007409A7">
          <w:rPr>
            <w:color w:val="000000" w:themeColor="text1"/>
            <w:sz w:val="22"/>
            <w:szCs w:val="22"/>
            <w:lang w:val="da-DK"/>
          </w:rPr>
          <w:t>, Johansen, KL</w:t>
        </w:r>
      </w:hyperlink>
      <w:hyperlink r:id="rId51" w:history="1">
        <w:r w:rsidR="007409A7" w:rsidRPr="007409A7">
          <w:rPr>
            <w:color w:val="000000" w:themeColor="text1"/>
            <w:sz w:val="22"/>
            <w:szCs w:val="22"/>
            <w:lang w:val="da-DK"/>
          </w:rPr>
          <w:t>, Merkel, FR</w:t>
        </w:r>
      </w:hyperlink>
      <w:r w:rsidR="007409A7" w:rsidRPr="007409A7">
        <w:rPr>
          <w:color w:val="000000" w:themeColor="text1"/>
          <w:sz w:val="22"/>
          <w:szCs w:val="22"/>
          <w:lang w:val="da-DK"/>
        </w:rPr>
        <w:t>, Rosing-Asvid, A</w:t>
      </w:r>
      <w:hyperlink r:id="rId52" w:history="1">
        <w:r w:rsidR="007409A7" w:rsidRPr="007409A7">
          <w:rPr>
            <w:color w:val="000000" w:themeColor="text1"/>
            <w:sz w:val="22"/>
            <w:szCs w:val="22"/>
            <w:lang w:val="da-DK"/>
          </w:rPr>
          <w:t>, Bay, C</w:t>
        </w:r>
      </w:hyperlink>
      <w:r w:rsidR="007409A7" w:rsidRPr="007409A7">
        <w:rPr>
          <w:color w:val="000000" w:themeColor="text1"/>
          <w:sz w:val="22"/>
          <w:szCs w:val="22"/>
          <w:lang w:val="da-DK"/>
        </w:rPr>
        <w:t>, Blicher, M</w:t>
      </w:r>
      <w:hyperlink r:id="rId53" w:history="1">
        <w:r w:rsidR="007409A7" w:rsidRPr="007409A7">
          <w:rPr>
            <w:color w:val="000000" w:themeColor="text1"/>
            <w:sz w:val="22"/>
            <w:szCs w:val="22"/>
            <w:lang w:val="da-DK"/>
          </w:rPr>
          <w:t>, Clausen, DS</w:t>
        </w:r>
      </w:hyperlink>
      <w:r w:rsidR="007409A7" w:rsidRPr="007409A7">
        <w:rPr>
          <w:color w:val="000000" w:themeColor="text1"/>
          <w:sz w:val="22"/>
          <w:szCs w:val="22"/>
          <w:lang w:val="da-DK"/>
        </w:rPr>
        <w:t>, Ugarte, F, Arendt, KE, Burmeister, A</w:t>
      </w:r>
      <w:hyperlink r:id="rId54" w:history="1">
        <w:r w:rsidR="007409A7" w:rsidRPr="007409A7">
          <w:rPr>
            <w:color w:val="000000" w:themeColor="text1"/>
            <w:sz w:val="22"/>
            <w:szCs w:val="22"/>
            <w:lang w:val="da-DK"/>
          </w:rPr>
          <w:t>, Topp-Jørgensen, E</w:t>
        </w:r>
      </w:hyperlink>
      <w:r w:rsidR="007409A7" w:rsidRPr="007409A7">
        <w:rPr>
          <w:color w:val="000000" w:themeColor="text1"/>
          <w:sz w:val="22"/>
          <w:szCs w:val="22"/>
          <w:lang w:val="da-DK"/>
        </w:rPr>
        <w:t>, Retzel, A, Hammeken, N, Falk, K</w:t>
      </w:r>
      <w:hyperlink r:id="rId55" w:history="1">
        <w:r w:rsidR="007409A7" w:rsidRPr="007409A7">
          <w:rPr>
            <w:color w:val="000000" w:themeColor="text1"/>
            <w:sz w:val="22"/>
            <w:szCs w:val="22"/>
            <w:lang w:val="da-DK"/>
          </w:rPr>
          <w:t>, Frederiksen, M</w:t>
        </w:r>
      </w:hyperlink>
      <w:r w:rsidR="007409A7" w:rsidRPr="007409A7">
        <w:rPr>
          <w:color w:val="000000" w:themeColor="text1"/>
          <w:sz w:val="22"/>
          <w:szCs w:val="22"/>
          <w:lang w:val="da-DK"/>
        </w:rPr>
        <w:t>, Bjerrum, M</w:t>
      </w:r>
      <w:hyperlink r:id="rId56" w:history="1">
        <w:r w:rsidR="007409A7" w:rsidRPr="007409A7">
          <w:rPr>
            <w:color w:val="000000" w:themeColor="text1"/>
            <w:sz w:val="22"/>
            <w:szCs w:val="22"/>
            <w:lang w:val="da-DK"/>
          </w:rPr>
          <w:t xml:space="preserve"> &amp; Mosbech, A</w:t>
        </w:r>
      </w:hyperlink>
      <w:r w:rsidR="007409A7" w:rsidRPr="007409A7">
        <w:rPr>
          <w:color w:val="000000" w:themeColor="text1"/>
          <w:sz w:val="22"/>
          <w:szCs w:val="22"/>
          <w:lang w:val="da-DK"/>
        </w:rPr>
        <w:t xml:space="preserve"> 2016, </w:t>
      </w:r>
      <w:hyperlink r:id="rId57" w:history="1">
        <w:r w:rsidR="007409A7" w:rsidRPr="007409A7">
          <w:rPr>
            <w:i/>
            <w:iCs/>
            <w:color w:val="000000" w:themeColor="text1"/>
            <w:sz w:val="22"/>
            <w:szCs w:val="22"/>
            <w:lang w:val="da-DK"/>
          </w:rPr>
          <w:t xml:space="preserve">Biologiske interesseområder i Vest- og Sydøstgrønland: Kortlægning af vigtige biologiske områder </w:t>
        </w:r>
      </w:hyperlink>
      <w:r w:rsidR="007409A7" w:rsidRPr="007409A7">
        <w:rPr>
          <w:color w:val="000000" w:themeColor="text1"/>
          <w:sz w:val="22"/>
          <w:szCs w:val="22"/>
          <w:lang w:val="da-DK"/>
        </w:rPr>
        <w:t>. Teknisk rapport fra DCE - Nationalt Center for Miljø og Energi, bind 89.</w:t>
      </w:r>
    </w:p>
    <w:p w14:paraId="7EA2D623" w14:textId="77777777" w:rsidR="007409A7" w:rsidRPr="007409A7" w:rsidRDefault="007409A7" w:rsidP="00846AD1">
      <w:pPr>
        <w:widowControl w:val="0"/>
        <w:autoSpaceDE w:val="0"/>
        <w:autoSpaceDN w:val="0"/>
        <w:adjustRightInd w:val="0"/>
        <w:spacing w:afterLines="50" w:after="120"/>
        <w:ind w:left="284" w:hangingChars="129" w:hanging="284"/>
        <w:jc w:val="both"/>
        <w:rPr>
          <w:color w:val="000000" w:themeColor="text1"/>
          <w:sz w:val="22"/>
          <w:szCs w:val="22"/>
          <w:lang w:val="en-US"/>
        </w:rPr>
      </w:pPr>
      <w:r w:rsidRPr="007409A7">
        <w:rPr>
          <w:color w:val="000000" w:themeColor="text1"/>
          <w:sz w:val="22"/>
          <w:szCs w:val="22"/>
          <w:lang w:val="da-DK"/>
        </w:rPr>
        <w:t xml:space="preserve">Christensen, T., Falk, K., Boye, T., Ugarte, F., Boertmann, D. &amp; Mosbech, A. (2012). Identifi kation af sårbare marine områder i den grønlandske/danske del af Arktis. Aarhus Universitet, DCE – Nationalt Center for Miljø og Energi. 72 pp. </w:t>
      </w:r>
      <w:hyperlink r:id="rId58" w:history="1">
        <w:r w:rsidRPr="007409A7">
          <w:rPr>
            <w:color w:val="000000" w:themeColor="text1"/>
            <w:sz w:val="22"/>
            <w:szCs w:val="22"/>
            <w:lang w:val="en-US"/>
          </w:rPr>
          <w:t>http://www2.dmu.dk/pub/sr43.pdf</w:t>
        </w:r>
      </w:hyperlink>
    </w:p>
    <w:p w14:paraId="47FE0A54" w14:textId="77777777" w:rsidR="007409A7" w:rsidRPr="007409A7" w:rsidRDefault="007409A7" w:rsidP="00846AD1">
      <w:pPr>
        <w:widowControl w:val="0"/>
        <w:autoSpaceDE w:val="0"/>
        <w:autoSpaceDN w:val="0"/>
        <w:adjustRightInd w:val="0"/>
        <w:spacing w:afterLines="50" w:after="120"/>
        <w:ind w:left="284" w:hangingChars="129" w:hanging="284"/>
        <w:jc w:val="both"/>
        <w:rPr>
          <w:sz w:val="22"/>
          <w:szCs w:val="22"/>
          <w:lang w:val="en-US"/>
        </w:rPr>
      </w:pPr>
      <w:r w:rsidRPr="007409A7">
        <w:rPr>
          <w:color w:val="000000" w:themeColor="text1"/>
          <w:sz w:val="22"/>
          <w:szCs w:val="22"/>
          <w:lang w:val="da-DK"/>
        </w:rPr>
        <w:t xml:space="preserve">Frederiksen, M., Boertmann, D., Ugarte, F. &amp; Mosbech, A. (eds) 2012. </w:t>
      </w:r>
      <w:r w:rsidRPr="007409A7">
        <w:rPr>
          <w:color w:val="000000" w:themeColor="text1"/>
          <w:sz w:val="22"/>
          <w:szCs w:val="22"/>
          <w:lang w:val="en-US"/>
        </w:rPr>
        <w:t>South Greenland. A Strategic Environmental Impact Assessment of hydrocarbon activities in the Greenland sector of the Labrador Sea and the southeast Davis Strait. Aarhus University, DCE – Danish Centre for Environment and Energy, 220 pp. Scientific Report from DCE – Da</w:t>
      </w:r>
      <w:r w:rsidRPr="007409A7">
        <w:rPr>
          <w:sz w:val="22"/>
          <w:szCs w:val="22"/>
          <w:lang w:val="en-US"/>
        </w:rPr>
        <w:t xml:space="preserve">nish Centre for Environment and Energy No. 23 </w:t>
      </w:r>
      <w:hyperlink r:id="rId59" w:history="1">
        <w:r w:rsidRPr="007409A7">
          <w:rPr>
            <w:sz w:val="22"/>
            <w:szCs w:val="22"/>
            <w:lang w:val="en-US"/>
          </w:rPr>
          <w:t>http://www.dmu.dk/Pub/SR23.pdf</w:t>
        </w:r>
      </w:hyperlink>
    </w:p>
    <w:p w14:paraId="77DF1E0A" w14:textId="77777777" w:rsidR="007409A7" w:rsidRPr="007409A7" w:rsidRDefault="007409A7" w:rsidP="00846AD1">
      <w:pPr>
        <w:widowControl w:val="0"/>
        <w:autoSpaceDE w:val="0"/>
        <w:autoSpaceDN w:val="0"/>
        <w:adjustRightInd w:val="0"/>
        <w:spacing w:afterLines="50" w:after="120"/>
        <w:ind w:left="284" w:hangingChars="129" w:hanging="284"/>
        <w:jc w:val="both"/>
        <w:rPr>
          <w:sz w:val="22"/>
          <w:szCs w:val="22"/>
          <w:lang w:val="en-US"/>
        </w:rPr>
      </w:pPr>
      <w:r w:rsidRPr="007409A7">
        <w:rPr>
          <w:sz w:val="22"/>
          <w:szCs w:val="22"/>
          <w:lang w:val="da-DK"/>
        </w:rPr>
        <w:t xml:space="preserve">Merkel, F., Boertmann, D., Mosbech, A. &amp; Ugarte, F (eds). 2012. </w:t>
      </w:r>
      <w:r w:rsidRPr="007409A7">
        <w:rPr>
          <w:sz w:val="22"/>
          <w:szCs w:val="22"/>
          <w:lang w:val="en-US"/>
        </w:rPr>
        <w:t xml:space="preserve">The Davis Strait. A preliminary strategic environmental impact assessment of hydrocarbon activities in the eastern Davis Strait. Aarhus University, DCE – Danish Centre for Environment and Energy, 280 pp. Scientific Report from DCE – Danish Centre for Environment and Energy No. 15. </w:t>
      </w:r>
      <w:hyperlink r:id="rId60" w:history="1">
        <w:r w:rsidRPr="007409A7">
          <w:rPr>
            <w:sz w:val="22"/>
            <w:szCs w:val="22"/>
            <w:lang w:val="en-US"/>
          </w:rPr>
          <w:t>http://www.dmu.dk/Pub/SR15.pdf</w:t>
        </w:r>
      </w:hyperlink>
    </w:p>
    <w:p w14:paraId="0405EE1F" w14:textId="77777777" w:rsidR="007409A7" w:rsidRPr="007409A7" w:rsidRDefault="007409A7" w:rsidP="00826D67">
      <w:pPr>
        <w:pBdr>
          <w:bottom w:val="single" w:sz="6" w:space="1" w:color="auto"/>
        </w:pBdr>
        <w:rPr>
          <w:b/>
          <w:bCs/>
          <w:sz w:val="22"/>
          <w:szCs w:val="22"/>
        </w:rPr>
      </w:pPr>
    </w:p>
    <w:p w14:paraId="735C9F38" w14:textId="77777777" w:rsidR="007409A7" w:rsidRPr="007409A7" w:rsidRDefault="007409A7" w:rsidP="00826D67">
      <w:pPr>
        <w:rPr>
          <w:b/>
          <w:bCs/>
          <w:sz w:val="22"/>
          <w:szCs w:val="22"/>
        </w:rPr>
      </w:pPr>
    </w:p>
    <w:p w14:paraId="54762589" w14:textId="77777777" w:rsidR="002F7E4A" w:rsidRPr="00961DBE" w:rsidRDefault="004457AD" w:rsidP="002F7E4A">
      <w:pPr>
        <w:rPr>
          <w:b/>
          <w:bCs/>
          <w:color w:val="000000" w:themeColor="text1"/>
          <w:sz w:val="22"/>
          <w:szCs w:val="22"/>
        </w:rPr>
      </w:pPr>
      <w:r w:rsidRPr="00961DBE">
        <w:rPr>
          <w:b/>
          <w:bCs/>
          <w:color w:val="000000" w:themeColor="text1"/>
          <w:sz w:val="22"/>
          <w:szCs w:val="22"/>
        </w:rPr>
        <w:t>ICELAND</w:t>
      </w:r>
    </w:p>
    <w:p w14:paraId="35900F89" w14:textId="744669BC" w:rsidR="007409A7" w:rsidRPr="00961DBE" w:rsidRDefault="007409A7" w:rsidP="002F7E4A">
      <w:pPr>
        <w:jc w:val="both"/>
        <w:rPr>
          <w:color w:val="000000" w:themeColor="text1"/>
          <w:sz w:val="22"/>
          <w:szCs w:val="22"/>
        </w:rPr>
      </w:pPr>
      <w:r w:rsidRPr="00961DBE">
        <w:rPr>
          <w:color w:val="000000" w:themeColor="text1"/>
          <w:sz w:val="22"/>
          <w:szCs w:val="22"/>
        </w:rPr>
        <w:t>Iceland uses an ecosystem</w:t>
      </w:r>
      <w:r w:rsidR="00E86404" w:rsidRPr="00961DBE">
        <w:rPr>
          <w:color w:val="000000" w:themeColor="text1"/>
          <w:sz w:val="22"/>
          <w:szCs w:val="22"/>
        </w:rPr>
        <w:t>-</w:t>
      </w:r>
      <w:r w:rsidRPr="00961DBE">
        <w:rPr>
          <w:color w:val="000000" w:themeColor="text1"/>
          <w:sz w:val="22"/>
          <w:szCs w:val="22"/>
        </w:rPr>
        <w:t>based management program</w:t>
      </w:r>
      <w:r w:rsidR="00921E26">
        <w:rPr>
          <w:color w:val="000000" w:themeColor="text1"/>
          <w:sz w:val="22"/>
          <w:szCs w:val="22"/>
        </w:rPr>
        <w:t>me</w:t>
      </w:r>
      <w:r w:rsidRPr="00961DBE">
        <w:rPr>
          <w:color w:val="000000" w:themeColor="text1"/>
          <w:sz w:val="22"/>
          <w:szCs w:val="22"/>
        </w:rPr>
        <w:t xml:space="preserve"> for sustainable use and protection of natural marine resources. The objective is to maintain the structure, functioning and productivity of the ecosystem as a whole</w:t>
      </w:r>
      <w:r w:rsidR="00921E26">
        <w:rPr>
          <w:color w:val="000000" w:themeColor="text1"/>
          <w:sz w:val="22"/>
          <w:szCs w:val="22"/>
        </w:rPr>
        <w:t>, which are</w:t>
      </w:r>
      <w:r w:rsidRPr="00961DBE">
        <w:rPr>
          <w:color w:val="000000" w:themeColor="text1"/>
          <w:sz w:val="22"/>
          <w:szCs w:val="22"/>
        </w:rPr>
        <w:t xml:space="preserve"> under continuous scrutiny. As a part of the strictly regulated catch management system in Icelandic waters, various areas are protected to a different degree. </w:t>
      </w:r>
      <w:r w:rsidR="00921E26">
        <w:rPr>
          <w:color w:val="000000" w:themeColor="text1"/>
          <w:sz w:val="22"/>
          <w:szCs w:val="22"/>
        </w:rPr>
        <w:t>C</w:t>
      </w:r>
      <w:r w:rsidRPr="00961DBE">
        <w:rPr>
          <w:color w:val="000000" w:themeColor="text1"/>
          <w:sz w:val="22"/>
          <w:szCs w:val="22"/>
        </w:rPr>
        <w:t>losures are concordant with international agreements ratified by Icelandic authorities, including CBD, OSPAR, IUCN and ICES. The protected areas are of two main types: a) temporal and flexible closures, mainly to protect livelihood and productivity of fish stocks</w:t>
      </w:r>
      <w:r w:rsidR="00921E26">
        <w:rPr>
          <w:color w:val="000000" w:themeColor="text1"/>
          <w:sz w:val="22"/>
          <w:szCs w:val="22"/>
        </w:rPr>
        <w:t>,</w:t>
      </w:r>
      <w:r w:rsidRPr="00961DBE">
        <w:rPr>
          <w:color w:val="000000" w:themeColor="text1"/>
          <w:sz w:val="22"/>
          <w:szCs w:val="22"/>
        </w:rPr>
        <w:t xml:space="preserve"> and b) permanent closures for the protection of important and vulnerable habitats and species, like cold-water coral areas and hydrothermal vents that have been fully protected against bottom fisheries.  </w:t>
      </w:r>
    </w:p>
    <w:p w14:paraId="1BE90616" w14:textId="77777777" w:rsidR="002F7E4A" w:rsidRPr="00961DBE" w:rsidRDefault="002F7E4A" w:rsidP="002F7E4A">
      <w:pPr>
        <w:jc w:val="both"/>
        <w:rPr>
          <w:b/>
          <w:bCs/>
          <w:color w:val="000000" w:themeColor="text1"/>
          <w:sz w:val="22"/>
          <w:szCs w:val="22"/>
        </w:rPr>
      </w:pPr>
    </w:p>
    <w:p w14:paraId="72B0C4A5" w14:textId="1AE0D0A7" w:rsidR="007409A7" w:rsidRDefault="007409A7" w:rsidP="002F7E4A">
      <w:pPr>
        <w:pStyle w:val="NormalWeb"/>
        <w:pBdr>
          <w:bottom w:val="single" w:sz="6" w:space="1" w:color="auto"/>
        </w:pBdr>
        <w:shd w:val="clear" w:color="auto" w:fill="FFFFFF"/>
        <w:spacing w:before="0" w:beforeAutospacing="0" w:after="0" w:afterAutospacing="0"/>
        <w:jc w:val="both"/>
        <w:rPr>
          <w:color w:val="201F1E"/>
          <w:sz w:val="22"/>
          <w:szCs w:val="22"/>
          <w:lang w:val="en-CA"/>
        </w:rPr>
      </w:pPr>
      <w:r w:rsidRPr="00961DBE">
        <w:rPr>
          <w:color w:val="000000" w:themeColor="text1"/>
          <w:sz w:val="22"/>
          <w:szCs w:val="22"/>
          <w:lang w:val="en-CA"/>
        </w:rPr>
        <w:t xml:space="preserve">Mapping of </w:t>
      </w:r>
      <w:r w:rsidR="0095649D">
        <w:rPr>
          <w:color w:val="000000" w:themeColor="text1"/>
          <w:sz w:val="22"/>
          <w:szCs w:val="22"/>
          <w:lang w:val="en-CA"/>
        </w:rPr>
        <w:t>v</w:t>
      </w:r>
      <w:r w:rsidRPr="00961DBE">
        <w:rPr>
          <w:color w:val="000000" w:themeColor="text1"/>
          <w:sz w:val="22"/>
          <w:szCs w:val="22"/>
          <w:lang w:val="en-CA"/>
        </w:rPr>
        <w:t xml:space="preserve">ulnerable </w:t>
      </w:r>
      <w:r w:rsidR="0095649D">
        <w:rPr>
          <w:color w:val="000000" w:themeColor="text1"/>
          <w:sz w:val="22"/>
          <w:szCs w:val="22"/>
          <w:lang w:val="en-CA"/>
        </w:rPr>
        <w:t>m</w:t>
      </w:r>
      <w:r w:rsidRPr="00961DBE">
        <w:rPr>
          <w:color w:val="000000" w:themeColor="text1"/>
          <w:sz w:val="22"/>
          <w:szCs w:val="22"/>
          <w:lang w:val="en-CA"/>
        </w:rPr>
        <w:t xml:space="preserve">arine </w:t>
      </w:r>
      <w:r w:rsidR="0095649D">
        <w:rPr>
          <w:color w:val="000000" w:themeColor="text1"/>
          <w:sz w:val="22"/>
          <w:szCs w:val="22"/>
          <w:lang w:val="en-CA"/>
        </w:rPr>
        <w:t>e</w:t>
      </w:r>
      <w:r w:rsidRPr="00961DBE">
        <w:rPr>
          <w:color w:val="000000" w:themeColor="text1"/>
          <w:sz w:val="22"/>
          <w:szCs w:val="22"/>
          <w:lang w:val="en-CA"/>
        </w:rPr>
        <w:t>cosystem</w:t>
      </w:r>
      <w:r w:rsidR="00921E26">
        <w:rPr>
          <w:color w:val="000000" w:themeColor="text1"/>
          <w:sz w:val="22"/>
          <w:szCs w:val="22"/>
          <w:lang w:val="en-CA"/>
        </w:rPr>
        <w:t>s</w:t>
      </w:r>
      <w:r w:rsidRPr="00961DBE">
        <w:rPr>
          <w:color w:val="000000" w:themeColor="text1"/>
          <w:sz w:val="22"/>
          <w:szCs w:val="22"/>
          <w:lang w:val="en-CA"/>
        </w:rPr>
        <w:t xml:space="preserve"> has been conducted intermittently since 2004 and further mapping is planned in the coming years. Furthermore, as of 2017 the Marine and Freshwater Research Institute initiated a 12-year program</w:t>
      </w:r>
      <w:r w:rsidR="00921E26">
        <w:rPr>
          <w:color w:val="000000" w:themeColor="text1"/>
          <w:sz w:val="22"/>
          <w:szCs w:val="22"/>
          <w:lang w:val="en-CA"/>
        </w:rPr>
        <w:t>me</w:t>
      </w:r>
      <w:r w:rsidRPr="00961DBE">
        <w:rPr>
          <w:color w:val="000000" w:themeColor="text1"/>
          <w:sz w:val="22"/>
          <w:szCs w:val="22"/>
          <w:lang w:val="en-CA"/>
        </w:rPr>
        <w:t xml:space="preserve">, with the objective to map with high resolution the seabed within the 200-mile exclusive economic zone. Such bathymetric maps are increasingly important to science. The topography and the characteristics of the seabed are fundamental parameters for the habitats and ecosystems of the sea floor. This information will be, and is being, used in further development of the management plan for sustainable use and protection of </w:t>
      </w:r>
      <w:r w:rsidRPr="007409A7">
        <w:rPr>
          <w:color w:val="201F1E"/>
          <w:sz w:val="22"/>
          <w:szCs w:val="22"/>
          <w:lang w:val="en-CA"/>
        </w:rPr>
        <w:t>the marine ecosystem.</w:t>
      </w:r>
    </w:p>
    <w:p w14:paraId="3A76235B" w14:textId="77777777" w:rsidR="002F7E4A" w:rsidRPr="007409A7" w:rsidRDefault="002F7E4A" w:rsidP="002F7E4A">
      <w:pPr>
        <w:pStyle w:val="NormalWeb"/>
        <w:pBdr>
          <w:bottom w:val="single" w:sz="6" w:space="1" w:color="auto"/>
        </w:pBdr>
        <w:shd w:val="clear" w:color="auto" w:fill="FFFFFF"/>
        <w:spacing w:before="0" w:beforeAutospacing="0" w:after="0" w:afterAutospacing="0"/>
        <w:jc w:val="both"/>
        <w:rPr>
          <w:color w:val="201F1E"/>
          <w:sz w:val="22"/>
          <w:szCs w:val="22"/>
          <w:lang w:val="en-CA"/>
        </w:rPr>
      </w:pPr>
    </w:p>
    <w:p w14:paraId="39F774B9" w14:textId="77777777" w:rsidR="007409A7" w:rsidRPr="007409A7" w:rsidRDefault="007409A7" w:rsidP="00826D67">
      <w:pPr>
        <w:rPr>
          <w:b/>
          <w:bCs/>
          <w:sz w:val="22"/>
          <w:szCs w:val="22"/>
        </w:rPr>
      </w:pPr>
    </w:p>
    <w:p w14:paraId="5813E1B5" w14:textId="6EAF42EC" w:rsidR="004457AD" w:rsidRDefault="004457AD" w:rsidP="00826D67">
      <w:pPr>
        <w:rPr>
          <w:b/>
          <w:bCs/>
          <w:sz w:val="22"/>
          <w:szCs w:val="22"/>
        </w:rPr>
      </w:pPr>
      <w:r w:rsidRPr="007409A7">
        <w:rPr>
          <w:b/>
          <w:bCs/>
          <w:sz w:val="22"/>
          <w:szCs w:val="22"/>
        </w:rPr>
        <w:t>IRELAND</w:t>
      </w:r>
    </w:p>
    <w:p w14:paraId="4C4E1461" w14:textId="3DB15888" w:rsidR="007409A7" w:rsidRPr="007409A7" w:rsidRDefault="007409A7" w:rsidP="002F7E4A">
      <w:pPr>
        <w:jc w:val="both"/>
        <w:rPr>
          <w:rFonts w:eastAsia="MS Mincho"/>
          <w:sz w:val="22"/>
          <w:szCs w:val="22"/>
          <w:lang w:val="en-US"/>
        </w:rPr>
      </w:pPr>
      <w:r w:rsidRPr="007409A7">
        <w:rPr>
          <w:sz w:val="22"/>
          <w:szCs w:val="22"/>
        </w:rPr>
        <w:t xml:space="preserve">Ireland </w:t>
      </w:r>
      <w:r w:rsidRPr="007409A7">
        <w:rPr>
          <w:rFonts w:eastAsia="MS Mincho"/>
          <w:sz w:val="22"/>
          <w:szCs w:val="22"/>
          <w:lang w:val="en-US"/>
        </w:rPr>
        <w:t>is engaged in analogous processes for the protection of ecologically and environmentally important areas. Ireland</w:t>
      </w:r>
      <w:r w:rsidR="00921E26">
        <w:rPr>
          <w:rFonts w:eastAsia="MS Mincho"/>
          <w:sz w:val="22"/>
          <w:szCs w:val="22"/>
          <w:lang w:val="en-US"/>
        </w:rPr>
        <w:t>,</w:t>
      </w:r>
      <w:r w:rsidRPr="007409A7">
        <w:rPr>
          <w:rFonts w:eastAsia="MS Mincho"/>
          <w:sz w:val="22"/>
          <w:szCs w:val="22"/>
          <w:lang w:val="en-US"/>
        </w:rPr>
        <w:t xml:space="preserve"> as a member of the European Union</w:t>
      </w:r>
      <w:r w:rsidR="00921E26">
        <w:rPr>
          <w:rFonts w:eastAsia="MS Mincho"/>
          <w:sz w:val="22"/>
          <w:szCs w:val="22"/>
          <w:lang w:val="en-US"/>
        </w:rPr>
        <w:t>,</w:t>
      </w:r>
      <w:r w:rsidRPr="007409A7">
        <w:rPr>
          <w:rFonts w:eastAsia="MS Mincho"/>
          <w:sz w:val="22"/>
          <w:szCs w:val="22"/>
          <w:lang w:val="en-US"/>
        </w:rPr>
        <w:t xml:space="preserve"> is committed to Directives derived to protect significant ecological features and to uphold and achieve environmental standards.</w:t>
      </w:r>
    </w:p>
    <w:p w14:paraId="6A70A7AD" w14:textId="77777777" w:rsidR="007409A7" w:rsidRPr="007409A7" w:rsidRDefault="007409A7" w:rsidP="002F7E4A">
      <w:pPr>
        <w:jc w:val="both"/>
        <w:rPr>
          <w:rFonts w:eastAsia="MS Mincho"/>
          <w:sz w:val="22"/>
          <w:szCs w:val="22"/>
          <w:lang w:val="en-US"/>
        </w:rPr>
      </w:pPr>
    </w:p>
    <w:p w14:paraId="7EDD7AE6" w14:textId="692F7FEE" w:rsidR="007409A7" w:rsidRPr="007409A7" w:rsidRDefault="007409A7" w:rsidP="002F7E4A">
      <w:pPr>
        <w:jc w:val="both"/>
        <w:rPr>
          <w:rFonts w:eastAsia="MS Mincho"/>
          <w:sz w:val="22"/>
          <w:szCs w:val="22"/>
          <w:lang w:val="en-US"/>
        </w:rPr>
      </w:pPr>
      <w:r w:rsidRPr="007409A7">
        <w:rPr>
          <w:rFonts w:eastAsia="MS Mincho"/>
          <w:sz w:val="22"/>
          <w:szCs w:val="22"/>
          <w:lang w:val="en-US"/>
        </w:rPr>
        <w:lastRenderedPageBreak/>
        <w:t>With the transposition of the Birds Directive (2009/147/EC)</w:t>
      </w:r>
      <w:r w:rsidR="00921E26">
        <w:rPr>
          <w:rFonts w:eastAsia="MS Mincho"/>
          <w:sz w:val="22"/>
          <w:szCs w:val="22"/>
          <w:lang w:val="en-US"/>
        </w:rPr>
        <w:t>,</w:t>
      </w:r>
      <w:r w:rsidRPr="007409A7">
        <w:rPr>
          <w:rFonts w:eastAsia="MS Mincho"/>
          <w:sz w:val="22"/>
          <w:szCs w:val="22"/>
          <w:lang w:val="en-US"/>
        </w:rPr>
        <w:t xml:space="preserve"> Ireland undertook to designate Special Protect</w:t>
      </w:r>
      <w:r w:rsidR="00921E26">
        <w:rPr>
          <w:rFonts w:eastAsia="MS Mincho"/>
          <w:sz w:val="22"/>
          <w:szCs w:val="22"/>
          <w:lang w:val="en-US"/>
        </w:rPr>
        <w:t>ion</w:t>
      </w:r>
      <w:r w:rsidRPr="007409A7">
        <w:rPr>
          <w:rFonts w:eastAsia="MS Mincho"/>
          <w:sz w:val="22"/>
          <w:szCs w:val="22"/>
          <w:lang w:val="en-US"/>
        </w:rPr>
        <w:t xml:space="preserve"> Areas (SPA</w:t>
      </w:r>
      <w:r w:rsidR="00921E26">
        <w:rPr>
          <w:rFonts w:eastAsia="MS Mincho"/>
          <w:sz w:val="22"/>
          <w:szCs w:val="22"/>
          <w:lang w:val="en-US"/>
        </w:rPr>
        <w:t>s</w:t>
      </w:r>
      <w:r w:rsidRPr="007409A7">
        <w:rPr>
          <w:rFonts w:eastAsia="MS Mincho"/>
          <w:sz w:val="22"/>
          <w:szCs w:val="22"/>
          <w:lang w:val="en-US"/>
        </w:rPr>
        <w:t>) for these species’ conservation. Currently</w:t>
      </w:r>
      <w:r w:rsidR="00921E26">
        <w:rPr>
          <w:rFonts w:eastAsia="MS Mincho"/>
          <w:sz w:val="22"/>
          <w:szCs w:val="22"/>
          <w:lang w:val="en-US"/>
        </w:rPr>
        <w:t>, many</w:t>
      </w:r>
      <w:r w:rsidRPr="007409A7">
        <w:rPr>
          <w:rFonts w:eastAsia="MS Mincho"/>
          <w:sz w:val="22"/>
          <w:szCs w:val="22"/>
          <w:lang w:val="en-US"/>
        </w:rPr>
        <w:t xml:space="preserve"> SPAs have been created at the coastal margin</w:t>
      </w:r>
      <w:r w:rsidR="00921E26">
        <w:rPr>
          <w:rFonts w:eastAsia="MS Mincho"/>
          <w:sz w:val="22"/>
          <w:szCs w:val="22"/>
          <w:lang w:val="en-US"/>
        </w:rPr>
        <w:t>,</w:t>
      </w:r>
      <w:r w:rsidRPr="007409A7">
        <w:rPr>
          <w:rFonts w:eastAsia="MS Mincho"/>
          <w:sz w:val="22"/>
          <w:szCs w:val="22"/>
          <w:lang w:val="en-US"/>
        </w:rPr>
        <w:t xml:space="preserve"> and further sites in the marine area are anticipated in the future. </w:t>
      </w:r>
    </w:p>
    <w:p w14:paraId="11C0CEB5" w14:textId="77777777" w:rsidR="007409A7" w:rsidRPr="007409A7" w:rsidRDefault="007409A7" w:rsidP="002F7E4A">
      <w:pPr>
        <w:jc w:val="both"/>
        <w:rPr>
          <w:rFonts w:eastAsia="MS Mincho"/>
          <w:sz w:val="22"/>
          <w:szCs w:val="22"/>
          <w:lang w:val="en-US"/>
        </w:rPr>
      </w:pPr>
    </w:p>
    <w:p w14:paraId="2CC6A0B0" w14:textId="1AA840C1" w:rsidR="007409A7" w:rsidRPr="007409A7" w:rsidRDefault="007409A7" w:rsidP="002F7E4A">
      <w:pPr>
        <w:jc w:val="both"/>
        <w:rPr>
          <w:rFonts w:eastAsia="MS Mincho"/>
          <w:sz w:val="22"/>
          <w:szCs w:val="22"/>
          <w:lang w:val="en-US"/>
        </w:rPr>
      </w:pPr>
      <w:r w:rsidRPr="007409A7">
        <w:rPr>
          <w:rFonts w:eastAsia="MS Mincho"/>
          <w:sz w:val="22"/>
          <w:szCs w:val="22"/>
          <w:lang w:val="en-US"/>
        </w:rPr>
        <w:t xml:space="preserve">Article 3 of the Habitats Directive (1992/43/EC) requires the creation of sites for the conservation of selected habitats and species. Eighty-eight marine sites are currently </w:t>
      </w:r>
      <w:r w:rsidR="00921E26" w:rsidRPr="007409A7">
        <w:rPr>
          <w:rFonts w:eastAsia="MS Mincho"/>
          <w:sz w:val="22"/>
          <w:szCs w:val="22"/>
          <w:lang w:val="en-US"/>
        </w:rPr>
        <w:t>designated,</w:t>
      </w:r>
      <w:r w:rsidRPr="007409A7">
        <w:rPr>
          <w:rFonts w:eastAsia="MS Mincho"/>
          <w:sz w:val="22"/>
          <w:szCs w:val="22"/>
          <w:lang w:val="en-US"/>
        </w:rPr>
        <w:t xml:space="preserve"> and we will shortly be analyzing an extensive benthic data set along the continental shelf margin with the view to assessing whether more sites may be warranted for reef habitat in particular. Ireland considers it has achieved its objective to designate </w:t>
      </w:r>
      <w:r w:rsidR="00921E26" w:rsidRPr="007409A7">
        <w:rPr>
          <w:rFonts w:eastAsia="MS Mincho"/>
          <w:sz w:val="22"/>
          <w:szCs w:val="22"/>
          <w:lang w:val="en-US"/>
        </w:rPr>
        <w:t>enough</w:t>
      </w:r>
      <w:r w:rsidRPr="007409A7">
        <w:rPr>
          <w:rFonts w:eastAsia="MS Mincho"/>
          <w:sz w:val="22"/>
          <w:szCs w:val="22"/>
          <w:lang w:val="en-US"/>
        </w:rPr>
        <w:t xml:space="preserve"> sites for the other qualifying habitats and species. </w:t>
      </w:r>
    </w:p>
    <w:p w14:paraId="5B0F5CD9" w14:textId="77777777" w:rsidR="007409A7" w:rsidRPr="007409A7" w:rsidRDefault="007409A7" w:rsidP="002F7E4A">
      <w:pPr>
        <w:jc w:val="both"/>
        <w:rPr>
          <w:rFonts w:eastAsia="MS Mincho"/>
          <w:sz w:val="22"/>
          <w:szCs w:val="22"/>
          <w:lang w:val="en-US"/>
        </w:rPr>
      </w:pPr>
    </w:p>
    <w:p w14:paraId="7769D3A9" w14:textId="7EE5DC04" w:rsidR="007409A7" w:rsidRPr="007409A7" w:rsidRDefault="007409A7" w:rsidP="002F7E4A">
      <w:pPr>
        <w:jc w:val="both"/>
        <w:rPr>
          <w:rFonts w:eastAsia="MS Mincho"/>
          <w:sz w:val="22"/>
          <w:szCs w:val="22"/>
          <w:lang w:val="en-US"/>
        </w:rPr>
      </w:pPr>
      <w:r w:rsidRPr="007409A7">
        <w:rPr>
          <w:rFonts w:eastAsia="MS Mincho"/>
          <w:sz w:val="22"/>
          <w:szCs w:val="22"/>
          <w:lang w:val="en-US"/>
        </w:rPr>
        <w:t>The final important piece of European legislation of relevance to marine EBSAs is the Marine Strategy Framework Directive (2008/56/EC). This Directive</w:t>
      </w:r>
      <w:r w:rsidR="00921E26">
        <w:rPr>
          <w:rFonts w:eastAsia="MS Mincho"/>
          <w:sz w:val="22"/>
          <w:szCs w:val="22"/>
          <w:lang w:val="en-US"/>
        </w:rPr>
        <w:t>,</w:t>
      </w:r>
      <w:r w:rsidRPr="007409A7">
        <w:rPr>
          <w:rFonts w:eastAsia="MS Mincho"/>
          <w:sz w:val="22"/>
          <w:szCs w:val="22"/>
          <w:lang w:val="en-US"/>
        </w:rPr>
        <w:t xml:space="preserve"> coupled with 1992 OSPAR Convention</w:t>
      </w:r>
      <w:r w:rsidR="00921E26">
        <w:rPr>
          <w:rFonts w:eastAsia="MS Mincho"/>
          <w:sz w:val="22"/>
          <w:szCs w:val="22"/>
          <w:lang w:val="en-US"/>
        </w:rPr>
        <w:t>,</w:t>
      </w:r>
      <w:r w:rsidRPr="007409A7">
        <w:rPr>
          <w:rFonts w:eastAsia="MS Mincho"/>
          <w:sz w:val="22"/>
          <w:szCs w:val="22"/>
          <w:lang w:val="en-US"/>
        </w:rPr>
        <w:t xml:space="preserve"> seeks to designate MPA</w:t>
      </w:r>
      <w:r w:rsidR="00921E26">
        <w:rPr>
          <w:rFonts w:eastAsia="MS Mincho"/>
          <w:sz w:val="22"/>
          <w:szCs w:val="22"/>
          <w:lang w:val="en-US"/>
        </w:rPr>
        <w:t>s</w:t>
      </w:r>
      <w:r w:rsidRPr="007409A7">
        <w:rPr>
          <w:rFonts w:eastAsia="MS Mincho"/>
          <w:sz w:val="22"/>
          <w:szCs w:val="22"/>
          <w:lang w:val="en-US"/>
        </w:rPr>
        <w:t xml:space="preserve"> for various natural features, with a particular emphasis on threatened, declining or vulnerable habitats and species. Currently there are 19 MPA</w:t>
      </w:r>
      <w:r w:rsidR="00921E26">
        <w:rPr>
          <w:rFonts w:eastAsia="MS Mincho"/>
          <w:sz w:val="22"/>
          <w:szCs w:val="22"/>
          <w:lang w:val="en-US"/>
        </w:rPr>
        <w:t>s</w:t>
      </w:r>
      <w:r w:rsidRPr="007409A7">
        <w:rPr>
          <w:rFonts w:eastAsia="MS Mincho"/>
          <w:sz w:val="22"/>
          <w:szCs w:val="22"/>
          <w:lang w:val="en-US"/>
        </w:rPr>
        <w:t xml:space="preserve"> nominated, all of which coincide with the Natura network established under the Habitats and Birds Directives. As part of its ongoing programme of measures, Ireland will shortly begin a process to identify and develop the strategic and legal instruments, as well as candidate areas and features that will drive the future designation of additional MPA</w:t>
      </w:r>
      <w:r w:rsidR="00921E26">
        <w:rPr>
          <w:rFonts w:eastAsia="MS Mincho"/>
          <w:sz w:val="22"/>
          <w:szCs w:val="22"/>
          <w:lang w:val="en-US"/>
        </w:rPr>
        <w:t>s</w:t>
      </w:r>
      <w:r w:rsidR="006C219E">
        <w:rPr>
          <w:rFonts w:eastAsia="MS Mincho"/>
          <w:sz w:val="22"/>
          <w:szCs w:val="22"/>
          <w:lang w:val="en-US"/>
        </w:rPr>
        <w:t>.</w:t>
      </w:r>
      <w:r w:rsidR="0064253E">
        <w:rPr>
          <w:rFonts w:eastAsia="MS Mincho"/>
          <w:sz w:val="22"/>
          <w:szCs w:val="22"/>
          <w:lang w:val="en-US"/>
        </w:rPr>
        <w:t xml:space="preserve"> This is expected to consider</w:t>
      </w:r>
      <w:r w:rsidR="0091481B">
        <w:rPr>
          <w:rFonts w:eastAsia="MS Mincho"/>
          <w:sz w:val="22"/>
          <w:szCs w:val="22"/>
          <w:lang w:val="en-US"/>
        </w:rPr>
        <w:t>,</w:t>
      </w:r>
      <w:r w:rsidR="0064253E">
        <w:rPr>
          <w:rFonts w:eastAsia="MS Mincho"/>
          <w:sz w:val="22"/>
          <w:szCs w:val="22"/>
          <w:lang w:val="en-US"/>
        </w:rPr>
        <w:t xml:space="preserve"> </w:t>
      </w:r>
      <w:r w:rsidR="0064253E" w:rsidRPr="00846AD1">
        <w:rPr>
          <w:rFonts w:eastAsia="MS Mincho"/>
          <w:i/>
          <w:sz w:val="22"/>
          <w:szCs w:val="22"/>
          <w:lang w:val="en-US"/>
        </w:rPr>
        <w:t>inter alia</w:t>
      </w:r>
      <w:r w:rsidR="0091481B">
        <w:rPr>
          <w:rFonts w:eastAsia="MS Mincho"/>
          <w:sz w:val="22"/>
          <w:szCs w:val="22"/>
          <w:lang w:val="en-US"/>
        </w:rPr>
        <w:t>,</w:t>
      </w:r>
      <w:r w:rsidR="0064253E">
        <w:rPr>
          <w:rFonts w:eastAsia="MS Mincho"/>
          <w:sz w:val="22"/>
          <w:szCs w:val="22"/>
          <w:lang w:val="en-US"/>
        </w:rPr>
        <w:t xml:space="preserve"> the standardized qualifying criteria used in the EBSA process, and associated guidance, as potential tools for use in this national undertaking.</w:t>
      </w:r>
      <w:r w:rsidRPr="007409A7">
        <w:rPr>
          <w:rFonts w:eastAsia="MS Mincho"/>
          <w:sz w:val="22"/>
          <w:szCs w:val="22"/>
          <w:lang w:val="en-US"/>
        </w:rPr>
        <w:t xml:space="preserve"> </w:t>
      </w:r>
    </w:p>
    <w:p w14:paraId="3B41DEED" w14:textId="6911EF54" w:rsidR="007409A7" w:rsidRPr="007409A7" w:rsidRDefault="007409A7" w:rsidP="00826D67">
      <w:pPr>
        <w:pBdr>
          <w:bottom w:val="single" w:sz="6" w:space="1" w:color="auto"/>
        </w:pBdr>
        <w:rPr>
          <w:b/>
          <w:bCs/>
          <w:sz w:val="22"/>
          <w:szCs w:val="22"/>
        </w:rPr>
      </w:pPr>
    </w:p>
    <w:p w14:paraId="0534616B" w14:textId="77777777" w:rsidR="007409A7" w:rsidRPr="007409A7" w:rsidRDefault="007409A7" w:rsidP="00826D67">
      <w:pPr>
        <w:rPr>
          <w:b/>
          <w:bCs/>
          <w:sz w:val="22"/>
          <w:szCs w:val="22"/>
        </w:rPr>
      </w:pPr>
    </w:p>
    <w:p w14:paraId="04D9A024" w14:textId="7DDF2FEB" w:rsidR="004457AD" w:rsidRPr="007409A7" w:rsidRDefault="004457AD" w:rsidP="00826D67">
      <w:pPr>
        <w:rPr>
          <w:b/>
          <w:bCs/>
          <w:sz w:val="22"/>
          <w:szCs w:val="22"/>
        </w:rPr>
      </w:pPr>
      <w:r w:rsidRPr="007409A7">
        <w:rPr>
          <w:b/>
          <w:bCs/>
          <w:sz w:val="22"/>
          <w:szCs w:val="22"/>
        </w:rPr>
        <w:t>NETHERLANDS</w:t>
      </w:r>
    </w:p>
    <w:p w14:paraId="52B36DDA" w14:textId="53369431" w:rsidR="007409A7" w:rsidRDefault="007409A7" w:rsidP="00E86404">
      <w:pPr>
        <w:jc w:val="both"/>
        <w:rPr>
          <w:color w:val="000000" w:themeColor="text1"/>
          <w:sz w:val="22"/>
          <w:szCs w:val="22"/>
          <w:lang w:val="en-GB"/>
        </w:rPr>
      </w:pPr>
      <w:r w:rsidRPr="00E86404">
        <w:rPr>
          <w:color w:val="000000" w:themeColor="text1"/>
          <w:sz w:val="22"/>
          <w:szCs w:val="22"/>
          <w:shd w:val="clear" w:color="auto" w:fill="FFFFFF"/>
          <w:lang w:val="en-GB"/>
        </w:rPr>
        <w:t xml:space="preserve">The Dutch North Sea Policy aims to ensure that the North Sea will continue to be a clean, healthy and productive sea in the future. The ecosystem is functioning optimally and is resilient, the water is clean and the use of the North Sea is sustainable. In that way, the North Sea offers perspectives for nature and the environment but also for economic activities. </w:t>
      </w:r>
      <w:r w:rsidRPr="00E86404">
        <w:rPr>
          <w:color w:val="000000" w:themeColor="text1"/>
          <w:sz w:val="22"/>
          <w:szCs w:val="22"/>
          <w:lang w:val="en-GB"/>
        </w:rPr>
        <w:t>Using an area-based approach, the Netherlands aims to safeguard the protection of vulnerable ecological species and areas, such as the Natura 2000 areas and the additional protection in the Frisian Front and the Central Oyster Grounds. These measures stem from the obligation arising from the</w:t>
      </w:r>
      <w:r w:rsidR="0095649D">
        <w:rPr>
          <w:color w:val="000000" w:themeColor="text1"/>
          <w:sz w:val="22"/>
          <w:szCs w:val="22"/>
          <w:lang w:val="en-GB"/>
        </w:rPr>
        <w:t xml:space="preserve"> Birds and Habitats Directive</w:t>
      </w:r>
      <w:r w:rsidRPr="00E86404">
        <w:rPr>
          <w:color w:val="000000" w:themeColor="text1"/>
          <w:sz w:val="22"/>
          <w:szCs w:val="22"/>
          <w:lang w:val="en-GB"/>
        </w:rPr>
        <w:t xml:space="preserve">and MSFD to make progress towards achieving a good environmental status of the marine ecosystem and to contribute to a coherent and representative network of protected marine areas by protecting certain ecological/habitat areas in the Dutch part of the North Sea. The fundamental principle is area-based regulation or suppression of certain forms of use that disrupt the natural and biodiversity values to be protected or restored by the MSFD. </w:t>
      </w:r>
    </w:p>
    <w:p w14:paraId="40ED83AE" w14:textId="77777777" w:rsidR="00961DBE" w:rsidRPr="00E86404" w:rsidRDefault="00961DBE" w:rsidP="00E86404">
      <w:pPr>
        <w:jc w:val="both"/>
        <w:rPr>
          <w:color w:val="000000" w:themeColor="text1"/>
          <w:sz w:val="22"/>
          <w:szCs w:val="22"/>
          <w:lang w:val="en-GB"/>
        </w:rPr>
      </w:pPr>
    </w:p>
    <w:p w14:paraId="488A20A8" w14:textId="7F121B29" w:rsidR="007409A7" w:rsidRDefault="00961DBE" w:rsidP="00E86404">
      <w:pPr>
        <w:jc w:val="both"/>
        <w:rPr>
          <w:color w:val="000000" w:themeColor="text1"/>
          <w:sz w:val="22"/>
          <w:szCs w:val="22"/>
          <w:lang w:val="en-US"/>
        </w:rPr>
      </w:pPr>
      <w:r>
        <w:rPr>
          <w:color w:val="000000" w:themeColor="text1"/>
          <w:sz w:val="22"/>
          <w:szCs w:val="22"/>
          <w:lang w:val="en-GB"/>
        </w:rPr>
        <w:t xml:space="preserve">The </w:t>
      </w:r>
      <w:r w:rsidR="007409A7" w:rsidRPr="00E86404">
        <w:rPr>
          <w:color w:val="000000" w:themeColor="text1"/>
          <w:sz w:val="22"/>
          <w:szCs w:val="22"/>
          <w:lang w:val="en-GB"/>
        </w:rPr>
        <w:t>following criteria were used</w:t>
      </w:r>
      <w:r>
        <w:rPr>
          <w:color w:val="000000" w:themeColor="text1"/>
          <w:sz w:val="22"/>
          <w:szCs w:val="22"/>
          <w:lang w:val="en-GB"/>
        </w:rPr>
        <w:t xml:space="preserve"> to identify biological hotspots</w:t>
      </w:r>
      <w:r w:rsidR="007409A7" w:rsidRPr="00E86404">
        <w:rPr>
          <w:color w:val="000000" w:themeColor="text1"/>
          <w:sz w:val="22"/>
          <w:szCs w:val="22"/>
          <w:lang w:val="en-GB"/>
        </w:rPr>
        <w:t xml:space="preserve">: </w:t>
      </w:r>
      <w:r w:rsidR="007409A7" w:rsidRPr="00E86404">
        <w:rPr>
          <w:color w:val="000000" w:themeColor="text1"/>
          <w:sz w:val="22"/>
          <w:szCs w:val="22"/>
          <w:lang w:val="en-US"/>
        </w:rPr>
        <w:t xml:space="preserve">Distribution, Density, Biomass, Resilience, Dependence on the marine environment, Breeding in the Netherlands, Importance of the Dutch Continental Shelf for the species, Trends, Rarity, Large specimens within populations, (Potentially) large species, Species Richness, Species Evenness. </w:t>
      </w:r>
    </w:p>
    <w:p w14:paraId="4DED56EA" w14:textId="77777777" w:rsidR="00961DBE" w:rsidRPr="00E86404" w:rsidRDefault="00961DBE" w:rsidP="00E86404">
      <w:pPr>
        <w:jc w:val="both"/>
        <w:rPr>
          <w:color w:val="000000" w:themeColor="text1"/>
          <w:sz w:val="22"/>
          <w:szCs w:val="22"/>
          <w:lang w:val="en-GB"/>
        </w:rPr>
      </w:pPr>
    </w:p>
    <w:p w14:paraId="7613AC69" w14:textId="77777777" w:rsidR="007409A7" w:rsidRPr="00E86404" w:rsidRDefault="007409A7" w:rsidP="00961DBE">
      <w:pPr>
        <w:tabs>
          <w:tab w:val="center" w:pos="4536"/>
        </w:tabs>
        <w:spacing w:after="120"/>
        <w:jc w:val="both"/>
        <w:rPr>
          <w:color w:val="000000" w:themeColor="text1"/>
          <w:sz w:val="22"/>
          <w:szCs w:val="22"/>
          <w:lang w:val="en-GB"/>
        </w:rPr>
      </w:pPr>
      <w:r w:rsidRPr="00E86404">
        <w:rPr>
          <w:color w:val="000000" w:themeColor="text1"/>
          <w:sz w:val="22"/>
          <w:szCs w:val="22"/>
          <w:lang w:val="en-GB"/>
        </w:rPr>
        <w:t>The sites involved are:</w:t>
      </w:r>
    </w:p>
    <w:p w14:paraId="6BCA411C" w14:textId="0AF6F4B4" w:rsidR="007409A7" w:rsidRPr="00961DBE" w:rsidRDefault="007409A7" w:rsidP="00AB0765">
      <w:pPr>
        <w:pStyle w:val="ListParagraph"/>
        <w:numPr>
          <w:ilvl w:val="0"/>
          <w:numId w:val="15"/>
        </w:numPr>
        <w:spacing w:after="120"/>
        <w:ind w:leftChars="0" w:left="714" w:hanging="357"/>
        <w:rPr>
          <w:color w:val="000000" w:themeColor="text1"/>
          <w:szCs w:val="22"/>
        </w:rPr>
      </w:pPr>
      <w:r w:rsidRPr="00961DBE">
        <w:rPr>
          <w:color w:val="000000" w:themeColor="text1"/>
          <w:szCs w:val="22"/>
        </w:rPr>
        <w:t>The </w:t>
      </w:r>
      <w:r w:rsidRPr="00961DBE">
        <w:rPr>
          <w:rFonts w:eastAsia="Times New Roman"/>
          <w:color w:val="000000" w:themeColor="text1"/>
          <w:szCs w:val="22"/>
        </w:rPr>
        <w:t>Voordelta</w:t>
      </w:r>
      <w:r w:rsidR="0049467B">
        <w:rPr>
          <w:rFonts w:eastAsia="Times New Roman"/>
          <w:color w:val="000000" w:themeColor="text1"/>
          <w:szCs w:val="22"/>
        </w:rPr>
        <w:t>:</w:t>
      </w:r>
      <w:r w:rsidRPr="00961DBE">
        <w:rPr>
          <w:color w:val="000000" w:themeColor="text1"/>
          <w:szCs w:val="22"/>
        </w:rPr>
        <w:t> occupies an area of the North Sea of more than 900 km². This site lies off the islands of South Holland and those of Zeeland. The area extends from the Maasvlakte to the tip of Walcheren Island</w:t>
      </w:r>
    </w:p>
    <w:p w14:paraId="4930D0DF" w14:textId="3F164C99" w:rsidR="007409A7" w:rsidRPr="00961DBE" w:rsidRDefault="007409A7" w:rsidP="00AB0765">
      <w:pPr>
        <w:pStyle w:val="ListParagraph"/>
        <w:numPr>
          <w:ilvl w:val="0"/>
          <w:numId w:val="15"/>
        </w:numPr>
        <w:spacing w:after="120"/>
        <w:ind w:leftChars="0" w:left="714" w:hanging="357"/>
        <w:rPr>
          <w:color w:val="000000" w:themeColor="text1"/>
          <w:szCs w:val="22"/>
        </w:rPr>
      </w:pPr>
      <w:r w:rsidRPr="00961DBE">
        <w:rPr>
          <w:color w:val="000000" w:themeColor="text1"/>
          <w:szCs w:val="22"/>
        </w:rPr>
        <w:t xml:space="preserve">The </w:t>
      </w:r>
      <w:r w:rsidRPr="00961DBE">
        <w:rPr>
          <w:rFonts w:eastAsia="Times New Roman"/>
          <w:color w:val="000000" w:themeColor="text1"/>
          <w:szCs w:val="22"/>
        </w:rPr>
        <w:t>North Sea Coastal Zone</w:t>
      </w:r>
      <w:r w:rsidR="0049467B">
        <w:rPr>
          <w:rFonts w:eastAsia="Times New Roman"/>
          <w:color w:val="000000" w:themeColor="text1"/>
          <w:szCs w:val="22"/>
        </w:rPr>
        <w:t>:</w:t>
      </w:r>
      <w:r w:rsidRPr="00961DBE">
        <w:rPr>
          <w:color w:val="000000" w:themeColor="text1"/>
          <w:szCs w:val="22"/>
        </w:rPr>
        <w:t xml:space="preserve"> consists of ‘sandbanks which are slightly covered by sea water all the time, subtype North Sea Coastal Zone’.</w:t>
      </w:r>
    </w:p>
    <w:p w14:paraId="70C9E508" w14:textId="55854DB1" w:rsidR="007409A7" w:rsidRPr="00961DBE" w:rsidRDefault="007409A7" w:rsidP="00AB0765">
      <w:pPr>
        <w:pStyle w:val="ListParagraph"/>
        <w:numPr>
          <w:ilvl w:val="0"/>
          <w:numId w:val="15"/>
        </w:numPr>
        <w:spacing w:after="120"/>
        <w:ind w:leftChars="0" w:left="714" w:hanging="357"/>
        <w:rPr>
          <w:color w:val="000000" w:themeColor="text1"/>
          <w:szCs w:val="22"/>
        </w:rPr>
      </w:pPr>
      <w:r w:rsidRPr="00961DBE">
        <w:rPr>
          <w:color w:val="000000" w:themeColor="text1"/>
          <w:szCs w:val="22"/>
        </w:rPr>
        <w:t>The </w:t>
      </w:r>
      <w:r w:rsidRPr="00961DBE">
        <w:rPr>
          <w:rFonts w:eastAsia="Times New Roman"/>
          <w:color w:val="000000" w:themeColor="text1"/>
          <w:szCs w:val="22"/>
        </w:rPr>
        <w:t>Vlakte van de Raan</w:t>
      </w:r>
      <w:r w:rsidR="0049467B">
        <w:rPr>
          <w:rFonts w:eastAsia="Times New Roman"/>
          <w:color w:val="000000" w:themeColor="text1"/>
          <w:szCs w:val="22"/>
        </w:rPr>
        <w:t>:</w:t>
      </w:r>
      <w:r w:rsidRPr="00961DBE">
        <w:rPr>
          <w:color w:val="000000" w:themeColor="text1"/>
          <w:szCs w:val="22"/>
        </w:rPr>
        <w:t> is a Habitat Directive site or SAC of approx. 190 km2 that consists of ‘sandbanks which are slightly covered by sea water all the time, subtype North Sea Coastal Zone’.</w:t>
      </w:r>
    </w:p>
    <w:p w14:paraId="0C6464F0" w14:textId="6FDFF6B0" w:rsidR="007409A7" w:rsidRPr="00961DBE" w:rsidRDefault="007409A7" w:rsidP="00AB0765">
      <w:pPr>
        <w:pStyle w:val="ListParagraph"/>
        <w:numPr>
          <w:ilvl w:val="0"/>
          <w:numId w:val="15"/>
        </w:numPr>
        <w:spacing w:after="120"/>
        <w:ind w:leftChars="0" w:left="714" w:hanging="357"/>
        <w:rPr>
          <w:color w:val="000000" w:themeColor="text1"/>
          <w:szCs w:val="22"/>
        </w:rPr>
      </w:pPr>
      <w:r w:rsidRPr="00961DBE">
        <w:rPr>
          <w:color w:val="000000" w:themeColor="text1"/>
          <w:szCs w:val="22"/>
        </w:rPr>
        <w:t>The</w:t>
      </w:r>
      <w:r w:rsidRPr="00961DBE">
        <w:rPr>
          <w:rFonts w:eastAsia="Times New Roman"/>
          <w:color w:val="000000" w:themeColor="text1"/>
          <w:szCs w:val="22"/>
        </w:rPr>
        <w:t> Dogger Bank</w:t>
      </w:r>
      <w:r w:rsidR="0049467B">
        <w:rPr>
          <w:rFonts w:eastAsia="Times New Roman"/>
          <w:color w:val="000000" w:themeColor="text1"/>
          <w:szCs w:val="22"/>
        </w:rPr>
        <w:t>:</w:t>
      </w:r>
      <w:r w:rsidRPr="00961DBE">
        <w:rPr>
          <w:color w:val="000000" w:themeColor="text1"/>
          <w:szCs w:val="22"/>
        </w:rPr>
        <w:t xml:space="preserve"> a shallow area that extends across the UK, Dutch, German and Danish sectors of the North Sea.</w:t>
      </w:r>
    </w:p>
    <w:p w14:paraId="0280F693" w14:textId="7E07A470" w:rsidR="007409A7" w:rsidRPr="00961DBE" w:rsidRDefault="007409A7" w:rsidP="00AB0765">
      <w:pPr>
        <w:pStyle w:val="ListParagraph"/>
        <w:numPr>
          <w:ilvl w:val="0"/>
          <w:numId w:val="15"/>
        </w:numPr>
        <w:spacing w:after="120"/>
        <w:ind w:leftChars="0" w:left="714" w:hanging="357"/>
        <w:rPr>
          <w:color w:val="000000" w:themeColor="text1"/>
          <w:szCs w:val="22"/>
        </w:rPr>
      </w:pPr>
      <w:r w:rsidRPr="00961DBE">
        <w:rPr>
          <w:color w:val="000000" w:themeColor="text1"/>
          <w:szCs w:val="22"/>
        </w:rPr>
        <w:lastRenderedPageBreak/>
        <w:t>The </w:t>
      </w:r>
      <w:r w:rsidRPr="00961DBE">
        <w:rPr>
          <w:rFonts w:eastAsia="Times New Roman"/>
          <w:color w:val="000000" w:themeColor="text1"/>
          <w:szCs w:val="22"/>
        </w:rPr>
        <w:t>Cleaver Bank</w:t>
      </w:r>
      <w:r w:rsidR="0049467B">
        <w:rPr>
          <w:rFonts w:eastAsia="Times New Roman"/>
          <w:color w:val="000000" w:themeColor="text1"/>
          <w:szCs w:val="22"/>
        </w:rPr>
        <w:t>:</w:t>
      </w:r>
      <w:r w:rsidRPr="00961DBE">
        <w:rPr>
          <w:color w:val="000000" w:themeColor="text1"/>
          <w:szCs w:val="22"/>
        </w:rPr>
        <w:t xml:space="preserve"> a Habitat Directive site or SAC in the category of ‘Open-sea reefs’. It is a marine site of approx. 1,235 km² that lies some 160 km to the north-west of Den Helder.</w:t>
      </w:r>
    </w:p>
    <w:p w14:paraId="28801F66" w14:textId="6961799D" w:rsidR="007409A7" w:rsidRPr="00961DBE" w:rsidRDefault="007409A7" w:rsidP="00AB0765">
      <w:pPr>
        <w:pStyle w:val="ListParagraph"/>
        <w:numPr>
          <w:ilvl w:val="0"/>
          <w:numId w:val="15"/>
        </w:numPr>
        <w:ind w:leftChars="0" w:left="714" w:hanging="357"/>
        <w:rPr>
          <w:color w:val="000000" w:themeColor="text1"/>
          <w:szCs w:val="22"/>
        </w:rPr>
      </w:pPr>
      <w:r w:rsidRPr="00961DBE">
        <w:rPr>
          <w:color w:val="000000" w:themeColor="text1"/>
          <w:szCs w:val="22"/>
        </w:rPr>
        <w:t>The </w:t>
      </w:r>
      <w:r w:rsidRPr="00961DBE">
        <w:rPr>
          <w:rFonts w:eastAsia="Times New Roman"/>
          <w:color w:val="000000" w:themeColor="text1"/>
          <w:szCs w:val="22"/>
        </w:rPr>
        <w:t>Frisian Front</w:t>
      </w:r>
      <w:r w:rsidR="0049467B">
        <w:rPr>
          <w:rFonts w:eastAsia="Times New Roman"/>
          <w:color w:val="000000" w:themeColor="text1"/>
          <w:szCs w:val="22"/>
        </w:rPr>
        <w:t>:</w:t>
      </w:r>
      <w:r w:rsidRPr="00961DBE">
        <w:rPr>
          <w:color w:val="000000" w:themeColor="text1"/>
          <w:szCs w:val="22"/>
        </w:rPr>
        <w:t> lies roughly 75 km to the north of Den Helder and occupies a marine site of approx. 2,880 km</w:t>
      </w:r>
      <w:r w:rsidRPr="00846AD1">
        <w:rPr>
          <w:color w:val="000000" w:themeColor="text1"/>
          <w:szCs w:val="22"/>
          <w:vertAlign w:val="superscript"/>
        </w:rPr>
        <w:t>2</w:t>
      </w:r>
      <w:r w:rsidRPr="00961DBE">
        <w:rPr>
          <w:color w:val="000000" w:themeColor="text1"/>
          <w:szCs w:val="22"/>
        </w:rPr>
        <w:t>. It is a Birds Directive site or SPA.</w:t>
      </w:r>
    </w:p>
    <w:p w14:paraId="0A9A2462" w14:textId="77777777" w:rsidR="00961DBE" w:rsidRDefault="00961DBE" w:rsidP="00E86404">
      <w:pPr>
        <w:jc w:val="both"/>
        <w:rPr>
          <w:color w:val="000000" w:themeColor="text1"/>
          <w:sz w:val="22"/>
          <w:szCs w:val="22"/>
          <w:shd w:val="clear" w:color="auto" w:fill="FFFFFF"/>
          <w:lang w:val="en-GB"/>
        </w:rPr>
      </w:pPr>
    </w:p>
    <w:p w14:paraId="56415629" w14:textId="51CD8AB7" w:rsidR="007409A7" w:rsidRPr="00E86404" w:rsidRDefault="007409A7" w:rsidP="00E86404">
      <w:pPr>
        <w:jc w:val="both"/>
        <w:rPr>
          <w:color w:val="000000" w:themeColor="text1"/>
          <w:sz w:val="22"/>
          <w:szCs w:val="22"/>
          <w:shd w:val="clear" w:color="auto" w:fill="FFFFFF"/>
          <w:lang w:val="en-GB"/>
        </w:rPr>
      </w:pPr>
      <w:r w:rsidRPr="00E86404">
        <w:rPr>
          <w:color w:val="000000" w:themeColor="text1"/>
          <w:sz w:val="22"/>
          <w:szCs w:val="22"/>
          <w:shd w:val="clear" w:color="auto" w:fill="FFFFFF"/>
          <w:lang w:val="en-GB"/>
        </w:rPr>
        <w:t xml:space="preserve">Parts of the Central Oyster Grounds and Frisian Front have been designated as special areas for introducing measures for protection of the sea floor ecosystems in the framework of the </w:t>
      </w:r>
      <w:r w:rsidR="0049467B">
        <w:rPr>
          <w:color w:val="000000" w:themeColor="text1"/>
          <w:sz w:val="22"/>
          <w:szCs w:val="22"/>
          <w:shd w:val="clear" w:color="auto" w:fill="FFFFFF"/>
          <w:lang w:val="en-GB"/>
        </w:rPr>
        <w:t>MSFD</w:t>
      </w:r>
      <w:r w:rsidRPr="00E86404">
        <w:rPr>
          <w:color w:val="000000" w:themeColor="text1"/>
          <w:sz w:val="22"/>
          <w:szCs w:val="22"/>
          <w:shd w:val="clear" w:color="auto" w:fill="FFFFFF"/>
          <w:lang w:val="en-GB"/>
        </w:rPr>
        <w:t>.</w:t>
      </w:r>
    </w:p>
    <w:p w14:paraId="23934607" w14:textId="77777777" w:rsidR="007409A7" w:rsidRPr="00E86404" w:rsidRDefault="007409A7" w:rsidP="00E86404">
      <w:pPr>
        <w:jc w:val="both"/>
        <w:rPr>
          <w:color w:val="000000" w:themeColor="text1"/>
          <w:sz w:val="22"/>
          <w:szCs w:val="22"/>
          <w:lang w:val="en-GB"/>
        </w:rPr>
      </w:pPr>
    </w:p>
    <w:p w14:paraId="7D56162E" w14:textId="06789491" w:rsidR="007409A7" w:rsidRPr="00E86404" w:rsidRDefault="007409A7" w:rsidP="00E86404">
      <w:pPr>
        <w:jc w:val="both"/>
        <w:rPr>
          <w:b/>
          <w:bCs/>
          <w:color w:val="000000" w:themeColor="text1"/>
          <w:sz w:val="22"/>
          <w:szCs w:val="22"/>
        </w:rPr>
      </w:pPr>
      <w:r w:rsidRPr="00E86404">
        <w:rPr>
          <w:color w:val="000000" w:themeColor="text1"/>
          <w:sz w:val="22"/>
          <w:szCs w:val="22"/>
          <w:lang w:val="en-GB"/>
        </w:rPr>
        <w:t xml:space="preserve">Additionally, the Conservation plan for the </w:t>
      </w:r>
      <w:r w:rsidR="0049467B">
        <w:rPr>
          <w:color w:val="000000" w:themeColor="text1"/>
          <w:sz w:val="22"/>
          <w:szCs w:val="22"/>
          <w:lang w:val="en-GB"/>
        </w:rPr>
        <w:t>h</w:t>
      </w:r>
      <w:r w:rsidRPr="00E86404">
        <w:rPr>
          <w:color w:val="000000" w:themeColor="text1"/>
          <w:sz w:val="22"/>
          <w:szCs w:val="22"/>
          <w:lang w:val="en-GB"/>
        </w:rPr>
        <w:t xml:space="preserve">arbour </w:t>
      </w:r>
      <w:r w:rsidR="0049467B">
        <w:rPr>
          <w:color w:val="000000" w:themeColor="text1"/>
          <w:sz w:val="22"/>
          <w:szCs w:val="22"/>
          <w:lang w:val="en-GB"/>
        </w:rPr>
        <w:t>p</w:t>
      </w:r>
      <w:r w:rsidRPr="00E86404">
        <w:rPr>
          <w:color w:val="000000" w:themeColor="text1"/>
          <w:sz w:val="22"/>
          <w:szCs w:val="22"/>
          <w:lang w:val="en-GB"/>
        </w:rPr>
        <w:t>orpoise (</w:t>
      </w:r>
      <w:r w:rsidRPr="00846AD1">
        <w:rPr>
          <w:i/>
          <w:color w:val="000000" w:themeColor="text1"/>
          <w:sz w:val="22"/>
          <w:szCs w:val="22"/>
          <w:lang w:val="en-GB"/>
        </w:rPr>
        <w:t>Phocoena phocoena</w:t>
      </w:r>
      <w:r w:rsidRPr="00E86404">
        <w:rPr>
          <w:color w:val="000000" w:themeColor="text1"/>
          <w:sz w:val="22"/>
          <w:szCs w:val="22"/>
          <w:lang w:val="en-GB"/>
        </w:rPr>
        <w:t>) of the Netherlands is an additional protection plan due to the highly migratory charac</w:t>
      </w:r>
      <w:r w:rsidR="00961DBE">
        <w:rPr>
          <w:color w:val="000000" w:themeColor="text1"/>
          <w:sz w:val="22"/>
          <w:szCs w:val="22"/>
          <w:lang w:val="en-GB"/>
        </w:rPr>
        <w:t>ter</w:t>
      </w:r>
      <w:r w:rsidRPr="00E86404">
        <w:rPr>
          <w:color w:val="000000" w:themeColor="text1"/>
          <w:sz w:val="22"/>
          <w:szCs w:val="22"/>
          <w:lang w:val="en-GB"/>
        </w:rPr>
        <w:t xml:space="preserve"> of the </w:t>
      </w:r>
      <w:r w:rsidR="0049467B">
        <w:rPr>
          <w:color w:val="000000" w:themeColor="text1"/>
          <w:sz w:val="22"/>
          <w:szCs w:val="22"/>
          <w:lang w:val="en-GB"/>
        </w:rPr>
        <w:t>species</w:t>
      </w:r>
      <w:r w:rsidRPr="00E86404">
        <w:rPr>
          <w:color w:val="000000" w:themeColor="text1"/>
          <w:sz w:val="22"/>
          <w:szCs w:val="22"/>
          <w:lang w:val="en-GB"/>
        </w:rPr>
        <w:t xml:space="preserve">. This species protection plan contributes </w:t>
      </w:r>
      <w:r w:rsidR="0049467B">
        <w:rPr>
          <w:color w:val="000000" w:themeColor="text1"/>
          <w:sz w:val="22"/>
          <w:szCs w:val="22"/>
          <w:lang w:val="en-GB"/>
        </w:rPr>
        <w:t>to</w:t>
      </w:r>
      <w:r w:rsidRPr="00E86404">
        <w:rPr>
          <w:color w:val="000000" w:themeColor="text1"/>
          <w:sz w:val="22"/>
          <w:szCs w:val="22"/>
          <w:lang w:val="en-GB"/>
        </w:rPr>
        <w:t xml:space="preserve"> meeting the obligations under the Habitat Directive for the </w:t>
      </w:r>
      <w:r w:rsidR="0049467B">
        <w:rPr>
          <w:color w:val="000000" w:themeColor="text1"/>
          <w:sz w:val="22"/>
          <w:szCs w:val="22"/>
          <w:lang w:val="en-GB"/>
        </w:rPr>
        <w:t>h</w:t>
      </w:r>
      <w:r w:rsidRPr="00E86404">
        <w:rPr>
          <w:color w:val="000000" w:themeColor="text1"/>
          <w:sz w:val="22"/>
          <w:szCs w:val="22"/>
          <w:lang w:val="en-GB"/>
        </w:rPr>
        <w:t xml:space="preserve">arbour </w:t>
      </w:r>
      <w:r w:rsidR="0049467B">
        <w:rPr>
          <w:color w:val="000000" w:themeColor="text1"/>
          <w:sz w:val="22"/>
          <w:szCs w:val="22"/>
          <w:lang w:val="en-GB"/>
        </w:rPr>
        <w:t>p</w:t>
      </w:r>
      <w:r w:rsidRPr="00E86404">
        <w:rPr>
          <w:color w:val="000000" w:themeColor="text1"/>
          <w:sz w:val="22"/>
          <w:szCs w:val="22"/>
          <w:lang w:val="en-GB"/>
        </w:rPr>
        <w:t>orpoise.</w:t>
      </w:r>
    </w:p>
    <w:p w14:paraId="4605CBEB" w14:textId="2E1B7693" w:rsidR="007409A7" w:rsidRPr="007409A7" w:rsidRDefault="007409A7" w:rsidP="00826D67">
      <w:pPr>
        <w:pBdr>
          <w:bottom w:val="single" w:sz="6" w:space="1" w:color="auto"/>
        </w:pBdr>
        <w:rPr>
          <w:b/>
          <w:bCs/>
          <w:sz w:val="22"/>
          <w:szCs w:val="22"/>
        </w:rPr>
      </w:pPr>
    </w:p>
    <w:p w14:paraId="2758FE2E" w14:textId="77777777" w:rsidR="007409A7" w:rsidRPr="007409A7" w:rsidRDefault="007409A7" w:rsidP="00826D67">
      <w:pPr>
        <w:rPr>
          <w:b/>
          <w:bCs/>
          <w:sz w:val="22"/>
          <w:szCs w:val="22"/>
        </w:rPr>
      </w:pPr>
    </w:p>
    <w:p w14:paraId="320E3074" w14:textId="232853F6" w:rsidR="004457AD" w:rsidRPr="007409A7" w:rsidRDefault="004457AD" w:rsidP="00826D67">
      <w:pPr>
        <w:rPr>
          <w:b/>
          <w:bCs/>
          <w:sz w:val="22"/>
          <w:szCs w:val="22"/>
        </w:rPr>
      </w:pPr>
      <w:r w:rsidRPr="007409A7">
        <w:rPr>
          <w:b/>
          <w:bCs/>
          <w:sz w:val="22"/>
          <w:szCs w:val="22"/>
        </w:rPr>
        <w:t>NORWAY</w:t>
      </w:r>
    </w:p>
    <w:p w14:paraId="76EAC94B" w14:textId="5AE8421C" w:rsidR="007409A7" w:rsidRDefault="007409A7" w:rsidP="00961DBE">
      <w:pPr>
        <w:jc w:val="both"/>
        <w:rPr>
          <w:sz w:val="22"/>
          <w:szCs w:val="22"/>
        </w:rPr>
      </w:pPr>
      <w:r w:rsidRPr="007409A7">
        <w:rPr>
          <w:sz w:val="22"/>
          <w:szCs w:val="22"/>
        </w:rPr>
        <w:t>The Johannesburg declaration of 2002 calls for Ecosystem Approach (EA) to management of all marine ecosystems by 2010. As a result, the management plan for the Barents Sea-Lofoten area was first announced in the white paper Protecting the Riches of the Sea (St.meld. nr. 12 (2001-2002)). The white paper states that an ecosystem approach to management of marine sea areas should provide a framework for sustainable use of natural resources and goods derived from the area that at the same time maintain</w:t>
      </w:r>
      <w:r w:rsidR="004E0246">
        <w:rPr>
          <w:sz w:val="22"/>
          <w:szCs w:val="22"/>
        </w:rPr>
        <w:t>s</w:t>
      </w:r>
      <w:r w:rsidRPr="007409A7">
        <w:rPr>
          <w:sz w:val="22"/>
          <w:szCs w:val="22"/>
        </w:rPr>
        <w:t xml:space="preserve"> the structure, functioning and productivity of the ecosystems of the area. Since then, Norway has established management plans as the basis for integrated ecosystem approach to management of all Norwegian Sea areas (Barents Sea 2006, Norwegian Sea 2009, North Sea/Skagerrak 2013). Furthermore, Norway has signed several international conventions and agreements and participates in international processes that also provide guidance on the design of the Norwegian marine management plans. These plans represent a strictly knowledge-based management regime. The plans are updated every four years and revised (more extensive process) every </w:t>
      </w:r>
      <w:r w:rsidR="004E0246">
        <w:rPr>
          <w:sz w:val="22"/>
          <w:szCs w:val="22"/>
        </w:rPr>
        <w:t>12</w:t>
      </w:r>
      <w:r w:rsidRPr="007409A7">
        <w:rPr>
          <w:sz w:val="22"/>
          <w:szCs w:val="22"/>
        </w:rPr>
        <w:t xml:space="preserve"> years to take into account new knowledge and changes in the ecosystem or human activities.</w:t>
      </w:r>
    </w:p>
    <w:p w14:paraId="758405DB" w14:textId="77777777" w:rsidR="00961DBE" w:rsidRPr="007409A7" w:rsidRDefault="00961DBE" w:rsidP="00961DBE">
      <w:pPr>
        <w:jc w:val="both"/>
        <w:rPr>
          <w:sz w:val="22"/>
          <w:szCs w:val="22"/>
        </w:rPr>
      </w:pPr>
    </w:p>
    <w:p w14:paraId="283931AB" w14:textId="77777777" w:rsidR="007409A7" w:rsidRPr="007409A7" w:rsidRDefault="007409A7" w:rsidP="00961DBE">
      <w:pPr>
        <w:spacing w:after="120"/>
        <w:jc w:val="both"/>
        <w:rPr>
          <w:sz w:val="22"/>
          <w:szCs w:val="22"/>
        </w:rPr>
      </w:pPr>
      <w:r w:rsidRPr="007409A7">
        <w:rPr>
          <w:sz w:val="22"/>
          <w:szCs w:val="22"/>
        </w:rPr>
        <w:t>In the management plans several areas are identified as particularly valuable areas. The EBSA criteria and some additional criteria were used for selecting these areas. Some of the most important ones were:</w:t>
      </w:r>
    </w:p>
    <w:p w14:paraId="3533247E" w14:textId="77777777" w:rsidR="007409A7" w:rsidRPr="007409A7" w:rsidRDefault="007409A7" w:rsidP="00AB0765">
      <w:pPr>
        <w:numPr>
          <w:ilvl w:val="0"/>
          <w:numId w:val="16"/>
        </w:numPr>
        <w:spacing w:after="120"/>
        <w:jc w:val="both"/>
        <w:rPr>
          <w:sz w:val="22"/>
          <w:szCs w:val="22"/>
        </w:rPr>
      </w:pPr>
      <w:r w:rsidRPr="007409A7">
        <w:rPr>
          <w:sz w:val="22"/>
          <w:szCs w:val="22"/>
        </w:rPr>
        <w:t>Oceanographically/topographically special areas (e.g., fronts, strong currents, fjords);</w:t>
      </w:r>
    </w:p>
    <w:p w14:paraId="060BD888" w14:textId="77777777" w:rsidR="007409A7" w:rsidRPr="007409A7" w:rsidRDefault="007409A7" w:rsidP="00AB0765">
      <w:pPr>
        <w:numPr>
          <w:ilvl w:val="0"/>
          <w:numId w:val="16"/>
        </w:numPr>
        <w:spacing w:after="120"/>
        <w:jc w:val="both"/>
        <w:rPr>
          <w:sz w:val="22"/>
          <w:szCs w:val="22"/>
        </w:rPr>
      </w:pPr>
      <w:r w:rsidRPr="007409A7">
        <w:rPr>
          <w:sz w:val="22"/>
          <w:szCs w:val="22"/>
        </w:rPr>
        <w:t>Important areas for life history (e.g., spawning/birthing/breeding grounds, drifting paths/migrating routes, feeding grounds, wintering grounds, moulting areas);</w:t>
      </w:r>
    </w:p>
    <w:p w14:paraId="0F7E9C52" w14:textId="77777777" w:rsidR="007409A7" w:rsidRPr="007409A7" w:rsidRDefault="007409A7" w:rsidP="00AB0765">
      <w:pPr>
        <w:numPr>
          <w:ilvl w:val="0"/>
          <w:numId w:val="16"/>
        </w:numPr>
        <w:ind w:left="714" w:hanging="357"/>
        <w:jc w:val="both"/>
        <w:rPr>
          <w:sz w:val="22"/>
          <w:szCs w:val="22"/>
        </w:rPr>
      </w:pPr>
      <w:r w:rsidRPr="007409A7">
        <w:rPr>
          <w:sz w:val="22"/>
          <w:szCs w:val="22"/>
        </w:rPr>
        <w:t>Other criteria (key areas for endangered or vulnerable species or species for which Norway has a special responsibility or habitats for internationally or nationally endangered or vulnerable populations of certain species all year round or at specific times of the year).</w:t>
      </w:r>
    </w:p>
    <w:p w14:paraId="42706AE4" w14:textId="77777777" w:rsidR="00961DBE" w:rsidRDefault="00961DBE" w:rsidP="00961DBE">
      <w:pPr>
        <w:jc w:val="both"/>
        <w:rPr>
          <w:sz w:val="22"/>
          <w:szCs w:val="22"/>
        </w:rPr>
      </w:pPr>
    </w:p>
    <w:p w14:paraId="073FB123" w14:textId="09A96410" w:rsidR="007409A7" w:rsidRDefault="007409A7" w:rsidP="00961DBE">
      <w:pPr>
        <w:jc w:val="both"/>
        <w:rPr>
          <w:sz w:val="22"/>
          <w:szCs w:val="22"/>
        </w:rPr>
      </w:pPr>
      <w:r w:rsidRPr="007409A7">
        <w:rPr>
          <w:sz w:val="22"/>
          <w:szCs w:val="22"/>
        </w:rPr>
        <w:t>Vulnerability was then assessed with respect to specific environmental pressures such as oil pollution, fluctuation in food supply and physical impact within the plan area. When assessing vulnerability, the type of impact, duration and possible effects need to be considered. Differentiating between natural and human-induced pressures on the environment can be difficult. Furthermore, an area is usually not equally vulnerable all year round, and all species in an area will not be equally vulnerable to a specific environmental pressure. Negative pressures in these areas will in some cases affect a large proportion of a population or a large proportion of the ecosystem and might persist for many years.</w:t>
      </w:r>
    </w:p>
    <w:p w14:paraId="3D1FDC2E" w14:textId="77777777" w:rsidR="00961DBE" w:rsidRPr="007409A7" w:rsidRDefault="00961DBE" w:rsidP="00961DBE">
      <w:pPr>
        <w:jc w:val="both"/>
        <w:rPr>
          <w:sz w:val="22"/>
          <w:szCs w:val="22"/>
        </w:rPr>
      </w:pPr>
    </w:p>
    <w:p w14:paraId="317B39CC" w14:textId="1B3D184C" w:rsidR="007409A7" w:rsidRDefault="007409A7" w:rsidP="00961DBE">
      <w:pPr>
        <w:jc w:val="both"/>
        <w:rPr>
          <w:sz w:val="22"/>
          <w:szCs w:val="22"/>
        </w:rPr>
      </w:pPr>
      <w:r w:rsidRPr="007409A7">
        <w:rPr>
          <w:sz w:val="22"/>
          <w:szCs w:val="22"/>
        </w:rPr>
        <w:t>Furthermore, the marine part of seven national parks and four nature reserves in Svalbard and Jan Mayen are OSPAR Marine Protected Areas. The aim of designating these areas as OSPAR MPAs reflects that of the national regulation and aims to protect and conserve several species and habitats on the OSPAR list in a part of the OSPAR maritime area not presently covered by existing OSPAR MPAs. Five smaller areas along the Norwegian coast are also OSPAR MPA</w:t>
      </w:r>
      <w:r w:rsidR="00961DBE">
        <w:rPr>
          <w:sz w:val="22"/>
          <w:szCs w:val="22"/>
        </w:rPr>
        <w:t>s</w:t>
      </w:r>
      <w:r w:rsidRPr="007409A7">
        <w:rPr>
          <w:sz w:val="22"/>
          <w:szCs w:val="22"/>
        </w:rPr>
        <w:t>.</w:t>
      </w:r>
    </w:p>
    <w:p w14:paraId="04E96C4E" w14:textId="77777777" w:rsidR="00961DBE" w:rsidRPr="007409A7" w:rsidRDefault="00961DBE" w:rsidP="00961DBE">
      <w:pPr>
        <w:jc w:val="both"/>
        <w:rPr>
          <w:sz w:val="22"/>
          <w:szCs w:val="22"/>
        </w:rPr>
      </w:pPr>
    </w:p>
    <w:p w14:paraId="5D29D151" w14:textId="11D9D336" w:rsidR="004457AD" w:rsidRPr="00961DBE" w:rsidRDefault="007409A7" w:rsidP="00961DBE">
      <w:pPr>
        <w:jc w:val="both"/>
        <w:rPr>
          <w:sz w:val="22"/>
          <w:szCs w:val="22"/>
        </w:rPr>
      </w:pPr>
      <w:r w:rsidRPr="007409A7">
        <w:rPr>
          <w:sz w:val="22"/>
          <w:szCs w:val="22"/>
        </w:rPr>
        <w:t xml:space="preserve">In addition, a network of smaller MPAs will be established along the coast of Norway, in order to maintain biodiversity and keep certain areas </w:t>
      </w:r>
      <w:r w:rsidR="004E0246">
        <w:rPr>
          <w:sz w:val="22"/>
          <w:szCs w:val="22"/>
        </w:rPr>
        <w:t xml:space="preserve">relatively </w:t>
      </w:r>
      <w:r w:rsidRPr="007409A7">
        <w:rPr>
          <w:sz w:val="22"/>
          <w:szCs w:val="22"/>
        </w:rPr>
        <w:t>undisturbed to facilitate research and monitoring. A plan for MPAs has been drawn up. The selection of all areas has not yet been finalized, but some are already established MPAs.</w:t>
      </w:r>
    </w:p>
    <w:p w14:paraId="301198B0" w14:textId="77777777" w:rsidR="007409A7" w:rsidRPr="007409A7" w:rsidRDefault="007409A7" w:rsidP="00826D67">
      <w:pPr>
        <w:pBdr>
          <w:bottom w:val="single" w:sz="6" w:space="1" w:color="auto"/>
        </w:pBdr>
        <w:rPr>
          <w:b/>
          <w:bCs/>
          <w:sz w:val="22"/>
          <w:szCs w:val="22"/>
        </w:rPr>
      </w:pPr>
    </w:p>
    <w:p w14:paraId="67EB586A" w14:textId="77777777" w:rsidR="00E72478" w:rsidRPr="007409A7" w:rsidRDefault="00E72478" w:rsidP="00826D67">
      <w:pPr>
        <w:rPr>
          <w:b/>
          <w:bCs/>
          <w:sz w:val="22"/>
          <w:szCs w:val="22"/>
        </w:rPr>
      </w:pPr>
    </w:p>
    <w:p w14:paraId="253C814F" w14:textId="05BECF4A" w:rsidR="004457AD" w:rsidRPr="00961DBE" w:rsidRDefault="004457AD" w:rsidP="00826D67">
      <w:pPr>
        <w:rPr>
          <w:b/>
          <w:bCs/>
          <w:sz w:val="22"/>
          <w:szCs w:val="22"/>
        </w:rPr>
      </w:pPr>
      <w:r w:rsidRPr="00961DBE">
        <w:rPr>
          <w:b/>
          <w:bCs/>
          <w:sz w:val="22"/>
          <w:szCs w:val="22"/>
        </w:rPr>
        <w:t>RUSSIAN FEDERATION</w:t>
      </w:r>
    </w:p>
    <w:p w14:paraId="228E344F" w14:textId="61043BD1" w:rsidR="00961DBE" w:rsidRDefault="00FC49EF" w:rsidP="00961DBE">
      <w:pPr>
        <w:spacing w:after="120"/>
        <w:jc w:val="both"/>
        <w:rPr>
          <w:sz w:val="22"/>
          <w:szCs w:val="22"/>
        </w:rPr>
      </w:pPr>
      <w:r>
        <w:rPr>
          <w:sz w:val="22"/>
          <w:szCs w:val="22"/>
        </w:rPr>
        <w:t>With the participation of experts from the Russian Federation, f</w:t>
      </w:r>
      <w:r w:rsidR="00961DBE">
        <w:rPr>
          <w:sz w:val="22"/>
          <w:szCs w:val="22"/>
        </w:rPr>
        <w:t>eatures</w:t>
      </w:r>
      <w:r w:rsidR="00961DBE" w:rsidRPr="00961DBE">
        <w:rPr>
          <w:sz w:val="22"/>
          <w:szCs w:val="22"/>
        </w:rPr>
        <w:t xml:space="preserve"> in </w:t>
      </w:r>
      <w:r w:rsidR="004E0246">
        <w:rPr>
          <w:sz w:val="22"/>
          <w:szCs w:val="22"/>
        </w:rPr>
        <w:t>its</w:t>
      </w:r>
      <w:r w:rsidR="00961DBE" w:rsidRPr="00961DBE">
        <w:rPr>
          <w:sz w:val="22"/>
          <w:szCs w:val="22"/>
        </w:rPr>
        <w:t xml:space="preserve"> </w:t>
      </w:r>
      <w:r w:rsidR="00472E01">
        <w:rPr>
          <w:sz w:val="22"/>
          <w:szCs w:val="22"/>
        </w:rPr>
        <w:t>EEZ</w:t>
      </w:r>
      <w:r w:rsidR="00472E01" w:rsidRPr="00961DBE">
        <w:rPr>
          <w:sz w:val="22"/>
          <w:szCs w:val="22"/>
        </w:rPr>
        <w:t xml:space="preserve"> </w:t>
      </w:r>
      <w:r w:rsidR="00961DBE" w:rsidRPr="00961DBE">
        <w:rPr>
          <w:sz w:val="22"/>
          <w:szCs w:val="22"/>
        </w:rPr>
        <w:t xml:space="preserve">were </w:t>
      </w:r>
      <w:r w:rsidR="003C0FBA">
        <w:rPr>
          <w:sz w:val="22"/>
          <w:szCs w:val="22"/>
        </w:rPr>
        <w:t xml:space="preserve">previously </w:t>
      </w:r>
      <w:r w:rsidR="00961DBE" w:rsidRPr="00961DBE">
        <w:rPr>
          <w:sz w:val="22"/>
          <w:szCs w:val="22"/>
        </w:rPr>
        <w:t>considered</w:t>
      </w:r>
      <w:r>
        <w:rPr>
          <w:sz w:val="22"/>
          <w:szCs w:val="22"/>
        </w:rPr>
        <w:t xml:space="preserve"> and described as meeting the EBSA criteria</w:t>
      </w:r>
      <w:r w:rsidR="00961DBE" w:rsidRPr="00961DBE">
        <w:rPr>
          <w:sz w:val="22"/>
          <w:szCs w:val="22"/>
        </w:rPr>
        <w:t xml:space="preserve"> in the CBD regional EBSA workshop</w:t>
      </w:r>
      <w:r>
        <w:rPr>
          <w:sz w:val="22"/>
          <w:szCs w:val="22"/>
        </w:rPr>
        <w:t>s</w:t>
      </w:r>
      <w:r w:rsidR="00961DBE" w:rsidRPr="00961DBE">
        <w:rPr>
          <w:sz w:val="22"/>
          <w:szCs w:val="22"/>
        </w:rPr>
        <w:t xml:space="preserve"> for the</w:t>
      </w:r>
      <w:r w:rsidR="003C0FBA">
        <w:rPr>
          <w:sz w:val="22"/>
          <w:szCs w:val="22"/>
        </w:rPr>
        <w:t xml:space="preserve"> </w:t>
      </w:r>
      <w:r>
        <w:rPr>
          <w:sz w:val="22"/>
          <w:szCs w:val="22"/>
        </w:rPr>
        <w:t xml:space="preserve">(i) </w:t>
      </w:r>
      <w:r w:rsidR="003C0FBA">
        <w:rPr>
          <w:sz w:val="22"/>
          <w:szCs w:val="22"/>
        </w:rPr>
        <w:t>North Pacific</w:t>
      </w:r>
      <w:r>
        <w:rPr>
          <w:sz w:val="22"/>
          <w:szCs w:val="22"/>
        </w:rPr>
        <w:t xml:space="preserve">, (ii) </w:t>
      </w:r>
      <w:r w:rsidR="00961DBE" w:rsidRPr="00961DBE">
        <w:rPr>
          <w:sz w:val="22"/>
          <w:szCs w:val="22"/>
        </w:rPr>
        <w:t>Arctic,</w:t>
      </w:r>
      <w:r>
        <w:rPr>
          <w:sz w:val="22"/>
          <w:szCs w:val="22"/>
        </w:rPr>
        <w:t xml:space="preserve"> and (iii) Black Sea and Caspian Sea,</w:t>
      </w:r>
      <w:r w:rsidR="00961DBE" w:rsidRPr="00961DBE">
        <w:rPr>
          <w:sz w:val="22"/>
          <w:szCs w:val="22"/>
        </w:rPr>
        <w:t xml:space="preserve"> including</w:t>
      </w:r>
      <w:r>
        <w:rPr>
          <w:sz w:val="22"/>
          <w:szCs w:val="22"/>
        </w:rPr>
        <w:t xml:space="preserve"> in </w:t>
      </w:r>
      <w:r w:rsidR="00961DBE" w:rsidRPr="00961DBE">
        <w:rPr>
          <w:sz w:val="22"/>
          <w:szCs w:val="22"/>
        </w:rPr>
        <w:t>areas</w:t>
      </w:r>
      <w:r>
        <w:rPr>
          <w:sz w:val="22"/>
          <w:szCs w:val="22"/>
        </w:rPr>
        <w:t xml:space="preserve"> in </w:t>
      </w:r>
      <w:r w:rsidR="00472E01">
        <w:rPr>
          <w:sz w:val="22"/>
          <w:szCs w:val="22"/>
        </w:rPr>
        <w:t xml:space="preserve">parts of the </w:t>
      </w:r>
      <w:r>
        <w:rPr>
          <w:sz w:val="22"/>
          <w:szCs w:val="22"/>
        </w:rPr>
        <w:t xml:space="preserve">Russian </w:t>
      </w:r>
      <w:r w:rsidR="00472E01">
        <w:rPr>
          <w:sz w:val="22"/>
          <w:szCs w:val="22"/>
        </w:rPr>
        <w:t xml:space="preserve">EEZ </w:t>
      </w:r>
      <w:r>
        <w:rPr>
          <w:sz w:val="22"/>
          <w:szCs w:val="22"/>
        </w:rPr>
        <w:t xml:space="preserve">in the Arctic </w:t>
      </w:r>
      <w:r w:rsidR="00961DBE" w:rsidRPr="00961DBE">
        <w:rPr>
          <w:sz w:val="22"/>
          <w:szCs w:val="22"/>
        </w:rPr>
        <w:t>that overlap with the geographic scope of this workshop.</w:t>
      </w:r>
      <w:r w:rsidR="00254D04" w:rsidRPr="00254D04">
        <w:rPr>
          <w:rStyle w:val="FootnoteReference"/>
          <w:szCs w:val="22"/>
          <w:vertAlign w:val="superscript"/>
        </w:rPr>
        <w:footnoteReference w:id="10"/>
      </w:r>
      <w:r w:rsidR="00961DBE">
        <w:rPr>
          <w:sz w:val="22"/>
          <w:szCs w:val="22"/>
        </w:rPr>
        <w:t xml:space="preserve"> The </w:t>
      </w:r>
      <w:r w:rsidR="00961DBE" w:rsidRPr="00961DBE">
        <w:rPr>
          <w:sz w:val="22"/>
          <w:szCs w:val="22"/>
        </w:rPr>
        <w:t>regional EBSA workshop for the Arctic</w:t>
      </w:r>
      <w:r w:rsidR="00254D04">
        <w:rPr>
          <w:sz w:val="22"/>
          <w:szCs w:val="22"/>
        </w:rPr>
        <w:t xml:space="preserve"> described </w:t>
      </w:r>
      <w:r w:rsidR="00961DBE" w:rsidRPr="00961DBE">
        <w:rPr>
          <w:sz w:val="22"/>
          <w:szCs w:val="22"/>
        </w:rPr>
        <w:t xml:space="preserve">the following </w:t>
      </w:r>
      <w:r w:rsidR="00961DBE">
        <w:rPr>
          <w:sz w:val="22"/>
          <w:szCs w:val="22"/>
        </w:rPr>
        <w:t xml:space="preserve">EBSAs </w:t>
      </w:r>
      <w:r w:rsidR="00961DBE" w:rsidRPr="00961DBE">
        <w:rPr>
          <w:sz w:val="22"/>
          <w:szCs w:val="22"/>
        </w:rPr>
        <w:t xml:space="preserve">in </w:t>
      </w:r>
      <w:r w:rsidR="00472E01">
        <w:rPr>
          <w:sz w:val="22"/>
          <w:szCs w:val="22"/>
        </w:rPr>
        <w:t>the EEZ of Russia</w:t>
      </w:r>
      <w:r w:rsidR="00472E01" w:rsidRPr="00961DBE">
        <w:rPr>
          <w:sz w:val="22"/>
          <w:szCs w:val="22"/>
        </w:rPr>
        <w:t xml:space="preserve"> </w:t>
      </w:r>
      <w:r w:rsidR="00961DBE">
        <w:rPr>
          <w:sz w:val="22"/>
          <w:szCs w:val="22"/>
        </w:rPr>
        <w:t>that overlap with the scope of the present workshop</w:t>
      </w:r>
      <w:r w:rsidR="00961DBE" w:rsidRPr="00961DBE">
        <w:rPr>
          <w:rStyle w:val="FootnoteReference"/>
          <w:szCs w:val="22"/>
          <w:vertAlign w:val="superscript"/>
        </w:rPr>
        <w:footnoteReference w:id="11"/>
      </w:r>
      <w:r w:rsidR="00961DBE">
        <w:rPr>
          <w:sz w:val="22"/>
          <w:szCs w:val="22"/>
        </w:rPr>
        <w:t>:</w:t>
      </w:r>
    </w:p>
    <w:p w14:paraId="35BE5F1E" w14:textId="6C9D88D0" w:rsidR="00961DBE" w:rsidRPr="00961DBE" w:rsidRDefault="00961DBE" w:rsidP="00AB0765">
      <w:pPr>
        <w:pStyle w:val="ListParagraph"/>
        <w:numPr>
          <w:ilvl w:val="0"/>
          <w:numId w:val="17"/>
        </w:numPr>
        <w:spacing w:after="120"/>
        <w:ind w:leftChars="0"/>
        <w:rPr>
          <w:szCs w:val="22"/>
        </w:rPr>
      </w:pPr>
      <w:r w:rsidRPr="00961DBE">
        <w:rPr>
          <w:color w:val="000000"/>
          <w:szCs w:val="22"/>
          <w:shd w:val="clear" w:color="auto" w:fill="FFFFFF"/>
        </w:rPr>
        <w:t>Coast of Western and Northern Novaya Zemlya</w:t>
      </w:r>
    </w:p>
    <w:p w14:paraId="4CDE26C0" w14:textId="3BDA0353" w:rsidR="00961DBE" w:rsidRPr="00961DBE" w:rsidRDefault="00961DBE" w:rsidP="00AB0765">
      <w:pPr>
        <w:pStyle w:val="ListParagraph"/>
        <w:numPr>
          <w:ilvl w:val="0"/>
          <w:numId w:val="17"/>
        </w:numPr>
        <w:spacing w:after="120"/>
        <w:ind w:leftChars="0"/>
        <w:rPr>
          <w:szCs w:val="22"/>
        </w:rPr>
      </w:pPr>
      <w:r w:rsidRPr="00961DBE">
        <w:rPr>
          <w:szCs w:val="22"/>
        </w:rPr>
        <w:t>Murman Coast and Varanger Fjord</w:t>
      </w:r>
    </w:p>
    <w:p w14:paraId="515EDBFA" w14:textId="121D8114" w:rsidR="00961DBE" w:rsidRPr="00961DBE" w:rsidRDefault="00961DBE" w:rsidP="00AB0765">
      <w:pPr>
        <w:pStyle w:val="ListParagraph"/>
        <w:numPr>
          <w:ilvl w:val="0"/>
          <w:numId w:val="17"/>
        </w:numPr>
        <w:spacing w:after="120"/>
        <w:ind w:leftChars="0"/>
        <w:rPr>
          <w:szCs w:val="22"/>
        </w:rPr>
      </w:pPr>
      <w:r w:rsidRPr="00961DBE">
        <w:rPr>
          <w:color w:val="000000"/>
          <w:szCs w:val="22"/>
          <w:shd w:val="clear" w:color="auto" w:fill="FFFFFF"/>
        </w:rPr>
        <w:t>North-eastern Barents–Kara Sea</w:t>
      </w:r>
    </w:p>
    <w:p w14:paraId="043E6092" w14:textId="72967BEF" w:rsidR="00961DBE" w:rsidRPr="00961DBE" w:rsidRDefault="00961DBE" w:rsidP="00AB0765">
      <w:pPr>
        <w:pStyle w:val="ListParagraph"/>
        <w:numPr>
          <w:ilvl w:val="0"/>
          <w:numId w:val="17"/>
        </w:numPr>
        <w:spacing w:after="120"/>
        <w:ind w:leftChars="0"/>
        <w:rPr>
          <w:szCs w:val="22"/>
        </w:rPr>
      </w:pPr>
      <w:r w:rsidRPr="00961DBE">
        <w:rPr>
          <w:color w:val="000000"/>
          <w:szCs w:val="22"/>
          <w:shd w:val="clear" w:color="auto" w:fill="FFFFFF"/>
        </w:rPr>
        <w:t>South-eastern Barents Sea (the Pechora Sea)</w:t>
      </w:r>
    </w:p>
    <w:p w14:paraId="2CF3B3E9" w14:textId="2AE09199" w:rsidR="00961DBE" w:rsidRPr="00961DBE" w:rsidRDefault="00961DBE" w:rsidP="00AB0765">
      <w:pPr>
        <w:pStyle w:val="ListParagraph"/>
        <w:numPr>
          <w:ilvl w:val="0"/>
          <w:numId w:val="17"/>
        </w:numPr>
        <w:ind w:leftChars="0"/>
        <w:rPr>
          <w:color w:val="000000"/>
          <w:szCs w:val="22"/>
          <w:shd w:val="clear" w:color="auto" w:fill="FFFFFF"/>
        </w:rPr>
      </w:pPr>
      <w:r w:rsidRPr="00961DBE">
        <w:rPr>
          <w:color w:val="000000"/>
          <w:szCs w:val="22"/>
          <w:shd w:val="clear" w:color="auto" w:fill="FFFFFF"/>
        </w:rPr>
        <w:t>White Sea</w:t>
      </w:r>
    </w:p>
    <w:p w14:paraId="6110604F" w14:textId="4AABC2BC" w:rsidR="004457AD" w:rsidRPr="00961DBE" w:rsidRDefault="004457AD" w:rsidP="00826D67">
      <w:pPr>
        <w:rPr>
          <w:sz w:val="22"/>
          <w:szCs w:val="22"/>
        </w:rPr>
      </w:pPr>
    </w:p>
    <w:p w14:paraId="3A5A732D" w14:textId="3B0146C3" w:rsidR="00E72478" w:rsidRDefault="00E72478" w:rsidP="00826D67">
      <w:pPr>
        <w:pBdr>
          <w:bottom w:val="single" w:sz="6" w:space="1" w:color="auto"/>
        </w:pBdr>
        <w:rPr>
          <w:b/>
          <w:bCs/>
          <w:sz w:val="22"/>
          <w:szCs w:val="22"/>
          <w:highlight w:val="yellow"/>
        </w:rPr>
      </w:pPr>
    </w:p>
    <w:p w14:paraId="03CFA196" w14:textId="77777777" w:rsidR="00E72478" w:rsidRPr="007409A7" w:rsidRDefault="00E72478" w:rsidP="00826D67">
      <w:pPr>
        <w:rPr>
          <w:b/>
          <w:bCs/>
          <w:sz w:val="22"/>
          <w:szCs w:val="22"/>
          <w:highlight w:val="yellow"/>
        </w:rPr>
      </w:pPr>
    </w:p>
    <w:p w14:paraId="0B3F60F0" w14:textId="615520AA" w:rsidR="004457AD" w:rsidRPr="00880A50" w:rsidRDefault="004457AD" w:rsidP="00826D67">
      <w:pPr>
        <w:rPr>
          <w:b/>
          <w:bCs/>
          <w:sz w:val="22"/>
          <w:szCs w:val="22"/>
        </w:rPr>
      </w:pPr>
      <w:r w:rsidRPr="00880A50">
        <w:rPr>
          <w:b/>
          <w:bCs/>
          <w:sz w:val="22"/>
          <w:szCs w:val="22"/>
        </w:rPr>
        <w:t>SWEDEN</w:t>
      </w:r>
    </w:p>
    <w:p w14:paraId="7DCDD55A" w14:textId="32B6097C" w:rsidR="00254D04" w:rsidRDefault="00FC49EF" w:rsidP="00254D04">
      <w:pPr>
        <w:spacing w:after="120"/>
        <w:jc w:val="both"/>
        <w:rPr>
          <w:sz w:val="22"/>
          <w:szCs w:val="22"/>
        </w:rPr>
      </w:pPr>
      <w:r>
        <w:rPr>
          <w:sz w:val="22"/>
          <w:szCs w:val="22"/>
        </w:rPr>
        <w:t>With the participation of experts from Sweden, f</w:t>
      </w:r>
      <w:r w:rsidR="00254D04" w:rsidRPr="00880A50">
        <w:rPr>
          <w:sz w:val="22"/>
          <w:szCs w:val="22"/>
        </w:rPr>
        <w:t xml:space="preserve">eatures in the </w:t>
      </w:r>
      <w:r w:rsidR="00472E01">
        <w:rPr>
          <w:sz w:val="22"/>
          <w:szCs w:val="22"/>
        </w:rPr>
        <w:t>EEZ of</w:t>
      </w:r>
      <w:r w:rsidR="00254D04" w:rsidRPr="00880A50">
        <w:rPr>
          <w:sz w:val="22"/>
          <w:szCs w:val="22"/>
        </w:rPr>
        <w:t xml:space="preserve"> Sweden were considered in the CBD regional EBSA workshop for the Baltic</w:t>
      </w:r>
      <w:r w:rsidR="004E0246">
        <w:rPr>
          <w:sz w:val="22"/>
          <w:szCs w:val="22"/>
        </w:rPr>
        <w:t xml:space="preserve"> Sea</w:t>
      </w:r>
      <w:r w:rsidR="00254D04" w:rsidRPr="00880A50">
        <w:rPr>
          <w:sz w:val="22"/>
          <w:szCs w:val="22"/>
        </w:rPr>
        <w:t>,</w:t>
      </w:r>
      <w:r w:rsidR="00254D04" w:rsidRPr="00961DBE">
        <w:rPr>
          <w:sz w:val="22"/>
          <w:szCs w:val="22"/>
        </w:rPr>
        <w:t xml:space="preserve"> including in areas that overlap with the geographic scope of th</w:t>
      </w:r>
      <w:r w:rsidR="004E0246">
        <w:rPr>
          <w:sz w:val="22"/>
          <w:szCs w:val="22"/>
        </w:rPr>
        <w:t>e present</w:t>
      </w:r>
      <w:r w:rsidR="00254D04" w:rsidRPr="00961DBE">
        <w:rPr>
          <w:sz w:val="22"/>
          <w:szCs w:val="22"/>
        </w:rPr>
        <w:t xml:space="preserve"> workshop.</w:t>
      </w:r>
      <w:r w:rsidR="00254D04" w:rsidRPr="00254D04">
        <w:rPr>
          <w:rStyle w:val="FootnoteReference"/>
          <w:szCs w:val="22"/>
          <w:vertAlign w:val="superscript"/>
        </w:rPr>
        <w:footnoteReference w:id="12"/>
      </w:r>
      <w:r w:rsidR="00254D04">
        <w:rPr>
          <w:sz w:val="22"/>
          <w:szCs w:val="22"/>
        </w:rPr>
        <w:t xml:space="preserve"> The </w:t>
      </w:r>
      <w:r w:rsidR="00254D04" w:rsidRPr="00961DBE">
        <w:rPr>
          <w:sz w:val="22"/>
          <w:szCs w:val="22"/>
        </w:rPr>
        <w:t xml:space="preserve">regional EBSA workshop for the </w:t>
      </w:r>
      <w:r w:rsidR="00254D04">
        <w:rPr>
          <w:sz w:val="22"/>
          <w:szCs w:val="22"/>
        </w:rPr>
        <w:t xml:space="preserve">Baltic </w:t>
      </w:r>
      <w:r w:rsidR="004E0246">
        <w:rPr>
          <w:sz w:val="22"/>
          <w:szCs w:val="22"/>
        </w:rPr>
        <w:t xml:space="preserve">Sea </w:t>
      </w:r>
      <w:r w:rsidR="00254D04">
        <w:rPr>
          <w:sz w:val="22"/>
          <w:szCs w:val="22"/>
        </w:rPr>
        <w:t>described</w:t>
      </w:r>
      <w:r w:rsidR="00254D04" w:rsidRPr="00961DBE">
        <w:rPr>
          <w:sz w:val="22"/>
          <w:szCs w:val="22"/>
        </w:rPr>
        <w:t xml:space="preserve"> the following </w:t>
      </w:r>
      <w:r w:rsidR="00254D04">
        <w:rPr>
          <w:sz w:val="22"/>
          <w:szCs w:val="22"/>
        </w:rPr>
        <w:t xml:space="preserve">EBSA </w:t>
      </w:r>
      <w:r w:rsidR="00254D04" w:rsidRPr="00961DBE">
        <w:rPr>
          <w:sz w:val="22"/>
          <w:szCs w:val="22"/>
        </w:rPr>
        <w:t xml:space="preserve">in </w:t>
      </w:r>
      <w:r w:rsidR="00254D04">
        <w:rPr>
          <w:sz w:val="22"/>
          <w:szCs w:val="22"/>
        </w:rPr>
        <w:t>Sweden’s</w:t>
      </w:r>
      <w:r w:rsidR="00254D04" w:rsidRPr="00961DBE">
        <w:rPr>
          <w:sz w:val="22"/>
          <w:szCs w:val="22"/>
        </w:rPr>
        <w:t xml:space="preserve"> </w:t>
      </w:r>
      <w:r w:rsidR="00472E01">
        <w:rPr>
          <w:sz w:val="22"/>
          <w:szCs w:val="22"/>
        </w:rPr>
        <w:t>EEZ</w:t>
      </w:r>
      <w:r w:rsidR="004E0246">
        <w:rPr>
          <w:sz w:val="22"/>
          <w:szCs w:val="22"/>
        </w:rPr>
        <w:t>, which</w:t>
      </w:r>
      <w:r w:rsidR="00254D04">
        <w:rPr>
          <w:sz w:val="22"/>
          <w:szCs w:val="22"/>
        </w:rPr>
        <w:t xml:space="preserve"> overlap</w:t>
      </w:r>
      <w:r w:rsidR="004E0246">
        <w:rPr>
          <w:sz w:val="22"/>
          <w:szCs w:val="22"/>
        </w:rPr>
        <w:t>s</w:t>
      </w:r>
      <w:r w:rsidR="00254D04">
        <w:rPr>
          <w:sz w:val="22"/>
          <w:szCs w:val="22"/>
        </w:rPr>
        <w:t xml:space="preserve"> with the scope of the present workshop</w:t>
      </w:r>
      <w:r w:rsidR="00254D04" w:rsidRPr="00961DBE">
        <w:rPr>
          <w:rStyle w:val="FootnoteReference"/>
          <w:szCs w:val="22"/>
          <w:vertAlign w:val="superscript"/>
        </w:rPr>
        <w:footnoteReference w:id="13"/>
      </w:r>
      <w:r w:rsidR="00254D04">
        <w:rPr>
          <w:sz w:val="22"/>
          <w:szCs w:val="22"/>
        </w:rPr>
        <w:t>:</w:t>
      </w:r>
    </w:p>
    <w:p w14:paraId="2650A239" w14:textId="77777777" w:rsidR="00254D04" w:rsidRPr="00254D04" w:rsidRDefault="00254D04" w:rsidP="00AB0765">
      <w:pPr>
        <w:pStyle w:val="ListParagraph"/>
        <w:numPr>
          <w:ilvl w:val="0"/>
          <w:numId w:val="18"/>
        </w:numPr>
        <w:ind w:leftChars="0"/>
        <w:rPr>
          <w:color w:val="000000"/>
          <w:szCs w:val="22"/>
          <w:shd w:val="clear" w:color="auto" w:fill="FFFFFF"/>
        </w:rPr>
      </w:pPr>
      <w:r w:rsidRPr="00254D04">
        <w:rPr>
          <w:color w:val="000000"/>
          <w:szCs w:val="22"/>
          <w:shd w:val="clear" w:color="auto" w:fill="FFFFFF"/>
        </w:rPr>
        <w:t>Fladen, Stora Middelgrund and Lilla Middelgrund</w:t>
      </w:r>
    </w:p>
    <w:p w14:paraId="2BED424E" w14:textId="3EF826CF" w:rsidR="00826D67" w:rsidRPr="006220EA" w:rsidRDefault="00826D67" w:rsidP="00826D67">
      <w:pPr>
        <w:rPr>
          <w:sz w:val="22"/>
          <w:szCs w:val="22"/>
        </w:rPr>
      </w:pPr>
      <w:r w:rsidRPr="006220EA">
        <w:rPr>
          <w:sz w:val="22"/>
          <w:szCs w:val="22"/>
        </w:rPr>
        <w:br w:type="page"/>
      </w:r>
    </w:p>
    <w:p w14:paraId="74369B48" w14:textId="36EC210C" w:rsidR="0047128F" w:rsidRPr="00846AD1" w:rsidRDefault="0047128F" w:rsidP="00826D67">
      <w:pPr>
        <w:pStyle w:val="Heading3"/>
        <w:spacing w:before="0"/>
        <w:rPr>
          <w:szCs w:val="22"/>
        </w:rPr>
      </w:pPr>
      <w:r w:rsidRPr="00846AD1">
        <w:rPr>
          <w:szCs w:val="22"/>
        </w:rPr>
        <w:t>Annex IV</w:t>
      </w:r>
    </w:p>
    <w:p w14:paraId="477741AB" w14:textId="535BF037" w:rsidR="00692467" w:rsidRPr="00846AD1" w:rsidRDefault="0047128F" w:rsidP="006220EA">
      <w:pPr>
        <w:jc w:val="center"/>
        <w:rPr>
          <w:b/>
          <w:bCs/>
          <w:sz w:val="22"/>
          <w:szCs w:val="22"/>
        </w:rPr>
      </w:pPr>
      <w:r w:rsidRPr="00846AD1">
        <w:rPr>
          <w:b/>
          <w:bCs/>
          <w:sz w:val="22"/>
          <w:szCs w:val="22"/>
        </w:rPr>
        <w:t>MAP OF THE WORKSHOP SCOPE</w:t>
      </w:r>
      <w:r w:rsidR="00692467">
        <w:rPr>
          <w:rStyle w:val="FootnoteReference"/>
          <w:b/>
          <w:bCs/>
          <w:szCs w:val="22"/>
        </w:rPr>
        <w:footnoteReference w:customMarkFollows="1" w:id="14"/>
        <w:t>*</w:t>
      </w:r>
    </w:p>
    <w:p w14:paraId="15812A8D" w14:textId="174A1521" w:rsidR="00692467" w:rsidRDefault="00692467" w:rsidP="00846AD1">
      <w:pPr>
        <w:jc w:val="center"/>
        <w:rPr>
          <w:lang w:val="en-GB"/>
        </w:rPr>
      </w:pPr>
    </w:p>
    <w:p w14:paraId="1019456B" w14:textId="6BC7CD73" w:rsidR="00692467" w:rsidRPr="001F404E" w:rsidRDefault="00692467" w:rsidP="00846AD1">
      <w:pPr>
        <w:jc w:val="center"/>
        <w:rPr>
          <w:lang w:val="en-GB"/>
        </w:rPr>
      </w:pPr>
      <w:r>
        <w:rPr>
          <w:noProof/>
          <w:lang w:val="en-GB"/>
        </w:rPr>
        <w:drawing>
          <wp:inline distT="0" distB="0" distL="0" distR="0" wp14:anchorId="45E4EFAF" wp14:editId="7C4D2CB3">
            <wp:extent cx="4729480" cy="70942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29480" cy="7094220"/>
                    </a:xfrm>
                    <a:prstGeom prst="rect">
                      <a:avLst/>
                    </a:prstGeom>
                    <a:noFill/>
                    <a:ln>
                      <a:noFill/>
                    </a:ln>
                  </pic:spPr>
                </pic:pic>
              </a:graphicData>
            </a:graphic>
          </wp:inline>
        </w:drawing>
      </w:r>
    </w:p>
    <w:p w14:paraId="02781800" w14:textId="54D50789" w:rsidR="0047128F" w:rsidRPr="006220EA" w:rsidRDefault="0047128F" w:rsidP="0047128F">
      <w:pPr>
        <w:rPr>
          <w:sz w:val="22"/>
          <w:szCs w:val="22"/>
        </w:rPr>
      </w:pPr>
      <w:r w:rsidRPr="006220EA">
        <w:rPr>
          <w:sz w:val="22"/>
          <w:szCs w:val="22"/>
        </w:rPr>
        <w:br w:type="page"/>
      </w:r>
    </w:p>
    <w:p w14:paraId="6A0EA95C" w14:textId="3CD73839" w:rsidR="00F952A8" w:rsidRPr="00E8017A" w:rsidRDefault="00F952A8">
      <w:pPr>
        <w:pStyle w:val="Heading3"/>
        <w:spacing w:before="0"/>
        <w:rPr>
          <w:szCs w:val="22"/>
        </w:rPr>
      </w:pPr>
      <w:r w:rsidRPr="00E8017A">
        <w:rPr>
          <w:szCs w:val="22"/>
        </w:rPr>
        <w:t xml:space="preserve">Annex </w:t>
      </w:r>
      <w:r w:rsidR="0047128F" w:rsidRPr="00E8017A">
        <w:rPr>
          <w:szCs w:val="22"/>
        </w:rPr>
        <w:t>V</w:t>
      </w:r>
    </w:p>
    <w:p w14:paraId="79691273" w14:textId="77777777" w:rsidR="0047128F" w:rsidRPr="00E8017A" w:rsidRDefault="00F952A8" w:rsidP="00F952A8">
      <w:pPr>
        <w:jc w:val="center"/>
        <w:rPr>
          <w:b/>
          <w:caps/>
          <w:sz w:val="22"/>
          <w:szCs w:val="22"/>
        </w:rPr>
      </w:pPr>
      <w:r w:rsidRPr="00E8017A">
        <w:rPr>
          <w:b/>
          <w:caps/>
          <w:sz w:val="22"/>
          <w:szCs w:val="22"/>
        </w:rPr>
        <w:t xml:space="preserve">ecological or biological SIGNIFICANCE of the </w:t>
      </w:r>
    </w:p>
    <w:p w14:paraId="4F840EDB" w14:textId="0CC3B242" w:rsidR="00F952A8" w:rsidRPr="006220EA" w:rsidRDefault="00835E5A" w:rsidP="00F952A8">
      <w:pPr>
        <w:jc w:val="center"/>
        <w:rPr>
          <w:b/>
          <w:caps/>
          <w:sz w:val="22"/>
          <w:szCs w:val="22"/>
        </w:rPr>
      </w:pPr>
      <w:r w:rsidRPr="00E8017A">
        <w:rPr>
          <w:b/>
          <w:caps/>
          <w:sz w:val="22"/>
          <w:szCs w:val="22"/>
        </w:rPr>
        <w:t>NORTH-EAST ATLANTIC</w:t>
      </w:r>
      <w:r w:rsidR="00F952A8" w:rsidRPr="00E8017A">
        <w:rPr>
          <w:b/>
          <w:caps/>
          <w:sz w:val="22"/>
          <w:szCs w:val="22"/>
        </w:rPr>
        <w:t xml:space="preserve"> </w:t>
      </w:r>
      <w:r w:rsidR="00110E9B">
        <w:rPr>
          <w:b/>
          <w:caps/>
          <w:sz w:val="22"/>
          <w:szCs w:val="22"/>
        </w:rPr>
        <w:t>in a global context</w:t>
      </w:r>
    </w:p>
    <w:p w14:paraId="6CD71C56" w14:textId="77777777" w:rsidR="00E8017A" w:rsidRDefault="00E8017A" w:rsidP="00E8017A">
      <w:pPr>
        <w:jc w:val="both"/>
        <w:rPr>
          <w:sz w:val="22"/>
          <w:szCs w:val="22"/>
        </w:rPr>
      </w:pPr>
    </w:p>
    <w:p w14:paraId="7A076348" w14:textId="0C969B3D" w:rsidR="00E8017A" w:rsidRDefault="00E8017A" w:rsidP="00E8017A">
      <w:pPr>
        <w:jc w:val="both"/>
        <w:rPr>
          <w:sz w:val="22"/>
          <w:szCs w:val="22"/>
        </w:rPr>
      </w:pPr>
      <w:r w:rsidRPr="00E8017A">
        <w:rPr>
          <w:sz w:val="22"/>
          <w:szCs w:val="22"/>
        </w:rPr>
        <w:t xml:space="preserve">This annex describes large features </w:t>
      </w:r>
      <w:r w:rsidR="006A1FCD">
        <w:rPr>
          <w:sz w:val="22"/>
          <w:szCs w:val="22"/>
        </w:rPr>
        <w:t>of the North-East Atlantic of special significan</w:t>
      </w:r>
      <w:r w:rsidR="004E0246">
        <w:rPr>
          <w:sz w:val="22"/>
          <w:szCs w:val="22"/>
        </w:rPr>
        <w:t>ce</w:t>
      </w:r>
      <w:r w:rsidR="006A1FCD">
        <w:rPr>
          <w:sz w:val="22"/>
          <w:szCs w:val="22"/>
        </w:rPr>
        <w:t xml:space="preserve"> on a global scale, </w:t>
      </w:r>
      <w:r w:rsidRPr="00E8017A">
        <w:rPr>
          <w:sz w:val="22"/>
          <w:szCs w:val="22"/>
        </w:rPr>
        <w:t xml:space="preserve">which extend beyond of the scope of the workshop. </w:t>
      </w:r>
    </w:p>
    <w:p w14:paraId="6C40AC05" w14:textId="77777777" w:rsidR="00E8017A" w:rsidRPr="00E8017A" w:rsidRDefault="00E8017A" w:rsidP="00E8017A">
      <w:pPr>
        <w:jc w:val="both"/>
        <w:rPr>
          <w:sz w:val="22"/>
          <w:szCs w:val="22"/>
        </w:rPr>
      </w:pPr>
    </w:p>
    <w:p w14:paraId="0878BB5E" w14:textId="3041144A" w:rsidR="00E8017A" w:rsidRPr="00AF6484" w:rsidRDefault="00AF6484" w:rsidP="00E8017A">
      <w:pPr>
        <w:pStyle w:val="Heading1"/>
        <w:spacing w:before="0" w:after="0"/>
        <w:jc w:val="both"/>
        <w:rPr>
          <w:rFonts w:eastAsia="Times New Roman"/>
          <w:szCs w:val="22"/>
        </w:rPr>
      </w:pPr>
      <w:r w:rsidRPr="00AF6484">
        <w:rPr>
          <w:rFonts w:eastAsia="Times New Roman"/>
          <w:caps w:val="0"/>
          <w:szCs w:val="22"/>
        </w:rPr>
        <w:t xml:space="preserve">1. REGIONAL </w:t>
      </w:r>
      <w:r w:rsidR="006A1FCD">
        <w:rPr>
          <w:rFonts w:eastAsia="Times New Roman"/>
          <w:caps w:val="0"/>
          <w:szCs w:val="22"/>
        </w:rPr>
        <w:t>OVERVIEW OF</w:t>
      </w:r>
      <w:r w:rsidRPr="00AF6484">
        <w:rPr>
          <w:rFonts w:eastAsia="Times New Roman"/>
          <w:caps w:val="0"/>
          <w:szCs w:val="22"/>
        </w:rPr>
        <w:t xml:space="preserve"> THE NORTH-EAST ATLANTIC</w:t>
      </w:r>
    </w:p>
    <w:p w14:paraId="1AB8C284" w14:textId="71682D7D" w:rsidR="00E8017A" w:rsidRDefault="00E8017A" w:rsidP="00E8017A">
      <w:pPr>
        <w:jc w:val="both"/>
        <w:rPr>
          <w:color w:val="000000"/>
          <w:sz w:val="22"/>
          <w:szCs w:val="22"/>
        </w:rPr>
      </w:pPr>
      <w:r w:rsidRPr="00E8017A">
        <w:rPr>
          <w:color w:val="000000"/>
          <w:sz w:val="22"/>
          <w:szCs w:val="22"/>
        </w:rPr>
        <w:t>Marine and coastal areas of the North</w:t>
      </w:r>
      <w:r w:rsidR="004E0246">
        <w:rPr>
          <w:color w:val="000000"/>
          <w:sz w:val="22"/>
          <w:szCs w:val="22"/>
        </w:rPr>
        <w:t>-</w:t>
      </w:r>
      <w:r w:rsidRPr="00E8017A">
        <w:rPr>
          <w:color w:val="000000"/>
          <w:sz w:val="22"/>
          <w:szCs w:val="22"/>
        </w:rPr>
        <w:t>East Atlantic demonstrate a wide array of diverse ecosystems and varying environmental conditions. The coastal and shelf areas of the marine environment have been used by humans for centuries. In the last decades</w:t>
      </w:r>
      <w:r w:rsidR="00AF6484">
        <w:rPr>
          <w:color w:val="000000"/>
          <w:sz w:val="22"/>
          <w:szCs w:val="22"/>
        </w:rPr>
        <w:t>,</w:t>
      </w:r>
      <w:r w:rsidRPr="00E8017A">
        <w:rPr>
          <w:color w:val="000000"/>
          <w:sz w:val="22"/>
          <w:szCs w:val="22"/>
        </w:rPr>
        <w:t xml:space="preserve"> human use has begun to move into the deep oceanic areas.</w:t>
      </w:r>
    </w:p>
    <w:p w14:paraId="7826EF42" w14:textId="77777777" w:rsidR="00AF6484" w:rsidRPr="00E8017A" w:rsidRDefault="00AF6484" w:rsidP="00E8017A">
      <w:pPr>
        <w:jc w:val="both"/>
        <w:rPr>
          <w:color w:val="000000"/>
          <w:sz w:val="22"/>
          <w:szCs w:val="22"/>
        </w:rPr>
      </w:pPr>
    </w:p>
    <w:p w14:paraId="3D0B12BA" w14:textId="44A60CAC" w:rsidR="00E8017A" w:rsidRDefault="00E8017A" w:rsidP="00E8017A">
      <w:pPr>
        <w:jc w:val="both"/>
        <w:rPr>
          <w:sz w:val="22"/>
          <w:szCs w:val="22"/>
        </w:rPr>
      </w:pPr>
      <w:r w:rsidRPr="00E8017A">
        <w:rPr>
          <w:sz w:val="22"/>
          <w:szCs w:val="22"/>
        </w:rPr>
        <w:t xml:space="preserve">The mountainous coasts along the north-western margins are deeply indented with fjords, estuaries and rias. The coasts around the North Sea and Celtic Sea include cliffs of varying heights and rock types, bays and estuaries, sandy and shingle beaches, dunes and island archipelagos. Further south, the coast of the Bay of Biscay is low lying and lagoons occur. The Iberian coast comprises alternating cliffs and beaches (OSPAR Commission 2000). </w:t>
      </w:r>
      <w:r w:rsidRPr="00E8017A">
        <w:rPr>
          <w:color w:val="000000"/>
          <w:sz w:val="22"/>
          <w:szCs w:val="22"/>
        </w:rPr>
        <w:t xml:space="preserve">Much of the coastal area in the North-East Atlantic is densely populated, highly industrialised or used intensively for agriculture (OSPAR Commission 2010). </w:t>
      </w:r>
      <w:r w:rsidRPr="00E8017A">
        <w:rPr>
          <w:sz w:val="22"/>
          <w:szCs w:val="22"/>
        </w:rPr>
        <w:t>There are several oceanic islands in the North</w:t>
      </w:r>
      <w:r w:rsidR="004E0246">
        <w:rPr>
          <w:sz w:val="22"/>
          <w:szCs w:val="22"/>
        </w:rPr>
        <w:t>-</w:t>
      </w:r>
      <w:r w:rsidRPr="00E8017A">
        <w:rPr>
          <w:sz w:val="22"/>
          <w:szCs w:val="22"/>
        </w:rPr>
        <w:t>East Atlantic with coasts dominated by cliffs, such as the Azores, Madeira and the Canary Islands in the south</w:t>
      </w:r>
      <w:r w:rsidR="004E0246">
        <w:rPr>
          <w:sz w:val="22"/>
          <w:szCs w:val="22"/>
        </w:rPr>
        <w:t>,</w:t>
      </w:r>
      <w:r w:rsidRPr="00E8017A">
        <w:rPr>
          <w:sz w:val="22"/>
          <w:szCs w:val="22"/>
        </w:rPr>
        <w:t xml:space="preserve"> and Iceland and the Faroe Islands in the north. The islands rise from the ocean floor and are surrounded by deep oceanic waters. </w:t>
      </w:r>
    </w:p>
    <w:p w14:paraId="3B1975E0" w14:textId="77777777" w:rsidR="00AF6484" w:rsidRPr="00E8017A" w:rsidRDefault="00AF6484" w:rsidP="00E8017A">
      <w:pPr>
        <w:jc w:val="both"/>
        <w:rPr>
          <w:color w:val="000000"/>
          <w:sz w:val="22"/>
          <w:szCs w:val="22"/>
        </w:rPr>
      </w:pPr>
    </w:p>
    <w:p w14:paraId="6CDA3C10" w14:textId="579A7F10" w:rsidR="00E8017A" w:rsidRDefault="00E8017A" w:rsidP="00E8017A">
      <w:pPr>
        <w:jc w:val="both"/>
        <w:rPr>
          <w:sz w:val="22"/>
          <w:szCs w:val="22"/>
        </w:rPr>
      </w:pPr>
      <w:r w:rsidRPr="00E8017A">
        <w:rPr>
          <w:sz w:val="22"/>
          <w:szCs w:val="22"/>
        </w:rPr>
        <w:t xml:space="preserve">In the deep ocean basin, an abyssal plain extends </w:t>
      </w:r>
      <w:r w:rsidR="0095649D">
        <w:rPr>
          <w:sz w:val="22"/>
          <w:szCs w:val="22"/>
        </w:rPr>
        <w:t xml:space="preserve">on </w:t>
      </w:r>
      <w:r w:rsidRPr="00E8017A">
        <w:rPr>
          <w:sz w:val="22"/>
          <w:szCs w:val="22"/>
        </w:rPr>
        <w:t>either side of the mountains of the Mid-Atlantic Ridge (see below) to the continental margins. The abyssal plan consists of a 4</w:t>
      </w:r>
      <w:r w:rsidR="004E0246">
        <w:rPr>
          <w:sz w:val="22"/>
          <w:szCs w:val="22"/>
        </w:rPr>
        <w:t>-to-</w:t>
      </w:r>
      <w:r w:rsidRPr="00E8017A">
        <w:rPr>
          <w:sz w:val="22"/>
          <w:szCs w:val="22"/>
        </w:rPr>
        <w:t>6 km thick basaltic basement overlain by 0.1</w:t>
      </w:r>
      <w:r w:rsidR="004E0246">
        <w:rPr>
          <w:sz w:val="22"/>
          <w:szCs w:val="22"/>
        </w:rPr>
        <w:t>-to-</w:t>
      </w:r>
      <w:r w:rsidRPr="00E8017A">
        <w:rPr>
          <w:sz w:val="22"/>
          <w:szCs w:val="22"/>
        </w:rPr>
        <w:t xml:space="preserve">2 km thick accumulations of sediment (OSPAR Commission, 2000). </w:t>
      </w:r>
    </w:p>
    <w:p w14:paraId="59888A4D" w14:textId="77777777" w:rsidR="00AF6484" w:rsidRPr="00E8017A" w:rsidRDefault="00AF6484" w:rsidP="00E8017A">
      <w:pPr>
        <w:jc w:val="both"/>
        <w:rPr>
          <w:sz w:val="22"/>
          <w:szCs w:val="22"/>
        </w:rPr>
      </w:pPr>
    </w:p>
    <w:p w14:paraId="0B3F317E" w14:textId="5D0970F6" w:rsidR="00E8017A" w:rsidRDefault="00E8017A" w:rsidP="00E8017A">
      <w:pPr>
        <w:jc w:val="both"/>
        <w:rPr>
          <w:color w:val="000000"/>
          <w:sz w:val="22"/>
          <w:szCs w:val="22"/>
        </w:rPr>
      </w:pPr>
      <w:r w:rsidRPr="00E8017A">
        <w:rPr>
          <w:color w:val="000000"/>
          <w:sz w:val="22"/>
          <w:szCs w:val="22"/>
        </w:rPr>
        <w:t xml:space="preserve">Most of the water masses of the North-East Atlantic are well-mixed to depths of up to 600 m, with a permanent thermocline in deep oceanic waters, and strong tidal currents in shallow shelf areas (OSPAR Commission 2010). </w:t>
      </w:r>
      <w:r w:rsidRPr="00E8017A">
        <w:rPr>
          <w:sz w:val="22"/>
          <w:szCs w:val="22"/>
          <w:lang w:val="en-US"/>
        </w:rPr>
        <w:t>Where warm water masses meet cold water masses (e.g.</w:t>
      </w:r>
      <w:r w:rsidR="004E0246">
        <w:rPr>
          <w:sz w:val="22"/>
          <w:szCs w:val="22"/>
          <w:lang w:val="en-US"/>
        </w:rPr>
        <w:t>,</w:t>
      </w:r>
      <w:r w:rsidRPr="00E8017A">
        <w:rPr>
          <w:sz w:val="22"/>
          <w:szCs w:val="22"/>
          <w:lang w:val="en-US"/>
        </w:rPr>
        <w:t xml:space="preserve"> at the Arctic front) hotspots of productivity can form. The density gradients result in areas of sufficiently shallow mixing depth and consequently enhance a phytoplankton bloom earlier in the season than in open water (Rey, 2004). Following the seasonal latitudinal progression of the sunlight, the phytoplankton bloom proceeds from south to north, initiating the pelagic production of secondary producers (grazers) such as zooplankton (Melle et al., 2005). The growth season can also be prolonged by the physical forcing from turbulence associated with ocean currents supplying nutrients to the upper layers. </w:t>
      </w:r>
      <w:r w:rsidRPr="00E8017A">
        <w:rPr>
          <w:color w:val="000000"/>
          <w:sz w:val="22"/>
          <w:szCs w:val="22"/>
        </w:rPr>
        <w:t xml:space="preserve"> </w:t>
      </w:r>
    </w:p>
    <w:p w14:paraId="2462909F" w14:textId="77777777" w:rsidR="00AF6484" w:rsidRPr="00E8017A" w:rsidRDefault="00AF6484" w:rsidP="00E8017A">
      <w:pPr>
        <w:jc w:val="both"/>
        <w:rPr>
          <w:color w:val="000000"/>
          <w:sz w:val="22"/>
          <w:szCs w:val="22"/>
        </w:rPr>
      </w:pPr>
    </w:p>
    <w:p w14:paraId="125A7609" w14:textId="4E3F79A3" w:rsidR="00E8017A" w:rsidRDefault="00E8017A" w:rsidP="00E8017A">
      <w:pPr>
        <w:jc w:val="both"/>
        <w:rPr>
          <w:sz w:val="22"/>
          <w:szCs w:val="22"/>
        </w:rPr>
      </w:pPr>
      <w:r w:rsidRPr="00E8017A">
        <w:rPr>
          <w:sz w:val="22"/>
          <w:szCs w:val="22"/>
        </w:rPr>
        <w:t xml:space="preserve">The deep Atlantic supports a diverse array of structurally complex seabed habitats that meet </w:t>
      </w:r>
      <w:r w:rsidR="00AF6484">
        <w:rPr>
          <w:sz w:val="22"/>
          <w:szCs w:val="22"/>
        </w:rPr>
        <w:t xml:space="preserve">the </w:t>
      </w:r>
      <w:r w:rsidRPr="00E8017A">
        <w:rPr>
          <w:sz w:val="22"/>
          <w:szCs w:val="22"/>
        </w:rPr>
        <w:t>EBSA criteria. For example, there are more records of reef framework forming cold-water corals in the North-East Atlantic than any other ocean region</w:t>
      </w:r>
      <w:r w:rsidR="00EB3C46">
        <w:rPr>
          <w:sz w:val="22"/>
          <w:szCs w:val="22"/>
        </w:rPr>
        <w:t>,</w:t>
      </w:r>
      <w:r w:rsidRPr="00E8017A">
        <w:rPr>
          <w:sz w:val="22"/>
          <w:szCs w:val="22"/>
        </w:rPr>
        <w:t xml:space="preserve"> making the North</w:t>
      </w:r>
      <w:r w:rsidR="00EB3C46">
        <w:rPr>
          <w:sz w:val="22"/>
          <w:szCs w:val="22"/>
        </w:rPr>
        <w:t>-E</w:t>
      </w:r>
      <w:r w:rsidRPr="00E8017A">
        <w:rPr>
          <w:sz w:val="22"/>
          <w:szCs w:val="22"/>
        </w:rPr>
        <w:t>ast Atlantic globally significant for these deep-water biodiversity hotspots (Roberts et al. 2006). This reflects both the long history of deep-sea research in the region, and the great depths of the aragonite saturation horizon in the North-East Atlantic water masses that has allowed aragonitic scleractinian coral skeletons to persist for millennia. By contrast</w:t>
      </w:r>
      <w:r w:rsidR="00AF6484">
        <w:rPr>
          <w:sz w:val="22"/>
          <w:szCs w:val="22"/>
        </w:rPr>
        <w:t>,</w:t>
      </w:r>
      <w:r w:rsidRPr="00E8017A">
        <w:rPr>
          <w:sz w:val="22"/>
          <w:szCs w:val="22"/>
        </w:rPr>
        <w:t xml:space="preserve"> the aragonite saturation horizon in the North-East Pacific is far shallower, and equivalent habitats are dominated by calcitic gorgonians, hydrocorals or sponges, and not by aragonitic scleractinian corals (Stone 2014).</w:t>
      </w:r>
    </w:p>
    <w:p w14:paraId="793ED34E" w14:textId="77777777" w:rsidR="00AF6484" w:rsidRPr="00E8017A" w:rsidRDefault="00AF6484" w:rsidP="00E8017A">
      <w:pPr>
        <w:jc w:val="both"/>
        <w:rPr>
          <w:sz w:val="22"/>
          <w:szCs w:val="22"/>
          <w:lang w:val="en-US"/>
        </w:rPr>
      </w:pPr>
    </w:p>
    <w:p w14:paraId="336EE0C8" w14:textId="5C4FB89C" w:rsidR="00E8017A" w:rsidRPr="00E8017A" w:rsidRDefault="00E8017A" w:rsidP="00E8017A">
      <w:pPr>
        <w:jc w:val="both"/>
        <w:rPr>
          <w:sz w:val="22"/>
          <w:szCs w:val="22"/>
        </w:rPr>
      </w:pPr>
      <w:r w:rsidRPr="00E8017A">
        <w:rPr>
          <w:sz w:val="22"/>
          <w:szCs w:val="22"/>
        </w:rPr>
        <w:t>However, as atmospheric CO</w:t>
      </w:r>
      <w:r w:rsidRPr="00E8017A">
        <w:rPr>
          <w:sz w:val="22"/>
          <w:szCs w:val="22"/>
          <w:vertAlign w:val="subscript"/>
        </w:rPr>
        <w:t>2</w:t>
      </w:r>
      <w:r w:rsidRPr="00E8017A">
        <w:rPr>
          <w:sz w:val="22"/>
          <w:szCs w:val="22"/>
        </w:rPr>
        <w:t xml:space="preserve"> levels rise, the oceans absorb more CO</w:t>
      </w:r>
      <w:r w:rsidRPr="00E8017A">
        <w:rPr>
          <w:sz w:val="22"/>
          <w:szCs w:val="22"/>
          <w:vertAlign w:val="subscript"/>
        </w:rPr>
        <w:t>2</w:t>
      </w:r>
      <w:r w:rsidRPr="00E8017A">
        <w:rPr>
          <w:sz w:val="22"/>
          <w:szCs w:val="22"/>
        </w:rPr>
        <w:t xml:space="preserve"> and become more acidic (Zeebe and Wolf-Gladrow 2005). As a result, ocean pH has already fallen by 0.1 pH units and will likely fall another ~0.3 units by the end of the century (Caldeira and Wickett 2003). Such a pH decline shifts the distribution of dissolved carbon species away from carbonate ions (CO</w:t>
      </w:r>
      <w:r w:rsidRPr="00E8017A">
        <w:rPr>
          <w:sz w:val="22"/>
          <w:szCs w:val="22"/>
          <w:vertAlign w:val="subscript"/>
        </w:rPr>
        <w:t>3</w:t>
      </w:r>
      <w:r w:rsidRPr="00E8017A">
        <w:rPr>
          <w:sz w:val="22"/>
          <w:szCs w:val="22"/>
          <w:vertAlign w:val="superscript"/>
        </w:rPr>
        <w:t>2−</w:t>
      </w:r>
      <w:r w:rsidRPr="00E8017A">
        <w:rPr>
          <w:sz w:val="22"/>
          <w:szCs w:val="22"/>
        </w:rPr>
        <w:t>) and hence directly impacts CaCO</w:t>
      </w:r>
      <w:r w:rsidRPr="00E8017A">
        <w:rPr>
          <w:sz w:val="22"/>
          <w:szCs w:val="22"/>
          <w:vertAlign w:val="subscript"/>
        </w:rPr>
        <w:t>3</w:t>
      </w:r>
      <w:r w:rsidRPr="00E8017A">
        <w:rPr>
          <w:sz w:val="22"/>
          <w:szCs w:val="22"/>
        </w:rPr>
        <w:t xml:space="preserve"> saturation states (Feely et al. 2004; Orr et al. 2005). By 2100</w:t>
      </w:r>
      <w:r w:rsidR="00AF6484">
        <w:rPr>
          <w:sz w:val="22"/>
          <w:szCs w:val="22"/>
        </w:rPr>
        <w:t>,</w:t>
      </w:r>
      <w:r w:rsidRPr="00E8017A">
        <w:rPr>
          <w:sz w:val="22"/>
          <w:szCs w:val="22"/>
        </w:rPr>
        <w:t xml:space="preserve"> the aragonite saturation horizon will become sufficiently shallow to expose approximately 70 </w:t>
      </w:r>
      <w:r w:rsidR="00EB3C46">
        <w:rPr>
          <w:sz w:val="22"/>
          <w:szCs w:val="22"/>
        </w:rPr>
        <w:t>per cent</w:t>
      </w:r>
      <w:r w:rsidRPr="00E8017A">
        <w:rPr>
          <w:sz w:val="22"/>
          <w:szCs w:val="22"/>
        </w:rPr>
        <w:t xml:space="preserve"> of known aragonitic cold-water corals to corrosive waters, i.e.</w:t>
      </w:r>
      <w:r w:rsidR="00EB3C46">
        <w:rPr>
          <w:sz w:val="22"/>
          <w:szCs w:val="22"/>
        </w:rPr>
        <w:t>,</w:t>
      </w:r>
      <w:r w:rsidRPr="00E8017A">
        <w:rPr>
          <w:sz w:val="22"/>
          <w:szCs w:val="22"/>
        </w:rPr>
        <w:t xml:space="preserve"> waters undersaturated with respect to aragonite (Guinotte et al. 2006). In the North Atlantic</w:t>
      </w:r>
      <w:r w:rsidR="00AF6484">
        <w:rPr>
          <w:sz w:val="22"/>
          <w:szCs w:val="22"/>
        </w:rPr>
        <w:t>,</w:t>
      </w:r>
      <w:r w:rsidRPr="00E8017A">
        <w:rPr>
          <w:sz w:val="22"/>
          <w:szCs w:val="22"/>
        </w:rPr>
        <w:t xml:space="preserve"> recent modelling studies point to an even more dramatic 44</w:t>
      </w:r>
      <w:r w:rsidR="00EB3C46">
        <w:rPr>
          <w:sz w:val="22"/>
          <w:szCs w:val="22"/>
        </w:rPr>
        <w:t xml:space="preserve"> per cent</w:t>
      </w:r>
      <w:r w:rsidRPr="00E8017A">
        <w:rPr>
          <w:sz w:val="22"/>
          <w:szCs w:val="22"/>
        </w:rPr>
        <w:t xml:space="preserve"> decline in carbonate ion supply mediated via the AMOC (see below) today compared to the pre-industrial times (Perez et al. 2018). Eventually</w:t>
      </w:r>
      <w:r w:rsidR="00EB3C46">
        <w:rPr>
          <w:sz w:val="22"/>
          <w:szCs w:val="22"/>
        </w:rPr>
        <w:t>,</w:t>
      </w:r>
      <w:r w:rsidRPr="00E8017A">
        <w:rPr>
          <w:sz w:val="22"/>
          <w:szCs w:val="22"/>
        </w:rPr>
        <w:t xml:space="preserve"> the calcite saturation horizon will also shallow, exposing calcitic corals to corrosive conditions, however aragonitic corals, </w:t>
      </w:r>
      <w:r w:rsidR="00EB3C46">
        <w:rPr>
          <w:sz w:val="22"/>
          <w:szCs w:val="22"/>
        </w:rPr>
        <w:t>which</w:t>
      </w:r>
      <w:r w:rsidRPr="00E8017A">
        <w:rPr>
          <w:sz w:val="22"/>
          <w:szCs w:val="22"/>
        </w:rPr>
        <w:t xml:space="preserve"> form extensive reefs in the North</w:t>
      </w:r>
      <w:r w:rsidR="00EB3C46">
        <w:rPr>
          <w:sz w:val="22"/>
          <w:szCs w:val="22"/>
        </w:rPr>
        <w:t>-</w:t>
      </w:r>
      <w:r w:rsidRPr="00E8017A">
        <w:rPr>
          <w:sz w:val="22"/>
          <w:szCs w:val="22"/>
        </w:rPr>
        <w:t>East Atlantic, face the more immediate threat</w:t>
      </w:r>
      <w:r w:rsidR="005D7A0F">
        <w:rPr>
          <w:sz w:val="22"/>
          <w:szCs w:val="22"/>
        </w:rPr>
        <w:t xml:space="preserve"> (Gruber et al., 2019)</w:t>
      </w:r>
      <w:r w:rsidRPr="00E8017A">
        <w:rPr>
          <w:sz w:val="22"/>
          <w:szCs w:val="22"/>
        </w:rPr>
        <w:t>. Given the importance of seawater carbonate chemistry for cold-water coral reef frameworks, and the direct relationship between aragonite saturation and atmospheric CO</w:t>
      </w:r>
      <w:r w:rsidRPr="00E8017A">
        <w:rPr>
          <w:sz w:val="22"/>
          <w:szCs w:val="22"/>
          <w:vertAlign w:val="subscript"/>
        </w:rPr>
        <w:t>2</w:t>
      </w:r>
      <w:r w:rsidRPr="00E8017A">
        <w:rPr>
          <w:sz w:val="22"/>
          <w:szCs w:val="22"/>
        </w:rPr>
        <w:t xml:space="preserve">, they appear to be one of the most vulnerable marine ecosystems to present-day anthropogenic climate change (Roberts et al. 2016). </w:t>
      </w:r>
    </w:p>
    <w:p w14:paraId="3FB22442" w14:textId="77777777" w:rsidR="00E8017A" w:rsidRPr="00E8017A" w:rsidRDefault="00E8017A" w:rsidP="00E8017A">
      <w:pPr>
        <w:jc w:val="both"/>
        <w:rPr>
          <w:b/>
          <w:sz w:val="22"/>
          <w:szCs w:val="22"/>
          <w:lang w:val="en-US"/>
        </w:rPr>
      </w:pPr>
    </w:p>
    <w:p w14:paraId="3025DC62" w14:textId="77777777" w:rsidR="00E8017A" w:rsidRPr="00E8017A" w:rsidRDefault="00E8017A" w:rsidP="00E8017A">
      <w:pPr>
        <w:pStyle w:val="Heading1"/>
        <w:spacing w:before="0" w:after="0"/>
        <w:jc w:val="both"/>
        <w:rPr>
          <w:rFonts w:eastAsia="Times New Roman"/>
          <w:szCs w:val="22"/>
        </w:rPr>
      </w:pPr>
      <w:r w:rsidRPr="00E8017A">
        <w:rPr>
          <w:rFonts w:eastAsia="Times New Roman"/>
          <w:szCs w:val="22"/>
        </w:rPr>
        <w:t xml:space="preserve">2. Large features of special significance </w:t>
      </w:r>
    </w:p>
    <w:p w14:paraId="37845E5D" w14:textId="77777777" w:rsidR="00E8017A" w:rsidRPr="00E8017A" w:rsidRDefault="00E8017A" w:rsidP="00E8017A">
      <w:pPr>
        <w:pStyle w:val="Heading2"/>
        <w:spacing w:before="0" w:after="0"/>
        <w:jc w:val="both"/>
        <w:rPr>
          <w:szCs w:val="22"/>
        </w:rPr>
      </w:pPr>
      <w:r w:rsidRPr="00E8017A">
        <w:rPr>
          <w:szCs w:val="22"/>
        </w:rPr>
        <w:t>2.1 Mid-Atlantic Ridge</w:t>
      </w:r>
    </w:p>
    <w:p w14:paraId="6C24E98D" w14:textId="77777777" w:rsidR="00E8017A" w:rsidRPr="00E8017A" w:rsidRDefault="00E8017A" w:rsidP="00E8017A">
      <w:pPr>
        <w:jc w:val="both"/>
        <w:rPr>
          <w:sz w:val="22"/>
          <w:szCs w:val="22"/>
        </w:rPr>
      </w:pPr>
      <w:r w:rsidRPr="00E8017A">
        <w:rPr>
          <w:sz w:val="22"/>
          <w:szCs w:val="22"/>
        </w:rPr>
        <w:t xml:space="preserve">The Mid-Atlantic Ridge (MAR) is the longest mountain range in the world. This is a major topographic feature of the entire Atlantic Ocean, extending well beyond the scope of the North-East Atlantic EBSA workshop. The MAR is a volcanic mountain range that rises from the Atlantic abyssal plain, extending from the Arctic at the Gakkel Ridge to the Antarctic at the Bouvet Triple Junction, ranging more than 16,000 km (UNESCO, 2017). </w:t>
      </w:r>
    </w:p>
    <w:p w14:paraId="5F20C945" w14:textId="77777777" w:rsidR="00E8017A" w:rsidRPr="00E8017A" w:rsidRDefault="00E8017A" w:rsidP="00E8017A">
      <w:pPr>
        <w:keepNext/>
        <w:jc w:val="both"/>
        <w:rPr>
          <w:sz w:val="22"/>
          <w:szCs w:val="22"/>
        </w:rPr>
      </w:pPr>
      <w:r w:rsidRPr="00E8017A">
        <w:rPr>
          <w:noProof/>
          <w:sz w:val="22"/>
          <w:szCs w:val="22"/>
          <w:lang w:val="fr-CA" w:eastAsia="fr-CA"/>
        </w:rPr>
        <w:drawing>
          <wp:inline distT="0" distB="0" distL="0" distR="0" wp14:anchorId="61D0CBE7" wp14:editId="222B3B54">
            <wp:extent cx="5486411" cy="822961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BSA_Overview_Ridg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86411" cy="8229617"/>
                    </a:xfrm>
                    <a:prstGeom prst="rect">
                      <a:avLst/>
                    </a:prstGeom>
                  </pic:spPr>
                </pic:pic>
              </a:graphicData>
            </a:graphic>
          </wp:inline>
        </w:drawing>
      </w:r>
    </w:p>
    <w:p w14:paraId="07D6506F" w14:textId="796A21F1" w:rsidR="00E8017A" w:rsidRPr="00AF6484" w:rsidRDefault="00E8017A" w:rsidP="00E8017A">
      <w:pPr>
        <w:pStyle w:val="Caption"/>
        <w:rPr>
          <w:szCs w:val="22"/>
          <w:u w:val="none"/>
        </w:rPr>
      </w:pPr>
      <w:bookmarkStart w:id="5" w:name="_Ref20401036"/>
      <w:r w:rsidRPr="00AF6484">
        <w:rPr>
          <w:szCs w:val="22"/>
          <w:u w:val="none"/>
        </w:rPr>
        <w:t xml:space="preserve">Figure </w:t>
      </w:r>
      <w:r w:rsidRPr="00AF6484">
        <w:rPr>
          <w:szCs w:val="22"/>
          <w:u w:val="none"/>
        </w:rPr>
        <w:fldChar w:fldCharType="begin"/>
      </w:r>
      <w:r w:rsidRPr="00AF6484">
        <w:rPr>
          <w:szCs w:val="22"/>
          <w:u w:val="none"/>
        </w:rPr>
        <w:instrText xml:space="preserve"> SEQ Figure \* ARABIC </w:instrText>
      </w:r>
      <w:r w:rsidRPr="00AF6484">
        <w:rPr>
          <w:szCs w:val="22"/>
          <w:u w:val="none"/>
        </w:rPr>
        <w:fldChar w:fldCharType="separate"/>
      </w:r>
      <w:r w:rsidRPr="00AF6484">
        <w:rPr>
          <w:noProof/>
          <w:szCs w:val="22"/>
          <w:u w:val="none"/>
        </w:rPr>
        <w:t>1</w:t>
      </w:r>
      <w:r w:rsidRPr="00AF6484">
        <w:rPr>
          <w:noProof/>
          <w:szCs w:val="22"/>
          <w:u w:val="none"/>
        </w:rPr>
        <w:fldChar w:fldCharType="end"/>
      </w:r>
      <w:bookmarkEnd w:id="5"/>
      <w:r w:rsidRPr="00AF6484">
        <w:rPr>
          <w:szCs w:val="22"/>
          <w:u w:val="none"/>
        </w:rPr>
        <w:t xml:space="preserve">. The Mid Atlantic Ridge (MAR) extends across the entire Atlantic </w:t>
      </w:r>
      <w:r w:rsidR="00EB3C46">
        <w:rPr>
          <w:szCs w:val="22"/>
          <w:u w:val="none"/>
        </w:rPr>
        <w:t>O</w:t>
      </w:r>
      <w:r w:rsidRPr="00AF6484">
        <w:rPr>
          <w:szCs w:val="22"/>
          <w:u w:val="none"/>
        </w:rPr>
        <w:t>cean.</w:t>
      </w:r>
    </w:p>
    <w:p w14:paraId="43D8692C" w14:textId="152E0235" w:rsidR="00E8017A" w:rsidRDefault="00E8017A" w:rsidP="00E8017A">
      <w:pPr>
        <w:jc w:val="both"/>
        <w:rPr>
          <w:sz w:val="22"/>
          <w:szCs w:val="22"/>
        </w:rPr>
      </w:pPr>
      <w:r w:rsidRPr="00E8017A">
        <w:rPr>
          <w:sz w:val="22"/>
          <w:szCs w:val="22"/>
        </w:rPr>
        <w:t>The MAR remains poorly studied overall, however several international research projects (e.g.</w:t>
      </w:r>
      <w:r w:rsidR="00EB3C46">
        <w:rPr>
          <w:sz w:val="22"/>
          <w:szCs w:val="22"/>
        </w:rPr>
        <w:t>,</w:t>
      </w:r>
      <w:r w:rsidRPr="00E8017A">
        <w:rPr>
          <w:sz w:val="22"/>
          <w:szCs w:val="22"/>
        </w:rPr>
        <w:t xml:space="preserve"> MAR-ECO, ECOMAR, ATLAS, SPONGES) have shed some light on the geology, oceanography and ecology of some parts of the MAR. The ridge supports rich communities of vulnerable and fragile cold</w:t>
      </w:r>
      <w:r w:rsidR="00EB3C46">
        <w:rPr>
          <w:sz w:val="22"/>
          <w:szCs w:val="22"/>
        </w:rPr>
        <w:t>-</w:t>
      </w:r>
      <w:r w:rsidRPr="00E8017A">
        <w:rPr>
          <w:sz w:val="22"/>
          <w:szCs w:val="22"/>
        </w:rPr>
        <w:t>water corals, sponge aggregations and deep-water vulnerable fish. Additionally, hydrothermal vent fields and transform faults support unique fauna</w:t>
      </w:r>
      <w:r w:rsidR="00EB3C46">
        <w:rPr>
          <w:sz w:val="22"/>
          <w:szCs w:val="22"/>
        </w:rPr>
        <w:t>,</w:t>
      </w:r>
      <w:r w:rsidRPr="00E8017A">
        <w:rPr>
          <w:sz w:val="22"/>
          <w:szCs w:val="22"/>
        </w:rPr>
        <w:t xml:space="preserve"> many of which are endemic to the MAR.</w:t>
      </w:r>
    </w:p>
    <w:p w14:paraId="78614349" w14:textId="77777777" w:rsidR="00AF6484" w:rsidRPr="00E8017A" w:rsidRDefault="00AF6484" w:rsidP="00E8017A">
      <w:pPr>
        <w:jc w:val="both"/>
        <w:rPr>
          <w:sz w:val="22"/>
          <w:szCs w:val="22"/>
        </w:rPr>
      </w:pPr>
    </w:p>
    <w:p w14:paraId="60479553" w14:textId="21177A01" w:rsidR="00E8017A" w:rsidRDefault="00E8017A" w:rsidP="00E8017A">
      <w:pPr>
        <w:jc w:val="both"/>
        <w:rPr>
          <w:sz w:val="22"/>
          <w:szCs w:val="22"/>
        </w:rPr>
      </w:pPr>
      <w:r w:rsidRPr="00E8017A">
        <w:rPr>
          <w:sz w:val="22"/>
          <w:szCs w:val="22"/>
        </w:rPr>
        <w:t>As the Atlantic Ocean slowly expands, new oceanic floor is formed in the central valley of the MAR on the boundaries of the Nubia, American and Eurasian tectonic plates, at a speed of 28-33mm·year</w:t>
      </w:r>
      <w:r w:rsidRPr="00846AD1">
        <w:rPr>
          <w:sz w:val="22"/>
          <w:szCs w:val="22"/>
          <w:vertAlign w:val="superscript"/>
        </w:rPr>
        <w:t>-1</w:t>
      </w:r>
      <w:r w:rsidRPr="00E8017A">
        <w:rPr>
          <w:sz w:val="22"/>
          <w:szCs w:val="22"/>
        </w:rPr>
        <w:t xml:space="preserve"> (Dinter, 2001; Heger et al., 2008; Hosia et al., 2008). In the process of tectonic movement, massive volcanic events give rise to large ridge- and seamount-like structures, and in some cases even to islands such as those of the Azores (Portugal) or St. Peter and St. Paul's Archipelago (Brazil). The MAR began to form 200 million years ago but was only discovered in the mid-19th century, when the first submarine cables linking North America and Europe were deployed.</w:t>
      </w:r>
    </w:p>
    <w:p w14:paraId="4E442D7E" w14:textId="77777777" w:rsidR="00AF6484" w:rsidRPr="00E8017A" w:rsidRDefault="00AF6484" w:rsidP="00E8017A">
      <w:pPr>
        <w:jc w:val="both"/>
        <w:rPr>
          <w:sz w:val="22"/>
          <w:szCs w:val="22"/>
        </w:rPr>
      </w:pPr>
    </w:p>
    <w:p w14:paraId="353870E9" w14:textId="32C18CE7" w:rsidR="00E8017A" w:rsidRDefault="00E8017A" w:rsidP="00E8017A">
      <w:pPr>
        <w:jc w:val="both"/>
        <w:rPr>
          <w:sz w:val="22"/>
          <w:szCs w:val="22"/>
        </w:rPr>
      </w:pPr>
      <w:r w:rsidRPr="00E8017A">
        <w:rPr>
          <w:sz w:val="22"/>
          <w:szCs w:val="22"/>
        </w:rPr>
        <w:t>The MAR is a hotspot of seamounts but also of hydrothermal vents</w:t>
      </w:r>
      <w:r w:rsidR="00A14D1F">
        <w:rPr>
          <w:sz w:val="22"/>
          <w:szCs w:val="22"/>
        </w:rPr>
        <w:t>,</w:t>
      </w:r>
      <w:r w:rsidRPr="00E8017A">
        <w:rPr>
          <w:sz w:val="22"/>
          <w:szCs w:val="22"/>
        </w:rPr>
        <w:t xml:space="preserve"> which are formed when seawater circulates into the crust through cracks and porous rocks, heated by underlying magma, and rise</w:t>
      </w:r>
      <w:r w:rsidR="00A14D1F">
        <w:rPr>
          <w:sz w:val="22"/>
          <w:szCs w:val="22"/>
        </w:rPr>
        <w:t>s</w:t>
      </w:r>
      <w:r w:rsidRPr="00E8017A">
        <w:rPr>
          <w:sz w:val="22"/>
          <w:szCs w:val="22"/>
        </w:rPr>
        <w:t xml:space="preserve"> back through openings in the seafloor. There are about 85 known and inferred distinct and unique deep-sea hydrothermal vent fields at the MAR</w:t>
      </w:r>
      <w:r w:rsidR="00A14D1F">
        <w:rPr>
          <w:sz w:val="22"/>
          <w:szCs w:val="22"/>
        </w:rPr>
        <w:t>,</w:t>
      </w:r>
      <w:r w:rsidRPr="00E8017A">
        <w:rPr>
          <w:sz w:val="22"/>
          <w:szCs w:val="22"/>
        </w:rPr>
        <w:t xml:space="preserve"> with only 28 </w:t>
      </w:r>
      <w:r w:rsidR="00A14D1F">
        <w:rPr>
          <w:sz w:val="22"/>
          <w:szCs w:val="22"/>
        </w:rPr>
        <w:t>having been</w:t>
      </w:r>
      <w:r w:rsidRPr="00E8017A">
        <w:rPr>
          <w:sz w:val="22"/>
          <w:szCs w:val="22"/>
        </w:rPr>
        <w:t xml:space="preserve"> confirmed as active vents (InterRidge Vents Database v3.4).</w:t>
      </w:r>
    </w:p>
    <w:p w14:paraId="05928F34" w14:textId="77777777" w:rsidR="00AF6484" w:rsidRPr="00E8017A" w:rsidRDefault="00AF6484" w:rsidP="00E8017A">
      <w:pPr>
        <w:jc w:val="both"/>
        <w:rPr>
          <w:sz w:val="22"/>
          <w:szCs w:val="22"/>
        </w:rPr>
      </w:pPr>
    </w:p>
    <w:p w14:paraId="515079BA" w14:textId="20BB70BB" w:rsidR="00E8017A" w:rsidRDefault="00E8017A" w:rsidP="00E8017A">
      <w:pPr>
        <w:jc w:val="both"/>
        <w:rPr>
          <w:sz w:val="22"/>
          <w:szCs w:val="22"/>
        </w:rPr>
      </w:pPr>
      <w:r w:rsidRPr="00E8017A">
        <w:rPr>
          <w:sz w:val="22"/>
          <w:szCs w:val="22"/>
        </w:rPr>
        <w:t xml:space="preserve">The </w:t>
      </w:r>
      <w:r w:rsidR="001A1501">
        <w:rPr>
          <w:sz w:val="22"/>
          <w:szCs w:val="22"/>
        </w:rPr>
        <w:t>MAR</w:t>
      </w:r>
      <w:r w:rsidRPr="00E8017A">
        <w:rPr>
          <w:sz w:val="22"/>
          <w:szCs w:val="22"/>
        </w:rPr>
        <w:t xml:space="preserve"> has a profound role in the circulation of the water masses in the North Atlantic Ocean (Rossby, 1999; Bower et al., 2002; Heger et al., 2008; Søiland et al., 2008). The complex hydrographic setting around the M</w:t>
      </w:r>
      <w:r w:rsidR="001A1501">
        <w:rPr>
          <w:sz w:val="22"/>
          <w:szCs w:val="22"/>
        </w:rPr>
        <w:t>AR</w:t>
      </w:r>
      <w:r w:rsidRPr="00E8017A">
        <w:rPr>
          <w:sz w:val="22"/>
          <w:szCs w:val="22"/>
        </w:rPr>
        <w:t xml:space="preserve"> in general and the presence of the ridge itself leads to enhanced vertical mixing and turbulence that results in areas of increased productivity over </w:t>
      </w:r>
      <w:r w:rsidR="001A1501">
        <w:rPr>
          <w:sz w:val="22"/>
          <w:szCs w:val="22"/>
        </w:rPr>
        <w:t xml:space="preserve">it </w:t>
      </w:r>
      <w:r w:rsidRPr="00E8017A">
        <w:rPr>
          <w:sz w:val="22"/>
          <w:szCs w:val="22"/>
        </w:rPr>
        <w:t>(Falkowski et al., 1998; Heger et al., 2008).</w:t>
      </w:r>
    </w:p>
    <w:p w14:paraId="42E87DAC" w14:textId="77777777" w:rsidR="00AF6484" w:rsidRPr="00E8017A" w:rsidRDefault="00AF6484" w:rsidP="00E8017A">
      <w:pPr>
        <w:jc w:val="both"/>
        <w:rPr>
          <w:sz w:val="22"/>
          <w:szCs w:val="22"/>
        </w:rPr>
      </w:pPr>
    </w:p>
    <w:p w14:paraId="175AC1AB" w14:textId="2DC7BE50" w:rsidR="00E8017A" w:rsidRPr="00E8017A" w:rsidRDefault="00E8017A" w:rsidP="00E8017A">
      <w:pPr>
        <w:jc w:val="both"/>
        <w:rPr>
          <w:sz w:val="22"/>
          <w:szCs w:val="22"/>
        </w:rPr>
      </w:pPr>
      <w:r w:rsidRPr="00E8017A">
        <w:rPr>
          <w:sz w:val="22"/>
          <w:szCs w:val="22"/>
        </w:rPr>
        <w:t>Due to the size and prominence of the M</w:t>
      </w:r>
      <w:r w:rsidR="001A1501">
        <w:rPr>
          <w:sz w:val="22"/>
          <w:szCs w:val="22"/>
        </w:rPr>
        <w:t>AR</w:t>
      </w:r>
      <w:r w:rsidRPr="00E8017A">
        <w:rPr>
          <w:sz w:val="22"/>
          <w:szCs w:val="22"/>
        </w:rPr>
        <w:t xml:space="preserve"> spanning the whole Atlantic basin, this feature has a major impact on the </w:t>
      </w:r>
      <w:r w:rsidR="00F46277">
        <w:rPr>
          <w:sz w:val="22"/>
          <w:szCs w:val="22"/>
        </w:rPr>
        <w:t xml:space="preserve">area’s </w:t>
      </w:r>
      <w:r w:rsidRPr="00E8017A">
        <w:rPr>
          <w:sz w:val="22"/>
          <w:szCs w:val="22"/>
        </w:rPr>
        <w:t>ecology and hydrology. The MAR provides hard substrate for benthic species and structures the migratory corridors. If an EBSA process w</w:t>
      </w:r>
      <w:r w:rsidR="001A1501">
        <w:rPr>
          <w:sz w:val="22"/>
          <w:szCs w:val="22"/>
        </w:rPr>
        <w:t>ere</w:t>
      </w:r>
      <w:r w:rsidRPr="00E8017A">
        <w:rPr>
          <w:sz w:val="22"/>
          <w:szCs w:val="22"/>
        </w:rPr>
        <w:t xml:space="preserve"> undertaken on a global scale, the workshop noted that this prominent feature would be relevant</w:t>
      </w:r>
      <w:r w:rsidR="001A1501">
        <w:rPr>
          <w:sz w:val="22"/>
          <w:szCs w:val="22"/>
        </w:rPr>
        <w:t>, even at that scale</w:t>
      </w:r>
      <w:r w:rsidRPr="00E8017A">
        <w:rPr>
          <w:sz w:val="22"/>
          <w:szCs w:val="22"/>
        </w:rPr>
        <w:t xml:space="preserve">. </w:t>
      </w:r>
    </w:p>
    <w:p w14:paraId="0FC48295" w14:textId="77777777" w:rsidR="00E8017A" w:rsidRPr="00E8017A" w:rsidRDefault="00E8017A" w:rsidP="00E8017A">
      <w:pPr>
        <w:jc w:val="both"/>
        <w:rPr>
          <w:sz w:val="22"/>
          <w:szCs w:val="22"/>
        </w:rPr>
      </w:pPr>
    </w:p>
    <w:p w14:paraId="00D25038" w14:textId="77777777" w:rsidR="00E8017A" w:rsidRPr="00E8017A" w:rsidRDefault="00E8017A" w:rsidP="00E8017A">
      <w:pPr>
        <w:pStyle w:val="Heading2"/>
        <w:spacing w:before="0" w:after="0"/>
        <w:jc w:val="both"/>
        <w:rPr>
          <w:szCs w:val="22"/>
        </w:rPr>
      </w:pPr>
      <w:r w:rsidRPr="00E8017A">
        <w:rPr>
          <w:szCs w:val="22"/>
        </w:rPr>
        <w:t>2.2. Ocean currents</w:t>
      </w:r>
    </w:p>
    <w:p w14:paraId="1F5C2FC4" w14:textId="46845A65" w:rsidR="00E8017A" w:rsidRDefault="00E8017A" w:rsidP="00E8017A">
      <w:pPr>
        <w:jc w:val="both"/>
        <w:rPr>
          <w:sz w:val="22"/>
          <w:szCs w:val="22"/>
          <w:lang w:val="en-US"/>
        </w:rPr>
      </w:pPr>
      <w:r w:rsidRPr="00E8017A">
        <w:rPr>
          <w:sz w:val="22"/>
          <w:szCs w:val="22"/>
          <w:lang w:val="en-US"/>
        </w:rPr>
        <w:t>Atlantic circulation occurs at a global scale and is driven by</w:t>
      </w:r>
      <w:r w:rsidR="00374971">
        <w:rPr>
          <w:sz w:val="22"/>
          <w:szCs w:val="22"/>
          <w:lang w:val="en-US"/>
        </w:rPr>
        <w:t xml:space="preserve"> mechanical forcing due to winds and by buoyancy ex</w:t>
      </w:r>
      <w:r w:rsidR="00961B0D">
        <w:rPr>
          <w:sz w:val="22"/>
          <w:szCs w:val="22"/>
          <w:lang w:val="en-US"/>
        </w:rPr>
        <w:t>c</w:t>
      </w:r>
      <w:r w:rsidR="00374971">
        <w:rPr>
          <w:sz w:val="22"/>
          <w:szCs w:val="22"/>
          <w:lang w:val="en-US"/>
        </w:rPr>
        <w:t>hanges. These forcings lead to regional and global</w:t>
      </w:r>
      <w:r w:rsidRPr="00E8017A">
        <w:rPr>
          <w:sz w:val="22"/>
          <w:szCs w:val="22"/>
          <w:lang w:val="en-US"/>
        </w:rPr>
        <w:t xml:space="preserve"> gradients</w:t>
      </w:r>
      <w:r w:rsidR="00374971">
        <w:rPr>
          <w:sz w:val="22"/>
          <w:szCs w:val="22"/>
          <w:lang w:val="en-US"/>
        </w:rPr>
        <w:t xml:space="preserve"> (horizontal and vertical)</w:t>
      </w:r>
      <w:r w:rsidRPr="00E8017A">
        <w:rPr>
          <w:sz w:val="22"/>
          <w:szCs w:val="22"/>
          <w:lang w:val="en-US"/>
        </w:rPr>
        <w:t xml:space="preserve"> in temperature and salinity</w:t>
      </w:r>
      <w:r w:rsidR="00374971">
        <w:rPr>
          <w:sz w:val="22"/>
          <w:szCs w:val="22"/>
          <w:lang w:val="en-US"/>
        </w:rPr>
        <w:t>.  The North Atlantic plays an important role in the global thermohaline circulation</w:t>
      </w:r>
      <w:r w:rsidR="00F46277">
        <w:rPr>
          <w:sz w:val="22"/>
          <w:szCs w:val="22"/>
          <w:lang w:val="en-US"/>
        </w:rPr>
        <w:t>,</w:t>
      </w:r>
      <w:r w:rsidR="00374971">
        <w:rPr>
          <w:sz w:val="22"/>
          <w:szCs w:val="22"/>
          <w:lang w:val="en-US"/>
        </w:rPr>
        <w:t xml:space="preserve"> which is part of the Atlantic Meridional Overturning Circulation</w:t>
      </w:r>
      <w:r w:rsidRPr="00E8017A">
        <w:rPr>
          <w:sz w:val="22"/>
          <w:szCs w:val="22"/>
          <w:lang w:val="en-US"/>
        </w:rPr>
        <w:t xml:space="preserve"> (Sandström 1908). The North</w:t>
      </w:r>
      <w:r w:rsidR="00F46277">
        <w:rPr>
          <w:sz w:val="22"/>
          <w:szCs w:val="22"/>
          <w:lang w:val="en-US"/>
        </w:rPr>
        <w:t>-E</w:t>
      </w:r>
      <w:r w:rsidRPr="00E8017A">
        <w:rPr>
          <w:sz w:val="22"/>
          <w:szCs w:val="22"/>
          <w:lang w:val="en-US"/>
        </w:rPr>
        <w:t>ast Atlantic holds key components of the global ocean circulation system, including the northern part of the Atlantic Meridional Overturning Circulation (AMOC) (Lozier et al</w:t>
      </w:r>
      <w:r w:rsidR="00F46277">
        <w:rPr>
          <w:sz w:val="22"/>
          <w:szCs w:val="22"/>
          <w:lang w:val="en-US"/>
        </w:rPr>
        <w:t>.</w:t>
      </w:r>
      <w:r w:rsidRPr="00E8017A">
        <w:rPr>
          <w:sz w:val="22"/>
          <w:szCs w:val="22"/>
          <w:lang w:val="en-US"/>
        </w:rPr>
        <w:t xml:space="preserve">, 2015). </w:t>
      </w:r>
    </w:p>
    <w:p w14:paraId="2252F6BC" w14:textId="77777777" w:rsidR="00AF6484" w:rsidRPr="00E8017A" w:rsidRDefault="00AF6484" w:rsidP="00E8017A">
      <w:pPr>
        <w:jc w:val="both"/>
        <w:rPr>
          <w:sz w:val="22"/>
          <w:szCs w:val="22"/>
          <w:lang w:val="en-US"/>
        </w:rPr>
      </w:pPr>
    </w:p>
    <w:p w14:paraId="2EA12741" w14:textId="401AAD6C" w:rsidR="00E8017A" w:rsidRDefault="00E8017A" w:rsidP="00E8017A">
      <w:pPr>
        <w:jc w:val="both"/>
        <w:rPr>
          <w:sz w:val="22"/>
          <w:szCs w:val="22"/>
        </w:rPr>
      </w:pPr>
      <w:r w:rsidRPr="00E8017A">
        <w:rPr>
          <w:sz w:val="22"/>
          <w:szCs w:val="22"/>
          <w:lang w:val="en-US"/>
        </w:rPr>
        <w:t>The AMOC can be separated into warm northward</w:t>
      </w:r>
      <w:r w:rsidR="00F46277">
        <w:rPr>
          <w:sz w:val="22"/>
          <w:szCs w:val="22"/>
          <w:lang w:val="en-US"/>
        </w:rPr>
        <w:t>-</w:t>
      </w:r>
      <w:r w:rsidRPr="00E8017A">
        <w:rPr>
          <w:sz w:val="22"/>
          <w:szCs w:val="22"/>
          <w:lang w:val="en-US"/>
        </w:rPr>
        <w:t>flowing surface currents and cold southward</w:t>
      </w:r>
      <w:r w:rsidR="00F46277">
        <w:rPr>
          <w:sz w:val="22"/>
          <w:szCs w:val="22"/>
          <w:lang w:val="en-US"/>
        </w:rPr>
        <w:t>-</w:t>
      </w:r>
      <w:r w:rsidRPr="00E8017A">
        <w:rPr>
          <w:sz w:val="22"/>
          <w:szCs w:val="22"/>
          <w:lang w:val="en-US"/>
        </w:rPr>
        <w:t>flowing surface and deep-water masses (Daniaulta</w:t>
      </w:r>
      <w:r w:rsidR="00F46277">
        <w:rPr>
          <w:sz w:val="22"/>
          <w:szCs w:val="22"/>
          <w:lang w:val="en-US"/>
        </w:rPr>
        <w:t>,</w:t>
      </w:r>
      <w:r w:rsidRPr="00E8017A">
        <w:rPr>
          <w:sz w:val="22"/>
          <w:szCs w:val="22"/>
          <w:lang w:val="en-US"/>
        </w:rPr>
        <w:t xml:space="preserve"> 2016</w:t>
      </w:r>
      <w:r w:rsidR="005D7A0F">
        <w:rPr>
          <w:sz w:val="22"/>
          <w:szCs w:val="22"/>
          <w:lang w:val="en-US"/>
        </w:rPr>
        <w:t xml:space="preserve">; </w:t>
      </w:r>
      <w:r w:rsidR="005D7A0F" w:rsidRPr="005D7A0F">
        <w:rPr>
          <w:sz w:val="22"/>
          <w:szCs w:val="22"/>
        </w:rPr>
        <w:t>Buckley and Marshall</w:t>
      </w:r>
      <w:r w:rsidR="005D7A0F">
        <w:rPr>
          <w:sz w:val="22"/>
          <w:szCs w:val="22"/>
        </w:rPr>
        <w:t>,</w:t>
      </w:r>
      <w:r w:rsidR="00D812EB">
        <w:rPr>
          <w:sz w:val="22"/>
          <w:szCs w:val="22"/>
        </w:rPr>
        <w:t xml:space="preserve"> </w:t>
      </w:r>
      <w:r w:rsidR="005D7A0F" w:rsidRPr="005D7A0F">
        <w:rPr>
          <w:sz w:val="22"/>
          <w:szCs w:val="22"/>
        </w:rPr>
        <w:t>2016</w:t>
      </w:r>
      <w:r w:rsidRPr="00E8017A">
        <w:rPr>
          <w:sz w:val="22"/>
          <w:szCs w:val="22"/>
          <w:lang w:val="en-US"/>
        </w:rPr>
        <w:t>). Areas of deep-water formation occur both to the south and north of Iceland. The intensity of deep-water formation in the Norwegian seas north of Iceland varies over time and is detected as a higher surface temperature as a reflection of the intensified flow of Atlantic water into the area (Malmberg and Valdimarsson, 2003). Deep-water formation also occurs in the waters south of Iceland</w:t>
      </w:r>
      <w:r w:rsidR="00F46277">
        <w:rPr>
          <w:sz w:val="22"/>
          <w:szCs w:val="22"/>
          <w:lang w:val="en-US"/>
        </w:rPr>
        <w:t>,</w:t>
      </w:r>
      <w:r w:rsidRPr="00E8017A">
        <w:rPr>
          <w:sz w:val="22"/>
          <w:szCs w:val="22"/>
          <w:lang w:val="en-US"/>
        </w:rPr>
        <w:t xml:space="preserve"> where the marine climate </w:t>
      </w:r>
      <w:r w:rsidR="00D812EB">
        <w:rPr>
          <w:sz w:val="22"/>
          <w:szCs w:val="22"/>
          <w:lang w:val="en-US"/>
        </w:rPr>
        <w:t>has been regarded as</w:t>
      </w:r>
      <w:r w:rsidRPr="00E8017A">
        <w:rPr>
          <w:sz w:val="22"/>
          <w:szCs w:val="22"/>
          <w:lang w:val="en-US"/>
        </w:rPr>
        <w:t xml:space="preserve"> stable (Malmberg and Valdimarsson, 2003)</w:t>
      </w:r>
      <w:r w:rsidR="00D812EB">
        <w:rPr>
          <w:sz w:val="22"/>
          <w:szCs w:val="22"/>
          <w:lang w:val="en-US"/>
        </w:rPr>
        <w:t xml:space="preserve"> although recent work challenges this view (Josey et al. 2018)</w:t>
      </w:r>
      <w:r w:rsidRPr="00E8017A">
        <w:rPr>
          <w:sz w:val="22"/>
          <w:szCs w:val="22"/>
          <w:lang w:val="en-US"/>
        </w:rPr>
        <w:t>. It has a global significance, as the effects of downwelling ventilating the deep-water masses and ocean basins influence the chemical conditions (e.g.</w:t>
      </w:r>
      <w:r w:rsidR="00F46277">
        <w:rPr>
          <w:sz w:val="22"/>
          <w:szCs w:val="22"/>
          <w:lang w:val="en-US"/>
        </w:rPr>
        <w:t>,</w:t>
      </w:r>
      <w:r w:rsidRPr="00E8017A">
        <w:rPr>
          <w:sz w:val="22"/>
          <w:szCs w:val="22"/>
          <w:lang w:val="en-US"/>
        </w:rPr>
        <w:t xml:space="preserve"> calcite compensation depth, CCD). A</w:t>
      </w:r>
      <w:r w:rsidRPr="00E8017A">
        <w:rPr>
          <w:color w:val="211D1E"/>
          <w:sz w:val="22"/>
          <w:szCs w:val="22"/>
        </w:rPr>
        <w:t>byssal seafloor habitats under areas of deep-water forma</w:t>
      </w:r>
      <w:r w:rsidRPr="00E8017A">
        <w:rPr>
          <w:color w:val="211D1E"/>
          <w:sz w:val="22"/>
          <w:szCs w:val="22"/>
        </w:rPr>
        <w:softHyphen/>
        <w:t>tion may experience reductions in water column oxygen concentrations by as much as 0.03 mL L</w:t>
      </w:r>
      <w:r w:rsidRPr="00846AD1">
        <w:rPr>
          <w:rStyle w:val="A6"/>
          <w:rFonts w:cs="Times New Roman"/>
          <w:sz w:val="22"/>
          <w:szCs w:val="22"/>
          <w:vertAlign w:val="superscript"/>
        </w:rPr>
        <w:t>–1</w:t>
      </w:r>
      <w:r w:rsidRPr="00E8017A">
        <w:rPr>
          <w:rStyle w:val="A6"/>
          <w:rFonts w:cs="Times New Roman"/>
          <w:sz w:val="22"/>
          <w:szCs w:val="22"/>
        </w:rPr>
        <w:t xml:space="preserve"> </w:t>
      </w:r>
      <w:r w:rsidRPr="00E8017A">
        <w:rPr>
          <w:color w:val="211D1E"/>
          <w:sz w:val="22"/>
          <w:szCs w:val="22"/>
        </w:rPr>
        <w:t>by 2100 (Sweetman et al.</w:t>
      </w:r>
      <w:r w:rsidR="00F46277">
        <w:rPr>
          <w:color w:val="211D1E"/>
          <w:sz w:val="22"/>
          <w:szCs w:val="22"/>
        </w:rPr>
        <w:t>,</w:t>
      </w:r>
      <w:r w:rsidRPr="00E8017A">
        <w:rPr>
          <w:color w:val="211D1E"/>
          <w:sz w:val="22"/>
          <w:szCs w:val="22"/>
        </w:rPr>
        <w:t xml:space="preserve"> 2017). </w:t>
      </w:r>
      <w:r w:rsidRPr="00E8017A">
        <w:rPr>
          <w:sz w:val="22"/>
          <w:szCs w:val="22"/>
        </w:rPr>
        <w:t>In the presence of a coherent forcing, such as warming and freshening at high latitudes driven by anthropogenic CO</w:t>
      </w:r>
      <w:r w:rsidRPr="00E8017A">
        <w:rPr>
          <w:sz w:val="22"/>
          <w:szCs w:val="22"/>
          <w:vertAlign w:val="subscript"/>
        </w:rPr>
        <w:t>2</w:t>
      </w:r>
      <w:r w:rsidRPr="00E8017A">
        <w:rPr>
          <w:sz w:val="22"/>
          <w:szCs w:val="22"/>
        </w:rPr>
        <w:t xml:space="preserve"> emissions</w:t>
      </w:r>
      <w:r w:rsidR="00F46277">
        <w:rPr>
          <w:sz w:val="22"/>
          <w:szCs w:val="22"/>
        </w:rPr>
        <w:t>,</w:t>
      </w:r>
      <w:r w:rsidRPr="00E8017A">
        <w:rPr>
          <w:sz w:val="22"/>
          <w:szCs w:val="22"/>
        </w:rPr>
        <w:t xml:space="preserve"> the AMOC is expected to get weaker (Thornalley</w:t>
      </w:r>
      <w:r w:rsidR="00F46277">
        <w:rPr>
          <w:sz w:val="22"/>
          <w:szCs w:val="22"/>
        </w:rPr>
        <w:t>,</w:t>
      </w:r>
      <w:r w:rsidRPr="00E8017A">
        <w:rPr>
          <w:sz w:val="22"/>
          <w:szCs w:val="22"/>
        </w:rPr>
        <w:t xml:space="preserve"> 2018).  The AMOC is projected to weaken in the 21</w:t>
      </w:r>
      <w:r w:rsidRPr="00E8017A">
        <w:rPr>
          <w:sz w:val="22"/>
          <w:szCs w:val="22"/>
          <w:vertAlign w:val="superscript"/>
        </w:rPr>
        <w:t>st</w:t>
      </w:r>
      <w:r w:rsidRPr="00E8017A">
        <w:rPr>
          <w:sz w:val="22"/>
          <w:szCs w:val="22"/>
        </w:rPr>
        <w:t xml:space="preserve"> century based on climate modelling scenarios (</w:t>
      </w:r>
      <w:r w:rsidR="00374971">
        <w:rPr>
          <w:sz w:val="22"/>
          <w:szCs w:val="22"/>
        </w:rPr>
        <w:t>90-100% probability</w:t>
      </w:r>
      <w:r w:rsidRPr="00E8017A">
        <w:rPr>
          <w:sz w:val="22"/>
          <w:szCs w:val="22"/>
        </w:rPr>
        <w:t>) although a collapse is very unlikely (</w:t>
      </w:r>
      <w:r w:rsidR="00374971">
        <w:rPr>
          <w:sz w:val="22"/>
          <w:szCs w:val="22"/>
        </w:rPr>
        <w:t>0-10% probability</w:t>
      </w:r>
      <w:r w:rsidRPr="00E8017A">
        <w:rPr>
          <w:sz w:val="22"/>
          <w:szCs w:val="22"/>
        </w:rPr>
        <w:t xml:space="preserve">) and any substantial weakening of the AMOC is projected to cause a decrease in marine productivity in the North Atlantic, more storms in Northern Europe, less Sahelian summer rainfall and South Asian summer rainfall, a reduced number of tropical cyclones in the Atlantic and an increase in regional sea level along the northeast coast of North America (IPCC, 2019). </w:t>
      </w:r>
    </w:p>
    <w:p w14:paraId="48099927" w14:textId="77777777" w:rsidR="00AF6484" w:rsidRPr="00E8017A" w:rsidRDefault="00AF6484" w:rsidP="00E8017A">
      <w:pPr>
        <w:jc w:val="both"/>
        <w:rPr>
          <w:sz w:val="22"/>
          <w:szCs w:val="22"/>
          <w:lang w:val="en-US"/>
        </w:rPr>
      </w:pPr>
    </w:p>
    <w:p w14:paraId="776BBEAA" w14:textId="5DA5642F" w:rsidR="00E8017A" w:rsidRPr="00E8017A" w:rsidRDefault="00E8017A" w:rsidP="00E8017A">
      <w:pPr>
        <w:autoSpaceDE w:val="0"/>
        <w:autoSpaceDN w:val="0"/>
        <w:adjustRightInd w:val="0"/>
        <w:jc w:val="both"/>
        <w:rPr>
          <w:sz w:val="22"/>
          <w:szCs w:val="22"/>
          <w:lang w:val="en-US"/>
        </w:rPr>
      </w:pPr>
      <w:r w:rsidRPr="00E8017A">
        <w:rPr>
          <w:sz w:val="22"/>
          <w:szCs w:val="22"/>
          <w:lang w:val="en-US"/>
        </w:rPr>
        <w:t>The Gulf Stream is the northern part of the subtropical north Atlantic Gyre connecting the Caribbean with the Canary current and the north Equatorial current. About a quarter of the Gulf Stream waters leaves the subtropical gyre and travels northwards along the northwest coast of the European Continent as North Atlantic Drift</w:t>
      </w:r>
      <w:r w:rsidR="00F46277">
        <w:rPr>
          <w:sz w:val="22"/>
          <w:szCs w:val="22"/>
          <w:lang w:val="en-US"/>
        </w:rPr>
        <w:t>,</w:t>
      </w:r>
      <w:r w:rsidRPr="00E8017A">
        <w:rPr>
          <w:sz w:val="22"/>
          <w:szCs w:val="22"/>
          <w:lang w:val="en-US"/>
        </w:rPr>
        <w:t xml:space="preserve"> where they can be traced as far north as Spitsbergen (Fratatoni, 2001). A fraction of these surface currents feed into the East Greenland Current flowing southward along the east Greenland coast. The deep-water masses follow density defined pathways southwards. These flow-paths are not always clearly defined and exhibit high spatial variability in the ocean basins (Bower, 2002). On the eastern side of the </w:t>
      </w:r>
      <w:r w:rsidR="00F46277">
        <w:rPr>
          <w:sz w:val="22"/>
          <w:szCs w:val="22"/>
          <w:lang w:val="en-US"/>
        </w:rPr>
        <w:t>N</w:t>
      </w:r>
      <w:r w:rsidRPr="00E8017A">
        <w:rPr>
          <w:sz w:val="22"/>
          <w:szCs w:val="22"/>
          <w:lang w:val="en-US"/>
        </w:rPr>
        <w:t>orth Atlantic, Mediterranean Outflow Waters form an additional deep-water mass flowing northward along the western European continental slope as a contour current, where it can be traced as far north as offshore Scotland (</w:t>
      </w:r>
      <w:r w:rsidRPr="00E8017A">
        <w:rPr>
          <w:sz w:val="22"/>
          <w:szCs w:val="22"/>
          <w:lang w:val="en-US"/>
        </w:rPr>
        <w:fldChar w:fldCharType="begin"/>
      </w:r>
      <w:r w:rsidRPr="00E8017A">
        <w:rPr>
          <w:sz w:val="22"/>
          <w:szCs w:val="22"/>
          <w:lang w:val="en-US"/>
        </w:rPr>
        <w:instrText xml:space="preserve"> REF _Ref20413997 \h  \* MERGEFORMAT </w:instrText>
      </w:r>
      <w:r w:rsidRPr="00E8017A">
        <w:rPr>
          <w:sz w:val="22"/>
          <w:szCs w:val="22"/>
          <w:lang w:val="en-US"/>
        </w:rPr>
      </w:r>
      <w:r w:rsidRPr="00E8017A">
        <w:rPr>
          <w:sz w:val="22"/>
          <w:szCs w:val="22"/>
          <w:lang w:val="en-US"/>
        </w:rPr>
        <w:fldChar w:fldCharType="separate"/>
      </w:r>
      <w:r w:rsidRPr="00E8017A">
        <w:rPr>
          <w:sz w:val="22"/>
          <w:szCs w:val="22"/>
        </w:rPr>
        <w:t xml:space="preserve">Figure </w:t>
      </w:r>
      <w:r w:rsidRPr="00E8017A">
        <w:rPr>
          <w:noProof/>
          <w:sz w:val="22"/>
          <w:szCs w:val="22"/>
        </w:rPr>
        <w:t>2</w:t>
      </w:r>
      <w:r w:rsidRPr="00E8017A">
        <w:rPr>
          <w:sz w:val="22"/>
          <w:szCs w:val="22"/>
          <w:lang w:val="en-US"/>
        </w:rPr>
        <w:fldChar w:fldCharType="end"/>
      </w:r>
      <w:r w:rsidRPr="00E8017A">
        <w:rPr>
          <w:sz w:val="22"/>
          <w:szCs w:val="22"/>
          <w:lang w:val="en-US"/>
        </w:rPr>
        <w:t>)</w:t>
      </w:r>
      <w:r w:rsidR="00F46277">
        <w:rPr>
          <w:sz w:val="22"/>
          <w:szCs w:val="22"/>
          <w:lang w:val="en-US"/>
        </w:rPr>
        <w:t>.</w:t>
      </w:r>
    </w:p>
    <w:p w14:paraId="7B7E8457" w14:textId="77777777" w:rsidR="00E8017A" w:rsidRPr="00E8017A" w:rsidRDefault="00E8017A" w:rsidP="00E8017A">
      <w:pPr>
        <w:autoSpaceDE w:val="0"/>
        <w:autoSpaceDN w:val="0"/>
        <w:adjustRightInd w:val="0"/>
        <w:jc w:val="both"/>
        <w:rPr>
          <w:sz w:val="22"/>
          <w:szCs w:val="22"/>
        </w:rPr>
      </w:pPr>
    </w:p>
    <w:p w14:paraId="3FA7FA83" w14:textId="77777777" w:rsidR="00E8017A" w:rsidRPr="00E8017A" w:rsidRDefault="00E8017A" w:rsidP="00E8017A">
      <w:pPr>
        <w:keepNext/>
        <w:autoSpaceDE w:val="0"/>
        <w:autoSpaceDN w:val="0"/>
        <w:adjustRightInd w:val="0"/>
        <w:jc w:val="both"/>
        <w:rPr>
          <w:sz w:val="22"/>
          <w:szCs w:val="22"/>
        </w:rPr>
      </w:pPr>
      <w:r w:rsidRPr="00E8017A">
        <w:rPr>
          <w:noProof/>
          <w:sz w:val="22"/>
          <w:szCs w:val="22"/>
          <w:lang w:val="fr-CA" w:eastAsia="fr-CA"/>
        </w:rPr>
        <w:drawing>
          <wp:inline distT="0" distB="0" distL="0" distR="0" wp14:anchorId="6F8FDA42" wp14:editId="7CB50085">
            <wp:extent cx="5760720" cy="4087034"/>
            <wp:effectExtent l="0" t="0" r="0" b="8890"/>
            <wp:docPr id="6" name="Afbeelding 1" descr="https://ars.els-cdn.com/content/image/1-s2.0-S0079661116300659-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0079661116300659-gr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4087034"/>
                    </a:xfrm>
                    <a:prstGeom prst="rect">
                      <a:avLst/>
                    </a:prstGeom>
                    <a:noFill/>
                    <a:ln>
                      <a:noFill/>
                    </a:ln>
                  </pic:spPr>
                </pic:pic>
              </a:graphicData>
            </a:graphic>
          </wp:inline>
        </w:drawing>
      </w:r>
    </w:p>
    <w:p w14:paraId="2A4245A3" w14:textId="768F7CAD" w:rsidR="00E8017A" w:rsidRPr="00AF6484" w:rsidRDefault="00E8017A" w:rsidP="00E8017A">
      <w:pPr>
        <w:pStyle w:val="Caption"/>
        <w:rPr>
          <w:szCs w:val="22"/>
          <w:u w:val="none"/>
          <w:lang w:val="en-US"/>
        </w:rPr>
      </w:pPr>
      <w:bookmarkStart w:id="6" w:name="_Ref20413997"/>
      <w:r w:rsidRPr="00AF6484">
        <w:rPr>
          <w:szCs w:val="22"/>
          <w:u w:val="none"/>
        </w:rPr>
        <w:t xml:space="preserve">Figure </w:t>
      </w:r>
      <w:r w:rsidRPr="00AF6484">
        <w:rPr>
          <w:szCs w:val="22"/>
          <w:u w:val="none"/>
        </w:rPr>
        <w:fldChar w:fldCharType="begin"/>
      </w:r>
      <w:r w:rsidRPr="00AF6484">
        <w:rPr>
          <w:szCs w:val="22"/>
          <w:u w:val="none"/>
        </w:rPr>
        <w:instrText xml:space="preserve"> SEQ Figure \* ARABIC </w:instrText>
      </w:r>
      <w:r w:rsidRPr="00AF6484">
        <w:rPr>
          <w:szCs w:val="22"/>
          <w:u w:val="none"/>
        </w:rPr>
        <w:fldChar w:fldCharType="separate"/>
      </w:r>
      <w:r w:rsidRPr="00AF6484">
        <w:rPr>
          <w:noProof/>
          <w:szCs w:val="22"/>
          <w:u w:val="none"/>
        </w:rPr>
        <w:t>2</w:t>
      </w:r>
      <w:r w:rsidRPr="00AF6484">
        <w:rPr>
          <w:noProof/>
          <w:szCs w:val="22"/>
          <w:u w:val="none"/>
        </w:rPr>
        <w:fldChar w:fldCharType="end"/>
      </w:r>
      <w:bookmarkEnd w:id="6"/>
      <w:r w:rsidRPr="00AF6484">
        <w:rPr>
          <w:szCs w:val="22"/>
          <w:u w:val="none"/>
        </w:rPr>
        <w:t xml:space="preserve">. </w:t>
      </w:r>
      <w:r w:rsidRPr="00AF6484">
        <w:rPr>
          <w:szCs w:val="22"/>
          <w:u w:val="none"/>
          <w:lang w:val="en-US"/>
        </w:rPr>
        <w:t xml:space="preserve">(Daniaulta, 2016)  </w:t>
      </w:r>
      <w:hyperlink r:id="rId64" w:tooltip="Learn more about Circuit Diagrams from ScienceDirect's AI-generated Topic Pages" w:history="1">
        <w:r w:rsidRPr="00AF6484">
          <w:rPr>
            <w:rStyle w:val="Hyperlink"/>
            <w:szCs w:val="22"/>
            <w:u w:val="none"/>
            <w:lang w:val="en-US"/>
          </w:rPr>
          <w:t>Schematic</w:t>
        </w:r>
      </w:hyperlink>
      <w:r w:rsidRPr="00AF6484">
        <w:rPr>
          <w:szCs w:val="22"/>
          <w:u w:val="none"/>
          <w:lang w:val="en-US"/>
        </w:rPr>
        <w:t xml:space="preserve"> diagram of the large-scale circulation adapted from </w:t>
      </w:r>
      <w:hyperlink r:id="rId65" w:anchor="b0110" w:history="1">
        <w:r w:rsidRPr="00AF6484">
          <w:rPr>
            <w:rStyle w:val="Hyperlink"/>
            <w:szCs w:val="22"/>
            <w:u w:val="none"/>
            <w:lang w:val="en-US"/>
          </w:rPr>
          <w:t>García-Ibáñez et al. (2015)</w:t>
        </w:r>
      </w:hyperlink>
      <w:r w:rsidRPr="00AF6484">
        <w:rPr>
          <w:szCs w:val="22"/>
          <w:u w:val="none"/>
          <w:lang w:val="en-US"/>
        </w:rPr>
        <w:t xml:space="preserve"> by adding a refined scheme for the NAC branches based on the results of this study (see text). </w:t>
      </w:r>
      <w:hyperlink r:id="rId66" w:tooltip="Learn more about Bathymeter from ScienceDirect's AI-generated Topic Pages" w:history="1">
        <w:r w:rsidRPr="00AF6484">
          <w:rPr>
            <w:rStyle w:val="Hyperlink"/>
            <w:szCs w:val="22"/>
            <w:u w:val="none"/>
            <w:lang w:val="en-US"/>
          </w:rPr>
          <w:t>Bathymetry</w:t>
        </w:r>
      </w:hyperlink>
      <w:r w:rsidRPr="00AF6484">
        <w:rPr>
          <w:szCs w:val="22"/>
          <w:u w:val="none"/>
          <w:lang w:val="en-US"/>
        </w:rPr>
        <w:t xml:space="preserve"> is plotted in colo</w:t>
      </w:r>
      <w:r w:rsidR="00F46277">
        <w:rPr>
          <w:szCs w:val="22"/>
          <w:u w:val="none"/>
          <w:lang w:val="en-US"/>
        </w:rPr>
        <w:t>u</w:t>
      </w:r>
      <w:r w:rsidRPr="00AF6484">
        <w:rPr>
          <w:szCs w:val="22"/>
          <w:u w:val="none"/>
          <w:lang w:val="en-US"/>
        </w:rPr>
        <w:t>r with colo</w:t>
      </w:r>
      <w:r w:rsidR="00F46277">
        <w:rPr>
          <w:szCs w:val="22"/>
          <w:u w:val="none"/>
          <w:lang w:val="en-US"/>
        </w:rPr>
        <w:t>u</w:t>
      </w:r>
      <w:r w:rsidRPr="00AF6484">
        <w:rPr>
          <w:szCs w:val="22"/>
          <w:u w:val="none"/>
          <w:lang w:val="en-US"/>
        </w:rPr>
        <w:t xml:space="preserve">r change at 100 m, at 1000 m and every 1000 m below 1000 m. The locations of the OVIDE hydrographic stations are indicated by black dots. Yellow dots mark the limits of the </w:t>
      </w:r>
      <w:hyperlink r:id="rId67" w:tooltip="Learn more about Region from ScienceDirect's AI-generated Topic Pages" w:history="1">
        <w:r w:rsidRPr="00AF6484">
          <w:rPr>
            <w:rStyle w:val="Hyperlink"/>
            <w:szCs w:val="22"/>
            <w:u w:val="none"/>
            <w:lang w:val="en-US"/>
          </w:rPr>
          <w:t>regions</w:t>
        </w:r>
      </w:hyperlink>
      <w:r w:rsidRPr="00AF6484">
        <w:rPr>
          <w:szCs w:val="22"/>
          <w:u w:val="none"/>
          <w:lang w:val="en-US"/>
        </w:rPr>
        <w:t xml:space="preserve"> used for the transport computations. The main topographical features of the Subpolar North Atlantic are labeled: Azores-Biscay Rise (ABR), </w:t>
      </w:r>
      <w:hyperlink r:id="rId68" w:tooltip="Learn more about Bay (Topographic Features) from ScienceDirect's AI-generated Topic Pages" w:history="1">
        <w:r w:rsidRPr="00AF6484">
          <w:rPr>
            <w:rStyle w:val="Hyperlink"/>
            <w:szCs w:val="22"/>
            <w:u w:val="none"/>
            <w:lang w:val="en-US"/>
          </w:rPr>
          <w:t>Bight</w:t>
        </w:r>
      </w:hyperlink>
      <w:r w:rsidRPr="00AF6484">
        <w:rPr>
          <w:szCs w:val="22"/>
          <w:u w:val="none"/>
          <w:lang w:val="en-US"/>
        </w:rPr>
        <w:t xml:space="preserve"> </w:t>
      </w:r>
      <w:hyperlink r:id="rId69" w:tooltip="Learn more about Fracture Zone from ScienceDirect's AI-generated Topic Pages" w:history="1">
        <w:r w:rsidRPr="00AF6484">
          <w:rPr>
            <w:rStyle w:val="Hyperlink"/>
            <w:szCs w:val="22"/>
            <w:u w:val="none"/>
            <w:lang w:val="en-US"/>
          </w:rPr>
          <w:t>Fracture Zone</w:t>
        </w:r>
      </w:hyperlink>
      <w:r w:rsidRPr="00AF6484">
        <w:rPr>
          <w:szCs w:val="22"/>
          <w:u w:val="none"/>
          <w:lang w:val="en-US"/>
        </w:rPr>
        <w:t xml:space="preserve"> (BFZ), Charlie–Gibbs Fracture Zone (CGFZ), Faraday Fracture Zone (FFZ), Maxwell Fracture Zone (MFZ), Mid-Atlantic Ridge (MAR), Iberian </w:t>
      </w:r>
      <w:hyperlink r:id="rId70" w:tooltip="Learn more about Abyssal Plain from ScienceDirect's AI-generated Topic Pages" w:history="1">
        <w:r w:rsidRPr="00AF6484">
          <w:rPr>
            <w:rStyle w:val="Hyperlink"/>
            <w:szCs w:val="22"/>
            <w:u w:val="none"/>
            <w:lang w:val="en-US"/>
          </w:rPr>
          <w:t>Abyssal Plain</w:t>
        </w:r>
      </w:hyperlink>
      <w:r w:rsidRPr="00AF6484">
        <w:rPr>
          <w:szCs w:val="22"/>
          <w:u w:val="none"/>
          <w:lang w:val="en-US"/>
        </w:rPr>
        <w:t xml:space="preserve"> (IAP), Northwest Corner (NWC), Rockall Trough (RT), Rockall </w:t>
      </w:r>
      <w:hyperlink r:id="rId71" w:tooltip="Learn more about Plateau from ScienceDirect's AI-generated Topic Pages" w:history="1">
        <w:r w:rsidRPr="00AF6484">
          <w:rPr>
            <w:rStyle w:val="Hyperlink"/>
            <w:szCs w:val="22"/>
            <w:u w:val="none"/>
            <w:lang w:val="en-US"/>
          </w:rPr>
          <w:t>Plateau</w:t>
        </w:r>
      </w:hyperlink>
      <w:r w:rsidRPr="00AF6484">
        <w:rPr>
          <w:szCs w:val="22"/>
          <w:u w:val="none"/>
          <w:lang w:val="en-US"/>
        </w:rPr>
        <w:t xml:space="preserve"> (Rockall P.) and Maury Channel (MC). The main water masses are indicated: Denmark </w:t>
      </w:r>
      <w:hyperlink r:id="rId72" w:tooltip="Learn more about Strait from ScienceDirect's AI-generated Topic Pages" w:history="1">
        <w:r w:rsidRPr="00AF6484">
          <w:rPr>
            <w:rStyle w:val="Hyperlink"/>
            <w:szCs w:val="22"/>
            <w:u w:val="none"/>
            <w:lang w:val="en-US"/>
          </w:rPr>
          <w:t>Strait</w:t>
        </w:r>
      </w:hyperlink>
      <w:r w:rsidRPr="00AF6484">
        <w:rPr>
          <w:szCs w:val="22"/>
          <w:u w:val="none"/>
          <w:lang w:val="en-US"/>
        </w:rPr>
        <w:t xml:space="preserve"> Overflow Water (DSOW), Iceland–Scotland Overflow Water (ISOW), Labrador Sea Water (LSW), </w:t>
      </w:r>
      <w:hyperlink r:id="rId73" w:tooltip="Learn more about Mediterranean Water from ScienceDirect's AI-generated Topic Pages" w:history="1">
        <w:r w:rsidRPr="00AF6484">
          <w:rPr>
            <w:rStyle w:val="Hyperlink"/>
            <w:szCs w:val="22"/>
            <w:u w:val="none"/>
            <w:lang w:val="en-US"/>
          </w:rPr>
          <w:t>Mediterranean Water</w:t>
        </w:r>
      </w:hyperlink>
      <w:r w:rsidRPr="00AF6484">
        <w:rPr>
          <w:szCs w:val="22"/>
          <w:u w:val="none"/>
          <w:lang w:val="en-US"/>
        </w:rPr>
        <w:t xml:space="preserve"> (MW), and Lower North East Atlantic Deep Water (LNEADW). (For interpretation of the references to colo</w:t>
      </w:r>
      <w:r w:rsidR="00663C64">
        <w:rPr>
          <w:szCs w:val="22"/>
          <w:u w:val="none"/>
          <w:lang w:val="en-US"/>
        </w:rPr>
        <w:t>u</w:t>
      </w:r>
      <w:r w:rsidRPr="00AF6484">
        <w:rPr>
          <w:szCs w:val="22"/>
          <w:u w:val="none"/>
          <w:lang w:val="en-US"/>
        </w:rPr>
        <w:t>r in this figure legend, the reader is referred to the web version of the publication Daniaulta</w:t>
      </w:r>
      <w:r w:rsidR="001966A5">
        <w:rPr>
          <w:szCs w:val="22"/>
          <w:u w:val="none"/>
          <w:lang w:val="en-US"/>
        </w:rPr>
        <w:t xml:space="preserve"> </w:t>
      </w:r>
      <w:r w:rsidR="001966A5" w:rsidRPr="00846AD1">
        <w:rPr>
          <w:i/>
          <w:szCs w:val="22"/>
          <w:u w:val="none"/>
          <w:lang w:val="en-US"/>
        </w:rPr>
        <w:t>et al</w:t>
      </w:r>
      <w:r w:rsidR="001966A5">
        <w:rPr>
          <w:szCs w:val="22"/>
          <w:u w:val="none"/>
          <w:lang w:val="en-US"/>
        </w:rPr>
        <w:t>.</w:t>
      </w:r>
      <w:r w:rsidRPr="00AF6484">
        <w:rPr>
          <w:szCs w:val="22"/>
          <w:u w:val="none"/>
          <w:lang w:val="en-US"/>
        </w:rPr>
        <w:t>, 2016.)</w:t>
      </w:r>
    </w:p>
    <w:p w14:paraId="1584899D" w14:textId="77777777" w:rsidR="00E8017A" w:rsidRPr="00E8017A" w:rsidRDefault="00E8017A" w:rsidP="00E8017A">
      <w:pPr>
        <w:jc w:val="both"/>
        <w:rPr>
          <w:sz w:val="22"/>
          <w:szCs w:val="22"/>
        </w:rPr>
      </w:pPr>
    </w:p>
    <w:p w14:paraId="18A019AA" w14:textId="77777777" w:rsidR="00E8017A" w:rsidRPr="00AF6484" w:rsidRDefault="00E8017A" w:rsidP="00E8017A">
      <w:pPr>
        <w:pStyle w:val="Heading3"/>
        <w:spacing w:before="0" w:after="0"/>
        <w:jc w:val="both"/>
        <w:rPr>
          <w:b/>
          <w:bCs/>
          <w:szCs w:val="22"/>
        </w:rPr>
      </w:pPr>
      <w:r w:rsidRPr="00AF6484">
        <w:rPr>
          <w:b/>
          <w:bCs/>
          <w:szCs w:val="22"/>
        </w:rPr>
        <w:t>2.3 Species migrating on the conveyor belts across the Atlantic</w:t>
      </w:r>
    </w:p>
    <w:p w14:paraId="51054920" w14:textId="7540BCDB" w:rsidR="00E8017A" w:rsidRDefault="00E8017A" w:rsidP="00E8017A">
      <w:pPr>
        <w:autoSpaceDE w:val="0"/>
        <w:autoSpaceDN w:val="0"/>
        <w:adjustRightInd w:val="0"/>
        <w:jc w:val="both"/>
        <w:rPr>
          <w:color w:val="000000"/>
          <w:sz w:val="22"/>
          <w:szCs w:val="22"/>
          <w:lang w:val="en-US"/>
        </w:rPr>
      </w:pPr>
      <w:r w:rsidRPr="00E8017A">
        <w:rPr>
          <w:sz w:val="22"/>
          <w:szCs w:val="22"/>
        </w:rPr>
        <w:t>Ocean currents</w:t>
      </w:r>
      <w:r w:rsidRPr="00E8017A">
        <w:rPr>
          <w:sz w:val="22"/>
          <w:szCs w:val="22"/>
          <w:lang w:val="en-US"/>
        </w:rPr>
        <w:t xml:space="preserve"> affect biodiversity and ecology in the North</w:t>
      </w:r>
      <w:r w:rsidR="00F157B0">
        <w:rPr>
          <w:sz w:val="22"/>
          <w:szCs w:val="22"/>
          <w:lang w:val="en-US"/>
        </w:rPr>
        <w:t>-E</w:t>
      </w:r>
      <w:r w:rsidRPr="00E8017A">
        <w:rPr>
          <w:sz w:val="22"/>
          <w:szCs w:val="22"/>
          <w:lang w:val="en-US"/>
        </w:rPr>
        <w:t>ast Atlantic, by play</w:t>
      </w:r>
      <w:r w:rsidR="00F157B0">
        <w:rPr>
          <w:sz w:val="22"/>
          <w:szCs w:val="22"/>
          <w:lang w:val="en-US"/>
        </w:rPr>
        <w:t>ing</w:t>
      </w:r>
      <w:r w:rsidRPr="00E8017A">
        <w:rPr>
          <w:sz w:val="22"/>
          <w:szCs w:val="22"/>
          <w:lang w:val="en-US"/>
        </w:rPr>
        <w:t xml:space="preserve"> a key role </w:t>
      </w:r>
      <w:r w:rsidR="00F157B0">
        <w:rPr>
          <w:sz w:val="22"/>
          <w:szCs w:val="22"/>
          <w:lang w:val="en-US"/>
        </w:rPr>
        <w:t>in</w:t>
      </w:r>
      <w:r w:rsidRPr="00E8017A">
        <w:rPr>
          <w:sz w:val="22"/>
          <w:szCs w:val="22"/>
          <w:lang w:val="en-US"/>
        </w:rPr>
        <w:t xml:space="preserve"> the dispersal of larvae, as well as providing an energy</w:t>
      </w:r>
      <w:r w:rsidR="00F157B0">
        <w:rPr>
          <w:sz w:val="22"/>
          <w:szCs w:val="22"/>
          <w:lang w:val="en-US"/>
        </w:rPr>
        <w:t>-</w:t>
      </w:r>
      <w:r w:rsidRPr="00E8017A">
        <w:rPr>
          <w:sz w:val="22"/>
          <w:szCs w:val="22"/>
          <w:lang w:val="en-US"/>
        </w:rPr>
        <w:t xml:space="preserve">efficient mode of transport for mature individuals. </w:t>
      </w:r>
      <w:r w:rsidRPr="00E8017A">
        <w:rPr>
          <w:color w:val="000000"/>
          <w:sz w:val="22"/>
          <w:szCs w:val="22"/>
          <w:lang w:val="en-US"/>
        </w:rPr>
        <w:t>The need to balance energy reserves during migration is a critical factor for most long-distance migrants and an important determinant of migratory strategies. Examples of some species groups are presented below.</w:t>
      </w:r>
    </w:p>
    <w:p w14:paraId="02B3B58F" w14:textId="77777777" w:rsidR="00AF6484" w:rsidRPr="00E8017A" w:rsidRDefault="00AF6484" w:rsidP="00E8017A">
      <w:pPr>
        <w:autoSpaceDE w:val="0"/>
        <w:autoSpaceDN w:val="0"/>
        <w:adjustRightInd w:val="0"/>
        <w:jc w:val="both"/>
        <w:rPr>
          <w:color w:val="000000"/>
          <w:sz w:val="22"/>
          <w:szCs w:val="22"/>
          <w:lang w:val="en-US"/>
        </w:rPr>
      </w:pPr>
    </w:p>
    <w:p w14:paraId="52D33D92" w14:textId="41C3ED42" w:rsidR="00E8017A" w:rsidRDefault="00E8017A" w:rsidP="00E8017A">
      <w:pPr>
        <w:autoSpaceDE w:val="0"/>
        <w:autoSpaceDN w:val="0"/>
        <w:adjustRightInd w:val="0"/>
        <w:jc w:val="both"/>
        <w:rPr>
          <w:sz w:val="22"/>
          <w:szCs w:val="22"/>
        </w:rPr>
      </w:pPr>
      <w:r w:rsidRPr="00E8017A">
        <w:rPr>
          <w:sz w:val="22"/>
          <w:szCs w:val="22"/>
        </w:rPr>
        <w:t xml:space="preserve">The North-East Atlantic </w:t>
      </w:r>
      <w:r w:rsidRPr="00E8017A">
        <w:rPr>
          <w:color w:val="000000"/>
          <w:sz w:val="22"/>
          <w:szCs w:val="22"/>
        </w:rPr>
        <w:t xml:space="preserve">EBSA workshop </w:t>
      </w:r>
      <w:r w:rsidRPr="00E8017A">
        <w:rPr>
          <w:sz w:val="22"/>
          <w:szCs w:val="22"/>
        </w:rPr>
        <w:t xml:space="preserve">considered the possibility of identifying and presenting a single regional feature in this regard; the </w:t>
      </w:r>
      <w:r w:rsidR="00F157B0">
        <w:rPr>
          <w:sz w:val="22"/>
          <w:szCs w:val="22"/>
        </w:rPr>
        <w:t>“</w:t>
      </w:r>
      <w:r w:rsidRPr="00E8017A">
        <w:rPr>
          <w:sz w:val="22"/>
          <w:szCs w:val="22"/>
        </w:rPr>
        <w:t>North Atlantic Gyre</w:t>
      </w:r>
      <w:r w:rsidR="00F157B0">
        <w:rPr>
          <w:sz w:val="22"/>
          <w:szCs w:val="22"/>
        </w:rPr>
        <w:t>”</w:t>
      </w:r>
      <w:r w:rsidRPr="00E8017A">
        <w:rPr>
          <w:sz w:val="22"/>
          <w:szCs w:val="22"/>
        </w:rPr>
        <w:t xml:space="preserve"> and its known or potential importance for migrating species (as illustrated in </w:t>
      </w:r>
      <w:r w:rsidRPr="00E8017A">
        <w:rPr>
          <w:sz w:val="22"/>
          <w:szCs w:val="22"/>
        </w:rPr>
        <w:fldChar w:fldCharType="begin"/>
      </w:r>
      <w:r w:rsidRPr="00E8017A">
        <w:rPr>
          <w:sz w:val="22"/>
          <w:szCs w:val="22"/>
        </w:rPr>
        <w:instrText xml:space="preserve"> REF _Ref20401043 \h  \* MERGEFORMAT </w:instrText>
      </w:r>
      <w:r w:rsidRPr="00E8017A">
        <w:rPr>
          <w:sz w:val="22"/>
          <w:szCs w:val="22"/>
        </w:rPr>
      </w:r>
      <w:r w:rsidRPr="00E8017A">
        <w:rPr>
          <w:sz w:val="22"/>
          <w:szCs w:val="22"/>
        </w:rPr>
        <w:fldChar w:fldCharType="separate"/>
      </w:r>
      <w:r w:rsidRPr="00E8017A">
        <w:rPr>
          <w:sz w:val="22"/>
          <w:szCs w:val="22"/>
        </w:rPr>
        <w:t xml:space="preserve">Figure </w:t>
      </w:r>
      <w:r w:rsidRPr="00E8017A">
        <w:rPr>
          <w:noProof/>
          <w:sz w:val="22"/>
          <w:szCs w:val="22"/>
        </w:rPr>
        <w:t>3</w:t>
      </w:r>
      <w:r w:rsidRPr="00E8017A">
        <w:rPr>
          <w:sz w:val="22"/>
          <w:szCs w:val="22"/>
        </w:rPr>
        <w:fldChar w:fldCharType="end"/>
      </w:r>
      <w:r w:rsidRPr="00E8017A">
        <w:rPr>
          <w:sz w:val="22"/>
          <w:szCs w:val="22"/>
        </w:rPr>
        <w:t>). Based on the regional scale of this EBSA assessment process and the much larger extent of the gyre currents, it was concluded that such a description would not be appropriate at this stage.</w:t>
      </w:r>
    </w:p>
    <w:p w14:paraId="5EA1BB94" w14:textId="77777777" w:rsidR="00AF6484" w:rsidRPr="00E8017A" w:rsidRDefault="00AF6484" w:rsidP="00E8017A">
      <w:pPr>
        <w:autoSpaceDE w:val="0"/>
        <w:autoSpaceDN w:val="0"/>
        <w:adjustRightInd w:val="0"/>
        <w:jc w:val="both"/>
        <w:rPr>
          <w:sz w:val="22"/>
          <w:szCs w:val="22"/>
        </w:rPr>
      </w:pPr>
    </w:p>
    <w:p w14:paraId="0CEDE7ED" w14:textId="77777777" w:rsidR="00E8017A" w:rsidRPr="00E8017A" w:rsidRDefault="00E8017A" w:rsidP="00E8017A">
      <w:pPr>
        <w:autoSpaceDE w:val="0"/>
        <w:autoSpaceDN w:val="0"/>
        <w:adjustRightInd w:val="0"/>
        <w:jc w:val="both"/>
        <w:rPr>
          <w:b/>
          <w:color w:val="000000"/>
          <w:sz w:val="22"/>
          <w:szCs w:val="22"/>
          <w:lang w:val="en-US"/>
        </w:rPr>
      </w:pPr>
      <w:r w:rsidRPr="00E8017A">
        <w:rPr>
          <w:b/>
          <w:color w:val="000000"/>
          <w:sz w:val="22"/>
          <w:szCs w:val="22"/>
          <w:lang w:val="en-US"/>
        </w:rPr>
        <w:t>Cetaceans</w:t>
      </w:r>
    </w:p>
    <w:p w14:paraId="1DE7396E" w14:textId="77777777" w:rsidR="00E8017A" w:rsidRPr="00E8017A" w:rsidRDefault="00E8017A" w:rsidP="00E8017A">
      <w:pPr>
        <w:jc w:val="both"/>
        <w:rPr>
          <w:sz w:val="22"/>
          <w:szCs w:val="22"/>
        </w:rPr>
      </w:pPr>
      <w:r w:rsidRPr="00E8017A">
        <w:rPr>
          <w:color w:val="000000"/>
          <w:sz w:val="22"/>
          <w:szCs w:val="22"/>
          <w:lang w:val="en-US"/>
        </w:rPr>
        <w:t xml:space="preserve">Large baleen whales migrate annually between foraging and breeding sites, crossing vast ocean areas where food is seldom abundant. </w:t>
      </w:r>
      <w:r w:rsidRPr="00E8017A">
        <w:rPr>
          <w:sz w:val="22"/>
          <w:szCs w:val="22"/>
        </w:rPr>
        <w:t xml:space="preserve">A number of tracking and telemetry studies on marine mammals, particularly for baleen whale species, have indicated the presence of known migratory pathways transiting through the region. </w:t>
      </w:r>
    </w:p>
    <w:p w14:paraId="67E610F2" w14:textId="77777777" w:rsidR="00AF6484" w:rsidRDefault="00AF6484" w:rsidP="00E8017A">
      <w:pPr>
        <w:jc w:val="both"/>
        <w:rPr>
          <w:color w:val="000000"/>
          <w:sz w:val="22"/>
          <w:szCs w:val="22"/>
          <w:lang w:val="en-US"/>
        </w:rPr>
      </w:pPr>
    </w:p>
    <w:p w14:paraId="4A92EBA1" w14:textId="012E81B0" w:rsidR="00E8017A" w:rsidRPr="00E8017A" w:rsidRDefault="00E8017A" w:rsidP="00E8017A">
      <w:pPr>
        <w:jc w:val="both"/>
        <w:rPr>
          <w:color w:val="000000"/>
          <w:sz w:val="22"/>
          <w:szCs w:val="22"/>
          <w:lang w:val="en-US"/>
        </w:rPr>
      </w:pPr>
      <w:r w:rsidRPr="00E8017A">
        <w:rPr>
          <w:color w:val="000000"/>
          <w:sz w:val="22"/>
          <w:szCs w:val="22"/>
          <w:lang w:val="en-US"/>
        </w:rPr>
        <w:t xml:space="preserve">For example, satellite tracking studies of </w:t>
      </w:r>
      <w:r w:rsidR="00AB2666">
        <w:rPr>
          <w:color w:val="000000"/>
          <w:sz w:val="22"/>
          <w:szCs w:val="22"/>
          <w:lang w:val="en-US"/>
        </w:rPr>
        <w:t>h</w:t>
      </w:r>
      <w:r w:rsidRPr="00E8017A">
        <w:rPr>
          <w:color w:val="000000"/>
          <w:sz w:val="22"/>
          <w:szCs w:val="22"/>
          <w:lang w:val="en-US"/>
        </w:rPr>
        <w:t>umpback whales (</w:t>
      </w:r>
      <w:r w:rsidRPr="00E8017A">
        <w:rPr>
          <w:i/>
          <w:iCs/>
          <w:color w:val="000000"/>
          <w:sz w:val="22"/>
          <w:szCs w:val="22"/>
          <w:lang w:val="en-US"/>
        </w:rPr>
        <w:t>Megaptera novaeangliae</w:t>
      </w:r>
      <w:r w:rsidRPr="00E8017A">
        <w:rPr>
          <w:color w:val="000000"/>
          <w:sz w:val="22"/>
          <w:szCs w:val="22"/>
          <w:lang w:val="en-US"/>
        </w:rPr>
        <w:t xml:space="preserve">) tagged in their foraging areas in Norway, Svalbard and Iceland have shown direct migration to their southern breeding areas within the Caribbean (UiT 2019). These migrations benefit from the oceanic currents. </w:t>
      </w:r>
      <w:r w:rsidRPr="00E8017A">
        <w:rPr>
          <w:sz w:val="22"/>
          <w:szCs w:val="22"/>
        </w:rPr>
        <w:t xml:space="preserve">The </w:t>
      </w:r>
      <w:r w:rsidR="00AB2666">
        <w:rPr>
          <w:sz w:val="22"/>
          <w:szCs w:val="22"/>
        </w:rPr>
        <w:t>e</w:t>
      </w:r>
      <w:r w:rsidRPr="00E8017A">
        <w:rPr>
          <w:sz w:val="22"/>
          <w:szCs w:val="22"/>
        </w:rPr>
        <w:t xml:space="preserve">ndangered </w:t>
      </w:r>
      <w:r w:rsidR="00AB2666">
        <w:rPr>
          <w:sz w:val="22"/>
          <w:szCs w:val="22"/>
        </w:rPr>
        <w:t>s</w:t>
      </w:r>
      <w:r w:rsidRPr="00E8017A">
        <w:rPr>
          <w:sz w:val="22"/>
          <w:szCs w:val="22"/>
        </w:rPr>
        <w:t>ei whale (</w:t>
      </w:r>
      <w:r w:rsidRPr="00E8017A">
        <w:rPr>
          <w:i/>
          <w:sz w:val="22"/>
          <w:szCs w:val="22"/>
        </w:rPr>
        <w:t>Balaenoptera borealis)</w:t>
      </w:r>
      <w:r w:rsidRPr="00E8017A">
        <w:rPr>
          <w:sz w:val="22"/>
          <w:szCs w:val="22"/>
        </w:rPr>
        <w:t xml:space="preserve"> migrates from the Azores, likely longitudinally from waters on the Eastern Atlantic, to highly productive foraging areas in the Labrador Sea as well as Greenlandic and Icelandic waters (Olsen et al. 2009, Prieto et al. 2014). </w:t>
      </w:r>
    </w:p>
    <w:p w14:paraId="274E2DEC" w14:textId="77777777" w:rsidR="00AF6484" w:rsidRDefault="00AF6484" w:rsidP="00E8017A">
      <w:pPr>
        <w:jc w:val="both"/>
        <w:rPr>
          <w:b/>
          <w:sz w:val="22"/>
          <w:szCs w:val="22"/>
        </w:rPr>
      </w:pPr>
    </w:p>
    <w:p w14:paraId="016661F3" w14:textId="0025056F" w:rsidR="00E8017A" w:rsidRPr="00E8017A" w:rsidRDefault="00E8017A" w:rsidP="00E8017A">
      <w:pPr>
        <w:jc w:val="both"/>
        <w:rPr>
          <w:b/>
          <w:sz w:val="22"/>
          <w:szCs w:val="22"/>
        </w:rPr>
      </w:pPr>
      <w:r w:rsidRPr="00E8017A">
        <w:rPr>
          <w:b/>
          <w:sz w:val="22"/>
          <w:szCs w:val="22"/>
        </w:rPr>
        <w:t>Seabirds</w:t>
      </w:r>
    </w:p>
    <w:p w14:paraId="4FC84E50" w14:textId="151F6F15" w:rsidR="00E8017A" w:rsidRPr="00E8017A" w:rsidRDefault="00E8017A" w:rsidP="00E8017A">
      <w:pPr>
        <w:autoSpaceDE w:val="0"/>
        <w:autoSpaceDN w:val="0"/>
        <w:adjustRightInd w:val="0"/>
        <w:jc w:val="both"/>
        <w:rPr>
          <w:color w:val="000000"/>
          <w:sz w:val="22"/>
          <w:szCs w:val="22"/>
        </w:rPr>
      </w:pPr>
      <w:r w:rsidRPr="00E8017A">
        <w:rPr>
          <w:color w:val="000000"/>
          <w:sz w:val="22"/>
          <w:szCs w:val="22"/>
        </w:rPr>
        <w:t xml:space="preserve">Seabird migration in the North Atlantic is relatively well studied. Several species of seabirds, mostly shearwaters (genus </w:t>
      </w:r>
      <w:r w:rsidRPr="00E8017A">
        <w:rPr>
          <w:i/>
          <w:color w:val="000000"/>
          <w:sz w:val="22"/>
          <w:szCs w:val="22"/>
        </w:rPr>
        <w:t>Calonectris, Puffinus</w:t>
      </w:r>
      <w:r w:rsidRPr="00E8017A">
        <w:rPr>
          <w:color w:val="000000"/>
          <w:sz w:val="22"/>
          <w:szCs w:val="22"/>
        </w:rPr>
        <w:t xml:space="preserve"> and </w:t>
      </w:r>
      <w:r w:rsidRPr="00E8017A">
        <w:rPr>
          <w:i/>
          <w:color w:val="000000"/>
          <w:sz w:val="22"/>
          <w:szCs w:val="22"/>
        </w:rPr>
        <w:t>Ardenna</w:t>
      </w:r>
      <w:r w:rsidRPr="00E8017A">
        <w:rPr>
          <w:color w:val="000000"/>
          <w:sz w:val="22"/>
          <w:szCs w:val="22"/>
        </w:rPr>
        <w:t>), skuas (</w:t>
      </w:r>
      <w:r w:rsidRPr="00E8017A">
        <w:rPr>
          <w:i/>
          <w:color w:val="000000"/>
          <w:sz w:val="22"/>
          <w:szCs w:val="22"/>
        </w:rPr>
        <w:t>Catharacta</w:t>
      </w:r>
      <w:r w:rsidRPr="00E8017A">
        <w:rPr>
          <w:color w:val="000000"/>
          <w:sz w:val="22"/>
          <w:szCs w:val="22"/>
        </w:rPr>
        <w:t xml:space="preserve"> and </w:t>
      </w:r>
      <w:r w:rsidRPr="00E8017A">
        <w:rPr>
          <w:i/>
          <w:color w:val="000000"/>
          <w:sz w:val="22"/>
          <w:szCs w:val="22"/>
        </w:rPr>
        <w:t>Stercorarius</w:t>
      </w:r>
      <w:r w:rsidRPr="00E8017A">
        <w:rPr>
          <w:color w:val="000000"/>
          <w:sz w:val="22"/>
          <w:szCs w:val="22"/>
        </w:rPr>
        <w:t>) and some terns (e.g.</w:t>
      </w:r>
      <w:r w:rsidR="00AB2666">
        <w:rPr>
          <w:color w:val="000000"/>
          <w:sz w:val="22"/>
          <w:szCs w:val="22"/>
        </w:rPr>
        <w:t>,</w:t>
      </w:r>
      <w:r w:rsidRPr="00E8017A">
        <w:rPr>
          <w:color w:val="000000"/>
          <w:sz w:val="22"/>
          <w:szCs w:val="22"/>
        </w:rPr>
        <w:t xml:space="preserve"> Arctic tern </w:t>
      </w:r>
      <w:r w:rsidRPr="00E8017A">
        <w:rPr>
          <w:i/>
          <w:color w:val="000000"/>
          <w:sz w:val="22"/>
          <w:szCs w:val="22"/>
        </w:rPr>
        <w:t>Sterna paradisea</w:t>
      </w:r>
      <w:r w:rsidRPr="00E8017A">
        <w:rPr>
          <w:color w:val="000000"/>
          <w:sz w:val="22"/>
          <w:szCs w:val="22"/>
        </w:rPr>
        <w:t xml:space="preserve">) perform seasonal movements between the breeding areas and the wintering sites, many of them trans-equatorial between the North and South Atlantic (González-Solís et al. 2007, Guilford et al. 2009, Egevang et al. 2010, Dias et al. 2011, 2012, Gilg et al. 2013). </w:t>
      </w:r>
      <w:r w:rsidR="00AB2666">
        <w:rPr>
          <w:color w:val="000000"/>
          <w:sz w:val="22"/>
          <w:szCs w:val="22"/>
        </w:rPr>
        <w:t>S</w:t>
      </w:r>
      <w:r w:rsidRPr="00E8017A">
        <w:rPr>
          <w:color w:val="000000"/>
          <w:sz w:val="22"/>
          <w:szCs w:val="22"/>
        </w:rPr>
        <w:t xml:space="preserve">eabirds </w:t>
      </w:r>
      <w:r w:rsidR="00AB2666">
        <w:rPr>
          <w:color w:val="000000"/>
          <w:sz w:val="22"/>
          <w:szCs w:val="22"/>
        </w:rPr>
        <w:t xml:space="preserve">sometimes </w:t>
      </w:r>
      <w:r w:rsidRPr="00E8017A">
        <w:rPr>
          <w:color w:val="000000"/>
          <w:sz w:val="22"/>
          <w:szCs w:val="22"/>
        </w:rPr>
        <w:t xml:space="preserve">stop to spend some time in specific regions of the </w:t>
      </w:r>
      <w:r w:rsidRPr="00E8017A">
        <w:rPr>
          <w:sz w:val="22"/>
          <w:szCs w:val="22"/>
          <w:lang w:val="en-US"/>
        </w:rPr>
        <w:t>North</w:t>
      </w:r>
      <w:r w:rsidR="00AB2666">
        <w:rPr>
          <w:sz w:val="22"/>
          <w:szCs w:val="22"/>
          <w:lang w:val="en-US"/>
        </w:rPr>
        <w:t>-E</w:t>
      </w:r>
      <w:r w:rsidRPr="00E8017A">
        <w:rPr>
          <w:sz w:val="22"/>
          <w:szCs w:val="22"/>
          <w:lang w:val="en-US"/>
        </w:rPr>
        <w:t>ast Atlantic</w:t>
      </w:r>
      <w:r w:rsidRPr="00E8017A">
        <w:rPr>
          <w:color w:val="000000"/>
          <w:sz w:val="22"/>
          <w:szCs w:val="22"/>
        </w:rPr>
        <w:t xml:space="preserve"> during the migratory journey (stopovers), to replenish and/or to rest (Guilford et al. 2009, Egevang et al. 2010, Dias et al. 2012). In their migratory journeys, seabirds often follow major oceanic currents and wind corridors (e.g. Dias et al. 2012, González-Solís et al. 2009). Several species breeding in colonies in South Atlantic also perform the inverse journey to spend the non-breeding period in the North Atlantic, in most cases in areas along or near the M</w:t>
      </w:r>
      <w:r w:rsidR="00AB2666">
        <w:rPr>
          <w:color w:val="000000"/>
          <w:sz w:val="22"/>
          <w:szCs w:val="22"/>
        </w:rPr>
        <w:t>AR</w:t>
      </w:r>
      <w:r w:rsidRPr="00E8017A">
        <w:rPr>
          <w:color w:val="000000"/>
          <w:sz w:val="22"/>
          <w:szCs w:val="22"/>
        </w:rPr>
        <w:t xml:space="preserve"> (e.g.</w:t>
      </w:r>
      <w:r w:rsidR="00AB2666">
        <w:rPr>
          <w:color w:val="000000"/>
          <w:sz w:val="22"/>
          <w:szCs w:val="22"/>
        </w:rPr>
        <w:t>,</w:t>
      </w:r>
      <w:r w:rsidRPr="00E8017A">
        <w:rPr>
          <w:color w:val="000000"/>
          <w:sz w:val="22"/>
          <w:szCs w:val="22"/>
        </w:rPr>
        <w:t xml:space="preserve"> Kopp et al. 2011, Hedd et al. 2012).  </w:t>
      </w:r>
    </w:p>
    <w:p w14:paraId="52714541" w14:textId="77777777" w:rsidR="00E8017A" w:rsidRPr="00E8017A" w:rsidRDefault="00E8017A" w:rsidP="00E8017A">
      <w:pPr>
        <w:jc w:val="both"/>
        <w:rPr>
          <w:sz w:val="22"/>
          <w:szCs w:val="22"/>
          <w:highlight w:val="yellow"/>
        </w:rPr>
      </w:pPr>
    </w:p>
    <w:p w14:paraId="5E7AAD05" w14:textId="77777777" w:rsidR="00E8017A" w:rsidRPr="00E8017A" w:rsidRDefault="00E8017A" w:rsidP="00E8017A">
      <w:pPr>
        <w:autoSpaceDE w:val="0"/>
        <w:autoSpaceDN w:val="0"/>
        <w:adjustRightInd w:val="0"/>
        <w:jc w:val="both"/>
        <w:rPr>
          <w:b/>
          <w:color w:val="000000"/>
          <w:sz w:val="22"/>
          <w:szCs w:val="22"/>
        </w:rPr>
      </w:pPr>
      <w:r w:rsidRPr="00E8017A">
        <w:rPr>
          <w:b/>
          <w:color w:val="000000"/>
          <w:sz w:val="22"/>
          <w:szCs w:val="22"/>
        </w:rPr>
        <w:t>Sea turtles</w:t>
      </w:r>
    </w:p>
    <w:p w14:paraId="234C93ED" w14:textId="68BD1A8F" w:rsidR="00E8017A" w:rsidRPr="00E8017A" w:rsidRDefault="00E8017A" w:rsidP="00E8017A">
      <w:pPr>
        <w:autoSpaceDE w:val="0"/>
        <w:autoSpaceDN w:val="0"/>
        <w:adjustRightInd w:val="0"/>
        <w:jc w:val="both"/>
        <w:rPr>
          <w:sz w:val="22"/>
          <w:szCs w:val="22"/>
        </w:rPr>
      </w:pPr>
      <w:r w:rsidRPr="00E8017A">
        <w:rPr>
          <w:color w:val="000000"/>
          <w:sz w:val="22"/>
          <w:szCs w:val="22"/>
        </w:rPr>
        <w:t xml:space="preserve">Sea turtles, as long-lived ancient reptiles, </w:t>
      </w:r>
      <w:r w:rsidRPr="00E8017A">
        <w:rPr>
          <w:sz w:val="22"/>
          <w:szCs w:val="22"/>
        </w:rPr>
        <w:t xml:space="preserve">have a complex life cycle which involves a terrestrial natal and breeding/nesting phase confined to warm tropical regions due of thermal constraints on egg incubation. Hatchling, juvenile and mature sea turtles undergo major shifts in ecology, behaviour and distribution that are distinctive according to the species and developmental stage (Huang, 2015; Scott et al., 2014). </w:t>
      </w:r>
      <w:r w:rsidRPr="00E8017A">
        <w:rPr>
          <w:color w:val="000000"/>
          <w:sz w:val="22"/>
          <w:szCs w:val="22"/>
        </w:rPr>
        <w:t>There are six species of sea turtle occurring in the Atlantic Ocean, all of which are listed on the IUCN Red List of Threatened Species</w:t>
      </w:r>
      <w:r w:rsidRPr="00E8017A">
        <w:rPr>
          <w:rStyle w:val="FootnoteReference"/>
          <w:color w:val="000000"/>
          <w:sz w:val="22"/>
          <w:szCs w:val="22"/>
        </w:rPr>
        <w:footnoteReference w:id="15"/>
      </w:r>
      <w:r w:rsidRPr="00E8017A">
        <w:rPr>
          <w:color w:val="000000"/>
          <w:sz w:val="22"/>
          <w:szCs w:val="22"/>
        </w:rPr>
        <w:t>. Leatherback turtle (</w:t>
      </w:r>
      <w:r w:rsidRPr="00E8017A">
        <w:rPr>
          <w:i/>
          <w:color w:val="000000"/>
          <w:sz w:val="22"/>
          <w:szCs w:val="22"/>
        </w:rPr>
        <w:t>Dermochelys coriacea)</w:t>
      </w:r>
      <w:r w:rsidRPr="00E8017A">
        <w:rPr>
          <w:color w:val="000000"/>
          <w:sz w:val="22"/>
          <w:szCs w:val="22"/>
        </w:rPr>
        <w:t xml:space="preserve"> and </w:t>
      </w:r>
      <w:r w:rsidR="00AB2666">
        <w:rPr>
          <w:color w:val="000000"/>
          <w:sz w:val="22"/>
          <w:szCs w:val="22"/>
        </w:rPr>
        <w:t>l</w:t>
      </w:r>
      <w:r w:rsidRPr="00E8017A">
        <w:rPr>
          <w:color w:val="000000"/>
          <w:sz w:val="22"/>
          <w:szCs w:val="22"/>
        </w:rPr>
        <w:t>oggerhead turtles (</w:t>
      </w:r>
      <w:r w:rsidRPr="00E8017A">
        <w:rPr>
          <w:i/>
          <w:color w:val="000000"/>
          <w:sz w:val="22"/>
          <w:szCs w:val="22"/>
        </w:rPr>
        <w:t>Caretta caretta</w:t>
      </w:r>
      <w:r w:rsidRPr="00E8017A">
        <w:rPr>
          <w:color w:val="000000"/>
          <w:sz w:val="22"/>
          <w:szCs w:val="22"/>
        </w:rPr>
        <w:t>) are the most prominent species in the North-East Atlantic. These species are included on the OSPAR</w:t>
      </w:r>
      <w:r w:rsidRPr="00E8017A">
        <w:rPr>
          <w:sz w:val="22"/>
          <w:szCs w:val="22"/>
        </w:rPr>
        <w:t xml:space="preserve"> List of Threatened and/or Declining Species and the European Union’s Habitats Directive</w:t>
      </w:r>
      <w:r w:rsidRPr="002E4B39">
        <w:rPr>
          <w:rStyle w:val="FootnoteReference"/>
          <w:rFonts w:eastAsia="Malgun Gothic"/>
          <w:u w:val="none"/>
          <w:vertAlign w:val="superscript"/>
          <w:lang w:val="en-GB"/>
        </w:rPr>
        <w:footnoteReference w:id="16"/>
      </w:r>
      <w:r w:rsidRPr="00E8017A">
        <w:rPr>
          <w:sz w:val="22"/>
          <w:szCs w:val="22"/>
        </w:rPr>
        <w:t xml:space="preserve">. Leatherback and </w:t>
      </w:r>
      <w:r w:rsidR="00AB2666">
        <w:rPr>
          <w:sz w:val="22"/>
          <w:szCs w:val="22"/>
        </w:rPr>
        <w:t>l</w:t>
      </w:r>
      <w:r w:rsidRPr="00E8017A">
        <w:rPr>
          <w:sz w:val="22"/>
          <w:szCs w:val="22"/>
        </w:rPr>
        <w:t>oggerhead turtles make use of the vast North Atlantic Gyre circulatory system (</w:t>
      </w:r>
      <w:r w:rsidRPr="00E8017A">
        <w:rPr>
          <w:sz w:val="22"/>
          <w:szCs w:val="22"/>
        </w:rPr>
        <w:fldChar w:fldCharType="begin"/>
      </w:r>
      <w:r w:rsidRPr="00E8017A">
        <w:rPr>
          <w:sz w:val="22"/>
          <w:szCs w:val="22"/>
        </w:rPr>
        <w:instrText xml:space="preserve"> REF _Ref20401043 \h  \* MERGEFORMAT </w:instrText>
      </w:r>
      <w:r w:rsidRPr="00E8017A">
        <w:rPr>
          <w:sz w:val="22"/>
          <w:szCs w:val="22"/>
        </w:rPr>
      </w:r>
      <w:r w:rsidRPr="00E8017A">
        <w:rPr>
          <w:sz w:val="22"/>
          <w:szCs w:val="22"/>
        </w:rPr>
        <w:fldChar w:fldCharType="separate"/>
      </w:r>
      <w:r w:rsidRPr="00E8017A">
        <w:rPr>
          <w:sz w:val="22"/>
          <w:szCs w:val="22"/>
        </w:rPr>
        <w:t xml:space="preserve">Figure </w:t>
      </w:r>
      <w:r w:rsidRPr="00E8017A">
        <w:rPr>
          <w:noProof/>
          <w:sz w:val="22"/>
          <w:szCs w:val="22"/>
        </w:rPr>
        <w:t>3</w:t>
      </w:r>
      <w:r w:rsidRPr="00E8017A">
        <w:rPr>
          <w:sz w:val="22"/>
          <w:szCs w:val="22"/>
        </w:rPr>
        <w:fldChar w:fldCharType="end"/>
      </w:r>
      <w:r w:rsidRPr="00E8017A">
        <w:rPr>
          <w:sz w:val="22"/>
          <w:szCs w:val="22"/>
        </w:rPr>
        <w:t>) in order to be directed to suitable foraging areas and to eventually return to warm waters in order to breed.</w:t>
      </w:r>
    </w:p>
    <w:p w14:paraId="4BD3AF48" w14:textId="77777777" w:rsidR="00E8017A" w:rsidRPr="00E8017A" w:rsidRDefault="00E8017A" w:rsidP="00E8017A">
      <w:pPr>
        <w:autoSpaceDE w:val="0"/>
        <w:autoSpaceDN w:val="0"/>
        <w:adjustRightInd w:val="0"/>
        <w:jc w:val="both"/>
        <w:rPr>
          <w:sz w:val="22"/>
          <w:szCs w:val="22"/>
        </w:rPr>
      </w:pPr>
    </w:p>
    <w:p w14:paraId="12F8423D" w14:textId="77777777" w:rsidR="00E8017A" w:rsidRPr="00E8017A" w:rsidRDefault="00E8017A" w:rsidP="00E8017A">
      <w:pPr>
        <w:keepNext/>
        <w:jc w:val="both"/>
        <w:rPr>
          <w:sz w:val="22"/>
          <w:szCs w:val="22"/>
        </w:rPr>
      </w:pPr>
      <w:r w:rsidRPr="00E8017A">
        <w:rPr>
          <w:noProof/>
          <w:sz w:val="22"/>
          <w:szCs w:val="22"/>
          <w:lang w:val="fr-CA" w:eastAsia="fr-CA"/>
        </w:rPr>
        <w:drawing>
          <wp:inline distT="0" distB="0" distL="0" distR="0" wp14:anchorId="46E1F9E8" wp14:editId="663D2267">
            <wp:extent cx="5731369" cy="322389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lantic_basin_seaturtles2.png"/>
                    <pic:cNvPicPr/>
                  </pic:nvPicPr>
                  <pic:blipFill>
                    <a:blip r:embed="rId74">
                      <a:extLst>
                        <a:ext uri="{28A0092B-C50C-407E-A947-70E740481C1C}">
                          <a14:useLocalDpi xmlns:a14="http://schemas.microsoft.com/office/drawing/2010/main" val="0"/>
                        </a:ext>
                      </a:extLst>
                    </a:blip>
                    <a:stretch>
                      <a:fillRect/>
                    </a:stretch>
                  </pic:blipFill>
                  <pic:spPr>
                    <a:xfrm>
                      <a:off x="0" y="0"/>
                      <a:ext cx="5731369" cy="3223895"/>
                    </a:xfrm>
                    <a:prstGeom prst="rect">
                      <a:avLst/>
                    </a:prstGeom>
                  </pic:spPr>
                </pic:pic>
              </a:graphicData>
            </a:graphic>
          </wp:inline>
        </w:drawing>
      </w:r>
    </w:p>
    <w:p w14:paraId="5911D2E9" w14:textId="77777777" w:rsidR="00E8017A" w:rsidRPr="00AF6484" w:rsidRDefault="00E8017A" w:rsidP="00E8017A">
      <w:pPr>
        <w:pStyle w:val="Caption"/>
        <w:rPr>
          <w:szCs w:val="22"/>
          <w:highlight w:val="yellow"/>
          <w:u w:val="none"/>
        </w:rPr>
      </w:pPr>
      <w:bookmarkStart w:id="7" w:name="_Ref20401043"/>
      <w:r w:rsidRPr="00AF6484">
        <w:rPr>
          <w:szCs w:val="22"/>
          <w:u w:val="none"/>
        </w:rPr>
        <w:t xml:space="preserve">Figure </w:t>
      </w:r>
      <w:r w:rsidRPr="00AF6484">
        <w:rPr>
          <w:szCs w:val="22"/>
          <w:u w:val="none"/>
        </w:rPr>
        <w:fldChar w:fldCharType="begin"/>
      </w:r>
      <w:r w:rsidRPr="00AF6484">
        <w:rPr>
          <w:szCs w:val="22"/>
          <w:u w:val="none"/>
        </w:rPr>
        <w:instrText xml:space="preserve"> SEQ Figure \* ARABIC </w:instrText>
      </w:r>
      <w:r w:rsidRPr="00AF6484">
        <w:rPr>
          <w:szCs w:val="22"/>
          <w:u w:val="none"/>
        </w:rPr>
        <w:fldChar w:fldCharType="separate"/>
      </w:r>
      <w:r w:rsidRPr="00AF6484">
        <w:rPr>
          <w:noProof/>
          <w:szCs w:val="22"/>
          <w:u w:val="none"/>
        </w:rPr>
        <w:t>3</w:t>
      </w:r>
      <w:r w:rsidRPr="00AF6484">
        <w:rPr>
          <w:noProof/>
          <w:szCs w:val="22"/>
          <w:u w:val="none"/>
        </w:rPr>
        <w:fldChar w:fldCharType="end"/>
      </w:r>
      <w:bookmarkEnd w:id="7"/>
      <w:r w:rsidRPr="00AF6484">
        <w:rPr>
          <w:szCs w:val="22"/>
          <w:u w:val="none"/>
        </w:rPr>
        <w:t xml:space="preserve">. Illustration of the turtle migration across the Atlantic using currents.  </w:t>
      </w:r>
    </w:p>
    <w:p w14:paraId="44EAB6D5" w14:textId="77777777" w:rsidR="00AF6484" w:rsidRDefault="00AF6484" w:rsidP="00E8017A">
      <w:pPr>
        <w:autoSpaceDE w:val="0"/>
        <w:autoSpaceDN w:val="0"/>
        <w:adjustRightInd w:val="0"/>
        <w:jc w:val="both"/>
        <w:rPr>
          <w:sz w:val="22"/>
          <w:szCs w:val="22"/>
        </w:rPr>
      </w:pPr>
    </w:p>
    <w:p w14:paraId="1BD509B1" w14:textId="39B0CCF8" w:rsidR="00E8017A" w:rsidRPr="00E8017A" w:rsidRDefault="00E8017A" w:rsidP="00E8017A">
      <w:pPr>
        <w:autoSpaceDE w:val="0"/>
        <w:autoSpaceDN w:val="0"/>
        <w:adjustRightInd w:val="0"/>
        <w:jc w:val="both"/>
        <w:rPr>
          <w:sz w:val="22"/>
          <w:szCs w:val="22"/>
        </w:rPr>
      </w:pPr>
      <w:r w:rsidRPr="00E8017A">
        <w:rPr>
          <w:sz w:val="22"/>
          <w:szCs w:val="22"/>
        </w:rPr>
        <w:t>For migrating Loggerhead turtles, the warm temperate areas of the North-East Atlantic around the Azores, Madeira and the Canary Islands (Carr, 1986; Santos et al., 2007) as well as along the Atlantic coast of southern Spain and Portugal, are shown to be particularly significant in late summer. Leatherback turtles are known to also inhabit cold temperate waters of the North-East Atlantic, particularly in the warmer summer and autumn months</w:t>
      </w:r>
      <w:r w:rsidR="00DA2C06">
        <w:rPr>
          <w:sz w:val="22"/>
          <w:szCs w:val="22"/>
        </w:rPr>
        <w:t>,</w:t>
      </w:r>
      <w:r w:rsidRPr="00E8017A">
        <w:rPr>
          <w:sz w:val="22"/>
          <w:szCs w:val="22"/>
        </w:rPr>
        <w:t xml:space="preserve"> whe</w:t>
      </w:r>
      <w:r w:rsidR="00DA2C06">
        <w:rPr>
          <w:sz w:val="22"/>
          <w:szCs w:val="22"/>
        </w:rPr>
        <w:t>n</w:t>
      </w:r>
      <w:r w:rsidRPr="00E8017A">
        <w:rPr>
          <w:sz w:val="22"/>
          <w:szCs w:val="22"/>
        </w:rPr>
        <w:t xml:space="preserve"> they are recorded opportunistically off Ireland, the UK and in the Bay of Biscay (Doyle, 2007; Eckert, 2006). </w:t>
      </w:r>
    </w:p>
    <w:p w14:paraId="56E184FF" w14:textId="77777777" w:rsidR="00E8017A" w:rsidRPr="00E8017A" w:rsidRDefault="00E8017A" w:rsidP="00E8017A">
      <w:pPr>
        <w:jc w:val="both"/>
        <w:rPr>
          <w:sz w:val="22"/>
          <w:szCs w:val="22"/>
        </w:rPr>
      </w:pPr>
    </w:p>
    <w:p w14:paraId="41C7570C" w14:textId="77777777" w:rsidR="00E8017A" w:rsidRPr="00E8017A" w:rsidRDefault="00E8017A" w:rsidP="00E8017A">
      <w:pPr>
        <w:pStyle w:val="Heading1"/>
        <w:jc w:val="both"/>
        <w:rPr>
          <w:szCs w:val="22"/>
        </w:rPr>
      </w:pPr>
      <w:r w:rsidRPr="00E8017A">
        <w:rPr>
          <w:szCs w:val="22"/>
        </w:rPr>
        <w:t>References</w:t>
      </w:r>
    </w:p>
    <w:p w14:paraId="17632E52"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lang w:val="en-US"/>
        </w:rPr>
        <w:t xml:space="preserve">Bower, A.S., Le Cann, B., Rossby, T., Zenk, W., Gould, J., Speer, K., Richardson, P.L., Prater, M.D., Zhang, H.M., 2002. Directly measured mid-depth circulation in the northeastern North Atlantic Ocean. Nature 419, 603–607. </w:t>
      </w:r>
      <w:hyperlink r:id="rId75" w:history="1">
        <w:r w:rsidRPr="00E8017A">
          <w:rPr>
            <w:rStyle w:val="Hyperlink"/>
            <w:sz w:val="22"/>
            <w:szCs w:val="22"/>
            <w:lang w:val="en-US"/>
          </w:rPr>
          <w:t>http://dx.doi.org/10.1038/nature01078</w:t>
        </w:r>
      </w:hyperlink>
    </w:p>
    <w:p w14:paraId="114A05CC" w14:textId="77777777" w:rsidR="005D7A0F" w:rsidRDefault="005D7A0F" w:rsidP="00846AD1">
      <w:pPr>
        <w:autoSpaceDE w:val="0"/>
        <w:autoSpaceDN w:val="0"/>
        <w:adjustRightInd w:val="0"/>
        <w:ind w:left="720" w:hanging="720"/>
        <w:jc w:val="both"/>
        <w:rPr>
          <w:sz w:val="22"/>
          <w:szCs w:val="22"/>
        </w:rPr>
      </w:pPr>
      <w:r w:rsidRPr="005D7A0F">
        <w:rPr>
          <w:sz w:val="22"/>
          <w:szCs w:val="22"/>
        </w:rPr>
        <w:t>Buckley, M. and J. Marshall (2016). "Observations, inferences, and mechanisms of the Atlantic Meridional Overturning Circulation: A review." Reviews of Geophysics: 1-59.</w:t>
      </w:r>
    </w:p>
    <w:p w14:paraId="52F4B3CA" w14:textId="5FCD1383" w:rsidR="00E8017A" w:rsidRPr="00E8017A" w:rsidRDefault="00E8017A" w:rsidP="00846AD1">
      <w:pPr>
        <w:autoSpaceDE w:val="0"/>
        <w:autoSpaceDN w:val="0"/>
        <w:adjustRightInd w:val="0"/>
        <w:jc w:val="both"/>
        <w:rPr>
          <w:sz w:val="22"/>
          <w:szCs w:val="22"/>
        </w:rPr>
      </w:pPr>
      <w:r w:rsidRPr="00E8017A">
        <w:rPr>
          <w:sz w:val="22"/>
          <w:szCs w:val="22"/>
        </w:rPr>
        <w:t>Caldeira K, Wickett ME (2003) Anthropogenic carbon and ocean pH. Nature 425: 365</w:t>
      </w:r>
    </w:p>
    <w:p w14:paraId="10A22879"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 xml:space="preserve">Carr A.F. (1986). Rips, FADS, and little loggerheads. </w:t>
      </w:r>
      <w:r w:rsidRPr="00E8017A">
        <w:rPr>
          <w:i/>
          <w:iCs/>
          <w:sz w:val="22"/>
          <w:szCs w:val="22"/>
        </w:rPr>
        <w:t xml:space="preserve">Bioscience </w:t>
      </w:r>
      <w:r w:rsidRPr="00E8017A">
        <w:rPr>
          <w:b/>
          <w:bCs/>
          <w:sz w:val="22"/>
          <w:szCs w:val="22"/>
        </w:rPr>
        <w:t>36</w:t>
      </w:r>
      <w:r w:rsidRPr="00E8017A">
        <w:rPr>
          <w:sz w:val="22"/>
          <w:szCs w:val="22"/>
        </w:rPr>
        <w:t>:92–100</w:t>
      </w:r>
    </w:p>
    <w:p w14:paraId="6FFB21CD" w14:textId="2DC66788" w:rsidR="00137D78" w:rsidRPr="00E8017A" w:rsidRDefault="00137D78" w:rsidP="00846AD1">
      <w:pPr>
        <w:autoSpaceDE w:val="0"/>
        <w:autoSpaceDN w:val="0"/>
        <w:adjustRightInd w:val="0"/>
        <w:ind w:left="720" w:hanging="720"/>
        <w:jc w:val="both"/>
        <w:rPr>
          <w:sz w:val="22"/>
          <w:szCs w:val="22"/>
          <w:lang w:val="en-US"/>
        </w:rPr>
      </w:pPr>
      <w:r w:rsidRPr="00E8017A">
        <w:rPr>
          <w:sz w:val="22"/>
          <w:szCs w:val="22"/>
          <w:lang w:val="en-US"/>
        </w:rPr>
        <w:t xml:space="preserve">Daniaulta, N; Mercier, H, Lherminier, P; Sarafanov, A; Falina, A; Zunino, P; Pérez, F; Ríos; Ferron,  B; Hucke, T; Thierry, V; Gladyshevd, S; (2016) The northern North Atlantic Ocean mean circulation in the early 21st century. </w:t>
      </w:r>
      <w:r w:rsidRPr="00846AD1">
        <w:rPr>
          <w:i/>
          <w:sz w:val="22"/>
          <w:szCs w:val="22"/>
          <w:lang w:val="en-US"/>
        </w:rPr>
        <w:t>Progress in Oceanography</w:t>
      </w:r>
      <w:r w:rsidRPr="00E8017A">
        <w:rPr>
          <w:sz w:val="22"/>
          <w:szCs w:val="22"/>
          <w:lang w:val="en-US"/>
        </w:rPr>
        <w:t>, 146, p142-158. https://doi.org/10.1016/j.pocean.2016.06.007</w:t>
      </w:r>
    </w:p>
    <w:p w14:paraId="37F76680"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Dias M.P., Granadeiro J.P., Phillips R.A., Alonso H., Catry P. (2011) Breaking the routine: individual Cory's shearwaters shift winter destinations between hemispheres and across ocean basins. Proceedings of the Royal Society of London B: Biological Sciences 278, 1786-1793.</w:t>
      </w:r>
    </w:p>
    <w:p w14:paraId="29240D59"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Dias M., Granadeiro J., Catry P. (2012) Do Seabirds Differ from Other Migrants in Their Travel Arrangements? On Route Strategies of Cory’s Shearwater during Its Trans-Equatorial Journey. PLOS ONE 7, e49376.</w:t>
      </w:r>
    </w:p>
    <w:p w14:paraId="6720E8CB"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Dinter, W. P. (2001). Biogeography of the OSPAR maritime area. Bonn, Germany: Federal Agency for Nature Conservation</w:t>
      </w:r>
    </w:p>
    <w:p w14:paraId="748FAF4D" w14:textId="77777777" w:rsidR="00E8017A" w:rsidRPr="00E8017A" w:rsidRDefault="00E8017A" w:rsidP="00846AD1">
      <w:pPr>
        <w:autoSpaceDE w:val="0"/>
        <w:autoSpaceDN w:val="0"/>
        <w:adjustRightInd w:val="0"/>
        <w:ind w:left="720" w:hanging="720"/>
        <w:jc w:val="both"/>
        <w:rPr>
          <w:i/>
          <w:iCs/>
          <w:sz w:val="22"/>
          <w:szCs w:val="22"/>
        </w:rPr>
      </w:pPr>
      <w:r w:rsidRPr="00E8017A">
        <w:rPr>
          <w:sz w:val="22"/>
          <w:szCs w:val="22"/>
        </w:rPr>
        <w:t>Doyle T. K. (2007). Leatherback Sea Turtles (</w:t>
      </w:r>
      <w:r w:rsidRPr="00E8017A">
        <w:rPr>
          <w:i/>
          <w:sz w:val="22"/>
          <w:szCs w:val="22"/>
        </w:rPr>
        <w:t>Dermochelys coriacea</w:t>
      </w:r>
      <w:r w:rsidRPr="00E8017A">
        <w:rPr>
          <w:sz w:val="22"/>
          <w:szCs w:val="22"/>
        </w:rPr>
        <w:t xml:space="preserve">) in Irish waters. </w:t>
      </w:r>
      <w:r w:rsidRPr="00E8017A">
        <w:rPr>
          <w:i/>
          <w:iCs/>
          <w:sz w:val="22"/>
          <w:szCs w:val="22"/>
        </w:rPr>
        <w:t xml:space="preserve">Irish Wildlife Manuals </w:t>
      </w:r>
      <w:r w:rsidRPr="00846AD1">
        <w:rPr>
          <w:sz w:val="22"/>
          <w:szCs w:val="22"/>
        </w:rPr>
        <w:t>32</w:t>
      </w:r>
      <w:r w:rsidRPr="00E8017A">
        <w:rPr>
          <w:sz w:val="22"/>
          <w:szCs w:val="22"/>
        </w:rPr>
        <w:t>. National Parks and Wildlife Service, Department of the Environment, Heritage and Local</w:t>
      </w:r>
      <w:r w:rsidRPr="00E8017A">
        <w:rPr>
          <w:i/>
          <w:iCs/>
          <w:sz w:val="22"/>
          <w:szCs w:val="22"/>
        </w:rPr>
        <w:t xml:space="preserve"> </w:t>
      </w:r>
      <w:r w:rsidRPr="00E8017A">
        <w:rPr>
          <w:sz w:val="22"/>
          <w:szCs w:val="22"/>
        </w:rPr>
        <w:t>Government, Dublin, Ireland.</w:t>
      </w:r>
    </w:p>
    <w:p w14:paraId="47450AF8" w14:textId="7274A517" w:rsidR="00E8017A" w:rsidRPr="00E8017A" w:rsidRDefault="00E8017A" w:rsidP="00846AD1">
      <w:pPr>
        <w:autoSpaceDE w:val="0"/>
        <w:autoSpaceDN w:val="0"/>
        <w:adjustRightInd w:val="0"/>
        <w:ind w:left="720" w:hanging="720"/>
        <w:jc w:val="both"/>
        <w:rPr>
          <w:sz w:val="22"/>
          <w:szCs w:val="22"/>
          <w:lang w:val="en-US"/>
        </w:rPr>
      </w:pPr>
      <w:r w:rsidRPr="00E8017A">
        <w:rPr>
          <w:sz w:val="22"/>
          <w:szCs w:val="22"/>
          <w:lang w:val="en-US"/>
        </w:rPr>
        <w:t>Drange, H., Dokken, T., Furevik, T., Gerdes, R., Berger, W. (Eds.)</w:t>
      </w:r>
      <w:r w:rsidR="00137D78">
        <w:rPr>
          <w:sz w:val="22"/>
          <w:szCs w:val="22"/>
          <w:lang w:val="en-US"/>
        </w:rPr>
        <w:t xml:space="preserve"> </w:t>
      </w:r>
      <w:r w:rsidRPr="00E8017A">
        <w:rPr>
          <w:sz w:val="22"/>
          <w:szCs w:val="22"/>
          <w:lang w:val="en-US"/>
        </w:rPr>
        <w:t>Geophysical Monograph Series 158 pp. 137-202.</w:t>
      </w:r>
    </w:p>
    <w:p w14:paraId="3EC29872"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Eckert S.A. (2006). High-use oceanic areas for Atlantic leatherback sea turtles (</w:t>
      </w:r>
      <w:r w:rsidRPr="00E8017A">
        <w:rPr>
          <w:i/>
          <w:sz w:val="22"/>
          <w:szCs w:val="22"/>
        </w:rPr>
        <w:t>Dermochelys coriacea</w:t>
      </w:r>
      <w:r w:rsidRPr="00E8017A">
        <w:rPr>
          <w:sz w:val="22"/>
          <w:szCs w:val="22"/>
        </w:rPr>
        <w:t xml:space="preserve">) as identified using satellite telemetered location and dive information. </w:t>
      </w:r>
      <w:r w:rsidRPr="00E8017A">
        <w:rPr>
          <w:i/>
          <w:iCs/>
          <w:sz w:val="22"/>
          <w:szCs w:val="22"/>
        </w:rPr>
        <w:t>Marine Biology</w:t>
      </w:r>
      <w:r w:rsidRPr="00E8017A">
        <w:rPr>
          <w:sz w:val="22"/>
          <w:szCs w:val="22"/>
        </w:rPr>
        <w:t xml:space="preserve"> </w:t>
      </w:r>
      <w:r w:rsidRPr="00E8017A">
        <w:rPr>
          <w:bCs/>
          <w:sz w:val="22"/>
          <w:szCs w:val="22"/>
        </w:rPr>
        <w:t>149</w:t>
      </w:r>
      <w:r w:rsidRPr="00E8017A">
        <w:rPr>
          <w:sz w:val="22"/>
          <w:szCs w:val="22"/>
        </w:rPr>
        <w:t>: 1257-1267.</w:t>
      </w:r>
    </w:p>
    <w:p w14:paraId="4A5F2AC6"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Egevang C., Stenhouse I.J., Phillips R.A., Petersen A., Fox J.W., Silk J.R. (2010) Tracking of Arctic terns Sterna paradisaea reveals longest animal migration. Proceedings of the National Academy of Sciences 107, 2078-2081.</w:t>
      </w:r>
    </w:p>
    <w:p w14:paraId="3FF8D435"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Falkowski, P. G., Barber, R. T., &amp; Smetacek, V. (1998). Biogeochemical controls and feedbacks on ocean primary production. Science, 281(5374), 200-206.</w:t>
      </w:r>
    </w:p>
    <w:p w14:paraId="47F1CCC5"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Feely RA, Sabine CL, Lee K, Berelson W, Kleypas J, Fabry VJ, Millero FJ (2004) Impact of anthropogenic CO</w:t>
      </w:r>
      <w:r w:rsidRPr="00E8017A">
        <w:rPr>
          <w:sz w:val="22"/>
          <w:szCs w:val="22"/>
          <w:vertAlign w:val="subscript"/>
        </w:rPr>
        <w:t>2</w:t>
      </w:r>
      <w:r w:rsidRPr="00E8017A">
        <w:rPr>
          <w:sz w:val="22"/>
          <w:szCs w:val="22"/>
        </w:rPr>
        <w:t xml:space="preserve"> on the CaCO</w:t>
      </w:r>
      <w:r w:rsidRPr="00E8017A">
        <w:rPr>
          <w:sz w:val="22"/>
          <w:szCs w:val="22"/>
          <w:vertAlign w:val="subscript"/>
        </w:rPr>
        <w:t>3</w:t>
      </w:r>
      <w:r w:rsidRPr="00E8017A">
        <w:rPr>
          <w:sz w:val="22"/>
          <w:szCs w:val="22"/>
        </w:rPr>
        <w:t xml:space="preserve"> system in the oceans. Science 305: 362–366</w:t>
      </w:r>
    </w:p>
    <w:p w14:paraId="22498167" w14:textId="357A1308" w:rsidR="00E8017A" w:rsidRPr="00E8017A" w:rsidRDefault="00E8017A" w:rsidP="00846AD1">
      <w:pPr>
        <w:autoSpaceDE w:val="0"/>
        <w:autoSpaceDN w:val="0"/>
        <w:adjustRightInd w:val="0"/>
        <w:ind w:left="720" w:hanging="720"/>
        <w:jc w:val="both"/>
        <w:rPr>
          <w:sz w:val="22"/>
          <w:szCs w:val="22"/>
          <w:lang w:val="en-US"/>
        </w:rPr>
      </w:pPr>
      <w:r w:rsidRPr="00E8017A">
        <w:rPr>
          <w:sz w:val="22"/>
          <w:szCs w:val="22"/>
          <w:lang w:val="en-US"/>
        </w:rPr>
        <w:t>Fratantoni, D. M. (2001), North Atlantic surface circulation during the 1990's observed with satellite‐tracked drifters, J. Geophys. Res., 106( C10), 22067– 22093, doi:10.1029/2000JC000730.</w:t>
      </w:r>
    </w:p>
    <w:p w14:paraId="78F60C1B"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rPr>
        <w:t>Hedd A., Montevecchi W.A., Otley H., Phillips R.A., Fifield D.A. (2012) Trans-equatorial migration and habitat use by sooty shearwaters Puffinus griseus from the South Atlantic during the nonbreeding season. Marine Ecology Progress Series 449, 277-290.</w:t>
      </w:r>
    </w:p>
    <w:p w14:paraId="123B50C9"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Gilg O., Moe B., Hanssen S.A. et al. (2013) Trans-equatorial migration routes, staging sites and wintering areas of a high-arctic avian predator: the long-tailed skua (Stercorarius longicaudus). PloS one 8, e64614.</w:t>
      </w:r>
    </w:p>
    <w:p w14:paraId="0896F4EE"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 xml:space="preserve">González-Solís, J., Croxall, J.P., Oro, D., Ruiz, X.P., (2007). Trans-equatorial migration and mixing in the wintering areas of a pelagic seabird. </w:t>
      </w:r>
      <w:hyperlink r:id="rId76" w:history="1">
        <w:r w:rsidRPr="00E8017A">
          <w:rPr>
            <w:rStyle w:val="Hyperlink"/>
            <w:sz w:val="22"/>
            <w:szCs w:val="22"/>
          </w:rPr>
          <w:t>https://doi.org/10.1890/1540-9295(2007)5[297:TMAMIT]2.0.CO;2</w:t>
        </w:r>
      </w:hyperlink>
    </w:p>
    <w:p w14:paraId="223F13FF" w14:textId="4273C781" w:rsidR="00E8017A" w:rsidRPr="00BA5305" w:rsidRDefault="00E8017A" w:rsidP="00846AD1">
      <w:pPr>
        <w:autoSpaceDE w:val="0"/>
        <w:autoSpaceDN w:val="0"/>
        <w:adjustRightInd w:val="0"/>
        <w:ind w:left="720" w:hanging="720"/>
        <w:jc w:val="both"/>
        <w:rPr>
          <w:sz w:val="22"/>
          <w:szCs w:val="22"/>
        </w:rPr>
      </w:pPr>
      <w:r w:rsidRPr="00BA5305">
        <w:rPr>
          <w:sz w:val="22"/>
          <w:szCs w:val="22"/>
        </w:rPr>
        <w:t xml:space="preserve">González-Solís, J., Felicísimo, A., Fox, J.W., Afanasyev, V., Kolbeinsson, Y., Muñoz, J., 2009. Influence of sea surface winds on shearwater migration detours. Marine Ecology Progress Series 391, 221–230. </w:t>
      </w:r>
      <w:hyperlink r:id="rId77" w:history="1">
        <w:r w:rsidR="00DB10C8" w:rsidRPr="00BA5305">
          <w:rPr>
            <w:rStyle w:val="Hyperlink"/>
            <w:sz w:val="22"/>
            <w:szCs w:val="22"/>
          </w:rPr>
          <w:t>https://doi.org/10.3354/meps08128</w:t>
        </w:r>
      </w:hyperlink>
    </w:p>
    <w:p w14:paraId="5DE33006" w14:textId="4EB42AF2" w:rsidR="00DB10C8" w:rsidRPr="00BA5305" w:rsidRDefault="00DB10C8" w:rsidP="00846AD1">
      <w:pPr>
        <w:pStyle w:val="Reference"/>
        <w:spacing w:before="0"/>
      </w:pPr>
      <w:r w:rsidRPr="00846AD1">
        <w:rPr>
          <w:sz w:val="22"/>
          <w:szCs w:val="22"/>
        </w:rPr>
        <w:t>Gruber, N., D. Clement, B. R. Carter, R. A. Feely, S. van Heuven, M. Hoppema, M. Ishii, R. M. Key, A. Kozyr, S. K. Lauvset, C. Lo Monaco, J. T. Mathis, A. Murata, A. Olsen, F. F. Perez, C. L. Sabine, T. Tanhua and R. Wanninkhof (2019). "The oceanic sink for anthropogenic CO2; from 1994 to 2007." Science 363(6432): 1193.</w:t>
      </w:r>
    </w:p>
    <w:p w14:paraId="68EEE6B1" w14:textId="77777777" w:rsidR="00E8017A" w:rsidRPr="00E8017A" w:rsidRDefault="00E8017A" w:rsidP="00846AD1">
      <w:pPr>
        <w:autoSpaceDE w:val="0"/>
        <w:autoSpaceDN w:val="0"/>
        <w:adjustRightInd w:val="0"/>
        <w:ind w:left="720" w:hanging="720"/>
        <w:jc w:val="both"/>
        <w:rPr>
          <w:sz w:val="22"/>
          <w:szCs w:val="22"/>
          <w:lang w:val="en-US"/>
        </w:rPr>
      </w:pPr>
      <w:r w:rsidRPr="00BA5305">
        <w:rPr>
          <w:sz w:val="22"/>
          <w:szCs w:val="22"/>
        </w:rPr>
        <w:t>Guilford T., Meade J., Willis J. et al. (2009) Migration and stopover in a small pelagic seabird, the Manx shearwater Puffinus puffinus: insights from machine learning. Proceedings of the Royal Society of London B: Biological Sciences, rspb. 2008.1577.IPCC, 2019: Summary for Policymakers. In: IPCC Special Report on the Ocean and Cryosphere in a Changing Climate [H.- O. Pörtner, D.C. Roberts, V. Masson-Delmotte, P. Zhai, M. Tignor, E. Poloczanska, K. Mintenbeck, M. Nicolai, A.</w:t>
      </w:r>
      <w:r w:rsidRPr="00E8017A">
        <w:rPr>
          <w:sz w:val="22"/>
          <w:szCs w:val="22"/>
        </w:rPr>
        <w:t xml:space="preserve"> Okem, J. Petzold, B. Rama, N. Weyer (eds.)]. In press.</w:t>
      </w:r>
    </w:p>
    <w:p w14:paraId="3014F1F6"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rPr>
        <w:t xml:space="preserve">Guinotte, J. M., Orr, J., Cairns, S., Freiwald, A., Morgan, L. and George, R. (2006). Will human-induced changes in seawater chemistry alter the distribution of deep-sea scleractinian corals? </w:t>
      </w:r>
      <w:r w:rsidRPr="00E8017A">
        <w:rPr>
          <w:iCs/>
          <w:sz w:val="22"/>
          <w:szCs w:val="22"/>
        </w:rPr>
        <w:t xml:space="preserve">Frontiers in Ecology and the Environment </w:t>
      </w:r>
      <w:r w:rsidRPr="00E8017A">
        <w:rPr>
          <w:b/>
          <w:sz w:val="22"/>
          <w:szCs w:val="22"/>
        </w:rPr>
        <w:t>4</w:t>
      </w:r>
      <w:r w:rsidRPr="00E8017A">
        <w:rPr>
          <w:sz w:val="22"/>
          <w:szCs w:val="22"/>
        </w:rPr>
        <w:t>: 141-146.</w:t>
      </w:r>
    </w:p>
    <w:p w14:paraId="2E934628"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Heger, A., Ieno, E. N., King, N. J., Morris, K. J., Bagley, P. M., &amp; Priede, I. G. (2008). Deep-sea pelagic bioluminescence over the Mid-Atlantic Ridge. Deep Sea Research Part II: Topical Studies in Oceanography, 55(1-2), 126-136.</w:t>
      </w:r>
    </w:p>
    <w:p w14:paraId="62F73390"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Hosia, A., Stemmann, L., &amp; Youngbluth, M. (2008). Distribution of net-collected planktonic cnidarians along the northern Mid-Atlantic Ridge and their associations with the main water masses. Deep Sea Research Part II: Topical Studies in Oceanography, 55(1-2), 106-118.</w:t>
      </w:r>
    </w:p>
    <w:p w14:paraId="0CD83A82" w14:textId="70E0727C" w:rsidR="00D812EB" w:rsidRPr="00846AD1" w:rsidRDefault="00E8017A" w:rsidP="00846AD1">
      <w:pPr>
        <w:pStyle w:val="Reference"/>
        <w:spacing w:before="0"/>
        <w:rPr>
          <w:sz w:val="22"/>
          <w:szCs w:val="22"/>
        </w:rPr>
      </w:pPr>
      <w:r w:rsidRPr="00E8017A">
        <w:rPr>
          <w:sz w:val="22"/>
          <w:szCs w:val="22"/>
        </w:rPr>
        <w:t xml:space="preserve">Huang, H-W. (2015). Conservation hotspots for the turtles on the high seas of the Atlantic Ocean. </w:t>
      </w:r>
      <w:r w:rsidRPr="00E8017A">
        <w:rPr>
          <w:i/>
          <w:sz w:val="22"/>
          <w:szCs w:val="22"/>
        </w:rPr>
        <w:t>PLoS ONE</w:t>
      </w:r>
      <w:r w:rsidRPr="00E8017A">
        <w:rPr>
          <w:sz w:val="22"/>
          <w:szCs w:val="22"/>
        </w:rPr>
        <w:t xml:space="preserve"> 10(8): e0133614. doi:10.1371/journal.pone.0133614.</w:t>
      </w:r>
      <w:r w:rsidR="00D812EB" w:rsidRPr="00846AD1">
        <w:rPr>
          <w:sz w:val="22"/>
          <w:szCs w:val="22"/>
        </w:rPr>
        <w:t>Josey, S.A., Hirschi, J. J.-M., Sinha, B., Duchez, A., Grist, J.P. and Marsh, R. (2018) The Recent Atlantic Cold Anomaly: Causes, Consequences, and Related Phenomena Annual Review of Marine Science, 10 (1), 475-501. (doi:10.1146/annurev-marine-121916-063102).</w:t>
      </w:r>
    </w:p>
    <w:p w14:paraId="55C61DE8" w14:textId="4EDA7CC7" w:rsidR="00E8017A" w:rsidRPr="00E8017A" w:rsidRDefault="00E8017A" w:rsidP="00846AD1">
      <w:pPr>
        <w:autoSpaceDE w:val="0"/>
        <w:autoSpaceDN w:val="0"/>
        <w:adjustRightInd w:val="0"/>
        <w:ind w:left="720" w:hanging="720"/>
        <w:jc w:val="both"/>
        <w:rPr>
          <w:sz w:val="22"/>
          <w:szCs w:val="22"/>
        </w:rPr>
      </w:pPr>
      <w:r w:rsidRPr="00E8017A">
        <w:rPr>
          <w:sz w:val="22"/>
          <w:szCs w:val="22"/>
          <w:lang w:val="sv-SE"/>
        </w:rPr>
        <w:t xml:space="preserve">Kopp M., Peter H.-U., Mustafa O. et al. </w:t>
      </w:r>
      <w:r w:rsidRPr="00E8017A">
        <w:rPr>
          <w:sz w:val="22"/>
          <w:szCs w:val="22"/>
        </w:rPr>
        <w:t>(2011) South polar skuas from a single breeding population overwinter in different oceans though show similar migration patterns. Marine Ecology Progress Series 435, 263-267.</w:t>
      </w:r>
    </w:p>
    <w:p w14:paraId="2C763090"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lang w:val="en-US"/>
        </w:rPr>
        <w:t>Lozier, M.S., Overturning assumptions: Past, present, and future concerns about the ocean’s circulation. Oceanography. 28, 240–251 (2015).</w:t>
      </w:r>
    </w:p>
    <w:p w14:paraId="4D31D1A3" w14:textId="77777777" w:rsidR="00E8017A" w:rsidRPr="00846AD1" w:rsidRDefault="00E8017A" w:rsidP="00846AD1">
      <w:pPr>
        <w:autoSpaceDE w:val="0"/>
        <w:autoSpaceDN w:val="0"/>
        <w:adjustRightInd w:val="0"/>
        <w:ind w:left="720" w:hanging="720"/>
        <w:jc w:val="both"/>
        <w:rPr>
          <w:sz w:val="22"/>
          <w:szCs w:val="22"/>
          <w:lang w:val="fr-CA"/>
        </w:rPr>
      </w:pPr>
      <w:r w:rsidRPr="00E8017A">
        <w:rPr>
          <w:sz w:val="22"/>
          <w:szCs w:val="22"/>
        </w:rPr>
        <w:t xml:space="preserve">Malmberg, S-A., and Valdimarsson, H. 2003. Hydrographic conditions in Icelandic waters, 1990-1999. </w:t>
      </w:r>
      <w:r w:rsidRPr="00846AD1">
        <w:rPr>
          <w:sz w:val="22"/>
          <w:szCs w:val="22"/>
          <w:lang w:val="fr-CA"/>
        </w:rPr>
        <w:t>ICES Marine Science Symposia 219: 50-60.</w:t>
      </w:r>
    </w:p>
    <w:p w14:paraId="0B444571"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lang w:val="sv-SE"/>
        </w:rPr>
        <w:t xml:space="preserve">Melle, W., Ellertsen, B., Skjoldal, H.R., 2005. </w:t>
      </w:r>
      <w:r w:rsidRPr="00E8017A">
        <w:rPr>
          <w:sz w:val="22"/>
          <w:szCs w:val="22"/>
          <w:lang w:val="en-US"/>
        </w:rPr>
        <w:t>Zooplankton: The link to higher trophic levels. In: The Nordic Seas: An integrated perspective oceanography, climatology, biogeochemistry, and modelling.</w:t>
      </w:r>
    </w:p>
    <w:p w14:paraId="5528B0C1" w14:textId="77777777" w:rsidR="00E8017A" w:rsidRPr="00E8017A" w:rsidRDefault="00E8017A" w:rsidP="00846AD1">
      <w:pPr>
        <w:ind w:left="720" w:hanging="720"/>
        <w:jc w:val="both"/>
        <w:rPr>
          <w:sz w:val="22"/>
          <w:szCs w:val="22"/>
        </w:rPr>
      </w:pPr>
      <w:r w:rsidRPr="00E8017A">
        <w:rPr>
          <w:sz w:val="22"/>
          <w:szCs w:val="22"/>
        </w:rPr>
        <w:t>Orr JC, Fabry VJ, Aumont O, Bopp L, Doney SC, Feely RA, Gnanadesikan A, Gruber N, Ishida A, Joos F, Key RM, Lindsay K, Maier-Reimer E, Matear R, Monfray P, Mouchet A, Najjar RG, Plattner GK, Rodgers KB, Sabine CL, Sarmiento JL, Schlitzer R, Slater RD, Totterdell IJ, Weirig MF, Yamanaka Y, Yool A (2005) Anthropogenic ocean acidification over the twenty-first century and its impact on calcifying organisms. Nature 437:681–686</w:t>
      </w:r>
    </w:p>
    <w:p w14:paraId="1511B881" w14:textId="77777777" w:rsidR="00E8017A" w:rsidRPr="00E8017A" w:rsidRDefault="00E8017A" w:rsidP="00846AD1">
      <w:pPr>
        <w:ind w:left="720" w:hanging="720"/>
        <w:jc w:val="both"/>
        <w:rPr>
          <w:sz w:val="22"/>
          <w:szCs w:val="22"/>
        </w:rPr>
      </w:pPr>
      <w:r w:rsidRPr="00E8017A">
        <w:rPr>
          <w:sz w:val="22"/>
          <w:szCs w:val="22"/>
        </w:rPr>
        <w:t>OSPAR Commission, 2000. Quality Status Report 2000. OSPAR Commission, London. 108 + vii pp</w:t>
      </w:r>
    </w:p>
    <w:p w14:paraId="63DFDEEA" w14:textId="77777777" w:rsidR="00E8017A" w:rsidRPr="00E8017A" w:rsidRDefault="00E8017A" w:rsidP="00846AD1">
      <w:pPr>
        <w:ind w:left="720" w:hanging="720"/>
        <w:jc w:val="both"/>
        <w:rPr>
          <w:sz w:val="22"/>
          <w:szCs w:val="22"/>
        </w:rPr>
      </w:pPr>
      <w:r w:rsidRPr="00E8017A">
        <w:rPr>
          <w:sz w:val="22"/>
          <w:szCs w:val="22"/>
        </w:rPr>
        <w:t>OSPAR, 2010. Quality Status Report 2010. OSPAR Commission. London. 176 pp.</w:t>
      </w:r>
    </w:p>
    <w:p w14:paraId="1E779DBD"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rPr>
        <w:t>Perez, F.F., Marcos Fontela, Maribel I. García-Ibáñez, Herlé Mercier, Anton Velo, Pascale Lherminier, Patricia Zunino, Mercedes de la Paz, Fernando Alonso-Pérez, Elisa F. Guallart &amp; Xose A. Padin (2018) Meridional overturning circulation conveys fast acidification to the deep Atlantic Ocean. Nature 554: 515–518</w:t>
      </w:r>
    </w:p>
    <w:p w14:paraId="6DEB1042"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lang w:val="en-US"/>
        </w:rPr>
        <w:t>Rey, F., 2004. Phytoplankton: the grass of the sea. In: The Norwegian Sea Ecosystem. Skjoldal, H.R. (Ed.)Tapir Academic Press, Trondheim, Norway pp. 97-136.</w:t>
      </w:r>
    </w:p>
    <w:p w14:paraId="6DDBA172"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Roberts JM, Wheeler AJ, Freiwald A (2006) Reefs of the deep: the biology and geology of cold-water coral ecosystems. Science 312: 543-547</w:t>
      </w:r>
    </w:p>
    <w:p w14:paraId="1DCD7ACB"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Roberts JM, Murray F, Anagnostou E, Hennige S, Gori A, Henry L-A, Fox A, Kamenos N, Foster GL (2016) Cold-water corals in an era of rapid global change: are these the deep ocean’s most vulnerable ecosystems? T</w:t>
      </w:r>
      <w:r w:rsidRPr="00E8017A">
        <w:rPr>
          <w:bCs/>
          <w:sz w:val="22"/>
          <w:szCs w:val="22"/>
        </w:rPr>
        <w:t>he Cnidaria, Past, Present and Future. Springer. Goffredo S, Dubinsky Z (Eds.) pp. 593-606</w:t>
      </w:r>
    </w:p>
    <w:p w14:paraId="6EEC7245"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Rossby, T. (1999). On gyre interactions. Deep Sea Research Part II: Topical Studies in Oceanography, 46(1-2), 139-164.</w:t>
      </w:r>
    </w:p>
    <w:p w14:paraId="7FE8A791" w14:textId="77777777" w:rsidR="00E8017A" w:rsidRPr="00E8017A" w:rsidRDefault="00E8017A" w:rsidP="00846AD1">
      <w:pPr>
        <w:ind w:left="720" w:hanging="720"/>
        <w:jc w:val="both"/>
        <w:rPr>
          <w:color w:val="000000"/>
          <w:sz w:val="22"/>
          <w:szCs w:val="22"/>
          <w:lang w:val="nl-NL" w:eastAsia="nl-NL"/>
        </w:rPr>
      </w:pPr>
      <w:r w:rsidRPr="00E8017A">
        <w:rPr>
          <w:color w:val="000000"/>
          <w:sz w:val="22"/>
          <w:szCs w:val="22"/>
          <w:lang w:val="nl-NL" w:eastAsia="nl-NL"/>
        </w:rPr>
        <w:t xml:space="preserve">Sandström, J.W., </w:t>
      </w:r>
      <w:r w:rsidRPr="00E8017A">
        <w:rPr>
          <w:i/>
          <w:iCs/>
          <w:color w:val="000000"/>
          <w:sz w:val="22"/>
          <w:szCs w:val="22"/>
          <w:lang w:val="nl-NL" w:eastAsia="nl-NL"/>
        </w:rPr>
        <w:t>Dynamische Versuche mit Meerwasser.</w:t>
      </w:r>
      <w:r w:rsidRPr="00E8017A">
        <w:rPr>
          <w:color w:val="000000"/>
          <w:sz w:val="22"/>
          <w:szCs w:val="22"/>
          <w:lang w:val="nl-NL" w:eastAsia="nl-NL"/>
        </w:rPr>
        <w:t xml:space="preserve"> Annalen der Hydrographie und Maritimen Meteorologie, 1908. </w:t>
      </w:r>
      <w:r w:rsidRPr="00E8017A">
        <w:rPr>
          <w:b/>
          <w:bCs/>
          <w:color w:val="000000"/>
          <w:sz w:val="22"/>
          <w:szCs w:val="22"/>
          <w:lang w:val="nl-NL" w:eastAsia="nl-NL"/>
        </w:rPr>
        <w:t>36</w:t>
      </w:r>
      <w:r w:rsidRPr="00E8017A">
        <w:rPr>
          <w:color w:val="000000"/>
          <w:sz w:val="22"/>
          <w:szCs w:val="22"/>
          <w:lang w:val="nl-NL" w:eastAsia="nl-NL"/>
        </w:rPr>
        <w:t>: p. 6-23.</w:t>
      </w:r>
    </w:p>
    <w:p w14:paraId="1B715219"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 xml:space="preserve">Santos M.A., Bolten A.B., Martins H.R., Riewald B. &amp; Bjorndal K.A. (2007). </w:t>
      </w:r>
      <w:r w:rsidRPr="00E8017A">
        <w:rPr>
          <w:i/>
          <w:sz w:val="22"/>
          <w:szCs w:val="22"/>
        </w:rPr>
        <w:t>Air-breathing visitors to seamounts: sea turtles</w:t>
      </w:r>
      <w:r w:rsidRPr="00E8017A">
        <w:rPr>
          <w:sz w:val="22"/>
          <w:szCs w:val="22"/>
        </w:rPr>
        <w:t xml:space="preserve">. In Pitcher T.J., Morato T., Hart P.J.B., Clark M.R., Haggan A. and Santos R. (Eds): </w:t>
      </w:r>
      <w:r w:rsidRPr="00E8017A">
        <w:rPr>
          <w:i/>
          <w:sz w:val="22"/>
          <w:szCs w:val="22"/>
        </w:rPr>
        <w:t>Seamounts: Ecology Fisheries and Conservation</w:t>
      </w:r>
      <w:r w:rsidRPr="00E8017A">
        <w:rPr>
          <w:sz w:val="22"/>
          <w:szCs w:val="22"/>
        </w:rPr>
        <w:t xml:space="preserve"> (Fish &amp; Aquatic Resources). University of Azores: Blackwell publishing: 239-243.</w:t>
      </w:r>
    </w:p>
    <w:p w14:paraId="65675CA0" w14:textId="77777777" w:rsidR="00E8017A" w:rsidRPr="00E8017A" w:rsidRDefault="00E8017A" w:rsidP="00846AD1">
      <w:pPr>
        <w:ind w:left="720" w:hanging="720"/>
        <w:jc w:val="both"/>
        <w:rPr>
          <w:sz w:val="22"/>
          <w:szCs w:val="22"/>
        </w:rPr>
      </w:pPr>
      <w:r w:rsidRPr="00E8017A">
        <w:rPr>
          <w:sz w:val="22"/>
          <w:szCs w:val="22"/>
        </w:rPr>
        <w:t xml:space="preserve">Scott, R., Marsh, R. &amp; Hays, G.C. (2014). Ontogeny of long-distance migration. </w:t>
      </w:r>
      <w:r w:rsidRPr="00E8017A">
        <w:rPr>
          <w:i/>
          <w:sz w:val="22"/>
          <w:szCs w:val="22"/>
        </w:rPr>
        <w:t>Ecology</w:t>
      </w:r>
      <w:r w:rsidRPr="00E8017A">
        <w:rPr>
          <w:sz w:val="22"/>
          <w:szCs w:val="22"/>
        </w:rPr>
        <w:t xml:space="preserve"> 95(10): 2840–2850.</w:t>
      </w:r>
    </w:p>
    <w:p w14:paraId="49595445" w14:textId="77777777" w:rsidR="00E8017A" w:rsidRPr="00E8017A" w:rsidRDefault="00E8017A" w:rsidP="00846AD1">
      <w:pPr>
        <w:ind w:left="720" w:hanging="720"/>
        <w:jc w:val="both"/>
        <w:rPr>
          <w:sz w:val="22"/>
          <w:szCs w:val="22"/>
        </w:rPr>
      </w:pPr>
      <w:r w:rsidRPr="00E8017A">
        <w:rPr>
          <w:sz w:val="22"/>
          <w:szCs w:val="22"/>
        </w:rPr>
        <w:t>Stone RP (2014) The ecology of deep-sea coral and sponge habitats of the central Aleutian Islands of Alaska. NOAA Prof Pap NMFS 16: 1–52</w:t>
      </w:r>
    </w:p>
    <w:p w14:paraId="0302B55C"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Søiland, H., Budgell, W.P. &amp; Knutsen, Ø. (2008) The physical oceanographic conditions long the MidAtlantic Ridge north of the Azores in June-July 2004. Deep-Sea Research II 55: 29 – 44.</w:t>
      </w:r>
    </w:p>
    <w:p w14:paraId="19F4392E" w14:textId="77777777" w:rsidR="00E8017A" w:rsidRPr="00E8017A" w:rsidRDefault="00E8017A" w:rsidP="00846AD1">
      <w:pPr>
        <w:autoSpaceDE w:val="0"/>
        <w:autoSpaceDN w:val="0"/>
        <w:adjustRightInd w:val="0"/>
        <w:ind w:left="720" w:hanging="720"/>
        <w:jc w:val="both"/>
        <w:rPr>
          <w:sz w:val="22"/>
          <w:szCs w:val="22"/>
        </w:rPr>
      </w:pPr>
      <w:r w:rsidRPr="00E8017A">
        <w:rPr>
          <w:sz w:val="22"/>
          <w:szCs w:val="22"/>
        </w:rPr>
        <w:t xml:space="preserve">Sweetman AK, Thurber AR, Smith CR, Levin LA, Mora C, Wei C-L, Gooday AJ, Jones DOB, Rex M, Yasuhara M, Ingels J, Ruhl HA, Frieder CA, Danovaro R, Würzberg L, Baco A, Grupe B, Pasulkax A, Meyer KS, Dunlop KM, Henry L-A, Roberts JM (2017) </w:t>
      </w:r>
      <w:r w:rsidRPr="00E8017A">
        <w:rPr>
          <w:bCs/>
          <w:sz w:val="22"/>
          <w:szCs w:val="22"/>
        </w:rPr>
        <w:t xml:space="preserve">Global climate change effects on deep seafloor ecosystems. </w:t>
      </w:r>
      <w:r w:rsidRPr="00E8017A">
        <w:rPr>
          <w:sz w:val="22"/>
          <w:szCs w:val="22"/>
        </w:rPr>
        <w:t>Elementa Science of the Anthropocene 5(4) DOI: https://doi.org/10.1525/elementa.203</w:t>
      </w:r>
    </w:p>
    <w:p w14:paraId="49425A60" w14:textId="77777777" w:rsidR="00E8017A" w:rsidRPr="00E8017A" w:rsidRDefault="00E8017A" w:rsidP="00846AD1">
      <w:pPr>
        <w:autoSpaceDE w:val="0"/>
        <w:autoSpaceDN w:val="0"/>
        <w:adjustRightInd w:val="0"/>
        <w:ind w:left="720" w:hanging="720"/>
        <w:jc w:val="both"/>
        <w:rPr>
          <w:color w:val="000000"/>
          <w:sz w:val="22"/>
          <w:szCs w:val="22"/>
          <w:lang w:val="en-US"/>
        </w:rPr>
      </w:pPr>
      <w:r w:rsidRPr="00E8017A">
        <w:rPr>
          <w:color w:val="000000"/>
          <w:sz w:val="22"/>
          <w:szCs w:val="22"/>
          <w:lang w:val="en-US"/>
        </w:rPr>
        <w:t xml:space="preserve">Thornalley, D.J.R, Oppo, D.W, Robson J.I, Brierley C.M., Davis, R., Hall, I.R., Moffa-Sanchez, P., Rose, N.L., Spooner, P.T., Yashayaev, I., Keigwin, L.D., (2018) Anomalously weak Labrador Sea convection and Atlantic overturning during the past 150 years. Nature, 556: p. 227-230. </w:t>
      </w:r>
    </w:p>
    <w:p w14:paraId="1191FC5B" w14:textId="77777777" w:rsidR="00E8017A" w:rsidRPr="00E8017A" w:rsidRDefault="00E8017A" w:rsidP="00846AD1">
      <w:pPr>
        <w:autoSpaceDE w:val="0"/>
        <w:autoSpaceDN w:val="0"/>
        <w:adjustRightInd w:val="0"/>
        <w:ind w:left="720" w:hanging="720"/>
        <w:jc w:val="both"/>
        <w:rPr>
          <w:sz w:val="22"/>
          <w:szCs w:val="22"/>
          <w:lang w:val="en-US"/>
        </w:rPr>
      </w:pPr>
      <w:r w:rsidRPr="00E8017A">
        <w:rPr>
          <w:color w:val="000000"/>
          <w:sz w:val="22"/>
          <w:szCs w:val="22"/>
          <w:lang w:val="en-US"/>
        </w:rPr>
        <w:t xml:space="preserve">UiT (2019) UiT- The Arctic University of Norway – Whaletrack </w:t>
      </w:r>
      <w:hyperlink r:id="rId78" w:history="1">
        <w:r w:rsidRPr="00E8017A">
          <w:rPr>
            <w:rStyle w:val="Hyperlink"/>
            <w:sz w:val="22"/>
            <w:szCs w:val="22"/>
            <w:lang w:val="en-US"/>
          </w:rPr>
          <w:t>https://en.uit.no/prosjekter/prosjekt?p_document_id=505966</w:t>
        </w:r>
      </w:hyperlink>
    </w:p>
    <w:p w14:paraId="288ADC9E" w14:textId="77777777" w:rsidR="00E8017A" w:rsidRPr="00E8017A" w:rsidRDefault="00E8017A" w:rsidP="00846AD1">
      <w:pPr>
        <w:autoSpaceDE w:val="0"/>
        <w:autoSpaceDN w:val="0"/>
        <w:adjustRightInd w:val="0"/>
        <w:ind w:left="720" w:hanging="720"/>
        <w:jc w:val="both"/>
        <w:rPr>
          <w:sz w:val="22"/>
          <w:szCs w:val="22"/>
          <w:lang w:val="en-US"/>
        </w:rPr>
      </w:pPr>
      <w:r w:rsidRPr="00E8017A">
        <w:rPr>
          <w:sz w:val="22"/>
          <w:szCs w:val="22"/>
        </w:rPr>
        <w:t>UNESCO (2017). Mid-Atlantic Ridge, Ref 6231. Submitted on the 06/06/2017. Available at: https://whc.unesco.org/en/tentativelists/6231/.</w:t>
      </w:r>
    </w:p>
    <w:p w14:paraId="723E5DA8" w14:textId="77777777" w:rsidR="00E8017A" w:rsidRPr="00E8017A" w:rsidRDefault="00E8017A" w:rsidP="00846AD1">
      <w:pPr>
        <w:ind w:left="720" w:hanging="720"/>
        <w:jc w:val="both"/>
        <w:rPr>
          <w:color w:val="000000"/>
          <w:sz w:val="22"/>
          <w:szCs w:val="22"/>
          <w:lang w:val="nl-NL" w:eastAsia="nl-NL"/>
        </w:rPr>
      </w:pPr>
      <w:r w:rsidRPr="00E8017A">
        <w:rPr>
          <w:color w:val="000000"/>
          <w:sz w:val="22"/>
          <w:szCs w:val="22"/>
          <w:lang w:val="en-US" w:eastAsia="nl-NL"/>
        </w:rPr>
        <w:t xml:space="preserve">Wunsch, C., </w:t>
      </w:r>
      <w:r w:rsidRPr="00E8017A">
        <w:rPr>
          <w:i/>
          <w:iCs/>
          <w:color w:val="000000"/>
          <w:sz w:val="22"/>
          <w:szCs w:val="22"/>
          <w:lang w:val="en-US" w:eastAsia="nl-NL"/>
        </w:rPr>
        <w:t>Moon, tides and climate.</w:t>
      </w:r>
      <w:r w:rsidRPr="00E8017A">
        <w:rPr>
          <w:color w:val="000000"/>
          <w:sz w:val="22"/>
          <w:szCs w:val="22"/>
          <w:lang w:val="en-US" w:eastAsia="nl-NL"/>
        </w:rPr>
        <w:t xml:space="preserve"> </w:t>
      </w:r>
      <w:r w:rsidRPr="00E8017A">
        <w:rPr>
          <w:color w:val="000000"/>
          <w:sz w:val="22"/>
          <w:szCs w:val="22"/>
          <w:lang w:val="nl-NL" w:eastAsia="nl-NL"/>
        </w:rPr>
        <w:t>Nature, 2000. 405: p. 743-744.</w:t>
      </w:r>
    </w:p>
    <w:p w14:paraId="5D9BE214" w14:textId="77777777" w:rsidR="00E8017A" w:rsidRPr="00E8017A" w:rsidRDefault="00E8017A" w:rsidP="00E8017A">
      <w:pPr>
        <w:spacing w:after="120"/>
        <w:ind w:left="720" w:hanging="720"/>
        <w:jc w:val="both"/>
        <w:rPr>
          <w:color w:val="000000"/>
          <w:sz w:val="22"/>
          <w:szCs w:val="22"/>
          <w:lang w:eastAsia="nl-NL"/>
        </w:rPr>
      </w:pPr>
      <w:r w:rsidRPr="00E8017A">
        <w:rPr>
          <w:color w:val="000000"/>
          <w:sz w:val="22"/>
          <w:szCs w:val="22"/>
          <w:lang w:eastAsia="nl-NL"/>
        </w:rPr>
        <w:t>Zeebe RE, Wolf-Gladrow D (2005) CO</w:t>
      </w:r>
      <w:r w:rsidRPr="00E8017A">
        <w:rPr>
          <w:color w:val="000000"/>
          <w:sz w:val="22"/>
          <w:szCs w:val="22"/>
          <w:vertAlign w:val="subscript"/>
          <w:lang w:eastAsia="nl-NL"/>
        </w:rPr>
        <w:t>2</w:t>
      </w:r>
      <w:r w:rsidRPr="00E8017A">
        <w:rPr>
          <w:color w:val="000000"/>
          <w:sz w:val="22"/>
          <w:szCs w:val="22"/>
          <w:lang w:eastAsia="nl-NL"/>
        </w:rPr>
        <w:t xml:space="preserve"> in seawater: equilibrium, kinetics, isotopes. Elsevier, Amsterdam</w:t>
      </w:r>
    </w:p>
    <w:p w14:paraId="403CF068" w14:textId="77777777" w:rsidR="00E8017A" w:rsidRPr="00E8017A" w:rsidRDefault="00E8017A" w:rsidP="00E8017A">
      <w:pPr>
        <w:autoSpaceDE w:val="0"/>
        <w:autoSpaceDN w:val="0"/>
        <w:adjustRightInd w:val="0"/>
        <w:spacing w:after="120"/>
        <w:jc w:val="both"/>
        <w:rPr>
          <w:sz w:val="22"/>
          <w:szCs w:val="22"/>
          <w:lang w:val="en-US"/>
        </w:rPr>
      </w:pPr>
    </w:p>
    <w:p w14:paraId="1FC9E6DC" w14:textId="77777777" w:rsidR="00F952A8" w:rsidRPr="006220EA" w:rsidRDefault="00F952A8" w:rsidP="006354CE">
      <w:pPr>
        <w:tabs>
          <w:tab w:val="left" w:pos="567"/>
        </w:tabs>
        <w:spacing w:before="120" w:after="120"/>
        <w:jc w:val="center"/>
        <w:rPr>
          <w:sz w:val="22"/>
          <w:szCs w:val="22"/>
        </w:rPr>
      </w:pPr>
    </w:p>
    <w:p w14:paraId="1FAA4EC1" w14:textId="77777777" w:rsidR="00F952A8" w:rsidRPr="006220EA" w:rsidRDefault="00F952A8" w:rsidP="006354CE">
      <w:pPr>
        <w:tabs>
          <w:tab w:val="left" w:pos="567"/>
        </w:tabs>
        <w:spacing w:before="120" w:after="120"/>
        <w:jc w:val="center"/>
        <w:rPr>
          <w:sz w:val="22"/>
          <w:szCs w:val="22"/>
        </w:rPr>
      </w:pPr>
    </w:p>
    <w:p w14:paraId="639C0ADE" w14:textId="77777777" w:rsidR="00F952A8" w:rsidRPr="006220EA" w:rsidRDefault="00F952A8" w:rsidP="006354CE">
      <w:pPr>
        <w:tabs>
          <w:tab w:val="left" w:pos="567"/>
        </w:tabs>
        <w:spacing w:before="120" w:after="120"/>
        <w:jc w:val="center"/>
        <w:rPr>
          <w:sz w:val="22"/>
          <w:szCs w:val="22"/>
        </w:rPr>
      </w:pPr>
    </w:p>
    <w:p w14:paraId="7459CECC" w14:textId="77777777" w:rsidR="00F952A8" w:rsidRPr="006220EA" w:rsidRDefault="00F952A8" w:rsidP="006354CE">
      <w:pPr>
        <w:tabs>
          <w:tab w:val="left" w:pos="567"/>
        </w:tabs>
        <w:spacing w:before="120" w:after="120"/>
        <w:jc w:val="center"/>
        <w:rPr>
          <w:sz w:val="22"/>
          <w:szCs w:val="22"/>
        </w:rPr>
      </w:pPr>
      <w:r w:rsidRPr="006220EA">
        <w:rPr>
          <w:sz w:val="22"/>
          <w:szCs w:val="22"/>
        </w:rPr>
        <w:br w:type="page"/>
      </w:r>
    </w:p>
    <w:p w14:paraId="6954D7EE" w14:textId="77777777" w:rsidR="0047128F" w:rsidRPr="006220EA" w:rsidRDefault="0047128F" w:rsidP="006220EA">
      <w:pPr>
        <w:rPr>
          <w:sz w:val="22"/>
          <w:szCs w:val="22"/>
        </w:rPr>
      </w:pPr>
    </w:p>
    <w:p w14:paraId="345F5462" w14:textId="3CAD1FBB" w:rsidR="00F952A8" w:rsidRPr="00846AD1" w:rsidRDefault="00F952A8" w:rsidP="00F952A8">
      <w:pPr>
        <w:pStyle w:val="Heading3"/>
        <w:spacing w:before="0"/>
        <w:rPr>
          <w:szCs w:val="22"/>
        </w:rPr>
      </w:pPr>
      <w:r w:rsidRPr="00846AD1">
        <w:rPr>
          <w:szCs w:val="22"/>
        </w:rPr>
        <w:t>Annex V</w:t>
      </w:r>
      <w:r w:rsidR="0047128F" w:rsidRPr="00846AD1">
        <w:rPr>
          <w:szCs w:val="22"/>
        </w:rPr>
        <w:t>I</w:t>
      </w:r>
    </w:p>
    <w:p w14:paraId="65568828" w14:textId="0E7CCAC5" w:rsidR="00611E0A" w:rsidRPr="00846AD1" w:rsidRDefault="00F952A8" w:rsidP="00611E0A">
      <w:pPr>
        <w:jc w:val="center"/>
        <w:rPr>
          <w:b/>
          <w:sz w:val="22"/>
          <w:szCs w:val="22"/>
        </w:rPr>
      </w:pPr>
      <w:r w:rsidRPr="00846AD1">
        <w:rPr>
          <w:b/>
          <w:sz w:val="22"/>
          <w:szCs w:val="22"/>
        </w:rPr>
        <w:t xml:space="preserve">MAP OF THE AREAS MEETING EBSA CRITERIA IN THE </w:t>
      </w:r>
      <w:r w:rsidR="00EC2D95" w:rsidRPr="00846AD1">
        <w:rPr>
          <w:b/>
          <w:sz w:val="22"/>
          <w:szCs w:val="22"/>
        </w:rPr>
        <w:t>NORTH-EAST ATLANTIC</w:t>
      </w:r>
      <w:r w:rsidR="0047128F" w:rsidRPr="00846AD1">
        <w:rPr>
          <w:b/>
          <w:sz w:val="22"/>
          <w:szCs w:val="22"/>
        </w:rPr>
        <w:t>,</w:t>
      </w:r>
      <w:r w:rsidRPr="00846AD1">
        <w:rPr>
          <w:b/>
          <w:sz w:val="22"/>
          <w:szCs w:val="22"/>
        </w:rPr>
        <w:t xml:space="preserve"> </w:t>
      </w:r>
    </w:p>
    <w:p w14:paraId="6D9F7E58" w14:textId="77572D40" w:rsidR="001F404E" w:rsidRPr="001F404E" w:rsidRDefault="00F952A8" w:rsidP="00846AD1">
      <w:pPr>
        <w:jc w:val="center"/>
        <w:rPr>
          <w:b/>
          <w:sz w:val="22"/>
          <w:szCs w:val="22"/>
          <w:highlight w:val="cyan"/>
          <w:lang w:eastAsia="ko-KR"/>
        </w:rPr>
      </w:pPr>
      <w:r w:rsidRPr="00846AD1">
        <w:rPr>
          <w:b/>
          <w:sz w:val="22"/>
          <w:szCs w:val="22"/>
        </w:rPr>
        <w:t>AS AGRE</w:t>
      </w:r>
      <w:r w:rsidRPr="00846AD1">
        <w:rPr>
          <w:b/>
          <w:sz w:val="22"/>
          <w:szCs w:val="22"/>
          <w:lang w:eastAsia="ko-KR"/>
        </w:rPr>
        <w:t>ED BY THE WORKSHOP</w:t>
      </w:r>
      <w:r w:rsidR="00EB67CF">
        <w:rPr>
          <w:rStyle w:val="FootnoteReference"/>
          <w:b/>
          <w:szCs w:val="22"/>
          <w:lang w:eastAsia="ko-KR"/>
        </w:rPr>
        <w:footnoteReference w:customMarkFollows="1" w:id="17"/>
        <w:t>*</w:t>
      </w:r>
      <w:r w:rsidRPr="00846AD1">
        <w:rPr>
          <w:b/>
          <w:sz w:val="22"/>
          <w:szCs w:val="22"/>
          <w:lang w:eastAsia="ko-KR"/>
        </w:rPr>
        <w:t xml:space="preserve"> </w:t>
      </w:r>
    </w:p>
    <w:p w14:paraId="6D099952" w14:textId="08723692" w:rsidR="00F952A8" w:rsidRPr="006220EA" w:rsidRDefault="00EB67CF" w:rsidP="0024071A">
      <w:pPr>
        <w:tabs>
          <w:tab w:val="left" w:pos="567"/>
        </w:tabs>
        <w:spacing w:before="120" w:after="120"/>
        <w:jc w:val="center"/>
        <w:rPr>
          <w:sz w:val="22"/>
          <w:szCs w:val="22"/>
        </w:rPr>
      </w:pPr>
      <w:r w:rsidRPr="00846AD1">
        <w:rPr>
          <w:b/>
          <w:noProof/>
          <w:sz w:val="22"/>
          <w:szCs w:val="22"/>
          <w:lang w:eastAsia="ko-KR"/>
        </w:rPr>
        <w:drawing>
          <wp:inline distT="0" distB="0" distL="0" distR="0" wp14:anchorId="61296A43" wp14:editId="5630BC5D">
            <wp:extent cx="4592320" cy="68884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92320" cy="6888480"/>
                    </a:xfrm>
                    <a:prstGeom prst="rect">
                      <a:avLst/>
                    </a:prstGeom>
                    <a:noFill/>
                    <a:ln>
                      <a:noFill/>
                    </a:ln>
                  </pic:spPr>
                </pic:pic>
              </a:graphicData>
            </a:graphic>
          </wp:inline>
        </w:drawing>
      </w:r>
      <w:r w:rsidR="00F952A8" w:rsidRPr="006220EA">
        <w:rPr>
          <w:sz w:val="22"/>
          <w:szCs w:val="22"/>
        </w:rPr>
        <w:br w:type="page"/>
      </w:r>
    </w:p>
    <w:p w14:paraId="6FCA547D" w14:textId="58A719A1" w:rsidR="00F952A8" w:rsidRPr="00E8017A" w:rsidRDefault="00F952A8">
      <w:pPr>
        <w:pStyle w:val="Heading3"/>
        <w:spacing w:before="0"/>
        <w:rPr>
          <w:szCs w:val="22"/>
        </w:rPr>
      </w:pPr>
      <w:r w:rsidRPr="00E8017A">
        <w:rPr>
          <w:szCs w:val="22"/>
        </w:rPr>
        <w:t>Annex V</w:t>
      </w:r>
      <w:r w:rsidR="0047128F" w:rsidRPr="00E8017A">
        <w:rPr>
          <w:szCs w:val="22"/>
        </w:rPr>
        <w:t>II</w:t>
      </w:r>
    </w:p>
    <w:p w14:paraId="683E6B4F" w14:textId="1987F1F8" w:rsidR="00611E0A" w:rsidRPr="00BA3EED" w:rsidRDefault="00F952A8" w:rsidP="00F952A8">
      <w:pPr>
        <w:jc w:val="center"/>
        <w:rPr>
          <w:b/>
          <w:sz w:val="22"/>
          <w:szCs w:val="22"/>
        </w:rPr>
      </w:pPr>
      <w:r w:rsidRPr="00BA3EED">
        <w:rPr>
          <w:b/>
          <w:sz w:val="22"/>
          <w:szCs w:val="22"/>
        </w:rPr>
        <w:t xml:space="preserve">AREAS MEETING THE EBSA CRITERIA IN THE </w:t>
      </w:r>
      <w:r w:rsidR="003D0706" w:rsidRPr="00BA3EED">
        <w:rPr>
          <w:b/>
          <w:sz w:val="22"/>
          <w:szCs w:val="22"/>
        </w:rPr>
        <w:t>NORTH-EAST ATLANTIC</w:t>
      </w:r>
      <w:r w:rsidR="00835E5A" w:rsidRPr="00BA3EED">
        <w:rPr>
          <w:b/>
          <w:sz w:val="22"/>
          <w:szCs w:val="22"/>
        </w:rPr>
        <w:t>,</w:t>
      </w:r>
      <w:r w:rsidR="003D0706" w:rsidRPr="00BA3EED">
        <w:rPr>
          <w:b/>
          <w:sz w:val="22"/>
          <w:szCs w:val="22"/>
        </w:rPr>
        <w:t xml:space="preserve"> </w:t>
      </w:r>
    </w:p>
    <w:p w14:paraId="40183187" w14:textId="298180FE" w:rsidR="00F952A8" w:rsidRPr="00BA3EED" w:rsidRDefault="003D0706" w:rsidP="00F952A8">
      <w:pPr>
        <w:jc w:val="center"/>
        <w:rPr>
          <w:b/>
          <w:sz w:val="22"/>
          <w:szCs w:val="22"/>
          <w:lang w:eastAsia="ko-KR"/>
        </w:rPr>
      </w:pPr>
      <w:r w:rsidRPr="00BA3EED">
        <w:rPr>
          <w:b/>
          <w:sz w:val="22"/>
          <w:szCs w:val="22"/>
        </w:rPr>
        <w:t>A</w:t>
      </w:r>
      <w:r w:rsidR="00F952A8" w:rsidRPr="00BA3EED">
        <w:rPr>
          <w:b/>
          <w:sz w:val="22"/>
          <w:szCs w:val="22"/>
          <w:lang w:eastAsia="ko-KR"/>
        </w:rPr>
        <w:t>S AGREED BY THE WORKSHOP PLENARY</w:t>
      </w:r>
    </w:p>
    <w:p w14:paraId="0A59986E" w14:textId="77777777" w:rsidR="008C3CE8" w:rsidRPr="00BA3EED" w:rsidRDefault="008C3CE8" w:rsidP="00F952A8">
      <w:pPr>
        <w:jc w:val="center"/>
        <w:rPr>
          <w:b/>
          <w:sz w:val="22"/>
          <w:szCs w:val="22"/>
          <w:lang w:eastAsia="ko-KR"/>
        </w:rPr>
      </w:pPr>
    </w:p>
    <w:tbl>
      <w:tblPr>
        <w:tblStyle w:val="TableGrid"/>
        <w:tblW w:w="0" w:type="auto"/>
        <w:tblLook w:val="04A0" w:firstRow="1" w:lastRow="0" w:firstColumn="1" w:lastColumn="0" w:noHBand="0" w:noVBand="1"/>
      </w:tblPr>
      <w:tblGrid>
        <w:gridCol w:w="1980"/>
        <w:gridCol w:w="7370"/>
      </w:tblGrid>
      <w:tr w:rsidR="004E3C06" w:rsidRPr="00BA3EED" w14:paraId="289E081D" w14:textId="77777777" w:rsidTr="00E8017A">
        <w:tc>
          <w:tcPr>
            <w:tcW w:w="1980" w:type="dxa"/>
            <w:shd w:val="pct15" w:color="auto" w:fill="auto"/>
          </w:tcPr>
          <w:p w14:paraId="495014BC" w14:textId="51C6EF64" w:rsidR="004E3C06" w:rsidRPr="00BA3EED" w:rsidRDefault="004E3C06" w:rsidP="006354CE">
            <w:pPr>
              <w:tabs>
                <w:tab w:val="left" w:pos="567"/>
              </w:tabs>
              <w:spacing w:before="120" w:after="120"/>
              <w:jc w:val="center"/>
              <w:rPr>
                <w:sz w:val="22"/>
                <w:szCs w:val="22"/>
              </w:rPr>
            </w:pPr>
            <w:r w:rsidRPr="00BA3EED">
              <w:rPr>
                <w:sz w:val="22"/>
                <w:szCs w:val="22"/>
              </w:rPr>
              <w:t>Area Number</w:t>
            </w:r>
          </w:p>
        </w:tc>
        <w:tc>
          <w:tcPr>
            <w:tcW w:w="7370" w:type="dxa"/>
            <w:shd w:val="pct15" w:color="auto" w:fill="auto"/>
          </w:tcPr>
          <w:p w14:paraId="20383D8D" w14:textId="42F1D00A" w:rsidR="004E3C06" w:rsidRPr="00BA3EED" w:rsidRDefault="002A7260" w:rsidP="006354CE">
            <w:pPr>
              <w:tabs>
                <w:tab w:val="left" w:pos="567"/>
              </w:tabs>
              <w:spacing w:before="120" w:after="120"/>
              <w:jc w:val="center"/>
              <w:rPr>
                <w:sz w:val="22"/>
                <w:szCs w:val="22"/>
              </w:rPr>
            </w:pPr>
            <w:r w:rsidRPr="00BA3EED">
              <w:rPr>
                <w:sz w:val="22"/>
                <w:szCs w:val="22"/>
              </w:rPr>
              <w:t>Area Name</w:t>
            </w:r>
          </w:p>
        </w:tc>
      </w:tr>
      <w:tr w:rsidR="004E3C06" w:rsidRPr="00BA3EED" w14:paraId="586F9448" w14:textId="77777777" w:rsidTr="007574B6">
        <w:tc>
          <w:tcPr>
            <w:tcW w:w="1980" w:type="dxa"/>
          </w:tcPr>
          <w:p w14:paraId="51AA1BB9" w14:textId="57DAAE69" w:rsidR="004E3C06" w:rsidRPr="00BA3EED" w:rsidRDefault="002A7260" w:rsidP="006354CE">
            <w:pPr>
              <w:tabs>
                <w:tab w:val="left" w:pos="567"/>
              </w:tabs>
              <w:spacing w:before="120" w:after="120"/>
              <w:jc w:val="center"/>
              <w:rPr>
                <w:sz w:val="22"/>
                <w:szCs w:val="22"/>
              </w:rPr>
            </w:pPr>
            <w:r w:rsidRPr="00BA3EED">
              <w:rPr>
                <w:sz w:val="22"/>
                <w:szCs w:val="22"/>
              </w:rPr>
              <w:t>1</w:t>
            </w:r>
          </w:p>
        </w:tc>
        <w:tc>
          <w:tcPr>
            <w:tcW w:w="7370" w:type="dxa"/>
          </w:tcPr>
          <w:p w14:paraId="05F66439" w14:textId="20A436A3" w:rsidR="004E3C06" w:rsidRPr="00BA3EED" w:rsidRDefault="00773610" w:rsidP="00773610">
            <w:pPr>
              <w:tabs>
                <w:tab w:val="left" w:pos="567"/>
              </w:tabs>
              <w:spacing w:before="120" w:after="120"/>
              <w:rPr>
                <w:sz w:val="22"/>
                <w:szCs w:val="22"/>
              </w:rPr>
            </w:pPr>
            <w:r w:rsidRPr="00BA3EED">
              <w:rPr>
                <w:sz w:val="22"/>
                <w:szCs w:val="22"/>
              </w:rPr>
              <w:t>Danish Skagarrek</w:t>
            </w:r>
          </w:p>
        </w:tc>
      </w:tr>
      <w:tr w:rsidR="004E3C06" w:rsidRPr="00BA3EED" w14:paraId="47A59432" w14:textId="77777777" w:rsidTr="007574B6">
        <w:tc>
          <w:tcPr>
            <w:tcW w:w="1980" w:type="dxa"/>
          </w:tcPr>
          <w:p w14:paraId="4B986320" w14:textId="7B61DF3D" w:rsidR="004E3C06" w:rsidRPr="00BA3EED" w:rsidRDefault="002A7260" w:rsidP="006354CE">
            <w:pPr>
              <w:tabs>
                <w:tab w:val="left" w:pos="567"/>
              </w:tabs>
              <w:spacing w:before="120" w:after="120"/>
              <w:jc w:val="center"/>
              <w:rPr>
                <w:sz w:val="22"/>
                <w:szCs w:val="22"/>
              </w:rPr>
            </w:pPr>
            <w:r w:rsidRPr="00BA3EED">
              <w:rPr>
                <w:sz w:val="22"/>
                <w:szCs w:val="22"/>
              </w:rPr>
              <w:t>2</w:t>
            </w:r>
          </w:p>
        </w:tc>
        <w:tc>
          <w:tcPr>
            <w:tcW w:w="7370" w:type="dxa"/>
          </w:tcPr>
          <w:p w14:paraId="301F9BB7" w14:textId="3C49AA9F" w:rsidR="004E3C06" w:rsidRPr="00BA3EED" w:rsidRDefault="00773610" w:rsidP="00773610">
            <w:pPr>
              <w:tabs>
                <w:tab w:val="left" w:pos="567"/>
              </w:tabs>
              <w:spacing w:before="120" w:after="120"/>
              <w:rPr>
                <w:sz w:val="22"/>
                <w:szCs w:val="22"/>
              </w:rPr>
            </w:pPr>
            <w:r w:rsidRPr="00BA3EED">
              <w:rPr>
                <w:sz w:val="22"/>
                <w:szCs w:val="22"/>
              </w:rPr>
              <w:t>Danish Kattegat</w:t>
            </w:r>
          </w:p>
        </w:tc>
      </w:tr>
      <w:tr w:rsidR="004E3C06" w:rsidRPr="00BA3EED" w14:paraId="522E8329" w14:textId="77777777" w:rsidTr="007574B6">
        <w:tc>
          <w:tcPr>
            <w:tcW w:w="1980" w:type="dxa"/>
          </w:tcPr>
          <w:p w14:paraId="36331E67" w14:textId="74BE12FB" w:rsidR="004E3C06" w:rsidRPr="00BA3EED" w:rsidRDefault="002A7260" w:rsidP="006354CE">
            <w:pPr>
              <w:tabs>
                <w:tab w:val="left" w:pos="567"/>
              </w:tabs>
              <w:spacing w:before="120" w:after="120"/>
              <w:jc w:val="center"/>
              <w:rPr>
                <w:sz w:val="22"/>
                <w:szCs w:val="22"/>
              </w:rPr>
            </w:pPr>
            <w:r w:rsidRPr="00BA3EED">
              <w:rPr>
                <w:sz w:val="22"/>
                <w:szCs w:val="22"/>
              </w:rPr>
              <w:t>3</w:t>
            </w:r>
          </w:p>
        </w:tc>
        <w:tc>
          <w:tcPr>
            <w:tcW w:w="7370" w:type="dxa"/>
          </w:tcPr>
          <w:p w14:paraId="62221FE5" w14:textId="56D0DC83" w:rsidR="004E3C06" w:rsidRPr="00BA3EED" w:rsidRDefault="00773610" w:rsidP="00773610">
            <w:pPr>
              <w:tabs>
                <w:tab w:val="left" w:pos="567"/>
              </w:tabs>
              <w:spacing w:before="120" w:after="120"/>
              <w:rPr>
                <w:sz w:val="22"/>
                <w:szCs w:val="22"/>
              </w:rPr>
            </w:pPr>
            <w:r w:rsidRPr="00BA3EED">
              <w:rPr>
                <w:sz w:val="22"/>
                <w:szCs w:val="22"/>
              </w:rPr>
              <w:t>Cantabrian Sea</w:t>
            </w:r>
            <w:r w:rsidR="00BA3EED" w:rsidRPr="00846AD1">
              <w:rPr>
                <w:sz w:val="22"/>
                <w:szCs w:val="22"/>
              </w:rPr>
              <w:t xml:space="preserve"> (</w:t>
            </w:r>
            <w:r w:rsidRPr="00BA3EED">
              <w:rPr>
                <w:sz w:val="22"/>
                <w:szCs w:val="22"/>
              </w:rPr>
              <w:t>Southern Bay of Biscay</w:t>
            </w:r>
            <w:r w:rsidR="00BA3EED" w:rsidRPr="00846AD1">
              <w:rPr>
                <w:sz w:val="22"/>
                <w:szCs w:val="22"/>
              </w:rPr>
              <w:t>)</w:t>
            </w:r>
          </w:p>
        </w:tc>
      </w:tr>
      <w:tr w:rsidR="004E3C06" w:rsidRPr="00BA3EED" w14:paraId="69B3FAEF" w14:textId="77777777" w:rsidTr="007574B6">
        <w:tc>
          <w:tcPr>
            <w:tcW w:w="1980" w:type="dxa"/>
          </w:tcPr>
          <w:p w14:paraId="5D6A961B" w14:textId="3AEB0FB6" w:rsidR="004E3C06" w:rsidRPr="00BA3EED" w:rsidRDefault="002A7260" w:rsidP="006354CE">
            <w:pPr>
              <w:tabs>
                <w:tab w:val="left" w:pos="567"/>
              </w:tabs>
              <w:spacing w:before="120" w:after="120"/>
              <w:jc w:val="center"/>
              <w:rPr>
                <w:sz w:val="22"/>
                <w:szCs w:val="22"/>
              </w:rPr>
            </w:pPr>
            <w:r w:rsidRPr="00BA3EED">
              <w:rPr>
                <w:sz w:val="22"/>
                <w:szCs w:val="22"/>
              </w:rPr>
              <w:t>4</w:t>
            </w:r>
          </w:p>
        </w:tc>
        <w:tc>
          <w:tcPr>
            <w:tcW w:w="7370" w:type="dxa"/>
          </w:tcPr>
          <w:p w14:paraId="5D0D7E52" w14:textId="25A86A81" w:rsidR="004E3C06" w:rsidRPr="00BA3EED" w:rsidRDefault="00773610" w:rsidP="00773610">
            <w:pPr>
              <w:tabs>
                <w:tab w:val="left" w:pos="567"/>
              </w:tabs>
              <w:spacing w:before="120" w:after="120"/>
              <w:rPr>
                <w:sz w:val="22"/>
                <w:szCs w:val="22"/>
              </w:rPr>
            </w:pPr>
            <w:r w:rsidRPr="00BA3EED">
              <w:rPr>
                <w:sz w:val="22"/>
                <w:szCs w:val="22"/>
              </w:rPr>
              <w:t>Western Iberian Canyons</w:t>
            </w:r>
            <w:r w:rsidR="00BA3EED" w:rsidRPr="00846AD1">
              <w:rPr>
                <w:sz w:val="22"/>
                <w:szCs w:val="22"/>
              </w:rPr>
              <w:t xml:space="preserve"> and Banks</w:t>
            </w:r>
          </w:p>
        </w:tc>
      </w:tr>
      <w:tr w:rsidR="004E3C06" w:rsidRPr="00BA3EED" w14:paraId="0AC5F296" w14:textId="77777777" w:rsidTr="007574B6">
        <w:tc>
          <w:tcPr>
            <w:tcW w:w="1980" w:type="dxa"/>
          </w:tcPr>
          <w:p w14:paraId="38AE9949" w14:textId="66C67B94" w:rsidR="004E3C06" w:rsidRPr="00BA3EED" w:rsidRDefault="002A7260" w:rsidP="006354CE">
            <w:pPr>
              <w:tabs>
                <w:tab w:val="left" w:pos="567"/>
              </w:tabs>
              <w:spacing w:before="120" w:after="120"/>
              <w:jc w:val="center"/>
              <w:rPr>
                <w:sz w:val="22"/>
                <w:szCs w:val="22"/>
              </w:rPr>
            </w:pPr>
            <w:r w:rsidRPr="00BA3EED">
              <w:rPr>
                <w:sz w:val="22"/>
                <w:szCs w:val="22"/>
              </w:rPr>
              <w:t>5</w:t>
            </w:r>
          </w:p>
        </w:tc>
        <w:tc>
          <w:tcPr>
            <w:tcW w:w="7370" w:type="dxa"/>
          </w:tcPr>
          <w:p w14:paraId="1D3B6608" w14:textId="490A9355" w:rsidR="004E3C06" w:rsidRPr="00BA3EED" w:rsidRDefault="00773610" w:rsidP="00773610">
            <w:pPr>
              <w:tabs>
                <w:tab w:val="left" w:pos="567"/>
              </w:tabs>
              <w:spacing w:before="120" w:after="120"/>
              <w:rPr>
                <w:sz w:val="22"/>
                <w:szCs w:val="22"/>
              </w:rPr>
            </w:pPr>
            <w:r w:rsidRPr="00BA3EED">
              <w:rPr>
                <w:sz w:val="22"/>
                <w:szCs w:val="22"/>
              </w:rPr>
              <w:t>Gulf of C</w:t>
            </w:r>
            <w:r w:rsidR="00B31384" w:rsidRPr="00BA3EED">
              <w:rPr>
                <w:sz w:val="22"/>
                <w:szCs w:val="22"/>
              </w:rPr>
              <w:t>á</w:t>
            </w:r>
            <w:r w:rsidRPr="00BA3EED">
              <w:rPr>
                <w:sz w:val="22"/>
                <w:szCs w:val="22"/>
              </w:rPr>
              <w:t>diz</w:t>
            </w:r>
          </w:p>
        </w:tc>
      </w:tr>
      <w:tr w:rsidR="004E3C06" w:rsidRPr="00BA3EED" w14:paraId="68960CA5" w14:textId="77777777" w:rsidTr="007574B6">
        <w:tc>
          <w:tcPr>
            <w:tcW w:w="1980" w:type="dxa"/>
          </w:tcPr>
          <w:p w14:paraId="66F82860" w14:textId="677FBB06" w:rsidR="004E3C06" w:rsidRPr="00BA3EED" w:rsidRDefault="002A7260" w:rsidP="006354CE">
            <w:pPr>
              <w:tabs>
                <w:tab w:val="left" w:pos="567"/>
              </w:tabs>
              <w:spacing w:before="120" w:after="120"/>
              <w:jc w:val="center"/>
              <w:rPr>
                <w:sz w:val="22"/>
                <w:szCs w:val="22"/>
              </w:rPr>
            </w:pPr>
            <w:r w:rsidRPr="00BA3EED">
              <w:rPr>
                <w:sz w:val="22"/>
                <w:szCs w:val="22"/>
              </w:rPr>
              <w:t>6</w:t>
            </w:r>
          </w:p>
        </w:tc>
        <w:tc>
          <w:tcPr>
            <w:tcW w:w="7370" w:type="dxa"/>
          </w:tcPr>
          <w:p w14:paraId="5931DA71" w14:textId="46CB7434" w:rsidR="004E3C06" w:rsidRPr="00BA3EED" w:rsidRDefault="00773610" w:rsidP="00773610">
            <w:pPr>
              <w:tabs>
                <w:tab w:val="left" w:pos="567"/>
              </w:tabs>
              <w:spacing w:before="120" w:after="120"/>
              <w:rPr>
                <w:sz w:val="22"/>
                <w:szCs w:val="22"/>
              </w:rPr>
            </w:pPr>
            <w:r w:rsidRPr="00BA3EED">
              <w:rPr>
                <w:sz w:val="22"/>
                <w:szCs w:val="22"/>
              </w:rPr>
              <w:t>Madeira - Tore</w:t>
            </w:r>
          </w:p>
        </w:tc>
      </w:tr>
      <w:tr w:rsidR="004E3C06" w:rsidRPr="00BA3EED" w14:paraId="14AF821D" w14:textId="77777777" w:rsidTr="007574B6">
        <w:tc>
          <w:tcPr>
            <w:tcW w:w="1980" w:type="dxa"/>
          </w:tcPr>
          <w:p w14:paraId="5F700FD9" w14:textId="2A36C25A" w:rsidR="004E3C06" w:rsidRPr="00BA3EED" w:rsidRDefault="002A7260" w:rsidP="006354CE">
            <w:pPr>
              <w:tabs>
                <w:tab w:val="left" w:pos="567"/>
              </w:tabs>
              <w:spacing w:before="120" w:after="120"/>
              <w:jc w:val="center"/>
              <w:rPr>
                <w:sz w:val="22"/>
                <w:szCs w:val="22"/>
              </w:rPr>
            </w:pPr>
            <w:r w:rsidRPr="00BA3EED">
              <w:rPr>
                <w:sz w:val="22"/>
                <w:szCs w:val="22"/>
              </w:rPr>
              <w:t>7</w:t>
            </w:r>
          </w:p>
        </w:tc>
        <w:tc>
          <w:tcPr>
            <w:tcW w:w="7370" w:type="dxa"/>
          </w:tcPr>
          <w:p w14:paraId="691CE5F9" w14:textId="3F3B8A2E" w:rsidR="004E3C06" w:rsidRPr="00BA3EED" w:rsidRDefault="00773610" w:rsidP="00773610">
            <w:pPr>
              <w:tabs>
                <w:tab w:val="left" w:pos="567"/>
              </w:tabs>
              <w:spacing w:before="120" w:after="120"/>
              <w:rPr>
                <w:sz w:val="22"/>
                <w:szCs w:val="22"/>
              </w:rPr>
            </w:pPr>
            <w:r w:rsidRPr="00BA3EED">
              <w:rPr>
                <w:sz w:val="22"/>
                <w:szCs w:val="22"/>
              </w:rPr>
              <w:t>Desertas</w:t>
            </w:r>
          </w:p>
        </w:tc>
      </w:tr>
      <w:tr w:rsidR="009B53AC" w:rsidRPr="00BA3EED" w14:paraId="6B6A3F03" w14:textId="77777777" w:rsidTr="007574B6">
        <w:tc>
          <w:tcPr>
            <w:tcW w:w="1980" w:type="dxa"/>
          </w:tcPr>
          <w:p w14:paraId="112240CD" w14:textId="11CAC320" w:rsidR="009B53AC" w:rsidRPr="00BA3EED" w:rsidRDefault="009B53AC" w:rsidP="006354CE">
            <w:pPr>
              <w:tabs>
                <w:tab w:val="left" w:pos="567"/>
              </w:tabs>
              <w:spacing w:before="120" w:after="120"/>
              <w:jc w:val="center"/>
              <w:rPr>
                <w:sz w:val="22"/>
                <w:szCs w:val="22"/>
              </w:rPr>
            </w:pPr>
            <w:r w:rsidRPr="00BA3EED">
              <w:rPr>
                <w:sz w:val="22"/>
                <w:szCs w:val="22"/>
              </w:rPr>
              <w:t>8</w:t>
            </w:r>
          </w:p>
        </w:tc>
        <w:tc>
          <w:tcPr>
            <w:tcW w:w="7370" w:type="dxa"/>
          </w:tcPr>
          <w:p w14:paraId="6A1CBC21" w14:textId="2450055A" w:rsidR="009B53AC" w:rsidRPr="00BA3EED" w:rsidRDefault="00773610" w:rsidP="00773610">
            <w:pPr>
              <w:tabs>
                <w:tab w:val="left" w:pos="567"/>
              </w:tabs>
              <w:spacing w:before="120" w:after="120"/>
              <w:rPr>
                <w:sz w:val="22"/>
                <w:szCs w:val="22"/>
              </w:rPr>
            </w:pPr>
            <w:r w:rsidRPr="00BA3EED">
              <w:rPr>
                <w:sz w:val="22"/>
                <w:szCs w:val="22"/>
              </w:rPr>
              <w:t>Oceanic Islands and Seamounts of the Canary Region</w:t>
            </w:r>
          </w:p>
        </w:tc>
      </w:tr>
      <w:tr w:rsidR="009B53AC" w:rsidRPr="00BA3EED" w14:paraId="2A62B48B" w14:textId="77777777" w:rsidTr="007574B6">
        <w:tc>
          <w:tcPr>
            <w:tcW w:w="1980" w:type="dxa"/>
          </w:tcPr>
          <w:p w14:paraId="22840CA9" w14:textId="2AAC6098" w:rsidR="009B53AC" w:rsidRPr="00BA3EED" w:rsidRDefault="009B53AC" w:rsidP="006354CE">
            <w:pPr>
              <w:tabs>
                <w:tab w:val="left" w:pos="567"/>
              </w:tabs>
              <w:spacing w:before="120" w:after="120"/>
              <w:jc w:val="center"/>
              <w:rPr>
                <w:sz w:val="22"/>
                <w:szCs w:val="22"/>
              </w:rPr>
            </w:pPr>
            <w:r w:rsidRPr="00BA3EED">
              <w:rPr>
                <w:sz w:val="22"/>
                <w:szCs w:val="22"/>
              </w:rPr>
              <w:t>9</w:t>
            </w:r>
          </w:p>
        </w:tc>
        <w:tc>
          <w:tcPr>
            <w:tcW w:w="7370" w:type="dxa"/>
          </w:tcPr>
          <w:p w14:paraId="3EE676A7" w14:textId="5D1F84FD" w:rsidR="009B53AC" w:rsidRPr="00BA3EED" w:rsidRDefault="00773610" w:rsidP="00773610">
            <w:pPr>
              <w:tabs>
                <w:tab w:val="left" w:pos="567"/>
              </w:tabs>
              <w:spacing w:before="120" w:after="120"/>
              <w:rPr>
                <w:sz w:val="22"/>
                <w:szCs w:val="22"/>
              </w:rPr>
            </w:pPr>
            <w:r w:rsidRPr="00BA3EED">
              <w:rPr>
                <w:sz w:val="22"/>
                <w:szCs w:val="22"/>
              </w:rPr>
              <w:t>Tropic Seamount</w:t>
            </w:r>
          </w:p>
        </w:tc>
      </w:tr>
      <w:tr w:rsidR="009B53AC" w:rsidRPr="00BA3EED" w14:paraId="7FE908CC" w14:textId="77777777" w:rsidTr="007574B6">
        <w:tc>
          <w:tcPr>
            <w:tcW w:w="1980" w:type="dxa"/>
          </w:tcPr>
          <w:p w14:paraId="3570D92C" w14:textId="32026303" w:rsidR="009B53AC" w:rsidRPr="00BA3EED" w:rsidRDefault="009B53AC" w:rsidP="006354CE">
            <w:pPr>
              <w:tabs>
                <w:tab w:val="left" w:pos="567"/>
              </w:tabs>
              <w:spacing w:before="120" w:after="120"/>
              <w:jc w:val="center"/>
              <w:rPr>
                <w:sz w:val="22"/>
                <w:szCs w:val="22"/>
              </w:rPr>
            </w:pPr>
            <w:r w:rsidRPr="00BA3EED">
              <w:rPr>
                <w:sz w:val="22"/>
                <w:szCs w:val="22"/>
              </w:rPr>
              <w:t>10</w:t>
            </w:r>
          </w:p>
        </w:tc>
        <w:tc>
          <w:tcPr>
            <w:tcW w:w="7370" w:type="dxa"/>
          </w:tcPr>
          <w:p w14:paraId="454840C1" w14:textId="35C2EDC2" w:rsidR="009B53AC" w:rsidRPr="00BA3EED" w:rsidRDefault="00E8017A" w:rsidP="00E8017A">
            <w:pPr>
              <w:tabs>
                <w:tab w:val="left" w:pos="567"/>
              </w:tabs>
              <w:spacing w:before="120" w:after="120"/>
              <w:rPr>
                <w:sz w:val="22"/>
                <w:szCs w:val="22"/>
              </w:rPr>
            </w:pPr>
            <w:r w:rsidRPr="00BA3EED">
              <w:rPr>
                <w:sz w:val="22"/>
                <w:szCs w:val="22"/>
              </w:rPr>
              <w:t>Atlantis</w:t>
            </w:r>
            <w:r w:rsidR="00BA3EED" w:rsidRPr="00846AD1">
              <w:rPr>
                <w:sz w:val="22"/>
                <w:szCs w:val="22"/>
              </w:rPr>
              <w:t>-</w:t>
            </w:r>
            <w:r w:rsidRPr="00BA3EED">
              <w:rPr>
                <w:sz w:val="22"/>
                <w:szCs w:val="22"/>
              </w:rPr>
              <w:t>Meteor Seamount Complex</w:t>
            </w:r>
          </w:p>
        </w:tc>
      </w:tr>
      <w:tr w:rsidR="009B53AC" w:rsidRPr="00BA3EED" w14:paraId="277B9658" w14:textId="77777777" w:rsidTr="007574B6">
        <w:tc>
          <w:tcPr>
            <w:tcW w:w="1980" w:type="dxa"/>
          </w:tcPr>
          <w:p w14:paraId="37D0E112" w14:textId="209D41FC" w:rsidR="009B53AC" w:rsidRPr="00BA3EED" w:rsidRDefault="009B53AC" w:rsidP="006354CE">
            <w:pPr>
              <w:tabs>
                <w:tab w:val="left" w:pos="567"/>
              </w:tabs>
              <w:spacing w:before="120" w:after="120"/>
              <w:jc w:val="center"/>
              <w:rPr>
                <w:sz w:val="22"/>
                <w:szCs w:val="22"/>
              </w:rPr>
            </w:pPr>
            <w:r w:rsidRPr="00BA3EED">
              <w:rPr>
                <w:sz w:val="22"/>
                <w:szCs w:val="22"/>
              </w:rPr>
              <w:t>11</w:t>
            </w:r>
          </w:p>
        </w:tc>
        <w:tc>
          <w:tcPr>
            <w:tcW w:w="7370" w:type="dxa"/>
          </w:tcPr>
          <w:p w14:paraId="63574EEC" w14:textId="75EBFF99" w:rsidR="009B53AC" w:rsidRPr="00BA3EED" w:rsidRDefault="00E8017A" w:rsidP="00E8017A">
            <w:pPr>
              <w:tabs>
                <w:tab w:val="left" w:pos="567"/>
              </w:tabs>
              <w:spacing w:before="120" w:after="120"/>
              <w:rPr>
                <w:sz w:val="22"/>
                <w:szCs w:val="22"/>
              </w:rPr>
            </w:pPr>
            <w:r w:rsidRPr="00BA3EED">
              <w:rPr>
                <w:sz w:val="22"/>
                <w:szCs w:val="22"/>
              </w:rPr>
              <w:t>Ridge South of the Azores</w:t>
            </w:r>
          </w:p>
        </w:tc>
      </w:tr>
      <w:tr w:rsidR="009B53AC" w:rsidRPr="00BA3EED" w14:paraId="4A5F6E05" w14:textId="77777777" w:rsidTr="007574B6">
        <w:tc>
          <w:tcPr>
            <w:tcW w:w="1980" w:type="dxa"/>
          </w:tcPr>
          <w:p w14:paraId="383B7F32" w14:textId="4BF9167F" w:rsidR="009B53AC" w:rsidRPr="00BA3EED" w:rsidRDefault="009B53AC" w:rsidP="006354CE">
            <w:pPr>
              <w:tabs>
                <w:tab w:val="left" w:pos="567"/>
              </w:tabs>
              <w:spacing w:before="120" w:after="120"/>
              <w:jc w:val="center"/>
              <w:rPr>
                <w:sz w:val="22"/>
                <w:szCs w:val="22"/>
              </w:rPr>
            </w:pPr>
            <w:r w:rsidRPr="00BA3EED">
              <w:rPr>
                <w:sz w:val="22"/>
                <w:szCs w:val="22"/>
              </w:rPr>
              <w:t>12</w:t>
            </w:r>
          </w:p>
        </w:tc>
        <w:tc>
          <w:tcPr>
            <w:tcW w:w="7370" w:type="dxa"/>
          </w:tcPr>
          <w:p w14:paraId="5D8B76F5" w14:textId="34D19CD7" w:rsidR="009B53AC" w:rsidRPr="00BA3EED" w:rsidRDefault="00E8017A" w:rsidP="00E8017A">
            <w:pPr>
              <w:tabs>
                <w:tab w:val="left" w:pos="567"/>
              </w:tabs>
              <w:spacing w:before="120" w:after="120"/>
              <w:rPr>
                <w:sz w:val="22"/>
                <w:szCs w:val="22"/>
              </w:rPr>
            </w:pPr>
            <w:r w:rsidRPr="00BA3EED">
              <w:rPr>
                <w:sz w:val="22"/>
                <w:szCs w:val="22"/>
              </w:rPr>
              <w:t>Graciosa</w:t>
            </w:r>
          </w:p>
        </w:tc>
      </w:tr>
      <w:tr w:rsidR="009B53AC" w:rsidRPr="00BA3EED" w14:paraId="5F875300" w14:textId="77777777" w:rsidTr="007574B6">
        <w:tc>
          <w:tcPr>
            <w:tcW w:w="1980" w:type="dxa"/>
          </w:tcPr>
          <w:p w14:paraId="3063B397" w14:textId="2DE0D796" w:rsidR="009B53AC" w:rsidRPr="00BA3EED" w:rsidRDefault="009B53AC" w:rsidP="006354CE">
            <w:pPr>
              <w:tabs>
                <w:tab w:val="left" w:pos="567"/>
              </w:tabs>
              <w:spacing w:before="120" w:after="120"/>
              <w:jc w:val="center"/>
              <w:rPr>
                <w:sz w:val="22"/>
                <w:szCs w:val="22"/>
              </w:rPr>
            </w:pPr>
            <w:r w:rsidRPr="00BA3EED">
              <w:rPr>
                <w:sz w:val="22"/>
                <w:szCs w:val="22"/>
              </w:rPr>
              <w:t>13</w:t>
            </w:r>
          </w:p>
        </w:tc>
        <w:tc>
          <w:tcPr>
            <w:tcW w:w="7370" w:type="dxa"/>
          </w:tcPr>
          <w:p w14:paraId="7BED73FB" w14:textId="3B0AF1A1" w:rsidR="009B53AC" w:rsidRPr="00BA3EED" w:rsidRDefault="00E8017A" w:rsidP="00E8017A">
            <w:pPr>
              <w:tabs>
                <w:tab w:val="left" w:pos="567"/>
              </w:tabs>
              <w:spacing w:before="120" w:after="120"/>
              <w:rPr>
                <w:sz w:val="22"/>
                <w:szCs w:val="22"/>
              </w:rPr>
            </w:pPr>
            <w:r w:rsidRPr="00BA3EED">
              <w:rPr>
                <w:sz w:val="22"/>
                <w:szCs w:val="22"/>
              </w:rPr>
              <w:t>North Azores Plateau</w:t>
            </w:r>
          </w:p>
        </w:tc>
      </w:tr>
      <w:tr w:rsidR="00E8017A" w:rsidRPr="00BA3EED" w14:paraId="0D8F1C41" w14:textId="77777777" w:rsidTr="007574B6">
        <w:tc>
          <w:tcPr>
            <w:tcW w:w="1980" w:type="dxa"/>
          </w:tcPr>
          <w:p w14:paraId="606EE338" w14:textId="78FAA208" w:rsidR="00E8017A" w:rsidRPr="00BA3EED" w:rsidRDefault="00E8017A" w:rsidP="006354CE">
            <w:pPr>
              <w:tabs>
                <w:tab w:val="left" w:pos="567"/>
              </w:tabs>
              <w:spacing w:before="120" w:after="120"/>
              <w:jc w:val="center"/>
              <w:rPr>
                <w:sz w:val="22"/>
                <w:szCs w:val="22"/>
              </w:rPr>
            </w:pPr>
            <w:r w:rsidRPr="00BA3EED">
              <w:rPr>
                <w:sz w:val="22"/>
                <w:szCs w:val="22"/>
              </w:rPr>
              <w:t>14</w:t>
            </w:r>
          </w:p>
        </w:tc>
        <w:tc>
          <w:tcPr>
            <w:tcW w:w="7370" w:type="dxa"/>
          </w:tcPr>
          <w:p w14:paraId="190FC898" w14:textId="24F07FA2" w:rsidR="00E8017A" w:rsidRPr="00BA3EED" w:rsidRDefault="00BA3EED" w:rsidP="00E8017A">
            <w:pPr>
              <w:tabs>
                <w:tab w:val="left" w:pos="567"/>
              </w:tabs>
              <w:spacing w:before="120" w:after="120"/>
              <w:rPr>
                <w:sz w:val="22"/>
                <w:szCs w:val="22"/>
              </w:rPr>
            </w:pPr>
            <w:r w:rsidRPr="00846AD1">
              <w:rPr>
                <w:sz w:val="22"/>
                <w:szCs w:val="22"/>
              </w:rPr>
              <w:t>Mid-North-Atlantic Frontal System</w:t>
            </w:r>
          </w:p>
        </w:tc>
      </w:tr>
      <w:tr w:rsidR="00E8017A" w:rsidRPr="00BA3EED" w14:paraId="4CBD3CD8" w14:textId="77777777" w:rsidTr="007574B6">
        <w:tc>
          <w:tcPr>
            <w:tcW w:w="1980" w:type="dxa"/>
          </w:tcPr>
          <w:p w14:paraId="7D011194" w14:textId="086CBC54" w:rsidR="00E8017A" w:rsidRPr="00BA3EED" w:rsidRDefault="00E8017A" w:rsidP="006354CE">
            <w:pPr>
              <w:tabs>
                <w:tab w:val="left" w:pos="567"/>
              </w:tabs>
              <w:spacing w:before="120" w:after="120"/>
              <w:jc w:val="center"/>
              <w:rPr>
                <w:sz w:val="22"/>
                <w:szCs w:val="22"/>
              </w:rPr>
            </w:pPr>
            <w:r w:rsidRPr="00BA3EED">
              <w:rPr>
                <w:sz w:val="22"/>
                <w:szCs w:val="22"/>
              </w:rPr>
              <w:t>15</w:t>
            </w:r>
          </w:p>
        </w:tc>
        <w:tc>
          <w:tcPr>
            <w:tcW w:w="7370" w:type="dxa"/>
          </w:tcPr>
          <w:p w14:paraId="2D0C5247" w14:textId="395D3501" w:rsidR="00E8017A" w:rsidRPr="00BA3EED" w:rsidRDefault="00E8017A" w:rsidP="00E8017A">
            <w:pPr>
              <w:tabs>
                <w:tab w:val="left" w:pos="567"/>
              </w:tabs>
              <w:spacing w:before="120" w:after="120"/>
              <w:rPr>
                <w:sz w:val="22"/>
                <w:szCs w:val="22"/>
              </w:rPr>
            </w:pPr>
            <w:r w:rsidRPr="00BA3EED">
              <w:rPr>
                <w:sz w:val="22"/>
                <w:szCs w:val="22"/>
              </w:rPr>
              <w:t>Charlie</w:t>
            </w:r>
            <w:r w:rsidR="00BA3EED" w:rsidRPr="00846AD1">
              <w:rPr>
                <w:sz w:val="22"/>
                <w:szCs w:val="22"/>
              </w:rPr>
              <w:t>-</w:t>
            </w:r>
            <w:r w:rsidRPr="00BA3EED">
              <w:rPr>
                <w:sz w:val="22"/>
                <w:szCs w:val="22"/>
              </w:rPr>
              <w:t>Gibbs Fracture Zone</w:t>
            </w:r>
          </w:p>
        </w:tc>
      </w:tr>
      <w:tr w:rsidR="00E8017A" w:rsidRPr="00BA3EED" w14:paraId="01C89B88" w14:textId="77777777" w:rsidTr="007574B6">
        <w:tc>
          <w:tcPr>
            <w:tcW w:w="1980" w:type="dxa"/>
          </w:tcPr>
          <w:p w14:paraId="7D6F1490" w14:textId="5D66B74E" w:rsidR="00E8017A" w:rsidRPr="00BA3EED" w:rsidRDefault="00E8017A" w:rsidP="006354CE">
            <w:pPr>
              <w:tabs>
                <w:tab w:val="left" w:pos="567"/>
              </w:tabs>
              <w:spacing w:before="120" w:after="120"/>
              <w:jc w:val="center"/>
              <w:rPr>
                <w:sz w:val="22"/>
                <w:szCs w:val="22"/>
              </w:rPr>
            </w:pPr>
            <w:r w:rsidRPr="00BA3EED">
              <w:rPr>
                <w:sz w:val="22"/>
                <w:szCs w:val="22"/>
              </w:rPr>
              <w:t>16</w:t>
            </w:r>
          </w:p>
        </w:tc>
        <w:tc>
          <w:tcPr>
            <w:tcW w:w="7370" w:type="dxa"/>
          </w:tcPr>
          <w:p w14:paraId="2974D2D2" w14:textId="47C74852" w:rsidR="00E8017A" w:rsidRPr="00BA3EED" w:rsidRDefault="00482D00" w:rsidP="00E8017A">
            <w:pPr>
              <w:tabs>
                <w:tab w:val="left" w:pos="567"/>
              </w:tabs>
              <w:spacing w:before="120" w:after="120"/>
              <w:rPr>
                <w:sz w:val="22"/>
                <w:szCs w:val="22"/>
              </w:rPr>
            </w:pPr>
            <w:r w:rsidRPr="00BA3EED">
              <w:rPr>
                <w:sz w:val="22"/>
                <w:szCs w:val="22"/>
              </w:rPr>
              <w:t xml:space="preserve">Southern </w:t>
            </w:r>
            <w:r w:rsidR="00E8017A" w:rsidRPr="00BA3EED">
              <w:rPr>
                <w:sz w:val="22"/>
                <w:szCs w:val="22"/>
              </w:rPr>
              <w:t>Reykjanes Ridge</w:t>
            </w:r>
          </w:p>
        </w:tc>
      </w:tr>
      <w:tr w:rsidR="00E8017A" w:rsidRPr="006220EA" w14:paraId="43A0D383" w14:textId="77777777" w:rsidTr="007574B6">
        <w:tc>
          <w:tcPr>
            <w:tcW w:w="1980" w:type="dxa"/>
          </w:tcPr>
          <w:p w14:paraId="39E2A59E" w14:textId="4D11CBCF" w:rsidR="00E8017A" w:rsidRPr="00BA3EED" w:rsidRDefault="00E8017A" w:rsidP="006354CE">
            <w:pPr>
              <w:tabs>
                <w:tab w:val="left" w:pos="567"/>
              </w:tabs>
              <w:spacing w:before="120" w:after="120"/>
              <w:jc w:val="center"/>
              <w:rPr>
                <w:sz w:val="22"/>
                <w:szCs w:val="22"/>
              </w:rPr>
            </w:pPr>
            <w:r w:rsidRPr="00BA3EED">
              <w:rPr>
                <w:sz w:val="22"/>
                <w:szCs w:val="22"/>
              </w:rPr>
              <w:t>17</w:t>
            </w:r>
          </w:p>
        </w:tc>
        <w:tc>
          <w:tcPr>
            <w:tcW w:w="7370" w:type="dxa"/>
          </w:tcPr>
          <w:p w14:paraId="46F86E00" w14:textId="432E4D47" w:rsidR="00E8017A" w:rsidRPr="00B53089" w:rsidRDefault="00B53089" w:rsidP="00E8017A">
            <w:pPr>
              <w:tabs>
                <w:tab w:val="left" w:pos="567"/>
              </w:tabs>
              <w:spacing w:before="120" w:after="120"/>
              <w:rPr>
                <w:bCs/>
                <w:sz w:val="22"/>
                <w:szCs w:val="22"/>
              </w:rPr>
            </w:pPr>
            <w:r w:rsidRPr="00BA3EED">
              <w:rPr>
                <w:bCs/>
                <w:sz w:val="22"/>
                <w:szCs w:val="22"/>
                <w:lang w:val="en-US"/>
              </w:rPr>
              <w:t>Hatton and Rockall Banks and Basin</w:t>
            </w:r>
            <w:r w:rsidR="00B31384">
              <w:rPr>
                <w:bCs/>
                <w:sz w:val="22"/>
                <w:szCs w:val="22"/>
                <w:lang w:val="en-US"/>
              </w:rPr>
              <w:t xml:space="preserve"> </w:t>
            </w:r>
          </w:p>
        </w:tc>
      </w:tr>
    </w:tbl>
    <w:p w14:paraId="5450AE17" w14:textId="27AB0E08" w:rsidR="00F952A8" w:rsidRPr="006220EA" w:rsidRDefault="00F952A8" w:rsidP="006220EA">
      <w:pPr>
        <w:tabs>
          <w:tab w:val="left" w:pos="567"/>
        </w:tabs>
        <w:spacing w:before="120" w:after="120"/>
        <w:rPr>
          <w:sz w:val="22"/>
          <w:szCs w:val="22"/>
        </w:rPr>
      </w:pPr>
      <w:r w:rsidRPr="006220EA">
        <w:rPr>
          <w:sz w:val="22"/>
          <w:szCs w:val="22"/>
        </w:rPr>
        <w:br w:type="page"/>
      </w:r>
    </w:p>
    <w:p w14:paraId="13616BE6" w14:textId="77777777" w:rsidR="006B3F46" w:rsidRPr="00BC2550" w:rsidRDefault="006B3F46" w:rsidP="00907941">
      <w:pPr>
        <w:pStyle w:val="bodytextnoindent"/>
        <w:jc w:val="center"/>
        <w:rPr>
          <w:i/>
          <w:szCs w:val="22"/>
          <w:lang w:eastAsia="ko-KR"/>
        </w:rPr>
      </w:pPr>
      <w:r w:rsidRPr="00BC2550">
        <w:rPr>
          <w:i/>
          <w:szCs w:val="22"/>
          <w:lang w:eastAsia="ko-KR"/>
        </w:rPr>
        <w:t>Appendix to Annex VII</w:t>
      </w:r>
    </w:p>
    <w:p w14:paraId="1B751499" w14:textId="77777777" w:rsidR="006B3F46" w:rsidRPr="00BC2550" w:rsidRDefault="006B3F46" w:rsidP="00907941">
      <w:pPr>
        <w:pStyle w:val="bodytextnoindent"/>
        <w:jc w:val="center"/>
        <w:rPr>
          <w:b/>
          <w:szCs w:val="22"/>
          <w:lang w:eastAsia="ko-KR"/>
        </w:rPr>
      </w:pPr>
      <w:r w:rsidRPr="00BC2550">
        <w:rPr>
          <w:b/>
          <w:szCs w:val="22"/>
          <w:lang w:eastAsia="ko-KR"/>
        </w:rPr>
        <w:t>DESCRIPTION OF AREAS MEETING THE EBSA CRITERIA IN THE NORTH-EAST ATLANTIC, AS AGREED BY THE WORKSHOP PLENARY</w:t>
      </w:r>
    </w:p>
    <w:p w14:paraId="2DE1A7BD" w14:textId="77777777" w:rsidR="006B3F46" w:rsidRPr="009978E3" w:rsidRDefault="006B3F46" w:rsidP="00907941">
      <w:pPr>
        <w:jc w:val="center"/>
        <w:rPr>
          <w:b/>
          <w:color w:val="000000"/>
          <w:sz w:val="22"/>
          <w:szCs w:val="22"/>
          <w:shd w:val="clear" w:color="auto" w:fill="FFFFFF"/>
        </w:rPr>
      </w:pPr>
      <w:r w:rsidRPr="00BC2550">
        <w:rPr>
          <w:rFonts w:eastAsia="MS Mincho"/>
          <w:b/>
          <w:sz w:val="22"/>
          <w:szCs w:val="22"/>
          <w:lang w:val="en-US"/>
        </w:rPr>
        <w:t xml:space="preserve">Area no. 1: </w:t>
      </w:r>
      <w:r w:rsidRPr="00BC2550">
        <w:rPr>
          <w:b/>
          <w:color w:val="000000"/>
          <w:sz w:val="22"/>
          <w:szCs w:val="22"/>
          <w:shd w:val="clear" w:color="auto" w:fill="FFFFFF"/>
        </w:rPr>
        <w:t xml:space="preserve">Danish </w:t>
      </w:r>
      <w:r w:rsidRPr="00F66EF7">
        <w:rPr>
          <w:b/>
          <w:color w:val="000000"/>
          <w:sz w:val="22"/>
          <w:szCs w:val="22"/>
          <w:shd w:val="clear" w:color="auto" w:fill="FFFFFF"/>
        </w:rPr>
        <w:t>Skagerra</w:t>
      </w:r>
      <w:r w:rsidRPr="009978E3">
        <w:rPr>
          <w:b/>
          <w:color w:val="000000"/>
          <w:sz w:val="22"/>
          <w:szCs w:val="22"/>
          <w:shd w:val="clear" w:color="auto" w:fill="FFFFFF"/>
        </w:rPr>
        <w:t>k</w:t>
      </w:r>
    </w:p>
    <w:p w14:paraId="4D871600"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Abstract </w:t>
      </w:r>
    </w:p>
    <w:p w14:paraId="5263CC00" w14:textId="74AA7F5E" w:rsidR="006B3F46" w:rsidRPr="009978E3" w:rsidRDefault="006B3F46" w:rsidP="00907941">
      <w:pPr>
        <w:jc w:val="both"/>
        <w:rPr>
          <w:rFonts w:eastAsia="MS Mincho"/>
          <w:sz w:val="22"/>
          <w:szCs w:val="22"/>
          <w:lang w:val="en-US"/>
        </w:rPr>
      </w:pPr>
      <w:r w:rsidRPr="009978E3">
        <w:rPr>
          <w:rFonts w:eastAsia="MS Mincho"/>
          <w:sz w:val="22"/>
          <w:szCs w:val="22"/>
          <w:lang w:val="en-US"/>
        </w:rPr>
        <w:t>This area focuses on a highly productive upwelling zone along the southern edge of the Norwegian Trench. This area has high fish biomass and diversity, and the upwelling zone also provides valuable feeding grounds for several cetacean and bird species.</w:t>
      </w:r>
    </w:p>
    <w:p w14:paraId="5995F936" w14:textId="77777777" w:rsidR="006B3F46" w:rsidRPr="009978E3" w:rsidRDefault="006B3F46" w:rsidP="00907941">
      <w:pPr>
        <w:jc w:val="both"/>
        <w:rPr>
          <w:rFonts w:eastAsia="MS Mincho"/>
          <w:sz w:val="22"/>
          <w:szCs w:val="22"/>
          <w:lang w:val="en-US"/>
        </w:rPr>
      </w:pPr>
    </w:p>
    <w:p w14:paraId="698664F5"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63DBEAC3" w14:textId="77777777" w:rsidR="006B3F46" w:rsidRPr="009978E3" w:rsidRDefault="006B3F46" w:rsidP="00907941">
      <w:pPr>
        <w:jc w:val="both"/>
        <w:rPr>
          <w:rFonts w:eastAsia="MS Mincho"/>
          <w:b/>
          <w:sz w:val="22"/>
          <w:szCs w:val="22"/>
          <w:lang w:val="en-US"/>
        </w:rPr>
      </w:pPr>
      <w:r w:rsidRPr="009978E3">
        <w:rPr>
          <w:rFonts w:eastAsia="MS Mincho"/>
          <w:sz w:val="22"/>
          <w:szCs w:val="22"/>
          <w:lang w:val="en-US"/>
        </w:rPr>
        <w:t>The Danish part of the Skagerrak north of Jutland is a very productive frontal area. The water depth is between 0 and 465m. The seabed sediment within the area changes from muddy in the deep water to sandy with decreasing depth. Reef areas exist within two Natura 2000 sites. The Natura 2000 site “Store Rev” hosts a relatively deep reef site, and the Natura 2000 site “Knudegrund” hosts a shallower reef area.</w:t>
      </w:r>
      <w:r>
        <w:rPr>
          <w:rFonts w:eastAsia="MS Mincho"/>
          <w:sz w:val="22"/>
          <w:szCs w:val="22"/>
          <w:lang w:val="en-US"/>
        </w:rPr>
        <w:t xml:space="preserve"> </w:t>
      </w:r>
      <w:r w:rsidRPr="009978E3">
        <w:rPr>
          <w:rFonts w:eastAsia="MS Mincho"/>
          <w:sz w:val="22"/>
          <w:szCs w:val="22"/>
          <w:lang w:val="en-US"/>
        </w:rPr>
        <w:t>The shallow part of Knudegrund hosts a seaweed forest. Hard bottom communities below 11.5 and 13.5m water depth in the Skagerrak are dominated by the soft coral “Dead man’s finger” (</w:t>
      </w:r>
      <w:r w:rsidRPr="009978E3">
        <w:rPr>
          <w:rFonts w:eastAsia="MS Mincho"/>
          <w:i/>
          <w:iCs/>
          <w:sz w:val="22"/>
          <w:szCs w:val="22"/>
          <w:lang w:val="en-US"/>
        </w:rPr>
        <w:t>Alcyonium digitatum</w:t>
      </w:r>
      <w:r w:rsidRPr="009978E3">
        <w:rPr>
          <w:rFonts w:eastAsia="MS Mincho"/>
          <w:sz w:val="22"/>
          <w:szCs w:val="22"/>
          <w:lang w:val="en-US"/>
        </w:rPr>
        <w:t xml:space="preserve">) and the bryozoan </w:t>
      </w:r>
      <w:r w:rsidRPr="009978E3">
        <w:rPr>
          <w:rFonts w:eastAsia="MS Mincho"/>
          <w:i/>
          <w:iCs/>
          <w:sz w:val="22"/>
          <w:szCs w:val="22"/>
          <w:lang w:val="en-US"/>
        </w:rPr>
        <w:t>Flustra foliacea</w:t>
      </w:r>
      <w:r w:rsidRPr="009978E3">
        <w:rPr>
          <w:rFonts w:eastAsia="MS Mincho"/>
          <w:sz w:val="22"/>
          <w:szCs w:val="22"/>
          <w:lang w:val="en-US"/>
        </w:rPr>
        <w:t xml:space="preserve"> (Edelvang </w:t>
      </w:r>
      <w:r w:rsidRPr="0006066A">
        <w:rPr>
          <w:rFonts w:eastAsia="MS Mincho"/>
          <w:i/>
          <w:sz w:val="22"/>
          <w:szCs w:val="22"/>
          <w:lang w:val="en-US"/>
        </w:rPr>
        <w:t>et al</w:t>
      </w:r>
      <w:r w:rsidRPr="009978E3">
        <w:rPr>
          <w:rFonts w:eastAsia="MS Mincho"/>
          <w:sz w:val="22"/>
          <w:szCs w:val="22"/>
          <w:lang w:val="en-US"/>
        </w:rPr>
        <w:t>., 2017</w:t>
      </w:r>
      <w:r>
        <w:rPr>
          <w:rFonts w:eastAsia="MS Mincho"/>
          <w:sz w:val="22"/>
          <w:szCs w:val="22"/>
          <w:lang w:val="en-US"/>
        </w:rPr>
        <w:t>a</w:t>
      </w:r>
      <w:r w:rsidRPr="009978E3">
        <w:rPr>
          <w:rFonts w:eastAsia="MS Mincho"/>
          <w:sz w:val="22"/>
          <w:szCs w:val="22"/>
          <w:lang w:val="en-US"/>
        </w:rPr>
        <w:t>).</w:t>
      </w:r>
      <w:r>
        <w:rPr>
          <w:rFonts w:eastAsia="MS Mincho"/>
          <w:sz w:val="22"/>
          <w:szCs w:val="22"/>
          <w:lang w:val="en-US"/>
        </w:rPr>
        <w:t xml:space="preserve"> </w:t>
      </w:r>
      <w:r w:rsidRPr="009978E3">
        <w:rPr>
          <w:rFonts w:eastAsia="MS Mincho"/>
          <w:sz w:val="22"/>
          <w:szCs w:val="22"/>
          <w:lang w:val="en-US"/>
        </w:rPr>
        <w:t>This description focuses mainly on the presence of pelagic-feeding birds and cetaceans, related to the highly productive upwelling zone along the southern parts of the Norwegian Trench.</w:t>
      </w:r>
      <w:r>
        <w:rPr>
          <w:rFonts w:eastAsia="MS Mincho"/>
          <w:sz w:val="22"/>
          <w:szCs w:val="22"/>
          <w:lang w:val="en-US"/>
        </w:rPr>
        <w:t xml:space="preserve"> </w:t>
      </w:r>
      <w:r w:rsidRPr="009978E3">
        <w:rPr>
          <w:rFonts w:eastAsia="MS Mincho"/>
          <w:sz w:val="22"/>
          <w:szCs w:val="22"/>
          <w:lang w:val="en-US"/>
        </w:rPr>
        <w:t>The area hosts several species of seabirds. It is also important for harbour porpoise (</w:t>
      </w:r>
      <w:r w:rsidRPr="009978E3">
        <w:rPr>
          <w:rFonts w:eastAsia="MS Mincho"/>
          <w:i/>
          <w:sz w:val="22"/>
          <w:szCs w:val="22"/>
          <w:lang w:val="en-US"/>
        </w:rPr>
        <w:t>Phocoena phocoena</w:t>
      </w:r>
      <w:r w:rsidRPr="009978E3">
        <w:rPr>
          <w:rFonts w:eastAsia="MS Mincho"/>
          <w:sz w:val="22"/>
          <w:szCs w:val="22"/>
          <w:lang w:val="en-US"/>
        </w:rPr>
        <w:t>) and, to a less extent, white-beaked dolphin (</w:t>
      </w:r>
      <w:r w:rsidRPr="009978E3">
        <w:rPr>
          <w:rFonts w:eastAsia="MS Mincho"/>
          <w:i/>
          <w:sz w:val="22"/>
          <w:szCs w:val="22"/>
        </w:rPr>
        <w:t>Lagenorhynchus albirostris</w:t>
      </w:r>
      <w:r w:rsidRPr="009978E3">
        <w:rPr>
          <w:rFonts w:eastAsia="MS Mincho"/>
          <w:sz w:val="22"/>
          <w:szCs w:val="22"/>
          <w:lang w:val="en-US"/>
        </w:rPr>
        <w:t>) and minke whale (</w:t>
      </w:r>
      <w:r w:rsidRPr="009978E3">
        <w:rPr>
          <w:rFonts w:eastAsia="MS Mincho"/>
          <w:i/>
          <w:sz w:val="22"/>
          <w:szCs w:val="22"/>
          <w:lang w:val="en-US"/>
        </w:rPr>
        <w:t>Balaenoptera acutorostrata</w:t>
      </w:r>
      <w:r w:rsidRPr="009978E3">
        <w:rPr>
          <w:rFonts w:eastAsia="MS Mincho"/>
          <w:sz w:val="22"/>
          <w:szCs w:val="22"/>
          <w:lang w:val="en-US"/>
        </w:rPr>
        <w:t>). The high biomass of several fish species is reflected in the intensive fishery in the area.</w:t>
      </w:r>
    </w:p>
    <w:p w14:paraId="06CA19ED" w14:textId="77777777" w:rsidR="006B3F46" w:rsidRPr="009978E3" w:rsidRDefault="006B3F46" w:rsidP="00907941">
      <w:pPr>
        <w:jc w:val="both"/>
        <w:rPr>
          <w:rFonts w:eastAsia="MS Mincho"/>
          <w:b/>
          <w:sz w:val="22"/>
          <w:szCs w:val="22"/>
          <w:lang w:val="en-US"/>
        </w:rPr>
      </w:pPr>
    </w:p>
    <w:p w14:paraId="12515FD5"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Location</w:t>
      </w:r>
    </w:p>
    <w:p w14:paraId="56D633D6"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This area is situated in the Danish part of the Skagerrak. The area reaches westwards to 6°45’E, to Skagen, the northern tip of Jutland, and stretches northeast from Skagen. It comprises an area of 7,876 km</w:t>
      </w:r>
      <w:r w:rsidRPr="009978E3">
        <w:rPr>
          <w:rFonts w:eastAsia="MS Mincho"/>
          <w:sz w:val="22"/>
          <w:szCs w:val="22"/>
          <w:vertAlign w:val="superscript"/>
          <w:lang w:val="en-US"/>
        </w:rPr>
        <w:t>2</w:t>
      </w:r>
      <w:r w:rsidRPr="009978E3">
        <w:rPr>
          <w:rFonts w:eastAsia="MS Mincho"/>
          <w:sz w:val="22"/>
          <w:szCs w:val="22"/>
          <w:lang w:val="en-US"/>
        </w:rPr>
        <w:t xml:space="preserve"> and reaches depths from the coastline to 465m. The northern and western parts cover the southern reach of the Norwegian Trench (Figure 2).</w:t>
      </w:r>
    </w:p>
    <w:p w14:paraId="728F8131" w14:textId="77777777" w:rsidR="006B3F46" w:rsidRPr="009978E3" w:rsidRDefault="006B3F46" w:rsidP="00907941">
      <w:pPr>
        <w:jc w:val="both"/>
        <w:rPr>
          <w:rFonts w:eastAsia="MS Mincho"/>
          <w:b/>
          <w:sz w:val="22"/>
          <w:szCs w:val="22"/>
          <w:lang w:val="en-US"/>
        </w:rPr>
      </w:pPr>
    </w:p>
    <w:p w14:paraId="065C1696"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15DB2D9F" w14:textId="77777777" w:rsidR="006B3F46" w:rsidRPr="009978E3" w:rsidRDefault="006B3F46" w:rsidP="00907941">
      <w:pPr>
        <w:jc w:val="both"/>
        <w:rPr>
          <w:rFonts w:eastAsia="MS Mincho"/>
          <w:b/>
          <w:i/>
          <w:iCs/>
          <w:sz w:val="22"/>
          <w:szCs w:val="22"/>
        </w:rPr>
      </w:pPr>
      <w:r w:rsidRPr="009978E3">
        <w:rPr>
          <w:rFonts w:eastAsia="MS Mincho"/>
          <w:b/>
          <w:i/>
          <w:iCs/>
          <w:sz w:val="22"/>
          <w:szCs w:val="22"/>
        </w:rPr>
        <w:t>Front zones</w:t>
      </w:r>
    </w:p>
    <w:p w14:paraId="1471D7EC" w14:textId="77777777" w:rsidR="006B3F46" w:rsidRPr="009978E3" w:rsidRDefault="006B3F46" w:rsidP="00907941">
      <w:pPr>
        <w:jc w:val="both"/>
        <w:rPr>
          <w:rFonts w:eastAsia="MS Mincho"/>
          <w:sz w:val="22"/>
          <w:szCs w:val="22"/>
        </w:rPr>
      </w:pPr>
      <w:r w:rsidRPr="009978E3">
        <w:rPr>
          <w:rFonts w:eastAsia="MS Mincho"/>
          <w:sz w:val="22"/>
          <w:szCs w:val="22"/>
        </w:rPr>
        <w:t>In the Skagerrak, the tidal mixing front is narrower and forms part of the Skagerrak frontal system, which is also driven by eddies related to the Skagerrak gyre and the shelf break along the Norwegian Trench (Figure 3A). This frontal zone continues further west of the tip of Jutland as the “Kattegat-Skagerrak front”, where the less saline surface water from Kattegat, influenced by the surplus of Baltic Sea water, mixes with the Skagerrak water mass (Figure 3B).</w:t>
      </w:r>
    </w:p>
    <w:p w14:paraId="6E75442F" w14:textId="77777777" w:rsidR="006B3F46" w:rsidRPr="009978E3" w:rsidRDefault="006B3F46" w:rsidP="00907941">
      <w:pPr>
        <w:jc w:val="both"/>
        <w:rPr>
          <w:rFonts w:eastAsia="MS Mincho"/>
          <w:sz w:val="22"/>
          <w:szCs w:val="22"/>
        </w:rPr>
      </w:pPr>
    </w:p>
    <w:p w14:paraId="23C5BBE8" w14:textId="77777777" w:rsidR="006B3F46" w:rsidRPr="009978E3" w:rsidRDefault="006B3F46" w:rsidP="00907941">
      <w:pPr>
        <w:jc w:val="both"/>
        <w:rPr>
          <w:rFonts w:eastAsia="MS Mincho"/>
          <w:b/>
          <w:i/>
          <w:iCs/>
          <w:sz w:val="22"/>
          <w:szCs w:val="22"/>
        </w:rPr>
      </w:pPr>
      <w:r w:rsidRPr="009978E3">
        <w:rPr>
          <w:rFonts w:eastAsia="MS Mincho"/>
          <w:b/>
          <w:i/>
          <w:iCs/>
          <w:sz w:val="22"/>
          <w:szCs w:val="22"/>
        </w:rPr>
        <w:t>Plankton production</w:t>
      </w:r>
    </w:p>
    <w:p w14:paraId="73C67E6E" w14:textId="4BE53DC5" w:rsidR="006B3F46" w:rsidRPr="009978E3" w:rsidRDefault="006B3F46" w:rsidP="00907941">
      <w:pPr>
        <w:jc w:val="both"/>
        <w:rPr>
          <w:rFonts w:eastAsia="MS Mincho"/>
          <w:sz w:val="22"/>
          <w:szCs w:val="22"/>
        </w:rPr>
      </w:pPr>
      <w:r w:rsidRPr="009978E3">
        <w:rPr>
          <w:rFonts w:eastAsia="MS Mincho"/>
          <w:sz w:val="22"/>
          <w:szCs w:val="22"/>
        </w:rPr>
        <w:t>The frontal zone is characteri</w:t>
      </w:r>
      <w:r w:rsidR="00DE759C">
        <w:rPr>
          <w:rFonts w:eastAsia="MS Mincho"/>
          <w:sz w:val="22"/>
          <w:szCs w:val="22"/>
        </w:rPr>
        <w:t>z</w:t>
      </w:r>
      <w:r w:rsidRPr="009978E3">
        <w:rPr>
          <w:rFonts w:eastAsia="MS Mincho"/>
          <w:sz w:val="22"/>
          <w:szCs w:val="22"/>
        </w:rPr>
        <w:t xml:space="preserve">ed by enhanced concentrations of phyto- and zooplankton (Nielsen </w:t>
      </w:r>
      <w:r w:rsidRPr="0006066A">
        <w:rPr>
          <w:rFonts w:eastAsia="MS Mincho"/>
          <w:i/>
          <w:sz w:val="22"/>
          <w:szCs w:val="22"/>
        </w:rPr>
        <w:t>et al</w:t>
      </w:r>
      <w:r w:rsidRPr="009978E3">
        <w:rPr>
          <w:rFonts w:eastAsia="MS Mincho"/>
          <w:sz w:val="22"/>
          <w:szCs w:val="22"/>
        </w:rPr>
        <w:t>.</w:t>
      </w:r>
    </w:p>
    <w:p w14:paraId="20ED4949" w14:textId="77777777" w:rsidR="006B3F46" w:rsidRPr="009978E3" w:rsidRDefault="006B3F46" w:rsidP="00907941">
      <w:pPr>
        <w:jc w:val="both"/>
        <w:rPr>
          <w:rFonts w:eastAsia="MS Mincho"/>
          <w:sz w:val="22"/>
          <w:szCs w:val="22"/>
        </w:rPr>
      </w:pPr>
      <w:r w:rsidRPr="009978E3">
        <w:rPr>
          <w:rFonts w:eastAsia="MS Mincho"/>
          <w:sz w:val="22"/>
          <w:szCs w:val="22"/>
        </w:rPr>
        <w:t xml:space="preserve">1993; Josefson and Conley, 1997). </w:t>
      </w:r>
    </w:p>
    <w:p w14:paraId="4A212ACB" w14:textId="77777777" w:rsidR="006B3F46" w:rsidRPr="009978E3" w:rsidRDefault="006B3F46" w:rsidP="00907941">
      <w:pPr>
        <w:jc w:val="both"/>
        <w:rPr>
          <w:rFonts w:eastAsia="MS Mincho"/>
          <w:sz w:val="22"/>
          <w:szCs w:val="22"/>
        </w:rPr>
      </w:pPr>
    </w:p>
    <w:p w14:paraId="75738D34" w14:textId="77777777" w:rsidR="006B3F46" w:rsidRPr="009978E3" w:rsidRDefault="006B3F46" w:rsidP="00907941">
      <w:pPr>
        <w:jc w:val="both"/>
        <w:rPr>
          <w:rFonts w:eastAsia="MS Mincho"/>
          <w:b/>
          <w:sz w:val="22"/>
          <w:szCs w:val="22"/>
        </w:rPr>
      </w:pPr>
      <w:r w:rsidRPr="009978E3">
        <w:rPr>
          <w:rFonts w:eastAsia="MS Mincho"/>
          <w:b/>
          <w:sz w:val="22"/>
          <w:szCs w:val="22"/>
        </w:rPr>
        <w:t xml:space="preserve">Fish </w:t>
      </w:r>
    </w:p>
    <w:p w14:paraId="6CFCED76" w14:textId="77777777" w:rsidR="006B3F46" w:rsidRPr="009978E3" w:rsidRDefault="006B3F46" w:rsidP="00907941">
      <w:pPr>
        <w:jc w:val="both"/>
        <w:rPr>
          <w:sz w:val="22"/>
          <w:szCs w:val="22"/>
        </w:rPr>
      </w:pPr>
      <w:r w:rsidRPr="009978E3">
        <w:rPr>
          <w:sz w:val="22"/>
          <w:szCs w:val="22"/>
        </w:rPr>
        <w:t>Schooling fish and predator species occurring in tight aggregations and predators feeding on schooling fish are observed along the front</w:t>
      </w:r>
      <w:r>
        <w:rPr>
          <w:sz w:val="22"/>
          <w:szCs w:val="22"/>
        </w:rPr>
        <w:t xml:space="preserve"> (Krause et al. 1986, Munk 1993, Stone et al. 1995)</w:t>
      </w:r>
      <w:r w:rsidRPr="009978E3">
        <w:rPr>
          <w:sz w:val="22"/>
          <w:szCs w:val="22"/>
        </w:rPr>
        <w:t xml:space="preserve">. In the Skagerrak region, the front has a profound influence on the distribution of nursery areas for several gadoid fishes (Munk </w:t>
      </w:r>
      <w:r w:rsidRPr="0006066A">
        <w:rPr>
          <w:i/>
          <w:sz w:val="22"/>
          <w:szCs w:val="22"/>
        </w:rPr>
        <w:t>et al</w:t>
      </w:r>
      <w:r w:rsidRPr="009978E3">
        <w:rPr>
          <w:sz w:val="22"/>
          <w:szCs w:val="22"/>
        </w:rPr>
        <w:t xml:space="preserve">. 1999). Both catches in scientific fish surveys and the commercial fishery demonstrate a very high abundance and biomass of both demersal and pelagic fish species (Edelvang </w:t>
      </w:r>
      <w:r w:rsidRPr="0006066A">
        <w:rPr>
          <w:i/>
          <w:sz w:val="22"/>
          <w:szCs w:val="22"/>
        </w:rPr>
        <w:t>et al</w:t>
      </w:r>
      <w:r w:rsidRPr="009978E3">
        <w:rPr>
          <w:sz w:val="22"/>
          <w:szCs w:val="22"/>
        </w:rPr>
        <w:t>. 2017</w:t>
      </w:r>
      <w:r>
        <w:rPr>
          <w:sz w:val="22"/>
          <w:szCs w:val="22"/>
        </w:rPr>
        <w:t>a</w:t>
      </w:r>
      <w:r w:rsidRPr="009978E3">
        <w:rPr>
          <w:sz w:val="22"/>
          <w:szCs w:val="22"/>
        </w:rPr>
        <w:t xml:space="preserve">). </w:t>
      </w:r>
    </w:p>
    <w:p w14:paraId="3E2EC586" w14:textId="77777777" w:rsidR="006B3F46" w:rsidRPr="009978E3" w:rsidRDefault="006B3F46" w:rsidP="00907941">
      <w:pPr>
        <w:jc w:val="both"/>
        <w:rPr>
          <w:rFonts w:eastAsia="MS Mincho"/>
          <w:sz w:val="22"/>
          <w:szCs w:val="22"/>
          <w:lang w:val="en-US"/>
        </w:rPr>
      </w:pPr>
    </w:p>
    <w:p w14:paraId="2C5BBC99" w14:textId="77777777" w:rsidR="006B3F46" w:rsidRPr="009978E3" w:rsidRDefault="006B3F46" w:rsidP="00907941">
      <w:pPr>
        <w:jc w:val="both"/>
        <w:rPr>
          <w:b/>
          <w:bCs/>
          <w:sz w:val="22"/>
          <w:szCs w:val="22"/>
        </w:rPr>
      </w:pPr>
      <w:bookmarkStart w:id="8" w:name="_Hlk23506907"/>
      <w:r w:rsidRPr="009978E3">
        <w:rPr>
          <w:b/>
          <w:bCs/>
          <w:sz w:val="22"/>
          <w:szCs w:val="22"/>
        </w:rPr>
        <w:t>Harbour porpoise</w:t>
      </w:r>
    </w:p>
    <w:p w14:paraId="565EF6F3" w14:textId="77777777" w:rsidR="006B3F46" w:rsidRPr="009978E3" w:rsidRDefault="006B3F46" w:rsidP="00907941">
      <w:pPr>
        <w:jc w:val="both"/>
        <w:rPr>
          <w:sz w:val="22"/>
          <w:szCs w:val="22"/>
          <w:lang w:val="en-US"/>
        </w:rPr>
      </w:pPr>
      <w:r w:rsidRPr="009978E3">
        <w:rPr>
          <w:sz w:val="22"/>
          <w:szCs w:val="22"/>
        </w:rPr>
        <w:t xml:space="preserve">The frontal zone is also extremely important for harbour porpoise (Teilmann </w:t>
      </w:r>
      <w:r w:rsidRPr="0006066A">
        <w:rPr>
          <w:i/>
          <w:sz w:val="22"/>
          <w:szCs w:val="22"/>
        </w:rPr>
        <w:t>et al</w:t>
      </w:r>
      <w:r w:rsidRPr="009978E3">
        <w:rPr>
          <w:sz w:val="22"/>
          <w:szCs w:val="22"/>
        </w:rPr>
        <w:t xml:space="preserve">. 2008; Sveegaard 2018). Part of the North Sea population uses the area intensively over the year (Figure 4). Harbour porpoise is </w:t>
      </w:r>
      <w:r w:rsidRPr="0055238E">
        <w:rPr>
          <w:sz w:val="22"/>
          <w:szCs w:val="22"/>
        </w:rPr>
        <w:t>listed in</w:t>
      </w:r>
      <w:r w:rsidRPr="0021277B">
        <w:rPr>
          <w:sz w:val="22"/>
          <w:szCs w:val="22"/>
        </w:rPr>
        <w:t xml:space="preserve"> OSPAR Recommendation 2013/11</w:t>
      </w:r>
      <w:r w:rsidRPr="0055238E">
        <w:rPr>
          <w:sz w:val="22"/>
          <w:szCs w:val="22"/>
        </w:rPr>
        <w:t xml:space="preserve"> on furthering</w:t>
      </w:r>
      <w:r w:rsidRPr="00F66EF7">
        <w:rPr>
          <w:sz w:val="22"/>
          <w:szCs w:val="22"/>
        </w:rPr>
        <w:t xml:space="preserve"> the protection and restoration of the harbour porpoise in Regions II and III of the OSPAR maritime area</w:t>
      </w:r>
      <w:r w:rsidRPr="009978E3">
        <w:rPr>
          <w:sz w:val="22"/>
          <w:szCs w:val="22"/>
        </w:rPr>
        <w:t xml:space="preserve"> (OSPAR 2013)</w:t>
      </w:r>
    </w:p>
    <w:bookmarkEnd w:id="8"/>
    <w:p w14:paraId="1434990E" w14:textId="77777777" w:rsidR="006B3F46" w:rsidRPr="009978E3" w:rsidRDefault="006B3F46" w:rsidP="00907941">
      <w:pPr>
        <w:jc w:val="both"/>
        <w:rPr>
          <w:rFonts w:eastAsia="MS Mincho"/>
          <w:b/>
          <w:i/>
          <w:iCs/>
          <w:sz w:val="22"/>
          <w:szCs w:val="22"/>
        </w:rPr>
      </w:pPr>
      <w:r w:rsidRPr="009978E3">
        <w:rPr>
          <w:rFonts w:eastAsia="MS Mincho"/>
          <w:b/>
          <w:i/>
          <w:iCs/>
          <w:sz w:val="22"/>
          <w:szCs w:val="22"/>
        </w:rPr>
        <w:t>Other cetaceans</w:t>
      </w:r>
    </w:p>
    <w:p w14:paraId="40E05A38" w14:textId="77777777" w:rsidR="006B3F46" w:rsidRPr="009978E3" w:rsidRDefault="006B3F46" w:rsidP="00907941">
      <w:pPr>
        <w:jc w:val="both"/>
        <w:rPr>
          <w:rFonts w:eastAsia="MS Mincho"/>
          <w:sz w:val="22"/>
          <w:szCs w:val="22"/>
        </w:rPr>
      </w:pPr>
      <w:r w:rsidRPr="009978E3">
        <w:rPr>
          <w:rFonts w:eastAsia="MS Mincho"/>
          <w:sz w:val="22"/>
          <w:szCs w:val="22"/>
        </w:rPr>
        <w:t xml:space="preserve">Minke whales and white-beaked dolphins are found mainly in the northern North Sea (ICES 2015), but distribution models based on aerial surveys have suggested that the north-western part of the Danish North Sea may be a preferred habitat for both species and that the waters along the Norwegian Trench, as well as the central Danish North Sea, may be preferred habitats for minke whales (Figure 5), (Edelvang </w:t>
      </w:r>
      <w:r w:rsidRPr="0006066A">
        <w:rPr>
          <w:rFonts w:eastAsia="MS Mincho"/>
          <w:i/>
          <w:sz w:val="22"/>
          <w:szCs w:val="22"/>
        </w:rPr>
        <w:t>et al</w:t>
      </w:r>
      <w:r w:rsidRPr="009978E3">
        <w:rPr>
          <w:rFonts w:eastAsia="MS Mincho"/>
          <w:sz w:val="22"/>
          <w:szCs w:val="22"/>
        </w:rPr>
        <w:t>. 2017</w:t>
      </w:r>
      <w:r>
        <w:rPr>
          <w:rFonts w:eastAsia="MS Mincho"/>
          <w:sz w:val="22"/>
          <w:szCs w:val="22"/>
        </w:rPr>
        <w:t>a</w:t>
      </w:r>
      <w:r w:rsidRPr="009978E3">
        <w:rPr>
          <w:rFonts w:eastAsia="MS Mincho"/>
          <w:sz w:val="22"/>
          <w:szCs w:val="22"/>
        </w:rPr>
        <w:t>).</w:t>
      </w:r>
    </w:p>
    <w:p w14:paraId="79F1EFA8" w14:textId="77777777" w:rsidR="006B3F46" w:rsidRPr="009978E3" w:rsidRDefault="006B3F46" w:rsidP="00907941">
      <w:pPr>
        <w:jc w:val="both"/>
        <w:rPr>
          <w:rFonts w:eastAsia="MS Mincho"/>
          <w:b/>
          <w:sz w:val="22"/>
          <w:szCs w:val="22"/>
          <w:lang w:val="da-DK"/>
        </w:rPr>
      </w:pPr>
    </w:p>
    <w:p w14:paraId="5183EDA7" w14:textId="77777777" w:rsidR="006B3F46" w:rsidRPr="009978E3" w:rsidRDefault="006B3F46" w:rsidP="00907941">
      <w:pPr>
        <w:jc w:val="both"/>
        <w:rPr>
          <w:rFonts w:eastAsia="MS Mincho"/>
          <w:b/>
          <w:i/>
          <w:iCs/>
          <w:sz w:val="22"/>
          <w:szCs w:val="22"/>
          <w:lang w:val="en-US"/>
        </w:rPr>
      </w:pPr>
      <w:r w:rsidRPr="009978E3">
        <w:rPr>
          <w:rFonts w:eastAsia="MS Mincho"/>
          <w:b/>
          <w:i/>
          <w:iCs/>
          <w:sz w:val="22"/>
          <w:szCs w:val="22"/>
          <w:lang w:val="en-US"/>
        </w:rPr>
        <w:t>Birds</w:t>
      </w:r>
    </w:p>
    <w:p w14:paraId="4D40EF9E"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The Skagerrak area is particularly important for the occurrence of pelagic-feeding bird species, many of which are associated with the upwelling zone along the southern edge of the Norwegian Trench (Tasker </w:t>
      </w:r>
      <w:r w:rsidRPr="0006066A">
        <w:rPr>
          <w:rFonts w:eastAsia="MS Mincho"/>
          <w:i/>
          <w:sz w:val="22"/>
          <w:szCs w:val="22"/>
          <w:lang w:val="en-US"/>
        </w:rPr>
        <w:t>et al</w:t>
      </w:r>
      <w:r w:rsidRPr="009978E3">
        <w:rPr>
          <w:rFonts w:eastAsia="MS Mincho"/>
          <w:sz w:val="22"/>
          <w:szCs w:val="22"/>
          <w:lang w:val="en-US"/>
        </w:rPr>
        <w:t xml:space="preserve">. 1987; Stone </w:t>
      </w:r>
      <w:r w:rsidRPr="0006066A">
        <w:rPr>
          <w:rFonts w:eastAsia="MS Mincho"/>
          <w:i/>
          <w:sz w:val="22"/>
          <w:szCs w:val="22"/>
          <w:lang w:val="en-US"/>
        </w:rPr>
        <w:t>et al</w:t>
      </w:r>
      <w:r w:rsidRPr="009978E3">
        <w:rPr>
          <w:rFonts w:eastAsia="MS Mincho"/>
          <w:sz w:val="22"/>
          <w:szCs w:val="22"/>
          <w:lang w:val="en-US"/>
        </w:rPr>
        <w:t>. 1995; Petersen unpublished data). The most abundant bird species recorded in the area was fulmar (</w:t>
      </w:r>
      <w:r w:rsidRPr="009978E3">
        <w:rPr>
          <w:rFonts w:eastAsia="MS Mincho"/>
          <w:i/>
          <w:sz w:val="22"/>
          <w:szCs w:val="22"/>
          <w:lang w:val="en-US"/>
        </w:rPr>
        <w:t>Fulmarus glacialis</w:t>
      </w:r>
      <w:r w:rsidRPr="009978E3">
        <w:rPr>
          <w:rFonts w:eastAsia="MS Mincho"/>
          <w:sz w:val="22"/>
          <w:szCs w:val="22"/>
          <w:lang w:val="en-US"/>
        </w:rPr>
        <w:t>), common guillemot (</w:t>
      </w:r>
      <w:r w:rsidRPr="009978E3">
        <w:rPr>
          <w:rFonts w:eastAsia="MS Mincho"/>
          <w:i/>
          <w:sz w:val="22"/>
          <w:szCs w:val="22"/>
          <w:lang w:val="en-US"/>
        </w:rPr>
        <w:t>Uria aalge</w:t>
      </w:r>
      <w:r w:rsidRPr="009978E3">
        <w:rPr>
          <w:rFonts w:eastAsia="MS Mincho"/>
          <w:sz w:val="22"/>
          <w:szCs w:val="22"/>
          <w:lang w:val="en-US"/>
        </w:rPr>
        <w:t>) and razorbill (</w:t>
      </w:r>
      <w:r w:rsidRPr="009978E3">
        <w:rPr>
          <w:rFonts w:eastAsia="MS Mincho"/>
          <w:i/>
          <w:sz w:val="22"/>
          <w:szCs w:val="22"/>
          <w:lang w:val="en-US"/>
        </w:rPr>
        <w:t>Alca torda</w:t>
      </w:r>
      <w:r w:rsidRPr="009978E3">
        <w:rPr>
          <w:rFonts w:eastAsia="MS Mincho"/>
          <w:sz w:val="22"/>
          <w:szCs w:val="22"/>
          <w:lang w:val="en-US"/>
        </w:rPr>
        <w:t>). While fulmars and common guillemots primarily occur in the deep parts of the area, razorbills are found in more coastal areas as well. Great skuas (</w:t>
      </w:r>
      <w:r w:rsidRPr="009978E3">
        <w:rPr>
          <w:rFonts w:eastAsia="MS Mincho"/>
          <w:i/>
          <w:sz w:val="22"/>
          <w:szCs w:val="22"/>
          <w:lang w:val="en-US"/>
        </w:rPr>
        <w:t>Catharacta </w:t>
      </w:r>
      <w:r w:rsidRPr="009978E3">
        <w:rPr>
          <w:rFonts w:eastAsia="MS Mincho"/>
          <w:bCs/>
          <w:i/>
          <w:sz w:val="22"/>
          <w:szCs w:val="22"/>
          <w:lang w:val="en-US"/>
        </w:rPr>
        <w:t>skua</w:t>
      </w:r>
      <w:r w:rsidRPr="009978E3">
        <w:rPr>
          <w:rFonts w:eastAsia="MS Mincho"/>
          <w:sz w:val="22"/>
          <w:szCs w:val="22"/>
          <w:lang w:val="en-US"/>
        </w:rPr>
        <w:t xml:space="preserve">) are found in numbers of international importance and are primarily associated with the deep-sea areas. </w:t>
      </w:r>
    </w:p>
    <w:p w14:paraId="4F3552F8" w14:textId="77777777" w:rsidR="006B3F46" w:rsidRPr="009978E3" w:rsidRDefault="006B3F46" w:rsidP="00907941">
      <w:pPr>
        <w:jc w:val="both"/>
        <w:rPr>
          <w:rFonts w:eastAsia="MS Mincho"/>
          <w:sz w:val="22"/>
          <w:szCs w:val="22"/>
          <w:lang w:val="en-US"/>
        </w:rPr>
      </w:pPr>
    </w:p>
    <w:p w14:paraId="4BBCD460"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Fulmar</w:t>
      </w:r>
    </w:p>
    <w:p w14:paraId="262C5060" w14:textId="01D7457B"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Observations indicate that fulmars are very numerous in the summer and early autumn. The highest concentration of birds is observed on the southern shelf of the Norwegian Trench, where the birds feed on zooplankton in the upwelling zone. The fulmars are distributed across the above-mentioned zone and only occasionally associated with fishing vessels. It is unclear whether these birds are actively breeding or non-breeders (Petersen unpublished data). . In August 2006, more than 86,000 individuals were observed (Figure 6). Of those, 85 </w:t>
      </w:r>
      <w:r>
        <w:rPr>
          <w:rFonts w:eastAsia="MS Mincho"/>
          <w:sz w:val="22"/>
          <w:szCs w:val="22"/>
          <w:lang w:val="en-US"/>
        </w:rPr>
        <w:t>per cent</w:t>
      </w:r>
      <w:r w:rsidRPr="009978E3">
        <w:rPr>
          <w:rFonts w:eastAsia="MS Mincho"/>
          <w:sz w:val="22"/>
          <w:szCs w:val="22"/>
          <w:lang w:val="en-US"/>
        </w:rPr>
        <w:t xml:space="preserve"> were found within the area meeting EBSA criteria.</w:t>
      </w:r>
    </w:p>
    <w:p w14:paraId="0D144320" w14:textId="77777777" w:rsidR="006B3F46" w:rsidRPr="009978E3" w:rsidRDefault="006B3F46" w:rsidP="00907941">
      <w:pPr>
        <w:jc w:val="both"/>
        <w:rPr>
          <w:rFonts w:eastAsia="MS Mincho"/>
          <w:sz w:val="22"/>
          <w:szCs w:val="22"/>
          <w:lang w:val="en-US"/>
        </w:rPr>
      </w:pPr>
    </w:p>
    <w:p w14:paraId="5D5FEAB4" w14:textId="3A912DB1"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In October 2007, approximately 18,500 fulmars were recorded in the northern part of the Danish North Sea and Kattegat (Figure 7). Ninety-four </w:t>
      </w:r>
      <w:r>
        <w:rPr>
          <w:rFonts w:eastAsia="MS Mincho"/>
          <w:sz w:val="22"/>
          <w:szCs w:val="22"/>
          <w:lang w:val="en-US"/>
        </w:rPr>
        <w:t>per cent</w:t>
      </w:r>
      <w:r w:rsidRPr="009978E3">
        <w:rPr>
          <w:rFonts w:eastAsia="MS Mincho"/>
          <w:sz w:val="22"/>
          <w:szCs w:val="22"/>
          <w:lang w:val="en-US"/>
        </w:rPr>
        <w:t xml:space="preserve"> of those birds were found within the area described as meeting the EBSA criteria.</w:t>
      </w:r>
    </w:p>
    <w:p w14:paraId="43BBF18D" w14:textId="77777777" w:rsidR="006B3F46" w:rsidRPr="009978E3" w:rsidRDefault="006B3F46" w:rsidP="00907941">
      <w:pPr>
        <w:jc w:val="both"/>
        <w:rPr>
          <w:rFonts w:eastAsia="MS Mincho"/>
          <w:sz w:val="22"/>
          <w:szCs w:val="22"/>
          <w:lang w:val="en-US"/>
        </w:rPr>
      </w:pPr>
    </w:p>
    <w:p w14:paraId="1C2E9939" w14:textId="77777777" w:rsidR="006B3F46" w:rsidRPr="009978E3" w:rsidRDefault="006B3F46" w:rsidP="00907941">
      <w:pPr>
        <w:jc w:val="both"/>
        <w:rPr>
          <w:rFonts w:eastAsia="MS Mincho"/>
          <w:sz w:val="22"/>
          <w:szCs w:val="22"/>
          <w:lang w:val="en-US"/>
        </w:rPr>
      </w:pPr>
      <w:r w:rsidRPr="009978E3">
        <w:rPr>
          <w:rFonts w:eastAsia="MS Mincho"/>
          <w:i/>
          <w:sz w:val="22"/>
          <w:szCs w:val="22"/>
          <w:lang w:val="en-US"/>
        </w:rPr>
        <w:t>Razorbill/Common Guillemot</w:t>
      </w:r>
    </w:p>
    <w:p w14:paraId="42B8E1DE"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Razorbills and common guillemots are found in high numbers in the area. Common guillemots rear flightless young in the area (Skov </w:t>
      </w:r>
      <w:r w:rsidRPr="0006066A">
        <w:rPr>
          <w:rFonts w:eastAsia="MS Mincho"/>
          <w:i/>
          <w:sz w:val="22"/>
          <w:szCs w:val="22"/>
          <w:lang w:val="en-US"/>
        </w:rPr>
        <w:t>et al</w:t>
      </w:r>
      <w:r w:rsidRPr="009978E3">
        <w:rPr>
          <w:rFonts w:eastAsia="MS Mincho"/>
          <w:sz w:val="22"/>
          <w:szCs w:val="22"/>
          <w:lang w:val="en-US"/>
        </w:rPr>
        <w:t>. 1992).</w:t>
      </w:r>
    </w:p>
    <w:p w14:paraId="49BDEA66" w14:textId="77777777" w:rsidR="006B3F46" w:rsidRPr="009978E3" w:rsidRDefault="006B3F46" w:rsidP="00907941">
      <w:pPr>
        <w:jc w:val="both"/>
        <w:rPr>
          <w:rFonts w:eastAsia="MS Mincho"/>
          <w:sz w:val="22"/>
          <w:szCs w:val="22"/>
          <w:lang w:val="en-US"/>
        </w:rPr>
      </w:pPr>
    </w:p>
    <w:p w14:paraId="15D62259" w14:textId="6E92A702"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In August 2006, more than 28,000 razorbills/common guillemots were estimated in the northern part of the Danish North Sea and Skagerrak (Figure 8). Of these, 74 </w:t>
      </w:r>
      <w:r>
        <w:rPr>
          <w:rFonts w:eastAsia="MS Mincho"/>
          <w:sz w:val="22"/>
          <w:szCs w:val="22"/>
          <w:lang w:val="en-US"/>
        </w:rPr>
        <w:t>per cent</w:t>
      </w:r>
      <w:r w:rsidRPr="009978E3">
        <w:rPr>
          <w:rFonts w:eastAsia="MS Mincho"/>
          <w:sz w:val="22"/>
          <w:szCs w:val="22"/>
          <w:lang w:val="en-US"/>
        </w:rPr>
        <w:t xml:space="preserve"> were found within the area described as meeting the EBSA criteria.</w:t>
      </w:r>
    </w:p>
    <w:p w14:paraId="52F07B42" w14:textId="77777777" w:rsidR="006B3F46" w:rsidRPr="009978E3" w:rsidRDefault="006B3F46" w:rsidP="00907941">
      <w:pPr>
        <w:jc w:val="both"/>
        <w:rPr>
          <w:rFonts w:eastAsia="MS Mincho"/>
          <w:i/>
          <w:iCs/>
          <w:sz w:val="22"/>
          <w:szCs w:val="22"/>
          <w:lang w:val="en-US"/>
        </w:rPr>
      </w:pPr>
    </w:p>
    <w:p w14:paraId="6EB58564" w14:textId="0B1DE20E"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In September 2007 approximately 9,600 razorbills/common guillemots were recorded in the northern part of the Danish North Sea and Skagerrak (Figure 9). Of these, 61 </w:t>
      </w:r>
      <w:r>
        <w:rPr>
          <w:rFonts w:eastAsia="MS Mincho"/>
          <w:sz w:val="22"/>
          <w:szCs w:val="22"/>
          <w:lang w:val="en-US"/>
        </w:rPr>
        <w:t>per cent</w:t>
      </w:r>
      <w:r w:rsidRPr="009978E3">
        <w:rPr>
          <w:rFonts w:eastAsia="MS Mincho"/>
          <w:sz w:val="22"/>
          <w:szCs w:val="22"/>
          <w:lang w:val="en-US"/>
        </w:rPr>
        <w:t xml:space="preserve"> were found within the area meeting the EBSA criteria.</w:t>
      </w:r>
    </w:p>
    <w:p w14:paraId="44CB352E" w14:textId="77777777" w:rsidR="006B3F46" w:rsidRPr="009978E3" w:rsidRDefault="006B3F46" w:rsidP="00907941">
      <w:pPr>
        <w:jc w:val="both"/>
        <w:rPr>
          <w:rFonts w:eastAsia="MS Mincho"/>
          <w:sz w:val="22"/>
          <w:szCs w:val="22"/>
          <w:lang w:val="en-US"/>
        </w:rPr>
      </w:pPr>
    </w:p>
    <w:p w14:paraId="42C3F642" w14:textId="1475DCF9"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In October 2007, an estimated 21,000 razorbills/common guillemots were recorded in the northern part of the Danish North Sea and Skagerrak (Figure 10). Of these, 61 </w:t>
      </w:r>
      <w:r>
        <w:rPr>
          <w:rFonts w:eastAsia="MS Mincho"/>
          <w:sz w:val="22"/>
          <w:szCs w:val="22"/>
          <w:lang w:val="en-US"/>
        </w:rPr>
        <w:t>per cent</w:t>
      </w:r>
      <w:r w:rsidRPr="009978E3">
        <w:rPr>
          <w:rFonts w:eastAsia="MS Mincho"/>
          <w:sz w:val="22"/>
          <w:szCs w:val="22"/>
          <w:lang w:val="en-US"/>
        </w:rPr>
        <w:t xml:space="preserve"> were found within the area meeting the EBSA criteria.</w:t>
      </w:r>
    </w:p>
    <w:p w14:paraId="72CB25EE" w14:textId="77777777" w:rsidR="006B3F46" w:rsidRPr="009978E3" w:rsidRDefault="006B3F46" w:rsidP="00907941">
      <w:pPr>
        <w:jc w:val="both"/>
        <w:rPr>
          <w:rFonts w:eastAsia="MS Mincho"/>
          <w:i/>
          <w:iCs/>
          <w:sz w:val="22"/>
          <w:szCs w:val="22"/>
          <w:lang w:val="en-US"/>
        </w:rPr>
      </w:pPr>
    </w:p>
    <w:p w14:paraId="767B0123"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Great Skua</w:t>
      </w:r>
    </w:p>
    <w:p w14:paraId="67E78849" w14:textId="08AB048B"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Great skuas were found in high numbers in the northern part of Danish North Sea and Skagerrak in late summer and early autumn (Figure 11, Petersen unpublished data). Up to 1,250 individuals were estimated, which amounts to more than 2 to 4 </w:t>
      </w:r>
      <w:r>
        <w:rPr>
          <w:rFonts w:eastAsia="MS Mincho"/>
          <w:sz w:val="22"/>
          <w:szCs w:val="22"/>
          <w:lang w:val="en-US"/>
        </w:rPr>
        <w:t>per cent</w:t>
      </w:r>
      <w:r w:rsidRPr="009978E3">
        <w:rPr>
          <w:rFonts w:eastAsia="MS Mincho"/>
          <w:sz w:val="22"/>
          <w:szCs w:val="22"/>
          <w:lang w:val="en-US"/>
        </w:rPr>
        <w:t xml:space="preserve"> of the world population of the species. The majority of these birds were recorded within the area meeting EBSA criteria.</w:t>
      </w:r>
    </w:p>
    <w:p w14:paraId="38643A01" w14:textId="77777777" w:rsidR="006B3F46" w:rsidRPr="009978E3" w:rsidRDefault="006B3F46" w:rsidP="00907941">
      <w:pPr>
        <w:jc w:val="both"/>
        <w:rPr>
          <w:rFonts w:eastAsia="MS Mincho"/>
          <w:sz w:val="22"/>
          <w:szCs w:val="22"/>
          <w:lang w:val="en-US"/>
        </w:rPr>
      </w:pPr>
    </w:p>
    <w:p w14:paraId="7811F7E6" w14:textId="77777777" w:rsidR="006B3F46" w:rsidRPr="009978E3" w:rsidRDefault="006B3F46" w:rsidP="00907941">
      <w:pPr>
        <w:jc w:val="both"/>
        <w:rPr>
          <w:rFonts w:eastAsia="MS Mincho"/>
          <w:sz w:val="22"/>
          <w:szCs w:val="22"/>
          <w:lang w:val="en-US"/>
        </w:rPr>
      </w:pPr>
    </w:p>
    <w:p w14:paraId="646033F4" w14:textId="77777777" w:rsidR="006B3F46" w:rsidRPr="009978E3" w:rsidRDefault="006B3F46" w:rsidP="00907941">
      <w:pPr>
        <w:jc w:val="both"/>
        <w:rPr>
          <w:rFonts w:eastAsia="MS Mincho"/>
          <w:b/>
          <w:sz w:val="22"/>
          <w:szCs w:val="22"/>
          <w:lang w:val="en-US"/>
        </w:rPr>
      </w:pPr>
      <w:bookmarkStart w:id="9" w:name="_Hlk21359520"/>
      <w:r w:rsidRPr="009978E3">
        <w:rPr>
          <w:rFonts w:eastAsia="MS Mincho"/>
          <w:b/>
          <w:sz w:val="22"/>
          <w:szCs w:val="22"/>
          <w:lang w:val="en-US"/>
        </w:rPr>
        <w:t>Feature condition and future outlook of the area</w:t>
      </w:r>
    </w:p>
    <w:p w14:paraId="59B60C27" w14:textId="23D9F1EF" w:rsidR="006B3F46" w:rsidRPr="009978E3" w:rsidRDefault="006B3F46" w:rsidP="00907941">
      <w:pPr>
        <w:jc w:val="both"/>
        <w:rPr>
          <w:rFonts w:eastAsia="MS Mincho"/>
          <w:sz w:val="22"/>
          <w:szCs w:val="22"/>
          <w:lang w:val="en-US"/>
        </w:rPr>
      </w:pPr>
      <w:r w:rsidRPr="009978E3">
        <w:rPr>
          <w:rFonts w:eastAsia="MS Mincho"/>
          <w:sz w:val="22"/>
          <w:szCs w:val="22"/>
          <w:lang w:val="en-US"/>
        </w:rPr>
        <w:t>Skagerrak is the marine connection between the northeastern Atlantic and the Baltic seas. The shipping traffic density is very high (Edelvang 2017</w:t>
      </w:r>
      <w:r>
        <w:rPr>
          <w:rFonts w:eastAsia="MS Mincho"/>
          <w:sz w:val="22"/>
          <w:szCs w:val="22"/>
          <w:lang w:val="en-US"/>
        </w:rPr>
        <w:t>a</w:t>
      </w:r>
      <w:r w:rsidRPr="009978E3">
        <w:rPr>
          <w:rFonts w:eastAsia="MS Mincho"/>
          <w:sz w:val="22"/>
          <w:szCs w:val="22"/>
          <w:lang w:val="en-US"/>
        </w:rPr>
        <w:t>). This is also a highly productive area in an upwelling zone along the southern edge of the Norwegian Trench, which in turn creates the functional background for a rich and diverse fish community (Edelvang 2017</w:t>
      </w:r>
      <w:r>
        <w:rPr>
          <w:rFonts w:eastAsia="MS Mincho"/>
          <w:sz w:val="22"/>
          <w:szCs w:val="22"/>
          <w:lang w:val="en-US"/>
        </w:rPr>
        <w:t>a</w:t>
      </w:r>
      <w:r w:rsidRPr="009978E3">
        <w:rPr>
          <w:rFonts w:eastAsia="MS Mincho"/>
          <w:sz w:val="22"/>
          <w:szCs w:val="22"/>
          <w:lang w:val="en-US"/>
        </w:rPr>
        <w:t>). The fishery in this part of Skagerrak is intensive.</w:t>
      </w:r>
    </w:p>
    <w:p w14:paraId="37FD1F51" w14:textId="77777777" w:rsidR="006B3F46" w:rsidRPr="009978E3" w:rsidRDefault="006B3F46" w:rsidP="00907941">
      <w:pPr>
        <w:jc w:val="both"/>
        <w:rPr>
          <w:rFonts w:eastAsia="MS Mincho"/>
          <w:sz w:val="22"/>
          <w:szCs w:val="22"/>
          <w:lang w:val="en-US"/>
        </w:rPr>
      </w:pPr>
    </w:p>
    <w:p w14:paraId="04A73687"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This productive area serves as a foraging site to high numbers of birds, and the area is particularly important for concentrations of pelagic piscivorous and surface-feeding birds, such as fulmar, common guillemot and razorbill. Likewise, cetaceans utilize this rich area. Harbour porpoise density in this area ishigh.</w:t>
      </w:r>
    </w:p>
    <w:p w14:paraId="1DE39331" w14:textId="77777777" w:rsidR="006B3F46" w:rsidRPr="009978E3" w:rsidRDefault="006B3F46" w:rsidP="00907941">
      <w:pPr>
        <w:jc w:val="both"/>
        <w:rPr>
          <w:rFonts w:eastAsia="MS Mincho"/>
          <w:sz w:val="22"/>
          <w:szCs w:val="22"/>
          <w:lang w:val="en-US"/>
        </w:rPr>
      </w:pPr>
    </w:p>
    <w:p w14:paraId="3E92707B" w14:textId="7B232275" w:rsidR="006B3F46" w:rsidRPr="00F66EF7" w:rsidRDefault="006B3F46" w:rsidP="00907941">
      <w:pPr>
        <w:jc w:val="both"/>
        <w:rPr>
          <w:rFonts w:eastAsia="MS Mincho"/>
          <w:sz w:val="22"/>
          <w:szCs w:val="22"/>
          <w:lang w:val="en-US"/>
        </w:rPr>
      </w:pPr>
      <w:r w:rsidRPr="009978E3">
        <w:rPr>
          <w:rFonts w:eastAsia="MS Mincho"/>
          <w:sz w:val="22"/>
          <w:szCs w:val="22"/>
          <w:lang w:val="en-US"/>
        </w:rPr>
        <w:t xml:space="preserve">Within the area described, three areas have been designated under the EU Habitats Directive. There are no EU Birds Directive designations for this area, but an Important Bird Area (IBA) has been designated by BirdLife International (BirdLife International 2019). </w:t>
      </w:r>
    </w:p>
    <w:p w14:paraId="12F1E292" w14:textId="77777777" w:rsidR="006B3F46" w:rsidRPr="009978E3" w:rsidRDefault="006B3F46" w:rsidP="00907941">
      <w:pPr>
        <w:jc w:val="both"/>
        <w:rPr>
          <w:rFonts w:eastAsia="MS Mincho"/>
          <w:sz w:val="22"/>
          <w:szCs w:val="22"/>
          <w:lang w:val="en-US"/>
        </w:rPr>
      </w:pPr>
    </w:p>
    <w:p w14:paraId="648DC43E"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National legislation is being prepared to prohibit bottom-trawling gear within boulder reefs in NATURA2000 sites with reefs on the designation list.</w:t>
      </w:r>
    </w:p>
    <w:p w14:paraId="2DAE6A1F" w14:textId="77777777" w:rsidR="006B3F46" w:rsidRPr="009978E3" w:rsidRDefault="006B3F46" w:rsidP="00907941">
      <w:pPr>
        <w:jc w:val="both"/>
        <w:rPr>
          <w:rFonts w:eastAsia="MS Mincho"/>
          <w:sz w:val="22"/>
          <w:szCs w:val="22"/>
          <w:lang w:val="en-US"/>
        </w:rPr>
      </w:pPr>
    </w:p>
    <w:bookmarkEnd w:id="9"/>
    <w:p w14:paraId="1729FACF" w14:textId="77777777" w:rsidR="006B3F46" w:rsidRPr="009978E3" w:rsidRDefault="006B3F46" w:rsidP="00907941">
      <w:pPr>
        <w:jc w:val="both"/>
        <w:rPr>
          <w:rFonts w:eastAsia="MS Mincho"/>
          <w:b/>
          <w:sz w:val="22"/>
          <w:szCs w:val="22"/>
          <w:lang w:val="en-US"/>
        </w:rPr>
      </w:pPr>
    </w:p>
    <w:p w14:paraId="40879EFB"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367162">
        <w:rPr>
          <w:rFonts w:eastAsia="MS Mincho"/>
          <w:b/>
          <w:sz w:val="22"/>
          <w:szCs w:val="22"/>
          <w:lang w:val="en-US"/>
        </w:rPr>
        <w:t>rea no. 1</w:t>
      </w:r>
      <w:r>
        <w:rPr>
          <w:rFonts w:eastAsia="MS Mincho"/>
          <w:b/>
          <w:sz w:val="22"/>
          <w:szCs w:val="22"/>
          <w:lang w:val="en-US"/>
        </w:rPr>
        <w:t>,</w:t>
      </w:r>
      <w:r w:rsidRPr="00367162">
        <w:rPr>
          <w:rFonts w:eastAsia="MS Mincho"/>
          <w:b/>
          <w:sz w:val="22"/>
          <w:szCs w:val="22"/>
          <w:lang w:val="en-US"/>
        </w:rPr>
        <w:t xml:space="preserve"> Danish Skagerrak</w:t>
      </w:r>
      <w:r>
        <w:rPr>
          <w:rFonts w:eastAsia="MS Mincho"/>
          <w:b/>
          <w:sz w:val="22"/>
          <w:szCs w:val="22"/>
          <w:lang w:val="en-US"/>
        </w:rPr>
        <w:t>,</w:t>
      </w:r>
      <w:r w:rsidRPr="009978E3">
        <w:rPr>
          <w:rFonts w:eastAsia="MS Mincho"/>
          <w:b/>
          <w:sz w:val="22"/>
          <w:szCs w:val="22"/>
          <w:lang w:val="en-US"/>
        </w:rPr>
        <w:t xml:space="preserve"> against CBD EBSA Criteria </w:t>
      </w:r>
    </w:p>
    <w:p w14:paraId="2DEADD79"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6B3F46" w:rsidRPr="00FC049E" w14:paraId="53C73670" w14:textId="77777777" w:rsidTr="00907941">
        <w:tc>
          <w:tcPr>
            <w:tcW w:w="779" w:type="pct"/>
            <w:vMerge w:val="restart"/>
            <w:shd w:val="clear" w:color="auto" w:fill="auto"/>
          </w:tcPr>
          <w:p w14:paraId="263F4014" w14:textId="77777777" w:rsidR="006B3F46" w:rsidRPr="00FC049E" w:rsidRDefault="006B3F46" w:rsidP="00907941">
            <w:pPr>
              <w:widowControl w:val="0"/>
              <w:autoSpaceDE w:val="0"/>
              <w:autoSpaceDN w:val="0"/>
              <w:adjustRightInd w:val="0"/>
              <w:rPr>
                <w:rFonts w:eastAsia="MS Mincho"/>
                <w:b/>
                <w:bCs/>
                <w:color w:val="000000"/>
                <w:sz w:val="22"/>
                <w:szCs w:val="22"/>
                <w:lang w:val="it-IT"/>
              </w:rPr>
            </w:pPr>
            <w:r w:rsidRPr="00FC049E">
              <w:rPr>
                <w:rFonts w:eastAsia="MS Mincho"/>
                <w:b/>
                <w:bCs/>
                <w:color w:val="000000"/>
                <w:sz w:val="22"/>
                <w:szCs w:val="22"/>
                <w:lang w:val="it-IT"/>
              </w:rPr>
              <w:t>CBD EBSA Criteria</w:t>
            </w:r>
          </w:p>
          <w:p w14:paraId="6389FFED" w14:textId="77777777" w:rsidR="006B3F46" w:rsidRPr="00FC049E" w:rsidRDefault="006B3F46" w:rsidP="00907941">
            <w:pPr>
              <w:widowControl w:val="0"/>
              <w:autoSpaceDE w:val="0"/>
              <w:autoSpaceDN w:val="0"/>
              <w:adjustRightInd w:val="0"/>
              <w:rPr>
                <w:rFonts w:eastAsia="MS Mincho"/>
                <w:bCs/>
                <w:color w:val="000000"/>
                <w:sz w:val="22"/>
                <w:szCs w:val="22"/>
                <w:lang w:val="it-IT"/>
              </w:rPr>
            </w:pPr>
            <w:r w:rsidRPr="00FC049E">
              <w:rPr>
                <w:rFonts w:eastAsia="MS Mincho"/>
                <w:bCs/>
                <w:color w:val="000000"/>
                <w:sz w:val="22"/>
                <w:szCs w:val="22"/>
                <w:lang w:val="it-IT"/>
              </w:rPr>
              <w:t>(Annex I to decision IX/20)</w:t>
            </w:r>
          </w:p>
        </w:tc>
        <w:tc>
          <w:tcPr>
            <w:tcW w:w="2280" w:type="pct"/>
            <w:vMerge w:val="restart"/>
            <w:shd w:val="clear" w:color="auto" w:fill="auto"/>
          </w:tcPr>
          <w:p w14:paraId="402C1DEF" w14:textId="77777777" w:rsidR="006B3F46" w:rsidRPr="00FC049E" w:rsidRDefault="006B3F46" w:rsidP="00907941">
            <w:pPr>
              <w:widowControl w:val="0"/>
              <w:autoSpaceDE w:val="0"/>
              <w:autoSpaceDN w:val="0"/>
              <w:adjustRightInd w:val="0"/>
              <w:rPr>
                <w:rFonts w:eastAsia="MS Mincho"/>
                <w:b/>
                <w:bCs/>
                <w:sz w:val="22"/>
                <w:szCs w:val="22"/>
                <w:lang w:val="en-US"/>
              </w:rPr>
            </w:pPr>
            <w:r w:rsidRPr="00FC049E">
              <w:rPr>
                <w:rFonts w:eastAsia="MS Mincho"/>
                <w:b/>
                <w:bCs/>
                <w:sz w:val="22"/>
                <w:szCs w:val="22"/>
                <w:lang w:val="en-US"/>
              </w:rPr>
              <w:t>Description</w:t>
            </w:r>
          </w:p>
          <w:p w14:paraId="778536CF" w14:textId="77777777" w:rsidR="006B3F46" w:rsidRPr="00FC049E" w:rsidRDefault="006B3F46" w:rsidP="00907941">
            <w:pPr>
              <w:widowControl w:val="0"/>
              <w:autoSpaceDE w:val="0"/>
              <w:autoSpaceDN w:val="0"/>
              <w:adjustRightInd w:val="0"/>
              <w:rPr>
                <w:rFonts w:eastAsia="MS Mincho"/>
                <w:bCs/>
                <w:sz w:val="22"/>
                <w:szCs w:val="22"/>
                <w:lang w:val="en-US"/>
              </w:rPr>
            </w:pPr>
            <w:r w:rsidRPr="00FC049E">
              <w:rPr>
                <w:rFonts w:eastAsia="MS Mincho"/>
                <w:bCs/>
                <w:color w:val="000000"/>
                <w:sz w:val="22"/>
                <w:szCs w:val="22"/>
                <w:lang w:val="it-IT"/>
              </w:rPr>
              <w:t>(Annex I to decision IX/20)</w:t>
            </w:r>
          </w:p>
        </w:tc>
        <w:tc>
          <w:tcPr>
            <w:tcW w:w="1940" w:type="pct"/>
            <w:gridSpan w:val="9"/>
            <w:shd w:val="clear" w:color="auto" w:fill="auto"/>
          </w:tcPr>
          <w:p w14:paraId="4C948CFF"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
                <w:bCs/>
                <w:color w:val="000000"/>
                <w:sz w:val="22"/>
                <w:szCs w:val="22"/>
                <w:lang w:val="en-US"/>
              </w:rPr>
              <w:t xml:space="preserve">Ranking of criterion relevance </w:t>
            </w:r>
          </w:p>
          <w:p w14:paraId="79F1FEC1"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Cs/>
                <w:color w:val="000000"/>
                <w:sz w:val="22"/>
                <w:szCs w:val="22"/>
                <w:lang w:val="en-US"/>
              </w:rPr>
              <w:t>(please mark one column with an X)</w:t>
            </w:r>
          </w:p>
        </w:tc>
      </w:tr>
      <w:tr w:rsidR="006B3F46" w:rsidRPr="00FC049E" w14:paraId="5B68AE39" w14:textId="77777777" w:rsidTr="00907941">
        <w:tc>
          <w:tcPr>
            <w:tcW w:w="779" w:type="pct"/>
            <w:vMerge/>
            <w:shd w:val="clear" w:color="auto" w:fill="auto"/>
          </w:tcPr>
          <w:p w14:paraId="1C803823"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p>
        </w:tc>
        <w:tc>
          <w:tcPr>
            <w:tcW w:w="2280" w:type="pct"/>
            <w:vMerge/>
            <w:shd w:val="clear" w:color="auto" w:fill="auto"/>
          </w:tcPr>
          <w:p w14:paraId="7DF65B32" w14:textId="77777777" w:rsidR="006B3F46" w:rsidRPr="00FC049E" w:rsidRDefault="006B3F46" w:rsidP="00907941">
            <w:pPr>
              <w:widowControl w:val="0"/>
              <w:autoSpaceDE w:val="0"/>
              <w:autoSpaceDN w:val="0"/>
              <w:adjustRightInd w:val="0"/>
              <w:rPr>
                <w:rFonts w:eastAsia="MS Mincho"/>
                <w:b/>
                <w:bCs/>
                <w:sz w:val="22"/>
                <w:szCs w:val="22"/>
                <w:lang w:val="en-US"/>
              </w:rPr>
            </w:pPr>
          </w:p>
        </w:tc>
        <w:tc>
          <w:tcPr>
            <w:tcW w:w="547" w:type="pct"/>
            <w:gridSpan w:val="2"/>
            <w:shd w:val="clear" w:color="auto" w:fill="auto"/>
          </w:tcPr>
          <w:p w14:paraId="6F158E1D"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
                <w:bCs/>
                <w:color w:val="000000"/>
                <w:sz w:val="22"/>
                <w:szCs w:val="22"/>
                <w:lang w:val="en-US"/>
              </w:rPr>
              <w:t>No information</w:t>
            </w:r>
          </w:p>
        </w:tc>
        <w:tc>
          <w:tcPr>
            <w:tcW w:w="547" w:type="pct"/>
            <w:gridSpan w:val="3"/>
            <w:shd w:val="clear" w:color="auto" w:fill="auto"/>
          </w:tcPr>
          <w:p w14:paraId="28F9DF9B"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
                <w:bCs/>
                <w:color w:val="000000"/>
                <w:sz w:val="22"/>
                <w:szCs w:val="22"/>
                <w:lang w:val="en-US"/>
              </w:rPr>
              <w:t>Low</w:t>
            </w:r>
          </w:p>
        </w:tc>
        <w:tc>
          <w:tcPr>
            <w:tcW w:w="411" w:type="pct"/>
            <w:gridSpan w:val="2"/>
            <w:shd w:val="clear" w:color="auto" w:fill="auto"/>
          </w:tcPr>
          <w:p w14:paraId="1503F489"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
                <w:bCs/>
                <w:color w:val="000000"/>
                <w:sz w:val="22"/>
                <w:szCs w:val="22"/>
                <w:lang w:val="en-US"/>
              </w:rPr>
              <w:t>Medium</w:t>
            </w:r>
          </w:p>
        </w:tc>
        <w:tc>
          <w:tcPr>
            <w:tcW w:w="436" w:type="pct"/>
            <w:gridSpan w:val="2"/>
            <w:shd w:val="clear" w:color="auto" w:fill="auto"/>
          </w:tcPr>
          <w:p w14:paraId="53C8DA39"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
                <w:bCs/>
                <w:color w:val="000000"/>
                <w:sz w:val="22"/>
                <w:szCs w:val="22"/>
                <w:lang w:val="en-US"/>
              </w:rPr>
              <w:t>High</w:t>
            </w:r>
          </w:p>
        </w:tc>
      </w:tr>
      <w:tr w:rsidR="006B3F46" w:rsidRPr="00FC049E" w14:paraId="79532E96" w14:textId="77777777" w:rsidTr="00907941">
        <w:tc>
          <w:tcPr>
            <w:tcW w:w="779" w:type="pct"/>
            <w:shd w:val="clear" w:color="auto" w:fill="auto"/>
          </w:tcPr>
          <w:p w14:paraId="59F0A1AA"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
                <w:bCs/>
                <w:color w:val="000000"/>
                <w:sz w:val="22"/>
                <w:szCs w:val="22"/>
                <w:lang w:val="en-US"/>
              </w:rPr>
              <w:t>Uniqueness or rarity</w:t>
            </w:r>
          </w:p>
        </w:tc>
        <w:tc>
          <w:tcPr>
            <w:tcW w:w="2280" w:type="pct"/>
            <w:shd w:val="clear" w:color="auto" w:fill="auto"/>
          </w:tcPr>
          <w:p w14:paraId="7F76D23E" w14:textId="77777777" w:rsidR="006B3F46" w:rsidRPr="00FC049E" w:rsidRDefault="006B3F46" w:rsidP="00907941">
            <w:pPr>
              <w:widowControl w:val="0"/>
              <w:autoSpaceDE w:val="0"/>
              <w:autoSpaceDN w:val="0"/>
              <w:adjustRightInd w:val="0"/>
              <w:rPr>
                <w:rFonts w:eastAsia="MS Mincho"/>
                <w:bCs/>
                <w:color w:val="000000"/>
                <w:sz w:val="22"/>
                <w:szCs w:val="22"/>
                <w:lang w:val="en-US"/>
              </w:rPr>
            </w:pPr>
            <w:r w:rsidRPr="00FC049E">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0C6C8C6A" w14:textId="77777777" w:rsidR="006B3F46" w:rsidRPr="00FC049E" w:rsidRDefault="006B3F46" w:rsidP="00907941">
            <w:pPr>
              <w:widowControl w:val="0"/>
              <w:autoSpaceDE w:val="0"/>
              <w:autoSpaceDN w:val="0"/>
              <w:adjustRightInd w:val="0"/>
              <w:rPr>
                <w:rFonts w:eastAsia="MS Mincho"/>
                <w:bCs/>
                <w:color w:val="000000"/>
                <w:sz w:val="22"/>
                <w:szCs w:val="22"/>
                <w:lang w:val="en-US"/>
              </w:rPr>
            </w:pPr>
          </w:p>
        </w:tc>
        <w:tc>
          <w:tcPr>
            <w:tcW w:w="547" w:type="pct"/>
            <w:gridSpan w:val="3"/>
            <w:shd w:val="clear" w:color="auto" w:fill="auto"/>
          </w:tcPr>
          <w:p w14:paraId="3B536399" w14:textId="77777777" w:rsidR="006B3F46" w:rsidRPr="00FC049E"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0920BB0E" w14:textId="77777777" w:rsidR="006B3F46" w:rsidRPr="00FC049E"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47B4ACBA" w14:textId="77777777" w:rsidR="006B3F46" w:rsidRPr="00FC049E" w:rsidRDefault="006B3F46" w:rsidP="00907941">
            <w:pPr>
              <w:widowControl w:val="0"/>
              <w:autoSpaceDE w:val="0"/>
              <w:autoSpaceDN w:val="0"/>
              <w:adjustRightInd w:val="0"/>
              <w:jc w:val="center"/>
              <w:rPr>
                <w:rFonts w:eastAsia="MS Mincho"/>
                <w:bCs/>
                <w:color w:val="000000"/>
                <w:sz w:val="22"/>
                <w:szCs w:val="22"/>
                <w:lang w:val="en-US"/>
              </w:rPr>
            </w:pPr>
            <w:r w:rsidRPr="00FC049E">
              <w:rPr>
                <w:rFonts w:eastAsia="MS Mincho"/>
                <w:bCs/>
                <w:color w:val="000000"/>
                <w:sz w:val="22"/>
                <w:szCs w:val="22"/>
                <w:lang w:val="en-US"/>
              </w:rPr>
              <w:t>X</w:t>
            </w:r>
          </w:p>
        </w:tc>
      </w:tr>
      <w:tr w:rsidR="006B3F46" w:rsidRPr="0021277B" w14:paraId="7C92BE1A" w14:textId="77777777" w:rsidTr="00907941">
        <w:tc>
          <w:tcPr>
            <w:tcW w:w="5000" w:type="pct"/>
            <w:gridSpan w:val="11"/>
            <w:shd w:val="clear" w:color="auto" w:fill="auto"/>
          </w:tcPr>
          <w:p w14:paraId="072F3A97" w14:textId="77777777" w:rsidR="006B3F46" w:rsidRPr="00FC049E" w:rsidRDefault="006B3F46" w:rsidP="00907941">
            <w:pPr>
              <w:widowControl w:val="0"/>
              <w:autoSpaceDE w:val="0"/>
              <w:autoSpaceDN w:val="0"/>
              <w:adjustRightInd w:val="0"/>
              <w:rPr>
                <w:rFonts w:eastAsia="MS Mincho"/>
                <w:i/>
                <w:color w:val="000000"/>
                <w:sz w:val="22"/>
                <w:szCs w:val="22"/>
                <w:lang w:val="en-US"/>
              </w:rPr>
            </w:pPr>
            <w:r w:rsidRPr="00FC049E">
              <w:rPr>
                <w:rFonts w:eastAsia="MS Mincho"/>
                <w:i/>
                <w:color w:val="000000"/>
                <w:sz w:val="22"/>
                <w:szCs w:val="22"/>
                <w:lang w:val="en-US"/>
              </w:rPr>
              <w:t>Explanation for ranking</w:t>
            </w:r>
          </w:p>
          <w:p w14:paraId="39E75D57" w14:textId="77777777" w:rsidR="006B3F46" w:rsidRPr="00F66EF7" w:rsidRDefault="006B3F46" w:rsidP="00907941">
            <w:pPr>
              <w:jc w:val="both"/>
              <w:rPr>
                <w:rFonts w:eastAsia="MS Mincho"/>
                <w:sz w:val="22"/>
                <w:szCs w:val="22"/>
              </w:rPr>
            </w:pPr>
            <w:r w:rsidRPr="00FC049E">
              <w:rPr>
                <w:rFonts w:eastAsia="MS Mincho"/>
                <w:color w:val="000000"/>
                <w:sz w:val="22"/>
                <w:szCs w:val="22"/>
                <w:lang w:val="en-US"/>
              </w:rPr>
              <w:t xml:space="preserve">Very productive frontal area </w:t>
            </w:r>
            <w:r w:rsidRPr="00F66EF7">
              <w:rPr>
                <w:rFonts w:eastAsia="MS Mincho"/>
                <w:sz w:val="22"/>
                <w:szCs w:val="22"/>
              </w:rPr>
              <w:t xml:space="preserve">(Nielsen </w:t>
            </w:r>
            <w:r w:rsidRPr="0006066A">
              <w:rPr>
                <w:rFonts w:eastAsia="MS Mincho"/>
                <w:i/>
                <w:sz w:val="22"/>
                <w:szCs w:val="22"/>
              </w:rPr>
              <w:t>et al</w:t>
            </w:r>
            <w:r w:rsidRPr="00F66EF7">
              <w:rPr>
                <w:rFonts w:eastAsia="MS Mincho"/>
                <w:sz w:val="22"/>
                <w:szCs w:val="22"/>
              </w:rPr>
              <w:t xml:space="preserve">.1993, Josefson and Conley, 1997). </w:t>
            </w:r>
          </w:p>
          <w:p w14:paraId="7BF4AC11" w14:textId="77777777" w:rsidR="006B3F46" w:rsidRPr="0021277B" w:rsidRDefault="006B3F46" w:rsidP="00907941">
            <w:pPr>
              <w:widowControl w:val="0"/>
              <w:autoSpaceDE w:val="0"/>
              <w:autoSpaceDN w:val="0"/>
              <w:adjustRightInd w:val="0"/>
              <w:rPr>
                <w:rFonts w:eastAsia="MS Mincho"/>
                <w:color w:val="000000"/>
                <w:sz w:val="22"/>
                <w:szCs w:val="22"/>
                <w:lang w:val="en-US"/>
              </w:rPr>
            </w:pPr>
          </w:p>
          <w:p w14:paraId="747A03BB"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Very high concentrations of northern fulmar (</w:t>
            </w:r>
            <w:r w:rsidRPr="0021277B">
              <w:rPr>
                <w:rFonts w:eastAsia="MS Mincho"/>
                <w:i/>
                <w:color w:val="000000"/>
                <w:sz w:val="22"/>
                <w:szCs w:val="22"/>
                <w:lang w:val="en-US"/>
              </w:rPr>
              <w:t>Fulmarus glacialis</w:t>
            </w:r>
            <w:r w:rsidRPr="0021277B">
              <w:rPr>
                <w:rFonts w:eastAsia="MS Mincho"/>
                <w:color w:val="000000"/>
                <w:sz w:val="22"/>
                <w:szCs w:val="22"/>
                <w:lang w:val="en-US"/>
              </w:rPr>
              <w:t>) and great skua (</w:t>
            </w:r>
            <w:r w:rsidRPr="0021277B">
              <w:rPr>
                <w:rFonts w:eastAsia="MS Mincho"/>
                <w:i/>
                <w:color w:val="000000"/>
                <w:sz w:val="22"/>
                <w:szCs w:val="22"/>
                <w:lang w:val="en-US"/>
              </w:rPr>
              <w:t>Catheracta skua</w:t>
            </w:r>
            <w:r w:rsidRPr="0021277B">
              <w:rPr>
                <w:rFonts w:eastAsia="MS Mincho"/>
                <w:color w:val="000000"/>
                <w:sz w:val="22"/>
                <w:szCs w:val="22"/>
                <w:lang w:val="en-US"/>
              </w:rPr>
              <w:t xml:space="preserve">), both </w:t>
            </w:r>
            <w:r w:rsidRPr="00F66EF7">
              <w:rPr>
                <w:rFonts w:eastAsia="MS Mincho"/>
                <w:color w:val="000000"/>
                <w:sz w:val="22"/>
                <w:szCs w:val="22"/>
                <w:lang w:val="en-US"/>
              </w:rPr>
              <w:t xml:space="preserve">of which are </w:t>
            </w:r>
            <w:r w:rsidRPr="0021277B">
              <w:rPr>
                <w:rFonts w:eastAsia="MS Mincho"/>
                <w:color w:val="000000"/>
                <w:sz w:val="22"/>
                <w:szCs w:val="22"/>
                <w:lang w:val="en-US"/>
              </w:rPr>
              <w:t xml:space="preserve">present in numbers of international significance (Petersen unpublished). </w:t>
            </w:r>
          </w:p>
          <w:p w14:paraId="07EE0B02" w14:textId="77777777" w:rsidR="006B3F46" w:rsidRPr="0021277B" w:rsidRDefault="006B3F46" w:rsidP="00907941">
            <w:pPr>
              <w:widowControl w:val="0"/>
              <w:autoSpaceDE w:val="0"/>
              <w:autoSpaceDN w:val="0"/>
              <w:adjustRightInd w:val="0"/>
              <w:rPr>
                <w:rFonts w:eastAsia="MS Mincho"/>
                <w:color w:val="000000"/>
                <w:sz w:val="22"/>
                <w:szCs w:val="22"/>
                <w:lang w:val="en-US"/>
              </w:rPr>
            </w:pPr>
          </w:p>
          <w:p w14:paraId="5228F8C2" w14:textId="14A9BD1B" w:rsidR="006B3F46"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 xml:space="preserve">The high productivity </w:t>
            </w:r>
            <w:r w:rsidRPr="00F66EF7">
              <w:rPr>
                <w:rFonts w:eastAsia="MS Mincho"/>
                <w:color w:val="000000"/>
                <w:sz w:val="22"/>
                <w:szCs w:val="22"/>
                <w:lang w:val="en-US"/>
              </w:rPr>
              <w:t>of</w:t>
            </w:r>
            <w:r w:rsidRPr="0021277B">
              <w:rPr>
                <w:rFonts w:eastAsia="MS Mincho"/>
                <w:color w:val="000000"/>
                <w:sz w:val="22"/>
                <w:szCs w:val="22"/>
                <w:lang w:val="en-US"/>
              </w:rPr>
              <w:t xml:space="preserve"> the upwelling zone </w:t>
            </w:r>
            <w:r w:rsidRPr="00F66EF7">
              <w:rPr>
                <w:rFonts w:eastAsia="MS Mincho"/>
                <w:color w:val="000000"/>
                <w:sz w:val="22"/>
                <w:szCs w:val="22"/>
                <w:lang w:val="en-US"/>
              </w:rPr>
              <w:t xml:space="preserve">at </w:t>
            </w:r>
            <w:r w:rsidRPr="0021277B">
              <w:rPr>
                <w:rFonts w:eastAsia="MS Mincho"/>
                <w:color w:val="000000"/>
                <w:sz w:val="22"/>
                <w:szCs w:val="22"/>
                <w:lang w:val="en-US"/>
              </w:rPr>
              <w:t xml:space="preserve">the southern edge of the Norwegian Trench promotes high fish concentrations and in turn also provides </w:t>
            </w:r>
            <w:r w:rsidRPr="00F66EF7">
              <w:rPr>
                <w:rFonts w:eastAsia="MS Mincho"/>
                <w:color w:val="000000"/>
                <w:sz w:val="22"/>
                <w:szCs w:val="22"/>
                <w:lang w:val="en-US"/>
              </w:rPr>
              <w:t>favorable</w:t>
            </w:r>
            <w:r w:rsidRPr="0021277B">
              <w:rPr>
                <w:rFonts w:eastAsia="MS Mincho"/>
                <w:color w:val="000000"/>
                <w:sz w:val="22"/>
                <w:szCs w:val="22"/>
                <w:lang w:val="en-US"/>
              </w:rPr>
              <w:t xml:space="preserve"> conditions for both birds and cetaceans, including </w:t>
            </w:r>
            <w:r>
              <w:rPr>
                <w:rFonts w:eastAsia="MS Mincho"/>
                <w:color w:val="000000"/>
                <w:sz w:val="22"/>
                <w:szCs w:val="22"/>
                <w:lang w:val="en-US"/>
              </w:rPr>
              <w:t>h</w:t>
            </w:r>
            <w:r w:rsidRPr="0021277B">
              <w:rPr>
                <w:rFonts w:eastAsia="MS Mincho"/>
                <w:color w:val="000000"/>
                <w:sz w:val="22"/>
                <w:szCs w:val="22"/>
                <w:lang w:val="en-US"/>
              </w:rPr>
              <w:t>arbour porpoise.</w:t>
            </w:r>
          </w:p>
          <w:p w14:paraId="08DC0AB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1ADBA612" w14:textId="77777777" w:rsidTr="00907941">
        <w:tc>
          <w:tcPr>
            <w:tcW w:w="779" w:type="pct"/>
            <w:shd w:val="clear" w:color="auto" w:fill="auto"/>
          </w:tcPr>
          <w:p w14:paraId="2493E62E"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80" w:type="pct"/>
            <w:shd w:val="clear" w:color="auto" w:fill="auto"/>
          </w:tcPr>
          <w:p w14:paraId="58F23A91"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tcPr>
          <w:p w14:paraId="5FBDADE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0AC67AD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7B62B1B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1447A04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08185F05" w14:textId="77777777" w:rsidTr="00907941">
        <w:tc>
          <w:tcPr>
            <w:tcW w:w="5000" w:type="pct"/>
            <w:gridSpan w:val="11"/>
            <w:shd w:val="clear" w:color="auto" w:fill="auto"/>
          </w:tcPr>
          <w:p w14:paraId="777ECCD0"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56844451"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In late summer and early autumn</w:t>
            </w:r>
            <w:r>
              <w:rPr>
                <w:rFonts w:eastAsia="MS Mincho"/>
                <w:color w:val="000000"/>
                <w:sz w:val="22"/>
                <w:szCs w:val="22"/>
                <w:lang w:val="en-US"/>
              </w:rPr>
              <w:t>,</w:t>
            </w:r>
            <w:r w:rsidRPr="0021277B">
              <w:rPr>
                <w:rFonts w:eastAsia="MS Mincho"/>
                <w:color w:val="000000"/>
                <w:sz w:val="22"/>
                <w:szCs w:val="22"/>
                <w:lang w:val="en-US"/>
              </w:rPr>
              <w:t xml:space="preserve"> this area serves as a rearing area for common guillemot that perform a swimming migration from their breeding grounds in Scotland to the Danish North Sea and Kattegat via Skagerrak (Skov </w:t>
            </w:r>
            <w:r w:rsidRPr="0006066A">
              <w:rPr>
                <w:rFonts w:eastAsia="MS Mincho"/>
                <w:i/>
                <w:color w:val="000000"/>
                <w:sz w:val="22"/>
                <w:szCs w:val="22"/>
                <w:lang w:val="en-US"/>
              </w:rPr>
              <w:t>et al</w:t>
            </w:r>
            <w:r w:rsidRPr="0021277B">
              <w:rPr>
                <w:rFonts w:eastAsia="MS Mincho"/>
                <w:color w:val="000000"/>
                <w:sz w:val="22"/>
                <w:szCs w:val="22"/>
                <w:lang w:val="en-US"/>
              </w:rPr>
              <w:t>. 1992).</w:t>
            </w:r>
          </w:p>
          <w:p w14:paraId="2B3DC1E7"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 xml:space="preserve"> </w:t>
            </w:r>
          </w:p>
          <w:p w14:paraId="7B4472A9"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 xml:space="preserve">The area harbours a high abundance and diversity of fish species (Edelvang </w:t>
            </w:r>
            <w:r w:rsidRPr="0006066A">
              <w:rPr>
                <w:rFonts w:eastAsia="MS Mincho"/>
                <w:i/>
                <w:color w:val="000000"/>
                <w:sz w:val="22"/>
                <w:szCs w:val="22"/>
                <w:lang w:val="en-US"/>
              </w:rPr>
              <w:t>et al</w:t>
            </w:r>
            <w:r w:rsidRPr="0021277B">
              <w:rPr>
                <w:rFonts w:eastAsia="MS Mincho"/>
                <w:color w:val="000000"/>
                <w:sz w:val="22"/>
                <w:szCs w:val="22"/>
                <w:lang w:val="en-US"/>
              </w:rPr>
              <w:t>. 2017</w:t>
            </w:r>
            <w:r>
              <w:rPr>
                <w:rFonts w:eastAsia="MS Mincho"/>
                <w:color w:val="000000"/>
                <w:sz w:val="22"/>
                <w:szCs w:val="22"/>
                <w:lang w:val="en-US"/>
              </w:rPr>
              <w:t>a</w:t>
            </w:r>
            <w:r w:rsidRPr="0021277B">
              <w:rPr>
                <w:rFonts w:eastAsia="MS Mincho"/>
                <w:color w:val="000000"/>
                <w:sz w:val="22"/>
                <w:szCs w:val="22"/>
                <w:lang w:val="en-US"/>
              </w:rPr>
              <w:t xml:space="preserve">). </w:t>
            </w:r>
          </w:p>
          <w:p w14:paraId="0BEFC2FF"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72450847" w14:textId="77777777" w:rsidTr="00907941">
        <w:tc>
          <w:tcPr>
            <w:tcW w:w="779" w:type="pct"/>
            <w:shd w:val="clear" w:color="auto" w:fill="auto"/>
          </w:tcPr>
          <w:p w14:paraId="2A02070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80" w:type="pct"/>
            <w:shd w:val="clear" w:color="auto" w:fill="auto"/>
          </w:tcPr>
          <w:p w14:paraId="2AD37014"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p w14:paraId="0C7F8A62"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Three Habitats Directive area within this proposed area has been designated, all with reference to the presence of Harbour Porpoise.</w:t>
            </w:r>
          </w:p>
        </w:tc>
        <w:tc>
          <w:tcPr>
            <w:tcW w:w="684" w:type="pct"/>
            <w:gridSpan w:val="3"/>
            <w:shd w:val="clear" w:color="auto" w:fill="auto"/>
          </w:tcPr>
          <w:p w14:paraId="13EC804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73022A3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51A549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6" w:type="pct"/>
            <w:gridSpan w:val="2"/>
            <w:shd w:val="clear" w:color="auto" w:fill="auto"/>
          </w:tcPr>
          <w:p w14:paraId="4E2B681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FC049E" w14:paraId="5FB4FFCF" w14:textId="77777777" w:rsidTr="00907941">
        <w:tc>
          <w:tcPr>
            <w:tcW w:w="5000" w:type="pct"/>
            <w:gridSpan w:val="11"/>
            <w:shd w:val="clear" w:color="auto" w:fill="auto"/>
          </w:tcPr>
          <w:p w14:paraId="5D5B8866"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1B8C8D98" w14:textId="77777777" w:rsidR="006B3F46" w:rsidRPr="00FC049E" w:rsidRDefault="006B3F46" w:rsidP="00907941">
            <w:pPr>
              <w:widowControl w:val="0"/>
              <w:autoSpaceDE w:val="0"/>
              <w:autoSpaceDN w:val="0"/>
              <w:adjustRightInd w:val="0"/>
              <w:jc w:val="both"/>
              <w:rPr>
                <w:rFonts w:eastAsia="MS Mincho"/>
                <w:color w:val="000000"/>
                <w:sz w:val="22"/>
                <w:szCs w:val="22"/>
              </w:rPr>
            </w:pPr>
            <w:r w:rsidRPr="0021277B">
              <w:rPr>
                <w:rFonts w:eastAsia="MS Mincho"/>
                <w:color w:val="000000"/>
                <w:sz w:val="22"/>
                <w:szCs w:val="22"/>
                <w:lang w:val="en-US"/>
              </w:rPr>
              <w:t>The harbour porpoise (</w:t>
            </w:r>
            <w:r w:rsidRPr="00FC049E">
              <w:rPr>
                <w:rFonts w:eastAsia="MS Mincho"/>
                <w:i/>
                <w:color w:val="000000"/>
                <w:sz w:val="22"/>
                <w:szCs w:val="22"/>
                <w:lang w:val="en-US"/>
              </w:rPr>
              <w:t>Phocoena phocoena</w:t>
            </w:r>
            <w:r w:rsidRPr="00FC049E">
              <w:rPr>
                <w:rFonts w:eastAsia="MS Mincho"/>
                <w:color w:val="000000"/>
                <w:sz w:val="22"/>
                <w:szCs w:val="22"/>
                <w:lang w:val="en-US"/>
              </w:rPr>
              <w:t>)</w:t>
            </w:r>
            <w:r>
              <w:rPr>
                <w:rFonts w:eastAsia="MS Mincho"/>
                <w:color w:val="000000"/>
                <w:sz w:val="22"/>
                <w:szCs w:val="22"/>
                <w:lang w:val="en-US"/>
              </w:rPr>
              <w:t xml:space="preserve"> </w:t>
            </w:r>
            <w:r w:rsidRPr="00FC049E">
              <w:rPr>
                <w:rFonts w:eastAsia="MS Mincho"/>
                <w:color w:val="000000"/>
                <w:sz w:val="22"/>
                <w:szCs w:val="22"/>
                <w:lang w:val="en-US"/>
              </w:rPr>
              <w:t>is listed as threat</w:t>
            </w:r>
            <w:r w:rsidRPr="00FC049E">
              <w:rPr>
                <w:rFonts w:eastAsia="MS Mincho"/>
                <w:color w:val="000000"/>
                <w:sz w:val="22"/>
                <w:szCs w:val="22"/>
              </w:rPr>
              <w:t xml:space="preserve">ened and/or declining </w:t>
            </w:r>
            <w:r w:rsidRPr="00FC049E">
              <w:rPr>
                <w:rFonts w:eastAsia="MS Mincho"/>
                <w:color w:val="000000"/>
                <w:sz w:val="22"/>
                <w:szCs w:val="22"/>
                <w:lang w:val="en-US"/>
              </w:rPr>
              <w:t>in r</w:t>
            </w:r>
            <w:r w:rsidRPr="00FC049E">
              <w:rPr>
                <w:rFonts w:eastAsia="MS Mincho"/>
                <w:color w:val="000000"/>
                <w:sz w:val="22"/>
                <w:szCs w:val="22"/>
              </w:rPr>
              <w:t xml:space="preserve">egions II and III of the OSPAR </w:t>
            </w:r>
            <w:r w:rsidRPr="00DC304C">
              <w:rPr>
                <w:rFonts w:eastAsia="MS Mincho"/>
                <w:color w:val="000000"/>
                <w:sz w:val="22"/>
                <w:szCs w:val="22"/>
              </w:rPr>
              <w:t xml:space="preserve">maritime </w:t>
            </w:r>
            <w:r w:rsidRPr="008600E0">
              <w:rPr>
                <w:rFonts w:eastAsia="MS Mincho"/>
                <w:color w:val="000000"/>
                <w:sz w:val="22"/>
                <w:szCs w:val="22"/>
              </w:rPr>
              <w:t>area (OSPAR 20</w:t>
            </w:r>
            <w:r>
              <w:rPr>
                <w:rFonts w:eastAsia="MS Mincho"/>
                <w:color w:val="000000"/>
                <w:sz w:val="22"/>
                <w:szCs w:val="22"/>
              </w:rPr>
              <w:t>13</w:t>
            </w:r>
            <w:r w:rsidRPr="008600E0">
              <w:rPr>
                <w:rFonts w:eastAsia="MS Mincho"/>
                <w:color w:val="000000"/>
                <w:sz w:val="22"/>
                <w:szCs w:val="22"/>
              </w:rPr>
              <w:t xml:space="preserve">). </w:t>
            </w:r>
          </w:p>
          <w:p w14:paraId="7A20C034" w14:textId="77777777" w:rsidR="006B3F46" w:rsidRPr="00FC049E" w:rsidRDefault="006B3F46" w:rsidP="00907941">
            <w:pPr>
              <w:widowControl w:val="0"/>
              <w:autoSpaceDE w:val="0"/>
              <w:autoSpaceDN w:val="0"/>
              <w:adjustRightInd w:val="0"/>
              <w:jc w:val="both"/>
              <w:rPr>
                <w:rFonts w:eastAsia="MS Mincho"/>
                <w:color w:val="000000"/>
                <w:sz w:val="22"/>
                <w:szCs w:val="22"/>
              </w:rPr>
            </w:pPr>
          </w:p>
          <w:p w14:paraId="557A8FBD" w14:textId="4EC88402" w:rsidR="006B3F46" w:rsidRPr="00FC049E" w:rsidRDefault="006B3F46" w:rsidP="00907941">
            <w:pPr>
              <w:widowControl w:val="0"/>
              <w:autoSpaceDE w:val="0"/>
              <w:autoSpaceDN w:val="0"/>
              <w:adjustRightInd w:val="0"/>
              <w:jc w:val="both"/>
              <w:rPr>
                <w:rFonts w:eastAsia="MS Mincho"/>
                <w:color w:val="000000"/>
                <w:sz w:val="22"/>
                <w:szCs w:val="22"/>
                <w:lang w:val="en-US"/>
              </w:rPr>
            </w:pPr>
            <w:r w:rsidRPr="00FC049E">
              <w:rPr>
                <w:rFonts w:eastAsia="MS Mincho"/>
                <w:color w:val="000000"/>
                <w:sz w:val="22"/>
                <w:szCs w:val="22"/>
              </w:rPr>
              <w:t xml:space="preserve">White-beaked dolphin and minke whale are both listed species in </w:t>
            </w:r>
            <w:r w:rsidRPr="00CF4095">
              <w:rPr>
                <w:rFonts w:eastAsia="MS Mincho"/>
                <w:color w:val="000000"/>
                <w:sz w:val="22"/>
                <w:szCs w:val="22"/>
              </w:rPr>
              <w:t xml:space="preserve">the </w:t>
            </w:r>
            <w:r w:rsidRPr="0021277B">
              <w:rPr>
                <w:rFonts w:eastAsia="MS Mincho"/>
                <w:color w:val="000000"/>
                <w:sz w:val="22"/>
                <w:szCs w:val="22"/>
              </w:rPr>
              <w:t>Habitats Directive Annex 1.</w:t>
            </w:r>
            <w:r>
              <w:rPr>
                <w:rFonts w:eastAsia="MS Mincho"/>
                <w:color w:val="000000"/>
                <w:sz w:val="22"/>
                <w:szCs w:val="22"/>
                <w:lang w:val="en-US"/>
              </w:rPr>
              <w:t xml:space="preserve"> </w:t>
            </w:r>
            <w:r w:rsidRPr="00FC049E">
              <w:rPr>
                <w:rFonts w:eastAsia="MS Mincho"/>
                <w:color w:val="000000"/>
                <w:sz w:val="22"/>
                <w:szCs w:val="22"/>
                <w:lang w:val="en-US"/>
              </w:rPr>
              <w:t>Great skua is globally Red Listed, classified as “Least Concern” with a world population of 30,000 to 35,000 individuals. The population is described as “</w:t>
            </w:r>
            <w:r w:rsidRPr="008600E0">
              <w:rPr>
                <w:rFonts w:eastAsia="MS Mincho"/>
                <w:color w:val="000000"/>
                <w:sz w:val="22"/>
                <w:szCs w:val="22"/>
                <w:lang w:val="en-US"/>
              </w:rPr>
              <w:t>stable”</w:t>
            </w:r>
            <w:r>
              <w:rPr>
                <w:rFonts w:eastAsia="MS Mincho"/>
                <w:color w:val="000000"/>
                <w:sz w:val="22"/>
                <w:szCs w:val="22"/>
                <w:lang w:val="en-US"/>
              </w:rPr>
              <w:t>.</w:t>
            </w:r>
          </w:p>
          <w:p w14:paraId="59E92172" w14:textId="77777777" w:rsidR="006B3F46" w:rsidRPr="00FC049E" w:rsidRDefault="006B3F46" w:rsidP="00907941">
            <w:pPr>
              <w:widowControl w:val="0"/>
              <w:autoSpaceDE w:val="0"/>
              <w:autoSpaceDN w:val="0"/>
              <w:adjustRightInd w:val="0"/>
              <w:jc w:val="both"/>
              <w:rPr>
                <w:rFonts w:eastAsia="MS Mincho"/>
                <w:b/>
                <w:bCs/>
                <w:color w:val="000000"/>
                <w:sz w:val="22"/>
                <w:szCs w:val="22"/>
                <w:lang w:val="en-US"/>
              </w:rPr>
            </w:pPr>
          </w:p>
        </w:tc>
      </w:tr>
      <w:tr w:rsidR="006B3F46" w:rsidRPr="00FC049E" w14:paraId="192AEAAC" w14:textId="77777777" w:rsidTr="00907941">
        <w:tc>
          <w:tcPr>
            <w:tcW w:w="779" w:type="pct"/>
            <w:shd w:val="clear" w:color="auto" w:fill="auto"/>
          </w:tcPr>
          <w:p w14:paraId="3DC68988"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r w:rsidRPr="00FC049E">
              <w:rPr>
                <w:rFonts w:eastAsia="MS Mincho"/>
                <w:b/>
                <w:bCs/>
                <w:color w:val="000000"/>
                <w:sz w:val="22"/>
                <w:szCs w:val="22"/>
                <w:lang w:val="en-US"/>
              </w:rPr>
              <w:t>Vulnerability, fragility, sensitivity, or slow recovery</w:t>
            </w:r>
          </w:p>
        </w:tc>
        <w:tc>
          <w:tcPr>
            <w:tcW w:w="2280" w:type="pct"/>
            <w:shd w:val="clear" w:color="auto" w:fill="auto"/>
          </w:tcPr>
          <w:p w14:paraId="0496FE60" w14:textId="77777777" w:rsidR="006B3F46" w:rsidRPr="00FC049E" w:rsidRDefault="006B3F46" w:rsidP="00907941">
            <w:pPr>
              <w:widowControl w:val="0"/>
              <w:autoSpaceDE w:val="0"/>
              <w:autoSpaceDN w:val="0"/>
              <w:adjustRightInd w:val="0"/>
              <w:rPr>
                <w:rFonts w:eastAsia="MS Mincho"/>
                <w:bCs/>
                <w:color w:val="000000"/>
                <w:sz w:val="22"/>
                <w:szCs w:val="22"/>
                <w:lang w:val="en-US"/>
              </w:rPr>
            </w:pPr>
            <w:r w:rsidRPr="00FC049E">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2FA965CB" w14:textId="77777777" w:rsidR="006B3F46" w:rsidRPr="00FC049E"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10B2EA13" w14:textId="77777777" w:rsidR="006B3F46" w:rsidRPr="00FC049E" w:rsidRDefault="006B3F46" w:rsidP="00907941">
            <w:pPr>
              <w:widowControl w:val="0"/>
              <w:autoSpaceDE w:val="0"/>
              <w:autoSpaceDN w:val="0"/>
              <w:adjustRightInd w:val="0"/>
              <w:jc w:val="center"/>
              <w:rPr>
                <w:rFonts w:eastAsia="MS Mincho"/>
                <w:bCs/>
                <w:color w:val="000000"/>
                <w:sz w:val="22"/>
                <w:szCs w:val="22"/>
                <w:lang w:val="en-US"/>
              </w:rPr>
            </w:pPr>
            <w:r w:rsidRPr="00FC049E">
              <w:rPr>
                <w:rFonts w:eastAsia="MS Mincho"/>
                <w:bCs/>
                <w:color w:val="000000"/>
                <w:sz w:val="22"/>
                <w:szCs w:val="22"/>
                <w:lang w:val="en-US"/>
              </w:rPr>
              <w:t>X</w:t>
            </w:r>
          </w:p>
        </w:tc>
        <w:tc>
          <w:tcPr>
            <w:tcW w:w="411" w:type="pct"/>
            <w:gridSpan w:val="2"/>
            <w:shd w:val="clear" w:color="auto" w:fill="auto"/>
          </w:tcPr>
          <w:p w14:paraId="3ACA9FC3" w14:textId="77777777" w:rsidR="006B3F46" w:rsidRPr="00FC049E"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0A5FD2E9" w14:textId="77777777" w:rsidR="006B3F46" w:rsidRPr="00FC049E"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FC049E" w14:paraId="22796887" w14:textId="77777777" w:rsidTr="00907941">
        <w:tc>
          <w:tcPr>
            <w:tcW w:w="5000" w:type="pct"/>
            <w:gridSpan w:val="11"/>
            <w:shd w:val="clear" w:color="auto" w:fill="auto"/>
          </w:tcPr>
          <w:p w14:paraId="1E797A8A" w14:textId="77777777" w:rsidR="006B3F46" w:rsidRPr="00FC049E" w:rsidRDefault="006B3F46" w:rsidP="00907941">
            <w:pPr>
              <w:widowControl w:val="0"/>
              <w:autoSpaceDE w:val="0"/>
              <w:autoSpaceDN w:val="0"/>
              <w:adjustRightInd w:val="0"/>
              <w:rPr>
                <w:rFonts w:eastAsia="MS Mincho"/>
                <w:i/>
                <w:color w:val="000000"/>
                <w:sz w:val="22"/>
                <w:szCs w:val="22"/>
                <w:lang w:val="en-US"/>
              </w:rPr>
            </w:pPr>
            <w:r w:rsidRPr="00FC049E">
              <w:rPr>
                <w:rFonts w:eastAsia="MS Mincho"/>
                <w:i/>
                <w:color w:val="000000"/>
                <w:sz w:val="22"/>
                <w:szCs w:val="22"/>
                <w:lang w:val="en-US"/>
              </w:rPr>
              <w:t>Explanation for ranking</w:t>
            </w:r>
          </w:p>
          <w:p w14:paraId="355EC07F" w14:textId="77777777" w:rsidR="006B3F46" w:rsidRPr="00FC049E" w:rsidRDefault="006B3F46" w:rsidP="00907941">
            <w:pPr>
              <w:widowControl w:val="0"/>
              <w:autoSpaceDE w:val="0"/>
              <w:autoSpaceDN w:val="0"/>
              <w:adjustRightInd w:val="0"/>
              <w:rPr>
                <w:rFonts w:eastAsia="MS Mincho"/>
                <w:color w:val="000000"/>
                <w:sz w:val="22"/>
                <w:szCs w:val="22"/>
                <w:lang w:val="en-US"/>
              </w:rPr>
            </w:pPr>
            <w:r w:rsidRPr="00FC049E">
              <w:rPr>
                <w:rFonts w:eastAsia="MS Mincho"/>
                <w:color w:val="000000"/>
                <w:sz w:val="22"/>
                <w:szCs w:val="22"/>
                <w:lang w:val="en-US"/>
              </w:rPr>
              <w:t>Fulmars are a “tubenose” species (</w:t>
            </w:r>
            <w:r w:rsidRPr="00FC049E">
              <w:rPr>
                <w:rFonts w:eastAsia="MS Mincho"/>
                <w:i/>
                <w:color w:val="000000"/>
                <w:sz w:val="22"/>
                <w:szCs w:val="22"/>
                <w:lang w:val="en-US"/>
              </w:rPr>
              <w:t>Procelariiformes)</w:t>
            </w:r>
            <w:r w:rsidRPr="00FC049E">
              <w:rPr>
                <w:rFonts w:eastAsia="MS Mincho"/>
                <w:color w:val="000000"/>
                <w:sz w:val="22"/>
                <w:szCs w:val="22"/>
                <w:lang w:val="en-US"/>
              </w:rPr>
              <w:t xml:space="preserve">, characterized by longevity, low reproduction rate and fecundity as well as late maturity. </w:t>
            </w:r>
          </w:p>
          <w:p w14:paraId="0F0BA31A" w14:textId="77777777" w:rsidR="006B3F46" w:rsidRPr="00FC049E" w:rsidRDefault="006B3F46" w:rsidP="00907941">
            <w:pPr>
              <w:widowControl w:val="0"/>
              <w:autoSpaceDE w:val="0"/>
              <w:autoSpaceDN w:val="0"/>
              <w:adjustRightInd w:val="0"/>
              <w:rPr>
                <w:rFonts w:eastAsia="MS Mincho"/>
                <w:color w:val="000000"/>
                <w:sz w:val="22"/>
                <w:szCs w:val="22"/>
                <w:lang w:val="en-US"/>
              </w:rPr>
            </w:pPr>
          </w:p>
          <w:p w14:paraId="4C7CE38D" w14:textId="77777777" w:rsidR="006B3F46" w:rsidRPr="00FC049E" w:rsidRDefault="006B3F46" w:rsidP="00907941">
            <w:pPr>
              <w:widowControl w:val="0"/>
              <w:autoSpaceDE w:val="0"/>
              <w:autoSpaceDN w:val="0"/>
              <w:adjustRightInd w:val="0"/>
              <w:rPr>
                <w:rFonts w:eastAsia="MS Mincho"/>
                <w:color w:val="000000"/>
                <w:sz w:val="22"/>
                <w:szCs w:val="22"/>
                <w:lang w:val="en-US"/>
              </w:rPr>
            </w:pPr>
            <w:r w:rsidRPr="00FC049E">
              <w:rPr>
                <w:rFonts w:eastAsia="MS Mincho"/>
                <w:color w:val="000000"/>
                <w:sz w:val="22"/>
                <w:szCs w:val="22"/>
                <w:lang w:val="en-US"/>
              </w:rPr>
              <w:t>Harbour porpoises are vulnerable to human impacts</w:t>
            </w:r>
            <w:r>
              <w:rPr>
                <w:rFonts w:eastAsia="MS Mincho"/>
                <w:color w:val="000000"/>
                <w:sz w:val="22"/>
                <w:szCs w:val="22"/>
                <w:lang w:val="en-US"/>
              </w:rPr>
              <w:t>,</w:t>
            </w:r>
            <w:r w:rsidRPr="00FC049E">
              <w:rPr>
                <w:rFonts w:eastAsia="MS Mincho"/>
                <w:color w:val="000000"/>
                <w:sz w:val="22"/>
                <w:szCs w:val="22"/>
                <w:lang w:val="en-US"/>
              </w:rPr>
              <w:t xml:space="preserve"> such as by-catch in fishing gear and noise</w:t>
            </w:r>
            <w:r>
              <w:rPr>
                <w:rFonts w:eastAsia="MS Mincho"/>
                <w:color w:val="000000"/>
                <w:sz w:val="22"/>
                <w:szCs w:val="22"/>
                <w:lang w:val="en-US"/>
              </w:rPr>
              <w:t xml:space="preserve"> </w:t>
            </w:r>
            <w:r w:rsidRPr="00F66EF7">
              <w:rPr>
                <w:rFonts w:eastAsia="MS Mincho"/>
                <w:color w:val="000000"/>
                <w:sz w:val="22"/>
                <w:szCs w:val="22"/>
                <w:lang w:val="en-US"/>
              </w:rPr>
              <w:t xml:space="preserve">(Vinther and Larsen 2004; Bjorge </w:t>
            </w:r>
            <w:r w:rsidRPr="0006066A">
              <w:rPr>
                <w:rFonts w:eastAsia="MS Mincho"/>
                <w:i/>
                <w:color w:val="000000"/>
                <w:sz w:val="22"/>
                <w:szCs w:val="22"/>
                <w:lang w:val="en-US"/>
              </w:rPr>
              <w:t>et al</w:t>
            </w:r>
            <w:r w:rsidRPr="00F66EF7">
              <w:rPr>
                <w:rFonts w:eastAsia="MS Mincho"/>
                <w:color w:val="000000"/>
                <w:sz w:val="22"/>
                <w:szCs w:val="22"/>
                <w:lang w:val="en-US"/>
              </w:rPr>
              <w:t>. 2013)</w:t>
            </w:r>
            <w:r w:rsidRPr="009978E3">
              <w:rPr>
                <w:rFonts w:eastAsia="MS Mincho"/>
                <w:color w:val="000000"/>
                <w:sz w:val="22"/>
                <w:szCs w:val="22"/>
                <w:lang w:val="en-US"/>
              </w:rPr>
              <w:t>.</w:t>
            </w:r>
          </w:p>
          <w:p w14:paraId="6E328085" w14:textId="77777777" w:rsidR="006B3F46" w:rsidRPr="00FC049E"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3CAFFF9F" w14:textId="77777777" w:rsidTr="00907941">
        <w:tc>
          <w:tcPr>
            <w:tcW w:w="779" w:type="pct"/>
            <w:shd w:val="clear" w:color="auto" w:fill="auto"/>
          </w:tcPr>
          <w:p w14:paraId="26ABC069"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80" w:type="pct"/>
            <w:shd w:val="clear" w:color="auto" w:fill="auto"/>
          </w:tcPr>
          <w:p w14:paraId="26014CEB" w14:textId="77777777" w:rsidR="006B3F46" w:rsidRPr="0021277B" w:rsidRDefault="006B3F46" w:rsidP="00907941">
            <w:pPr>
              <w:widowControl w:val="0"/>
              <w:autoSpaceDE w:val="0"/>
              <w:autoSpaceDN w:val="0"/>
              <w:adjustRightInd w:val="0"/>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1AF0A5D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1D180EF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F02E0F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6C7E19C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500E3B1E" w14:textId="77777777" w:rsidTr="00907941">
        <w:tc>
          <w:tcPr>
            <w:tcW w:w="5000" w:type="pct"/>
            <w:gridSpan w:val="11"/>
            <w:shd w:val="clear" w:color="auto" w:fill="auto"/>
          </w:tcPr>
          <w:p w14:paraId="46EE5B3E"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412F2341"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Productivity is very high</w:t>
            </w:r>
            <w:r>
              <w:rPr>
                <w:rFonts w:eastAsia="MS Mincho"/>
                <w:color w:val="000000"/>
                <w:sz w:val="22"/>
                <w:szCs w:val="22"/>
                <w:lang w:val="en-US"/>
              </w:rPr>
              <w:t xml:space="preserve"> as a result of</w:t>
            </w:r>
            <w:r w:rsidRPr="0021277B">
              <w:rPr>
                <w:rFonts w:eastAsia="MS Mincho"/>
                <w:color w:val="000000"/>
                <w:sz w:val="22"/>
                <w:szCs w:val="22"/>
                <w:lang w:val="en-US"/>
              </w:rPr>
              <w:t xml:space="preserve"> the upwelling zone along the edge of the Norwegian Trench (Nielsen </w:t>
            </w:r>
            <w:r w:rsidRPr="0006066A">
              <w:rPr>
                <w:rFonts w:eastAsia="MS Mincho"/>
                <w:i/>
                <w:color w:val="000000"/>
                <w:sz w:val="22"/>
                <w:szCs w:val="22"/>
                <w:lang w:val="en-US"/>
              </w:rPr>
              <w:t>et al</w:t>
            </w:r>
            <w:r w:rsidRPr="0021277B">
              <w:rPr>
                <w:rFonts w:eastAsia="MS Mincho"/>
                <w:color w:val="000000"/>
                <w:sz w:val="22"/>
                <w:szCs w:val="22"/>
                <w:lang w:val="en-US"/>
              </w:rPr>
              <w:t>. 1993, Josefson and Conley, 1997).</w:t>
            </w:r>
          </w:p>
          <w:p w14:paraId="48684443" w14:textId="77777777" w:rsidR="006B3F46" w:rsidRPr="0021277B" w:rsidRDefault="006B3F46" w:rsidP="00907941">
            <w:pPr>
              <w:widowControl w:val="0"/>
              <w:autoSpaceDE w:val="0"/>
              <w:autoSpaceDN w:val="0"/>
              <w:adjustRightInd w:val="0"/>
              <w:jc w:val="both"/>
              <w:rPr>
                <w:rFonts w:eastAsia="MS Mincho"/>
                <w:color w:val="000000"/>
                <w:sz w:val="22"/>
                <w:szCs w:val="22"/>
              </w:rPr>
            </w:pPr>
          </w:p>
          <w:p w14:paraId="630F9B66" w14:textId="77777777" w:rsidR="006B3F46" w:rsidRPr="0021277B" w:rsidRDefault="006B3F46" w:rsidP="00907941">
            <w:pPr>
              <w:widowControl w:val="0"/>
              <w:autoSpaceDE w:val="0"/>
              <w:autoSpaceDN w:val="0"/>
              <w:adjustRightInd w:val="0"/>
              <w:jc w:val="both"/>
              <w:rPr>
                <w:rFonts w:eastAsia="MS Mincho"/>
                <w:color w:val="000000"/>
                <w:sz w:val="22"/>
                <w:szCs w:val="22"/>
              </w:rPr>
            </w:pPr>
            <w:r w:rsidRPr="0021277B">
              <w:rPr>
                <w:rFonts w:eastAsia="MS Mincho"/>
                <w:color w:val="000000"/>
                <w:sz w:val="22"/>
                <w:szCs w:val="22"/>
              </w:rPr>
              <w:t xml:space="preserve">Schooling fish and predator species occurring in tight aggregations and specializing on schooling fish are observed along the front (Krause </w:t>
            </w:r>
            <w:r w:rsidRPr="0006066A">
              <w:rPr>
                <w:rFonts w:eastAsia="MS Mincho"/>
                <w:i/>
                <w:color w:val="000000"/>
                <w:sz w:val="22"/>
                <w:szCs w:val="22"/>
              </w:rPr>
              <w:t>et al</w:t>
            </w:r>
            <w:r w:rsidRPr="0021277B">
              <w:rPr>
                <w:rFonts w:eastAsia="MS Mincho"/>
                <w:color w:val="000000"/>
                <w:sz w:val="22"/>
                <w:szCs w:val="22"/>
              </w:rPr>
              <w:t>. 1986</w:t>
            </w:r>
            <w:r>
              <w:rPr>
                <w:rFonts w:eastAsia="MS Mincho"/>
                <w:color w:val="000000"/>
                <w:sz w:val="22"/>
                <w:szCs w:val="22"/>
              </w:rPr>
              <w:t>;</w:t>
            </w:r>
            <w:r w:rsidRPr="0021277B">
              <w:rPr>
                <w:rFonts w:eastAsia="MS Mincho"/>
                <w:color w:val="000000"/>
                <w:sz w:val="22"/>
                <w:szCs w:val="22"/>
              </w:rPr>
              <w:t xml:space="preserve"> Munk 1993</w:t>
            </w:r>
            <w:r>
              <w:rPr>
                <w:rFonts w:eastAsia="MS Mincho"/>
                <w:color w:val="000000"/>
                <w:sz w:val="22"/>
                <w:szCs w:val="22"/>
              </w:rPr>
              <w:t>;</w:t>
            </w:r>
            <w:r w:rsidRPr="0021277B">
              <w:rPr>
                <w:rFonts w:eastAsia="MS Mincho"/>
                <w:color w:val="000000"/>
                <w:sz w:val="22"/>
                <w:szCs w:val="22"/>
              </w:rPr>
              <w:t xml:space="preserve"> Stone </w:t>
            </w:r>
            <w:r w:rsidRPr="0006066A">
              <w:rPr>
                <w:rFonts w:eastAsia="MS Mincho"/>
                <w:i/>
                <w:color w:val="000000"/>
                <w:sz w:val="22"/>
                <w:szCs w:val="22"/>
              </w:rPr>
              <w:t>et al</w:t>
            </w:r>
            <w:r w:rsidRPr="0021277B">
              <w:rPr>
                <w:rFonts w:eastAsia="MS Mincho"/>
                <w:color w:val="000000"/>
                <w:sz w:val="22"/>
                <w:szCs w:val="22"/>
              </w:rPr>
              <w:t xml:space="preserve">. 1995,). In the Skagerrak region, the productivity front has a profound influence on the distribution of nursery areas for several gadoid fishes (Munk </w:t>
            </w:r>
            <w:r w:rsidRPr="0006066A">
              <w:rPr>
                <w:rFonts w:eastAsia="MS Mincho"/>
                <w:i/>
                <w:color w:val="000000"/>
                <w:sz w:val="22"/>
                <w:szCs w:val="22"/>
              </w:rPr>
              <w:t>et al</w:t>
            </w:r>
            <w:r w:rsidRPr="0021277B">
              <w:rPr>
                <w:rFonts w:eastAsia="MS Mincho"/>
                <w:color w:val="000000"/>
                <w:sz w:val="22"/>
                <w:szCs w:val="22"/>
              </w:rPr>
              <w:t>. 1999). Catch rates of several demersal and pelagic species</w:t>
            </w:r>
            <w:r w:rsidRPr="00B3373B">
              <w:rPr>
                <w:rFonts w:eastAsia="MS Mincho"/>
                <w:color w:val="000000"/>
                <w:sz w:val="22"/>
                <w:szCs w:val="22"/>
              </w:rPr>
              <w:t xml:space="preserve"> in the area</w:t>
            </w:r>
            <w:r w:rsidRPr="0021277B">
              <w:rPr>
                <w:rFonts w:eastAsia="MS Mincho"/>
                <w:color w:val="000000"/>
                <w:sz w:val="22"/>
                <w:szCs w:val="22"/>
              </w:rPr>
              <w:t>, both in research vessel surveys and commercial fisheries</w:t>
            </w:r>
            <w:r>
              <w:rPr>
                <w:rFonts w:eastAsia="MS Mincho"/>
                <w:color w:val="000000"/>
                <w:sz w:val="22"/>
                <w:szCs w:val="22"/>
              </w:rPr>
              <w:t>,</w:t>
            </w:r>
            <w:r w:rsidRPr="0021277B">
              <w:rPr>
                <w:rFonts w:eastAsia="MS Mincho"/>
                <w:color w:val="000000"/>
                <w:sz w:val="22"/>
                <w:szCs w:val="22"/>
              </w:rPr>
              <w:t xml:space="preserve"> are very high (Edelvang </w:t>
            </w:r>
            <w:r w:rsidRPr="0006066A">
              <w:rPr>
                <w:rFonts w:eastAsia="MS Mincho"/>
                <w:i/>
                <w:color w:val="000000"/>
                <w:sz w:val="22"/>
                <w:szCs w:val="22"/>
              </w:rPr>
              <w:t>et al</w:t>
            </w:r>
            <w:r>
              <w:rPr>
                <w:rFonts w:eastAsia="MS Mincho"/>
                <w:color w:val="000000"/>
                <w:sz w:val="22"/>
                <w:szCs w:val="22"/>
              </w:rPr>
              <w:t>.</w:t>
            </w:r>
            <w:r w:rsidRPr="0021277B">
              <w:rPr>
                <w:rFonts w:eastAsia="MS Mincho"/>
                <w:color w:val="000000"/>
                <w:sz w:val="22"/>
                <w:szCs w:val="22"/>
              </w:rPr>
              <w:t xml:space="preserve"> 2017</w:t>
            </w:r>
            <w:r>
              <w:rPr>
                <w:rFonts w:eastAsia="MS Mincho"/>
                <w:color w:val="000000"/>
                <w:sz w:val="22"/>
                <w:szCs w:val="22"/>
              </w:rPr>
              <w:t>a</w:t>
            </w:r>
            <w:r w:rsidRPr="0021277B">
              <w:rPr>
                <w:rFonts w:eastAsia="MS Mincho"/>
                <w:color w:val="000000"/>
                <w:sz w:val="22"/>
                <w:szCs w:val="22"/>
              </w:rPr>
              <w:t>).</w:t>
            </w:r>
          </w:p>
          <w:p w14:paraId="68C988D2" w14:textId="77777777" w:rsidR="006B3F46" w:rsidRPr="0021277B" w:rsidRDefault="006B3F46" w:rsidP="00907941">
            <w:pPr>
              <w:widowControl w:val="0"/>
              <w:autoSpaceDE w:val="0"/>
              <w:autoSpaceDN w:val="0"/>
              <w:adjustRightInd w:val="0"/>
              <w:jc w:val="both"/>
              <w:rPr>
                <w:rFonts w:eastAsia="MS Mincho"/>
                <w:color w:val="000000"/>
                <w:sz w:val="22"/>
                <w:szCs w:val="22"/>
              </w:rPr>
            </w:pPr>
          </w:p>
          <w:p w14:paraId="1692C84B" w14:textId="77777777" w:rsidR="006B3F46"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color w:val="000000"/>
                <w:sz w:val="22"/>
                <w:szCs w:val="22"/>
              </w:rPr>
              <w:t xml:space="preserve">The recovery of the </w:t>
            </w:r>
            <w:r>
              <w:rPr>
                <w:rFonts w:eastAsia="MS Mincho"/>
                <w:color w:val="000000"/>
                <w:sz w:val="22"/>
                <w:szCs w:val="22"/>
              </w:rPr>
              <w:t>b</w:t>
            </w:r>
            <w:r w:rsidRPr="0021277B">
              <w:rPr>
                <w:rFonts w:eastAsia="MS Mincho"/>
                <w:color w:val="000000"/>
                <w:sz w:val="22"/>
                <w:szCs w:val="22"/>
              </w:rPr>
              <w:t xml:space="preserve">lue-fin </w:t>
            </w:r>
            <w:r>
              <w:rPr>
                <w:rFonts w:eastAsia="MS Mincho"/>
                <w:color w:val="000000"/>
                <w:sz w:val="22"/>
                <w:szCs w:val="22"/>
              </w:rPr>
              <w:t>t</w:t>
            </w:r>
            <w:r w:rsidRPr="0021277B">
              <w:rPr>
                <w:rFonts w:eastAsia="MS Mincho"/>
                <w:color w:val="000000"/>
                <w:sz w:val="22"/>
                <w:szCs w:val="22"/>
              </w:rPr>
              <w:t>una stock now results in frequent sightings of the species, primarily in the North Sea but also in Skagerrak and Kattegat (</w:t>
            </w:r>
            <w:r w:rsidRPr="00F66EF7">
              <w:rPr>
                <w:color w:val="000000"/>
                <w:sz w:val="22"/>
                <w:szCs w:val="22"/>
              </w:rPr>
              <w:t>Boge 2019</w:t>
            </w:r>
            <w:r w:rsidRPr="0021277B">
              <w:rPr>
                <w:rFonts w:eastAsia="MS Mincho"/>
                <w:bCs/>
                <w:color w:val="000000"/>
                <w:sz w:val="22"/>
                <w:szCs w:val="22"/>
                <w:lang w:val="en-US"/>
              </w:rPr>
              <w:t>).</w:t>
            </w:r>
          </w:p>
          <w:p w14:paraId="181A9D38"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3CBAA483" w14:textId="77777777" w:rsidTr="00907941">
        <w:tc>
          <w:tcPr>
            <w:tcW w:w="779" w:type="pct"/>
            <w:shd w:val="clear" w:color="auto" w:fill="auto"/>
          </w:tcPr>
          <w:p w14:paraId="4CFEDC9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bookmarkStart w:id="10" w:name="_Hlk21599902"/>
            <w:r w:rsidRPr="0021277B">
              <w:rPr>
                <w:rFonts w:eastAsia="MS Mincho"/>
                <w:b/>
                <w:bCs/>
                <w:color w:val="000000"/>
                <w:sz w:val="22"/>
                <w:szCs w:val="22"/>
                <w:lang w:val="en-US"/>
              </w:rPr>
              <w:t>Biological diversity</w:t>
            </w:r>
          </w:p>
        </w:tc>
        <w:tc>
          <w:tcPr>
            <w:tcW w:w="2280" w:type="pct"/>
            <w:shd w:val="clear" w:color="auto" w:fill="auto"/>
          </w:tcPr>
          <w:p w14:paraId="68608B61"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5ACFE6D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74D8E2A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F7C4B94"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6" w:type="pct"/>
            <w:gridSpan w:val="2"/>
            <w:shd w:val="clear" w:color="auto" w:fill="auto"/>
          </w:tcPr>
          <w:p w14:paraId="1E6C530C" w14:textId="77777777" w:rsidR="006B3F46" w:rsidRPr="0021277B" w:rsidRDefault="006B3F46" w:rsidP="00907941">
            <w:pPr>
              <w:widowControl w:val="0"/>
              <w:autoSpaceDE w:val="0"/>
              <w:autoSpaceDN w:val="0"/>
              <w:adjustRightInd w:val="0"/>
              <w:jc w:val="center"/>
              <w:rPr>
                <w:rFonts w:eastAsia="MS Mincho"/>
                <w:sz w:val="22"/>
                <w:szCs w:val="22"/>
                <w:lang w:val="en-US"/>
              </w:rPr>
            </w:pPr>
          </w:p>
        </w:tc>
      </w:tr>
      <w:tr w:rsidR="006B3F46" w:rsidRPr="0021277B" w14:paraId="561C88F8" w14:textId="77777777" w:rsidTr="00907941">
        <w:tc>
          <w:tcPr>
            <w:tcW w:w="5000" w:type="pct"/>
            <w:gridSpan w:val="11"/>
            <w:shd w:val="clear" w:color="auto" w:fill="auto"/>
          </w:tcPr>
          <w:p w14:paraId="5F46156C"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1EB0B64A"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sz w:val="22"/>
                <w:szCs w:val="22"/>
              </w:rPr>
              <w:t xml:space="preserve">Although infauna, hardbottom, phyto and zoo plankton communities are poorly investigated, the area is rated as medium due to </w:t>
            </w:r>
            <w:r>
              <w:rPr>
                <w:sz w:val="22"/>
                <w:szCs w:val="22"/>
              </w:rPr>
              <w:t xml:space="preserve">the </w:t>
            </w:r>
            <w:r w:rsidRPr="0021277B">
              <w:rPr>
                <w:sz w:val="22"/>
                <w:szCs w:val="22"/>
              </w:rPr>
              <w:t>presence of birds,</w:t>
            </w:r>
            <w:r w:rsidRPr="0021277B">
              <w:rPr>
                <w:rStyle w:val="apple-converted-space"/>
                <w:sz w:val="22"/>
                <w:szCs w:val="22"/>
              </w:rPr>
              <w:t> </w:t>
            </w:r>
            <w:r w:rsidRPr="0021277B">
              <w:rPr>
                <w:sz w:val="22"/>
                <w:szCs w:val="22"/>
              </w:rPr>
              <w:t>cetaceans and a high fish biodiversity</w:t>
            </w:r>
            <w:r w:rsidRPr="0021277B">
              <w:rPr>
                <w:rStyle w:val="apple-converted-space"/>
                <w:sz w:val="22"/>
                <w:szCs w:val="22"/>
              </w:rPr>
              <w:t> </w:t>
            </w:r>
            <w:r>
              <w:rPr>
                <w:rStyle w:val="apple-converted-space"/>
                <w:sz w:val="22"/>
                <w:szCs w:val="22"/>
              </w:rPr>
              <w:t>(</w:t>
            </w:r>
            <w:r w:rsidRPr="0021277B">
              <w:rPr>
                <w:rFonts w:eastAsia="MS Mincho"/>
                <w:color w:val="000000"/>
                <w:sz w:val="22"/>
                <w:szCs w:val="22"/>
                <w:lang w:val="en-US"/>
              </w:rPr>
              <w:t>Edelvang 2017</w:t>
            </w:r>
            <w:r w:rsidRPr="00F128FB">
              <w:rPr>
                <w:rFonts w:eastAsia="MS Mincho"/>
                <w:color w:val="000000"/>
                <w:sz w:val="22"/>
                <w:szCs w:val="22"/>
                <w:lang w:val="en-US"/>
              </w:rPr>
              <w:t>a; Daan</w:t>
            </w:r>
            <w:r w:rsidRPr="0021277B">
              <w:rPr>
                <w:rFonts w:eastAsia="MS Mincho"/>
                <w:color w:val="000000"/>
                <w:sz w:val="22"/>
                <w:szCs w:val="22"/>
                <w:lang w:val="en-US"/>
              </w:rPr>
              <w:t xml:space="preserve"> </w:t>
            </w:r>
            <w:r w:rsidRPr="00F128FB">
              <w:rPr>
                <w:rFonts w:eastAsia="MS Mincho"/>
                <w:color w:val="000000"/>
                <w:sz w:val="22"/>
                <w:szCs w:val="22"/>
                <w:lang w:val="en-US"/>
              </w:rPr>
              <w:t>2006).</w:t>
            </w:r>
          </w:p>
          <w:p w14:paraId="7C4DF77E"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r>
      <w:tr w:rsidR="006B3F46" w:rsidRPr="0021277B" w14:paraId="7C60D971" w14:textId="77777777" w:rsidTr="00907941">
        <w:tc>
          <w:tcPr>
            <w:tcW w:w="783" w:type="pct"/>
            <w:shd w:val="clear" w:color="auto" w:fill="auto"/>
          </w:tcPr>
          <w:p w14:paraId="1FBF7706"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bookmarkStart w:id="11" w:name="_Hlk21526792"/>
            <w:r w:rsidRPr="0021277B">
              <w:rPr>
                <w:rFonts w:eastAsia="MS Mincho"/>
                <w:b/>
                <w:color w:val="000000"/>
                <w:sz w:val="22"/>
                <w:szCs w:val="22"/>
                <w:lang w:val="en-US"/>
              </w:rPr>
              <w:t>Naturalness</w:t>
            </w:r>
          </w:p>
        </w:tc>
        <w:tc>
          <w:tcPr>
            <w:tcW w:w="2295" w:type="pct"/>
            <w:gridSpan w:val="2"/>
            <w:shd w:val="clear" w:color="auto" w:fill="auto"/>
          </w:tcPr>
          <w:p w14:paraId="0F45EE5C"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08D5F659"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53" w:type="pct"/>
            <w:gridSpan w:val="2"/>
            <w:shd w:val="clear" w:color="auto" w:fill="auto"/>
          </w:tcPr>
          <w:p w14:paraId="13586D48"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sidRPr="0021277B">
              <w:rPr>
                <w:rFonts w:eastAsia="MS Mincho"/>
                <w:color w:val="000000"/>
                <w:sz w:val="22"/>
                <w:szCs w:val="22"/>
                <w:lang w:val="en-US"/>
              </w:rPr>
              <w:t>X</w:t>
            </w:r>
          </w:p>
        </w:tc>
        <w:tc>
          <w:tcPr>
            <w:tcW w:w="400" w:type="pct"/>
            <w:gridSpan w:val="2"/>
            <w:shd w:val="clear" w:color="auto" w:fill="auto"/>
          </w:tcPr>
          <w:p w14:paraId="4265186E"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385" w:type="pct"/>
            <w:shd w:val="clear" w:color="auto" w:fill="auto"/>
          </w:tcPr>
          <w:p w14:paraId="3B67136C"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4AB4FC97" w14:textId="77777777" w:rsidTr="00907941">
        <w:tc>
          <w:tcPr>
            <w:tcW w:w="5000" w:type="pct"/>
            <w:gridSpan w:val="11"/>
            <w:shd w:val="clear" w:color="auto" w:fill="auto"/>
          </w:tcPr>
          <w:p w14:paraId="2A82C1A2" w14:textId="77777777" w:rsidR="006B3F46"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754B27CF" w14:textId="77777777" w:rsidR="006B3F46" w:rsidRPr="009D5DE2" w:rsidRDefault="006B3F46" w:rsidP="00907941">
            <w:pPr>
              <w:widowControl w:val="0"/>
              <w:autoSpaceDE w:val="0"/>
              <w:autoSpaceDN w:val="0"/>
              <w:adjustRightInd w:val="0"/>
              <w:jc w:val="both"/>
              <w:rPr>
                <w:rFonts w:eastAsia="MS Mincho"/>
                <w:i/>
                <w:color w:val="000000"/>
                <w:sz w:val="22"/>
                <w:szCs w:val="22"/>
                <w:lang w:val="en-US"/>
              </w:rPr>
            </w:pPr>
          </w:p>
          <w:p w14:paraId="5F4326BC" w14:textId="77777777" w:rsidR="006B3F46" w:rsidRPr="0021277B" w:rsidRDefault="006B3F46" w:rsidP="00907941">
            <w:pPr>
              <w:autoSpaceDE w:val="0"/>
              <w:autoSpaceDN w:val="0"/>
              <w:rPr>
                <w:color w:val="000000"/>
                <w:sz w:val="22"/>
                <w:szCs w:val="22"/>
              </w:rPr>
            </w:pPr>
            <w:r w:rsidRPr="0021277B">
              <w:rPr>
                <w:color w:val="000000"/>
                <w:sz w:val="22"/>
                <w:szCs w:val="22"/>
              </w:rPr>
              <w:t xml:space="preserve">This is among the most intensively fished areas in European waters. Catch data for important species are given in Edelvang </w:t>
            </w:r>
            <w:r w:rsidRPr="0006066A">
              <w:rPr>
                <w:i/>
                <w:color w:val="000000"/>
                <w:sz w:val="22"/>
                <w:szCs w:val="22"/>
              </w:rPr>
              <w:t>et al</w:t>
            </w:r>
            <w:r w:rsidRPr="0021277B">
              <w:rPr>
                <w:color w:val="000000"/>
                <w:sz w:val="22"/>
                <w:szCs w:val="22"/>
              </w:rPr>
              <w:t>. 2017b.  Furthermore</w:t>
            </w:r>
            <w:r>
              <w:rPr>
                <w:color w:val="000000"/>
                <w:sz w:val="22"/>
                <w:szCs w:val="22"/>
              </w:rPr>
              <w:t>,</w:t>
            </w:r>
            <w:r w:rsidRPr="0021277B">
              <w:rPr>
                <w:color w:val="000000"/>
                <w:sz w:val="22"/>
                <w:szCs w:val="22"/>
              </w:rPr>
              <w:t xml:space="preserve"> approximately 70</w:t>
            </w:r>
            <w:r>
              <w:rPr>
                <w:color w:val="000000"/>
                <w:sz w:val="22"/>
                <w:szCs w:val="22"/>
              </w:rPr>
              <w:t>,</w:t>
            </w:r>
            <w:r w:rsidRPr="0021277B">
              <w:rPr>
                <w:color w:val="000000"/>
                <w:sz w:val="22"/>
                <w:szCs w:val="22"/>
              </w:rPr>
              <w:t xml:space="preserve">000 vessels pass through Kattegat yearly and continue out </w:t>
            </w:r>
            <w:r>
              <w:rPr>
                <w:color w:val="000000"/>
                <w:sz w:val="22"/>
                <w:szCs w:val="22"/>
              </w:rPr>
              <w:t>to</w:t>
            </w:r>
            <w:r w:rsidRPr="0021277B">
              <w:rPr>
                <w:color w:val="000000"/>
                <w:sz w:val="22"/>
                <w:szCs w:val="22"/>
              </w:rPr>
              <w:t xml:space="preserve"> Skagerrak, according to the Danish Maritime Authority (</w:t>
            </w:r>
            <w:hyperlink r:id="rId80" w:history="1">
              <w:r w:rsidRPr="0021277B">
                <w:rPr>
                  <w:rStyle w:val="Hyperlink"/>
                  <w:sz w:val="22"/>
                  <w:szCs w:val="22"/>
                </w:rPr>
                <w:t>https://www.soefartsstyrelsen.dk/Presse/Nyheder/Sider/Sejladssikkerheden_i_Kattegat_og_Skagerrak_forbedres_frem_mod_2020.aspx</w:t>
              </w:r>
            </w:hyperlink>
            <w:r w:rsidRPr="0021277B">
              <w:rPr>
                <w:color w:val="000000"/>
                <w:sz w:val="22"/>
                <w:szCs w:val="22"/>
              </w:rPr>
              <w:t>)</w:t>
            </w:r>
            <w:r>
              <w:rPr>
                <w:color w:val="000000"/>
                <w:sz w:val="22"/>
                <w:szCs w:val="22"/>
              </w:rPr>
              <w:t xml:space="preserve">. </w:t>
            </w:r>
          </w:p>
          <w:p w14:paraId="2E31E1ED"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tc>
      </w:tr>
      <w:bookmarkEnd w:id="10"/>
      <w:bookmarkEnd w:id="11"/>
    </w:tbl>
    <w:p w14:paraId="1C4B0F3D"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rPr>
      </w:pPr>
    </w:p>
    <w:p w14:paraId="06945D99" w14:textId="77777777" w:rsidR="006B3F46" w:rsidRPr="00F66EF7" w:rsidRDefault="006B3F46" w:rsidP="00907941">
      <w:pPr>
        <w:rPr>
          <w:rFonts w:eastAsia="MS Mincho"/>
          <w:b/>
          <w:sz w:val="22"/>
          <w:szCs w:val="22"/>
          <w:lang w:val="en-US"/>
        </w:rPr>
      </w:pPr>
    </w:p>
    <w:p w14:paraId="04D7602C" w14:textId="77777777" w:rsidR="006B3F46" w:rsidRPr="009978E3" w:rsidRDefault="006B3F46" w:rsidP="00907941">
      <w:pPr>
        <w:ind w:hanging="180"/>
        <w:rPr>
          <w:rFonts w:eastAsia="MS Mincho"/>
          <w:b/>
          <w:sz w:val="22"/>
          <w:szCs w:val="22"/>
          <w:lang w:val="en-US"/>
        </w:rPr>
      </w:pPr>
      <w:r w:rsidRPr="009978E3">
        <w:rPr>
          <w:rFonts w:eastAsia="MS Mincho"/>
          <w:b/>
          <w:sz w:val="22"/>
          <w:szCs w:val="22"/>
          <w:lang w:val="en-US"/>
        </w:rPr>
        <w:t>References</w:t>
      </w:r>
    </w:p>
    <w:p w14:paraId="55912431" w14:textId="77777777" w:rsidR="006B3F46" w:rsidRPr="00CF4095" w:rsidRDefault="006B3F46" w:rsidP="00907941">
      <w:pPr>
        <w:widowControl w:val="0"/>
        <w:autoSpaceDE w:val="0"/>
        <w:autoSpaceDN w:val="0"/>
        <w:adjustRightInd w:val="0"/>
        <w:ind w:left="533" w:hanging="720"/>
        <w:jc w:val="both"/>
        <w:rPr>
          <w:sz w:val="22"/>
          <w:szCs w:val="22"/>
        </w:rPr>
      </w:pPr>
      <w:r w:rsidRPr="0021277B">
        <w:rPr>
          <w:sz w:val="22"/>
          <w:szCs w:val="22"/>
        </w:rPr>
        <w:t xml:space="preserve">BirdLife International (2019). Important Bird Areas factsheet: Skagerrak-Southwest Norwegian trench. Downloaded from </w:t>
      </w:r>
      <w:hyperlink r:id="rId81" w:history="1">
        <w:r w:rsidRPr="0021277B">
          <w:rPr>
            <w:rStyle w:val="Hyperlink"/>
            <w:sz w:val="22"/>
            <w:szCs w:val="22"/>
          </w:rPr>
          <w:t>http://datazone.birdlife.org/site/factsheet/skagerrak-southwest-norwegian-trench-iba-denmark on 27/09/2019</w:t>
        </w:r>
      </w:hyperlink>
      <w:r w:rsidRPr="0021277B">
        <w:rPr>
          <w:sz w:val="22"/>
          <w:szCs w:val="22"/>
        </w:rPr>
        <w:t>.Boge, E. 2019. The return of the Atlantic bluefin tuna to Norwegian waters. - Master thesis in Fisheries Biology and Management, Department of Biological Sciences University of Bergen. 84 pp</w:t>
      </w:r>
    </w:p>
    <w:p w14:paraId="3C264C16" w14:textId="77777777" w:rsidR="006B3F46" w:rsidRPr="0021277B" w:rsidRDefault="006B3F46" w:rsidP="00907941">
      <w:pPr>
        <w:widowControl w:val="0"/>
        <w:autoSpaceDE w:val="0"/>
        <w:autoSpaceDN w:val="0"/>
        <w:adjustRightInd w:val="0"/>
        <w:ind w:left="533" w:hanging="720"/>
        <w:jc w:val="both"/>
        <w:rPr>
          <w:sz w:val="22"/>
          <w:szCs w:val="22"/>
        </w:rPr>
      </w:pPr>
      <w:r w:rsidRPr="00CF4095">
        <w:rPr>
          <w:sz w:val="22"/>
          <w:szCs w:val="22"/>
        </w:rPr>
        <w:t>Bjørge, A. Skern-Mauritzen, M. and Rossman, M. C.</w:t>
      </w:r>
      <w:r w:rsidRPr="00C63A53">
        <w:rPr>
          <w:sz w:val="22"/>
          <w:szCs w:val="22"/>
        </w:rPr>
        <w:t xml:space="preserve"> </w:t>
      </w:r>
      <w:r w:rsidRPr="0021277B">
        <w:rPr>
          <w:sz w:val="22"/>
          <w:szCs w:val="22"/>
        </w:rPr>
        <w:t xml:space="preserve">2013. </w:t>
      </w:r>
      <w:r w:rsidRPr="00CF4095">
        <w:rPr>
          <w:sz w:val="22"/>
          <w:szCs w:val="22"/>
        </w:rPr>
        <w:t>Estimated bycatch of harbour porpoise (</w:t>
      </w:r>
      <w:r w:rsidRPr="0021277B">
        <w:rPr>
          <w:i/>
          <w:sz w:val="22"/>
          <w:szCs w:val="22"/>
        </w:rPr>
        <w:t>Phocoena phocoena</w:t>
      </w:r>
      <w:r w:rsidRPr="00CF4095">
        <w:rPr>
          <w:sz w:val="22"/>
          <w:szCs w:val="22"/>
        </w:rPr>
        <w:t>) in two coastal gillnet fisheries in Norway, 2006–2008. Mitigation and implications for conservation, Biological Conservation, Volume 161.</w:t>
      </w:r>
    </w:p>
    <w:p w14:paraId="2441AB21" w14:textId="77777777" w:rsidR="006B3F46" w:rsidRPr="00F128FB" w:rsidRDefault="006B3F46" w:rsidP="00907941">
      <w:pPr>
        <w:ind w:left="533" w:hanging="720"/>
        <w:jc w:val="both"/>
        <w:rPr>
          <w:rFonts w:eastAsia="MS Mincho"/>
          <w:b/>
          <w:sz w:val="22"/>
          <w:szCs w:val="22"/>
          <w:lang w:val="en-US"/>
        </w:rPr>
      </w:pPr>
      <w:r w:rsidRPr="0021277B">
        <w:rPr>
          <w:sz w:val="22"/>
          <w:szCs w:val="22"/>
          <w:lang w:eastAsia="da-DK"/>
        </w:rPr>
        <w:t>Daan, N. 2006. Spatial and temporal trends in species richness and abundance for the southerly and northerly components of the North Sea fish community separately, based on IBTS data 1977-2005. ICES CM 2006/ D:02</w:t>
      </w:r>
    </w:p>
    <w:p w14:paraId="064EE13E" w14:textId="77777777" w:rsidR="006B3F46" w:rsidRPr="009978E3" w:rsidRDefault="006B3F46" w:rsidP="00907941">
      <w:pPr>
        <w:ind w:left="533" w:hanging="720"/>
        <w:jc w:val="both"/>
        <w:rPr>
          <w:rFonts w:eastAsia="MS Mincho"/>
          <w:bCs/>
          <w:color w:val="000000"/>
          <w:sz w:val="22"/>
          <w:szCs w:val="22"/>
          <w:lang w:val="da-DK"/>
        </w:rPr>
      </w:pPr>
      <w:r w:rsidRPr="009978E3">
        <w:rPr>
          <w:rFonts w:eastAsia="MS Mincho"/>
          <w:bCs/>
          <w:color w:val="000000"/>
          <w:sz w:val="22"/>
          <w:szCs w:val="22"/>
          <w:lang w:val="da-DK"/>
        </w:rPr>
        <w:t>Sveggard, S., Nabe-Nielsen, J. &amp; Teilmann, J. 2018. Marsvins udbredelse og status for de marine habitatområder i danske farvande. Aarhus Universitet, DCE – Nationalt Center for Miljø og Energi, 36 s. - Videnskabelig rapport nr. 284 http://dce2.au.dk/pub/SR284.pdf</w:t>
      </w:r>
    </w:p>
    <w:p w14:paraId="1B23A93E" w14:textId="77777777" w:rsidR="006B3F46" w:rsidRPr="00A06882" w:rsidRDefault="006B3F46" w:rsidP="00907941">
      <w:pPr>
        <w:ind w:left="533" w:hanging="720"/>
        <w:jc w:val="both"/>
        <w:rPr>
          <w:rFonts w:eastAsia="MS Mincho"/>
          <w:bCs/>
          <w:sz w:val="22"/>
          <w:szCs w:val="22"/>
          <w:lang w:val="en-US"/>
        </w:rPr>
      </w:pPr>
      <w:r w:rsidRPr="00A06882">
        <w:rPr>
          <w:rFonts w:eastAsia="MS Mincho"/>
          <w:bCs/>
          <w:color w:val="000000"/>
          <w:sz w:val="22"/>
          <w:szCs w:val="22"/>
          <w:lang w:val="en-US"/>
        </w:rPr>
        <w:t>Edelvang, K., Gislason, H., Bastardie, F., Christensen, A., Egekvist, J., Dahl, K., ... Leth, J. (2017</w:t>
      </w:r>
      <w:r w:rsidRPr="00FA5961">
        <w:rPr>
          <w:rFonts w:eastAsia="MS Mincho"/>
          <w:bCs/>
          <w:color w:val="000000"/>
          <w:sz w:val="22"/>
          <w:szCs w:val="22"/>
          <w:lang w:val="en-US"/>
        </w:rPr>
        <w:t>a). Analysis of marine protected areas – in the Danish part of the North Sea and the Central Baltic around Bornholm: Part 1:</w:t>
      </w:r>
      <w:r w:rsidRPr="0052328D">
        <w:rPr>
          <w:rFonts w:eastAsia="MS Mincho"/>
          <w:bCs/>
          <w:color w:val="000000"/>
          <w:sz w:val="22"/>
          <w:szCs w:val="22"/>
          <w:lang w:val="en-US"/>
        </w:rPr>
        <w:t xml:space="preserve"> The coherence of the present network of MPAs. National Institute of </w:t>
      </w:r>
      <w:r w:rsidRPr="0021277B">
        <w:rPr>
          <w:rFonts w:eastAsia="MS Mincho"/>
          <w:bCs/>
          <w:sz w:val="22"/>
          <w:szCs w:val="22"/>
          <w:lang w:val="en-US"/>
        </w:rPr>
        <w:t>Aquatic Resources, Technical University of Denmark. DTU Aqua Report, No. 325-2017</w:t>
      </w:r>
      <w:r>
        <w:rPr>
          <w:rFonts w:eastAsia="MS Mincho"/>
          <w:bCs/>
          <w:sz w:val="22"/>
          <w:szCs w:val="22"/>
          <w:lang w:val="en-US"/>
        </w:rPr>
        <w:t>.</w:t>
      </w:r>
    </w:p>
    <w:p w14:paraId="42207F52" w14:textId="77777777" w:rsidR="006B3F46" w:rsidRPr="0021277B" w:rsidRDefault="006B3F46" w:rsidP="00907941">
      <w:pPr>
        <w:ind w:left="533" w:hanging="720"/>
        <w:jc w:val="both"/>
        <w:rPr>
          <w:rFonts w:eastAsia="MS Mincho"/>
          <w:bCs/>
          <w:sz w:val="22"/>
          <w:szCs w:val="22"/>
          <w:lang w:val="en-US"/>
        </w:rPr>
      </w:pPr>
      <w:r w:rsidRPr="0021277B">
        <w:rPr>
          <w:sz w:val="22"/>
          <w:szCs w:val="22"/>
        </w:rPr>
        <w:t xml:space="preserve">Edelvang, K., Gislason, H., Bastardie, F., Christensen, A., Egekvist, J., Dahl, K., ... Leth, J. (2017b). </w:t>
      </w:r>
      <w:r w:rsidRPr="0021277B">
        <w:rPr>
          <w:i/>
          <w:iCs/>
          <w:sz w:val="22"/>
          <w:szCs w:val="22"/>
        </w:rPr>
        <w:t>Analysis of marine protected areas – in the Danish part of the North Sea and the Central Baltic around Bornholm: Part 2: Ecological and economic value, human pressures, and MPA selection</w:t>
      </w:r>
      <w:r w:rsidRPr="0021277B">
        <w:rPr>
          <w:sz w:val="22"/>
          <w:szCs w:val="22"/>
        </w:rPr>
        <w:t>. National Institute of Aquatic Resources, Technical University of Denmark. DTU Aqua Report, No. 325-2017</w:t>
      </w:r>
    </w:p>
    <w:p w14:paraId="73C157C9" w14:textId="77777777" w:rsidR="006B3F46" w:rsidRPr="0021277B" w:rsidRDefault="006B3F46" w:rsidP="00907941">
      <w:pPr>
        <w:ind w:left="533" w:hanging="720"/>
        <w:jc w:val="both"/>
        <w:rPr>
          <w:sz w:val="22"/>
          <w:szCs w:val="22"/>
          <w:lang w:val="en-US" w:eastAsia="da-DK"/>
        </w:rPr>
      </w:pPr>
      <w:r w:rsidRPr="0021277B">
        <w:rPr>
          <w:sz w:val="22"/>
          <w:szCs w:val="22"/>
          <w:lang w:eastAsia="da-DK"/>
        </w:rPr>
        <w:t xml:space="preserve">International Council for the Exploration of the Sea. 2010. Fish trawl survey: ICES North Sea International Bottom Trawl Survey for commercial fish species. ICES Database of trawl surveys (DATRAS). Copenhagen.Online source: </w:t>
      </w:r>
      <w:hyperlink r:id="rId82" w:history="1">
        <w:r w:rsidRPr="0021277B">
          <w:rPr>
            <w:rStyle w:val="Hyperlink"/>
            <w:sz w:val="22"/>
            <w:szCs w:val="22"/>
            <w:lang w:eastAsia="da-DK"/>
          </w:rPr>
          <w:t>http://ecosystemdata.ices.dk</w:t>
        </w:r>
      </w:hyperlink>
      <w:r w:rsidRPr="0021277B">
        <w:rPr>
          <w:sz w:val="22"/>
          <w:szCs w:val="22"/>
          <w:lang w:eastAsia="da-DK"/>
        </w:rPr>
        <w:t>.</w:t>
      </w:r>
    </w:p>
    <w:p w14:paraId="5B51A28B" w14:textId="77777777" w:rsidR="006B3F46" w:rsidRPr="009978E3" w:rsidRDefault="006B3F46" w:rsidP="00907941">
      <w:pPr>
        <w:ind w:left="533" w:hanging="720"/>
        <w:jc w:val="both"/>
        <w:rPr>
          <w:rFonts w:eastAsia="MS Mincho"/>
          <w:sz w:val="22"/>
          <w:szCs w:val="22"/>
          <w:lang w:val="da-DK"/>
        </w:rPr>
      </w:pPr>
      <w:r w:rsidRPr="009978E3">
        <w:rPr>
          <w:rFonts w:eastAsia="MS Mincho"/>
          <w:sz w:val="22"/>
          <w:szCs w:val="22"/>
          <w:lang w:val="da-DK"/>
        </w:rPr>
        <w:t xml:space="preserve">Krause, G., Budeus, G, Gerdes, D., Schaumann, K. &amp; K. Hesse 1986. </w:t>
      </w:r>
      <w:r w:rsidRPr="009978E3">
        <w:rPr>
          <w:rFonts w:eastAsia="MS Mincho"/>
          <w:sz w:val="22"/>
          <w:szCs w:val="22"/>
          <w:lang w:val="en-US"/>
        </w:rPr>
        <w:t xml:space="preserve">Frontal systems in the German Bight and their physical and biological effects. Pp 119-141 in: Nihoul, J.C.J. (Ed.). </w:t>
      </w:r>
      <w:r w:rsidRPr="009978E3">
        <w:rPr>
          <w:rFonts w:eastAsia="MS Mincho"/>
          <w:sz w:val="22"/>
          <w:szCs w:val="22"/>
          <w:lang w:val="da-DK"/>
        </w:rPr>
        <w:t>Marine Interfaces</w:t>
      </w:r>
    </w:p>
    <w:p w14:paraId="65D59752" w14:textId="77777777" w:rsidR="006B3F46" w:rsidRPr="009978E3" w:rsidRDefault="006B3F46" w:rsidP="00907941">
      <w:pPr>
        <w:ind w:left="533" w:hanging="720"/>
        <w:jc w:val="both"/>
        <w:rPr>
          <w:rFonts w:eastAsia="MS Mincho"/>
          <w:sz w:val="22"/>
          <w:szCs w:val="22"/>
          <w:lang w:val="en-US"/>
        </w:rPr>
      </w:pPr>
      <w:r w:rsidRPr="009978E3">
        <w:rPr>
          <w:rFonts w:eastAsia="MS Mincho"/>
          <w:sz w:val="22"/>
          <w:szCs w:val="22"/>
          <w:lang w:val="en-US"/>
        </w:rPr>
        <w:t>Ecohydrodynamics. Elsevier Oceanography Series 42, Elsevier, Amsterdam.</w:t>
      </w:r>
    </w:p>
    <w:p w14:paraId="4E1B030C" w14:textId="77777777" w:rsidR="006B3F46" w:rsidRPr="0021277B" w:rsidRDefault="006B3F46" w:rsidP="00907941">
      <w:pPr>
        <w:ind w:left="533" w:hanging="720"/>
        <w:jc w:val="both"/>
        <w:rPr>
          <w:sz w:val="22"/>
          <w:szCs w:val="22"/>
          <w:lang w:eastAsia="da-DK"/>
        </w:rPr>
      </w:pPr>
      <w:r w:rsidRPr="0021277B">
        <w:rPr>
          <w:sz w:val="22"/>
          <w:szCs w:val="22"/>
          <w:lang w:eastAsia="da-DK"/>
        </w:rPr>
        <w:t xml:space="preserve">Heesen, H. J. L., Daan, N and Ellis, J.R. 2015. Fish Atlas of the Celtic Sea, North Sea and Baltic Sea. </w:t>
      </w:r>
      <w:r w:rsidRPr="00B42299">
        <w:rPr>
          <w:sz w:val="22"/>
          <w:szCs w:val="22"/>
          <w:lang w:eastAsia="da-DK"/>
        </w:rPr>
        <w:t>KNNV Publishing, Wageningen Academic Publishers</w:t>
      </w:r>
      <w:r>
        <w:rPr>
          <w:sz w:val="22"/>
          <w:szCs w:val="22"/>
          <w:lang w:eastAsia="da-DK"/>
        </w:rPr>
        <w:t>.</w:t>
      </w:r>
    </w:p>
    <w:p w14:paraId="7D50D087" w14:textId="77777777" w:rsidR="006B3F46" w:rsidRPr="009978E3" w:rsidRDefault="006B3F46" w:rsidP="00907941">
      <w:pPr>
        <w:ind w:left="533" w:hanging="720"/>
        <w:jc w:val="both"/>
        <w:rPr>
          <w:rFonts w:eastAsia="MS Mincho"/>
          <w:sz w:val="22"/>
          <w:szCs w:val="22"/>
          <w:lang w:val="en-US"/>
        </w:rPr>
      </w:pPr>
      <w:r w:rsidRPr="00F66EF7">
        <w:rPr>
          <w:rFonts w:eastAsia="MS Mincho"/>
          <w:sz w:val="22"/>
          <w:szCs w:val="22"/>
          <w:lang w:val="en-US"/>
        </w:rPr>
        <w:t>Munk P. 1993. Differential growth of larval sprat (Sprattus sprattus) across a tidal front in the eastern North</w:t>
      </w:r>
      <w:r w:rsidRPr="009978E3">
        <w:rPr>
          <w:rFonts w:eastAsia="MS Mincho"/>
          <w:sz w:val="22"/>
          <w:szCs w:val="22"/>
          <w:lang w:val="en-US"/>
        </w:rPr>
        <w:t xml:space="preserve"> Sea. Marine Ecology Progress Series 99: 17-29.</w:t>
      </w:r>
    </w:p>
    <w:p w14:paraId="205CBDD6" w14:textId="77777777" w:rsidR="006B3F46" w:rsidRPr="009978E3" w:rsidRDefault="006B3F46" w:rsidP="00907941">
      <w:pPr>
        <w:ind w:left="533" w:hanging="720"/>
        <w:jc w:val="both"/>
        <w:rPr>
          <w:rFonts w:eastAsia="MS Mincho"/>
          <w:sz w:val="22"/>
          <w:szCs w:val="22"/>
          <w:lang w:val="da-DK"/>
        </w:rPr>
      </w:pPr>
      <w:r w:rsidRPr="009978E3">
        <w:rPr>
          <w:rFonts w:eastAsia="MS Mincho"/>
          <w:sz w:val="22"/>
          <w:szCs w:val="22"/>
          <w:lang w:val="en-US"/>
        </w:rPr>
        <w:t xml:space="preserve">Munk, P., Larsson, P.O., Danielsen, D.S. &amp; Moksness, E. 1999. Variability in frontal zone formation and distribution of gadoid fish larvae at the shelf break in the northeastern North Sea. Mar. Ecol. </w:t>
      </w:r>
      <w:r w:rsidRPr="009978E3">
        <w:rPr>
          <w:rFonts w:eastAsia="MS Mincho"/>
          <w:sz w:val="22"/>
          <w:szCs w:val="22"/>
          <w:lang w:val="da-DK"/>
        </w:rPr>
        <w:t>Prog. Ser. 177: 221-233.</w:t>
      </w:r>
    </w:p>
    <w:p w14:paraId="20EB78B6" w14:textId="77777777" w:rsidR="006B3F46" w:rsidRPr="0021277B" w:rsidRDefault="006B3F46" w:rsidP="00907941">
      <w:pPr>
        <w:ind w:left="533" w:hanging="720"/>
        <w:jc w:val="both"/>
        <w:rPr>
          <w:rFonts w:eastAsia="MS Mincho"/>
          <w:color w:val="000000"/>
          <w:sz w:val="22"/>
          <w:szCs w:val="22"/>
          <w:lang w:val="en-US"/>
        </w:rPr>
      </w:pPr>
      <w:bookmarkStart w:id="12" w:name="_Hlk21521891"/>
      <w:r w:rsidRPr="0021277B">
        <w:rPr>
          <w:sz w:val="22"/>
          <w:szCs w:val="22"/>
        </w:rPr>
        <w:t>OSPAR (2008) OSPAR List of Threatened and/or Declining Species and Habitats. Agreement 2008-06. OSPAR Commission 2008.</w:t>
      </w:r>
    </w:p>
    <w:bookmarkEnd w:id="12"/>
    <w:p w14:paraId="048299EA" w14:textId="77777777" w:rsidR="006B3F46" w:rsidRPr="00F66EF7" w:rsidRDefault="006B3F46" w:rsidP="00907941">
      <w:pPr>
        <w:ind w:left="533" w:hanging="720"/>
        <w:jc w:val="both"/>
        <w:rPr>
          <w:rFonts w:eastAsia="MS Mincho"/>
          <w:sz w:val="22"/>
          <w:szCs w:val="22"/>
        </w:rPr>
      </w:pPr>
      <w:r w:rsidRPr="00F930D1">
        <w:rPr>
          <w:rFonts w:eastAsia="MS Mincho"/>
          <w:sz w:val="22"/>
          <w:szCs w:val="22"/>
        </w:rPr>
        <w:t>OSPAR (2013) OSPAR Recommendati</w:t>
      </w:r>
      <w:r w:rsidRPr="00723410">
        <w:rPr>
          <w:rFonts w:eastAsia="MS Mincho"/>
          <w:sz w:val="22"/>
          <w:szCs w:val="22"/>
        </w:rPr>
        <w:t>on 2013/11 on furthering the p</w:t>
      </w:r>
      <w:r w:rsidRPr="003E12BA">
        <w:rPr>
          <w:rFonts w:eastAsia="MS Mincho"/>
          <w:sz w:val="22"/>
          <w:szCs w:val="22"/>
        </w:rPr>
        <w:t>rotection and restoration of the</w:t>
      </w:r>
      <w:r w:rsidRPr="009978E3">
        <w:rPr>
          <w:rFonts w:eastAsia="MS Mincho"/>
          <w:sz w:val="22"/>
          <w:szCs w:val="22"/>
        </w:rPr>
        <w:t xml:space="preserve"> harbour porpoise (</w:t>
      </w:r>
      <w:r w:rsidRPr="0021277B">
        <w:rPr>
          <w:rFonts w:eastAsia="MS Mincho"/>
          <w:i/>
          <w:sz w:val="22"/>
          <w:szCs w:val="22"/>
        </w:rPr>
        <w:t>Phocoena  phocoena</w:t>
      </w:r>
      <w:r w:rsidRPr="00F66EF7">
        <w:rPr>
          <w:rFonts w:eastAsia="MS Mincho"/>
          <w:sz w:val="22"/>
          <w:szCs w:val="22"/>
        </w:rPr>
        <w:t>) in Regions II and III of the OSPAR maritime area.</w:t>
      </w:r>
    </w:p>
    <w:p w14:paraId="2157578A" w14:textId="77777777" w:rsidR="006B3F46" w:rsidRPr="009978E3" w:rsidRDefault="006B3F46" w:rsidP="00907941">
      <w:pPr>
        <w:ind w:left="533" w:hanging="720"/>
        <w:jc w:val="both"/>
        <w:rPr>
          <w:rFonts w:eastAsia="MS Mincho"/>
          <w:sz w:val="22"/>
          <w:szCs w:val="22"/>
          <w:lang w:val="da-DK"/>
        </w:rPr>
      </w:pPr>
      <w:r w:rsidRPr="009978E3">
        <w:rPr>
          <w:rFonts w:eastAsia="MS Mincho"/>
          <w:sz w:val="22"/>
          <w:szCs w:val="22"/>
          <w:u w:val="single"/>
          <w:lang w:val="da-DK"/>
        </w:rPr>
        <w:t xml:space="preserve">Petersen, I.K. unpublished.  </w:t>
      </w:r>
      <w:r w:rsidRPr="009978E3">
        <w:rPr>
          <w:rFonts w:eastAsia="MS Mincho"/>
          <w:sz w:val="22"/>
          <w:szCs w:val="22"/>
          <w:lang w:val="da-DK"/>
        </w:rPr>
        <w:t xml:space="preserve">Antal og fordeling af vandfugle i den nordlige danske del af Nordsøen. Unpublished report requested by the By- og Landskabsstyrelsen. </w:t>
      </w:r>
    </w:p>
    <w:p w14:paraId="2EC5FF15" w14:textId="77777777" w:rsidR="006B3F46" w:rsidRPr="009978E3" w:rsidRDefault="006B3F46" w:rsidP="00907941">
      <w:pPr>
        <w:ind w:left="533" w:hanging="720"/>
        <w:jc w:val="both"/>
        <w:rPr>
          <w:rFonts w:eastAsia="MS Mincho"/>
          <w:sz w:val="22"/>
          <w:szCs w:val="22"/>
          <w:lang w:val="da-DK"/>
        </w:rPr>
      </w:pPr>
      <w:r w:rsidRPr="009978E3">
        <w:rPr>
          <w:rFonts w:eastAsia="MS Mincho"/>
          <w:sz w:val="22"/>
          <w:szCs w:val="22"/>
          <w:lang w:val="da-DK"/>
        </w:rPr>
        <w:t xml:space="preserve">Skov, H., Durinck, J. &amp; Danielsen, F. (1992): Udbredelse og antal af Lomvie </w:t>
      </w:r>
      <w:r w:rsidRPr="009978E3">
        <w:rPr>
          <w:rFonts w:eastAsia="MS Mincho"/>
          <w:i/>
          <w:sz w:val="22"/>
          <w:szCs w:val="22"/>
          <w:lang w:val="da-DK"/>
        </w:rPr>
        <w:t>Uria aalge</w:t>
      </w:r>
      <w:r w:rsidRPr="009978E3">
        <w:rPr>
          <w:rFonts w:eastAsia="MS Mincho"/>
          <w:sz w:val="22"/>
          <w:szCs w:val="22"/>
          <w:lang w:val="da-DK"/>
        </w:rPr>
        <w:t xml:space="preserve"> i Skagerrak i sensommerperioden. – Dansk Orn. Foren. Tidsskr. 86: 169-176.</w:t>
      </w:r>
    </w:p>
    <w:p w14:paraId="7CD79A13" w14:textId="77777777" w:rsidR="006B3F46" w:rsidRPr="009978E3" w:rsidRDefault="006B3F46" w:rsidP="00907941">
      <w:pPr>
        <w:ind w:left="533" w:hanging="720"/>
        <w:jc w:val="both"/>
        <w:rPr>
          <w:rFonts w:eastAsia="MS Mincho"/>
          <w:sz w:val="22"/>
          <w:szCs w:val="22"/>
          <w:lang w:val="en-US"/>
        </w:rPr>
      </w:pPr>
      <w:r w:rsidRPr="009978E3">
        <w:rPr>
          <w:rFonts w:eastAsia="MS Mincho"/>
          <w:sz w:val="22"/>
          <w:szCs w:val="22"/>
          <w:lang w:val="da-DK"/>
        </w:rPr>
        <w:t xml:space="preserve">Skov, H., Heinänen, S., Žydelis, R., Bellebaum, J., Bzoma, S., Dagys, M., Durinck, J., Garthe, G., Grishanov, G., Hario, M., Kieckbusch, J.J., Kube, J., Kuresoo, A., Larsson, K., Luigujoe, L., Meissner, W., Nehls, H.W., Nilsson, L., Petersen, I.K., Roos, M.M., Pihl, S., Sonntag, N., Stock, A., Stipniece A. and Wahl, J. 2011. </w:t>
      </w:r>
      <w:r w:rsidRPr="009978E3">
        <w:rPr>
          <w:rFonts w:eastAsia="MS Mincho"/>
          <w:sz w:val="22"/>
          <w:szCs w:val="22"/>
          <w:lang w:val="en-US"/>
        </w:rPr>
        <w:t>Waterbird Populations and Pressures in the Baltic Sea. – Nordic Council of Ministers, TemaNord 2011:550. 201 pp.</w:t>
      </w:r>
    </w:p>
    <w:p w14:paraId="763EB5BF" w14:textId="77777777" w:rsidR="006B3F46" w:rsidRDefault="006B3F46" w:rsidP="00907941">
      <w:pPr>
        <w:ind w:left="533" w:hanging="720"/>
        <w:jc w:val="both"/>
        <w:rPr>
          <w:rFonts w:eastAsia="MS Mincho"/>
          <w:sz w:val="22"/>
          <w:szCs w:val="22"/>
        </w:rPr>
      </w:pPr>
      <w:r w:rsidRPr="009978E3">
        <w:rPr>
          <w:rFonts w:eastAsia="MS Mincho"/>
          <w:sz w:val="22"/>
          <w:szCs w:val="22"/>
        </w:rPr>
        <w:t>Stone, C.J., Webb, A., Bsrton, C., Ratcliffe, N., Reed, T.C., Tasker,</w:t>
      </w:r>
      <w:r>
        <w:rPr>
          <w:rFonts w:eastAsia="MS Mincho"/>
          <w:sz w:val="22"/>
          <w:szCs w:val="22"/>
        </w:rPr>
        <w:t xml:space="preserve"> </w:t>
      </w:r>
      <w:r w:rsidRPr="009978E3">
        <w:rPr>
          <w:rFonts w:eastAsia="MS Mincho"/>
          <w:sz w:val="22"/>
          <w:szCs w:val="22"/>
        </w:rPr>
        <w:t>M.L., Camphuysen, C.J. &amp; Pienkowski, M.W. (1995): An Atlas of Seabird Distribution in north-west European waters. – Joint Nature Conservation Committee and Nederlands Instituut voor Onderzoek der Zee. 326 pp.</w:t>
      </w:r>
    </w:p>
    <w:p w14:paraId="5ECF617D" w14:textId="77777777" w:rsidR="006B3F46" w:rsidRPr="009978E3" w:rsidRDefault="006B3F46" w:rsidP="00907941">
      <w:pPr>
        <w:ind w:left="720" w:hanging="900"/>
        <w:rPr>
          <w:rFonts w:eastAsia="MS Mincho"/>
          <w:sz w:val="22"/>
          <w:szCs w:val="22"/>
        </w:rPr>
      </w:pPr>
      <w:r w:rsidRPr="00F252EF">
        <w:rPr>
          <w:rFonts w:eastAsia="MS Mincho"/>
          <w:sz w:val="22"/>
          <w:szCs w:val="22"/>
        </w:rPr>
        <w:t>Sveggard, S., Nabe-Nielsen, J. &amp; Teilmann, J. 2018. Marsvins udbredelse og status for</w:t>
      </w:r>
      <w:r>
        <w:rPr>
          <w:rFonts w:eastAsia="MS Mincho"/>
          <w:sz w:val="22"/>
          <w:szCs w:val="22"/>
        </w:rPr>
        <w:t xml:space="preserve"> </w:t>
      </w:r>
      <w:r w:rsidRPr="00F252EF">
        <w:rPr>
          <w:rFonts w:eastAsia="MS Mincho"/>
          <w:sz w:val="22"/>
          <w:szCs w:val="22"/>
        </w:rPr>
        <w:t>de marine habitatområder i danske farvande. Aarhus Universitet, DCE – Nationalt</w:t>
      </w:r>
      <w:r>
        <w:rPr>
          <w:rFonts w:eastAsia="MS Mincho"/>
          <w:sz w:val="22"/>
          <w:szCs w:val="22"/>
        </w:rPr>
        <w:t xml:space="preserve"> </w:t>
      </w:r>
      <w:r w:rsidRPr="00F252EF">
        <w:rPr>
          <w:rFonts w:eastAsia="MS Mincho"/>
          <w:sz w:val="22"/>
          <w:szCs w:val="22"/>
        </w:rPr>
        <w:t>Center for Miljø og Energi, 36 s. - Videnskabelig rapport nr. 284</w:t>
      </w:r>
      <w:r>
        <w:rPr>
          <w:rFonts w:eastAsia="MS Mincho"/>
          <w:sz w:val="22"/>
          <w:szCs w:val="22"/>
        </w:rPr>
        <w:t xml:space="preserve">. </w:t>
      </w:r>
      <w:r w:rsidRPr="00F252EF">
        <w:rPr>
          <w:rFonts w:eastAsia="MS Mincho"/>
          <w:sz w:val="22"/>
          <w:szCs w:val="22"/>
        </w:rPr>
        <w:t>http://dce2.au.dk/pub/SR284.pdf</w:t>
      </w:r>
    </w:p>
    <w:p w14:paraId="54DBD10D" w14:textId="77777777" w:rsidR="006B3F46" w:rsidRPr="009978E3" w:rsidRDefault="006B3F46" w:rsidP="00907941">
      <w:pPr>
        <w:ind w:left="533" w:hanging="720"/>
        <w:jc w:val="both"/>
        <w:rPr>
          <w:rFonts w:eastAsia="MS Mincho"/>
          <w:sz w:val="22"/>
          <w:szCs w:val="22"/>
        </w:rPr>
      </w:pPr>
      <w:r w:rsidRPr="009978E3">
        <w:rPr>
          <w:rFonts w:eastAsia="MS Mincho"/>
          <w:sz w:val="22"/>
          <w:szCs w:val="22"/>
        </w:rPr>
        <w:t>Tasker, M.L., Webb, A., Hall, A.J., Pienkowski, M.W. &amp; Langslow, D.R. 1987: Seabirds in the North Sea. – Nature Conservancy Council, UK. Report, 336 pp.</w:t>
      </w:r>
    </w:p>
    <w:p w14:paraId="0FEFB4FF" w14:textId="77777777" w:rsidR="006B3F46" w:rsidRDefault="006B3F46" w:rsidP="00907941">
      <w:pPr>
        <w:ind w:left="533" w:hanging="720"/>
        <w:jc w:val="both"/>
        <w:rPr>
          <w:rFonts w:eastAsia="MS Mincho"/>
          <w:sz w:val="22"/>
          <w:szCs w:val="22"/>
          <w:lang w:val="en-US"/>
        </w:rPr>
      </w:pPr>
      <w:r w:rsidRPr="0021277B">
        <w:rPr>
          <w:rFonts w:eastAsia="MS Mincho"/>
          <w:sz w:val="22"/>
          <w:szCs w:val="22"/>
          <w:lang w:val="en-US"/>
        </w:rPr>
        <w:t>Vinther M</w:t>
      </w:r>
      <w:r>
        <w:rPr>
          <w:rFonts w:eastAsia="MS Mincho"/>
          <w:sz w:val="22"/>
          <w:szCs w:val="22"/>
          <w:lang w:val="en-US"/>
        </w:rPr>
        <w:t>. and</w:t>
      </w:r>
      <w:r w:rsidRPr="0021277B">
        <w:rPr>
          <w:rFonts w:eastAsia="MS Mincho"/>
          <w:sz w:val="22"/>
          <w:szCs w:val="22"/>
          <w:lang w:val="en-US"/>
        </w:rPr>
        <w:t xml:space="preserve"> Larsen F</w:t>
      </w:r>
      <w:r>
        <w:rPr>
          <w:rFonts w:eastAsia="MS Mincho"/>
          <w:sz w:val="22"/>
          <w:szCs w:val="22"/>
          <w:lang w:val="en-US"/>
        </w:rPr>
        <w:t>.</w:t>
      </w:r>
      <w:r w:rsidRPr="0021277B">
        <w:rPr>
          <w:rFonts w:eastAsia="MS Mincho"/>
          <w:sz w:val="22"/>
          <w:szCs w:val="22"/>
          <w:lang w:val="en-US"/>
        </w:rPr>
        <w:t xml:space="preserve"> (2004) Updated estimates of harbor porpoise bycatch in the Danish bottom set gillnet fishery. J Cetacean Res Manag 6: 19−24</w:t>
      </w:r>
      <w:r>
        <w:rPr>
          <w:rFonts w:eastAsia="MS Mincho"/>
          <w:sz w:val="22"/>
          <w:szCs w:val="22"/>
          <w:lang w:val="en-US"/>
        </w:rPr>
        <w:t>.</w:t>
      </w:r>
    </w:p>
    <w:p w14:paraId="79FF42DF" w14:textId="77777777" w:rsidR="006B3F46" w:rsidRDefault="006B3F46" w:rsidP="00907941">
      <w:pPr>
        <w:ind w:left="720" w:hanging="720"/>
        <w:rPr>
          <w:rFonts w:eastAsia="MS Mincho"/>
          <w:sz w:val="22"/>
          <w:szCs w:val="22"/>
          <w:lang w:val="en-US"/>
        </w:rPr>
      </w:pPr>
    </w:p>
    <w:p w14:paraId="50B5539B" w14:textId="77777777" w:rsidR="006B3F46" w:rsidRDefault="006B3F46" w:rsidP="00907941">
      <w:pPr>
        <w:rPr>
          <w:lang w:val="da-DK"/>
        </w:rPr>
      </w:pPr>
    </w:p>
    <w:p w14:paraId="57553F0B" w14:textId="77777777" w:rsidR="006B3F46" w:rsidRDefault="006B3F46" w:rsidP="00907941">
      <w:pPr>
        <w:rPr>
          <w:lang w:val="da-DK"/>
        </w:rPr>
      </w:pPr>
    </w:p>
    <w:p w14:paraId="7C606BC0" w14:textId="77777777" w:rsidR="006B3F46" w:rsidRPr="00F66EF7" w:rsidRDefault="006B3F46" w:rsidP="00907941">
      <w:pPr>
        <w:ind w:left="720" w:hanging="720"/>
        <w:rPr>
          <w:rFonts w:eastAsia="MS Mincho"/>
          <w:b/>
          <w:sz w:val="22"/>
          <w:szCs w:val="22"/>
          <w:lang w:val="en-US"/>
        </w:rPr>
      </w:pPr>
    </w:p>
    <w:p w14:paraId="54DF5DF6" w14:textId="7D7D1A56" w:rsidR="006B3F46" w:rsidRDefault="006B3F46" w:rsidP="002E4B39">
      <w:pPr>
        <w:keepNext/>
        <w:rPr>
          <w:rFonts w:eastAsia="MS Mincho"/>
          <w:b/>
          <w:sz w:val="22"/>
          <w:szCs w:val="22"/>
          <w:lang w:val="en-US"/>
        </w:rPr>
      </w:pPr>
      <w:r w:rsidRPr="00F66EF7">
        <w:rPr>
          <w:rFonts w:eastAsia="MS Mincho"/>
          <w:b/>
          <w:sz w:val="22"/>
          <w:szCs w:val="22"/>
          <w:lang w:val="en-US"/>
        </w:rPr>
        <w:t>Maps and Figures</w:t>
      </w:r>
    </w:p>
    <w:p w14:paraId="182481C8" w14:textId="77777777" w:rsidR="006B3F46" w:rsidRPr="00F66EF7" w:rsidRDefault="009E53BE" w:rsidP="00907941">
      <w:pPr>
        <w:rPr>
          <w:rFonts w:eastAsia="MS Mincho"/>
          <w:b/>
          <w:sz w:val="22"/>
          <w:szCs w:val="22"/>
          <w:lang w:val="en-US"/>
        </w:rPr>
      </w:pPr>
      <w:r>
        <w:pict w14:anchorId="7483A9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in">
            <v:imagedata r:id="rId83" o:title=""/>
          </v:shape>
        </w:pict>
      </w:r>
    </w:p>
    <w:p w14:paraId="4B93A036" w14:textId="77777777" w:rsidR="006B3F46" w:rsidRPr="009978E3" w:rsidRDefault="006B3F46" w:rsidP="00907941">
      <w:pPr>
        <w:rPr>
          <w:rFonts w:eastAsia="MS Mincho"/>
          <w:b/>
          <w:sz w:val="22"/>
          <w:szCs w:val="22"/>
          <w:lang w:val="en-US"/>
        </w:rPr>
      </w:pPr>
    </w:p>
    <w:p w14:paraId="3FFEB8E5" w14:textId="43685EBC" w:rsidR="006B3F46" w:rsidRPr="009978E3" w:rsidRDefault="006B3F46" w:rsidP="002E4B39">
      <w:pPr>
        <w:jc w:val="center"/>
        <w:rPr>
          <w:rFonts w:eastAsia="MS Mincho"/>
          <w:b/>
          <w:sz w:val="22"/>
          <w:szCs w:val="22"/>
          <w:lang w:val="en-US"/>
        </w:rPr>
      </w:pPr>
      <w:r>
        <w:rPr>
          <w:rFonts w:eastAsia="MS Mincho"/>
          <w:b/>
          <w:sz w:val="22"/>
          <w:szCs w:val="22"/>
          <w:lang w:val="en-US"/>
        </w:rPr>
        <w:t>Location of a</w:t>
      </w:r>
      <w:r w:rsidRPr="00BC2550">
        <w:rPr>
          <w:rFonts w:eastAsia="MS Mincho"/>
          <w:b/>
          <w:sz w:val="22"/>
          <w:szCs w:val="22"/>
          <w:lang w:val="en-US"/>
        </w:rPr>
        <w:t xml:space="preserve">rea no. 1: </w:t>
      </w:r>
      <w:r w:rsidRPr="00BC2550">
        <w:rPr>
          <w:b/>
          <w:color w:val="000000"/>
          <w:sz w:val="22"/>
          <w:szCs w:val="22"/>
          <w:shd w:val="clear" w:color="auto" w:fill="FFFFFF"/>
        </w:rPr>
        <w:t xml:space="preserve">Danish </w:t>
      </w:r>
      <w:r w:rsidRPr="00F66EF7">
        <w:rPr>
          <w:b/>
          <w:color w:val="000000"/>
          <w:sz w:val="22"/>
          <w:szCs w:val="22"/>
          <w:shd w:val="clear" w:color="auto" w:fill="FFFFFF"/>
        </w:rPr>
        <w:t>Skagerra</w:t>
      </w:r>
      <w:r w:rsidRPr="00F55E4B">
        <w:rPr>
          <w:b/>
          <w:color w:val="000000"/>
          <w:sz w:val="22"/>
          <w:szCs w:val="22"/>
          <w:shd w:val="clear" w:color="auto" w:fill="FFFFFF"/>
        </w:rPr>
        <w:t>k</w:t>
      </w:r>
      <w:r>
        <w:rPr>
          <w:b/>
          <w:color w:val="000000"/>
          <w:sz w:val="22"/>
          <w:szCs w:val="22"/>
          <w:shd w:val="clear" w:color="auto" w:fill="FFFFFF"/>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0"/>
        <w:gridCol w:w="3781"/>
      </w:tblGrid>
      <w:tr w:rsidR="006B3F46" w:rsidRPr="009978E3" w14:paraId="0E11CA8F" w14:textId="77777777" w:rsidTr="00907941">
        <w:tc>
          <w:tcPr>
            <w:tcW w:w="5526" w:type="dxa"/>
            <w:shd w:val="clear" w:color="auto" w:fill="auto"/>
          </w:tcPr>
          <w:p w14:paraId="2A07F7CB" w14:textId="77777777" w:rsidR="006B3F46" w:rsidRPr="00F66EF7" w:rsidRDefault="009E53BE" w:rsidP="00907941">
            <w:pPr>
              <w:jc w:val="both"/>
              <w:rPr>
                <w:rFonts w:eastAsia="MS Mincho"/>
                <w:b/>
                <w:sz w:val="22"/>
                <w:szCs w:val="22"/>
                <w:lang w:val="en-US"/>
              </w:rPr>
            </w:pPr>
            <w:r>
              <w:rPr>
                <w:rFonts w:eastAsia="MS Mincho"/>
                <w:b/>
                <w:noProof/>
                <w:sz w:val="22"/>
                <w:szCs w:val="22"/>
                <w:lang w:val="en-US"/>
              </w:rPr>
              <w:pict w14:anchorId="79FC3E63">
                <v:shape id="_x0000_i1026" type="#_x0000_t75" style="width:265.5pt;height:270pt">
                  <v:imagedata r:id="rId84" o:title=""/>
                </v:shape>
              </w:pict>
            </w:r>
          </w:p>
        </w:tc>
        <w:tc>
          <w:tcPr>
            <w:tcW w:w="3761" w:type="dxa"/>
            <w:shd w:val="clear" w:color="auto" w:fill="auto"/>
          </w:tcPr>
          <w:p w14:paraId="0EB9EEFB" w14:textId="77777777" w:rsidR="006B3F46" w:rsidRPr="00F66EF7" w:rsidRDefault="009E53BE" w:rsidP="00907941">
            <w:pPr>
              <w:jc w:val="both"/>
              <w:rPr>
                <w:rFonts w:eastAsia="MS Mincho"/>
                <w:b/>
                <w:sz w:val="22"/>
                <w:szCs w:val="22"/>
                <w:lang w:val="en-US"/>
              </w:rPr>
            </w:pPr>
            <w:r>
              <w:rPr>
                <w:rFonts w:eastAsia="MS Mincho"/>
                <w:b/>
                <w:noProof/>
                <w:sz w:val="22"/>
                <w:szCs w:val="22"/>
                <w:lang w:val="en-US"/>
              </w:rPr>
              <w:pict w14:anchorId="5CF24F47">
                <v:shape id="_x0000_i1027" type="#_x0000_t75" alt="Seabed sediment UpdatedAreas2014-2017" style="width:178.5pt;height:194.25pt">
                  <v:imagedata r:id="rId85" o:title="Seabed sediment UpdatedAreas2014-2017"/>
                </v:shape>
              </w:pict>
            </w:r>
          </w:p>
        </w:tc>
      </w:tr>
      <w:tr w:rsidR="006B3F46" w:rsidRPr="009978E3" w14:paraId="6CD8CEE1" w14:textId="77777777" w:rsidTr="00907941">
        <w:tc>
          <w:tcPr>
            <w:tcW w:w="9287" w:type="dxa"/>
            <w:gridSpan w:val="2"/>
            <w:shd w:val="clear" w:color="auto" w:fill="auto"/>
          </w:tcPr>
          <w:p w14:paraId="5B948C57" w14:textId="77777777" w:rsidR="006B3F46" w:rsidRPr="009978E3" w:rsidRDefault="006B3F46" w:rsidP="00907941">
            <w:pPr>
              <w:jc w:val="both"/>
              <w:rPr>
                <w:rFonts w:eastAsia="MS Mincho"/>
                <w:sz w:val="22"/>
                <w:szCs w:val="22"/>
                <w:lang w:val="en-US"/>
              </w:rPr>
            </w:pPr>
            <w:r w:rsidRPr="0021277B">
              <w:rPr>
                <w:rFonts w:eastAsia="MS Mincho"/>
                <w:sz w:val="22"/>
                <w:szCs w:val="22"/>
                <w:lang w:val="en-US"/>
              </w:rPr>
              <w:t>Figure 1</w:t>
            </w:r>
            <w:r w:rsidRPr="00EC5399">
              <w:rPr>
                <w:rFonts w:eastAsia="MS Mincho"/>
                <w:sz w:val="22"/>
                <w:szCs w:val="22"/>
                <w:lang w:val="en-US"/>
              </w:rPr>
              <w:t>.</w:t>
            </w:r>
            <w:r w:rsidRPr="009978E3">
              <w:rPr>
                <w:rFonts w:eastAsia="MS Mincho"/>
                <w:sz w:val="22"/>
                <w:szCs w:val="22"/>
                <w:lang w:val="en-US"/>
              </w:rPr>
              <w:t xml:space="preserve"> Seabed sediments in the Danish North Sea and Skagerrak as presented in the figure on the left </w:t>
            </w:r>
            <w:r w:rsidRPr="00CF4095">
              <w:rPr>
                <w:rFonts w:eastAsia="MS Mincho"/>
                <w:sz w:val="22"/>
                <w:szCs w:val="22"/>
                <w:lang w:val="en-US"/>
              </w:rPr>
              <w:t>(E</w:t>
            </w:r>
            <w:r w:rsidRPr="00C63A53">
              <w:rPr>
                <w:rFonts w:eastAsia="MS Mincho"/>
                <w:sz w:val="22"/>
                <w:szCs w:val="22"/>
                <w:lang w:val="en-US"/>
              </w:rPr>
              <w:t xml:space="preserve">delvang </w:t>
            </w:r>
            <w:r w:rsidRPr="0021277B">
              <w:rPr>
                <w:rFonts w:eastAsia="MS Mincho"/>
                <w:i/>
                <w:sz w:val="22"/>
                <w:szCs w:val="22"/>
                <w:lang w:val="en-US"/>
              </w:rPr>
              <w:t>et al</w:t>
            </w:r>
            <w:r w:rsidRPr="00CF4095">
              <w:rPr>
                <w:rFonts w:eastAsia="MS Mincho"/>
                <w:sz w:val="22"/>
                <w:szCs w:val="22"/>
                <w:lang w:val="en-US"/>
              </w:rPr>
              <w:t>.,</w:t>
            </w:r>
            <w:r w:rsidRPr="00C63A53">
              <w:rPr>
                <w:rFonts w:eastAsia="MS Mincho"/>
                <w:sz w:val="22"/>
                <w:szCs w:val="22"/>
                <w:lang w:val="en-US"/>
              </w:rPr>
              <w:t xml:space="preserve"> 2017).</w:t>
            </w:r>
            <w:r w:rsidRPr="009978E3">
              <w:rPr>
                <w:rFonts w:eastAsia="MS Mincho"/>
                <w:sz w:val="22"/>
                <w:szCs w:val="22"/>
                <w:lang w:val="en-US"/>
              </w:rPr>
              <w:t xml:space="preserve"> Updated seabed sediments in newly mapped Natura 2000 areas are presented in the figure on the right (Unpublished data provided from the Danish Environmental Agency).</w:t>
            </w:r>
          </w:p>
        </w:tc>
      </w:tr>
    </w:tbl>
    <w:p w14:paraId="1E113CDC" w14:textId="77777777" w:rsidR="006B3F46" w:rsidRPr="009978E3" w:rsidRDefault="006B3F46">
      <w:pPr>
        <w:rPr>
          <w:rFonts w:eastAsia="MS Mincho"/>
          <w:bCs/>
          <w:sz w:val="22"/>
          <w:szCs w:val="22"/>
          <w:lang w:val="en-US"/>
        </w:rPr>
      </w:pPr>
    </w:p>
    <w:p w14:paraId="16589299" w14:textId="77777777" w:rsidR="006B3F46" w:rsidRPr="00F66EF7" w:rsidRDefault="009E53BE" w:rsidP="00907941">
      <w:pPr>
        <w:jc w:val="both"/>
        <w:rPr>
          <w:rFonts w:eastAsia="MS Mincho"/>
          <w:b/>
          <w:sz w:val="22"/>
          <w:szCs w:val="22"/>
          <w:lang w:val="en-US"/>
        </w:rPr>
      </w:pPr>
      <w:bookmarkStart w:id="13" w:name="_Hlk21530755"/>
      <w:r>
        <w:rPr>
          <w:rFonts w:eastAsia="MS Mincho"/>
          <w:b/>
          <w:noProof/>
          <w:sz w:val="22"/>
          <w:szCs w:val="22"/>
          <w:lang w:val="da-DK"/>
        </w:rPr>
        <w:pict w14:anchorId="56D8459C">
          <v:shape id="_x0000_i1028" type="#_x0000_t75" alt="Skagerak_Designation_Proposal" style="width:453pt;height:350.25pt">
            <v:imagedata r:id="rId86" o:title="Skagerak_Designation_Proposal"/>
          </v:shape>
        </w:pict>
      </w:r>
      <w:bookmarkEnd w:id="13"/>
    </w:p>
    <w:p w14:paraId="5EFCC6C8" w14:textId="77777777" w:rsidR="006B3F46" w:rsidRPr="009978E3" w:rsidRDefault="006B3F46" w:rsidP="00907941">
      <w:pPr>
        <w:jc w:val="both"/>
        <w:rPr>
          <w:rFonts w:eastAsia="MS Mincho"/>
          <w:sz w:val="22"/>
          <w:szCs w:val="22"/>
          <w:lang w:val="en-US"/>
        </w:rPr>
      </w:pPr>
      <w:r w:rsidRPr="0021277B">
        <w:rPr>
          <w:rFonts w:eastAsia="MS Mincho"/>
          <w:sz w:val="22"/>
          <w:szCs w:val="22"/>
          <w:lang w:val="en-US"/>
        </w:rPr>
        <w:t>Figure 2</w:t>
      </w:r>
      <w:r w:rsidRPr="00EC5399">
        <w:rPr>
          <w:rFonts w:eastAsia="MS Mincho"/>
          <w:sz w:val="22"/>
          <w:szCs w:val="22"/>
          <w:lang w:val="en-US"/>
        </w:rPr>
        <w:t>.</w:t>
      </w:r>
      <w:r w:rsidRPr="009978E3">
        <w:rPr>
          <w:rFonts w:eastAsia="MS Mincho"/>
          <w:sz w:val="22"/>
          <w:szCs w:val="22"/>
          <w:lang w:val="en-US"/>
        </w:rPr>
        <w:t xml:space="preserve"> The geographical extent of the Skagerrak area. The </w:t>
      </w:r>
      <w:r>
        <w:rPr>
          <w:rFonts w:eastAsia="MS Mincho"/>
          <w:sz w:val="22"/>
          <w:szCs w:val="22"/>
          <w:lang w:val="en-US"/>
        </w:rPr>
        <w:t>Important Bird Area (IBA) is</w:t>
      </w:r>
      <w:r w:rsidRPr="009978E3">
        <w:rPr>
          <w:rFonts w:eastAsia="MS Mincho"/>
          <w:sz w:val="22"/>
          <w:szCs w:val="22"/>
          <w:lang w:val="en-US"/>
        </w:rPr>
        <w:t xml:space="preserve"> also shown. The bathymetry of the area, in metres, is indicated.</w:t>
      </w:r>
    </w:p>
    <w:p w14:paraId="2262C046" w14:textId="77777777" w:rsidR="006B3F46" w:rsidRPr="00B3387A" w:rsidRDefault="006B3F46">
      <w:pPr>
        <w:rPr>
          <w:rFonts w:eastAsia="MS Mincho"/>
          <w:bCs/>
          <w:sz w:val="22"/>
          <w:szCs w:val="22"/>
          <w:lang w:val="en-US"/>
        </w:rPr>
      </w:pPr>
    </w:p>
    <w:p w14:paraId="4176FA32" w14:textId="77777777" w:rsidR="006B3F46" w:rsidRPr="007B0905" w:rsidRDefault="009E53BE" w:rsidP="00907941">
      <w:pPr>
        <w:rPr>
          <w:rFonts w:eastAsia="Calibri"/>
          <w:lang w:val="en-US"/>
        </w:rPr>
      </w:pPr>
      <w:r>
        <w:rPr>
          <w:rFonts w:eastAsia="MS Mincho"/>
          <w:noProof/>
          <w:lang w:val="en-US"/>
        </w:rPr>
        <w:pict w14:anchorId="41F36450">
          <v:shape id="Picture 2" o:spid="_x0000_i1029" type="#_x0000_t75" style="width:279pt;height:255.75pt;visibility:visible">
            <v:imagedata r:id="rId87" o:title=""/>
          </v:shape>
        </w:pict>
      </w:r>
    </w:p>
    <w:p w14:paraId="0C6935EC" w14:textId="77777777" w:rsidR="006B3F46" w:rsidRPr="00B3387A" w:rsidRDefault="006B3F46">
      <w:pPr>
        <w:rPr>
          <w:rFonts w:eastAsia="MS Mincho"/>
          <w:bCs/>
          <w:sz w:val="22"/>
          <w:szCs w:val="22"/>
          <w:lang w:val="en-US"/>
        </w:rPr>
      </w:pPr>
      <w:r w:rsidRPr="0021277B">
        <w:rPr>
          <w:rFonts w:eastAsia="MS Mincho"/>
          <w:sz w:val="22"/>
          <w:szCs w:val="22"/>
          <w:lang w:val="en-US"/>
        </w:rPr>
        <w:t>Figure 3. A: Frontal zone areas</w:t>
      </w:r>
      <w:r>
        <w:rPr>
          <w:rFonts w:eastAsia="MS Mincho"/>
          <w:sz w:val="22"/>
          <w:szCs w:val="22"/>
          <w:lang w:val="en-US"/>
        </w:rPr>
        <w:t xml:space="preserve">, </w:t>
      </w:r>
      <w:r w:rsidRPr="0021277B">
        <w:rPr>
          <w:rFonts w:eastAsia="MS Mincho"/>
          <w:sz w:val="22"/>
          <w:szCs w:val="22"/>
          <w:lang w:val="en-US"/>
        </w:rPr>
        <w:t xml:space="preserve">reflected as a frontal index from Edelvang </w:t>
      </w:r>
      <w:r w:rsidRPr="0021277B">
        <w:rPr>
          <w:rFonts w:eastAsia="MS Mincho"/>
          <w:i/>
          <w:sz w:val="22"/>
          <w:szCs w:val="22"/>
          <w:lang w:val="en-US"/>
        </w:rPr>
        <w:t>et al</w:t>
      </w:r>
      <w:r>
        <w:rPr>
          <w:rFonts w:eastAsia="MS Mincho"/>
          <w:sz w:val="22"/>
          <w:szCs w:val="22"/>
          <w:lang w:val="en-US"/>
        </w:rPr>
        <w:t>.</w:t>
      </w:r>
      <w:r w:rsidRPr="0021277B">
        <w:rPr>
          <w:rFonts w:eastAsia="MS Mincho"/>
          <w:sz w:val="22"/>
          <w:szCs w:val="22"/>
          <w:lang w:val="en-US"/>
        </w:rPr>
        <w:t>, (2018). The index is based on current gradient and vorticity. The front is defined as the frequency of current gradient and vorticity exceeding the thresholds 0.000015 and 0.00001 respectively combined for each time step at about 20 depths. The figure shows the mean of the years 2011-2016.</w:t>
      </w:r>
    </w:p>
    <w:p w14:paraId="3B464579" w14:textId="77777777" w:rsidR="006B3F46" w:rsidRDefault="009E53BE">
      <w:pPr>
        <w:rPr>
          <w:rFonts w:eastAsia="MS Mincho"/>
          <w:bCs/>
          <w:sz w:val="22"/>
          <w:szCs w:val="22"/>
          <w:lang w:val="en-US"/>
        </w:rPr>
      </w:pPr>
      <w:r>
        <w:rPr>
          <w:rFonts w:eastAsia="MS Mincho"/>
          <w:noProof/>
          <w:sz w:val="22"/>
          <w:szCs w:val="22"/>
          <w:lang w:val="da-DK"/>
        </w:rPr>
        <w:pict w14:anchorId="315C2775">
          <v:shape id="Billede 1" o:spid="_x0000_i1030" type="#_x0000_t75" style="width:219pt;height:243pt;visibility:visible">
            <v:imagedata r:id="rId88" o:title=""/>
          </v:shape>
        </w:pict>
      </w:r>
    </w:p>
    <w:p w14:paraId="11E40947" w14:textId="77777777" w:rsidR="006B3F46" w:rsidRDefault="006B3F46">
      <w:pPr>
        <w:rPr>
          <w:rFonts w:eastAsia="MS Mincho"/>
          <w:bCs/>
          <w:sz w:val="22"/>
          <w:szCs w:val="22"/>
          <w:lang w:val="en-US"/>
        </w:rPr>
      </w:pPr>
    </w:p>
    <w:p w14:paraId="7444A5DB" w14:textId="77777777" w:rsidR="006B3F46" w:rsidRPr="00B3387A" w:rsidRDefault="006B3F46">
      <w:pPr>
        <w:rPr>
          <w:rFonts w:eastAsia="MS Mincho"/>
          <w:bCs/>
          <w:sz w:val="22"/>
          <w:szCs w:val="22"/>
          <w:lang w:val="en-US"/>
        </w:rPr>
      </w:pPr>
      <w:r w:rsidRPr="0021277B">
        <w:rPr>
          <w:rFonts w:eastAsia="MS Mincho"/>
          <w:sz w:val="22"/>
          <w:szCs w:val="22"/>
          <w:lang w:val="en-US"/>
        </w:rPr>
        <w:t>Figure 3B: The Kattegat-Skagerrak front</w:t>
      </w:r>
      <w:r>
        <w:rPr>
          <w:rFonts w:eastAsia="MS Mincho"/>
          <w:sz w:val="22"/>
          <w:szCs w:val="22"/>
          <w:lang w:val="en-US"/>
        </w:rPr>
        <w:t>, as</w:t>
      </w:r>
      <w:r w:rsidRPr="0021277B">
        <w:rPr>
          <w:rFonts w:eastAsia="MS Mincho"/>
          <w:sz w:val="22"/>
          <w:szCs w:val="22"/>
          <w:lang w:val="en-US"/>
        </w:rPr>
        <w:t xml:space="preserve"> described by Josefson and Conley (1997).</w:t>
      </w:r>
    </w:p>
    <w:p w14:paraId="089BC430" w14:textId="77777777" w:rsidR="006B3F46" w:rsidRDefault="006B3F46">
      <w:pPr>
        <w:rPr>
          <w:rFonts w:eastAsia="MS Mincho"/>
          <w:bCs/>
          <w:sz w:val="22"/>
          <w:szCs w:val="22"/>
          <w:lang w:val="en-US"/>
        </w:rPr>
      </w:pPr>
    </w:p>
    <w:p w14:paraId="5AC22234" w14:textId="77777777" w:rsidR="006B3F46" w:rsidRPr="009978E3" w:rsidRDefault="006B3F46">
      <w:pPr>
        <w:rPr>
          <w:rFonts w:eastAsia="MS Mincho"/>
          <w:bCs/>
          <w:sz w:val="22"/>
          <w:szCs w:val="22"/>
          <w:lang w:val="en-US"/>
        </w:rPr>
      </w:pPr>
    </w:p>
    <w:p w14:paraId="64A70AA4" w14:textId="77777777" w:rsidR="006B3F46" w:rsidRPr="009978E3" w:rsidRDefault="006B3F46">
      <w:pPr>
        <w:rPr>
          <w:rFonts w:eastAsia="MS Mincho"/>
          <w:bCs/>
          <w:sz w:val="22"/>
          <w:szCs w:val="22"/>
          <w:lang w:val="en-US"/>
        </w:rPr>
      </w:pPr>
    </w:p>
    <w:tbl>
      <w:tblPr>
        <w:tblW w:w="9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7130"/>
      </w:tblGrid>
      <w:tr w:rsidR="006B3F46" w:rsidRPr="009978E3" w14:paraId="7C243110" w14:textId="77777777" w:rsidTr="00907941">
        <w:trPr>
          <w:trHeight w:val="6519"/>
        </w:trPr>
        <w:tc>
          <w:tcPr>
            <w:tcW w:w="2448" w:type="dxa"/>
            <w:shd w:val="clear" w:color="auto" w:fill="auto"/>
          </w:tcPr>
          <w:p w14:paraId="7750290A" w14:textId="77777777" w:rsidR="006B3F46" w:rsidRPr="00CF4095" w:rsidRDefault="006B3F46" w:rsidP="00907941">
            <w:pPr>
              <w:jc w:val="both"/>
              <w:rPr>
                <w:rFonts w:eastAsia="MS Mincho"/>
                <w:sz w:val="22"/>
                <w:szCs w:val="22"/>
                <w:lang w:val="en-US"/>
              </w:rPr>
            </w:pPr>
            <w:r w:rsidRPr="0021277B">
              <w:rPr>
                <w:rFonts w:eastAsia="MS Mincho"/>
                <w:sz w:val="22"/>
                <w:szCs w:val="22"/>
              </w:rPr>
              <w:t>Figure 4</w:t>
            </w:r>
            <w:r w:rsidRPr="009978E3">
              <w:rPr>
                <w:rFonts w:eastAsia="MS Mincho"/>
                <w:sz w:val="22"/>
                <w:szCs w:val="22"/>
              </w:rPr>
              <w:t xml:space="preserve">. North Sea stock </w:t>
            </w:r>
            <w:r>
              <w:rPr>
                <w:rFonts w:eastAsia="MS Mincho"/>
                <w:sz w:val="22"/>
                <w:szCs w:val="22"/>
              </w:rPr>
              <w:t>of h</w:t>
            </w:r>
            <w:r w:rsidRPr="009978E3">
              <w:rPr>
                <w:rFonts w:eastAsia="MS Mincho"/>
                <w:sz w:val="22"/>
                <w:szCs w:val="22"/>
              </w:rPr>
              <w:t xml:space="preserve">arbour porpoise in Skagerrak </w:t>
            </w:r>
            <w:r>
              <w:rPr>
                <w:rFonts w:eastAsia="MS Mincho"/>
                <w:sz w:val="22"/>
                <w:szCs w:val="22"/>
              </w:rPr>
              <w:t xml:space="preserve">as they appear in </w:t>
            </w:r>
            <w:r w:rsidRPr="009978E3">
              <w:rPr>
                <w:rFonts w:eastAsia="MS Mincho"/>
                <w:sz w:val="22"/>
                <w:szCs w:val="22"/>
              </w:rPr>
              <w:t>two time periods and in summer</w:t>
            </w:r>
            <w:r>
              <w:rPr>
                <w:rFonts w:eastAsia="MS Mincho"/>
                <w:sz w:val="22"/>
                <w:szCs w:val="22"/>
              </w:rPr>
              <w:t xml:space="preserve"> (top)</w:t>
            </w:r>
            <w:r w:rsidRPr="009978E3">
              <w:rPr>
                <w:rFonts w:eastAsia="MS Mincho"/>
                <w:sz w:val="22"/>
                <w:szCs w:val="22"/>
              </w:rPr>
              <w:t xml:space="preserve"> </w:t>
            </w:r>
            <w:r w:rsidRPr="00CF4095">
              <w:rPr>
                <w:rFonts w:eastAsia="MS Mincho"/>
                <w:sz w:val="22"/>
                <w:szCs w:val="22"/>
              </w:rPr>
              <w:t>and winter</w:t>
            </w:r>
            <w:r>
              <w:rPr>
                <w:rFonts w:eastAsia="MS Mincho"/>
                <w:sz w:val="22"/>
                <w:szCs w:val="22"/>
              </w:rPr>
              <w:t xml:space="preserve"> (bottom)</w:t>
            </w:r>
            <w:r w:rsidRPr="00CF4095">
              <w:rPr>
                <w:rFonts w:eastAsia="MS Mincho"/>
                <w:sz w:val="22"/>
                <w:szCs w:val="22"/>
                <w:lang w:val="en-US"/>
              </w:rPr>
              <w:t xml:space="preserve"> </w:t>
            </w:r>
          </w:p>
          <w:p w14:paraId="59436150" w14:textId="77777777" w:rsidR="006B3F46" w:rsidRPr="009978E3" w:rsidRDefault="006B3F46" w:rsidP="00907941">
            <w:pPr>
              <w:jc w:val="both"/>
              <w:rPr>
                <w:rFonts w:eastAsia="MS Mincho"/>
                <w:sz w:val="22"/>
                <w:szCs w:val="22"/>
                <w:lang w:val="fr-CA"/>
              </w:rPr>
            </w:pPr>
            <w:r w:rsidRPr="00C63A53">
              <w:rPr>
                <w:rFonts w:eastAsia="MS Mincho"/>
                <w:sz w:val="22"/>
                <w:szCs w:val="22"/>
                <w:lang w:val="fr-CA"/>
              </w:rPr>
              <w:t xml:space="preserve">Source: Svegaard </w:t>
            </w:r>
            <w:r w:rsidRPr="0021277B">
              <w:rPr>
                <w:rFonts w:eastAsia="MS Mincho"/>
                <w:i/>
                <w:sz w:val="22"/>
                <w:szCs w:val="22"/>
                <w:lang w:val="fr-CA"/>
              </w:rPr>
              <w:t>et al</w:t>
            </w:r>
            <w:r w:rsidRPr="00CF4095">
              <w:rPr>
                <w:rFonts w:eastAsia="MS Mincho"/>
                <w:sz w:val="22"/>
                <w:szCs w:val="22"/>
                <w:lang w:val="fr-CA"/>
              </w:rPr>
              <w:t>. 2018.</w:t>
            </w:r>
          </w:p>
          <w:p w14:paraId="08F91D7F" w14:textId="77777777" w:rsidR="006B3F46" w:rsidRPr="009978E3" w:rsidRDefault="006B3F46" w:rsidP="00907941">
            <w:pPr>
              <w:jc w:val="both"/>
              <w:rPr>
                <w:rFonts w:eastAsia="MS Mincho"/>
                <w:sz w:val="22"/>
                <w:szCs w:val="22"/>
              </w:rPr>
            </w:pPr>
          </w:p>
          <w:p w14:paraId="57ED4609" w14:textId="77777777" w:rsidR="006B3F46" w:rsidRPr="009978E3" w:rsidRDefault="006B3F46" w:rsidP="00907941">
            <w:pPr>
              <w:jc w:val="both"/>
              <w:rPr>
                <w:rFonts w:eastAsia="MS Mincho"/>
                <w:sz w:val="22"/>
                <w:szCs w:val="22"/>
              </w:rPr>
            </w:pPr>
          </w:p>
        </w:tc>
        <w:tc>
          <w:tcPr>
            <w:tcW w:w="7130" w:type="dxa"/>
            <w:shd w:val="clear" w:color="auto" w:fill="auto"/>
          </w:tcPr>
          <w:p w14:paraId="44A4AA40" w14:textId="77777777" w:rsidR="006B3F46" w:rsidRPr="00F66EF7" w:rsidRDefault="009E53BE" w:rsidP="00907941">
            <w:pPr>
              <w:jc w:val="both"/>
              <w:rPr>
                <w:rFonts w:eastAsia="MS Mincho"/>
                <w:sz w:val="22"/>
                <w:szCs w:val="22"/>
              </w:rPr>
            </w:pPr>
            <w:r>
              <w:rPr>
                <w:rFonts w:eastAsia="MS Mincho"/>
                <w:noProof/>
                <w:sz w:val="22"/>
                <w:szCs w:val="22"/>
                <w:lang w:val="da-DK"/>
              </w:rPr>
              <w:pict w14:anchorId="3762778A">
                <v:shape id="Billede 2" o:spid="_x0000_i1031" type="#_x0000_t75" style="width:334.5pt;height:294.75pt;visibility:visible">
                  <v:imagedata r:id="rId89" o:title=""/>
                </v:shape>
              </w:pict>
            </w:r>
          </w:p>
        </w:tc>
      </w:tr>
    </w:tbl>
    <w:p w14:paraId="137B2E86" w14:textId="77777777" w:rsidR="006B3F46" w:rsidRPr="009978E3" w:rsidRDefault="006B3F46">
      <w:pPr>
        <w:rPr>
          <w:rFonts w:eastAsia="MS Mincho"/>
          <w:bCs/>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6"/>
        <w:gridCol w:w="6894"/>
      </w:tblGrid>
      <w:tr w:rsidR="006B3F46" w:rsidRPr="009978E3" w14:paraId="0E73803E" w14:textId="77777777" w:rsidTr="00907941">
        <w:tc>
          <w:tcPr>
            <w:tcW w:w="4605" w:type="dxa"/>
            <w:shd w:val="clear" w:color="auto" w:fill="auto"/>
          </w:tcPr>
          <w:p w14:paraId="77B479F5" w14:textId="77777777" w:rsidR="006B3F46" w:rsidRPr="00EC5399" w:rsidRDefault="006B3F46" w:rsidP="00907941">
            <w:pPr>
              <w:jc w:val="both"/>
              <w:rPr>
                <w:rFonts w:eastAsia="MS Mincho"/>
                <w:sz w:val="22"/>
                <w:szCs w:val="22"/>
              </w:rPr>
            </w:pPr>
            <w:bookmarkStart w:id="14" w:name="_Hlk23508552"/>
            <w:r w:rsidRPr="0021277B">
              <w:rPr>
                <w:rFonts w:eastAsia="MS Mincho"/>
                <w:sz w:val="22"/>
                <w:szCs w:val="22"/>
              </w:rPr>
              <w:t>Figure 5</w:t>
            </w:r>
            <w:r w:rsidRPr="00EC5399">
              <w:rPr>
                <w:rFonts w:eastAsia="MS Mincho"/>
                <w:sz w:val="22"/>
                <w:szCs w:val="22"/>
              </w:rPr>
              <w:t>.</w:t>
            </w:r>
          </w:p>
          <w:p w14:paraId="61B79D72" w14:textId="77777777" w:rsidR="006B3F46" w:rsidRPr="009978E3" w:rsidRDefault="006B3F46" w:rsidP="00907941">
            <w:pPr>
              <w:rPr>
                <w:rFonts w:eastAsia="MS Mincho"/>
                <w:sz w:val="22"/>
                <w:szCs w:val="22"/>
              </w:rPr>
            </w:pPr>
            <w:r w:rsidRPr="009978E3">
              <w:rPr>
                <w:rFonts w:eastAsia="MS Mincho"/>
                <w:sz w:val="22"/>
                <w:szCs w:val="22"/>
              </w:rPr>
              <w:t>Probability of presence of minke whales modelled using Multivariate Additive Regression Splines</w:t>
            </w:r>
          </w:p>
          <w:p w14:paraId="5C1FF88D" w14:textId="77777777" w:rsidR="006B3F46" w:rsidRPr="009978E3" w:rsidRDefault="006B3F46" w:rsidP="00907941">
            <w:pPr>
              <w:rPr>
                <w:rFonts w:eastAsia="MS Mincho"/>
                <w:sz w:val="22"/>
                <w:szCs w:val="22"/>
              </w:rPr>
            </w:pPr>
            <w:r w:rsidRPr="009978E3">
              <w:rPr>
                <w:rFonts w:eastAsia="MS Mincho"/>
                <w:sz w:val="22"/>
                <w:szCs w:val="22"/>
              </w:rPr>
              <w:t>(MARS) based on species observations (SCANS aerial surveys in 1994 and 2005, combined)</w:t>
            </w:r>
          </w:p>
          <w:p w14:paraId="518F26C4" w14:textId="77777777" w:rsidR="006B3F46" w:rsidRPr="00EC5399" w:rsidRDefault="006B3F46" w:rsidP="00907941">
            <w:pPr>
              <w:rPr>
                <w:rFonts w:eastAsia="MS Mincho"/>
                <w:sz w:val="22"/>
                <w:szCs w:val="22"/>
              </w:rPr>
            </w:pPr>
            <w:r w:rsidRPr="009978E3">
              <w:rPr>
                <w:rFonts w:eastAsia="MS Mincho"/>
                <w:sz w:val="22"/>
                <w:szCs w:val="22"/>
              </w:rPr>
              <w:t xml:space="preserve">and environmental predictors. The data was modelled and provided by the project </w:t>
            </w:r>
            <w:r w:rsidRPr="00EC5399">
              <w:rPr>
                <w:rFonts w:eastAsia="MS Mincho"/>
                <w:sz w:val="22"/>
                <w:szCs w:val="22"/>
              </w:rPr>
              <w:t>HARMONY.</w:t>
            </w:r>
          </w:p>
          <w:p w14:paraId="7BCF1C78" w14:textId="77777777" w:rsidR="006B3F46" w:rsidRPr="009978E3" w:rsidRDefault="006B3F46" w:rsidP="00907941">
            <w:pPr>
              <w:rPr>
                <w:rFonts w:eastAsia="MS Mincho"/>
                <w:sz w:val="22"/>
                <w:szCs w:val="22"/>
              </w:rPr>
            </w:pPr>
            <w:r w:rsidRPr="00EC5399">
              <w:rPr>
                <w:rFonts w:eastAsia="MS Mincho"/>
                <w:sz w:val="22"/>
                <w:szCs w:val="22"/>
              </w:rPr>
              <w:t xml:space="preserve">Source: Edelvang </w:t>
            </w:r>
            <w:r w:rsidRPr="0021277B">
              <w:rPr>
                <w:rFonts w:eastAsia="MS Mincho"/>
                <w:i/>
                <w:sz w:val="22"/>
                <w:szCs w:val="22"/>
              </w:rPr>
              <w:t>et al</w:t>
            </w:r>
            <w:r w:rsidRPr="00EC5399">
              <w:rPr>
                <w:rFonts w:eastAsia="MS Mincho"/>
                <w:sz w:val="22"/>
                <w:szCs w:val="22"/>
              </w:rPr>
              <w:t>. 2017</w:t>
            </w:r>
            <w:r w:rsidRPr="0021277B">
              <w:rPr>
                <w:rFonts w:eastAsia="MS Mincho"/>
                <w:sz w:val="22"/>
                <w:szCs w:val="22"/>
              </w:rPr>
              <w:t>a and b</w:t>
            </w:r>
            <w:r w:rsidRPr="00EC5399">
              <w:rPr>
                <w:rFonts w:eastAsia="MS Mincho"/>
                <w:sz w:val="22"/>
                <w:szCs w:val="22"/>
              </w:rPr>
              <w:t>.</w:t>
            </w:r>
            <w:bookmarkEnd w:id="14"/>
          </w:p>
        </w:tc>
        <w:tc>
          <w:tcPr>
            <w:tcW w:w="4606" w:type="dxa"/>
            <w:shd w:val="clear" w:color="auto" w:fill="auto"/>
          </w:tcPr>
          <w:p w14:paraId="53841DAE" w14:textId="77777777" w:rsidR="006B3F46" w:rsidRPr="00F66EF7" w:rsidRDefault="009E53BE" w:rsidP="00907941">
            <w:pPr>
              <w:jc w:val="both"/>
              <w:rPr>
                <w:rFonts w:eastAsia="MS Mincho"/>
                <w:sz w:val="22"/>
                <w:szCs w:val="22"/>
              </w:rPr>
            </w:pPr>
            <w:r>
              <w:rPr>
                <w:rFonts w:eastAsia="MS Mincho"/>
                <w:sz w:val="22"/>
                <w:szCs w:val="22"/>
              </w:rPr>
              <w:pict w14:anchorId="3334328A">
                <v:shape id="_x0000_i1032" type="#_x0000_t75" style="width:333.75pt;height:305.25pt;mso-position-horizontal-relative:char;mso-position-vertical-relative:line">
                  <v:imagedata r:id="rId90" o:title=""/>
                </v:shape>
              </w:pict>
            </w:r>
          </w:p>
        </w:tc>
      </w:tr>
    </w:tbl>
    <w:p w14:paraId="000B90CF" w14:textId="77777777" w:rsidR="006B3F46" w:rsidRDefault="006B3F46">
      <w:pPr>
        <w:rPr>
          <w:rFonts w:eastAsia="MS Mincho"/>
          <w:bCs/>
          <w:sz w:val="22"/>
          <w:szCs w:val="22"/>
          <w:lang w:val="en-US"/>
        </w:rPr>
      </w:pPr>
    </w:p>
    <w:p w14:paraId="0B267EDB" w14:textId="77777777" w:rsidR="006B3F46" w:rsidRPr="009978E3" w:rsidRDefault="006B3F46">
      <w:pPr>
        <w:rPr>
          <w:rFonts w:eastAsia="MS Mincho"/>
          <w:bCs/>
          <w:sz w:val="22"/>
          <w:szCs w:val="22"/>
          <w:lang w:val="en-US"/>
        </w:rPr>
      </w:pPr>
    </w:p>
    <w:p w14:paraId="5EDD5C7E" w14:textId="77777777" w:rsidR="006B3F46" w:rsidRPr="00F66EF7" w:rsidRDefault="009E53BE" w:rsidP="00907941">
      <w:pPr>
        <w:jc w:val="both"/>
        <w:rPr>
          <w:rFonts w:eastAsia="MS Mincho"/>
          <w:sz w:val="22"/>
          <w:szCs w:val="22"/>
          <w:lang w:val="da-DK"/>
        </w:rPr>
      </w:pPr>
      <w:r>
        <w:rPr>
          <w:rFonts w:eastAsia="MS Mincho"/>
          <w:noProof/>
          <w:sz w:val="22"/>
          <w:szCs w:val="22"/>
          <w:lang w:val="da-DK"/>
        </w:rPr>
        <w:pict w14:anchorId="5790C046">
          <v:shape id="Picture 6" o:spid="_x0000_i1033" type="#_x0000_t75" style="width:353.25pt;height:273pt;visibility:visible">
            <v:imagedata r:id="rId91" o:title=""/>
          </v:shape>
        </w:pict>
      </w:r>
    </w:p>
    <w:p w14:paraId="6D322BCE" w14:textId="16073821" w:rsidR="006B3F46" w:rsidRPr="009978E3" w:rsidRDefault="006B3F46" w:rsidP="00907941">
      <w:pPr>
        <w:jc w:val="both"/>
        <w:rPr>
          <w:rFonts w:eastAsia="MS Mincho"/>
          <w:sz w:val="22"/>
          <w:szCs w:val="22"/>
          <w:lang w:val="en-US"/>
        </w:rPr>
      </w:pPr>
      <w:bookmarkStart w:id="15" w:name="_Hlk23508645"/>
      <w:r w:rsidRPr="0021277B">
        <w:rPr>
          <w:rFonts w:eastAsia="MS Mincho"/>
          <w:sz w:val="22"/>
          <w:szCs w:val="22"/>
          <w:lang w:val="en-US"/>
        </w:rPr>
        <w:t>Figure 6</w:t>
      </w:r>
      <w:r w:rsidRPr="00EC5399">
        <w:rPr>
          <w:rFonts w:eastAsia="MS Mincho"/>
          <w:sz w:val="22"/>
          <w:szCs w:val="22"/>
          <w:lang w:val="en-US"/>
        </w:rPr>
        <w:t>.</w:t>
      </w:r>
      <w:r w:rsidRPr="009978E3">
        <w:rPr>
          <w:rFonts w:eastAsia="MS Mincho"/>
          <w:sz w:val="22"/>
          <w:szCs w:val="22"/>
          <w:lang w:val="en-US"/>
        </w:rPr>
        <w:t xml:space="preserve"> The abundance and spatial distribution of fulmars in the northern part of the Danish North Sea and Skagerrak on 6 August 2006. The estimated abundance was 86,000 birds, 85 </w:t>
      </w:r>
      <w:r>
        <w:rPr>
          <w:rFonts w:eastAsia="MS Mincho"/>
          <w:sz w:val="22"/>
          <w:szCs w:val="22"/>
          <w:lang w:val="en-US"/>
        </w:rPr>
        <w:t>per cent</w:t>
      </w:r>
      <w:r w:rsidRPr="009978E3">
        <w:rPr>
          <w:rFonts w:eastAsia="MS Mincho"/>
          <w:sz w:val="22"/>
          <w:szCs w:val="22"/>
          <w:lang w:val="en-US"/>
        </w:rPr>
        <w:t xml:space="preserve"> of which were found within the area described as meeting the EBSA criteria.</w:t>
      </w:r>
      <w:r>
        <w:rPr>
          <w:rFonts w:eastAsia="MS Mincho"/>
          <w:sz w:val="22"/>
          <w:szCs w:val="22"/>
          <w:lang w:val="en-US"/>
        </w:rPr>
        <w:t xml:space="preserve"> </w:t>
      </w:r>
    </w:p>
    <w:bookmarkEnd w:id="15"/>
    <w:p w14:paraId="38C77C77" w14:textId="77777777" w:rsidR="006B3F46" w:rsidRPr="009978E3" w:rsidRDefault="006B3F46">
      <w:pPr>
        <w:rPr>
          <w:rFonts w:eastAsia="MS Mincho"/>
          <w:bCs/>
          <w:sz w:val="22"/>
          <w:szCs w:val="22"/>
          <w:lang w:val="en-US"/>
        </w:rPr>
      </w:pPr>
    </w:p>
    <w:p w14:paraId="57FEBA2B" w14:textId="77777777" w:rsidR="006B3F46" w:rsidRPr="00F66EF7" w:rsidRDefault="009E53BE" w:rsidP="00907941">
      <w:pPr>
        <w:jc w:val="both"/>
        <w:rPr>
          <w:rFonts w:eastAsia="MS Mincho"/>
          <w:sz w:val="22"/>
          <w:szCs w:val="22"/>
          <w:lang w:val="da-DK"/>
        </w:rPr>
      </w:pPr>
      <w:r>
        <w:rPr>
          <w:rFonts w:eastAsia="MS Mincho"/>
          <w:noProof/>
          <w:sz w:val="22"/>
          <w:szCs w:val="22"/>
          <w:lang w:val="da-DK"/>
        </w:rPr>
        <w:pict w14:anchorId="672D20C8">
          <v:shape id="Picture 11" o:spid="_x0000_i1034" type="#_x0000_t75" style="width:424.5pt;height:327.75pt;visibility:visible">
            <v:imagedata r:id="rId92" o:title=""/>
          </v:shape>
        </w:pict>
      </w:r>
    </w:p>
    <w:p w14:paraId="6238F4C3" w14:textId="0AA55498" w:rsidR="006B3F46" w:rsidRPr="009978E3" w:rsidRDefault="006B3F46" w:rsidP="00907941">
      <w:pPr>
        <w:jc w:val="both"/>
        <w:rPr>
          <w:rFonts w:eastAsia="MS Mincho"/>
          <w:sz w:val="22"/>
          <w:szCs w:val="22"/>
          <w:lang w:val="en-US"/>
        </w:rPr>
      </w:pPr>
      <w:r w:rsidRPr="0021277B">
        <w:rPr>
          <w:rFonts w:eastAsia="MS Mincho"/>
          <w:sz w:val="22"/>
          <w:szCs w:val="22"/>
          <w:lang w:val="en-US"/>
        </w:rPr>
        <w:t>Figure 7</w:t>
      </w:r>
      <w:r w:rsidRPr="00EC5399">
        <w:rPr>
          <w:rFonts w:eastAsia="MS Mincho"/>
          <w:sz w:val="22"/>
          <w:szCs w:val="22"/>
          <w:lang w:val="en-US"/>
        </w:rPr>
        <w:t>. The</w:t>
      </w:r>
      <w:r w:rsidRPr="009978E3">
        <w:rPr>
          <w:rFonts w:eastAsia="MS Mincho"/>
          <w:sz w:val="22"/>
          <w:szCs w:val="22"/>
          <w:lang w:val="en-US"/>
        </w:rPr>
        <w:t xml:space="preserve"> abundance and spatial distribution of fulmars in the northern part of the Danish North Sea and Skagerrak on 23 October 2007. The estimated abundance was ca. 18,500 birds, 94 </w:t>
      </w:r>
      <w:r>
        <w:rPr>
          <w:rFonts w:eastAsia="MS Mincho"/>
          <w:sz w:val="22"/>
          <w:szCs w:val="22"/>
          <w:lang w:val="en-US"/>
        </w:rPr>
        <w:t>per cent</w:t>
      </w:r>
      <w:r w:rsidRPr="009978E3">
        <w:rPr>
          <w:rFonts w:eastAsia="MS Mincho"/>
          <w:sz w:val="22"/>
          <w:szCs w:val="22"/>
          <w:lang w:val="en-US"/>
        </w:rPr>
        <w:t xml:space="preserve"> of which were found within the area meeting the EBSA criteria.</w:t>
      </w:r>
      <w:r>
        <w:rPr>
          <w:rFonts w:eastAsia="MS Mincho"/>
          <w:sz w:val="22"/>
          <w:szCs w:val="22"/>
          <w:lang w:val="en-US"/>
        </w:rPr>
        <w:t xml:space="preserve"> </w:t>
      </w:r>
    </w:p>
    <w:p w14:paraId="3E12C152" w14:textId="77777777" w:rsidR="006B3F46" w:rsidRPr="009978E3" w:rsidRDefault="006B3F46">
      <w:pPr>
        <w:rPr>
          <w:rFonts w:eastAsia="MS Mincho"/>
          <w:bCs/>
          <w:sz w:val="22"/>
          <w:szCs w:val="22"/>
          <w:lang w:val="en-US"/>
        </w:rPr>
      </w:pPr>
    </w:p>
    <w:p w14:paraId="708F3084" w14:textId="77777777" w:rsidR="006B3F46" w:rsidRPr="009978E3" w:rsidRDefault="006B3F46">
      <w:pPr>
        <w:rPr>
          <w:rFonts w:eastAsia="MS Mincho"/>
          <w:bCs/>
          <w:sz w:val="22"/>
          <w:szCs w:val="22"/>
          <w:lang w:val="en-US"/>
        </w:rPr>
      </w:pPr>
    </w:p>
    <w:p w14:paraId="40452DF7" w14:textId="77777777" w:rsidR="006B3F46" w:rsidRPr="00F66EF7" w:rsidRDefault="009E53BE" w:rsidP="00907941">
      <w:pPr>
        <w:jc w:val="both"/>
        <w:rPr>
          <w:rFonts w:eastAsia="MS Mincho"/>
          <w:sz w:val="22"/>
          <w:szCs w:val="22"/>
          <w:lang w:val="da-DK"/>
        </w:rPr>
      </w:pPr>
      <w:r>
        <w:rPr>
          <w:rFonts w:eastAsia="MS Mincho"/>
          <w:noProof/>
          <w:sz w:val="22"/>
          <w:szCs w:val="22"/>
          <w:lang w:val="da-DK"/>
        </w:rPr>
        <w:pict w14:anchorId="494F9350">
          <v:shape id="Picture 16" o:spid="_x0000_i1035" type="#_x0000_t75" style="width:363pt;height:279.75pt;visibility:visible">
            <v:imagedata r:id="rId93" o:title=""/>
          </v:shape>
        </w:pict>
      </w:r>
    </w:p>
    <w:p w14:paraId="390139DE" w14:textId="77777777" w:rsidR="006B3F46" w:rsidRPr="009978E3" w:rsidRDefault="006B3F46" w:rsidP="00907941">
      <w:pPr>
        <w:jc w:val="both"/>
        <w:rPr>
          <w:rFonts w:eastAsia="MS Mincho"/>
          <w:sz w:val="22"/>
          <w:szCs w:val="22"/>
          <w:lang w:val="en-US"/>
        </w:rPr>
      </w:pPr>
      <w:r w:rsidRPr="0021277B">
        <w:rPr>
          <w:rFonts w:eastAsia="MS Mincho"/>
          <w:sz w:val="22"/>
          <w:szCs w:val="22"/>
          <w:lang w:val="en-US"/>
        </w:rPr>
        <w:t>Figure 8</w:t>
      </w:r>
      <w:r w:rsidRPr="00EC5399">
        <w:rPr>
          <w:rFonts w:eastAsia="MS Mincho"/>
          <w:sz w:val="22"/>
          <w:szCs w:val="22"/>
          <w:lang w:val="en-US"/>
        </w:rPr>
        <w:t>. Th</w:t>
      </w:r>
      <w:r w:rsidRPr="009978E3">
        <w:rPr>
          <w:rFonts w:eastAsia="MS Mincho"/>
          <w:sz w:val="22"/>
          <w:szCs w:val="22"/>
          <w:lang w:val="en-US"/>
        </w:rPr>
        <w:t xml:space="preserve">e abundance and spatial distribution of razorbills/common guillemots in the northern part of the Danish North Sea and Skagerrak on 6 August 2006. The estimated abundance was ca. 28,000 birds, of which 74 </w:t>
      </w:r>
      <w:r>
        <w:rPr>
          <w:rFonts w:eastAsia="MS Mincho"/>
          <w:sz w:val="22"/>
          <w:szCs w:val="22"/>
          <w:lang w:val="en-US"/>
        </w:rPr>
        <w:t xml:space="preserve"> per cent</w:t>
      </w:r>
      <w:r w:rsidRPr="009978E3">
        <w:rPr>
          <w:rFonts w:eastAsia="MS Mincho"/>
          <w:sz w:val="22"/>
          <w:szCs w:val="22"/>
          <w:lang w:val="en-US"/>
        </w:rPr>
        <w:t xml:space="preserve"> were found within the area meeting EBSA criteria.</w:t>
      </w:r>
      <w:r>
        <w:rPr>
          <w:rFonts w:eastAsia="MS Mincho"/>
          <w:sz w:val="22"/>
          <w:szCs w:val="22"/>
          <w:lang w:val="en-US"/>
        </w:rPr>
        <w:t xml:space="preserve"> </w:t>
      </w:r>
    </w:p>
    <w:p w14:paraId="7F15CB04" w14:textId="77777777" w:rsidR="006B3F46" w:rsidRPr="009978E3" w:rsidRDefault="006B3F46">
      <w:pPr>
        <w:rPr>
          <w:rFonts w:eastAsia="MS Mincho"/>
          <w:bCs/>
          <w:sz w:val="22"/>
          <w:szCs w:val="22"/>
          <w:lang w:val="en-US"/>
        </w:rPr>
      </w:pPr>
    </w:p>
    <w:p w14:paraId="021A62B3" w14:textId="77777777" w:rsidR="006B3F46" w:rsidRPr="009978E3" w:rsidRDefault="006B3F46">
      <w:pPr>
        <w:rPr>
          <w:rFonts w:eastAsia="MS Mincho"/>
          <w:bCs/>
          <w:sz w:val="22"/>
          <w:szCs w:val="22"/>
          <w:lang w:val="en-US"/>
        </w:rPr>
      </w:pPr>
    </w:p>
    <w:p w14:paraId="49492573" w14:textId="77777777" w:rsidR="006B3F46" w:rsidRPr="00F66EF7" w:rsidRDefault="009E53BE" w:rsidP="00907941">
      <w:pPr>
        <w:jc w:val="both"/>
        <w:rPr>
          <w:rFonts w:eastAsia="MS Mincho"/>
          <w:sz w:val="22"/>
          <w:szCs w:val="22"/>
          <w:lang w:val="da-DK"/>
        </w:rPr>
      </w:pPr>
      <w:r>
        <w:rPr>
          <w:rFonts w:eastAsia="MS Mincho"/>
          <w:noProof/>
          <w:sz w:val="22"/>
          <w:szCs w:val="22"/>
          <w:lang w:val="da-DK"/>
        </w:rPr>
        <w:pict w14:anchorId="0CD34B2B">
          <v:shape id="Picture 17" o:spid="_x0000_i1036" type="#_x0000_t75" style="width:334.5pt;height:258pt;visibility:visible">
            <v:imagedata r:id="rId94" o:title=""/>
          </v:shape>
        </w:pict>
      </w:r>
    </w:p>
    <w:p w14:paraId="162E7E01" w14:textId="77777777" w:rsidR="006B3F46" w:rsidRPr="009978E3" w:rsidRDefault="006B3F46" w:rsidP="00907941">
      <w:pPr>
        <w:jc w:val="both"/>
        <w:rPr>
          <w:rFonts w:eastAsia="MS Mincho"/>
          <w:sz w:val="22"/>
          <w:szCs w:val="22"/>
          <w:lang w:val="en-US"/>
        </w:rPr>
      </w:pPr>
      <w:r w:rsidRPr="0021277B">
        <w:rPr>
          <w:rFonts w:eastAsia="MS Mincho"/>
          <w:sz w:val="22"/>
          <w:szCs w:val="22"/>
          <w:lang w:val="en-US"/>
        </w:rPr>
        <w:t>Figure 9</w:t>
      </w:r>
      <w:r w:rsidRPr="00EC5399">
        <w:rPr>
          <w:rFonts w:eastAsia="MS Mincho"/>
          <w:sz w:val="22"/>
          <w:szCs w:val="22"/>
          <w:lang w:val="en-US"/>
        </w:rPr>
        <w:t>.</w:t>
      </w:r>
      <w:r w:rsidRPr="009978E3">
        <w:rPr>
          <w:rFonts w:eastAsia="MS Mincho"/>
          <w:sz w:val="22"/>
          <w:szCs w:val="22"/>
          <w:lang w:val="en-US"/>
        </w:rPr>
        <w:t xml:space="preserve"> The abundance and spatial distribution of razorbills/common guillemots in the northern part of the Danish North Sea and Skagerrak on 26 September 2007. The estimated abundance was ca. 9,600 birds, of which 61 </w:t>
      </w:r>
      <w:r>
        <w:rPr>
          <w:rFonts w:eastAsia="MS Mincho"/>
          <w:sz w:val="22"/>
          <w:szCs w:val="22"/>
          <w:lang w:val="en-US"/>
        </w:rPr>
        <w:t xml:space="preserve"> per cent</w:t>
      </w:r>
      <w:r w:rsidRPr="009978E3">
        <w:rPr>
          <w:rFonts w:eastAsia="MS Mincho"/>
          <w:sz w:val="22"/>
          <w:szCs w:val="22"/>
          <w:lang w:val="en-US"/>
        </w:rPr>
        <w:t xml:space="preserve"> were found within the area meeting the EBSA criteria.</w:t>
      </w:r>
      <w:r>
        <w:rPr>
          <w:rFonts w:eastAsia="MS Mincho"/>
          <w:sz w:val="22"/>
          <w:szCs w:val="22"/>
          <w:lang w:val="en-US"/>
        </w:rPr>
        <w:t xml:space="preserve"> </w:t>
      </w:r>
    </w:p>
    <w:p w14:paraId="10A4B2F3" w14:textId="77777777" w:rsidR="006B3F46" w:rsidRPr="009978E3" w:rsidRDefault="006B3F46">
      <w:pPr>
        <w:rPr>
          <w:rFonts w:eastAsia="MS Mincho"/>
          <w:bCs/>
          <w:sz w:val="22"/>
          <w:szCs w:val="22"/>
          <w:lang w:val="en-US"/>
        </w:rPr>
      </w:pPr>
    </w:p>
    <w:p w14:paraId="1971CBCD" w14:textId="77777777" w:rsidR="006B3F46" w:rsidRPr="009978E3" w:rsidRDefault="006B3F46">
      <w:pPr>
        <w:rPr>
          <w:rFonts w:eastAsia="MS Mincho"/>
          <w:bCs/>
          <w:sz w:val="22"/>
          <w:szCs w:val="22"/>
          <w:lang w:val="en-US"/>
        </w:rPr>
      </w:pPr>
    </w:p>
    <w:p w14:paraId="3DA441CD" w14:textId="77777777" w:rsidR="006B3F46" w:rsidRPr="00F66EF7" w:rsidRDefault="009E53BE" w:rsidP="00907941">
      <w:pPr>
        <w:jc w:val="both"/>
        <w:rPr>
          <w:rFonts w:eastAsia="MS Mincho"/>
          <w:sz w:val="22"/>
          <w:szCs w:val="22"/>
          <w:lang w:val="da-DK"/>
        </w:rPr>
      </w:pPr>
      <w:r>
        <w:rPr>
          <w:rFonts w:eastAsia="MS Mincho"/>
          <w:noProof/>
          <w:sz w:val="22"/>
          <w:szCs w:val="22"/>
          <w:lang w:val="da-DK"/>
        </w:rPr>
        <w:pict w14:anchorId="20F761B4">
          <v:shape id="Picture 18" o:spid="_x0000_i1037" type="#_x0000_t75" style="width:304.5pt;height:235.5pt;visibility:visible">
            <v:imagedata r:id="rId95" o:title=""/>
          </v:shape>
        </w:pict>
      </w:r>
    </w:p>
    <w:p w14:paraId="617D3681" w14:textId="03AAF136" w:rsidR="006B3F46" w:rsidRPr="009978E3" w:rsidRDefault="006B3F46" w:rsidP="00907941">
      <w:pPr>
        <w:jc w:val="both"/>
        <w:rPr>
          <w:rFonts w:eastAsia="MS Mincho"/>
          <w:sz w:val="22"/>
          <w:szCs w:val="22"/>
          <w:lang w:val="en-US"/>
        </w:rPr>
      </w:pPr>
      <w:r w:rsidRPr="0021277B">
        <w:rPr>
          <w:rFonts w:eastAsia="MS Mincho"/>
          <w:sz w:val="22"/>
          <w:szCs w:val="22"/>
          <w:lang w:val="en-US"/>
        </w:rPr>
        <w:t>Figure 10</w:t>
      </w:r>
      <w:r w:rsidRPr="00EC5399">
        <w:rPr>
          <w:rFonts w:eastAsia="MS Mincho"/>
          <w:sz w:val="22"/>
          <w:szCs w:val="22"/>
          <w:lang w:val="en-US"/>
        </w:rPr>
        <w:t>.</w:t>
      </w:r>
      <w:r w:rsidRPr="009978E3">
        <w:rPr>
          <w:rFonts w:eastAsia="MS Mincho"/>
          <w:sz w:val="22"/>
          <w:szCs w:val="22"/>
          <w:lang w:val="en-US"/>
        </w:rPr>
        <w:t xml:space="preserve"> The abundance and spatial distribution of razorbills/common guillemots in the northern part of the Danish North Sea and Skagerrak on 23 October 2007. The estimated abundance was ca. 21,000 birds, of which 61 </w:t>
      </w:r>
      <w:r>
        <w:rPr>
          <w:rFonts w:eastAsia="MS Mincho"/>
          <w:sz w:val="22"/>
          <w:szCs w:val="22"/>
          <w:lang w:val="en-US"/>
        </w:rPr>
        <w:t>per cent</w:t>
      </w:r>
      <w:r w:rsidRPr="009978E3">
        <w:rPr>
          <w:rFonts w:eastAsia="MS Mincho"/>
          <w:sz w:val="22"/>
          <w:szCs w:val="22"/>
          <w:lang w:val="en-US"/>
        </w:rPr>
        <w:t xml:space="preserve"> were found within the area meeting EBSA criteria.</w:t>
      </w:r>
      <w:r>
        <w:rPr>
          <w:rFonts w:eastAsia="MS Mincho"/>
          <w:sz w:val="22"/>
          <w:szCs w:val="22"/>
          <w:lang w:val="en-US"/>
        </w:rPr>
        <w:t xml:space="preserve"> </w:t>
      </w:r>
    </w:p>
    <w:p w14:paraId="1BA0D552" w14:textId="77777777" w:rsidR="006B3F46" w:rsidRPr="009978E3" w:rsidRDefault="006B3F46">
      <w:pPr>
        <w:rPr>
          <w:rFonts w:eastAsia="MS Mincho"/>
          <w:bCs/>
          <w:sz w:val="22"/>
          <w:szCs w:val="22"/>
          <w:lang w:val="en-US"/>
        </w:rPr>
      </w:pPr>
    </w:p>
    <w:p w14:paraId="04247832" w14:textId="77777777" w:rsidR="006B3F46" w:rsidRPr="009978E3" w:rsidRDefault="006B3F46">
      <w:pPr>
        <w:rPr>
          <w:rFonts w:eastAsia="MS Mincho"/>
          <w:bCs/>
          <w:sz w:val="22"/>
          <w:szCs w:val="22"/>
          <w:lang w:val="en-US"/>
        </w:rPr>
      </w:pPr>
    </w:p>
    <w:p w14:paraId="0623BBA2" w14:textId="77777777" w:rsidR="006B3F46" w:rsidRPr="00F66EF7" w:rsidRDefault="009E53BE" w:rsidP="00907941">
      <w:pPr>
        <w:jc w:val="both"/>
        <w:rPr>
          <w:rFonts w:eastAsia="MS Mincho"/>
          <w:sz w:val="22"/>
          <w:szCs w:val="22"/>
          <w:lang w:val="da-DK"/>
        </w:rPr>
      </w:pPr>
      <w:bookmarkStart w:id="16" w:name="_Hlk21532837"/>
      <w:r>
        <w:rPr>
          <w:rFonts w:eastAsia="MS Mincho"/>
          <w:noProof/>
          <w:sz w:val="22"/>
          <w:szCs w:val="22"/>
          <w:lang w:val="da-DK"/>
        </w:rPr>
        <w:pict w14:anchorId="4D6BE8E4">
          <v:shape id="Picture 19" o:spid="_x0000_i1038" type="#_x0000_t75" style="width:393pt;height:305.25pt;visibility:visible">
            <v:imagedata r:id="rId96" o:title=""/>
          </v:shape>
        </w:pict>
      </w:r>
      <w:bookmarkEnd w:id="16"/>
    </w:p>
    <w:p w14:paraId="23E1E270" w14:textId="77777777" w:rsidR="006B3F46" w:rsidRPr="009978E3" w:rsidRDefault="006B3F46" w:rsidP="00907941">
      <w:pPr>
        <w:jc w:val="both"/>
        <w:rPr>
          <w:rFonts w:eastAsia="MS Mincho"/>
          <w:sz w:val="22"/>
          <w:szCs w:val="22"/>
          <w:lang w:val="en-US"/>
        </w:rPr>
      </w:pPr>
      <w:r w:rsidRPr="0021277B">
        <w:rPr>
          <w:rFonts w:eastAsia="MS Mincho"/>
          <w:sz w:val="22"/>
          <w:szCs w:val="22"/>
          <w:lang w:val="en-US"/>
        </w:rPr>
        <w:t>Figure 11</w:t>
      </w:r>
      <w:r w:rsidRPr="00EC5399">
        <w:rPr>
          <w:rFonts w:eastAsia="MS Mincho"/>
          <w:sz w:val="22"/>
          <w:szCs w:val="22"/>
          <w:lang w:val="en-US"/>
        </w:rPr>
        <w:t>.</w:t>
      </w:r>
      <w:r w:rsidRPr="009978E3">
        <w:rPr>
          <w:rFonts w:eastAsia="MS Mincho"/>
          <w:sz w:val="22"/>
          <w:szCs w:val="22"/>
          <w:lang w:val="en-US"/>
        </w:rPr>
        <w:t xml:space="preserve"> The numbers of observed great skuas in the northern part of the Danish North Sea and Skagerrak, and their spatial distribution during three surveys performed in August of 2011 and 2015 and in September 2007.</w:t>
      </w:r>
      <w:r>
        <w:rPr>
          <w:rFonts w:eastAsia="MS Mincho"/>
          <w:sz w:val="22"/>
          <w:szCs w:val="22"/>
          <w:lang w:val="en-US"/>
        </w:rPr>
        <w:t xml:space="preserve"> </w:t>
      </w:r>
    </w:p>
    <w:p w14:paraId="2BB89916" w14:textId="77777777" w:rsidR="006B3F46" w:rsidRPr="009978E3" w:rsidRDefault="006B3F46" w:rsidP="00907941">
      <w:pPr>
        <w:jc w:val="center"/>
        <w:rPr>
          <w:rFonts w:eastAsia="MS Mincho"/>
          <w:b/>
          <w:sz w:val="22"/>
          <w:szCs w:val="22"/>
          <w:lang w:val="en-US"/>
        </w:rPr>
      </w:pPr>
      <w:r w:rsidRPr="009978E3">
        <w:rPr>
          <w:rFonts w:eastAsia="MS Mincho"/>
          <w:sz w:val="22"/>
          <w:szCs w:val="22"/>
          <w:lang w:val="en-US"/>
        </w:rPr>
        <w:br w:type="page"/>
      </w:r>
      <w:bookmarkStart w:id="17" w:name="_Hlk23508879"/>
      <w:r w:rsidRPr="009978E3">
        <w:rPr>
          <w:rFonts w:eastAsia="MS Mincho"/>
          <w:b/>
          <w:sz w:val="22"/>
          <w:szCs w:val="22"/>
          <w:lang w:val="en-US"/>
        </w:rPr>
        <w:t>Area no. 2: Danish Kattegat</w:t>
      </w:r>
    </w:p>
    <w:bookmarkEnd w:id="17"/>
    <w:p w14:paraId="63D5B5E2" w14:textId="77777777" w:rsidR="006B3F46" w:rsidRPr="009978E3" w:rsidRDefault="006B3F46" w:rsidP="00907941">
      <w:pPr>
        <w:jc w:val="both"/>
        <w:rPr>
          <w:rFonts w:eastAsia="MS Mincho"/>
          <w:sz w:val="22"/>
          <w:szCs w:val="22"/>
          <w:lang w:val="en-US"/>
        </w:rPr>
      </w:pPr>
    </w:p>
    <w:p w14:paraId="18AF9797"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Abstract</w:t>
      </w:r>
    </w:p>
    <w:p w14:paraId="23573255"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The Danish Kattegat hosts a landscape comprising shallow sandy flats, deeper muddy channels and areas with boulder reefs and bubbling reefs. The area has a diverse avifauna, with elements from pelagic environments in the North Sea, as well as wintering birds from breeding grounds </w:t>
      </w:r>
      <w:r>
        <w:rPr>
          <w:rFonts w:eastAsia="MS Mincho"/>
          <w:sz w:val="22"/>
          <w:szCs w:val="22"/>
          <w:lang w:val="en-US"/>
        </w:rPr>
        <w:t xml:space="preserve">in the </w:t>
      </w:r>
      <w:r w:rsidRPr="009978E3">
        <w:rPr>
          <w:rFonts w:eastAsia="MS Mincho"/>
          <w:sz w:val="22"/>
          <w:szCs w:val="22"/>
          <w:lang w:val="en-US"/>
        </w:rPr>
        <w:t xml:space="preserve">Russian </w:t>
      </w:r>
      <w:r>
        <w:rPr>
          <w:rFonts w:eastAsia="MS Mincho"/>
          <w:sz w:val="22"/>
          <w:szCs w:val="22"/>
          <w:lang w:val="en-US"/>
        </w:rPr>
        <w:t xml:space="preserve">Federation </w:t>
      </w:r>
      <w:r w:rsidRPr="009978E3">
        <w:rPr>
          <w:rFonts w:eastAsia="MS Mincho"/>
          <w:sz w:val="22"/>
          <w:szCs w:val="22"/>
          <w:lang w:val="en-US"/>
        </w:rPr>
        <w:t xml:space="preserve">and Scandinavia. </w:t>
      </w:r>
      <w:r>
        <w:rPr>
          <w:rFonts w:eastAsia="MS Mincho"/>
          <w:sz w:val="22"/>
          <w:szCs w:val="22"/>
          <w:lang w:val="en-US"/>
        </w:rPr>
        <w:t>Parts of the a</w:t>
      </w:r>
      <w:r w:rsidRPr="009978E3">
        <w:rPr>
          <w:rFonts w:eastAsia="MS Mincho"/>
          <w:sz w:val="22"/>
          <w:szCs w:val="22"/>
          <w:lang w:val="en-US"/>
        </w:rPr>
        <w:t>rea</w:t>
      </w:r>
      <w:r>
        <w:rPr>
          <w:rFonts w:eastAsia="MS Mincho"/>
          <w:sz w:val="22"/>
          <w:szCs w:val="22"/>
          <w:lang w:val="en-US"/>
        </w:rPr>
        <w:t xml:space="preserve"> are</w:t>
      </w:r>
      <w:r w:rsidRPr="009978E3">
        <w:rPr>
          <w:rFonts w:eastAsia="MS Mincho"/>
          <w:sz w:val="22"/>
          <w:szCs w:val="22"/>
          <w:lang w:val="en-US"/>
        </w:rPr>
        <w:t xml:space="preserve"> difficult to access for human activities serve as valuable moulting sites for seaducks</w:t>
      </w:r>
      <w:r>
        <w:rPr>
          <w:rFonts w:eastAsia="MS Mincho"/>
          <w:sz w:val="22"/>
          <w:szCs w:val="22"/>
          <w:lang w:val="en-US"/>
        </w:rPr>
        <w:t>,</w:t>
      </w:r>
      <w:r w:rsidRPr="009978E3">
        <w:rPr>
          <w:rFonts w:eastAsia="MS Mincho"/>
          <w:sz w:val="22"/>
          <w:szCs w:val="22"/>
          <w:lang w:val="en-US"/>
        </w:rPr>
        <w:t xml:space="preserve"> such as common scoter and velvet scoter. The area is a meeting site for two subpopulations of harbo</w:t>
      </w:r>
      <w:r>
        <w:rPr>
          <w:rFonts w:eastAsia="MS Mincho"/>
          <w:sz w:val="22"/>
          <w:szCs w:val="22"/>
          <w:lang w:val="en-US"/>
        </w:rPr>
        <w:t>u</w:t>
      </w:r>
      <w:r w:rsidRPr="009978E3">
        <w:rPr>
          <w:rFonts w:eastAsia="MS Mincho"/>
          <w:sz w:val="22"/>
          <w:szCs w:val="22"/>
          <w:lang w:val="en-US"/>
        </w:rPr>
        <w:t>r porpoise. Eelgrass meadows exist here, although they are small</w:t>
      </w:r>
      <w:r>
        <w:rPr>
          <w:rFonts w:eastAsia="MS Mincho"/>
          <w:sz w:val="22"/>
          <w:szCs w:val="22"/>
          <w:lang w:val="en-US"/>
        </w:rPr>
        <w:t>er than they were in</w:t>
      </w:r>
      <w:r w:rsidRPr="009978E3">
        <w:rPr>
          <w:rFonts w:eastAsia="MS Mincho"/>
          <w:sz w:val="22"/>
          <w:szCs w:val="22"/>
          <w:lang w:val="en-US"/>
        </w:rPr>
        <w:t xml:space="preserve"> </w:t>
      </w:r>
      <w:r>
        <w:rPr>
          <w:rFonts w:eastAsia="MS Mincho"/>
          <w:sz w:val="22"/>
          <w:szCs w:val="22"/>
          <w:lang w:val="en-US"/>
        </w:rPr>
        <w:t xml:space="preserve">the year </w:t>
      </w:r>
      <w:r w:rsidRPr="009978E3">
        <w:rPr>
          <w:rFonts w:eastAsia="MS Mincho"/>
          <w:sz w:val="22"/>
          <w:szCs w:val="22"/>
          <w:lang w:val="en-US"/>
        </w:rPr>
        <w:t>1900. Seaweed forests and rich fauna are found on boulder reefs and bubbling reefs in this area, and infauna communities have high biomasses. Horse</w:t>
      </w:r>
      <w:r>
        <w:rPr>
          <w:rFonts w:eastAsia="MS Mincho"/>
          <w:sz w:val="22"/>
          <w:szCs w:val="22"/>
          <w:lang w:val="en-US"/>
        </w:rPr>
        <w:t>-</w:t>
      </w:r>
      <w:r w:rsidRPr="009978E3">
        <w:rPr>
          <w:rFonts w:eastAsia="MS Mincho"/>
          <w:sz w:val="22"/>
          <w:szCs w:val="22"/>
          <w:lang w:val="en-US"/>
        </w:rPr>
        <w:t xml:space="preserve">mussel beds are found primarily in the southern part of Kattegat, where they form biogenic reef structures. </w:t>
      </w:r>
      <w:r w:rsidRPr="0021277B">
        <w:rPr>
          <w:rFonts w:eastAsia="MS Mincho"/>
          <w:i/>
          <w:sz w:val="22"/>
          <w:szCs w:val="22"/>
          <w:lang w:val="en-US"/>
        </w:rPr>
        <w:t>Haploops tubicola</w:t>
      </w:r>
      <w:r w:rsidRPr="009978E3">
        <w:rPr>
          <w:rFonts w:eastAsia="MS Mincho"/>
          <w:sz w:val="22"/>
          <w:szCs w:val="22"/>
          <w:lang w:val="en-US"/>
        </w:rPr>
        <w:t xml:space="preserve">, </w:t>
      </w:r>
      <w:r>
        <w:rPr>
          <w:rFonts w:eastAsia="MS Mincho"/>
          <w:sz w:val="22"/>
          <w:szCs w:val="22"/>
          <w:lang w:val="en-US"/>
        </w:rPr>
        <w:t>a</w:t>
      </w:r>
      <w:r w:rsidRPr="009978E3">
        <w:rPr>
          <w:rFonts w:eastAsia="MS Mincho"/>
          <w:sz w:val="22"/>
          <w:szCs w:val="22"/>
          <w:lang w:val="en-US"/>
        </w:rPr>
        <w:t xml:space="preserve"> small crustacean</w:t>
      </w:r>
      <w:r>
        <w:rPr>
          <w:rFonts w:eastAsia="MS Mincho"/>
          <w:sz w:val="22"/>
          <w:szCs w:val="22"/>
          <w:lang w:val="en-US"/>
        </w:rPr>
        <w:t>,</w:t>
      </w:r>
      <w:r w:rsidRPr="009978E3">
        <w:rPr>
          <w:rFonts w:eastAsia="MS Mincho"/>
          <w:sz w:val="22"/>
          <w:szCs w:val="22"/>
          <w:lang w:val="en-US"/>
        </w:rPr>
        <w:t xml:space="preserve"> is present in the area, but no longer forms a specific habitat with high densities.</w:t>
      </w:r>
    </w:p>
    <w:p w14:paraId="63329C60" w14:textId="77777777" w:rsidR="006B3F46" w:rsidRPr="009978E3" w:rsidRDefault="006B3F46" w:rsidP="00907941">
      <w:pPr>
        <w:jc w:val="both"/>
        <w:rPr>
          <w:rFonts w:eastAsia="MS Mincho"/>
          <w:sz w:val="22"/>
          <w:szCs w:val="22"/>
          <w:lang w:val="en-US"/>
        </w:rPr>
      </w:pPr>
    </w:p>
    <w:p w14:paraId="27A6033E"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26D7185F"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Kattegat is a transitional water zone between the high</w:t>
      </w:r>
      <w:r>
        <w:rPr>
          <w:rFonts w:eastAsia="MS Mincho"/>
          <w:sz w:val="22"/>
          <w:szCs w:val="22"/>
          <w:lang w:val="en-US"/>
        </w:rPr>
        <w:t>ly</w:t>
      </w:r>
      <w:r w:rsidRPr="009978E3">
        <w:rPr>
          <w:rFonts w:eastAsia="MS Mincho"/>
          <w:sz w:val="22"/>
          <w:szCs w:val="22"/>
          <w:lang w:val="en-US"/>
        </w:rPr>
        <w:t xml:space="preserve"> saline Skagerrak and the brackish Baltic Sea. It</w:t>
      </w:r>
      <w:r>
        <w:rPr>
          <w:rFonts w:eastAsia="MS Mincho"/>
          <w:sz w:val="22"/>
          <w:szCs w:val="22"/>
          <w:lang w:val="en-US"/>
        </w:rPr>
        <w:t>s eastern part</w:t>
      </w:r>
      <w:r w:rsidRPr="009978E3">
        <w:rPr>
          <w:rFonts w:eastAsia="MS Mincho"/>
          <w:sz w:val="22"/>
          <w:szCs w:val="22"/>
          <w:lang w:val="en-US"/>
        </w:rPr>
        <w:t xml:space="preserve"> hosts a deep ancient river valley (&gt;100 m depth), surrounded by shallow sandbanks and boulder reef areas bordering Swedish waters. To the west, sandy flats dominate</w:t>
      </w:r>
      <w:r>
        <w:rPr>
          <w:rFonts w:eastAsia="MS Mincho"/>
          <w:sz w:val="22"/>
          <w:szCs w:val="22"/>
          <w:lang w:val="en-US"/>
        </w:rPr>
        <w:t>,</w:t>
      </w:r>
      <w:r w:rsidRPr="009978E3">
        <w:rPr>
          <w:rFonts w:eastAsia="MS Mincho"/>
          <w:sz w:val="22"/>
          <w:szCs w:val="22"/>
          <w:lang w:val="en-US"/>
        </w:rPr>
        <w:t xml:space="preserve"> with water depth less than 20m. The rare feature made by “bubbling reefs” is present in the northern area. The water masses are stratified</w:t>
      </w:r>
      <w:r>
        <w:rPr>
          <w:rFonts w:eastAsia="MS Mincho"/>
          <w:sz w:val="22"/>
          <w:szCs w:val="22"/>
          <w:lang w:val="en-US"/>
        </w:rPr>
        <w:t>,</w:t>
      </w:r>
      <w:r w:rsidRPr="009978E3">
        <w:rPr>
          <w:rFonts w:eastAsia="MS Mincho"/>
          <w:sz w:val="22"/>
          <w:szCs w:val="22"/>
          <w:lang w:val="en-US"/>
        </w:rPr>
        <w:t xml:space="preserve"> with the less saline Baltic water flowing northward over masses with higher salinity</w:t>
      </w:r>
      <w:r>
        <w:rPr>
          <w:rFonts w:eastAsia="MS Mincho"/>
          <w:sz w:val="22"/>
          <w:szCs w:val="22"/>
          <w:lang w:val="en-US"/>
        </w:rPr>
        <w:t>, which</w:t>
      </w:r>
      <w:r w:rsidRPr="009978E3">
        <w:rPr>
          <w:rFonts w:eastAsia="MS Mincho"/>
          <w:sz w:val="22"/>
          <w:szCs w:val="22"/>
          <w:lang w:val="en-US"/>
        </w:rPr>
        <w:t xml:space="preserve"> flow southward. The area is very productive</w:t>
      </w:r>
      <w:r>
        <w:rPr>
          <w:rFonts w:eastAsia="MS Mincho"/>
          <w:sz w:val="22"/>
          <w:szCs w:val="22"/>
          <w:lang w:val="en-US"/>
        </w:rPr>
        <w:t>,</w:t>
      </w:r>
      <w:r w:rsidRPr="009978E3">
        <w:rPr>
          <w:rFonts w:eastAsia="MS Mincho"/>
          <w:sz w:val="22"/>
          <w:szCs w:val="22"/>
          <w:lang w:val="en-US"/>
        </w:rPr>
        <w:t xml:space="preserve"> with high biomass of fauna in both sandy and muddy sediments. Biogenic reefs of horse</w:t>
      </w:r>
      <w:r>
        <w:rPr>
          <w:rFonts w:eastAsia="MS Mincho"/>
          <w:sz w:val="22"/>
          <w:szCs w:val="22"/>
          <w:lang w:val="en-US"/>
        </w:rPr>
        <w:t>-</w:t>
      </w:r>
      <w:r w:rsidRPr="009978E3">
        <w:rPr>
          <w:rFonts w:eastAsia="MS Mincho"/>
          <w:sz w:val="22"/>
          <w:szCs w:val="22"/>
          <w:lang w:val="en-US"/>
        </w:rPr>
        <w:t>mussel beds (</w:t>
      </w:r>
      <w:r w:rsidRPr="009978E3">
        <w:rPr>
          <w:rFonts w:eastAsia="MS Mincho"/>
          <w:i/>
          <w:sz w:val="22"/>
          <w:szCs w:val="22"/>
          <w:lang w:val="en-US"/>
        </w:rPr>
        <w:t>Modiolus modiolus)</w:t>
      </w:r>
      <w:r w:rsidRPr="009978E3">
        <w:rPr>
          <w:rFonts w:eastAsia="MS Mincho"/>
          <w:sz w:val="22"/>
          <w:szCs w:val="22"/>
          <w:lang w:val="en-US"/>
        </w:rPr>
        <w:t xml:space="preserve"> are found in patches primarily in the southern part. Submerged vegetation covers boulders on reef locations as well as on the top of bubbling reefs</w:t>
      </w:r>
      <w:r>
        <w:rPr>
          <w:rFonts w:eastAsia="MS Mincho"/>
          <w:sz w:val="22"/>
          <w:szCs w:val="22"/>
          <w:lang w:val="en-US"/>
        </w:rPr>
        <w:t>,</w:t>
      </w:r>
      <w:r w:rsidRPr="009978E3">
        <w:rPr>
          <w:rFonts w:eastAsia="MS Mincho"/>
          <w:sz w:val="22"/>
          <w:szCs w:val="22"/>
          <w:lang w:val="en-US"/>
        </w:rPr>
        <w:t xml:space="preserve"> even with high coverage on 20m water depth. Eelgrass meadows occur along the coast. Populations of harbour seals rest and breed on the islands. Kattegat also hosts a high density of harbo</w:t>
      </w:r>
      <w:r>
        <w:rPr>
          <w:rFonts w:eastAsia="MS Mincho"/>
          <w:sz w:val="22"/>
          <w:szCs w:val="22"/>
          <w:lang w:val="en-US"/>
        </w:rPr>
        <w:t>u</w:t>
      </w:r>
      <w:r w:rsidRPr="009978E3">
        <w:rPr>
          <w:rFonts w:eastAsia="MS Mincho"/>
          <w:sz w:val="22"/>
          <w:szCs w:val="22"/>
          <w:lang w:val="en-US"/>
        </w:rPr>
        <w:t>r porpoise. The area is international</w:t>
      </w:r>
      <w:r>
        <w:rPr>
          <w:rFonts w:eastAsia="MS Mincho"/>
          <w:sz w:val="22"/>
          <w:szCs w:val="22"/>
          <w:lang w:val="en-US"/>
        </w:rPr>
        <w:t>ly</w:t>
      </w:r>
      <w:r w:rsidRPr="009978E3">
        <w:rPr>
          <w:rFonts w:eastAsia="MS Mincho"/>
          <w:sz w:val="22"/>
          <w:szCs w:val="22"/>
          <w:lang w:val="en-US"/>
        </w:rPr>
        <w:t xml:space="preserve"> </w:t>
      </w:r>
      <w:r>
        <w:rPr>
          <w:rFonts w:eastAsia="MS Mincho"/>
          <w:sz w:val="22"/>
          <w:szCs w:val="22"/>
          <w:lang w:val="en-US"/>
        </w:rPr>
        <w:t xml:space="preserve"> important</w:t>
      </w:r>
      <w:r w:rsidRPr="009978E3">
        <w:rPr>
          <w:rFonts w:eastAsia="MS Mincho"/>
          <w:sz w:val="22"/>
          <w:szCs w:val="22"/>
          <w:lang w:val="en-US"/>
        </w:rPr>
        <w:t xml:space="preserve"> for seabirds.</w:t>
      </w:r>
    </w:p>
    <w:p w14:paraId="24CECCDB" w14:textId="77777777" w:rsidR="006B3F46" w:rsidRPr="009978E3" w:rsidRDefault="006B3F46" w:rsidP="00907941">
      <w:pPr>
        <w:jc w:val="both"/>
        <w:rPr>
          <w:rFonts w:eastAsia="MS Mincho"/>
          <w:b/>
          <w:sz w:val="22"/>
          <w:szCs w:val="22"/>
          <w:lang w:val="en-US"/>
        </w:rPr>
      </w:pPr>
    </w:p>
    <w:p w14:paraId="2C95A6F5"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Location</w:t>
      </w:r>
    </w:p>
    <w:p w14:paraId="0432BDBB" w14:textId="77777777" w:rsidR="006B3F46" w:rsidRPr="00F2013D" w:rsidRDefault="006B3F46" w:rsidP="00907941">
      <w:pPr>
        <w:jc w:val="both"/>
        <w:rPr>
          <w:rFonts w:eastAsia="MS Mincho"/>
          <w:sz w:val="22"/>
          <w:szCs w:val="22"/>
          <w:lang w:val="en-US"/>
        </w:rPr>
      </w:pPr>
      <w:r w:rsidRPr="00F2013D">
        <w:rPr>
          <w:rFonts w:eastAsia="MS Mincho"/>
          <w:sz w:val="22"/>
          <w:szCs w:val="22"/>
          <w:lang w:val="en-US"/>
        </w:rPr>
        <w:t>The area comprises the northern part</w:t>
      </w:r>
      <w:r w:rsidRPr="005C7F06">
        <w:rPr>
          <w:rFonts w:eastAsia="MS Mincho"/>
          <w:sz w:val="22"/>
          <w:szCs w:val="22"/>
          <w:lang w:val="en-US"/>
        </w:rPr>
        <w:t xml:space="preserve"> of inner Danish waters. It is bordered to the south by the north coast of Sealand</w:t>
      </w:r>
      <w:r w:rsidRPr="00784081">
        <w:rPr>
          <w:rFonts w:eastAsia="MS Mincho"/>
          <w:sz w:val="22"/>
          <w:szCs w:val="22"/>
          <w:lang w:val="en-US"/>
        </w:rPr>
        <w:t>, to the west by the northeast Jutland coast, to the east by the Danish-Swedish border a</w:t>
      </w:r>
      <w:r w:rsidRPr="00AA4ECB">
        <w:rPr>
          <w:rFonts w:eastAsia="MS Mincho"/>
          <w:sz w:val="22"/>
          <w:szCs w:val="22"/>
          <w:lang w:val="en-US"/>
        </w:rPr>
        <w:t>nd to the north by a line from the northernmost point of Denmark to the northeast. It covers a total area of 14,995 km</w:t>
      </w:r>
      <w:r w:rsidRPr="00AA4ECB">
        <w:rPr>
          <w:rFonts w:eastAsia="MS Mincho"/>
          <w:sz w:val="22"/>
          <w:szCs w:val="22"/>
          <w:vertAlign w:val="superscript"/>
          <w:lang w:val="en-US"/>
        </w:rPr>
        <w:t>2</w:t>
      </w:r>
      <w:r w:rsidRPr="00AA4ECB">
        <w:rPr>
          <w:rFonts w:eastAsia="MS Mincho"/>
          <w:sz w:val="22"/>
          <w:szCs w:val="22"/>
          <w:lang w:val="en-US"/>
        </w:rPr>
        <w:t>. The existing EBSA (Area No. 9: Fladen and Stora and Lilla Middelgrund), described in the Baltic EBSA workshop, borders this area (see workshop report here</w:t>
      </w:r>
      <w:r>
        <w:rPr>
          <w:rFonts w:eastAsia="MS Mincho"/>
          <w:sz w:val="22"/>
          <w:szCs w:val="22"/>
          <w:lang w:val="en-US"/>
        </w:rPr>
        <w:t>:</w:t>
      </w:r>
      <w:r w:rsidRPr="00784081">
        <w:rPr>
          <w:rFonts w:eastAsia="MS Mincho"/>
          <w:sz w:val="22"/>
          <w:szCs w:val="22"/>
          <w:lang w:val="en-US"/>
        </w:rPr>
        <w:t xml:space="preserve"> </w:t>
      </w:r>
      <w:hyperlink r:id="rId97" w:history="1">
        <w:r w:rsidRPr="0021277B">
          <w:rPr>
            <w:rStyle w:val="Hyperlink"/>
            <w:sz w:val="22"/>
            <w:szCs w:val="22"/>
          </w:rPr>
          <w:t>https://www.cbd.int/doc/c/aa9a/bde9/eaf24f73bd471d64e8094722/ebsa-ws-2018-01-04-en.pdf</w:t>
        </w:r>
      </w:hyperlink>
      <w:r w:rsidRPr="0021277B">
        <w:rPr>
          <w:sz w:val="22"/>
          <w:szCs w:val="22"/>
        </w:rPr>
        <w:t>)</w:t>
      </w:r>
      <w:r w:rsidRPr="00F2013D">
        <w:rPr>
          <w:rFonts w:eastAsia="MS Mincho"/>
          <w:sz w:val="22"/>
          <w:szCs w:val="22"/>
          <w:lang w:val="en-US"/>
        </w:rPr>
        <w:t>.</w:t>
      </w:r>
    </w:p>
    <w:p w14:paraId="29A54F4E" w14:textId="77777777" w:rsidR="006B3F46" w:rsidRPr="00F2013D" w:rsidRDefault="006B3F46" w:rsidP="00907941">
      <w:pPr>
        <w:jc w:val="both"/>
        <w:rPr>
          <w:rFonts w:eastAsia="MS Mincho"/>
          <w:b/>
          <w:sz w:val="22"/>
          <w:szCs w:val="22"/>
          <w:lang w:val="en-US"/>
        </w:rPr>
      </w:pPr>
    </w:p>
    <w:p w14:paraId="45E028CB"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4389DC32"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General description</w:t>
      </w:r>
    </w:p>
    <w:p w14:paraId="1AD14BF3"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Kattegat is a transitional water zone between the high</w:t>
      </w:r>
      <w:r>
        <w:rPr>
          <w:rFonts w:eastAsia="MS Mincho"/>
          <w:sz w:val="22"/>
          <w:szCs w:val="22"/>
          <w:lang w:val="en-US"/>
        </w:rPr>
        <w:t>ly</w:t>
      </w:r>
      <w:r w:rsidRPr="009978E3">
        <w:rPr>
          <w:rFonts w:eastAsia="MS Mincho"/>
          <w:sz w:val="22"/>
          <w:szCs w:val="22"/>
          <w:lang w:val="en-US"/>
        </w:rPr>
        <w:t xml:space="preserve"> saline Skagerrak and the brackish Baltic Sea. It</w:t>
      </w:r>
      <w:r>
        <w:rPr>
          <w:rFonts w:eastAsia="MS Mincho"/>
          <w:sz w:val="22"/>
          <w:szCs w:val="22"/>
          <w:lang w:val="en-US"/>
        </w:rPr>
        <w:t>s eastern part</w:t>
      </w:r>
      <w:r w:rsidRPr="009978E3">
        <w:rPr>
          <w:rFonts w:eastAsia="MS Mincho"/>
          <w:sz w:val="22"/>
          <w:szCs w:val="22"/>
          <w:lang w:val="en-US"/>
        </w:rPr>
        <w:t xml:space="preserve"> hosts a deep ancient river valley (&gt;100 m depth)</w:t>
      </w:r>
      <w:r>
        <w:rPr>
          <w:rFonts w:eastAsia="MS Mincho"/>
          <w:sz w:val="22"/>
          <w:szCs w:val="22"/>
          <w:lang w:val="en-US"/>
        </w:rPr>
        <w:t>,</w:t>
      </w:r>
      <w:r w:rsidRPr="009978E3">
        <w:rPr>
          <w:rFonts w:eastAsia="MS Mincho"/>
          <w:sz w:val="22"/>
          <w:szCs w:val="22"/>
          <w:lang w:val="en-US"/>
        </w:rPr>
        <w:t xml:space="preserve"> surrounded by shallow sandbanks and boulder reef areas bordering Swedish waters. To the west, sandy flats dominate</w:t>
      </w:r>
      <w:r>
        <w:rPr>
          <w:rFonts w:eastAsia="MS Mincho"/>
          <w:sz w:val="22"/>
          <w:szCs w:val="22"/>
          <w:lang w:val="en-US"/>
        </w:rPr>
        <w:t>,</w:t>
      </w:r>
      <w:r w:rsidRPr="009978E3">
        <w:rPr>
          <w:rFonts w:eastAsia="MS Mincho"/>
          <w:sz w:val="22"/>
          <w:szCs w:val="22"/>
          <w:lang w:val="en-US"/>
        </w:rPr>
        <w:t xml:space="preserve"> with water depth less than 20m. The water masses are stratified</w:t>
      </w:r>
      <w:r>
        <w:rPr>
          <w:rFonts w:eastAsia="MS Mincho"/>
          <w:sz w:val="22"/>
          <w:szCs w:val="22"/>
          <w:lang w:val="en-US"/>
        </w:rPr>
        <w:t>,</w:t>
      </w:r>
      <w:r w:rsidRPr="009978E3">
        <w:rPr>
          <w:rFonts w:eastAsia="MS Mincho"/>
          <w:sz w:val="22"/>
          <w:szCs w:val="22"/>
          <w:lang w:val="en-US"/>
        </w:rPr>
        <w:t xml:space="preserve"> with the less saline Baltic water flowing northward</w:t>
      </w:r>
      <w:r>
        <w:rPr>
          <w:rFonts w:eastAsia="MS Mincho"/>
          <w:sz w:val="22"/>
          <w:szCs w:val="22"/>
          <w:lang w:val="en-US"/>
        </w:rPr>
        <w:t xml:space="preserve">, while beneath it, </w:t>
      </w:r>
      <w:r w:rsidRPr="009978E3">
        <w:rPr>
          <w:rFonts w:eastAsia="MS Mincho"/>
          <w:sz w:val="22"/>
          <w:szCs w:val="22"/>
          <w:lang w:val="en-US"/>
        </w:rPr>
        <w:t>water with higher salinity flow</w:t>
      </w:r>
      <w:r>
        <w:rPr>
          <w:rFonts w:eastAsia="MS Mincho"/>
          <w:sz w:val="22"/>
          <w:szCs w:val="22"/>
          <w:lang w:val="en-US"/>
        </w:rPr>
        <w:t>s</w:t>
      </w:r>
      <w:r w:rsidRPr="009978E3">
        <w:rPr>
          <w:rFonts w:eastAsia="MS Mincho"/>
          <w:sz w:val="22"/>
          <w:szCs w:val="22"/>
          <w:lang w:val="en-US"/>
        </w:rPr>
        <w:t xml:space="preserve"> southward.</w:t>
      </w:r>
    </w:p>
    <w:p w14:paraId="6A5B5E53" w14:textId="77777777" w:rsidR="006B3F46" w:rsidRPr="009978E3" w:rsidRDefault="006B3F46" w:rsidP="00907941">
      <w:pPr>
        <w:jc w:val="both"/>
        <w:rPr>
          <w:rFonts w:eastAsia="MS Mincho"/>
          <w:b/>
          <w:i/>
          <w:sz w:val="22"/>
          <w:szCs w:val="22"/>
          <w:lang w:val="en-US"/>
        </w:rPr>
      </w:pPr>
    </w:p>
    <w:p w14:paraId="4E3E8712"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Bubbling Reefs</w:t>
      </w:r>
    </w:p>
    <w:p w14:paraId="4FD08D1D"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A very rare/unique feature made by leaking gas (Habitats Directive type 1180)</w:t>
      </w:r>
      <w:r>
        <w:rPr>
          <w:rFonts w:eastAsia="MS Mincho"/>
          <w:sz w:val="22"/>
          <w:szCs w:val="22"/>
          <w:lang w:val="en-US"/>
        </w:rPr>
        <w:t xml:space="preserve">, known as </w:t>
      </w:r>
      <w:r w:rsidRPr="009978E3">
        <w:rPr>
          <w:rFonts w:eastAsia="MS Mincho"/>
          <w:sz w:val="22"/>
          <w:szCs w:val="22"/>
          <w:lang w:val="en-US"/>
        </w:rPr>
        <w:t xml:space="preserve">“bubbling reefs” </w:t>
      </w:r>
      <w:r w:rsidRPr="000018B4">
        <w:rPr>
          <w:rFonts w:eastAsia="MS Mincho"/>
          <w:sz w:val="22"/>
          <w:szCs w:val="22"/>
          <w:lang w:val="en-US"/>
        </w:rPr>
        <w:t>(</w:t>
      </w:r>
      <w:r w:rsidRPr="0021277B">
        <w:rPr>
          <w:rFonts w:eastAsia="MS Mincho"/>
          <w:sz w:val="22"/>
          <w:szCs w:val="22"/>
          <w:lang w:val="en-US"/>
        </w:rPr>
        <w:t>F</w:t>
      </w:r>
      <w:r w:rsidRPr="000018B4">
        <w:rPr>
          <w:rFonts w:eastAsia="MS Mincho"/>
          <w:sz w:val="22"/>
          <w:szCs w:val="22"/>
          <w:lang w:val="en-US"/>
        </w:rPr>
        <w:t xml:space="preserve">igure </w:t>
      </w:r>
      <w:r w:rsidRPr="0021277B">
        <w:rPr>
          <w:rFonts w:eastAsia="MS Mincho"/>
          <w:sz w:val="22"/>
          <w:szCs w:val="22"/>
          <w:lang w:val="en-US"/>
        </w:rPr>
        <w:t>2</w:t>
      </w:r>
      <w:r w:rsidRPr="000018B4">
        <w:rPr>
          <w:rFonts w:eastAsia="MS Mincho"/>
          <w:sz w:val="22"/>
          <w:szCs w:val="22"/>
          <w:lang w:val="en-US"/>
        </w:rPr>
        <w:t>) are present</w:t>
      </w:r>
      <w:r w:rsidRPr="009978E3">
        <w:rPr>
          <w:rFonts w:eastAsia="MS Mincho"/>
          <w:sz w:val="22"/>
          <w:szCs w:val="22"/>
          <w:lang w:val="en-US"/>
        </w:rPr>
        <w:t xml:space="preserve"> in the area</w:t>
      </w:r>
      <w:r>
        <w:rPr>
          <w:rFonts w:eastAsia="MS Mincho"/>
          <w:sz w:val="22"/>
          <w:szCs w:val="22"/>
          <w:lang w:val="en-US"/>
        </w:rPr>
        <w:t>, and are particularly numerous</w:t>
      </w:r>
      <w:r w:rsidRPr="009978E3">
        <w:rPr>
          <w:rFonts w:eastAsia="MS Mincho"/>
          <w:sz w:val="22"/>
          <w:szCs w:val="22"/>
          <w:lang w:val="en-US"/>
        </w:rPr>
        <w:t xml:space="preserve"> in the northern part</w:t>
      </w:r>
      <w:r>
        <w:rPr>
          <w:rFonts w:eastAsia="MS Mincho"/>
          <w:sz w:val="22"/>
          <w:szCs w:val="22"/>
          <w:lang w:val="en-US"/>
        </w:rPr>
        <w:t xml:space="preserve"> of the area</w:t>
      </w:r>
      <w:r w:rsidRPr="009978E3">
        <w:rPr>
          <w:rFonts w:eastAsia="MS Mincho"/>
          <w:sz w:val="22"/>
          <w:szCs w:val="22"/>
          <w:lang w:val="en-US"/>
        </w:rPr>
        <w:t xml:space="preserve">. This feature is so far </w:t>
      </w:r>
      <w:r>
        <w:rPr>
          <w:rFonts w:eastAsia="MS Mincho"/>
          <w:sz w:val="22"/>
          <w:szCs w:val="22"/>
          <w:lang w:val="en-US"/>
        </w:rPr>
        <w:t>recorded</w:t>
      </w:r>
      <w:r w:rsidRPr="009978E3">
        <w:rPr>
          <w:rFonts w:eastAsia="MS Mincho"/>
          <w:sz w:val="22"/>
          <w:szCs w:val="22"/>
          <w:lang w:val="en-US"/>
        </w:rPr>
        <w:t xml:space="preserve"> only </w:t>
      </w:r>
      <w:r>
        <w:rPr>
          <w:rFonts w:eastAsia="MS Mincho"/>
          <w:sz w:val="22"/>
          <w:szCs w:val="22"/>
          <w:lang w:val="en-US"/>
        </w:rPr>
        <w:t>in</w:t>
      </w:r>
      <w:r w:rsidRPr="009978E3">
        <w:rPr>
          <w:rFonts w:eastAsia="MS Mincho"/>
          <w:sz w:val="22"/>
          <w:szCs w:val="22"/>
          <w:lang w:val="en-US"/>
        </w:rPr>
        <w:t xml:space="preserve"> Kattegat, a minor part of the Danish part of Skagerrak, and </w:t>
      </w:r>
      <w:r>
        <w:rPr>
          <w:rFonts w:eastAsia="MS Mincho"/>
          <w:sz w:val="22"/>
          <w:szCs w:val="22"/>
          <w:lang w:val="en-US"/>
        </w:rPr>
        <w:t>in the</w:t>
      </w:r>
      <w:r w:rsidRPr="009978E3">
        <w:rPr>
          <w:rFonts w:eastAsia="MS Mincho"/>
          <w:sz w:val="22"/>
          <w:szCs w:val="22"/>
          <w:lang w:val="en-US"/>
        </w:rPr>
        <w:t xml:space="preserve"> Codling Fault Zone </w:t>
      </w:r>
      <w:r w:rsidRPr="00CF4095">
        <w:rPr>
          <w:rFonts w:eastAsia="MS Mincho"/>
          <w:sz w:val="22"/>
          <w:szCs w:val="22"/>
          <w:lang w:val="en-US"/>
        </w:rPr>
        <w:t>in Irish waters.</w:t>
      </w:r>
      <w:r w:rsidRPr="009978E3">
        <w:rPr>
          <w:rFonts w:eastAsia="MS Mincho"/>
          <w:sz w:val="22"/>
          <w:szCs w:val="22"/>
          <w:lang w:val="en-US"/>
        </w:rPr>
        <w:t xml:space="preserve"> Figure </w:t>
      </w:r>
      <w:r>
        <w:rPr>
          <w:rFonts w:eastAsia="MS Mincho"/>
          <w:sz w:val="22"/>
          <w:szCs w:val="22"/>
          <w:lang w:val="en-US"/>
        </w:rPr>
        <w:t>3</w:t>
      </w:r>
      <w:r w:rsidRPr="009978E3">
        <w:rPr>
          <w:rFonts w:eastAsia="MS Mincho"/>
          <w:sz w:val="22"/>
          <w:szCs w:val="22"/>
          <w:lang w:val="en-US"/>
        </w:rPr>
        <w:t xml:space="preserve"> shows the distribution of identified bubbling reefs in the </w:t>
      </w:r>
      <w:r>
        <w:rPr>
          <w:rFonts w:eastAsia="MS Mincho"/>
          <w:sz w:val="22"/>
          <w:szCs w:val="22"/>
          <w:lang w:val="en-US"/>
        </w:rPr>
        <w:t>area described as meeting the</w:t>
      </w:r>
      <w:r w:rsidRPr="009978E3">
        <w:rPr>
          <w:rFonts w:eastAsia="MS Mincho"/>
          <w:sz w:val="22"/>
          <w:szCs w:val="22"/>
          <w:lang w:val="en-US"/>
        </w:rPr>
        <w:t xml:space="preserve"> EBSA </w:t>
      </w:r>
      <w:r>
        <w:rPr>
          <w:rFonts w:eastAsia="MS Mincho"/>
          <w:sz w:val="22"/>
          <w:szCs w:val="22"/>
          <w:lang w:val="en-US"/>
        </w:rPr>
        <w:t>criteria</w:t>
      </w:r>
      <w:r w:rsidRPr="009978E3">
        <w:rPr>
          <w:rFonts w:eastAsia="MS Mincho"/>
          <w:sz w:val="22"/>
          <w:szCs w:val="22"/>
          <w:lang w:val="en-US"/>
        </w:rPr>
        <w:t xml:space="preserve">. Bubbling reefs are formed by prolonged leaking of methane gasses from deep deposits (Jensen </w:t>
      </w:r>
      <w:r w:rsidRPr="0006066A">
        <w:rPr>
          <w:rFonts w:eastAsia="MS Mincho"/>
          <w:i/>
          <w:sz w:val="22"/>
          <w:szCs w:val="22"/>
          <w:lang w:val="en-US"/>
        </w:rPr>
        <w:t>et al</w:t>
      </w:r>
      <w:r w:rsidRPr="009978E3">
        <w:rPr>
          <w:rFonts w:eastAsia="MS Mincho"/>
          <w:sz w:val="22"/>
          <w:szCs w:val="22"/>
          <w:lang w:val="en-US"/>
        </w:rPr>
        <w:t xml:space="preserve">, 1992). The reef structures are formed in the near-surface sediment layer in a chemical process binding chalk to the sediment in </w:t>
      </w:r>
      <w:r>
        <w:rPr>
          <w:rFonts w:eastAsia="MS Mincho"/>
          <w:sz w:val="22"/>
          <w:szCs w:val="22"/>
          <w:lang w:val="en-US"/>
        </w:rPr>
        <w:t xml:space="preserve">an </w:t>
      </w:r>
      <w:r w:rsidRPr="009978E3">
        <w:rPr>
          <w:rFonts w:eastAsia="MS Mincho"/>
          <w:sz w:val="22"/>
          <w:szCs w:val="22"/>
          <w:lang w:val="en-US"/>
        </w:rPr>
        <w:t xml:space="preserve">oxygenated sediment environment along the gas-seeping channels. Large bubbling reefs have caves and overhangs hosting communities dominated by hard bottom fauna on shady parts </w:t>
      </w:r>
      <w:r>
        <w:rPr>
          <w:rFonts w:eastAsia="MS Mincho"/>
          <w:sz w:val="22"/>
          <w:szCs w:val="22"/>
          <w:lang w:val="en-US"/>
        </w:rPr>
        <w:t xml:space="preserve">that are </w:t>
      </w:r>
      <w:r w:rsidRPr="009978E3">
        <w:rPr>
          <w:rFonts w:eastAsia="MS Mincho"/>
          <w:sz w:val="22"/>
          <w:szCs w:val="22"/>
          <w:lang w:val="en-US"/>
        </w:rPr>
        <w:t xml:space="preserve">not found </w:t>
      </w:r>
      <w:r>
        <w:rPr>
          <w:rFonts w:eastAsia="MS Mincho"/>
          <w:sz w:val="22"/>
          <w:szCs w:val="22"/>
          <w:lang w:val="en-US"/>
        </w:rPr>
        <w:t>at</w:t>
      </w:r>
      <w:r w:rsidRPr="009978E3">
        <w:rPr>
          <w:rFonts w:eastAsia="MS Mincho"/>
          <w:sz w:val="22"/>
          <w:szCs w:val="22"/>
          <w:lang w:val="en-US"/>
        </w:rPr>
        <w:t xml:space="preserve"> the same water depth on nearby boulder reefs. Bubbling reefs in Kattegat are often located on sandy bottoms and thus significantly increase the complexity of these habitats.</w:t>
      </w:r>
    </w:p>
    <w:p w14:paraId="0EC267A2" w14:textId="77777777" w:rsidR="006B3F46" w:rsidRPr="009978E3" w:rsidRDefault="006B3F46" w:rsidP="00907941">
      <w:pPr>
        <w:jc w:val="both"/>
        <w:rPr>
          <w:rFonts w:eastAsia="MS Mincho"/>
          <w:sz w:val="22"/>
          <w:szCs w:val="22"/>
          <w:lang w:val="en-US"/>
        </w:rPr>
      </w:pPr>
    </w:p>
    <w:p w14:paraId="530E5A03"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The appearance of the reef structures above the seabed is due to erosional processes likely over very long time</w:t>
      </w:r>
      <w:r>
        <w:rPr>
          <w:rFonts w:eastAsia="MS Mincho"/>
          <w:sz w:val="22"/>
          <w:szCs w:val="22"/>
          <w:lang w:val="en-US"/>
        </w:rPr>
        <w:t>-</w:t>
      </w:r>
      <w:r w:rsidRPr="009978E3">
        <w:rPr>
          <w:rFonts w:eastAsia="MS Mincho"/>
          <w:sz w:val="22"/>
          <w:szCs w:val="22"/>
          <w:lang w:val="en-US"/>
        </w:rPr>
        <w:t xml:space="preserve">scales. The structures are fragile and very sensitive to physical disturbance. </w:t>
      </w:r>
    </w:p>
    <w:p w14:paraId="68A00CB7"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 </w:t>
      </w:r>
    </w:p>
    <w:p w14:paraId="5F14AA56"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Boulder reef</w:t>
      </w:r>
      <w:r>
        <w:rPr>
          <w:rFonts w:eastAsia="MS Mincho"/>
          <w:b/>
          <w:i/>
          <w:sz w:val="22"/>
          <w:szCs w:val="22"/>
          <w:lang w:val="en-US"/>
        </w:rPr>
        <w:t>s</w:t>
      </w:r>
    </w:p>
    <w:p w14:paraId="36D787A0" w14:textId="77777777" w:rsidR="006B3F46" w:rsidRPr="009978E3" w:rsidRDefault="006B3F46" w:rsidP="00907941">
      <w:pPr>
        <w:jc w:val="both"/>
        <w:rPr>
          <w:rFonts w:eastAsia="MS Mincho"/>
          <w:sz w:val="22"/>
          <w:szCs w:val="22"/>
          <w:lang w:val="en-US"/>
        </w:rPr>
      </w:pPr>
      <w:r>
        <w:rPr>
          <w:rFonts w:eastAsia="MS Mincho"/>
          <w:sz w:val="22"/>
          <w:szCs w:val="22"/>
          <w:lang w:val="en-US"/>
        </w:rPr>
        <w:t>There are o</w:t>
      </w:r>
      <w:r w:rsidRPr="009978E3">
        <w:rPr>
          <w:rFonts w:eastAsia="MS Mincho"/>
          <w:sz w:val="22"/>
          <w:szCs w:val="22"/>
          <w:lang w:val="en-US"/>
        </w:rPr>
        <w:t xml:space="preserve">ffshore reef areas, as well as coastal reef areas, in the entire area. </w:t>
      </w:r>
      <w:r>
        <w:rPr>
          <w:rFonts w:eastAsia="MS Mincho"/>
          <w:sz w:val="22"/>
          <w:szCs w:val="22"/>
          <w:lang w:val="en-US"/>
        </w:rPr>
        <w:t>There are s</w:t>
      </w:r>
      <w:r w:rsidRPr="009978E3">
        <w:rPr>
          <w:rFonts w:eastAsia="MS Mincho"/>
          <w:sz w:val="22"/>
          <w:szCs w:val="22"/>
          <w:lang w:val="en-US"/>
        </w:rPr>
        <w:t>everal offshore areas next to the offshore reef areas of the</w:t>
      </w:r>
      <w:r>
        <w:rPr>
          <w:rFonts w:eastAsia="MS Mincho"/>
          <w:sz w:val="22"/>
          <w:szCs w:val="22"/>
          <w:lang w:val="en-US"/>
        </w:rPr>
        <w:t xml:space="preserve"> </w:t>
      </w:r>
      <w:r w:rsidRPr="009550B9">
        <w:rPr>
          <w:rFonts w:eastAsia="MS Mincho"/>
          <w:sz w:val="22"/>
          <w:szCs w:val="22"/>
          <w:lang w:val="en-US"/>
        </w:rPr>
        <w:t>existing EBSA (Area No. 9: Fladen and Stora and Lilla Middelgrund</w:t>
      </w:r>
      <w:r>
        <w:rPr>
          <w:rFonts w:eastAsia="MS Mincho"/>
          <w:sz w:val="22"/>
          <w:szCs w:val="22"/>
          <w:lang w:val="en-US"/>
        </w:rPr>
        <w:t>), described in the Baltic EBSA workshop</w:t>
      </w:r>
      <w:r w:rsidRPr="009550B9">
        <w:rPr>
          <w:rFonts w:eastAsia="MS Mincho"/>
          <w:sz w:val="22"/>
          <w:szCs w:val="22"/>
          <w:lang w:val="en-US"/>
        </w:rPr>
        <w:t>, in Kattegat (Figure 4). The reefs host productive seaweed forests as</w:t>
      </w:r>
      <w:r w:rsidRPr="009978E3">
        <w:rPr>
          <w:rFonts w:eastAsia="MS Mincho"/>
          <w:sz w:val="22"/>
          <w:szCs w:val="22"/>
          <w:lang w:val="en-US"/>
        </w:rPr>
        <w:t xml:space="preserve"> well as a high diversity of algae (Nielsen </w:t>
      </w:r>
      <w:r w:rsidRPr="0006066A">
        <w:rPr>
          <w:rFonts w:eastAsia="MS Mincho"/>
          <w:i/>
          <w:sz w:val="22"/>
          <w:szCs w:val="22"/>
          <w:lang w:val="en-US"/>
        </w:rPr>
        <w:t>et al</w:t>
      </w:r>
      <w:r w:rsidRPr="009978E3">
        <w:rPr>
          <w:rFonts w:eastAsia="MS Mincho"/>
          <w:sz w:val="22"/>
          <w:szCs w:val="22"/>
          <w:lang w:val="en-US"/>
        </w:rPr>
        <w:t>, 1992)</w:t>
      </w:r>
      <w:r>
        <w:rPr>
          <w:rFonts w:eastAsia="MS Mincho"/>
          <w:sz w:val="22"/>
          <w:szCs w:val="22"/>
          <w:lang w:val="en-US"/>
        </w:rPr>
        <w:t>.</w:t>
      </w:r>
      <w:r w:rsidRPr="009978E3">
        <w:rPr>
          <w:rFonts w:eastAsia="MS Mincho"/>
          <w:sz w:val="22"/>
          <w:szCs w:val="22"/>
          <w:lang w:val="en-US"/>
        </w:rPr>
        <w:t xml:space="preserve"> The vegetation is multilayered to a depth of 15 m (Carstensen and Dahl, 2018). The species diversity of invertebrates is high on offshore reef areas. </w:t>
      </w:r>
      <w:r w:rsidRPr="00DC304C">
        <w:rPr>
          <w:rFonts w:eastAsia="MS Mincho"/>
          <w:sz w:val="22"/>
          <w:szCs w:val="22"/>
          <w:lang w:val="en-US"/>
        </w:rPr>
        <w:t xml:space="preserve">In Fladen, </w:t>
      </w:r>
      <w:r w:rsidRPr="0021277B">
        <w:rPr>
          <w:rFonts w:eastAsia="MS Mincho"/>
          <w:sz w:val="22"/>
          <w:szCs w:val="22"/>
          <w:lang w:val="en-US"/>
        </w:rPr>
        <w:t>part of</w:t>
      </w:r>
      <w:r w:rsidRPr="00DC304C">
        <w:rPr>
          <w:rFonts w:eastAsia="MS Mincho"/>
          <w:sz w:val="22"/>
          <w:szCs w:val="22"/>
          <w:lang w:val="en-US"/>
        </w:rPr>
        <w:t xml:space="preserve"> the nearby </w:t>
      </w:r>
      <w:r w:rsidRPr="00F930D1">
        <w:rPr>
          <w:rFonts w:eastAsia="MS Mincho"/>
          <w:sz w:val="22"/>
          <w:szCs w:val="22"/>
          <w:lang w:val="en-US"/>
        </w:rPr>
        <w:t>EBSA</w:t>
      </w:r>
      <w:r w:rsidRPr="0021277B">
        <w:rPr>
          <w:rFonts w:eastAsia="MS Mincho"/>
          <w:sz w:val="22"/>
          <w:szCs w:val="22"/>
          <w:lang w:val="en-US"/>
        </w:rPr>
        <w:t xml:space="preserve"> noted above</w:t>
      </w:r>
      <w:r w:rsidRPr="00F930D1">
        <w:rPr>
          <w:rFonts w:eastAsia="MS Mincho"/>
          <w:sz w:val="22"/>
          <w:szCs w:val="22"/>
          <w:lang w:val="en-US"/>
        </w:rPr>
        <w:t>,</w:t>
      </w:r>
      <w:r w:rsidRPr="00723410">
        <w:rPr>
          <w:rFonts w:eastAsia="MS Mincho"/>
          <w:sz w:val="22"/>
          <w:szCs w:val="22"/>
          <w:lang w:val="en-US"/>
        </w:rPr>
        <w:t xml:space="preserve"> 439 species </w:t>
      </w:r>
      <w:r w:rsidRPr="003E12BA">
        <w:rPr>
          <w:rFonts w:eastAsia="MS Mincho"/>
          <w:sz w:val="22"/>
          <w:szCs w:val="22"/>
          <w:lang w:val="en-US"/>
        </w:rPr>
        <w:t>were found, but the diversity is a</w:t>
      </w:r>
      <w:r w:rsidRPr="00A60B6A">
        <w:rPr>
          <w:rFonts w:eastAsia="MS Mincho"/>
          <w:sz w:val="22"/>
          <w:szCs w:val="22"/>
          <w:lang w:val="en-US"/>
        </w:rPr>
        <w:t xml:space="preserve">lso high at </w:t>
      </w:r>
      <w:r w:rsidRPr="00492123">
        <w:rPr>
          <w:rFonts w:eastAsia="MS Mincho"/>
          <w:sz w:val="22"/>
          <w:szCs w:val="22"/>
          <w:lang w:val="en-US"/>
        </w:rPr>
        <w:t xml:space="preserve">Lilla </w:t>
      </w:r>
      <w:r w:rsidRPr="00F74BB9">
        <w:rPr>
          <w:rFonts w:eastAsia="MS Mincho"/>
          <w:sz w:val="22"/>
          <w:szCs w:val="22"/>
          <w:lang w:val="en-US"/>
        </w:rPr>
        <w:t xml:space="preserve">Middelgrund (374 species), and </w:t>
      </w:r>
      <w:r w:rsidRPr="00A27CFF">
        <w:rPr>
          <w:rFonts w:eastAsia="MS Mincho"/>
          <w:sz w:val="22"/>
          <w:szCs w:val="22"/>
          <w:lang w:val="en-US"/>
        </w:rPr>
        <w:t>S</w:t>
      </w:r>
      <w:r w:rsidRPr="00B875B0">
        <w:rPr>
          <w:rFonts w:eastAsia="MS Mincho"/>
          <w:sz w:val="22"/>
          <w:szCs w:val="22"/>
          <w:lang w:val="en-US"/>
        </w:rPr>
        <w:t>tora</w:t>
      </w:r>
      <w:r w:rsidRPr="009978E3">
        <w:rPr>
          <w:rFonts w:eastAsia="MS Mincho"/>
          <w:sz w:val="22"/>
          <w:szCs w:val="22"/>
          <w:lang w:val="en-US"/>
        </w:rPr>
        <w:t xml:space="preserve"> Middelgrund </w:t>
      </w:r>
      <w:r>
        <w:rPr>
          <w:rFonts w:eastAsia="MS Mincho"/>
          <w:sz w:val="22"/>
          <w:szCs w:val="22"/>
          <w:lang w:val="en-US"/>
        </w:rPr>
        <w:t>(</w:t>
      </w:r>
      <w:r w:rsidRPr="009978E3">
        <w:rPr>
          <w:rFonts w:eastAsia="MS Mincho"/>
          <w:sz w:val="22"/>
          <w:szCs w:val="22"/>
          <w:lang w:val="en-US"/>
        </w:rPr>
        <w:t>more than 300 species</w:t>
      </w:r>
      <w:r>
        <w:rPr>
          <w:rFonts w:eastAsia="MS Mincho"/>
          <w:sz w:val="22"/>
          <w:szCs w:val="22"/>
          <w:lang w:val="en-US"/>
        </w:rPr>
        <w:t>)</w:t>
      </w:r>
      <w:r w:rsidRPr="009978E3">
        <w:rPr>
          <w:rFonts w:eastAsia="MS Mincho"/>
          <w:sz w:val="22"/>
          <w:szCs w:val="22"/>
          <w:lang w:val="en-US"/>
        </w:rPr>
        <w:t xml:space="preserve"> (Naturvårdsverket 2006).</w:t>
      </w:r>
    </w:p>
    <w:p w14:paraId="057ACB90" w14:textId="77777777" w:rsidR="006B3F46" w:rsidRPr="009978E3" w:rsidRDefault="006B3F46" w:rsidP="00907941">
      <w:pPr>
        <w:jc w:val="both"/>
        <w:rPr>
          <w:rFonts w:eastAsia="MS Mincho"/>
          <w:sz w:val="22"/>
          <w:szCs w:val="22"/>
          <w:lang w:val="en-US"/>
        </w:rPr>
      </w:pPr>
    </w:p>
    <w:p w14:paraId="52DFFCE6"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Several reefs host a special kelp community consisting of </w:t>
      </w:r>
      <w:r w:rsidRPr="009978E3">
        <w:rPr>
          <w:rFonts w:eastAsia="MS Mincho"/>
          <w:i/>
          <w:sz w:val="22"/>
          <w:szCs w:val="22"/>
          <w:lang w:val="en-US"/>
        </w:rPr>
        <w:t>Sacharina latisima</w:t>
      </w:r>
      <w:r w:rsidRPr="009978E3">
        <w:rPr>
          <w:rFonts w:eastAsia="MS Mincho"/>
          <w:sz w:val="22"/>
          <w:szCs w:val="22"/>
          <w:lang w:val="en-US"/>
        </w:rPr>
        <w:t xml:space="preserve">, </w:t>
      </w:r>
      <w:r w:rsidRPr="009978E3">
        <w:rPr>
          <w:rFonts w:eastAsia="MS Mincho"/>
          <w:i/>
          <w:sz w:val="22"/>
          <w:szCs w:val="22"/>
          <w:lang w:val="en-US"/>
        </w:rPr>
        <w:t>Laminaria digitate</w:t>
      </w:r>
      <w:r w:rsidRPr="009978E3">
        <w:rPr>
          <w:rFonts w:eastAsia="MS Mincho"/>
          <w:sz w:val="22"/>
          <w:szCs w:val="22"/>
          <w:lang w:val="en-US"/>
        </w:rPr>
        <w:t xml:space="preserve"> and </w:t>
      </w:r>
      <w:r w:rsidRPr="009978E3">
        <w:rPr>
          <w:rFonts w:eastAsia="MS Mincho"/>
          <w:i/>
          <w:sz w:val="22"/>
          <w:szCs w:val="22"/>
          <w:lang w:val="en-US"/>
        </w:rPr>
        <w:t>Laminaria hyperboria</w:t>
      </w:r>
      <w:r w:rsidRPr="009978E3">
        <w:rPr>
          <w:rFonts w:eastAsia="MS Mincho"/>
          <w:sz w:val="22"/>
          <w:szCs w:val="22"/>
          <w:lang w:val="en-US"/>
        </w:rPr>
        <w:t>. Kelp are highly productive and can be found down to approx</w:t>
      </w:r>
      <w:r>
        <w:rPr>
          <w:rFonts w:eastAsia="MS Mincho"/>
          <w:sz w:val="22"/>
          <w:szCs w:val="22"/>
          <w:lang w:val="en-US"/>
        </w:rPr>
        <w:t>imately</w:t>
      </w:r>
      <w:r w:rsidRPr="009978E3">
        <w:rPr>
          <w:rFonts w:eastAsia="MS Mincho"/>
          <w:sz w:val="22"/>
          <w:szCs w:val="22"/>
          <w:lang w:val="en-US"/>
        </w:rPr>
        <w:t xml:space="preserve"> 20m water depth in Kattegat but suffer in adjacent fjord systems (Dahl </w:t>
      </w:r>
      <w:r w:rsidRPr="0006066A">
        <w:rPr>
          <w:rFonts w:eastAsia="MS Mincho"/>
          <w:i/>
          <w:sz w:val="22"/>
          <w:szCs w:val="22"/>
          <w:lang w:val="en-US"/>
        </w:rPr>
        <w:t>et al</w:t>
      </w:r>
      <w:r w:rsidRPr="009978E3">
        <w:rPr>
          <w:rFonts w:eastAsia="MS Mincho"/>
          <w:sz w:val="22"/>
          <w:szCs w:val="22"/>
          <w:lang w:val="en-US"/>
        </w:rPr>
        <w:t>, 2013).</w:t>
      </w:r>
      <w:r>
        <w:rPr>
          <w:rFonts w:eastAsia="MS Mincho"/>
          <w:sz w:val="22"/>
          <w:szCs w:val="22"/>
          <w:lang w:val="en-US"/>
        </w:rPr>
        <w:t xml:space="preserve"> C</w:t>
      </w:r>
      <w:r w:rsidRPr="009978E3">
        <w:rPr>
          <w:rFonts w:eastAsia="MS Mincho"/>
          <w:sz w:val="22"/>
          <w:szCs w:val="22"/>
          <w:lang w:val="en-US"/>
        </w:rPr>
        <w:t>oncern</w:t>
      </w:r>
      <w:r>
        <w:rPr>
          <w:rFonts w:eastAsia="MS Mincho"/>
          <w:sz w:val="22"/>
          <w:szCs w:val="22"/>
          <w:lang w:val="en-US"/>
        </w:rPr>
        <w:t xml:space="preserve"> has been </w:t>
      </w:r>
      <w:r w:rsidRPr="009978E3">
        <w:rPr>
          <w:rFonts w:eastAsia="MS Mincho"/>
          <w:sz w:val="22"/>
          <w:szCs w:val="22"/>
          <w:lang w:val="en-US"/>
        </w:rPr>
        <w:t xml:space="preserve">raised about kelp species </w:t>
      </w:r>
      <w:r>
        <w:rPr>
          <w:rFonts w:eastAsia="MS Mincho"/>
          <w:sz w:val="22"/>
          <w:szCs w:val="22"/>
          <w:lang w:val="en-US"/>
        </w:rPr>
        <w:t>being</w:t>
      </w:r>
      <w:r w:rsidRPr="009978E3">
        <w:rPr>
          <w:rFonts w:eastAsia="MS Mincho"/>
          <w:sz w:val="22"/>
          <w:szCs w:val="22"/>
          <w:lang w:val="en-US"/>
        </w:rPr>
        <w:t xml:space="preserve"> potential</w:t>
      </w:r>
      <w:r>
        <w:rPr>
          <w:rFonts w:eastAsia="MS Mincho"/>
          <w:sz w:val="22"/>
          <w:szCs w:val="22"/>
          <w:lang w:val="en-US"/>
        </w:rPr>
        <w:t>ly</w:t>
      </w:r>
      <w:r w:rsidRPr="009978E3">
        <w:rPr>
          <w:rFonts w:eastAsia="MS Mincho"/>
          <w:sz w:val="22"/>
          <w:szCs w:val="22"/>
          <w:lang w:val="en-US"/>
        </w:rPr>
        <w:t xml:space="preserve"> sensitive to </w:t>
      </w:r>
      <w:r>
        <w:rPr>
          <w:rFonts w:eastAsia="MS Mincho"/>
          <w:sz w:val="22"/>
          <w:szCs w:val="22"/>
          <w:lang w:val="en-US"/>
        </w:rPr>
        <w:t>climate change in this region</w:t>
      </w:r>
      <w:r w:rsidRPr="009978E3">
        <w:rPr>
          <w:rFonts w:eastAsia="MS Mincho"/>
          <w:sz w:val="22"/>
          <w:szCs w:val="22"/>
          <w:lang w:val="en-US"/>
        </w:rPr>
        <w:t xml:space="preserve">. </w:t>
      </w:r>
    </w:p>
    <w:p w14:paraId="75F5D61F" w14:textId="77777777" w:rsidR="006B3F46" w:rsidRPr="009978E3" w:rsidRDefault="006B3F46" w:rsidP="00907941">
      <w:pPr>
        <w:jc w:val="both"/>
        <w:rPr>
          <w:rFonts w:eastAsia="MS Mincho"/>
          <w:sz w:val="22"/>
          <w:szCs w:val="22"/>
          <w:lang w:val="en-US"/>
        </w:rPr>
      </w:pPr>
    </w:p>
    <w:p w14:paraId="732469E8"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Infauna communities in general</w:t>
      </w:r>
    </w:p>
    <w:p w14:paraId="56FFD2DB"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The area is very productive, with a high biomass of infauna on both sandy and muddy substrates. Gogina </w:t>
      </w:r>
      <w:r w:rsidRPr="0006066A">
        <w:rPr>
          <w:rFonts w:eastAsia="MS Mincho"/>
          <w:i/>
          <w:sz w:val="22"/>
          <w:szCs w:val="22"/>
          <w:lang w:val="en-US"/>
        </w:rPr>
        <w:t>et al</w:t>
      </w:r>
      <w:r>
        <w:rPr>
          <w:rFonts w:eastAsia="MS Mincho"/>
          <w:sz w:val="22"/>
          <w:szCs w:val="22"/>
          <w:lang w:val="en-US"/>
        </w:rPr>
        <w:t>.</w:t>
      </w:r>
      <w:r w:rsidRPr="009978E3">
        <w:rPr>
          <w:rFonts w:eastAsia="MS Mincho"/>
          <w:sz w:val="22"/>
          <w:szCs w:val="22"/>
          <w:lang w:val="en-US"/>
        </w:rPr>
        <w:t xml:space="preserve"> (2016) modelled community distribution and biomass distribution in Kattegat as well as the rest of the Baltic Sea based on collected data from the whole HELCOM area. </w:t>
      </w:r>
      <w:r>
        <w:rPr>
          <w:rFonts w:eastAsia="MS Mincho"/>
          <w:sz w:val="22"/>
          <w:szCs w:val="22"/>
          <w:lang w:val="en-US"/>
        </w:rPr>
        <w:t xml:space="preserve">Findings indicate that </w:t>
      </w:r>
      <w:r w:rsidRPr="009978E3">
        <w:rPr>
          <w:rFonts w:eastAsia="MS Mincho"/>
          <w:sz w:val="22"/>
          <w:szCs w:val="22"/>
          <w:lang w:val="en-US"/>
        </w:rPr>
        <w:t xml:space="preserve">Kattegat </w:t>
      </w:r>
      <w:r>
        <w:rPr>
          <w:rFonts w:eastAsia="MS Mincho"/>
          <w:sz w:val="22"/>
          <w:szCs w:val="22"/>
          <w:lang w:val="en-US"/>
        </w:rPr>
        <w:t>is</w:t>
      </w:r>
      <w:r w:rsidRPr="009978E3">
        <w:rPr>
          <w:rFonts w:eastAsia="MS Mincho"/>
          <w:sz w:val="22"/>
          <w:szCs w:val="22"/>
          <w:lang w:val="en-US"/>
        </w:rPr>
        <w:t xml:space="preserve"> an area with high biomass and several different communities (</w:t>
      </w:r>
      <w:r>
        <w:rPr>
          <w:rFonts w:eastAsia="MS Mincho"/>
          <w:sz w:val="22"/>
          <w:szCs w:val="22"/>
          <w:lang w:val="en-US"/>
        </w:rPr>
        <w:t>F</w:t>
      </w:r>
      <w:r w:rsidRPr="009978E3">
        <w:rPr>
          <w:rFonts w:eastAsia="MS Mincho"/>
          <w:sz w:val="22"/>
          <w:szCs w:val="22"/>
          <w:lang w:val="en-US"/>
        </w:rPr>
        <w:t xml:space="preserve">igure </w:t>
      </w:r>
      <w:r>
        <w:rPr>
          <w:rFonts w:eastAsia="MS Mincho"/>
          <w:sz w:val="22"/>
          <w:szCs w:val="22"/>
          <w:lang w:val="en-US"/>
        </w:rPr>
        <w:t>5</w:t>
      </w:r>
      <w:r w:rsidRPr="009978E3">
        <w:rPr>
          <w:rFonts w:eastAsia="MS Mincho"/>
          <w:sz w:val="22"/>
          <w:szCs w:val="22"/>
          <w:lang w:val="en-US"/>
        </w:rPr>
        <w:t xml:space="preserve">).  </w:t>
      </w:r>
    </w:p>
    <w:p w14:paraId="2F48F2DA" w14:textId="77777777" w:rsidR="006B3F46" w:rsidRPr="009978E3" w:rsidRDefault="006B3F46" w:rsidP="00907941">
      <w:pPr>
        <w:jc w:val="both"/>
        <w:rPr>
          <w:rFonts w:eastAsia="MS Mincho"/>
          <w:sz w:val="22"/>
          <w:szCs w:val="22"/>
          <w:lang w:val="en-US"/>
        </w:rPr>
      </w:pPr>
    </w:p>
    <w:p w14:paraId="1C996020"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The deeper muddy seabed hosts a high number of Norway lobster (</w:t>
      </w:r>
      <w:r w:rsidRPr="009978E3">
        <w:rPr>
          <w:rFonts w:eastAsia="MS Mincho"/>
          <w:i/>
          <w:sz w:val="22"/>
          <w:szCs w:val="22"/>
          <w:lang w:val="en-US"/>
        </w:rPr>
        <w:t>Nephrops norvegicus</w:t>
      </w:r>
      <w:r w:rsidRPr="009978E3">
        <w:rPr>
          <w:rFonts w:eastAsia="MS Mincho"/>
          <w:sz w:val="22"/>
          <w:szCs w:val="22"/>
          <w:lang w:val="en-US"/>
        </w:rPr>
        <w:t xml:space="preserve">) </w:t>
      </w:r>
      <w:r>
        <w:rPr>
          <w:rFonts w:eastAsia="MS Mincho"/>
          <w:sz w:val="22"/>
          <w:szCs w:val="22"/>
          <w:lang w:val="en-US"/>
        </w:rPr>
        <w:t>F</w:t>
      </w:r>
      <w:r w:rsidRPr="009978E3">
        <w:rPr>
          <w:rFonts w:eastAsia="MS Mincho"/>
          <w:sz w:val="22"/>
          <w:szCs w:val="22"/>
          <w:lang w:val="en-US"/>
        </w:rPr>
        <w:t xml:space="preserve">igure </w:t>
      </w:r>
      <w:r>
        <w:rPr>
          <w:rFonts w:eastAsia="MS Mincho"/>
          <w:sz w:val="22"/>
          <w:szCs w:val="22"/>
          <w:lang w:val="en-US"/>
        </w:rPr>
        <w:t>6</w:t>
      </w:r>
      <w:r w:rsidRPr="009978E3">
        <w:rPr>
          <w:rFonts w:eastAsia="MS Mincho"/>
          <w:sz w:val="22"/>
          <w:szCs w:val="22"/>
          <w:lang w:val="en-US"/>
        </w:rPr>
        <w:t>)</w:t>
      </w:r>
    </w:p>
    <w:p w14:paraId="430977AD" w14:textId="77777777" w:rsidR="006B3F46" w:rsidRPr="009978E3" w:rsidRDefault="006B3F46" w:rsidP="00907941">
      <w:pPr>
        <w:jc w:val="both"/>
        <w:rPr>
          <w:rFonts w:eastAsia="MS Mincho"/>
          <w:sz w:val="22"/>
          <w:szCs w:val="22"/>
          <w:lang w:val="en-US"/>
        </w:rPr>
      </w:pPr>
    </w:p>
    <w:p w14:paraId="5D410FB2"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Haplops habitat</w:t>
      </w:r>
    </w:p>
    <w:p w14:paraId="2404166D" w14:textId="77777777" w:rsidR="006B3F46" w:rsidRPr="009978E3" w:rsidRDefault="006B3F46" w:rsidP="00907941">
      <w:pPr>
        <w:jc w:val="both"/>
        <w:rPr>
          <w:rFonts w:eastAsia="MS Mincho"/>
          <w:sz w:val="22"/>
          <w:szCs w:val="22"/>
          <w:lang w:val="en-US"/>
        </w:rPr>
      </w:pPr>
      <w:r w:rsidRPr="009978E3">
        <w:rPr>
          <w:rFonts w:eastAsia="MS Mincho"/>
          <w:color w:val="000000"/>
          <w:sz w:val="22"/>
          <w:szCs w:val="22"/>
          <w:lang w:val="en-US"/>
        </w:rPr>
        <w:t>The tube</w:t>
      </w:r>
      <w:r>
        <w:rPr>
          <w:rFonts w:eastAsia="MS Mincho"/>
          <w:color w:val="000000"/>
          <w:sz w:val="22"/>
          <w:szCs w:val="22"/>
          <w:lang w:val="en-US"/>
        </w:rPr>
        <w:t>-</w:t>
      </w:r>
      <w:r w:rsidRPr="009978E3">
        <w:rPr>
          <w:rFonts w:eastAsia="MS Mincho"/>
          <w:color w:val="000000"/>
          <w:sz w:val="22"/>
          <w:szCs w:val="22"/>
          <w:lang w:val="en-US"/>
        </w:rPr>
        <w:t xml:space="preserve">building crustacean </w:t>
      </w:r>
      <w:r w:rsidRPr="009978E3">
        <w:rPr>
          <w:rFonts w:eastAsia="MS Mincho"/>
          <w:i/>
          <w:color w:val="000000"/>
          <w:sz w:val="22"/>
          <w:szCs w:val="22"/>
          <w:lang w:val="en-US"/>
        </w:rPr>
        <w:t>Haploops tubicola</w:t>
      </w:r>
      <w:r w:rsidRPr="009978E3">
        <w:rPr>
          <w:rFonts w:eastAsia="MS Mincho"/>
          <w:color w:val="000000"/>
          <w:sz w:val="22"/>
          <w:szCs w:val="22"/>
          <w:lang w:val="en-US"/>
        </w:rPr>
        <w:t xml:space="preserve"> used to cover extensive areas in the southern Kattegat, where dense numbers formed a specific habitat. Haploops communities have decreased significantly since the 1960s</w:t>
      </w:r>
      <w:r>
        <w:rPr>
          <w:rFonts w:eastAsia="MS Mincho"/>
          <w:color w:val="000000"/>
          <w:sz w:val="22"/>
          <w:szCs w:val="22"/>
          <w:lang w:val="en-US"/>
        </w:rPr>
        <w:t>,</w:t>
      </w:r>
      <w:r w:rsidRPr="009978E3">
        <w:rPr>
          <w:rFonts w:eastAsia="MS Mincho"/>
          <w:color w:val="000000"/>
          <w:sz w:val="22"/>
          <w:szCs w:val="22"/>
          <w:lang w:val="en-US"/>
        </w:rPr>
        <w:t xml:space="preserve"> when the habitat is believed to have occurred abundantly at depths greater than 15 met</w:t>
      </w:r>
      <w:r>
        <w:rPr>
          <w:rFonts w:eastAsia="MS Mincho"/>
          <w:color w:val="000000"/>
          <w:sz w:val="22"/>
          <w:szCs w:val="22"/>
          <w:lang w:val="en-US"/>
        </w:rPr>
        <w:t>d</w:t>
      </w:r>
      <w:r w:rsidRPr="009978E3">
        <w:rPr>
          <w:rFonts w:eastAsia="MS Mincho"/>
          <w:color w:val="000000"/>
          <w:sz w:val="22"/>
          <w:szCs w:val="22"/>
          <w:lang w:val="en-US"/>
        </w:rPr>
        <w:t xml:space="preserve">rs in the south-eastern Kattegat (Göransson </w:t>
      </w:r>
      <w:r w:rsidRPr="0006066A">
        <w:rPr>
          <w:rFonts w:eastAsia="MS Mincho"/>
          <w:i/>
          <w:color w:val="000000"/>
          <w:sz w:val="22"/>
          <w:szCs w:val="22"/>
          <w:lang w:val="en-US"/>
        </w:rPr>
        <w:t>et al</w:t>
      </w:r>
      <w:r w:rsidRPr="009978E3">
        <w:rPr>
          <w:rFonts w:eastAsia="MS Mincho"/>
          <w:color w:val="000000"/>
          <w:sz w:val="22"/>
          <w:szCs w:val="22"/>
          <w:lang w:val="en-US"/>
        </w:rPr>
        <w:t>. 2010). Today</w:t>
      </w:r>
      <w:r>
        <w:rPr>
          <w:rFonts w:eastAsia="MS Mincho"/>
          <w:color w:val="000000"/>
          <w:sz w:val="22"/>
          <w:szCs w:val="22"/>
          <w:lang w:val="en-US"/>
        </w:rPr>
        <w:t>,</w:t>
      </w:r>
      <w:r w:rsidRPr="009978E3">
        <w:rPr>
          <w:rFonts w:eastAsia="MS Mincho"/>
          <w:color w:val="000000"/>
          <w:sz w:val="22"/>
          <w:szCs w:val="22"/>
          <w:lang w:val="en-US"/>
        </w:rPr>
        <w:t xml:space="preserve"> Haploops is still present in the Kattegat area, but only in low densities, and with no habitat</w:t>
      </w:r>
      <w:r>
        <w:rPr>
          <w:rFonts w:eastAsia="MS Mincho"/>
          <w:color w:val="000000"/>
          <w:sz w:val="22"/>
          <w:szCs w:val="22"/>
          <w:lang w:val="en-US"/>
        </w:rPr>
        <w:t>-</w:t>
      </w:r>
      <w:r w:rsidRPr="009978E3">
        <w:rPr>
          <w:rFonts w:eastAsia="MS Mincho"/>
          <w:color w:val="000000"/>
          <w:sz w:val="22"/>
          <w:szCs w:val="22"/>
          <w:lang w:val="en-US"/>
        </w:rPr>
        <w:t>forming function</w:t>
      </w:r>
      <w:r>
        <w:rPr>
          <w:rFonts w:eastAsia="MS Mincho"/>
          <w:color w:val="000000"/>
          <w:sz w:val="22"/>
          <w:szCs w:val="22"/>
          <w:lang w:val="en-US"/>
        </w:rPr>
        <w:t xml:space="preserve"> (</w:t>
      </w:r>
      <w:r w:rsidRPr="009978E3">
        <w:rPr>
          <w:rFonts w:eastAsia="MS Mincho"/>
          <w:sz w:val="22"/>
          <w:szCs w:val="22"/>
          <w:lang w:val="en-US"/>
        </w:rPr>
        <w:t xml:space="preserve">Figure </w:t>
      </w:r>
      <w:r>
        <w:rPr>
          <w:rFonts w:eastAsia="MS Mincho"/>
          <w:sz w:val="22"/>
          <w:szCs w:val="22"/>
          <w:lang w:val="en-US"/>
        </w:rPr>
        <w:t>7)</w:t>
      </w:r>
      <w:r w:rsidRPr="009978E3">
        <w:rPr>
          <w:rFonts w:eastAsia="MS Mincho"/>
          <w:color w:val="000000"/>
          <w:sz w:val="22"/>
          <w:szCs w:val="22"/>
          <w:lang w:val="en-US"/>
        </w:rPr>
        <w:t>. The species is considered endangered</w:t>
      </w:r>
      <w:r>
        <w:rPr>
          <w:rFonts w:eastAsia="MS Mincho"/>
          <w:color w:val="000000"/>
          <w:sz w:val="22"/>
          <w:szCs w:val="22"/>
          <w:lang w:val="en-US"/>
        </w:rPr>
        <w:t>,</w:t>
      </w:r>
      <w:r w:rsidRPr="009978E3">
        <w:rPr>
          <w:rFonts w:eastAsia="MS Mincho"/>
          <w:color w:val="000000"/>
          <w:sz w:val="22"/>
          <w:szCs w:val="22"/>
          <w:lang w:val="en-US"/>
        </w:rPr>
        <w:t xml:space="preserve"> according to the HELCOM </w:t>
      </w:r>
      <w:r>
        <w:rPr>
          <w:rFonts w:eastAsia="MS Mincho"/>
          <w:color w:val="000000"/>
          <w:sz w:val="22"/>
          <w:szCs w:val="22"/>
          <w:lang w:val="en-US"/>
        </w:rPr>
        <w:t>R</w:t>
      </w:r>
      <w:r w:rsidRPr="009978E3">
        <w:rPr>
          <w:rFonts w:eastAsia="MS Mincho"/>
          <w:color w:val="000000"/>
          <w:sz w:val="22"/>
          <w:szCs w:val="22"/>
          <w:lang w:val="en-US"/>
        </w:rPr>
        <w:t>ed</w:t>
      </w:r>
      <w:r>
        <w:rPr>
          <w:rFonts w:eastAsia="MS Mincho"/>
          <w:color w:val="000000"/>
          <w:sz w:val="22"/>
          <w:szCs w:val="22"/>
          <w:lang w:val="en-US"/>
        </w:rPr>
        <w:t xml:space="preserve"> L</w:t>
      </w:r>
      <w:r w:rsidRPr="009978E3">
        <w:rPr>
          <w:rFonts w:eastAsia="MS Mincho"/>
          <w:color w:val="000000"/>
          <w:sz w:val="22"/>
          <w:szCs w:val="22"/>
          <w:lang w:val="en-US"/>
        </w:rPr>
        <w:t>ist</w:t>
      </w:r>
      <w:r>
        <w:rPr>
          <w:rFonts w:eastAsia="MS Mincho"/>
          <w:color w:val="000000"/>
          <w:sz w:val="22"/>
          <w:szCs w:val="22"/>
          <w:lang w:val="en-US"/>
        </w:rPr>
        <w:t xml:space="preserve"> (</w:t>
      </w:r>
      <w:r w:rsidRPr="009978E3">
        <w:rPr>
          <w:rFonts w:eastAsia="MS Mincho"/>
          <w:sz w:val="22"/>
          <w:szCs w:val="22"/>
          <w:lang w:val="en-US"/>
        </w:rPr>
        <w:t>HELCOM (2013b</w:t>
      </w:r>
      <w:r w:rsidRPr="00C63A53">
        <w:rPr>
          <w:rFonts w:eastAsia="MS Mincho"/>
          <w:sz w:val="22"/>
          <w:szCs w:val="22"/>
          <w:lang w:val="en-US"/>
        </w:rPr>
        <w:t xml:space="preserve">). </w:t>
      </w:r>
    </w:p>
    <w:p w14:paraId="4BDD299D" w14:textId="77777777" w:rsidR="006B3F46" w:rsidRPr="009978E3" w:rsidRDefault="006B3F46" w:rsidP="00907941">
      <w:pPr>
        <w:jc w:val="both"/>
        <w:rPr>
          <w:rFonts w:eastAsia="MS Mincho"/>
          <w:sz w:val="22"/>
          <w:szCs w:val="22"/>
          <w:lang w:val="en-US"/>
        </w:rPr>
      </w:pPr>
    </w:p>
    <w:p w14:paraId="7E9259F4"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Modiolus modiolus beds</w:t>
      </w:r>
    </w:p>
    <w:p w14:paraId="4F91D163"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The horse mussel (</w:t>
      </w:r>
      <w:r w:rsidRPr="009978E3">
        <w:rPr>
          <w:rFonts w:eastAsia="MS Mincho"/>
          <w:i/>
          <w:sz w:val="22"/>
          <w:szCs w:val="22"/>
          <w:lang w:val="en-US"/>
        </w:rPr>
        <w:t>Modiolus modiolus</w:t>
      </w:r>
      <w:r w:rsidRPr="009978E3">
        <w:rPr>
          <w:rFonts w:eastAsia="MS Mincho"/>
          <w:sz w:val="22"/>
          <w:szCs w:val="22"/>
          <w:lang w:val="en-US"/>
        </w:rPr>
        <w:t xml:space="preserve">) is </w:t>
      </w:r>
      <w:r>
        <w:rPr>
          <w:rFonts w:eastAsia="MS Mincho"/>
          <w:sz w:val="22"/>
          <w:szCs w:val="22"/>
          <w:lang w:val="en-US"/>
        </w:rPr>
        <w:t>unevenly</w:t>
      </w:r>
      <w:r w:rsidRPr="009978E3">
        <w:rPr>
          <w:rFonts w:eastAsia="MS Mincho"/>
          <w:sz w:val="22"/>
          <w:szCs w:val="22"/>
          <w:lang w:val="en-US"/>
        </w:rPr>
        <w:t xml:space="preserve"> distributed</w:t>
      </w:r>
      <w:r>
        <w:rPr>
          <w:rFonts w:eastAsia="MS Mincho"/>
          <w:sz w:val="22"/>
          <w:szCs w:val="22"/>
          <w:lang w:val="en-US"/>
        </w:rPr>
        <w:t>,</w:t>
      </w:r>
      <w:r w:rsidRPr="009978E3">
        <w:rPr>
          <w:rFonts w:eastAsia="MS Mincho"/>
          <w:sz w:val="22"/>
          <w:szCs w:val="22"/>
          <w:lang w:val="en-US"/>
        </w:rPr>
        <w:t xml:space="preserve"> primarily in the southern part of Kattegat (figure</w:t>
      </w:r>
      <w:r>
        <w:rPr>
          <w:rFonts w:eastAsia="MS Mincho"/>
          <w:sz w:val="22"/>
          <w:szCs w:val="22"/>
          <w:lang w:val="en-US"/>
        </w:rPr>
        <w:t xml:space="preserve"> 8</w:t>
      </w:r>
      <w:r w:rsidRPr="009978E3">
        <w:rPr>
          <w:rFonts w:eastAsia="MS Mincho"/>
          <w:sz w:val="22"/>
          <w:szCs w:val="22"/>
          <w:lang w:val="en-US"/>
        </w:rPr>
        <w:t>). Following the definition of Dahl and Petersen (2018)</w:t>
      </w:r>
      <w:r>
        <w:rPr>
          <w:rFonts w:eastAsia="MS Mincho"/>
          <w:sz w:val="22"/>
          <w:szCs w:val="22"/>
          <w:lang w:val="en-US"/>
        </w:rPr>
        <w:t>,</w:t>
      </w:r>
      <w:r w:rsidRPr="009978E3">
        <w:rPr>
          <w:rFonts w:eastAsia="MS Mincho"/>
          <w:sz w:val="22"/>
          <w:szCs w:val="22"/>
          <w:lang w:val="en-US"/>
        </w:rPr>
        <w:t xml:space="preserve"> they can form biogenic reefs or combined geogenic and biogenic reefs in several places. Such reefs are shaped by a mixture of live mussels and dead shells. Modiolus is also recorded from some sites in Øresund, Lillebelt and Great Belt</w:t>
      </w:r>
      <w:r>
        <w:rPr>
          <w:rFonts w:eastAsia="MS Mincho"/>
          <w:sz w:val="22"/>
          <w:szCs w:val="22"/>
          <w:lang w:val="en-US"/>
        </w:rPr>
        <w:t>,</w:t>
      </w:r>
      <w:r w:rsidRPr="009978E3">
        <w:rPr>
          <w:rFonts w:eastAsia="MS Mincho"/>
          <w:sz w:val="22"/>
          <w:szCs w:val="22"/>
          <w:lang w:val="en-US"/>
        </w:rPr>
        <w:t xml:space="preserve"> all </w:t>
      </w:r>
      <w:r>
        <w:rPr>
          <w:rFonts w:eastAsia="MS Mincho"/>
          <w:sz w:val="22"/>
          <w:szCs w:val="22"/>
          <w:lang w:val="en-US"/>
        </w:rPr>
        <w:t>part of</w:t>
      </w:r>
      <w:r w:rsidRPr="009978E3">
        <w:rPr>
          <w:rFonts w:eastAsia="MS Mincho"/>
          <w:sz w:val="22"/>
          <w:szCs w:val="22"/>
          <w:lang w:val="en-US"/>
        </w:rPr>
        <w:t xml:space="preserve"> the HELCOM region. A known horse</w:t>
      </w:r>
      <w:r>
        <w:rPr>
          <w:rFonts w:eastAsia="MS Mincho"/>
          <w:sz w:val="22"/>
          <w:szCs w:val="22"/>
          <w:lang w:val="en-US"/>
        </w:rPr>
        <w:t>-</w:t>
      </w:r>
      <w:r w:rsidRPr="009978E3">
        <w:rPr>
          <w:rFonts w:eastAsia="MS Mincho"/>
          <w:sz w:val="22"/>
          <w:szCs w:val="22"/>
          <w:lang w:val="en-US"/>
        </w:rPr>
        <w:t>mussel bed in the northern Kattegat became extinct in the 1990s. The mussels in Danish waters are typically found on mixed sediments containing rough sand, gravel and larger boulders, where the larger living mussels a</w:t>
      </w:r>
      <w:r>
        <w:rPr>
          <w:rFonts w:eastAsia="MS Mincho"/>
          <w:sz w:val="22"/>
          <w:szCs w:val="22"/>
          <w:lang w:val="en-US"/>
        </w:rPr>
        <w:t>re two-thirds</w:t>
      </w:r>
      <w:r w:rsidRPr="009978E3">
        <w:rPr>
          <w:rFonts w:eastAsia="MS Mincho"/>
          <w:sz w:val="22"/>
          <w:szCs w:val="22"/>
          <w:lang w:val="en-US"/>
        </w:rPr>
        <w:t xml:space="preserve"> buried in the sediment. </w:t>
      </w:r>
    </w:p>
    <w:p w14:paraId="281AA499" w14:textId="77777777" w:rsidR="006B3F46" w:rsidRPr="009978E3" w:rsidRDefault="006B3F46" w:rsidP="00907941">
      <w:pPr>
        <w:jc w:val="both"/>
        <w:rPr>
          <w:rFonts w:eastAsia="MS Mincho"/>
          <w:sz w:val="22"/>
          <w:szCs w:val="22"/>
          <w:lang w:val="en-US"/>
        </w:rPr>
      </w:pPr>
    </w:p>
    <w:p w14:paraId="21294F0F"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Modiolus reefs host a high diversity of associated fauna and a few algal species. The beds are located below 15</w:t>
      </w:r>
      <w:r>
        <w:rPr>
          <w:rFonts w:eastAsia="MS Mincho"/>
          <w:sz w:val="22"/>
          <w:szCs w:val="22"/>
          <w:lang w:val="en-US"/>
        </w:rPr>
        <w:t xml:space="preserve"> to </w:t>
      </w:r>
      <w:r w:rsidRPr="009978E3">
        <w:rPr>
          <w:rFonts w:eastAsia="MS Mincho"/>
          <w:sz w:val="22"/>
          <w:szCs w:val="22"/>
          <w:lang w:val="en-US"/>
        </w:rPr>
        <w:t xml:space="preserve">19m, but a deeper depth range is likely as well. The distribution is most likely constrained to areas having an </w:t>
      </w:r>
      <w:r>
        <w:rPr>
          <w:rFonts w:eastAsia="MS Mincho"/>
          <w:sz w:val="22"/>
          <w:szCs w:val="22"/>
          <w:lang w:val="en-US"/>
        </w:rPr>
        <w:t xml:space="preserve">average </w:t>
      </w:r>
      <w:r w:rsidRPr="009978E3">
        <w:rPr>
          <w:rFonts w:eastAsia="MS Mincho"/>
          <w:sz w:val="22"/>
          <w:szCs w:val="22"/>
          <w:lang w:val="en-US"/>
        </w:rPr>
        <w:t xml:space="preserve">salinity above 26 </w:t>
      </w:r>
      <w:r>
        <w:rPr>
          <w:rFonts w:eastAsia="MS Mincho"/>
          <w:sz w:val="22"/>
          <w:szCs w:val="22"/>
          <w:lang w:val="en-US"/>
        </w:rPr>
        <w:t>PSU</w:t>
      </w:r>
      <w:r w:rsidRPr="009978E3">
        <w:rPr>
          <w:rFonts w:eastAsia="MS Mincho"/>
          <w:sz w:val="22"/>
          <w:szCs w:val="22"/>
          <w:lang w:val="en-US"/>
        </w:rPr>
        <w:t xml:space="preserve">). The geographical distribution has not been described. Only point observations exist in different areas. </w:t>
      </w:r>
    </w:p>
    <w:p w14:paraId="48CAC53F" w14:textId="77777777" w:rsidR="006B3F46" w:rsidRPr="009978E3" w:rsidRDefault="006B3F46" w:rsidP="00907941">
      <w:pPr>
        <w:jc w:val="both"/>
        <w:rPr>
          <w:rFonts w:eastAsia="MS Mincho"/>
          <w:sz w:val="22"/>
          <w:szCs w:val="22"/>
          <w:lang w:val="en-US"/>
        </w:rPr>
      </w:pPr>
    </w:p>
    <w:p w14:paraId="25FDD0B7"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Modiolus is a long-lived and slow</w:t>
      </w:r>
      <w:r>
        <w:rPr>
          <w:rFonts w:eastAsia="MS Mincho"/>
          <w:sz w:val="22"/>
          <w:szCs w:val="22"/>
          <w:lang w:val="en-US"/>
        </w:rPr>
        <w:t>-</w:t>
      </w:r>
      <w:r w:rsidRPr="009978E3">
        <w:rPr>
          <w:rFonts w:eastAsia="MS Mincho"/>
          <w:sz w:val="22"/>
          <w:szCs w:val="22"/>
          <w:lang w:val="en-US"/>
        </w:rPr>
        <w:t xml:space="preserve">growing species, and the larval phase in the water column is approximately </w:t>
      </w:r>
      <w:r>
        <w:rPr>
          <w:rFonts w:eastAsia="MS Mincho"/>
          <w:sz w:val="22"/>
          <w:szCs w:val="22"/>
          <w:lang w:val="en-US"/>
        </w:rPr>
        <w:t>four</w:t>
      </w:r>
      <w:r w:rsidRPr="009978E3">
        <w:rPr>
          <w:rFonts w:eastAsia="MS Mincho"/>
          <w:sz w:val="22"/>
          <w:szCs w:val="22"/>
          <w:lang w:val="en-US"/>
        </w:rPr>
        <w:t xml:space="preserve"> weeks. Larval settling seems to be stimulated by existing mussel populations on the site (Dinesen and Morton, 2014). For this reason,</w:t>
      </w:r>
      <w:r>
        <w:rPr>
          <w:rFonts w:eastAsia="MS Mincho"/>
          <w:sz w:val="22"/>
          <w:szCs w:val="22"/>
          <w:lang w:val="en-US"/>
        </w:rPr>
        <w:t xml:space="preserve"> the</w:t>
      </w:r>
      <w:r w:rsidRPr="009978E3">
        <w:rPr>
          <w:rFonts w:eastAsia="MS Mincho"/>
          <w:sz w:val="22"/>
          <w:szCs w:val="22"/>
          <w:lang w:val="en-US"/>
        </w:rPr>
        <w:t xml:space="preserve"> loss of mu</w:t>
      </w:r>
      <w:r>
        <w:rPr>
          <w:rFonts w:eastAsia="MS Mincho"/>
          <w:sz w:val="22"/>
          <w:szCs w:val="22"/>
          <w:lang w:val="en-US"/>
        </w:rPr>
        <w:t>s</w:t>
      </w:r>
      <w:r w:rsidRPr="009978E3">
        <w:rPr>
          <w:rFonts w:eastAsia="MS Mincho"/>
          <w:sz w:val="22"/>
          <w:szCs w:val="22"/>
          <w:lang w:val="en-US"/>
        </w:rPr>
        <w:t>sel beds is likely to have adverse and long-lasting effects.</w:t>
      </w:r>
    </w:p>
    <w:p w14:paraId="153CB342" w14:textId="77777777" w:rsidR="006B3F46" w:rsidRPr="009978E3" w:rsidRDefault="006B3F46" w:rsidP="00907941">
      <w:pPr>
        <w:jc w:val="both"/>
        <w:rPr>
          <w:rFonts w:eastAsia="MS Mincho"/>
          <w:sz w:val="22"/>
          <w:szCs w:val="22"/>
          <w:lang w:val="en-US"/>
        </w:rPr>
      </w:pPr>
    </w:p>
    <w:p w14:paraId="54B595FC"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Eelgrass beds</w:t>
      </w:r>
    </w:p>
    <w:p w14:paraId="5547C86D"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Eelgrass (</w:t>
      </w:r>
      <w:r w:rsidRPr="009978E3">
        <w:rPr>
          <w:rFonts w:eastAsia="MS Mincho"/>
          <w:i/>
          <w:sz w:val="22"/>
          <w:szCs w:val="22"/>
          <w:lang w:val="en-US"/>
        </w:rPr>
        <w:t>Zostea marina</w:t>
      </w:r>
      <w:r w:rsidRPr="009978E3">
        <w:rPr>
          <w:rFonts w:eastAsia="MS Mincho"/>
          <w:sz w:val="22"/>
          <w:szCs w:val="22"/>
          <w:lang w:val="en-US"/>
        </w:rPr>
        <w:t xml:space="preserve">) can form dense meadows. It occurs along the east coast of Jutland, north of Sealand and south of the island </w:t>
      </w:r>
      <w:r>
        <w:rPr>
          <w:rFonts w:eastAsia="MS Mincho"/>
          <w:sz w:val="22"/>
          <w:szCs w:val="22"/>
          <w:lang w:val="en-US"/>
        </w:rPr>
        <w:t xml:space="preserve">of </w:t>
      </w:r>
      <w:r w:rsidRPr="009978E3">
        <w:rPr>
          <w:rFonts w:eastAsia="MS Mincho"/>
          <w:sz w:val="22"/>
          <w:szCs w:val="22"/>
          <w:lang w:val="en-US"/>
        </w:rPr>
        <w:t xml:space="preserve">Læsø. This very productive habitat used to be more common in Danish waters until a disease in the 1930s diminished most populations. Despite large methodological differences, Bostrøm </w:t>
      </w:r>
      <w:r w:rsidRPr="0006066A">
        <w:rPr>
          <w:rFonts w:eastAsia="MS Mincho"/>
          <w:i/>
          <w:sz w:val="22"/>
          <w:szCs w:val="22"/>
          <w:lang w:val="en-US"/>
        </w:rPr>
        <w:t>et al</w:t>
      </w:r>
      <w:r w:rsidRPr="009978E3">
        <w:rPr>
          <w:rFonts w:eastAsia="MS Mincho"/>
          <w:sz w:val="22"/>
          <w:szCs w:val="22"/>
          <w:lang w:val="en-US"/>
        </w:rPr>
        <w:t xml:space="preserve">. (2014) made a rough estimate that eelgrass </w:t>
      </w:r>
      <w:r>
        <w:rPr>
          <w:rFonts w:eastAsia="MS Mincho"/>
          <w:sz w:val="22"/>
          <w:szCs w:val="22"/>
          <w:lang w:val="en-US"/>
        </w:rPr>
        <w:t>coverage</w:t>
      </w:r>
      <w:r w:rsidRPr="009978E3">
        <w:rPr>
          <w:rFonts w:eastAsia="MS Mincho"/>
          <w:sz w:val="22"/>
          <w:szCs w:val="22"/>
          <w:lang w:val="en-US"/>
        </w:rPr>
        <w:t xml:space="preserve"> in Kattegat and adjacent fjords diminished to 10</w:t>
      </w:r>
      <w:r>
        <w:rPr>
          <w:rFonts w:eastAsia="MS Mincho"/>
          <w:sz w:val="22"/>
          <w:szCs w:val="22"/>
          <w:lang w:val="en-US"/>
        </w:rPr>
        <w:t xml:space="preserve">  per cent</w:t>
      </w:r>
      <w:r w:rsidRPr="009978E3">
        <w:rPr>
          <w:rFonts w:eastAsia="MS Mincho"/>
          <w:sz w:val="22"/>
          <w:szCs w:val="22"/>
          <w:lang w:val="en-US"/>
        </w:rPr>
        <w:t xml:space="preserve"> of </w:t>
      </w:r>
      <w:r>
        <w:rPr>
          <w:rFonts w:eastAsia="MS Mincho"/>
          <w:sz w:val="22"/>
          <w:szCs w:val="22"/>
          <w:lang w:val="en-US"/>
        </w:rPr>
        <w:t>the coverage in the year 1900</w:t>
      </w:r>
      <w:r w:rsidRPr="009978E3">
        <w:rPr>
          <w:rFonts w:eastAsia="MS Mincho"/>
          <w:sz w:val="22"/>
          <w:szCs w:val="22"/>
          <w:lang w:val="en-US"/>
        </w:rPr>
        <w:t>.</w:t>
      </w:r>
    </w:p>
    <w:p w14:paraId="3DE0DC4F" w14:textId="77777777" w:rsidR="006B3F46" w:rsidRPr="009978E3" w:rsidRDefault="006B3F46" w:rsidP="00907941">
      <w:pPr>
        <w:jc w:val="both"/>
        <w:rPr>
          <w:rFonts w:eastAsia="MS Mincho"/>
          <w:sz w:val="22"/>
          <w:szCs w:val="22"/>
          <w:lang w:val="en-US"/>
        </w:rPr>
      </w:pPr>
    </w:p>
    <w:p w14:paraId="76708CF3"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Eelgrass is an important habitat for many invertebrates </w:t>
      </w:r>
      <w:r>
        <w:rPr>
          <w:rFonts w:eastAsia="MS Mincho"/>
          <w:sz w:val="22"/>
          <w:szCs w:val="22"/>
          <w:lang w:val="en-US"/>
        </w:rPr>
        <w:t>and</w:t>
      </w:r>
      <w:r w:rsidRPr="009978E3">
        <w:rPr>
          <w:rFonts w:eastAsia="MS Mincho"/>
          <w:sz w:val="22"/>
          <w:szCs w:val="22"/>
          <w:lang w:val="en-US"/>
        </w:rPr>
        <w:t xml:space="preserve"> serv</w:t>
      </w:r>
      <w:r>
        <w:rPr>
          <w:rFonts w:eastAsia="MS Mincho"/>
          <w:sz w:val="22"/>
          <w:szCs w:val="22"/>
          <w:lang w:val="en-US"/>
        </w:rPr>
        <w:t>es</w:t>
      </w:r>
      <w:r w:rsidRPr="009978E3">
        <w:rPr>
          <w:rFonts w:eastAsia="MS Mincho"/>
          <w:sz w:val="22"/>
          <w:szCs w:val="22"/>
          <w:lang w:val="en-US"/>
        </w:rPr>
        <w:t xml:space="preserve"> as a feeding and nursery area for a number of fish, including young cod. Despite </w:t>
      </w:r>
      <w:r>
        <w:rPr>
          <w:rFonts w:eastAsia="MS Mincho"/>
          <w:sz w:val="22"/>
          <w:szCs w:val="22"/>
          <w:lang w:val="en-US"/>
        </w:rPr>
        <w:t xml:space="preserve">an </w:t>
      </w:r>
      <w:r w:rsidRPr="009978E3">
        <w:rPr>
          <w:rFonts w:eastAsia="MS Mincho"/>
          <w:sz w:val="22"/>
          <w:szCs w:val="22"/>
          <w:lang w:val="en-US"/>
        </w:rPr>
        <w:t xml:space="preserve">improving environment in Danish waters, the eelgrass meadows are not recovering as expected. Figure </w:t>
      </w:r>
      <w:r>
        <w:rPr>
          <w:rFonts w:eastAsia="MS Mincho"/>
          <w:sz w:val="22"/>
          <w:szCs w:val="22"/>
          <w:lang w:val="en-US"/>
        </w:rPr>
        <w:t>9</w:t>
      </w:r>
      <w:r w:rsidRPr="009978E3">
        <w:rPr>
          <w:rFonts w:eastAsia="MS Mincho"/>
          <w:sz w:val="22"/>
          <w:szCs w:val="22"/>
          <w:lang w:val="en-US"/>
        </w:rPr>
        <w:t xml:space="preserve"> show</w:t>
      </w:r>
      <w:r>
        <w:rPr>
          <w:rFonts w:eastAsia="MS Mincho"/>
          <w:sz w:val="22"/>
          <w:szCs w:val="22"/>
          <w:lang w:val="en-US"/>
        </w:rPr>
        <w:t>s</w:t>
      </w:r>
      <w:r w:rsidRPr="009978E3">
        <w:rPr>
          <w:rFonts w:eastAsia="MS Mincho"/>
          <w:sz w:val="22"/>
          <w:szCs w:val="22"/>
          <w:lang w:val="en-US"/>
        </w:rPr>
        <w:t xml:space="preserve"> a modelled potential distribution of eelgrass in Danish waters based on seabed sediment, light and exposure.</w:t>
      </w:r>
    </w:p>
    <w:p w14:paraId="56DC46B4" w14:textId="77777777" w:rsidR="006B3F46" w:rsidRPr="009978E3" w:rsidRDefault="006B3F46" w:rsidP="00907941">
      <w:pPr>
        <w:jc w:val="both"/>
        <w:rPr>
          <w:rFonts w:eastAsia="MS Mincho"/>
          <w:sz w:val="22"/>
          <w:szCs w:val="22"/>
          <w:lang w:val="en-US"/>
        </w:rPr>
      </w:pPr>
    </w:p>
    <w:p w14:paraId="5B914E1E"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Seal species</w:t>
      </w:r>
    </w:p>
    <w:p w14:paraId="706EAFDC" w14:textId="77777777" w:rsidR="006B3F46" w:rsidRPr="00F66EF7" w:rsidRDefault="006B3F46" w:rsidP="00907941">
      <w:pPr>
        <w:jc w:val="both"/>
        <w:rPr>
          <w:rFonts w:eastAsia="MS Mincho"/>
          <w:sz w:val="22"/>
          <w:szCs w:val="22"/>
          <w:lang w:val="en-US"/>
        </w:rPr>
      </w:pPr>
      <w:r w:rsidRPr="009978E3">
        <w:rPr>
          <w:rFonts w:eastAsia="MS Mincho"/>
          <w:sz w:val="22"/>
          <w:szCs w:val="22"/>
          <w:lang w:val="en-US"/>
        </w:rPr>
        <w:t>Harbour seal (</w:t>
      </w:r>
      <w:r w:rsidRPr="009978E3">
        <w:rPr>
          <w:rFonts w:eastAsia="MS Mincho"/>
          <w:i/>
          <w:sz w:val="22"/>
          <w:szCs w:val="22"/>
          <w:lang w:val="en-US"/>
        </w:rPr>
        <w:t>Phoca vitulina</w:t>
      </w:r>
      <w:r w:rsidRPr="009978E3">
        <w:rPr>
          <w:rFonts w:eastAsia="MS Mincho"/>
          <w:sz w:val="22"/>
          <w:szCs w:val="22"/>
          <w:lang w:val="en-US"/>
        </w:rPr>
        <w:t xml:space="preserve">) rest and breed on the islands </w:t>
      </w:r>
      <w:r>
        <w:rPr>
          <w:rFonts w:eastAsia="MS Mincho"/>
          <w:sz w:val="22"/>
          <w:szCs w:val="22"/>
          <w:lang w:val="en-US"/>
        </w:rPr>
        <w:t xml:space="preserve">of </w:t>
      </w:r>
      <w:r w:rsidRPr="009978E3">
        <w:rPr>
          <w:rFonts w:eastAsia="MS Mincho"/>
          <w:sz w:val="22"/>
          <w:szCs w:val="22"/>
          <w:lang w:val="en-US"/>
        </w:rPr>
        <w:t>Anholt a</w:t>
      </w:r>
      <w:r>
        <w:rPr>
          <w:rFonts w:eastAsia="MS Mincho"/>
          <w:sz w:val="22"/>
          <w:szCs w:val="22"/>
          <w:lang w:val="en-US"/>
        </w:rPr>
        <w:t>nd</w:t>
      </w:r>
      <w:r w:rsidRPr="009978E3">
        <w:rPr>
          <w:rFonts w:eastAsia="MS Mincho"/>
          <w:sz w:val="22"/>
          <w:szCs w:val="22"/>
          <w:lang w:val="en-US"/>
        </w:rPr>
        <w:t xml:space="preserve"> Læsø. Gray seal</w:t>
      </w:r>
      <w:r w:rsidRPr="0021277B">
        <w:rPr>
          <w:sz w:val="22"/>
          <w:szCs w:val="22"/>
        </w:rPr>
        <w:t xml:space="preserve"> (</w:t>
      </w:r>
      <w:r w:rsidRPr="00F66EF7">
        <w:rPr>
          <w:rFonts w:eastAsia="MS Mincho"/>
          <w:i/>
          <w:sz w:val="22"/>
          <w:szCs w:val="22"/>
          <w:lang w:val="en-US"/>
        </w:rPr>
        <w:t>Halichoerus grypus</w:t>
      </w:r>
      <w:r w:rsidRPr="00F66EF7">
        <w:rPr>
          <w:rFonts w:eastAsia="MS Mincho"/>
          <w:sz w:val="22"/>
          <w:szCs w:val="22"/>
          <w:lang w:val="en-US"/>
        </w:rPr>
        <w:t>) is less common in Kattegat.</w:t>
      </w:r>
    </w:p>
    <w:p w14:paraId="615D7864" w14:textId="77777777" w:rsidR="006B3F46" w:rsidRPr="009978E3" w:rsidRDefault="006B3F46" w:rsidP="00907941">
      <w:pPr>
        <w:jc w:val="both"/>
        <w:rPr>
          <w:rFonts w:eastAsia="MS Mincho"/>
          <w:sz w:val="22"/>
          <w:szCs w:val="22"/>
          <w:lang w:val="en-US"/>
        </w:rPr>
      </w:pPr>
    </w:p>
    <w:p w14:paraId="59E07CB4" w14:textId="77777777" w:rsidR="006B3F46" w:rsidRDefault="006B3F46" w:rsidP="00907941">
      <w:pPr>
        <w:jc w:val="both"/>
        <w:rPr>
          <w:rFonts w:eastAsia="MS Mincho"/>
          <w:b/>
          <w:i/>
          <w:sz w:val="22"/>
          <w:szCs w:val="22"/>
          <w:lang w:val="en-US"/>
        </w:rPr>
      </w:pPr>
      <w:r>
        <w:rPr>
          <w:rFonts w:eastAsia="MS Mincho"/>
          <w:b/>
          <w:i/>
          <w:sz w:val="22"/>
          <w:szCs w:val="22"/>
          <w:lang w:val="en-US"/>
        </w:rPr>
        <w:t xml:space="preserve">Harbor porpoise </w:t>
      </w:r>
    </w:p>
    <w:p w14:paraId="141CE035" w14:textId="77777777" w:rsidR="006B3F46" w:rsidRDefault="006B3F46" w:rsidP="00907941">
      <w:pPr>
        <w:widowControl w:val="0"/>
        <w:autoSpaceDE w:val="0"/>
        <w:autoSpaceDN w:val="0"/>
        <w:adjustRightInd w:val="0"/>
        <w:jc w:val="both"/>
        <w:rPr>
          <w:rFonts w:eastAsia="MS Mincho"/>
          <w:sz w:val="22"/>
          <w:szCs w:val="22"/>
        </w:rPr>
      </w:pPr>
      <w:r>
        <w:rPr>
          <w:rFonts w:eastAsia="MS Mincho"/>
          <w:sz w:val="22"/>
          <w:szCs w:val="22"/>
          <w:lang w:val="en-US"/>
        </w:rPr>
        <w:t xml:space="preserve">Kattegat hosts both the North Sea population in the northern part of the area as well at the Belt Sea population in the southern part of Kattegat. Both occur in relatively high numbers </w:t>
      </w:r>
      <w:r w:rsidRPr="00C63A53">
        <w:rPr>
          <w:rFonts w:eastAsia="MS Mincho"/>
          <w:sz w:val="22"/>
          <w:szCs w:val="22"/>
          <w:lang w:val="en-US"/>
        </w:rPr>
        <w:t xml:space="preserve">(Figure </w:t>
      </w:r>
      <w:r w:rsidRPr="0021277B">
        <w:rPr>
          <w:rFonts w:eastAsia="MS Mincho"/>
          <w:sz w:val="22"/>
          <w:szCs w:val="22"/>
          <w:lang w:val="en-US"/>
        </w:rPr>
        <w:t>10</w:t>
      </w:r>
      <w:r w:rsidRPr="00C63A53">
        <w:rPr>
          <w:rFonts w:eastAsia="MS Mincho"/>
          <w:sz w:val="22"/>
          <w:szCs w:val="22"/>
          <w:lang w:val="en-US"/>
        </w:rPr>
        <w:t>).</w:t>
      </w:r>
      <w:r>
        <w:rPr>
          <w:rFonts w:eastAsia="MS Mincho"/>
          <w:sz w:val="22"/>
          <w:szCs w:val="22"/>
          <w:lang w:val="en-US"/>
        </w:rPr>
        <w:t xml:space="preserve"> The harbour porpoise is listed in the </w:t>
      </w:r>
      <w:r>
        <w:rPr>
          <w:rFonts w:eastAsia="MS Mincho"/>
          <w:sz w:val="22"/>
          <w:szCs w:val="22"/>
        </w:rPr>
        <w:t>OSPAR Recommendation 2013/11 on furthering the protection and restoration of the harbour porpoise (</w:t>
      </w:r>
      <w:r w:rsidRPr="0021277B">
        <w:rPr>
          <w:rFonts w:eastAsia="MS Mincho"/>
          <w:i/>
          <w:sz w:val="22"/>
          <w:szCs w:val="22"/>
        </w:rPr>
        <w:t>Phocoena phocoena</w:t>
      </w:r>
      <w:r>
        <w:rPr>
          <w:rFonts w:eastAsia="MS Mincho"/>
          <w:sz w:val="22"/>
          <w:szCs w:val="22"/>
        </w:rPr>
        <w:t>) in Regions II and III of the OSPAR maritime area (OSPAR 2013). Harbour porpoise is also assessed as vulnerable by Denmark according to the HELCOM red list assessment (HELCOM 2013a)</w:t>
      </w:r>
    </w:p>
    <w:p w14:paraId="32D20A6D" w14:textId="77777777" w:rsidR="006B3F46" w:rsidRPr="009978E3" w:rsidRDefault="006B3F46" w:rsidP="00907941">
      <w:pPr>
        <w:jc w:val="both"/>
        <w:rPr>
          <w:rFonts w:eastAsia="MS Mincho"/>
          <w:sz w:val="22"/>
          <w:szCs w:val="22"/>
          <w:lang w:val="en-US"/>
        </w:rPr>
      </w:pPr>
    </w:p>
    <w:p w14:paraId="3EE6C1C7"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Birds - Pelagic feeders and surface feeders</w:t>
      </w:r>
    </w:p>
    <w:p w14:paraId="35A4C264" w14:textId="77777777" w:rsidR="006B3F46" w:rsidRPr="009978E3" w:rsidRDefault="006B3F46" w:rsidP="00907941">
      <w:pPr>
        <w:jc w:val="both"/>
        <w:rPr>
          <w:rFonts w:eastAsia="MS Mincho"/>
          <w:sz w:val="22"/>
          <w:szCs w:val="22"/>
          <w:lang w:val="en-US"/>
        </w:rPr>
      </w:pPr>
      <w:r>
        <w:rPr>
          <w:rFonts w:eastAsia="MS Mincho"/>
          <w:sz w:val="22"/>
          <w:szCs w:val="22"/>
          <w:lang w:val="en-US"/>
        </w:rPr>
        <w:t>A</w:t>
      </w:r>
      <w:r w:rsidRPr="009978E3">
        <w:rPr>
          <w:rFonts w:eastAsia="MS Mincho"/>
          <w:sz w:val="22"/>
          <w:szCs w:val="22"/>
          <w:lang w:val="en-US"/>
        </w:rPr>
        <w:t xml:space="preserve"> number of pelagic</w:t>
      </w:r>
      <w:r>
        <w:rPr>
          <w:rFonts w:eastAsia="MS Mincho"/>
          <w:sz w:val="22"/>
          <w:szCs w:val="22"/>
          <w:lang w:val="en-US"/>
        </w:rPr>
        <w:t>-</w:t>
      </w:r>
      <w:r w:rsidRPr="009978E3">
        <w:rPr>
          <w:rFonts w:eastAsia="MS Mincho"/>
          <w:sz w:val="22"/>
          <w:szCs w:val="22"/>
          <w:lang w:val="en-US"/>
        </w:rPr>
        <w:t xml:space="preserve">feeding bird species are present </w:t>
      </w:r>
      <w:r>
        <w:rPr>
          <w:rFonts w:eastAsia="MS Mincho"/>
          <w:sz w:val="22"/>
          <w:szCs w:val="22"/>
          <w:lang w:val="en-US"/>
        </w:rPr>
        <w:t>in t</w:t>
      </w:r>
      <w:r w:rsidRPr="009978E3">
        <w:rPr>
          <w:rFonts w:eastAsia="MS Mincho"/>
          <w:sz w:val="22"/>
          <w:szCs w:val="22"/>
          <w:lang w:val="en-US"/>
        </w:rPr>
        <w:t xml:space="preserve">he deeper parts of the area, from </w:t>
      </w:r>
      <w:r>
        <w:rPr>
          <w:rFonts w:eastAsia="MS Mincho"/>
          <w:sz w:val="22"/>
          <w:szCs w:val="22"/>
          <w:lang w:val="en-US"/>
        </w:rPr>
        <w:t xml:space="preserve">the </w:t>
      </w:r>
      <w:r w:rsidRPr="009978E3">
        <w:rPr>
          <w:rFonts w:eastAsia="MS Mincho"/>
          <w:sz w:val="22"/>
          <w:szCs w:val="22"/>
          <w:lang w:val="en-US"/>
        </w:rPr>
        <w:t xml:space="preserve">north, through the eastern to the southeastern parts. </w:t>
      </w:r>
      <w:r>
        <w:rPr>
          <w:rFonts w:eastAsia="MS Mincho"/>
          <w:sz w:val="22"/>
          <w:szCs w:val="22"/>
          <w:lang w:val="en-US"/>
        </w:rPr>
        <w:t>These include, m</w:t>
      </w:r>
      <w:r w:rsidRPr="009978E3">
        <w:rPr>
          <w:rFonts w:eastAsia="MS Mincho"/>
          <w:sz w:val="22"/>
          <w:szCs w:val="22"/>
          <w:lang w:val="en-US"/>
        </w:rPr>
        <w:t>ost notably</w:t>
      </w:r>
      <w:r>
        <w:rPr>
          <w:rFonts w:eastAsia="MS Mincho"/>
          <w:sz w:val="22"/>
          <w:szCs w:val="22"/>
          <w:lang w:val="en-US"/>
        </w:rPr>
        <w:t>,</w:t>
      </w:r>
      <w:r w:rsidRPr="009978E3">
        <w:rPr>
          <w:rFonts w:eastAsia="MS Mincho"/>
          <w:sz w:val="22"/>
          <w:szCs w:val="22"/>
          <w:lang w:val="en-US"/>
        </w:rPr>
        <w:t xml:space="preserve">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g</w:t>
      </w:r>
      <w:r w:rsidRPr="009978E3">
        <w:rPr>
          <w:rFonts w:eastAsia="MS Mincho"/>
          <w:sz w:val="22"/>
          <w:szCs w:val="22"/>
          <w:lang w:val="en-US"/>
        </w:rPr>
        <w:t xml:space="preserve">uillemot </w:t>
      </w:r>
      <w:r>
        <w:rPr>
          <w:rFonts w:eastAsia="MS Mincho"/>
          <w:sz w:val="22"/>
          <w:szCs w:val="22"/>
          <w:lang w:val="en-US"/>
        </w:rPr>
        <w:t>(</w:t>
      </w:r>
      <w:r w:rsidRPr="009978E3">
        <w:rPr>
          <w:rFonts w:eastAsia="MS Mincho"/>
          <w:i/>
          <w:sz w:val="22"/>
          <w:szCs w:val="22"/>
          <w:lang w:val="en-US"/>
        </w:rPr>
        <w:t>Uria aalge</w:t>
      </w:r>
      <w:r>
        <w:rPr>
          <w:rFonts w:eastAsia="MS Mincho"/>
          <w:i/>
          <w:sz w:val="22"/>
          <w:szCs w:val="22"/>
          <w:lang w:val="en-US"/>
        </w:rPr>
        <w:t>)</w:t>
      </w:r>
      <w:r w:rsidRPr="009978E3">
        <w:rPr>
          <w:rFonts w:eastAsia="MS Mincho"/>
          <w:sz w:val="22"/>
          <w:szCs w:val="22"/>
          <w:lang w:val="en-US"/>
        </w:rPr>
        <w:t xml:space="preserve"> and </w:t>
      </w:r>
      <w:r>
        <w:rPr>
          <w:rFonts w:eastAsia="MS Mincho"/>
          <w:sz w:val="22"/>
          <w:szCs w:val="22"/>
          <w:lang w:val="en-US"/>
        </w:rPr>
        <w:t>r</w:t>
      </w:r>
      <w:r w:rsidRPr="009978E3">
        <w:rPr>
          <w:rFonts w:eastAsia="MS Mincho"/>
          <w:sz w:val="22"/>
          <w:szCs w:val="22"/>
          <w:lang w:val="en-US"/>
        </w:rPr>
        <w:t xml:space="preserve">azorbill </w:t>
      </w:r>
      <w:r>
        <w:rPr>
          <w:rFonts w:eastAsia="MS Mincho"/>
          <w:sz w:val="22"/>
          <w:szCs w:val="22"/>
          <w:lang w:val="en-US"/>
        </w:rPr>
        <w:t>(</w:t>
      </w:r>
      <w:r w:rsidRPr="009978E3">
        <w:rPr>
          <w:rFonts w:eastAsia="MS Mincho"/>
          <w:i/>
          <w:sz w:val="22"/>
          <w:szCs w:val="22"/>
          <w:lang w:val="en-US"/>
        </w:rPr>
        <w:t>Alca torda</w:t>
      </w:r>
      <w:r>
        <w:rPr>
          <w:rFonts w:eastAsia="MS Mincho"/>
          <w:i/>
          <w:sz w:val="22"/>
          <w:szCs w:val="22"/>
          <w:lang w:val="en-US"/>
        </w:rPr>
        <w:t>)</w:t>
      </w:r>
      <w:r w:rsidRPr="009978E3">
        <w:rPr>
          <w:rFonts w:eastAsia="MS Mincho"/>
          <w:sz w:val="22"/>
          <w:szCs w:val="22"/>
          <w:lang w:val="en-US"/>
        </w:rPr>
        <w:t xml:space="preserve">, but also </w:t>
      </w:r>
      <w:r>
        <w:rPr>
          <w:rFonts w:eastAsia="MS Mincho"/>
          <w:sz w:val="22"/>
          <w:szCs w:val="22"/>
          <w:lang w:val="en-US"/>
        </w:rPr>
        <w:t>k</w:t>
      </w:r>
      <w:r w:rsidRPr="009978E3">
        <w:rPr>
          <w:rFonts w:eastAsia="MS Mincho"/>
          <w:sz w:val="22"/>
          <w:szCs w:val="22"/>
          <w:lang w:val="en-US"/>
        </w:rPr>
        <w:t xml:space="preserve">ittiwake </w:t>
      </w:r>
      <w:r>
        <w:rPr>
          <w:rFonts w:eastAsia="MS Mincho"/>
          <w:sz w:val="22"/>
          <w:szCs w:val="22"/>
          <w:lang w:val="en-US"/>
        </w:rPr>
        <w:t>(</w:t>
      </w:r>
      <w:r w:rsidRPr="009978E3">
        <w:rPr>
          <w:rFonts w:eastAsia="MS Mincho"/>
          <w:i/>
          <w:sz w:val="22"/>
          <w:szCs w:val="22"/>
          <w:lang w:val="en-US"/>
        </w:rPr>
        <w:t>Rissa tridactyla</w:t>
      </w:r>
      <w:r>
        <w:rPr>
          <w:rFonts w:eastAsia="MS Mincho"/>
          <w:i/>
          <w:sz w:val="22"/>
          <w:szCs w:val="22"/>
          <w:lang w:val="en-US"/>
        </w:rPr>
        <w:t>)</w:t>
      </w:r>
      <w:r w:rsidRPr="009978E3">
        <w:rPr>
          <w:rFonts w:eastAsia="MS Mincho"/>
          <w:sz w:val="22"/>
          <w:szCs w:val="22"/>
          <w:lang w:val="en-US"/>
        </w:rPr>
        <w:t xml:space="preserve"> and </w:t>
      </w:r>
      <w:r>
        <w:rPr>
          <w:rFonts w:eastAsia="MS Mincho"/>
          <w:sz w:val="22"/>
          <w:szCs w:val="22"/>
          <w:lang w:val="en-US"/>
        </w:rPr>
        <w:t>n</w:t>
      </w:r>
      <w:r w:rsidRPr="009978E3">
        <w:rPr>
          <w:rFonts w:eastAsia="MS Mincho"/>
          <w:sz w:val="22"/>
          <w:szCs w:val="22"/>
          <w:lang w:val="en-US"/>
        </w:rPr>
        <w:t xml:space="preserve">orthern </w:t>
      </w:r>
      <w:r>
        <w:rPr>
          <w:rFonts w:eastAsia="MS Mincho"/>
          <w:sz w:val="22"/>
          <w:szCs w:val="22"/>
          <w:lang w:val="en-US"/>
        </w:rPr>
        <w:t>g</w:t>
      </w:r>
      <w:r w:rsidRPr="009978E3">
        <w:rPr>
          <w:rFonts w:eastAsia="MS Mincho"/>
          <w:sz w:val="22"/>
          <w:szCs w:val="22"/>
          <w:lang w:val="en-US"/>
        </w:rPr>
        <w:t xml:space="preserve">annet </w:t>
      </w:r>
      <w:r>
        <w:rPr>
          <w:rFonts w:eastAsia="MS Mincho"/>
          <w:sz w:val="22"/>
          <w:szCs w:val="22"/>
          <w:lang w:val="en-US"/>
        </w:rPr>
        <w:t>(</w:t>
      </w:r>
      <w:r w:rsidRPr="009978E3">
        <w:rPr>
          <w:rFonts w:eastAsia="MS Mincho"/>
          <w:i/>
          <w:sz w:val="22"/>
          <w:szCs w:val="22"/>
          <w:lang w:val="en-US"/>
        </w:rPr>
        <w:t>Morus bassanus</w:t>
      </w:r>
      <w:r>
        <w:rPr>
          <w:rFonts w:eastAsia="MS Mincho"/>
          <w:i/>
          <w:sz w:val="22"/>
          <w:szCs w:val="22"/>
          <w:lang w:val="en-US"/>
        </w:rPr>
        <w:t>)</w:t>
      </w:r>
      <w:r w:rsidRPr="009978E3">
        <w:rPr>
          <w:rFonts w:eastAsia="MS Mincho"/>
          <w:sz w:val="22"/>
          <w:szCs w:val="22"/>
          <w:lang w:val="en-US"/>
        </w:rPr>
        <w:t xml:space="preserve">. </w:t>
      </w:r>
    </w:p>
    <w:p w14:paraId="0CC23AAB" w14:textId="77777777" w:rsidR="006B3F46" w:rsidRPr="009978E3" w:rsidRDefault="006B3F46" w:rsidP="00907941">
      <w:pPr>
        <w:jc w:val="both"/>
        <w:rPr>
          <w:rFonts w:eastAsia="MS Mincho"/>
          <w:sz w:val="22"/>
          <w:szCs w:val="22"/>
          <w:lang w:val="en-US"/>
        </w:rPr>
      </w:pPr>
    </w:p>
    <w:p w14:paraId="1251586A" w14:textId="77777777" w:rsidR="006B3F46" w:rsidRPr="009978E3" w:rsidRDefault="006B3F46" w:rsidP="00907941">
      <w:pPr>
        <w:jc w:val="both"/>
        <w:rPr>
          <w:rFonts w:eastAsia="MS Mincho"/>
          <w:i/>
          <w:iCs/>
          <w:sz w:val="22"/>
          <w:szCs w:val="22"/>
          <w:lang w:val="en-US"/>
        </w:rPr>
      </w:pPr>
      <w:r w:rsidRPr="009978E3">
        <w:rPr>
          <w:rFonts w:eastAsia="MS Mincho"/>
          <w:i/>
          <w:iCs/>
          <w:sz w:val="22"/>
          <w:szCs w:val="22"/>
          <w:lang w:val="en-US"/>
        </w:rPr>
        <w:t>Razorbill/Common Guillemot</w:t>
      </w:r>
    </w:p>
    <w:p w14:paraId="55B98704"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Razorbills and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g</w:t>
      </w:r>
      <w:r w:rsidRPr="009978E3">
        <w:rPr>
          <w:rFonts w:eastAsia="MS Mincho"/>
          <w:sz w:val="22"/>
          <w:szCs w:val="22"/>
          <w:lang w:val="en-US"/>
        </w:rPr>
        <w:t xml:space="preserve">uillemots are treated in common in the </w:t>
      </w:r>
      <w:r>
        <w:rPr>
          <w:rFonts w:eastAsia="MS Mincho"/>
          <w:sz w:val="22"/>
          <w:szCs w:val="22"/>
          <w:lang w:val="en-US"/>
        </w:rPr>
        <w:t xml:space="preserve">analysis </w:t>
      </w:r>
      <w:r w:rsidRPr="009978E3">
        <w:rPr>
          <w:rFonts w:eastAsia="MS Mincho"/>
          <w:sz w:val="22"/>
          <w:szCs w:val="22"/>
          <w:lang w:val="en-US"/>
        </w:rPr>
        <w:t xml:space="preserve">below, as the species are difficult to separate when recorded by aerial surveys. The two species are found in the area throughout the year, but do not breed in the area or its vicinity. Over the summer the majority of the </w:t>
      </w:r>
      <w:r>
        <w:rPr>
          <w:rFonts w:eastAsia="MS Mincho"/>
          <w:sz w:val="22"/>
          <w:szCs w:val="22"/>
          <w:lang w:val="en-US"/>
        </w:rPr>
        <w:t>a</w:t>
      </w:r>
      <w:r w:rsidRPr="009978E3">
        <w:rPr>
          <w:rFonts w:eastAsia="MS Mincho"/>
          <w:sz w:val="22"/>
          <w:szCs w:val="22"/>
          <w:lang w:val="en-US"/>
        </w:rPr>
        <w:t xml:space="preserve">lcids present are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g</w:t>
      </w:r>
      <w:r w:rsidRPr="009978E3">
        <w:rPr>
          <w:rFonts w:eastAsia="MS Mincho"/>
          <w:sz w:val="22"/>
          <w:szCs w:val="22"/>
          <w:lang w:val="en-US"/>
        </w:rPr>
        <w:t xml:space="preserve">uillemots. Breeding birds from Scotland perform a swimming migration with their flightless young from breeding grounds in Scotland and raise their offspring to fledglings in the area. In winter the majority of the </w:t>
      </w:r>
      <w:r>
        <w:rPr>
          <w:rFonts w:eastAsia="MS Mincho"/>
          <w:sz w:val="22"/>
          <w:szCs w:val="22"/>
          <w:lang w:val="en-US"/>
        </w:rPr>
        <w:t>a</w:t>
      </w:r>
      <w:r w:rsidRPr="009978E3">
        <w:rPr>
          <w:rFonts w:eastAsia="MS Mincho"/>
          <w:sz w:val="22"/>
          <w:szCs w:val="22"/>
          <w:lang w:val="en-US"/>
        </w:rPr>
        <w:t xml:space="preserve">lcids in the area are </w:t>
      </w:r>
      <w:r>
        <w:rPr>
          <w:rFonts w:eastAsia="MS Mincho"/>
          <w:sz w:val="22"/>
          <w:szCs w:val="22"/>
          <w:lang w:val="en-US"/>
        </w:rPr>
        <w:t>r</w:t>
      </w:r>
      <w:r w:rsidRPr="009978E3">
        <w:rPr>
          <w:rFonts w:eastAsia="MS Mincho"/>
          <w:sz w:val="22"/>
          <w:szCs w:val="22"/>
          <w:lang w:val="en-US"/>
        </w:rPr>
        <w:t>azorbills. The ratio between the two species is poorly known and is thought to fluctuat</w:t>
      </w:r>
      <w:r>
        <w:rPr>
          <w:rFonts w:eastAsia="MS Mincho"/>
          <w:sz w:val="22"/>
          <w:szCs w:val="22"/>
          <w:lang w:val="en-US"/>
        </w:rPr>
        <w:t>e</w:t>
      </w:r>
      <w:r w:rsidRPr="009978E3">
        <w:rPr>
          <w:rFonts w:eastAsia="MS Mincho"/>
          <w:sz w:val="22"/>
          <w:szCs w:val="22"/>
          <w:lang w:val="en-US"/>
        </w:rPr>
        <w:t xml:space="preserve"> considerably over time in winter. The eastern and southeastern parts of the area are the most important </w:t>
      </w:r>
      <w:r>
        <w:rPr>
          <w:rFonts w:eastAsia="MS Mincho"/>
          <w:sz w:val="22"/>
          <w:szCs w:val="22"/>
          <w:lang w:val="en-US"/>
        </w:rPr>
        <w:t xml:space="preserve">areas </w:t>
      </w:r>
      <w:r w:rsidRPr="009978E3">
        <w:rPr>
          <w:rFonts w:eastAsia="MS Mincho"/>
          <w:sz w:val="22"/>
          <w:szCs w:val="22"/>
          <w:lang w:val="en-US"/>
        </w:rPr>
        <w:t xml:space="preserve">for the species in inner Danish waters, </w:t>
      </w:r>
      <w:r>
        <w:rPr>
          <w:rFonts w:eastAsia="MS Mincho"/>
          <w:sz w:val="22"/>
          <w:szCs w:val="22"/>
          <w:lang w:val="en-US"/>
        </w:rPr>
        <w:t xml:space="preserve">where there are </w:t>
      </w:r>
      <w:r w:rsidRPr="009978E3">
        <w:rPr>
          <w:rFonts w:eastAsia="MS Mincho"/>
          <w:sz w:val="22"/>
          <w:szCs w:val="22"/>
          <w:lang w:val="en-US"/>
        </w:rPr>
        <w:t>frequently</w:t>
      </w:r>
      <w:r>
        <w:rPr>
          <w:rFonts w:eastAsia="MS Mincho"/>
          <w:sz w:val="22"/>
          <w:szCs w:val="22"/>
          <w:lang w:val="en-US"/>
        </w:rPr>
        <w:t xml:space="preserve"> tens</w:t>
      </w:r>
      <w:r w:rsidRPr="009978E3">
        <w:rPr>
          <w:rFonts w:eastAsia="MS Mincho"/>
          <w:sz w:val="22"/>
          <w:szCs w:val="22"/>
          <w:lang w:val="en-US"/>
        </w:rPr>
        <w:t xml:space="preserve"> of thousands of birds. A spatial model of </w:t>
      </w:r>
      <w:r>
        <w:rPr>
          <w:rFonts w:eastAsia="MS Mincho"/>
          <w:sz w:val="22"/>
          <w:szCs w:val="22"/>
          <w:lang w:val="en-US"/>
        </w:rPr>
        <w:t>a</w:t>
      </w:r>
      <w:r w:rsidRPr="009978E3">
        <w:rPr>
          <w:rFonts w:eastAsia="MS Mincho"/>
          <w:sz w:val="22"/>
          <w:szCs w:val="22"/>
          <w:lang w:val="en-US"/>
        </w:rPr>
        <w:t xml:space="preserve">lcids in the area in the winter of 2008 estimated close to 73,000 individuals in the area, most of which were found in the southeastern parts of the area (Figure </w:t>
      </w:r>
      <w:r>
        <w:rPr>
          <w:rFonts w:eastAsia="MS Mincho"/>
          <w:sz w:val="22"/>
          <w:szCs w:val="22"/>
          <w:lang w:val="en-US"/>
        </w:rPr>
        <w:t>11</w:t>
      </w:r>
      <w:r w:rsidRPr="009978E3">
        <w:rPr>
          <w:rFonts w:eastAsia="MS Mincho"/>
          <w:sz w:val="22"/>
          <w:szCs w:val="22"/>
          <w:lang w:val="en-US"/>
        </w:rPr>
        <w:t xml:space="preserve">). </w:t>
      </w:r>
    </w:p>
    <w:p w14:paraId="497D7A3F" w14:textId="77777777" w:rsidR="006B3F46" w:rsidRPr="009978E3" w:rsidRDefault="006B3F46" w:rsidP="00907941">
      <w:pPr>
        <w:jc w:val="both"/>
        <w:rPr>
          <w:rFonts w:eastAsia="MS Mincho"/>
          <w:i/>
          <w:iCs/>
          <w:sz w:val="22"/>
          <w:szCs w:val="22"/>
          <w:lang w:val="en-US"/>
        </w:rPr>
      </w:pPr>
    </w:p>
    <w:p w14:paraId="6DC79BE6"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In the winter of 2016, a national waterbird monitoring </w:t>
      </w:r>
      <w:r>
        <w:rPr>
          <w:rFonts w:eastAsia="MS Mincho"/>
          <w:sz w:val="22"/>
          <w:szCs w:val="22"/>
          <w:lang w:val="en-US"/>
        </w:rPr>
        <w:t xml:space="preserve">study </w:t>
      </w:r>
      <w:r w:rsidRPr="009978E3">
        <w:rPr>
          <w:rFonts w:eastAsia="MS Mincho"/>
          <w:sz w:val="22"/>
          <w:szCs w:val="22"/>
          <w:lang w:val="en-US"/>
        </w:rPr>
        <w:t xml:space="preserve">was </w:t>
      </w:r>
      <w:r>
        <w:rPr>
          <w:rFonts w:eastAsia="MS Mincho"/>
          <w:sz w:val="22"/>
          <w:szCs w:val="22"/>
          <w:lang w:val="en-US"/>
        </w:rPr>
        <w:t xml:space="preserve">conducted </w:t>
      </w:r>
      <w:r w:rsidRPr="009978E3">
        <w:rPr>
          <w:rFonts w:eastAsia="MS Mincho"/>
          <w:sz w:val="22"/>
          <w:szCs w:val="22"/>
          <w:lang w:val="en-US"/>
        </w:rPr>
        <w:t xml:space="preserve"> in inner Danish waters. During this survey more than 4,200 </w:t>
      </w:r>
      <w:r>
        <w:rPr>
          <w:rFonts w:eastAsia="MS Mincho"/>
          <w:sz w:val="22"/>
          <w:szCs w:val="22"/>
          <w:lang w:val="en-US"/>
        </w:rPr>
        <w:t>r</w:t>
      </w:r>
      <w:r w:rsidRPr="009978E3">
        <w:rPr>
          <w:rFonts w:eastAsia="MS Mincho"/>
          <w:sz w:val="22"/>
          <w:szCs w:val="22"/>
          <w:lang w:val="en-US"/>
        </w:rPr>
        <w:t>azorbills/</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g</w:t>
      </w:r>
      <w:r w:rsidRPr="009978E3">
        <w:rPr>
          <w:rFonts w:eastAsia="MS Mincho"/>
          <w:sz w:val="22"/>
          <w:szCs w:val="22"/>
          <w:lang w:val="en-US"/>
        </w:rPr>
        <w:t xml:space="preserve">uillemots were recorded </w:t>
      </w:r>
      <w:r w:rsidRPr="00C63A53">
        <w:rPr>
          <w:rFonts w:eastAsia="MS Mincho"/>
          <w:sz w:val="22"/>
          <w:szCs w:val="22"/>
          <w:lang w:val="en-US"/>
        </w:rPr>
        <w:t>(Figure 12). No spatial model of abundance from these sampled data has been performed. Based on</w:t>
      </w:r>
      <w:r w:rsidRPr="009978E3">
        <w:rPr>
          <w:rFonts w:eastAsia="MS Mincho"/>
          <w:sz w:val="22"/>
          <w:szCs w:val="22"/>
          <w:lang w:val="en-US"/>
        </w:rPr>
        <w:t xml:space="preserve"> the number of observed birds and their distribution, the total abundance and distribution show very similar patterns as the 2008 results (Holm </w:t>
      </w:r>
      <w:r w:rsidRPr="0006066A">
        <w:rPr>
          <w:rFonts w:eastAsia="MS Mincho"/>
          <w:i/>
          <w:sz w:val="22"/>
          <w:szCs w:val="22"/>
          <w:lang w:val="en-US"/>
        </w:rPr>
        <w:t>et al</w:t>
      </w:r>
      <w:r w:rsidRPr="009978E3">
        <w:rPr>
          <w:rFonts w:eastAsia="MS Mincho"/>
          <w:sz w:val="22"/>
          <w:szCs w:val="22"/>
          <w:lang w:val="en-US"/>
        </w:rPr>
        <w:t xml:space="preserve">. 2018).  </w:t>
      </w:r>
    </w:p>
    <w:p w14:paraId="1DB4BEAB" w14:textId="77777777" w:rsidR="006B3F46" w:rsidRPr="009978E3" w:rsidRDefault="006B3F46" w:rsidP="00907941">
      <w:pPr>
        <w:jc w:val="both"/>
        <w:rPr>
          <w:rFonts w:eastAsia="MS Mincho"/>
          <w:sz w:val="22"/>
          <w:szCs w:val="22"/>
          <w:lang w:val="en-US"/>
        </w:rPr>
      </w:pPr>
    </w:p>
    <w:p w14:paraId="3A036031" w14:textId="77777777" w:rsidR="006B3F46" w:rsidRPr="009978E3" w:rsidRDefault="006B3F46" w:rsidP="00907941">
      <w:pPr>
        <w:jc w:val="both"/>
        <w:rPr>
          <w:rFonts w:eastAsia="MS Mincho"/>
          <w:i/>
          <w:iCs/>
          <w:sz w:val="22"/>
          <w:szCs w:val="22"/>
          <w:lang w:val="en-US"/>
        </w:rPr>
      </w:pPr>
      <w:r w:rsidRPr="009978E3">
        <w:rPr>
          <w:rFonts w:eastAsia="MS Mincho"/>
          <w:i/>
          <w:iCs/>
          <w:sz w:val="22"/>
          <w:szCs w:val="22"/>
          <w:lang w:val="en-US"/>
        </w:rPr>
        <w:t>Black-legged Kittiwake</w:t>
      </w:r>
    </w:p>
    <w:p w14:paraId="2E8E08E0"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Kittiwakes are offshore surface feeders, in the non-breeding season mainly at sea. Kattegat, with its influx of saline water, comprises a suitable habitat for this species. The spatial distribution of the species coincides with the distribution of razorbills/common guillemots. Kittiwakes are, on the other hand, more mobile than the alcids, and thus the occurrence in the Kattegat area is more unstable. The deep area in Kattegat is the most important area of the inner Danish waters for the </w:t>
      </w:r>
      <w:r w:rsidRPr="00C63A53">
        <w:rPr>
          <w:rFonts w:eastAsia="MS Mincho"/>
          <w:sz w:val="22"/>
          <w:szCs w:val="22"/>
          <w:lang w:val="en-US"/>
        </w:rPr>
        <w:t xml:space="preserve">species (Figure </w:t>
      </w:r>
      <w:r w:rsidRPr="0021277B">
        <w:rPr>
          <w:rFonts w:eastAsia="MS Mincho"/>
          <w:sz w:val="22"/>
          <w:szCs w:val="22"/>
          <w:lang w:val="en-US"/>
        </w:rPr>
        <w:t>1</w:t>
      </w:r>
      <w:r w:rsidRPr="00C63A53">
        <w:rPr>
          <w:rFonts w:eastAsia="MS Mincho"/>
          <w:sz w:val="22"/>
          <w:szCs w:val="22"/>
          <w:lang w:val="en-US"/>
        </w:rPr>
        <w:t>3).</w:t>
      </w:r>
    </w:p>
    <w:p w14:paraId="19F74162" w14:textId="77777777" w:rsidR="006B3F46" w:rsidRPr="009978E3" w:rsidRDefault="006B3F46" w:rsidP="00907941">
      <w:pPr>
        <w:jc w:val="both"/>
        <w:rPr>
          <w:rFonts w:eastAsia="MS Mincho"/>
          <w:sz w:val="22"/>
          <w:szCs w:val="22"/>
          <w:lang w:val="en-US"/>
        </w:rPr>
      </w:pPr>
    </w:p>
    <w:p w14:paraId="3D94156F" w14:textId="77777777" w:rsidR="006B3F46" w:rsidRPr="009978E3" w:rsidRDefault="006B3F46" w:rsidP="00907941">
      <w:pPr>
        <w:jc w:val="both"/>
        <w:rPr>
          <w:rFonts w:eastAsia="MS Mincho"/>
          <w:b/>
          <w:i/>
          <w:sz w:val="22"/>
          <w:szCs w:val="22"/>
          <w:lang w:val="en-US"/>
        </w:rPr>
      </w:pPr>
      <w:r w:rsidRPr="009978E3">
        <w:rPr>
          <w:rFonts w:eastAsia="MS Mincho"/>
          <w:b/>
          <w:i/>
          <w:sz w:val="22"/>
          <w:szCs w:val="22"/>
          <w:lang w:val="en-US"/>
        </w:rPr>
        <w:t xml:space="preserve">Birds </w:t>
      </w:r>
      <w:r>
        <w:rPr>
          <w:rFonts w:eastAsia="MS Mincho"/>
          <w:b/>
          <w:i/>
          <w:sz w:val="22"/>
          <w:szCs w:val="22"/>
          <w:lang w:val="en-US"/>
        </w:rPr>
        <w:t>–</w:t>
      </w:r>
      <w:r w:rsidRPr="009978E3">
        <w:rPr>
          <w:rFonts w:eastAsia="MS Mincho"/>
          <w:b/>
          <w:i/>
          <w:sz w:val="22"/>
          <w:szCs w:val="22"/>
          <w:lang w:val="en-US"/>
        </w:rPr>
        <w:t xml:space="preserve"> Benthic</w:t>
      </w:r>
      <w:r>
        <w:rPr>
          <w:rFonts w:eastAsia="MS Mincho"/>
          <w:b/>
          <w:i/>
          <w:sz w:val="22"/>
          <w:szCs w:val="22"/>
          <w:lang w:val="en-US"/>
        </w:rPr>
        <w:t>-</w:t>
      </w:r>
      <w:r w:rsidRPr="009978E3">
        <w:rPr>
          <w:rFonts w:eastAsia="MS Mincho"/>
          <w:b/>
          <w:i/>
          <w:sz w:val="22"/>
          <w:szCs w:val="22"/>
          <w:lang w:val="en-US"/>
        </w:rPr>
        <w:t>feeding birds</w:t>
      </w:r>
    </w:p>
    <w:p w14:paraId="75070C14"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The central part </w:t>
      </w:r>
      <w:r>
        <w:rPr>
          <w:rFonts w:eastAsia="MS Mincho"/>
          <w:sz w:val="22"/>
          <w:szCs w:val="22"/>
          <w:lang w:val="en-US"/>
        </w:rPr>
        <w:t xml:space="preserve">of the area </w:t>
      </w:r>
      <w:r w:rsidRPr="009978E3">
        <w:rPr>
          <w:rFonts w:eastAsia="MS Mincho"/>
          <w:sz w:val="22"/>
          <w:szCs w:val="22"/>
          <w:lang w:val="en-US"/>
        </w:rPr>
        <w:t xml:space="preserve">has extensive areas of shallow water, less than 20 m in depth. In such areas, benthic feeders are present in high numbers, notably during spring, winter and autumn, but also in significant numbers during summer (Petersen </w:t>
      </w:r>
      <w:r w:rsidRPr="0006066A">
        <w:rPr>
          <w:rFonts w:eastAsia="MS Mincho"/>
          <w:i/>
          <w:sz w:val="22"/>
          <w:szCs w:val="22"/>
          <w:lang w:val="en-US"/>
        </w:rPr>
        <w:t>et al</w:t>
      </w:r>
      <w:r w:rsidRPr="009978E3">
        <w:rPr>
          <w:rFonts w:eastAsia="MS Mincho"/>
          <w:sz w:val="22"/>
          <w:szCs w:val="22"/>
          <w:lang w:val="en-US"/>
        </w:rPr>
        <w:t xml:space="preserve">. 2003). The most abundant species is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s</w:t>
      </w:r>
      <w:r w:rsidRPr="009978E3">
        <w:rPr>
          <w:rFonts w:eastAsia="MS Mincho"/>
          <w:sz w:val="22"/>
          <w:szCs w:val="22"/>
          <w:lang w:val="en-US"/>
        </w:rPr>
        <w:t xml:space="preserve">coter </w:t>
      </w:r>
      <w:r>
        <w:rPr>
          <w:rFonts w:eastAsia="MS Mincho"/>
          <w:sz w:val="22"/>
          <w:szCs w:val="22"/>
          <w:lang w:val="en-US"/>
        </w:rPr>
        <w:t>(</w:t>
      </w:r>
      <w:r w:rsidRPr="009978E3">
        <w:rPr>
          <w:rFonts w:eastAsia="MS Mincho"/>
          <w:i/>
          <w:sz w:val="22"/>
          <w:szCs w:val="22"/>
          <w:lang w:val="en-US"/>
        </w:rPr>
        <w:t>Melanitta nigra</w:t>
      </w:r>
      <w:r>
        <w:rPr>
          <w:rFonts w:eastAsia="MS Mincho"/>
          <w:i/>
          <w:sz w:val="22"/>
          <w:szCs w:val="22"/>
          <w:lang w:val="en-US"/>
        </w:rPr>
        <w:t>)</w:t>
      </w:r>
      <w:r w:rsidRPr="009978E3">
        <w:rPr>
          <w:rFonts w:eastAsia="MS Mincho"/>
          <w:i/>
          <w:sz w:val="22"/>
          <w:szCs w:val="22"/>
          <w:lang w:val="en-US"/>
        </w:rPr>
        <w:t xml:space="preserve"> </w:t>
      </w:r>
      <w:r w:rsidRPr="009978E3">
        <w:rPr>
          <w:rFonts w:eastAsia="MS Mincho"/>
          <w:sz w:val="22"/>
          <w:szCs w:val="22"/>
          <w:lang w:val="en-US"/>
        </w:rPr>
        <w:t xml:space="preserve">with up to 900,000 individuals recorded at a single time (Laursen </w:t>
      </w:r>
      <w:r w:rsidRPr="0006066A">
        <w:rPr>
          <w:rFonts w:eastAsia="MS Mincho"/>
          <w:i/>
          <w:sz w:val="22"/>
          <w:szCs w:val="22"/>
          <w:lang w:val="en-US"/>
        </w:rPr>
        <w:t>et al</w:t>
      </w:r>
      <w:r w:rsidRPr="009978E3">
        <w:rPr>
          <w:rFonts w:eastAsia="MS Mincho"/>
          <w:sz w:val="22"/>
          <w:szCs w:val="22"/>
          <w:lang w:val="en-US"/>
        </w:rPr>
        <w:t xml:space="preserve">. </w:t>
      </w:r>
      <w:r w:rsidRPr="00A9104A">
        <w:rPr>
          <w:rFonts w:eastAsia="MS Mincho"/>
          <w:sz w:val="22"/>
          <w:szCs w:val="22"/>
          <w:lang w:val="en-US"/>
        </w:rPr>
        <w:t>1997).</w:t>
      </w:r>
      <w:r w:rsidRPr="00F66EF7">
        <w:rPr>
          <w:rFonts w:eastAsia="MS Mincho"/>
          <w:sz w:val="22"/>
          <w:szCs w:val="22"/>
          <w:lang w:val="en-US"/>
        </w:rPr>
        <w:t xml:space="preserve"> Also,</w:t>
      </w:r>
      <w:r w:rsidRPr="009978E3">
        <w:rPr>
          <w:rFonts w:eastAsia="MS Mincho"/>
          <w:sz w:val="22"/>
          <w:szCs w:val="22"/>
          <w:lang w:val="en-US"/>
        </w:rPr>
        <w:t xml:space="preserve">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e</w:t>
      </w:r>
      <w:r w:rsidRPr="009978E3">
        <w:rPr>
          <w:rFonts w:eastAsia="MS Mincho"/>
          <w:sz w:val="22"/>
          <w:szCs w:val="22"/>
          <w:lang w:val="en-US"/>
        </w:rPr>
        <w:t xml:space="preserve">ider </w:t>
      </w:r>
      <w:r>
        <w:rPr>
          <w:rFonts w:eastAsia="MS Mincho"/>
          <w:sz w:val="22"/>
          <w:szCs w:val="22"/>
          <w:lang w:val="en-US"/>
        </w:rPr>
        <w:t>(</w:t>
      </w:r>
      <w:r w:rsidRPr="009978E3">
        <w:rPr>
          <w:rFonts w:eastAsia="MS Mincho"/>
          <w:i/>
          <w:sz w:val="22"/>
          <w:szCs w:val="22"/>
          <w:lang w:val="en-US"/>
        </w:rPr>
        <w:t>Sommateria mollissima</w:t>
      </w:r>
      <w:r>
        <w:rPr>
          <w:rFonts w:eastAsia="MS Mincho"/>
          <w:i/>
          <w:sz w:val="22"/>
          <w:szCs w:val="22"/>
          <w:lang w:val="en-US"/>
        </w:rPr>
        <w:t>)</w:t>
      </w:r>
      <w:r w:rsidRPr="009978E3">
        <w:rPr>
          <w:rFonts w:eastAsia="MS Mincho"/>
          <w:sz w:val="22"/>
          <w:szCs w:val="22"/>
          <w:lang w:val="en-US"/>
        </w:rPr>
        <w:t xml:space="preserve">, </w:t>
      </w:r>
      <w:r>
        <w:rPr>
          <w:rFonts w:eastAsia="MS Mincho"/>
          <w:sz w:val="22"/>
          <w:szCs w:val="22"/>
          <w:lang w:val="en-US"/>
        </w:rPr>
        <w:t>v</w:t>
      </w:r>
      <w:r w:rsidRPr="009978E3">
        <w:rPr>
          <w:rFonts w:eastAsia="MS Mincho"/>
          <w:sz w:val="22"/>
          <w:szCs w:val="22"/>
          <w:lang w:val="en-US"/>
        </w:rPr>
        <w:t xml:space="preserve">elvet </w:t>
      </w:r>
      <w:r>
        <w:rPr>
          <w:rFonts w:eastAsia="MS Mincho"/>
          <w:sz w:val="22"/>
          <w:szCs w:val="22"/>
          <w:lang w:val="en-US"/>
        </w:rPr>
        <w:t>s</w:t>
      </w:r>
      <w:r w:rsidRPr="009978E3">
        <w:rPr>
          <w:rFonts w:eastAsia="MS Mincho"/>
          <w:sz w:val="22"/>
          <w:szCs w:val="22"/>
          <w:lang w:val="en-US"/>
        </w:rPr>
        <w:t xml:space="preserve">coter </w:t>
      </w:r>
      <w:r>
        <w:rPr>
          <w:rFonts w:eastAsia="MS Mincho"/>
          <w:sz w:val="22"/>
          <w:szCs w:val="22"/>
          <w:lang w:val="en-US"/>
        </w:rPr>
        <w:t>(</w:t>
      </w:r>
      <w:r w:rsidRPr="009978E3">
        <w:rPr>
          <w:rFonts w:eastAsia="MS Mincho"/>
          <w:i/>
          <w:sz w:val="22"/>
          <w:szCs w:val="22"/>
          <w:lang w:val="en-US"/>
        </w:rPr>
        <w:t>Melanitta fusca</w:t>
      </w:r>
      <w:r>
        <w:rPr>
          <w:rFonts w:eastAsia="MS Mincho"/>
          <w:i/>
          <w:sz w:val="22"/>
          <w:szCs w:val="22"/>
          <w:lang w:val="en-US"/>
        </w:rPr>
        <w:t>)</w:t>
      </w:r>
      <w:r w:rsidRPr="009978E3">
        <w:rPr>
          <w:rFonts w:eastAsia="MS Mincho"/>
          <w:sz w:val="22"/>
          <w:szCs w:val="22"/>
          <w:lang w:val="en-US"/>
        </w:rPr>
        <w:t xml:space="preserve">, </w:t>
      </w:r>
      <w:r>
        <w:rPr>
          <w:rFonts w:eastAsia="MS Mincho"/>
          <w:sz w:val="22"/>
          <w:szCs w:val="22"/>
          <w:lang w:val="en-US"/>
        </w:rPr>
        <w:t>l</w:t>
      </w:r>
      <w:r w:rsidRPr="009978E3">
        <w:rPr>
          <w:rFonts w:eastAsia="MS Mincho"/>
          <w:sz w:val="22"/>
          <w:szCs w:val="22"/>
          <w:lang w:val="en-US"/>
        </w:rPr>
        <w:t xml:space="preserve">ong-tailed </w:t>
      </w:r>
      <w:r>
        <w:rPr>
          <w:rFonts w:eastAsia="MS Mincho"/>
          <w:sz w:val="22"/>
          <w:szCs w:val="22"/>
          <w:lang w:val="en-US"/>
        </w:rPr>
        <w:t>d</w:t>
      </w:r>
      <w:r w:rsidRPr="009978E3">
        <w:rPr>
          <w:rFonts w:eastAsia="MS Mincho"/>
          <w:sz w:val="22"/>
          <w:szCs w:val="22"/>
          <w:lang w:val="en-US"/>
        </w:rPr>
        <w:t xml:space="preserve">uck </w:t>
      </w:r>
      <w:r>
        <w:rPr>
          <w:rFonts w:eastAsia="MS Mincho"/>
          <w:sz w:val="22"/>
          <w:szCs w:val="22"/>
          <w:lang w:val="en-US"/>
        </w:rPr>
        <w:t>(</w:t>
      </w:r>
      <w:r w:rsidRPr="009978E3">
        <w:rPr>
          <w:rFonts w:eastAsia="MS Mincho"/>
          <w:i/>
          <w:sz w:val="22"/>
          <w:szCs w:val="22"/>
          <w:lang w:val="en-US"/>
        </w:rPr>
        <w:t>Clangula hyemalis</w:t>
      </w:r>
      <w:r>
        <w:rPr>
          <w:rFonts w:eastAsia="MS Mincho"/>
          <w:i/>
          <w:sz w:val="22"/>
          <w:szCs w:val="22"/>
          <w:lang w:val="en-US"/>
        </w:rPr>
        <w:t>)</w:t>
      </w:r>
      <w:r w:rsidRPr="009978E3">
        <w:rPr>
          <w:rFonts w:eastAsia="MS Mincho"/>
          <w:sz w:val="22"/>
          <w:szCs w:val="22"/>
          <w:lang w:val="en-US"/>
        </w:rPr>
        <w:t xml:space="preserve"> and </w:t>
      </w:r>
      <w:r>
        <w:rPr>
          <w:rFonts w:eastAsia="MS Mincho"/>
          <w:sz w:val="22"/>
          <w:szCs w:val="22"/>
          <w:lang w:val="en-US"/>
        </w:rPr>
        <w:t>g</w:t>
      </w:r>
      <w:r w:rsidRPr="009978E3">
        <w:rPr>
          <w:rFonts w:eastAsia="MS Mincho"/>
          <w:sz w:val="22"/>
          <w:szCs w:val="22"/>
          <w:lang w:val="en-US"/>
        </w:rPr>
        <w:t xml:space="preserve">reater </w:t>
      </w:r>
      <w:r>
        <w:rPr>
          <w:rFonts w:eastAsia="MS Mincho"/>
          <w:sz w:val="22"/>
          <w:szCs w:val="22"/>
          <w:lang w:val="en-US"/>
        </w:rPr>
        <w:t>s</w:t>
      </w:r>
      <w:r w:rsidRPr="009978E3">
        <w:rPr>
          <w:rFonts w:eastAsia="MS Mincho"/>
          <w:sz w:val="22"/>
          <w:szCs w:val="22"/>
          <w:lang w:val="en-US"/>
        </w:rPr>
        <w:t xml:space="preserve">caup </w:t>
      </w:r>
      <w:r>
        <w:rPr>
          <w:rFonts w:eastAsia="MS Mincho"/>
          <w:sz w:val="22"/>
          <w:szCs w:val="22"/>
          <w:lang w:val="en-US"/>
        </w:rPr>
        <w:t>(</w:t>
      </w:r>
      <w:r w:rsidRPr="009978E3">
        <w:rPr>
          <w:rFonts w:eastAsia="MS Mincho"/>
          <w:i/>
          <w:sz w:val="22"/>
          <w:szCs w:val="22"/>
          <w:lang w:val="en-US"/>
        </w:rPr>
        <w:t>Aythya marila</w:t>
      </w:r>
      <w:r>
        <w:rPr>
          <w:rFonts w:eastAsia="MS Mincho"/>
          <w:i/>
          <w:sz w:val="22"/>
          <w:szCs w:val="22"/>
          <w:lang w:val="en-US"/>
        </w:rPr>
        <w:t>)</w:t>
      </w:r>
      <w:r w:rsidRPr="009978E3">
        <w:rPr>
          <w:rFonts w:eastAsia="MS Mincho"/>
          <w:sz w:val="22"/>
          <w:szCs w:val="22"/>
          <w:lang w:val="en-US"/>
        </w:rPr>
        <w:t xml:space="preserve"> are found in the area. Moreover, the shallower parts of the area have significant concentrations of divers. </w:t>
      </w:r>
      <w:r w:rsidRPr="009978E3">
        <w:rPr>
          <w:rFonts w:eastAsia="MS Mincho"/>
          <w:i/>
          <w:sz w:val="22"/>
          <w:szCs w:val="22"/>
          <w:lang w:val="en-US"/>
        </w:rPr>
        <w:t xml:space="preserve">Gaviidae </w:t>
      </w:r>
      <w:r w:rsidRPr="009978E3">
        <w:rPr>
          <w:rFonts w:eastAsia="MS Mincho"/>
          <w:sz w:val="22"/>
          <w:szCs w:val="22"/>
          <w:lang w:val="en-US"/>
        </w:rPr>
        <w:t>stag</w:t>
      </w:r>
      <w:r>
        <w:rPr>
          <w:rFonts w:eastAsia="MS Mincho"/>
          <w:sz w:val="22"/>
          <w:szCs w:val="22"/>
          <w:lang w:val="en-US"/>
        </w:rPr>
        <w:t>e</w:t>
      </w:r>
      <w:r w:rsidRPr="009978E3">
        <w:rPr>
          <w:rFonts w:eastAsia="MS Mincho"/>
          <w:sz w:val="22"/>
          <w:szCs w:val="22"/>
          <w:lang w:val="en-US"/>
        </w:rPr>
        <w:t xml:space="preserve"> during migration or </w:t>
      </w:r>
      <w:r>
        <w:rPr>
          <w:rFonts w:eastAsia="MS Mincho"/>
          <w:sz w:val="22"/>
          <w:szCs w:val="22"/>
          <w:lang w:val="en-US"/>
        </w:rPr>
        <w:t>over</w:t>
      </w:r>
      <w:r w:rsidRPr="009978E3">
        <w:rPr>
          <w:rFonts w:eastAsia="MS Mincho"/>
          <w:sz w:val="22"/>
          <w:szCs w:val="22"/>
          <w:lang w:val="en-US"/>
        </w:rPr>
        <w:t>wint</w:t>
      </w:r>
      <w:r>
        <w:rPr>
          <w:rFonts w:eastAsia="MS Mincho"/>
          <w:sz w:val="22"/>
          <w:szCs w:val="22"/>
          <w:lang w:val="en-US"/>
        </w:rPr>
        <w:t>er in this area</w:t>
      </w:r>
      <w:r w:rsidRPr="009978E3">
        <w:rPr>
          <w:rFonts w:eastAsia="MS Mincho"/>
          <w:sz w:val="22"/>
          <w:szCs w:val="22"/>
          <w:lang w:val="en-US"/>
        </w:rPr>
        <w:t xml:space="preserve">. Red-throated </w:t>
      </w:r>
      <w:r>
        <w:rPr>
          <w:rFonts w:eastAsia="MS Mincho"/>
          <w:sz w:val="22"/>
          <w:szCs w:val="22"/>
          <w:lang w:val="en-US"/>
        </w:rPr>
        <w:t>d</w:t>
      </w:r>
      <w:r w:rsidRPr="009978E3">
        <w:rPr>
          <w:rFonts w:eastAsia="MS Mincho"/>
          <w:sz w:val="22"/>
          <w:szCs w:val="22"/>
          <w:lang w:val="en-US"/>
        </w:rPr>
        <w:t xml:space="preserve">iver </w:t>
      </w:r>
      <w:r>
        <w:rPr>
          <w:rFonts w:eastAsia="MS Mincho"/>
          <w:sz w:val="22"/>
          <w:szCs w:val="22"/>
          <w:lang w:val="en-US"/>
        </w:rPr>
        <w:t>(</w:t>
      </w:r>
      <w:r w:rsidRPr="009978E3">
        <w:rPr>
          <w:rFonts w:eastAsia="MS Mincho"/>
          <w:i/>
          <w:sz w:val="22"/>
          <w:szCs w:val="22"/>
          <w:lang w:val="en-US"/>
        </w:rPr>
        <w:t xml:space="preserve">Gavia </w:t>
      </w:r>
      <w:r>
        <w:rPr>
          <w:rFonts w:eastAsia="MS Mincho"/>
          <w:i/>
          <w:sz w:val="22"/>
          <w:szCs w:val="22"/>
          <w:lang w:val="en-US"/>
        </w:rPr>
        <w:t>stellate)</w:t>
      </w:r>
      <w:r w:rsidRPr="009978E3">
        <w:rPr>
          <w:rFonts w:eastAsia="MS Mincho"/>
          <w:sz w:val="22"/>
          <w:szCs w:val="22"/>
          <w:lang w:val="en-US"/>
        </w:rPr>
        <w:t xml:space="preserve"> is the most abundant diver species in the area. </w:t>
      </w:r>
      <w:r>
        <w:rPr>
          <w:rFonts w:eastAsia="MS Mincho"/>
          <w:sz w:val="22"/>
          <w:szCs w:val="22"/>
          <w:lang w:val="en-US"/>
        </w:rPr>
        <w:t>Many</w:t>
      </w:r>
      <w:r w:rsidRPr="009978E3">
        <w:rPr>
          <w:rFonts w:eastAsia="MS Mincho"/>
          <w:sz w:val="22"/>
          <w:szCs w:val="22"/>
          <w:lang w:val="en-US"/>
        </w:rPr>
        <w:t xml:space="preserve"> waterbirds that breed in </w:t>
      </w:r>
      <w:r>
        <w:rPr>
          <w:rFonts w:eastAsia="MS Mincho"/>
          <w:sz w:val="22"/>
          <w:szCs w:val="22"/>
          <w:lang w:val="en-US"/>
        </w:rPr>
        <w:t xml:space="preserve">the </w:t>
      </w:r>
      <w:r w:rsidRPr="009978E3">
        <w:rPr>
          <w:rFonts w:eastAsia="MS Mincho"/>
          <w:sz w:val="22"/>
          <w:szCs w:val="22"/>
          <w:lang w:val="en-US"/>
        </w:rPr>
        <w:t>Russia</w:t>
      </w:r>
      <w:r>
        <w:rPr>
          <w:rFonts w:eastAsia="MS Mincho"/>
          <w:sz w:val="22"/>
          <w:szCs w:val="22"/>
          <w:lang w:val="en-US"/>
        </w:rPr>
        <w:t>n Federation</w:t>
      </w:r>
      <w:r w:rsidRPr="009978E3">
        <w:rPr>
          <w:rFonts w:eastAsia="MS Mincho"/>
          <w:sz w:val="22"/>
          <w:szCs w:val="22"/>
          <w:lang w:val="en-US"/>
        </w:rPr>
        <w:t xml:space="preserve"> and northern Scandinavia </w:t>
      </w:r>
      <w:r>
        <w:rPr>
          <w:rFonts w:eastAsia="MS Mincho"/>
          <w:sz w:val="22"/>
          <w:szCs w:val="22"/>
          <w:lang w:val="en-US"/>
        </w:rPr>
        <w:t>over</w:t>
      </w:r>
      <w:r w:rsidRPr="009978E3">
        <w:rPr>
          <w:rFonts w:eastAsia="MS Mincho"/>
          <w:sz w:val="22"/>
          <w:szCs w:val="22"/>
          <w:lang w:val="en-US"/>
        </w:rPr>
        <w:t>winter</w:t>
      </w:r>
      <w:r>
        <w:rPr>
          <w:rFonts w:eastAsia="MS Mincho"/>
          <w:sz w:val="22"/>
          <w:szCs w:val="22"/>
          <w:lang w:val="en-US"/>
        </w:rPr>
        <w:t xml:space="preserve"> in this area</w:t>
      </w:r>
      <w:r w:rsidRPr="009978E3">
        <w:rPr>
          <w:rFonts w:eastAsia="MS Mincho"/>
          <w:sz w:val="22"/>
          <w:szCs w:val="22"/>
          <w:lang w:val="en-US"/>
        </w:rPr>
        <w:t xml:space="preserve"> due to the low probability of ice cover in winter and large areas of shallow water.</w:t>
      </w:r>
    </w:p>
    <w:p w14:paraId="2A67436B" w14:textId="77777777" w:rsidR="006B3F46" w:rsidRPr="009978E3" w:rsidRDefault="006B3F46" w:rsidP="00907941">
      <w:pPr>
        <w:jc w:val="both"/>
        <w:rPr>
          <w:rFonts w:eastAsia="MS Mincho"/>
          <w:sz w:val="22"/>
          <w:szCs w:val="22"/>
          <w:lang w:val="en-US"/>
        </w:rPr>
      </w:pPr>
    </w:p>
    <w:p w14:paraId="569225EE"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During the summer,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s</w:t>
      </w:r>
      <w:r w:rsidRPr="009978E3">
        <w:rPr>
          <w:rFonts w:eastAsia="MS Mincho"/>
          <w:sz w:val="22"/>
          <w:szCs w:val="22"/>
          <w:lang w:val="en-US"/>
        </w:rPr>
        <w:t xml:space="preserve">coters,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e</w:t>
      </w:r>
      <w:r w:rsidRPr="009978E3">
        <w:rPr>
          <w:rFonts w:eastAsia="MS Mincho"/>
          <w:sz w:val="22"/>
          <w:szCs w:val="22"/>
          <w:lang w:val="en-US"/>
        </w:rPr>
        <w:t xml:space="preserve">iders and </w:t>
      </w:r>
      <w:r>
        <w:rPr>
          <w:rFonts w:eastAsia="MS Mincho"/>
          <w:sz w:val="22"/>
          <w:szCs w:val="22"/>
          <w:lang w:val="en-US"/>
        </w:rPr>
        <w:t>v</w:t>
      </w:r>
      <w:r w:rsidRPr="009978E3">
        <w:rPr>
          <w:rFonts w:eastAsia="MS Mincho"/>
          <w:sz w:val="22"/>
          <w:szCs w:val="22"/>
          <w:lang w:val="en-US"/>
        </w:rPr>
        <w:t xml:space="preserve">elvet </w:t>
      </w:r>
      <w:r>
        <w:rPr>
          <w:rFonts w:eastAsia="MS Mincho"/>
          <w:sz w:val="22"/>
          <w:szCs w:val="22"/>
          <w:lang w:val="en-US"/>
        </w:rPr>
        <w:t>s</w:t>
      </w:r>
      <w:r w:rsidRPr="009978E3">
        <w:rPr>
          <w:rFonts w:eastAsia="MS Mincho"/>
          <w:sz w:val="22"/>
          <w:szCs w:val="22"/>
          <w:lang w:val="en-US"/>
        </w:rPr>
        <w:t xml:space="preserve">coters </w:t>
      </w:r>
      <w:r>
        <w:rPr>
          <w:rFonts w:eastAsia="MS Mincho"/>
          <w:sz w:val="22"/>
          <w:szCs w:val="22"/>
          <w:lang w:val="en-US"/>
        </w:rPr>
        <w:t xml:space="preserve">moult in </w:t>
      </w:r>
      <w:r w:rsidRPr="009978E3">
        <w:rPr>
          <w:rFonts w:eastAsia="MS Mincho"/>
          <w:sz w:val="22"/>
          <w:szCs w:val="22"/>
          <w:lang w:val="en-US"/>
        </w:rPr>
        <w:t>the shallow</w:t>
      </w:r>
      <w:r>
        <w:rPr>
          <w:rFonts w:eastAsia="MS Mincho"/>
          <w:sz w:val="22"/>
          <w:szCs w:val="22"/>
          <w:lang w:val="en-US"/>
        </w:rPr>
        <w:t>est</w:t>
      </w:r>
      <w:r w:rsidRPr="009978E3">
        <w:rPr>
          <w:rFonts w:eastAsia="MS Mincho"/>
          <w:sz w:val="22"/>
          <w:szCs w:val="22"/>
          <w:lang w:val="en-US"/>
        </w:rPr>
        <w:t xml:space="preserve"> parts </w:t>
      </w:r>
      <w:r>
        <w:rPr>
          <w:rFonts w:eastAsia="MS Mincho"/>
          <w:sz w:val="22"/>
          <w:szCs w:val="22"/>
          <w:lang w:val="en-US"/>
        </w:rPr>
        <w:t>of this</w:t>
      </w:r>
      <w:r w:rsidRPr="009978E3">
        <w:rPr>
          <w:rFonts w:eastAsia="MS Mincho"/>
          <w:sz w:val="22"/>
          <w:szCs w:val="22"/>
          <w:lang w:val="en-US"/>
        </w:rPr>
        <w:t xml:space="preserve"> area. These species moult remigial feathers simultaneously, leaving them flightless for a period of approximately three weeks (Fox </w:t>
      </w:r>
      <w:r w:rsidRPr="0006066A">
        <w:rPr>
          <w:rFonts w:eastAsia="MS Mincho"/>
          <w:i/>
          <w:sz w:val="22"/>
          <w:szCs w:val="22"/>
          <w:lang w:val="en-US"/>
        </w:rPr>
        <w:t>et al</w:t>
      </w:r>
      <w:r w:rsidRPr="009978E3">
        <w:rPr>
          <w:rFonts w:eastAsia="MS Mincho"/>
          <w:sz w:val="22"/>
          <w:szCs w:val="22"/>
          <w:lang w:val="en-US"/>
        </w:rPr>
        <w:t xml:space="preserve">. 2008). During this time the birds are particularly vulnerable to human disturbances (Petersen </w:t>
      </w:r>
      <w:r w:rsidRPr="0006066A">
        <w:rPr>
          <w:rFonts w:eastAsia="MS Mincho"/>
          <w:i/>
          <w:sz w:val="22"/>
          <w:szCs w:val="22"/>
          <w:lang w:val="en-US"/>
        </w:rPr>
        <w:t>et al</w:t>
      </w:r>
      <w:r w:rsidRPr="009978E3">
        <w:rPr>
          <w:rFonts w:eastAsia="MS Mincho"/>
          <w:sz w:val="22"/>
          <w:szCs w:val="22"/>
          <w:lang w:val="en-US"/>
        </w:rPr>
        <w:t xml:space="preserve">. 2017). An area between the islands of Læsø and Anholt has very shallow waters, making human </w:t>
      </w:r>
      <w:r>
        <w:rPr>
          <w:rFonts w:eastAsia="MS Mincho"/>
          <w:sz w:val="22"/>
          <w:szCs w:val="22"/>
          <w:lang w:val="en-US"/>
        </w:rPr>
        <w:t>access difficult</w:t>
      </w:r>
      <w:r w:rsidRPr="009978E3">
        <w:rPr>
          <w:rFonts w:eastAsia="MS Mincho"/>
          <w:sz w:val="22"/>
          <w:szCs w:val="22"/>
          <w:lang w:val="en-US"/>
        </w:rPr>
        <w:t xml:space="preserve">, and is thus an important area for moulting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s</w:t>
      </w:r>
      <w:r w:rsidRPr="009978E3">
        <w:rPr>
          <w:rFonts w:eastAsia="MS Mincho"/>
          <w:sz w:val="22"/>
          <w:szCs w:val="22"/>
          <w:lang w:val="en-US"/>
        </w:rPr>
        <w:t>coters.</w:t>
      </w:r>
    </w:p>
    <w:p w14:paraId="3FC5EEEE" w14:textId="77777777" w:rsidR="006B3F46" w:rsidRPr="009978E3" w:rsidRDefault="006B3F46" w:rsidP="00907941">
      <w:pPr>
        <w:jc w:val="both"/>
        <w:rPr>
          <w:rFonts w:eastAsia="MS Mincho"/>
          <w:sz w:val="22"/>
          <w:szCs w:val="22"/>
          <w:lang w:val="en-US"/>
        </w:rPr>
      </w:pPr>
    </w:p>
    <w:p w14:paraId="276C07A4"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Common Scoter</w:t>
      </w:r>
    </w:p>
    <w:p w14:paraId="766DD69F"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Common </w:t>
      </w:r>
      <w:r>
        <w:rPr>
          <w:rFonts w:eastAsia="MS Mincho"/>
          <w:sz w:val="22"/>
          <w:szCs w:val="22"/>
          <w:lang w:val="en-US"/>
        </w:rPr>
        <w:t>s</w:t>
      </w:r>
      <w:r w:rsidRPr="009978E3">
        <w:rPr>
          <w:rFonts w:eastAsia="MS Mincho"/>
          <w:sz w:val="22"/>
          <w:szCs w:val="22"/>
          <w:lang w:val="en-US"/>
        </w:rPr>
        <w:t xml:space="preserve">coter is the most abundant seaduck species in the area. The shallow parts of the area comprise the single most important area for </w:t>
      </w:r>
      <w:r>
        <w:rPr>
          <w:rFonts w:eastAsia="MS Mincho"/>
          <w:sz w:val="22"/>
          <w:szCs w:val="22"/>
          <w:lang w:val="en-US"/>
        </w:rPr>
        <w:t>this species</w:t>
      </w:r>
      <w:r w:rsidRPr="009978E3">
        <w:rPr>
          <w:rFonts w:eastAsia="MS Mincho"/>
          <w:sz w:val="22"/>
          <w:szCs w:val="22"/>
          <w:lang w:val="en-US"/>
        </w:rPr>
        <w:t xml:space="preserve"> in inner Danish waters. The modelled abundance from a national waterbird census in the winter of 2008 estimated more than 400,000 individuals in inner Danish waters, of which more than 350,000 were estimated </w:t>
      </w:r>
      <w:r>
        <w:rPr>
          <w:rFonts w:eastAsia="MS Mincho"/>
          <w:sz w:val="22"/>
          <w:szCs w:val="22"/>
          <w:lang w:val="en-US"/>
        </w:rPr>
        <w:t xml:space="preserve">to occur </w:t>
      </w:r>
      <w:r w:rsidRPr="009978E3">
        <w:rPr>
          <w:rFonts w:eastAsia="MS Mincho"/>
          <w:sz w:val="22"/>
          <w:szCs w:val="22"/>
          <w:lang w:val="en-US"/>
        </w:rPr>
        <w:t xml:space="preserve">within the </w:t>
      </w:r>
      <w:r>
        <w:rPr>
          <w:rFonts w:eastAsia="MS Mincho"/>
          <w:sz w:val="22"/>
          <w:szCs w:val="22"/>
          <w:lang w:val="en-US"/>
        </w:rPr>
        <w:t xml:space="preserve">area </w:t>
      </w:r>
      <w:r w:rsidRPr="009978E3">
        <w:rPr>
          <w:rFonts w:eastAsia="MS Mincho"/>
          <w:sz w:val="22"/>
          <w:szCs w:val="22"/>
          <w:lang w:val="en-US"/>
        </w:rPr>
        <w:t xml:space="preserve">(Figure </w:t>
      </w:r>
      <w:r>
        <w:rPr>
          <w:rFonts w:eastAsia="MS Mincho"/>
          <w:sz w:val="22"/>
          <w:szCs w:val="22"/>
          <w:lang w:val="en-US"/>
        </w:rPr>
        <w:t>1</w:t>
      </w:r>
      <w:r w:rsidRPr="009978E3">
        <w:rPr>
          <w:rFonts w:eastAsia="MS Mincho"/>
          <w:sz w:val="22"/>
          <w:szCs w:val="22"/>
          <w:lang w:val="en-US"/>
        </w:rPr>
        <w:t>4</w:t>
      </w:r>
      <w:r>
        <w:rPr>
          <w:rFonts w:eastAsia="MS Mincho"/>
          <w:sz w:val="22"/>
          <w:szCs w:val="22"/>
          <w:lang w:val="en-US"/>
        </w:rPr>
        <w:t>;</w:t>
      </w:r>
      <w:r w:rsidRPr="009978E3">
        <w:rPr>
          <w:rFonts w:eastAsia="MS Mincho"/>
          <w:sz w:val="22"/>
          <w:szCs w:val="22"/>
          <w:lang w:val="en-US"/>
        </w:rPr>
        <w:t xml:space="preserve"> Petersen &amp; Nielsen 2011).</w:t>
      </w:r>
    </w:p>
    <w:p w14:paraId="6ECF8CDE" w14:textId="77777777" w:rsidR="006B3F46" w:rsidRPr="009978E3" w:rsidRDefault="006B3F46" w:rsidP="00907941">
      <w:pPr>
        <w:jc w:val="both"/>
        <w:rPr>
          <w:rFonts w:eastAsia="MS Mincho"/>
          <w:sz w:val="22"/>
          <w:szCs w:val="22"/>
          <w:lang w:val="en-US"/>
        </w:rPr>
      </w:pPr>
    </w:p>
    <w:p w14:paraId="2B5C0B46"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Common </w:t>
      </w:r>
      <w:r>
        <w:rPr>
          <w:rFonts w:eastAsia="MS Mincho"/>
          <w:sz w:val="22"/>
          <w:szCs w:val="22"/>
          <w:lang w:val="en-US"/>
        </w:rPr>
        <w:t>s</w:t>
      </w:r>
      <w:r w:rsidRPr="009978E3">
        <w:rPr>
          <w:rFonts w:eastAsia="MS Mincho"/>
          <w:sz w:val="22"/>
          <w:szCs w:val="22"/>
          <w:lang w:val="en-US"/>
        </w:rPr>
        <w:t xml:space="preserve">coters are found in the Kattegat area all year, though in highest numbers over the autumn, winter and spring (Figure </w:t>
      </w:r>
      <w:r>
        <w:rPr>
          <w:rFonts w:eastAsia="MS Mincho"/>
          <w:sz w:val="22"/>
          <w:szCs w:val="22"/>
          <w:lang w:val="en-US"/>
        </w:rPr>
        <w:t>1</w:t>
      </w:r>
      <w:r w:rsidRPr="009978E3">
        <w:rPr>
          <w:rFonts w:eastAsia="MS Mincho"/>
          <w:sz w:val="22"/>
          <w:szCs w:val="22"/>
          <w:lang w:val="en-US"/>
        </w:rPr>
        <w:t xml:space="preserve">5). Regardless of the lower numbers </w:t>
      </w:r>
      <w:r>
        <w:rPr>
          <w:rFonts w:eastAsia="MS Mincho"/>
          <w:sz w:val="22"/>
          <w:szCs w:val="22"/>
          <w:lang w:val="en-US"/>
        </w:rPr>
        <w:t>from</w:t>
      </w:r>
      <w:r w:rsidRPr="009978E3">
        <w:rPr>
          <w:rFonts w:eastAsia="MS Mincho"/>
          <w:sz w:val="22"/>
          <w:szCs w:val="22"/>
          <w:lang w:val="en-US"/>
        </w:rPr>
        <w:t xml:space="preserve"> July to September, the area remains important for the species as it moult</w:t>
      </w:r>
      <w:r>
        <w:rPr>
          <w:rFonts w:eastAsia="MS Mincho"/>
          <w:sz w:val="22"/>
          <w:szCs w:val="22"/>
          <w:lang w:val="en-US"/>
        </w:rPr>
        <w:t>s</w:t>
      </w:r>
      <w:r w:rsidRPr="009978E3">
        <w:rPr>
          <w:rFonts w:eastAsia="MS Mincho"/>
          <w:sz w:val="22"/>
          <w:szCs w:val="22"/>
          <w:lang w:val="en-US"/>
        </w:rPr>
        <w:t xml:space="preserve"> and is therefore flightless for a period of about three weeks.</w:t>
      </w:r>
    </w:p>
    <w:p w14:paraId="05294231" w14:textId="77777777" w:rsidR="006B3F46" w:rsidRPr="009978E3" w:rsidRDefault="006B3F46" w:rsidP="00907941">
      <w:pPr>
        <w:jc w:val="both"/>
        <w:rPr>
          <w:rFonts w:eastAsia="MS Mincho"/>
          <w:sz w:val="22"/>
          <w:szCs w:val="22"/>
          <w:lang w:val="en-US"/>
        </w:rPr>
      </w:pPr>
    </w:p>
    <w:p w14:paraId="1ADD0966"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Common </w:t>
      </w:r>
      <w:r>
        <w:rPr>
          <w:rFonts w:eastAsia="MS Mincho"/>
          <w:sz w:val="22"/>
          <w:szCs w:val="22"/>
          <w:lang w:val="en-US"/>
        </w:rPr>
        <w:t>s</w:t>
      </w:r>
      <w:r w:rsidRPr="009978E3">
        <w:rPr>
          <w:rFonts w:eastAsia="MS Mincho"/>
          <w:sz w:val="22"/>
          <w:szCs w:val="22"/>
          <w:lang w:val="en-US"/>
        </w:rPr>
        <w:t>coters primarily feed on benthic invertebrates, notably mussels. In the Kattegat area</w:t>
      </w:r>
      <w:r>
        <w:rPr>
          <w:rFonts w:eastAsia="MS Mincho"/>
          <w:sz w:val="22"/>
          <w:szCs w:val="22"/>
          <w:lang w:val="en-US"/>
        </w:rPr>
        <w:t>,</w:t>
      </w:r>
      <w:r w:rsidRPr="009978E3">
        <w:rPr>
          <w:rFonts w:eastAsia="MS Mincho"/>
          <w:sz w:val="22"/>
          <w:szCs w:val="22"/>
          <w:lang w:val="en-US"/>
        </w:rPr>
        <w:t xml:space="preserve"> </w:t>
      </w:r>
      <w:r>
        <w:rPr>
          <w:rFonts w:eastAsia="MS Mincho"/>
          <w:sz w:val="22"/>
          <w:szCs w:val="22"/>
          <w:lang w:val="en-US"/>
        </w:rPr>
        <w:t>c</w:t>
      </w:r>
      <w:r w:rsidRPr="009978E3">
        <w:rPr>
          <w:rFonts w:eastAsia="MS Mincho"/>
          <w:sz w:val="22"/>
          <w:szCs w:val="22"/>
          <w:lang w:val="en-US"/>
        </w:rPr>
        <w:t xml:space="preserve">ommon </w:t>
      </w:r>
      <w:r>
        <w:rPr>
          <w:rFonts w:eastAsia="MS Mincho"/>
          <w:sz w:val="22"/>
          <w:szCs w:val="22"/>
          <w:lang w:val="en-US"/>
        </w:rPr>
        <w:t>s</w:t>
      </w:r>
      <w:r w:rsidRPr="009978E3">
        <w:rPr>
          <w:rFonts w:eastAsia="MS Mincho"/>
          <w:sz w:val="22"/>
          <w:szCs w:val="22"/>
          <w:lang w:val="en-US"/>
        </w:rPr>
        <w:t xml:space="preserve">coters </w:t>
      </w:r>
      <w:r>
        <w:rPr>
          <w:rFonts w:eastAsia="MS Mincho"/>
          <w:sz w:val="22"/>
          <w:szCs w:val="22"/>
          <w:lang w:val="en-US"/>
        </w:rPr>
        <w:t>have been</w:t>
      </w:r>
      <w:r w:rsidRPr="009978E3">
        <w:rPr>
          <w:rFonts w:eastAsia="MS Mincho"/>
          <w:sz w:val="22"/>
          <w:szCs w:val="22"/>
          <w:lang w:val="en-US"/>
        </w:rPr>
        <w:t xml:space="preserve"> found </w:t>
      </w:r>
      <w:r>
        <w:rPr>
          <w:rFonts w:eastAsia="MS Mincho"/>
          <w:sz w:val="22"/>
          <w:szCs w:val="22"/>
          <w:lang w:val="en-US"/>
        </w:rPr>
        <w:t>i</w:t>
      </w:r>
      <w:r w:rsidRPr="009978E3">
        <w:rPr>
          <w:rFonts w:eastAsia="MS Mincho"/>
          <w:sz w:val="22"/>
          <w:szCs w:val="22"/>
          <w:lang w:val="en-US"/>
        </w:rPr>
        <w:t xml:space="preserve">n shallow water, the majority </w:t>
      </w:r>
      <w:r>
        <w:rPr>
          <w:rFonts w:eastAsia="MS Mincho"/>
          <w:sz w:val="22"/>
          <w:szCs w:val="22"/>
          <w:lang w:val="en-US"/>
        </w:rPr>
        <w:t>at a</w:t>
      </w:r>
      <w:r w:rsidRPr="009978E3">
        <w:rPr>
          <w:rFonts w:eastAsia="MS Mincho"/>
          <w:sz w:val="22"/>
          <w:szCs w:val="22"/>
          <w:lang w:val="en-US"/>
        </w:rPr>
        <w:t xml:space="preserve"> depth </w:t>
      </w:r>
      <w:r>
        <w:rPr>
          <w:rFonts w:eastAsia="MS Mincho"/>
          <w:sz w:val="22"/>
          <w:szCs w:val="22"/>
          <w:lang w:val="en-US"/>
        </w:rPr>
        <w:t xml:space="preserve">of </w:t>
      </w:r>
      <w:r w:rsidRPr="009978E3">
        <w:rPr>
          <w:rFonts w:eastAsia="MS Mincho"/>
          <w:sz w:val="22"/>
          <w:szCs w:val="22"/>
          <w:lang w:val="en-US"/>
        </w:rPr>
        <w:t>between 4 and 10 metr</w:t>
      </w:r>
      <w:r>
        <w:rPr>
          <w:rFonts w:eastAsia="MS Mincho"/>
          <w:sz w:val="22"/>
          <w:szCs w:val="22"/>
          <w:lang w:val="en-US"/>
        </w:rPr>
        <w:t>e</w:t>
      </w:r>
      <w:r w:rsidRPr="009978E3">
        <w:rPr>
          <w:rFonts w:eastAsia="MS Mincho"/>
          <w:sz w:val="22"/>
          <w:szCs w:val="22"/>
          <w:lang w:val="en-US"/>
        </w:rPr>
        <w:t xml:space="preserve">s (Figure </w:t>
      </w:r>
      <w:r>
        <w:rPr>
          <w:rFonts w:eastAsia="MS Mincho"/>
          <w:sz w:val="22"/>
          <w:szCs w:val="22"/>
          <w:lang w:val="en-US"/>
        </w:rPr>
        <w:t>1</w:t>
      </w:r>
      <w:r w:rsidRPr="009978E3">
        <w:rPr>
          <w:rFonts w:eastAsia="MS Mincho"/>
          <w:sz w:val="22"/>
          <w:szCs w:val="22"/>
          <w:lang w:val="en-US"/>
        </w:rPr>
        <w:t>6).</w:t>
      </w:r>
    </w:p>
    <w:p w14:paraId="2CBE5F5A" w14:textId="77777777" w:rsidR="006B3F46" w:rsidRPr="009978E3" w:rsidRDefault="006B3F46" w:rsidP="00907941">
      <w:pPr>
        <w:jc w:val="both"/>
        <w:rPr>
          <w:rFonts w:eastAsia="MS Mincho"/>
          <w:sz w:val="22"/>
          <w:szCs w:val="22"/>
          <w:lang w:val="en-US"/>
        </w:rPr>
      </w:pPr>
    </w:p>
    <w:p w14:paraId="1E5CDC9C"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Velvet Scoter</w:t>
      </w:r>
    </w:p>
    <w:p w14:paraId="6B880923"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Velvet scoters are benthic feeders, mainly feeding on soft bottom infauna (Petersen </w:t>
      </w:r>
      <w:r w:rsidRPr="0006066A">
        <w:rPr>
          <w:rFonts w:eastAsia="MS Mincho"/>
          <w:i/>
          <w:sz w:val="22"/>
          <w:szCs w:val="22"/>
          <w:lang w:val="en-US"/>
        </w:rPr>
        <w:t>et al</w:t>
      </w:r>
      <w:r w:rsidRPr="009978E3">
        <w:rPr>
          <w:rFonts w:eastAsia="MS Mincho"/>
          <w:sz w:val="22"/>
          <w:szCs w:val="22"/>
          <w:lang w:val="en-US"/>
        </w:rPr>
        <w:t xml:space="preserve">. 2019). The winter abundance in inner Danish waters </w:t>
      </w:r>
      <w:r>
        <w:rPr>
          <w:rFonts w:eastAsia="MS Mincho"/>
          <w:sz w:val="22"/>
          <w:szCs w:val="22"/>
          <w:lang w:val="en-US"/>
        </w:rPr>
        <w:t>h</w:t>
      </w:r>
      <w:r w:rsidRPr="009978E3">
        <w:rPr>
          <w:rFonts w:eastAsia="MS Mincho"/>
          <w:sz w:val="22"/>
          <w:szCs w:val="22"/>
          <w:lang w:val="en-US"/>
        </w:rPr>
        <w:t xml:space="preserve">as </w:t>
      </w:r>
      <w:r>
        <w:rPr>
          <w:rFonts w:eastAsia="MS Mincho"/>
          <w:sz w:val="22"/>
          <w:szCs w:val="22"/>
          <w:lang w:val="en-US"/>
        </w:rPr>
        <w:t xml:space="preserve">been </w:t>
      </w:r>
      <w:r w:rsidRPr="009978E3">
        <w:rPr>
          <w:rFonts w:eastAsia="MS Mincho"/>
          <w:sz w:val="22"/>
          <w:szCs w:val="22"/>
          <w:lang w:val="en-US"/>
        </w:rPr>
        <w:t xml:space="preserve">estimated at between 26,000 and 65,000 individuals (Figure 7, Nielsen </w:t>
      </w:r>
      <w:r w:rsidRPr="0006066A">
        <w:rPr>
          <w:rFonts w:eastAsia="MS Mincho"/>
          <w:i/>
          <w:sz w:val="22"/>
          <w:szCs w:val="22"/>
          <w:lang w:val="en-US"/>
        </w:rPr>
        <w:t>et al</w:t>
      </w:r>
      <w:r w:rsidRPr="009978E3">
        <w:rPr>
          <w:rFonts w:eastAsia="MS Mincho"/>
          <w:sz w:val="22"/>
          <w:szCs w:val="22"/>
          <w:lang w:val="en-US"/>
        </w:rPr>
        <w:t>. 2019), of which approximately 30</w:t>
      </w:r>
      <w:r>
        <w:rPr>
          <w:rFonts w:eastAsia="MS Mincho"/>
          <w:sz w:val="22"/>
          <w:szCs w:val="22"/>
          <w:lang w:val="en-US"/>
        </w:rPr>
        <w:t xml:space="preserve">  per cent</w:t>
      </w:r>
      <w:r w:rsidRPr="009978E3">
        <w:rPr>
          <w:rFonts w:eastAsia="MS Mincho"/>
          <w:sz w:val="22"/>
          <w:szCs w:val="22"/>
          <w:lang w:val="en-US"/>
        </w:rPr>
        <w:t xml:space="preserve"> were observed within the</w:t>
      </w:r>
      <w:r>
        <w:rPr>
          <w:rFonts w:eastAsia="MS Mincho"/>
          <w:sz w:val="22"/>
          <w:szCs w:val="22"/>
          <w:lang w:val="en-US"/>
        </w:rPr>
        <w:t xml:space="preserve"> area meeting</w:t>
      </w:r>
      <w:r w:rsidRPr="009978E3">
        <w:rPr>
          <w:rFonts w:eastAsia="MS Mincho"/>
          <w:sz w:val="22"/>
          <w:szCs w:val="22"/>
          <w:lang w:val="en-US"/>
        </w:rPr>
        <w:t xml:space="preserve"> EBSA </w:t>
      </w:r>
      <w:r>
        <w:rPr>
          <w:rFonts w:eastAsia="MS Mincho"/>
          <w:sz w:val="22"/>
          <w:szCs w:val="22"/>
          <w:lang w:val="en-US"/>
        </w:rPr>
        <w:t>criteria</w:t>
      </w:r>
      <w:r w:rsidRPr="009978E3">
        <w:rPr>
          <w:rFonts w:eastAsia="MS Mincho"/>
          <w:sz w:val="22"/>
          <w:szCs w:val="22"/>
          <w:lang w:val="en-US"/>
        </w:rPr>
        <w:t>.</w:t>
      </w:r>
    </w:p>
    <w:p w14:paraId="5CD373F5" w14:textId="77777777" w:rsidR="006B3F46" w:rsidRPr="009978E3" w:rsidRDefault="006B3F46" w:rsidP="00907941">
      <w:pPr>
        <w:jc w:val="both"/>
        <w:rPr>
          <w:rFonts w:eastAsia="MS Mincho"/>
          <w:sz w:val="22"/>
          <w:szCs w:val="22"/>
          <w:lang w:val="en-US"/>
        </w:rPr>
      </w:pPr>
    </w:p>
    <w:p w14:paraId="37145BBD"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 xml:space="preserve">Divers </w:t>
      </w:r>
      <w:r>
        <w:rPr>
          <w:rFonts w:eastAsia="MS Mincho"/>
          <w:i/>
          <w:sz w:val="22"/>
          <w:szCs w:val="22"/>
          <w:lang w:val="en-US"/>
        </w:rPr>
        <w:t>(</w:t>
      </w:r>
      <w:r w:rsidRPr="009978E3">
        <w:rPr>
          <w:rFonts w:eastAsia="MS Mincho"/>
          <w:i/>
          <w:sz w:val="22"/>
          <w:szCs w:val="22"/>
          <w:lang w:val="en-US"/>
        </w:rPr>
        <w:t>Gaviidae</w:t>
      </w:r>
      <w:r>
        <w:rPr>
          <w:rFonts w:eastAsia="MS Mincho"/>
          <w:i/>
          <w:sz w:val="22"/>
          <w:szCs w:val="22"/>
          <w:lang w:val="en-US"/>
        </w:rPr>
        <w:t>)</w:t>
      </w:r>
    </w:p>
    <w:p w14:paraId="2310446B"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The shallow parts of Kattegat are important areas for wintering divers. Most of the</w:t>
      </w:r>
      <w:r>
        <w:rPr>
          <w:rFonts w:eastAsia="MS Mincho"/>
          <w:sz w:val="22"/>
          <w:szCs w:val="22"/>
          <w:lang w:val="en-US"/>
        </w:rPr>
        <w:t>se</w:t>
      </w:r>
      <w:r w:rsidRPr="009978E3">
        <w:rPr>
          <w:rFonts w:eastAsia="MS Mincho"/>
          <w:sz w:val="22"/>
          <w:szCs w:val="22"/>
          <w:lang w:val="en-US"/>
        </w:rPr>
        <w:t xml:space="preserve"> birds are </w:t>
      </w:r>
      <w:r>
        <w:rPr>
          <w:rFonts w:eastAsia="MS Mincho"/>
          <w:sz w:val="22"/>
          <w:szCs w:val="22"/>
          <w:lang w:val="en-US"/>
        </w:rPr>
        <w:t>r</w:t>
      </w:r>
      <w:r w:rsidRPr="009978E3">
        <w:rPr>
          <w:rFonts w:eastAsia="MS Mincho"/>
          <w:sz w:val="22"/>
          <w:szCs w:val="22"/>
          <w:lang w:val="en-US"/>
        </w:rPr>
        <w:t xml:space="preserve">ed-throated </w:t>
      </w:r>
      <w:r>
        <w:rPr>
          <w:rFonts w:eastAsia="MS Mincho"/>
          <w:sz w:val="22"/>
          <w:szCs w:val="22"/>
          <w:lang w:val="en-US"/>
        </w:rPr>
        <w:t>d</w:t>
      </w:r>
      <w:r w:rsidRPr="009978E3">
        <w:rPr>
          <w:rFonts w:eastAsia="MS Mincho"/>
          <w:sz w:val="22"/>
          <w:szCs w:val="22"/>
          <w:lang w:val="en-US"/>
        </w:rPr>
        <w:t xml:space="preserve">ivers (Petersen &amp; Nielsen 2011). In inner Danish waters, Kattegat is the most important area for these species (Figure </w:t>
      </w:r>
      <w:r>
        <w:rPr>
          <w:rFonts w:eastAsia="MS Mincho"/>
          <w:sz w:val="22"/>
          <w:szCs w:val="22"/>
          <w:lang w:val="en-US"/>
        </w:rPr>
        <w:t>1</w:t>
      </w:r>
      <w:r w:rsidRPr="009978E3">
        <w:rPr>
          <w:rFonts w:eastAsia="MS Mincho"/>
          <w:sz w:val="22"/>
          <w:szCs w:val="22"/>
          <w:lang w:val="en-US"/>
        </w:rPr>
        <w:t xml:space="preserve">8). </w:t>
      </w:r>
      <w:r>
        <w:rPr>
          <w:rFonts w:eastAsia="MS Mincho"/>
          <w:sz w:val="22"/>
          <w:szCs w:val="22"/>
          <w:lang w:val="en-US"/>
        </w:rPr>
        <w:t>The h</w:t>
      </w:r>
      <w:r w:rsidRPr="009978E3">
        <w:rPr>
          <w:rFonts w:eastAsia="MS Mincho"/>
          <w:sz w:val="22"/>
          <w:szCs w:val="22"/>
          <w:lang w:val="en-US"/>
        </w:rPr>
        <w:t xml:space="preserve">ighest numbers are found in the western parts of the Kattegat area as well as along the north coast of Sjælland. </w:t>
      </w:r>
    </w:p>
    <w:p w14:paraId="421D7FC8" w14:textId="77777777" w:rsidR="006B3F46" w:rsidRPr="009978E3" w:rsidRDefault="006B3F46" w:rsidP="00907941">
      <w:pPr>
        <w:jc w:val="both"/>
        <w:rPr>
          <w:rFonts w:eastAsia="MS Mincho"/>
          <w:sz w:val="22"/>
          <w:szCs w:val="22"/>
          <w:lang w:val="en-US"/>
        </w:rPr>
      </w:pPr>
    </w:p>
    <w:p w14:paraId="00BBFD5E"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Divers are found in the Kattegat area in winter and spring primarily. </w:t>
      </w:r>
      <w:r>
        <w:rPr>
          <w:rFonts w:eastAsia="MS Mincho"/>
          <w:sz w:val="22"/>
          <w:szCs w:val="22"/>
          <w:lang w:val="en-US"/>
        </w:rPr>
        <w:t>F</w:t>
      </w:r>
      <w:r w:rsidRPr="009978E3">
        <w:rPr>
          <w:rFonts w:eastAsia="MS Mincho"/>
          <w:sz w:val="22"/>
          <w:szCs w:val="22"/>
          <w:lang w:val="en-US"/>
        </w:rPr>
        <w:t xml:space="preserve">ew divers were recorded during the summer and autumn (Figure </w:t>
      </w:r>
      <w:r>
        <w:rPr>
          <w:rFonts w:eastAsia="MS Mincho"/>
          <w:sz w:val="22"/>
          <w:szCs w:val="22"/>
          <w:lang w:val="en-US"/>
        </w:rPr>
        <w:t>1</w:t>
      </w:r>
      <w:r w:rsidRPr="009978E3">
        <w:rPr>
          <w:rFonts w:eastAsia="MS Mincho"/>
          <w:sz w:val="22"/>
          <w:szCs w:val="22"/>
          <w:lang w:val="en-US"/>
        </w:rPr>
        <w:t>9).</w:t>
      </w:r>
    </w:p>
    <w:p w14:paraId="46F3AD3B" w14:textId="77777777" w:rsidR="006B3F46" w:rsidRPr="009978E3" w:rsidRDefault="006B3F46" w:rsidP="00907941">
      <w:pPr>
        <w:jc w:val="both"/>
        <w:rPr>
          <w:rFonts w:eastAsia="MS Mincho"/>
          <w:sz w:val="22"/>
          <w:szCs w:val="22"/>
          <w:lang w:val="en-US"/>
        </w:rPr>
      </w:pPr>
    </w:p>
    <w:p w14:paraId="0D497F1D"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Divers are mainly piscivorous, and largely feed on demersal fish. The birds are found on deeper waters than the benthic feeding seaducks, with more than 50</w:t>
      </w:r>
      <w:r>
        <w:rPr>
          <w:rFonts w:eastAsia="MS Mincho"/>
          <w:sz w:val="22"/>
          <w:szCs w:val="22"/>
          <w:lang w:val="en-US"/>
        </w:rPr>
        <w:t xml:space="preserve"> per cent</w:t>
      </w:r>
      <w:r w:rsidRPr="009978E3">
        <w:rPr>
          <w:rFonts w:eastAsia="MS Mincho"/>
          <w:sz w:val="22"/>
          <w:szCs w:val="22"/>
          <w:lang w:val="en-US"/>
        </w:rPr>
        <w:t xml:space="preserve"> of the divers recorded on water depth between 8 and 16 meters (Figure 10).</w:t>
      </w:r>
    </w:p>
    <w:p w14:paraId="579E2FD6" w14:textId="77777777" w:rsidR="006B3F46" w:rsidRPr="009978E3" w:rsidRDefault="006B3F46" w:rsidP="00907941">
      <w:pPr>
        <w:jc w:val="both"/>
        <w:rPr>
          <w:rFonts w:eastAsia="MS Mincho"/>
          <w:sz w:val="22"/>
          <w:szCs w:val="22"/>
          <w:lang w:val="en-US"/>
        </w:rPr>
      </w:pPr>
    </w:p>
    <w:p w14:paraId="6A9DF656"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49003A07" w14:textId="77777777" w:rsidR="006B3F46" w:rsidRPr="0021277B" w:rsidRDefault="006B3F46" w:rsidP="00907941">
      <w:pPr>
        <w:jc w:val="both"/>
        <w:rPr>
          <w:sz w:val="22"/>
          <w:szCs w:val="22"/>
        </w:rPr>
      </w:pPr>
      <w:r w:rsidRPr="0021277B">
        <w:rPr>
          <w:sz w:val="22"/>
          <w:szCs w:val="22"/>
        </w:rPr>
        <w:t xml:space="preserve">Kattegat hosts a rich birdlife of international importance and </w:t>
      </w:r>
      <w:r>
        <w:rPr>
          <w:sz w:val="22"/>
          <w:szCs w:val="22"/>
        </w:rPr>
        <w:t>the</w:t>
      </w:r>
      <w:r w:rsidRPr="0021277B">
        <w:rPr>
          <w:sz w:val="22"/>
          <w:szCs w:val="22"/>
        </w:rPr>
        <w:t xml:space="preserve"> larger of two sub-populations of harbour porpoise. It also holds productive boulder and bubbling reef areas and areas with relative</w:t>
      </w:r>
      <w:r>
        <w:rPr>
          <w:sz w:val="22"/>
          <w:szCs w:val="22"/>
        </w:rPr>
        <w:t>ly</w:t>
      </w:r>
      <w:r w:rsidRPr="0021277B">
        <w:rPr>
          <w:sz w:val="22"/>
          <w:szCs w:val="22"/>
        </w:rPr>
        <w:t xml:space="preserve"> high benthic biomass. Measures were enforced </w:t>
      </w:r>
      <w:r w:rsidRPr="004A6B5C">
        <w:rPr>
          <w:sz w:val="22"/>
          <w:szCs w:val="22"/>
        </w:rPr>
        <w:t xml:space="preserve">in the late 1980s </w:t>
      </w:r>
      <w:r w:rsidRPr="0021277B">
        <w:rPr>
          <w:sz w:val="22"/>
          <w:szCs w:val="22"/>
        </w:rPr>
        <w:t>to reduce eutrophication levels in Kattegat and adjacent waters. Since th</w:t>
      </w:r>
      <w:r>
        <w:rPr>
          <w:sz w:val="22"/>
          <w:szCs w:val="22"/>
        </w:rPr>
        <w:t>en</w:t>
      </w:r>
      <w:r w:rsidRPr="0021277B">
        <w:rPr>
          <w:sz w:val="22"/>
          <w:szCs w:val="22"/>
        </w:rPr>
        <w:t xml:space="preserve"> the environment in Kattegat has been </w:t>
      </w:r>
      <w:r>
        <w:rPr>
          <w:sz w:val="22"/>
          <w:szCs w:val="22"/>
        </w:rPr>
        <w:t>undergoing an</w:t>
      </w:r>
      <w:r w:rsidRPr="0021277B">
        <w:rPr>
          <w:sz w:val="22"/>
          <w:szCs w:val="22"/>
        </w:rPr>
        <w:t xml:space="preserve"> oligotrophication process, improving the water quality (Riemann </w:t>
      </w:r>
      <w:r w:rsidRPr="0006066A">
        <w:rPr>
          <w:i/>
          <w:sz w:val="22"/>
          <w:szCs w:val="22"/>
        </w:rPr>
        <w:t>et al</w:t>
      </w:r>
      <w:r w:rsidRPr="0021277B">
        <w:rPr>
          <w:sz w:val="22"/>
          <w:szCs w:val="22"/>
        </w:rPr>
        <w:t>. 2015). Major shipping routes, connecting the Baltic Sea and the northeast Atlantic, pass through Kattegat</w:t>
      </w:r>
      <w:r>
        <w:rPr>
          <w:sz w:val="22"/>
          <w:szCs w:val="22"/>
        </w:rPr>
        <w:t>,</w:t>
      </w:r>
      <w:r w:rsidRPr="0021277B">
        <w:rPr>
          <w:sz w:val="22"/>
          <w:szCs w:val="22"/>
        </w:rPr>
        <w:t xml:space="preserve"> and an intensive fishery takes place in the deeper eastern part, mainly for Norway lobster. </w:t>
      </w:r>
    </w:p>
    <w:p w14:paraId="28BEF0E4" w14:textId="77777777" w:rsidR="006B3F46" w:rsidRPr="0021277B" w:rsidRDefault="006B3F46" w:rsidP="00907941">
      <w:pPr>
        <w:jc w:val="both"/>
        <w:rPr>
          <w:sz w:val="22"/>
          <w:szCs w:val="22"/>
        </w:rPr>
      </w:pPr>
    </w:p>
    <w:p w14:paraId="402C2635" w14:textId="77777777" w:rsidR="006B3F46" w:rsidRPr="0021277B" w:rsidRDefault="006B3F46" w:rsidP="00907941">
      <w:pPr>
        <w:jc w:val="both"/>
        <w:rPr>
          <w:sz w:val="22"/>
          <w:szCs w:val="22"/>
        </w:rPr>
      </w:pPr>
      <w:r w:rsidRPr="0021277B">
        <w:rPr>
          <w:sz w:val="22"/>
          <w:szCs w:val="22"/>
        </w:rPr>
        <w:t xml:space="preserve">National legislation prohibits </w:t>
      </w:r>
      <w:r>
        <w:rPr>
          <w:sz w:val="22"/>
          <w:szCs w:val="22"/>
        </w:rPr>
        <w:t xml:space="preserve">the </w:t>
      </w:r>
      <w:r w:rsidRPr="0021277B">
        <w:rPr>
          <w:sz w:val="22"/>
          <w:szCs w:val="22"/>
        </w:rPr>
        <w:t>use of dredging fishing gears on reefs and all bottom</w:t>
      </w:r>
      <w:r>
        <w:rPr>
          <w:sz w:val="22"/>
          <w:szCs w:val="22"/>
        </w:rPr>
        <w:t>-</w:t>
      </w:r>
      <w:r w:rsidRPr="0021277B">
        <w:rPr>
          <w:sz w:val="22"/>
          <w:szCs w:val="22"/>
        </w:rPr>
        <w:t xml:space="preserve">contacting gears on “Structures made by leaking gasses” (bubbling reefs) in NATURA 2000 sites where those features are part of the designation lists. </w:t>
      </w:r>
    </w:p>
    <w:p w14:paraId="78C28EC0" w14:textId="77777777" w:rsidR="006B3F46" w:rsidRPr="009978E3" w:rsidRDefault="006B3F46" w:rsidP="00907941">
      <w:pPr>
        <w:rPr>
          <w:rFonts w:eastAsia="MS Mincho"/>
          <w:b/>
          <w:sz w:val="22"/>
          <w:szCs w:val="22"/>
          <w:lang w:val="en-US"/>
        </w:rPr>
      </w:pPr>
      <w:r w:rsidRPr="0021277B">
        <w:rPr>
          <w:sz w:val="22"/>
          <w:szCs w:val="22"/>
        </w:rPr>
        <w:t xml:space="preserve"> </w:t>
      </w:r>
    </w:p>
    <w:p w14:paraId="5AEB513C"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367162">
        <w:rPr>
          <w:rFonts w:eastAsia="MS Mincho"/>
          <w:b/>
          <w:sz w:val="22"/>
          <w:szCs w:val="22"/>
          <w:lang w:val="en-US"/>
        </w:rPr>
        <w:t>rea no. 2</w:t>
      </w:r>
      <w:r>
        <w:rPr>
          <w:rFonts w:eastAsia="MS Mincho"/>
          <w:b/>
          <w:sz w:val="22"/>
          <w:szCs w:val="22"/>
          <w:lang w:val="en-US"/>
        </w:rPr>
        <w:t>,</w:t>
      </w:r>
      <w:r w:rsidRPr="00367162">
        <w:rPr>
          <w:rFonts w:eastAsia="MS Mincho"/>
          <w:b/>
          <w:sz w:val="22"/>
          <w:szCs w:val="22"/>
          <w:lang w:val="en-US"/>
        </w:rPr>
        <w:t xml:space="preserve"> Danish Kattegat</w:t>
      </w:r>
      <w:r>
        <w:rPr>
          <w:rFonts w:eastAsia="MS Mincho"/>
          <w:b/>
          <w:sz w:val="22"/>
          <w:szCs w:val="22"/>
          <w:lang w:val="en-US"/>
        </w:rPr>
        <w:t>,</w:t>
      </w:r>
      <w:r w:rsidRPr="009978E3">
        <w:rPr>
          <w:rFonts w:eastAsia="MS Mincho"/>
          <w:b/>
          <w:sz w:val="22"/>
          <w:szCs w:val="22"/>
          <w:lang w:val="en-US"/>
        </w:rPr>
        <w:t xml:space="preserve"> against CBD EBSA Criteria </w:t>
      </w:r>
    </w:p>
    <w:p w14:paraId="109863CF"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6B3F46" w:rsidRPr="0021277B" w14:paraId="19951BCA" w14:textId="77777777" w:rsidTr="00907941">
        <w:tc>
          <w:tcPr>
            <w:tcW w:w="779" w:type="pct"/>
            <w:vMerge w:val="restart"/>
            <w:shd w:val="clear" w:color="auto" w:fill="auto"/>
          </w:tcPr>
          <w:p w14:paraId="4139BD16"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CBD EBSA Criteria</w:t>
            </w:r>
          </w:p>
          <w:p w14:paraId="5F17DA5E" w14:textId="77777777" w:rsidR="006B3F46" w:rsidRPr="0021277B" w:rsidRDefault="006B3F46" w:rsidP="00907941">
            <w:pPr>
              <w:widowControl w:val="0"/>
              <w:autoSpaceDE w:val="0"/>
              <w:autoSpaceDN w:val="0"/>
              <w:adjustRightInd w:val="0"/>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80" w:type="pct"/>
            <w:vMerge w:val="restart"/>
            <w:shd w:val="clear" w:color="auto" w:fill="auto"/>
          </w:tcPr>
          <w:p w14:paraId="31213F23"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Description</w:t>
            </w:r>
          </w:p>
          <w:p w14:paraId="637FE646"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color w:val="000000"/>
                <w:sz w:val="22"/>
                <w:szCs w:val="22"/>
                <w:lang w:val="it-IT"/>
              </w:rPr>
              <w:t>(Annex I to decision IX/20)</w:t>
            </w:r>
          </w:p>
        </w:tc>
        <w:tc>
          <w:tcPr>
            <w:tcW w:w="1940" w:type="pct"/>
            <w:gridSpan w:val="9"/>
            <w:shd w:val="clear" w:color="auto" w:fill="auto"/>
          </w:tcPr>
          <w:p w14:paraId="3CB1ECFD"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10DD6C6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09428457" w14:textId="77777777" w:rsidTr="00907941">
        <w:tc>
          <w:tcPr>
            <w:tcW w:w="779" w:type="pct"/>
            <w:vMerge/>
            <w:shd w:val="clear" w:color="auto" w:fill="auto"/>
          </w:tcPr>
          <w:p w14:paraId="0857E2D6"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2280" w:type="pct"/>
            <w:vMerge/>
            <w:shd w:val="clear" w:color="auto" w:fill="auto"/>
          </w:tcPr>
          <w:p w14:paraId="2EA5E60A"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547" w:type="pct"/>
            <w:gridSpan w:val="2"/>
            <w:shd w:val="clear" w:color="auto" w:fill="auto"/>
          </w:tcPr>
          <w:p w14:paraId="2D76CD4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41ACCBE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1D16DA26"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Medium</w:t>
            </w:r>
          </w:p>
        </w:tc>
        <w:tc>
          <w:tcPr>
            <w:tcW w:w="436" w:type="pct"/>
            <w:gridSpan w:val="2"/>
            <w:shd w:val="clear" w:color="auto" w:fill="auto"/>
          </w:tcPr>
          <w:p w14:paraId="10BBA20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279605DF" w14:textId="77777777" w:rsidTr="00907941">
        <w:tc>
          <w:tcPr>
            <w:tcW w:w="779" w:type="pct"/>
            <w:shd w:val="clear" w:color="auto" w:fill="auto"/>
          </w:tcPr>
          <w:p w14:paraId="57DBA2C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80" w:type="pct"/>
            <w:shd w:val="clear" w:color="auto" w:fill="auto"/>
          </w:tcPr>
          <w:p w14:paraId="20003D01"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4431163F"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547" w:type="pct"/>
            <w:gridSpan w:val="3"/>
            <w:shd w:val="clear" w:color="auto" w:fill="auto"/>
          </w:tcPr>
          <w:p w14:paraId="2A2F424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720EA45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36C4665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396C98BF" w14:textId="77777777" w:rsidTr="00907941">
        <w:tc>
          <w:tcPr>
            <w:tcW w:w="5000" w:type="pct"/>
            <w:gridSpan w:val="11"/>
            <w:shd w:val="clear" w:color="auto" w:fill="auto"/>
          </w:tcPr>
          <w:p w14:paraId="416C0AB0"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68E2D122"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Presence of “bubbling reefs” habitat (Habitats Directive type 1180) exists with one or more structures in several places. Most structures are found north of Læsø and north east of Frederikshavn.</w:t>
            </w:r>
            <w:r w:rsidRPr="00F66EF7">
              <w:rPr>
                <w:rFonts w:eastAsia="MS Mincho"/>
                <w:sz w:val="22"/>
                <w:szCs w:val="22"/>
                <w:lang w:val="en-US"/>
              </w:rPr>
              <w:t xml:space="preserve"> </w:t>
            </w:r>
            <w:r w:rsidRPr="0021277B">
              <w:rPr>
                <w:rFonts w:eastAsia="MS Mincho"/>
                <w:color w:val="000000"/>
                <w:sz w:val="22"/>
                <w:szCs w:val="22"/>
                <w:lang w:val="en-US"/>
              </w:rPr>
              <w:t>The habitat is on the HELCOM biotope red list</w:t>
            </w:r>
            <w:r w:rsidRPr="0021277B">
              <w:rPr>
                <w:sz w:val="22"/>
                <w:szCs w:val="22"/>
              </w:rPr>
              <w:t xml:space="preserve"> </w:t>
            </w:r>
            <w:r w:rsidRPr="0021277B">
              <w:rPr>
                <w:rFonts w:eastAsia="MS Mincho"/>
                <w:color w:val="000000"/>
                <w:sz w:val="22"/>
                <w:szCs w:val="22"/>
                <w:lang w:val="en-US"/>
              </w:rPr>
              <w:t>(HELCOM 2013a).</w:t>
            </w:r>
          </w:p>
          <w:p w14:paraId="607E0554"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5D9F4AA5"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bookmarkStart w:id="18" w:name="_Hlk23509333"/>
            <w:r w:rsidRPr="0021277B">
              <w:rPr>
                <w:rFonts w:eastAsia="MS Mincho"/>
                <w:color w:val="000000"/>
                <w:sz w:val="22"/>
                <w:szCs w:val="22"/>
                <w:lang w:val="en-US"/>
              </w:rPr>
              <w:t xml:space="preserve">Presence of biogenic reef structures and combined biogenic-geogenic reef structures of </w:t>
            </w:r>
            <w:r w:rsidRPr="0021277B">
              <w:rPr>
                <w:rFonts w:eastAsia="MS Mincho"/>
                <w:i/>
                <w:color w:val="000000"/>
                <w:sz w:val="22"/>
                <w:szCs w:val="22"/>
                <w:lang w:val="en-US"/>
              </w:rPr>
              <w:t>Modiolus modiolus</w:t>
            </w:r>
            <w:r w:rsidRPr="0021277B">
              <w:rPr>
                <w:rFonts w:eastAsia="MS Mincho"/>
                <w:color w:val="000000"/>
                <w:sz w:val="22"/>
                <w:szCs w:val="22"/>
                <w:lang w:val="en-US"/>
              </w:rPr>
              <w:t xml:space="preserve"> in the southern part of Kattegat (reference: Danish NOVANA database)</w:t>
            </w:r>
          </w:p>
          <w:bookmarkEnd w:id="18"/>
          <w:p w14:paraId="42FF81B2"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5F1F56C4"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The area is unique, combining high numbers of both benthic</w:t>
            </w:r>
            <w:r>
              <w:rPr>
                <w:rFonts w:eastAsia="MS Mincho"/>
                <w:color w:val="000000"/>
                <w:sz w:val="22"/>
                <w:szCs w:val="22"/>
                <w:lang w:val="en-US"/>
              </w:rPr>
              <w:t>-</w:t>
            </w:r>
            <w:r w:rsidRPr="0021277B">
              <w:rPr>
                <w:rFonts w:eastAsia="MS Mincho"/>
                <w:color w:val="000000"/>
                <w:sz w:val="22"/>
                <w:szCs w:val="22"/>
                <w:lang w:val="en-US"/>
              </w:rPr>
              <w:t>feeding and pelagic</w:t>
            </w:r>
            <w:r>
              <w:rPr>
                <w:rFonts w:eastAsia="MS Mincho"/>
                <w:color w:val="000000"/>
                <w:sz w:val="22"/>
                <w:szCs w:val="22"/>
                <w:lang w:val="en-US"/>
              </w:rPr>
              <w:t>-</w:t>
            </w:r>
            <w:r w:rsidRPr="0021277B">
              <w:rPr>
                <w:rFonts w:eastAsia="MS Mincho"/>
                <w:color w:val="000000"/>
                <w:sz w:val="22"/>
                <w:szCs w:val="22"/>
                <w:lang w:val="en-US"/>
              </w:rPr>
              <w:t>feeding seabirds. The range of ecological niches create</w:t>
            </w:r>
            <w:r>
              <w:rPr>
                <w:rFonts w:eastAsia="MS Mincho"/>
                <w:color w:val="000000"/>
                <w:sz w:val="22"/>
                <w:szCs w:val="22"/>
                <w:lang w:val="en-US"/>
              </w:rPr>
              <w:t>s</w:t>
            </w:r>
            <w:r w:rsidRPr="0021277B">
              <w:rPr>
                <w:rFonts w:eastAsia="MS Mincho"/>
                <w:color w:val="000000"/>
                <w:sz w:val="22"/>
                <w:szCs w:val="22"/>
                <w:lang w:val="en-US"/>
              </w:rPr>
              <w:t xml:space="preserve"> optimal habitats for the unusual v</w:t>
            </w:r>
            <w:r>
              <w:rPr>
                <w:rFonts w:eastAsia="MS Mincho"/>
                <w:color w:val="000000"/>
                <w:sz w:val="22"/>
                <w:szCs w:val="22"/>
                <w:lang w:val="en-US"/>
              </w:rPr>
              <w:t>a</w:t>
            </w:r>
            <w:r w:rsidRPr="0021277B">
              <w:rPr>
                <w:rFonts w:eastAsia="MS Mincho"/>
                <w:color w:val="000000"/>
                <w:sz w:val="22"/>
                <w:szCs w:val="22"/>
                <w:lang w:val="en-US"/>
              </w:rPr>
              <w:t>ri</w:t>
            </w:r>
            <w:r>
              <w:rPr>
                <w:rFonts w:eastAsia="MS Mincho"/>
                <w:color w:val="000000"/>
                <w:sz w:val="22"/>
                <w:szCs w:val="22"/>
                <w:lang w:val="en-US"/>
              </w:rPr>
              <w:t>e</w:t>
            </w:r>
            <w:r w:rsidRPr="0021277B">
              <w:rPr>
                <w:rFonts w:eastAsia="MS Mincho"/>
                <w:color w:val="000000"/>
                <w:sz w:val="22"/>
                <w:szCs w:val="22"/>
                <w:lang w:val="en-US"/>
              </w:rPr>
              <w:t>ty of seabirds. In the shallow western part, benthic</w:t>
            </w:r>
            <w:r>
              <w:rPr>
                <w:rFonts w:eastAsia="MS Mincho"/>
                <w:color w:val="000000"/>
                <w:sz w:val="22"/>
                <w:szCs w:val="22"/>
                <w:lang w:val="en-US"/>
              </w:rPr>
              <w:t>-</w:t>
            </w:r>
            <w:r w:rsidRPr="0021277B">
              <w:rPr>
                <w:rFonts w:eastAsia="MS Mincho"/>
                <w:color w:val="000000"/>
                <w:sz w:val="22"/>
                <w:szCs w:val="22"/>
                <w:lang w:val="en-US"/>
              </w:rPr>
              <w:t xml:space="preserve">feeding </w:t>
            </w:r>
            <w:r>
              <w:rPr>
                <w:rFonts w:eastAsia="MS Mincho"/>
                <w:color w:val="000000"/>
                <w:sz w:val="22"/>
                <w:szCs w:val="22"/>
                <w:lang w:val="en-US"/>
              </w:rPr>
              <w:t>c</w:t>
            </w:r>
            <w:r w:rsidRPr="0021277B">
              <w:rPr>
                <w:rFonts w:eastAsia="MS Mincho"/>
                <w:color w:val="000000"/>
                <w:sz w:val="22"/>
                <w:szCs w:val="22"/>
                <w:lang w:val="en-US"/>
              </w:rPr>
              <w:t xml:space="preserve">ommon </w:t>
            </w:r>
            <w:r>
              <w:rPr>
                <w:rFonts w:eastAsia="MS Mincho"/>
                <w:color w:val="000000"/>
                <w:sz w:val="22"/>
                <w:szCs w:val="22"/>
                <w:lang w:val="en-US"/>
              </w:rPr>
              <w:t>s</w:t>
            </w:r>
            <w:r w:rsidRPr="0021277B">
              <w:rPr>
                <w:rFonts w:eastAsia="MS Mincho"/>
                <w:color w:val="000000"/>
                <w:sz w:val="22"/>
                <w:szCs w:val="22"/>
                <w:lang w:val="en-US"/>
              </w:rPr>
              <w:t>coter (</w:t>
            </w:r>
            <w:r w:rsidRPr="0021277B">
              <w:rPr>
                <w:rFonts w:eastAsia="MS Mincho"/>
                <w:i/>
                <w:color w:val="000000"/>
                <w:sz w:val="22"/>
                <w:szCs w:val="22"/>
                <w:lang w:val="en-US"/>
              </w:rPr>
              <w:t>Melanitta nigra</w:t>
            </w:r>
            <w:r w:rsidRPr="0021277B">
              <w:rPr>
                <w:rFonts w:eastAsia="MS Mincho"/>
                <w:color w:val="000000"/>
                <w:sz w:val="22"/>
                <w:szCs w:val="22"/>
                <w:lang w:val="en-US"/>
              </w:rPr>
              <w:t xml:space="preserve">) and </w:t>
            </w:r>
            <w:r>
              <w:rPr>
                <w:rFonts w:eastAsia="MS Mincho"/>
                <w:color w:val="000000"/>
                <w:sz w:val="22"/>
                <w:szCs w:val="22"/>
                <w:lang w:val="en-US"/>
              </w:rPr>
              <w:t>c</w:t>
            </w:r>
            <w:r w:rsidRPr="0021277B">
              <w:rPr>
                <w:rFonts w:eastAsia="MS Mincho"/>
                <w:color w:val="000000"/>
                <w:sz w:val="22"/>
                <w:szCs w:val="22"/>
                <w:lang w:val="en-US"/>
              </w:rPr>
              <w:t xml:space="preserve">ommon </w:t>
            </w:r>
            <w:r>
              <w:rPr>
                <w:rFonts w:eastAsia="MS Mincho"/>
                <w:color w:val="000000"/>
                <w:sz w:val="22"/>
                <w:szCs w:val="22"/>
                <w:lang w:val="en-US"/>
              </w:rPr>
              <w:t>e</w:t>
            </w:r>
            <w:r w:rsidRPr="0021277B">
              <w:rPr>
                <w:rFonts w:eastAsia="MS Mincho"/>
                <w:color w:val="000000"/>
                <w:sz w:val="22"/>
                <w:szCs w:val="22"/>
                <w:lang w:val="en-US"/>
              </w:rPr>
              <w:t>ider (</w:t>
            </w:r>
            <w:r w:rsidRPr="0021277B">
              <w:rPr>
                <w:rFonts w:eastAsia="MS Mincho"/>
                <w:i/>
                <w:color w:val="000000"/>
                <w:sz w:val="22"/>
                <w:szCs w:val="22"/>
                <w:lang w:val="en-US"/>
              </w:rPr>
              <w:t>Somatteria mollissima</w:t>
            </w:r>
            <w:r w:rsidRPr="0021277B">
              <w:rPr>
                <w:rFonts w:eastAsia="MS Mincho"/>
                <w:color w:val="000000"/>
                <w:sz w:val="22"/>
                <w:szCs w:val="22"/>
                <w:lang w:val="en-US"/>
              </w:rPr>
              <w:t xml:space="preserve">) are found in numbers of international significance (Petersen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2003, 2010). </w:t>
            </w:r>
          </w:p>
          <w:p w14:paraId="5050738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13DBB9D9" w14:textId="77777777" w:rsidTr="00907941">
        <w:tc>
          <w:tcPr>
            <w:tcW w:w="779" w:type="pct"/>
            <w:shd w:val="clear" w:color="auto" w:fill="auto"/>
          </w:tcPr>
          <w:p w14:paraId="162CB2A7"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80" w:type="pct"/>
            <w:shd w:val="clear" w:color="auto" w:fill="auto"/>
          </w:tcPr>
          <w:p w14:paraId="4BCE6D49"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tcPr>
          <w:p w14:paraId="4943615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38F9F59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684F510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45E596E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549180E" w14:textId="77777777" w:rsidTr="00907941">
        <w:tc>
          <w:tcPr>
            <w:tcW w:w="5000" w:type="pct"/>
            <w:gridSpan w:val="11"/>
            <w:shd w:val="clear" w:color="auto" w:fill="auto"/>
          </w:tcPr>
          <w:p w14:paraId="6F7572B3"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07BE3810"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Existing </w:t>
            </w:r>
            <w:r w:rsidRPr="0021277B">
              <w:rPr>
                <w:rFonts w:eastAsia="MS Mincho"/>
                <w:i/>
                <w:color w:val="000000"/>
                <w:sz w:val="22"/>
                <w:szCs w:val="22"/>
                <w:lang w:val="en-US"/>
              </w:rPr>
              <w:t>Modiolus modiolus</w:t>
            </w:r>
            <w:r w:rsidRPr="0021277B">
              <w:rPr>
                <w:rFonts w:eastAsia="MS Mincho"/>
                <w:color w:val="000000"/>
                <w:sz w:val="22"/>
                <w:szCs w:val="22"/>
                <w:lang w:val="en-US"/>
              </w:rPr>
              <w:t xml:space="preserve"> beds seem to attract larval settling of new generations (Dinesen and Morton 2014). Loss of existing mussel beds may result in lacking or very slow restocking of the beds.</w:t>
            </w:r>
          </w:p>
          <w:p w14:paraId="27797B2E"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7A77647B"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 xml:space="preserve">Kattegat acts as a donor area for </w:t>
            </w:r>
            <w:r w:rsidRPr="009D4E68">
              <w:rPr>
                <w:rFonts w:eastAsia="MS Mincho"/>
                <w:bCs/>
                <w:color w:val="000000"/>
                <w:sz w:val="22"/>
                <w:szCs w:val="22"/>
                <w:lang w:val="en-US"/>
              </w:rPr>
              <w:t>several</w:t>
            </w:r>
            <w:r w:rsidRPr="0021277B">
              <w:rPr>
                <w:rFonts w:eastAsia="MS Mincho"/>
                <w:bCs/>
                <w:color w:val="000000"/>
                <w:sz w:val="22"/>
                <w:szCs w:val="22"/>
                <w:lang w:val="en-US"/>
              </w:rPr>
              <w:t xml:space="preserve"> benthic invertebrates to the adjacent fjords. The organisms are transported in planktonic stages (Josefson and Hansen 2004). This function is important as many fjords, bays and inlets with poor water exchange regularly suffer from oxygen deficiencies. In general, problems with oxygen deficiency have not diminished in the last 25 years</w:t>
            </w:r>
            <w:r>
              <w:rPr>
                <w:rFonts w:eastAsia="MS Mincho"/>
                <w:bCs/>
                <w:color w:val="000000"/>
                <w:sz w:val="22"/>
                <w:szCs w:val="22"/>
                <w:lang w:val="en-US"/>
              </w:rPr>
              <w:t>,</w:t>
            </w:r>
            <w:r w:rsidRPr="0021277B">
              <w:rPr>
                <w:rFonts w:eastAsia="MS Mincho"/>
                <w:bCs/>
                <w:color w:val="000000"/>
                <w:sz w:val="22"/>
                <w:szCs w:val="22"/>
                <w:lang w:val="en-US"/>
              </w:rPr>
              <w:t xml:space="preserve"> despite severe reduction in nutrient load to Kattegat (Riemann </w:t>
            </w:r>
            <w:r w:rsidRPr="0006066A">
              <w:rPr>
                <w:rFonts w:eastAsia="MS Mincho"/>
                <w:bCs/>
                <w:i/>
                <w:color w:val="000000"/>
                <w:sz w:val="22"/>
                <w:szCs w:val="22"/>
                <w:lang w:val="en-US"/>
              </w:rPr>
              <w:t>et al</w:t>
            </w:r>
            <w:r>
              <w:rPr>
                <w:rFonts w:eastAsia="MS Mincho"/>
                <w:bCs/>
                <w:color w:val="000000"/>
                <w:sz w:val="22"/>
                <w:szCs w:val="22"/>
                <w:lang w:val="en-US"/>
              </w:rPr>
              <w:t>.</w:t>
            </w:r>
            <w:r w:rsidRPr="0021277B">
              <w:rPr>
                <w:rFonts w:eastAsia="MS Mincho"/>
                <w:bCs/>
                <w:color w:val="000000"/>
                <w:sz w:val="22"/>
                <w:szCs w:val="22"/>
                <w:lang w:val="en-US"/>
              </w:rPr>
              <w:t xml:space="preserve"> 2017) </w:t>
            </w:r>
          </w:p>
          <w:p w14:paraId="5156BB8B"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07659CE4" w14:textId="4FF45B9D"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During the summer, </w:t>
            </w:r>
            <w:r>
              <w:rPr>
                <w:rFonts w:eastAsia="MS Mincho"/>
                <w:color w:val="000000"/>
                <w:sz w:val="22"/>
                <w:szCs w:val="22"/>
                <w:lang w:val="en-US"/>
              </w:rPr>
              <w:t>c</w:t>
            </w:r>
            <w:r w:rsidRPr="0021277B">
              <w:rPr>
                <w:rFonts w:eastAsia="MS Mincho"/>
                <w:color w:val="000000"/>
                <w:sz w:val="22"/>
                <w:szCs w:val="22"/>
                <w:lang w:val="en-US"/>
              </w:rPr>
              <w:t xml:space="preserve">ommon </w:t>
            </w:r>
            <w:r>
              <w:rPr>
                <w:rFonts w:eastAsia="MS Mincho"/>
                <w:color w:val="000000"/>
                <w:sz w:val="22"/>
                <w:szCs w:val="22"/>
                <w:lang w:val="en-US"/>
              </w:rPr>
              <w:t>s</w:t>
            </w:r>
            <w:r w:rsidRPr="0021277B">
              <w:rPr>
                <w:rFonts w:eastAsia="MS Mincho"/>
                <w:color w:val="000000"/>
                <w:sz w:val="22"/>
                <w:szCs w:val="22"/>
                <w:lang w:val="en-US"/>
              </w:rPr>
              <w:t xml:space="preserve">coters, </w:t>
            </w:r>
            <w:r>
              <w:rPr>
                <w:rFonts w:eastAsia="MS Mincho"/>
                <w:color w:val="000000"/>
                <w:sz w:val="22"/>
                <w:szCs w:val="22"/>
                <w:lang w:val="en-US"/>
              </w:rPr>
              <w:t>c</w:t>
            </w:r>
            <w:r w:rsidRPr="0021277B">
              <w:rPr>
                <w:rFonts w:eastAsia="MS Mincho"/>
                <w:color w:val="000000"/>
                <w:sz w:val="22"/>
                <w:szCs w:val="22"/>
                <w:lang w:val="en-US"/>
              </w:rPr>
              <w:t xml:space="preserve">ommon </w:t>
            </w:r>
            <w:r>
              <w:rPr>
                <w:rFonts w:eastAsia="MS Mincho"/>
                <w:color w:val="000000"/>
                <w:sz w:val="22"/>
                <w:szCs w:val="22"/>
                <w:lang w:val="en-US"/>
              </w:rPr>
              <w:t>e</w:t>
            </w:r>
            <w:r w:rsidRPr="0021277B">
              <w:rPr>
                <w:rFonts w:eastAsia="MS Mincho"/>
                <w:color w:val="000000"/>
                <w:sz w:val="22"/>
                <w:szCs w:val="22"/>
                <w:lang w:val="en-US"/>
              </w:rPr>
              <w:t xml:space="preserve">iders and </w:t>
            </w:r>
            <w:r>
              <w:rPr>
                <w:rFonts w:eastAsia="MS Mincho"/>
                <w:color w:val="000000"/>
                <w:sz w:val="22"/>
                <w:szCs w:val="22"/>
                <w:lang w:val="en-US"/>
              </w:rPr>
              <w:t>v</w:t>
            </w:r>
            <w:r w:rsidRPr="0021277B">
              <w:rPr>
                <w:rFonts w:eastAsia="MS Mincho"/>
                <w:color w:val="000000"/>
                <w:sz w:val="22"/>
                <w:szCs w:val="22"/>
                <w:lang w:val="en-US"/>
              </w:rPr>
              <w:t xml:space="preserve">elvet </w:t>
            </w:r>
            <w:r>
              <w:rPr>
                <w:rFonts w:eastAsia="MS Mincho"/>
                <w:color w:val="000000"/>
                <w:sz w:val="22"/>
                <w:szCs w:val="22"/>
                <w:lang w:val="en-US"/>
              </w:rPr>
              <w:t>s</w:t>
            </w:r>
            <w:r w:rsidRPr="0021277B">
              <w:rPr>
                <w:rFonts w:eastAsia="MS Mincho"/>
                <w:color w:val="000000"/>
                <w:sz w:val="22"/>
                <w:szCs w:val="22"/>
                <w:lang w:val="en-US"/>
              </w:rPr>
              <w:t xml:space="preserve">coters use the shallow areas of the Kattegat as a moulting site. These species moult remedial feathers simultaneously, leaving them flightless for a period of approximately three weeks (Fox </w:t>
            </w:r>
            <w:r w:rsidRPr="0006066A">
              <w:rPr>
                <w:rFonts w:eastAsia="MS Mincho"/>
                <w:i/>
                <w:color w:val="000000"/>
                <w:sz w:val="22"/>
                <w:szCs w:val="22"/>
                <w:lang w:val="en-US"/>
              </w:rPr>
              <w:t>et al</w:t>
            </w:r>
            <w:r w:rsidRPr="0021277B">
              <w:rPr>
                <w:rFonts w:eastAsia="MS Mincho"/>
                <w:color w:val="000000"/>
                <w:sz w:val="22"/>
                <w:szCs w:val="22"/>
                <w:lang w:val="en-US"/>
              </w:rPr>
              <w:t>. 2008). The area is among the most important mo</w:t>
            </w:r>
            <w:r>
              <w:rPr>
                <w:rFonts w:eastAsia="MS Mincho"/>
                <w:color w:val="000000"/>
                <w:sz w:val="22"/>
                <w:szCs w:val="22"/>
                <w:lang w:val="en-US"/>
              </w:rPr>
              <w:t>u</w:t>
            </w:r>
            <w:r w:rsidRPr="0021277B">
              <w:rPr>
                <w:rFonts w:eastAsia="MS Mincho"/>
                <w:color w:val="000000"/>
                <w:sz w:val="22"/>
                <w:szCs w:val="22"/>
                <w:lang w:val="en-US"/>
              </w:rPr>
              <w:t xml:space="preserve">lting places for this species in Europe (Petersen and Fox 2009 and Petersen og Nielsen 2011). During this time the birds are particularly vulnerable to human disturbances (Petersen </w:t>
            </w:r>
            <w:r w:rsidRPr="0006066A">
              <w:rPr>
                <w:rFonts w:eastAsia="MS Mincho"/>
                <w:i/>
                <w:color w:val="000000"/>
                <w:sz w:val="22"/>
                <w:szCs w:val="22"/>
                <w:lang w:val="en-US"/>
              </w:rPr>
              <w:t>et al</w:t>
            </w:r>
            <w:r w:rsidRPr="0021277B">
              <w:rPr>
                <w:rFonts w:eastAsia="MS Mincho"/>
                <w:color w:val="000000"/>
                <w:sz w:val="22"/>
                <w:szCs w:val="22"/>
                <w:lang w:val="en-US"/>
              </w:rPr>
              <w:t xml:space="preserve">. 2017). An area between the islands of Læsø and Anholt has very shallow waters, making it difficult </w:t>
            </w:r>
            <w:r>
              <w:rPr>
                <w:rFonts w:eastAsia="MS Mincho"/>
                <w:color w:val="000000"/>
                <w:sz w:val="22"/>
                <w:szCs w:val="22"/>
                <w:lang w:val="en-US"/>
              </w:rPr>
              <w:t>to</w:t>
            </w:r>
            <w:r w:rsidRPr="0021277B">
              <w:rPr>
                <w:rFonts w:eastAsia="MS Mincho"/>
                <w:color w:val="000000"/>
                <w:sz w:val="22"/>
                <w:szCs w:val="22"/>
                <w:lang w:val="en-US"/>
              </w:rPr>
              <w:t xml:space="preserve"> access </w:t>
            </w:r>
            <w:r>
              <w:rPr>
                <w:rFonts w:eastAsia="MS Mincho"/>
                <w:color w:val="000000"/>
                <w:sz w:val="22"/>
                <w:szCs w:val="22"/>
                <w:lang w:val="en-US"/>
              </w:rPr>
              <w:t>for</w:t>
            </w:r>
            <w:r w:rsidRPr="0021277B">
              <w:rPr>
                <w:rFonts w:eastAsia="MS Mincho"/>
                <w:color w:val="000000"/>
                <w:sz w:val="22"/>
                <w:szCs w:val="22"/>
                <w:lang w:val="en-US"/>
              </w:rPr>
              <w:t xml:space="preserve"> human activities and is thus a more natural habitat and an important area for moulting </w:t>
            </w:r>
            <w:r>
              <w:rPr>
                <w:rFonts w:eastAsia="MS Mincho"/>
                <w:color w:val="000000"/>
                <w:sz w:val="22"/>
                <w:szCs w:val="22"/>
                <w:lang w:val="en-US"/>
              </w:rPr>
              <w:t>c</w:t>
            </w:r>
            <w:r w:rsidRPr="0021277B">
              <w:rPr>
                <w:rFonts w:eastAsia="MS Mincho"/>
                <w:color w:val="000000"/>
                <w:sz w:val="22"/>
                <w:szCs w:val="22"/>
                <w:lang w:val="en-US"/>
              </w:rPr>
              <w:t xml:space="preserve">ommon </w:t>
            </w:r>
            <w:r>
              <w:rPr>
                <w:rFonts w:eastAsia="MS Mincho"/>
                <w:color w:val="000000"/>
                <w:sz w:val="22"/>
                <w:szCs w:val="22"/>
                <w:lang w:val="en-US"/>
              </w:rPr>
              <w:t>s</w:t>
            </w:r>
            <w:r w:rsidRPr="0021277B">
              <w:rPr>
                <w:rFonts w:eastAsia="MS Mincho"/>
                <w:color w:val="000000"/>
                <w:sz w:val="22"/>
                <w:szCs w:val="22"/>
                <w:lang w:val="en-US"/>
              </w:rPr>
              <w:t>coters.</w:t>
            </w:r>
          </w:p>
          <w:p w14:paraId="60407EB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2B6E93C0" w14:textId="77777777" w:rsidTr="00907941">
        <w:tc>
          <w:tcPr>
            <w:tcW w:w="779" w:type="pct"/>
            <w:shd w:val="clear" w:color="auto" w:fill="auto"/>
          </w:tcPr>
          <w:p w14:paraId="002C9D1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80" w:type="pct"/>
            <w:shd w:val="clear" w:color="auto" w:fill="auto"/>
          </w:tcPr>
          <w:p w14:paraId="4A924FB2"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6A08342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57C6D31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019D7918" w14:textId="77777777" w:rsidR="006B3F46" w:rsidRPr="0021277B" w:rsidRDefault="006B3F46" w:rsidP="00907941">
            <w:pPr>
              <w:widowControl w:val="0"/>
              <w:autoSpaceDE w:val="0"/>
              <w:autoSpaceDN w:val="0"/>
              <w:adjustRightInd w:val="0"/>
              <w:jc w:val="center"/>
              <w:rPr>
                <w:rFonts w:eastAsia="MS Mincho"/>
                <w:bCs/>
                <w:color w:val="000000"/>
                <w:sz w:val="22"/>
                <w:szCs w:val="22"/>
                <w:highlight w:val="yellow"/>
                <w:lang w:val="en-US"/>
              </w:rPr>
            </w:pPr>
          </w:p>
        </w:tc>
        <w:tc>
          <w:tcPr>
            <w:tcW w:w="436" w:type="pct"/>
            <w:gridSpan w:val="2"/>
            <w:shd w:val="clear" w:color="auto" w:fill="auto"/>
          </w:tcPr>
          <w:p w14:paraId="113B4FBC" w14:textId="77777777" w:rsidR="006B3F46" w:rsidRPr="0021277B" w:rsidRDefault="006B3F46" w:rsidP="00907941">
            <w:pPr>
              <w:widowControl w:val="0"/>
              <w:autoSpaceDE w:val="0"/>
              <w:autoSpaceDN w:val="0"/>
              <w:adjustRightInd w:val="0"/>
              <w:jc w:val="center"/>
              <w:rPr>
                <w:rFonts w:eastAsia="MS Mincho"/>
                <w:bCs/>
                <w:color w:val="000000"/>
                <w:sz w:val="22"/>
                <w:szCs w:val="22"/>
                <w:highlight w:val="yellow"/>
                <w:lang w:val="en-US"/>
              </w:rPr>
            </w:pPr>
            <w:r w:rsidRPr="0021277B">
              <w:rPr>
                <w:rFonts w:eastAsia="MS Mincho"/>
                <w:bCs/>
                <w:color w:val="000000"/>
                <w:sz w:val="22"/>
                <w:szCs w:val="22"/>
                <w:lang w:val="en-US"/>
              </w:rPr>
              <w:t>X</w:t>
            </w:r>
          </w:p>
        </w:tc>
      </w:tr>
      <w:tr w:rsidR="006B3F46" w:rsidRPr="0021277B" w14:paraId="28C1C9D0" w14:textId="77777777" w:rsidTr="00907941">
        <w:tc>
          <w:tcPr>
            <w:tcW w:w="5000" w:type="pct"/>
            <w:gridSpan w:val="11"/>
            <w:shd w:val="clear" w:color="auto" w:fill="auto"/>
          </w:tcPr>
          <w:p w14:paraId="4C26F16C"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0D089511"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The tube</w:t>
            </w:r>
            <w:r>
              <w:rPr>
                <w:rFonts w:eastAsia="MS Mincho"/>
                <w:color w:val="000000"/>
                <w:sz w:val="22"/>
                <w:szCs w:val="22"/>
                <w:lang w:val="en-US"/>
              </w:rPr>
              <w:t>-</w:t>
            </w:r>
            <w:r w:rsidRPr="0021277B">
              <w:rPr>
                <w:rFonts w:eastAsia="MS Mincho"/>
                <w:color w:val="000000"/>
                <w:sz w:val="22"/>
                <w:szCs w:val="22"/>
                <w:lang w:val="en-US"/>
              </w:rPr>
              <w:t xml:space="preserve">building crustacean </w:t>
            </w:r>
            <w:r w:rsidRPr="0021277B">
              <w:rPr>
                <w:rFonts w:eastAsia="MS Mincho"/>
                <w:i/>
                <w:color w:val="000000"/>
                <w:sz w:val="22"/>
                <w:szCs w:val="22"/>
                <w:lang w:val="en-US"/>
              </w:rPr>
              <w:t>Haploops tubicola</w:t>
            </w:r>
            <w:r w:rsidRPr="0021277B">
              <w:rPr>
                <w:rFonts w:eastAsia="MS Mincho"/>
                <w:color w:val="000000"/>
                <w:sz w:val="22"/>
                <w:szCs w:val="22"/>
                <w:lang w:val="en-US"/>
              </w:rPr>
              <w:t xml:space="preserve"> used to cover extensive areas in the southern Kattegat, where dense numbers formed a specific habitat. Today </w:t>
            </w:r>
            <w:r w:rsidRPr="0021277B">
              <w:rPr>
                <w:rFonts w:eastAsia="MS Mincho"/>
                <w:i/>
                <w:color w:val="000000"/>
                <w:sz w:val="22"/>
                <w:szCs w:val="22"/>
                <w:lang w:val="en-US"/>
              </w:rPr>
              <w:t>Haploops</w:t>
            </w:r>
            <w:r w:rsidRPr="0021277B">
              <w:rPr>
                <w:rFonts w:eastAsia="MS Mincho"/>
                <w:color w:val="000000"/>
                <w:sz w:val="22"/>
                <w:szCs w:val="22"/>
                <w:lang w:val="en-US"/>
              </w:rPr>
              <w:t xml:space="preserve"> are still present in the Kattegat area but only in low densities with no habitat</w:t>
            </w:r>
            <w:r>
              <w:rPr>
                <w:rFonts w:eastAsia="MS Mincho"/>
                <w:color w:val="000000"/>
                <w:sz w:val="22"/>
                <w:szCs w:val="22"/>
                <w:lang w:val="en-US"/>
              </w:rPr>
              <w:t>-</w:t>
            </w:r>
            <w:r w:rsidRPr="0021277B">
              <w:rPr>
                <w:rFonts w:eastAsia="MS Mincho"/>
                <w:color w:val="000000"/>
                <w:sz w:val="22"/>
                <w:szCs w:val="22"/>
                <w:lang w:val="en-US"/>
              </w:rPr>
              <w:t xml:space="preserve">forming function. </w:t>
            </w:r>
            <w:r w:rsidRPr="0021277B">
              <w:rPr>
                <w:rFonts w:eastAsia="MS Mincho"/>
                <w:i/>
                <w:color w:val="000000"/>
                <w:sz w:val="22"/>
                <w:szCs w:val="22"/>
                <w:lang w:val="en-US"/>
              </w:rPr>
              <w:t>Haploops</w:t>
            </w:r>
            <w:r w:rsidRPr="0021277B">
              <w:rPr>
                <w:rFonts w:eastAsia="MS Mincho"/>
                <w:color w:val="000000"/>
                <w:sz w:val="22"/>
                <w:szCs w:val="22"/>
                <w:lang w:val="en-US"/>
              </w:rPr>
              <w:t xml:space="preserve"> is considered endangered </w:t>
            </w:r>
            <w:r>
              <w:rPr>
                <w:rFonts w:eastAsia="MS Mincho"/>
                <w:color w:val="000000"/>
                <w:sz w:val="22"/>
                <w:szCs w:val="22"/>
                <w:lang w:val="en-US"/>
              </w:rPr>
              <w:t>o</w:t>
            </w:r>
            <w:r w:rsidRPr="0021277B">
              <w:rPr>
                <w:rFonts w:eastAsia="MS Mincho"/>
                <w:color w:val="000000"/>
                <w:sz w:val="22"/>
                <w:szCs w:val="22"/>
                <w:lang w:val="en-US"/>
              </w:rPr>
              <w:t xml:space="preserve">n the HELCOM </w:t>
            </w:r>
            <w:r>
              <w:rPr>
                <w:rFonts w:eastAsia="MS Mincho"/>
                <w:color w:val="000000"/>
                <w:sz w:val="22"/>
                <w:szCs w:val="22"/>
                <w:lang w:val="en-US"/>
              </w:rPr>
              <w:t>R</w:t>
            </w:r>
            <w:r w:rsidRPr="0021277B">
              <w:rPr>
                <w:rFonts w:eastAsia="MS Mincho"/>
                <w:color w:val="000000"/>
                <w:sz w:val="22"/>
                <w:szCs w:val="22"/>
                <w:lang w:val="en-US"/>
              </w:rPr>
              <w:t>ed</w:t>
            </w:r>
            <w:r>
              <w:rPr>
                <w:rFonts w:eastAsia="MS Mincho"/>
                <w:color w:val="000000"/>
                <w:sz w:val="22"/>
                <w:szCs w:val="22"/>
                <w:lang w:val="en-US"/>
              </w:rPr>
              <w:t xml:space="preserve"> L</w:t>
            </w:r>
            <w:r w:rsidRPr="0021277B">
              <w:rPr>
                <w:rFonts w:eastAsia="MS Mincho"/>
                <w:color w:val="000000"/>
                <w:sz w:val="22"/>
                <w:szCs w:val="22"/>
                <w:lang w:val="en-US"/>
              </w:rPr>
              <w:t>ist (HELCOM 2013b).</w:t>
            </w:r>
          </w:p>
          <w:p w14:paraId="1D4B5A49"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6ED36354" w14:textId="77777777" w:rsidR="006B3F46" w:rsidRPr="0021277B" w:rsidRDefault="006B3F46" w:rsidP="00907941">
            <w:pPr>
              <w:widowControl w:val="0"/>
              <w:autoSpaceDE w:val="0"/>
              <w:autoSpaceDN w:val="0"/>
              <w:adjustRightInd w:val="0"/>
              <w:jc w:val="both"/>
              <w:rPr>
                <w:rFonts w:eastAsia="MS Mincho"/>
                <w:color w:val="000000"/>
                <w:sz w:val="22"/>
                <w:szCs w:val="22"/>
              </w:rPr>
            </w:pPr>
            <w:r w:rsidRPr="0021277B">
              <w:rPr>
                <w:rFonts w:eastAsia="MS Mincho"/>
                <w:i/>
                <w:color w:val="000000"/>
                <w:sz w:val="22"/>
                <w:szCs w:val="22"/>
                <w:lang w:val="en-US"/>
              </w:rPr>
              <w:t>Modiolus modiolus</w:t>
            </w:r>
            <w:r w:rsidRPr="0021277B">
              <w:rPr>
                <w:rFonts w:eastAsia="MS Mincho"/>
                <w:color w:val="000000"/>
                <w:sz w:val="22"/>
                <w:szCs w:val="22"/>
                <w:lang w:val="en-US"/>
              </w:rPr>
              <w:t xml:space="preserve"> beds are on the </w:t>
            </w:r>
            <w:r w:rsidRPr="0021277B">
              <w:rPr>
                <w:rFonts w:eastAsia="MS Mincho"/>
                <w:color w:val="000000"/>
                <w:sz w:val="22"/>
                <w:szCs w:val="22"/>
              </w:rPr>
              <w:t xml:space="preserve">OSPAR List of Threatened and/or Declining Species and Habitats </w:t>
            </w:r>
            <w:r w:rsidRPr="0021277B">
              <w:rPr>
                <w:rFonts w:eastAsia="MS Mincho"/>
                <w:color w:val="000000"/>
                <w:sz w:val="22"/>
                <w:szCs w:val="22"/>
                <w:lang w:val="en-US"/>
              </w:rPr>
              <w:t>(</w:t>
            </w:r>
            <w:r w:rsidRPr="0021277B">
              <w:rPr>
                <w:rFonts w:eastAsia="MS Mincho"/>
                <w:color w:val="000000"/>
                <w:sz w:val="22"/>
                <w:szCs w:val="22"/>
              </w:rPr>
              <w:t>OSPAR 2008</w:t>
            </w:r>
            <w:r w:rsidRPr="0021277B">
              <w:rPr>
                <w:rFonts w:eastAsia="MS Mincho"/>
                <w:color w:val="000000"/>
                <w:sz w:val="22"/>
                <w:szCs w:val="22"/>
                <w:lang w:val="en-US"/>
              </w:rPr>
              <w:t xml:space="preserve">) Modiolus beds are recognized as biogenic habitats hosting a specific community (Dinesen and Morton 2014)  </w:t>
            </w:r>
          </w:p>
          <w:p w14:paraId="3E96924A"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3176F5A1"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Velvet </w:t>
            </w:r>
            <w:r>
              <w:rPr>
                <w:rFonts w:eastAsia="MS Mincho"/>
                <w:color w:val="000000"/>
                <w:sz w:val="22"/>
                <w:szCs w:val="22"/>
                <w:lang w:val="en-US"/>
              </w:rPr>
              <w:t>s</w:t>
            </w:r>
            <w:r w:rsidRPr="0021277B">
              <w:rPr>
                <w:rFonts w:eastAsia="MS Mincho"/>
                <w:color w:val="000000"/>
                <w:sz w:val="22"/>
                <w:szCs w:val="22"/>
                <w:lang w:val="en-US"/>
              </w:rPr>
              <w:t>coter (</w:t>
            </w:r>
            <w:r w:rsidRPr="0021277B">
              <w:rPr>
                <w:rFonts w:eastAsia="MS Mincho"/>
                <w:i/>
                <w:color w:val="000000"/>
                <w:sz w:val="22"/>
                <w:szCs w:val="22"/>
                <w:lang w:val="en-US"/>
              </w:rPr>
              <w:t>Melanitta fusca</w:t>
            </w:r>
            <w:r w:rsidRPr="0021277B">
              <w:rPr>
                <w:rFonts w:eastAsia="MS Mincho"/>
                <w:color w:val="000000"/>
                <w:sz w:val="22"/>
                <w:szCs w:val="22"/>
                <w:lang w:val="en-US"/>
              </w:rPr>
              <w:t xml:space="preserve">) and </w:t>
            </w:r>
            <w:r>
              <w:rPr>
                <w:rFonts w:eastAsia="MS Mincho"/>
                <w:color w:val="000000"/>
                <w:sz w:val="22"/>
                <w:szCs w:val="22"/>
                <w:lang w:val="en-US"/>
              </w:rPr>
              <w:t>l</w:t>
            </w:r>
            <w:r w:rsidRPr="0021277B">
              <w:rPr>
                <w:rFonts w:eastAsia="MS Mincho"/>
                <w:color w:val="000000"/>
                <w:sz w:val="22"/>
                <w:szCs w:val="22"/>
                <w:lang w:val="en-US"/>
              </w:rPr>
              <w:t>ong-tailed duck (</w:t>
            </w:r>
            <w:r w:rsidRPr="0021277B">
              <w:rPr>
                <w:rFonts w:eastAsia="MS Mincho"/>
                <w:i/>
                <w:color w:val="000000"/>
                <w:sz w:val="22"/>
                <w:szCs w:val="22"/>
                <w:lang w:val="en-US"/>
              </w:rPr>
              <w:t>Clangula hyemalis</w:t>
            </w:r>
            <w:r w:rsidRPr="0021277B">
              <w:rPr>
                <w:rFonts w:eastAsia="MS Mincho"/>
                <w:color w:val="000000"/>
                <w:sz w:val="22"/>
                <w:szCs w:val="22"/>
                <w:lang w:val="en-US"/>
              </w:rPr>
              <w:t xml:space="preserve">) found within on shallow waters </w:t>
            </w:r>
            <w:r w:rsidRPr="000F06AC">
              <w:rPr>
                <w:rFonts w:eastAsia="MS Mincho"/>
                <w:color w:val="000000"/>
                <w:sz w:val="22"/>
                <w:szCs w:val="22"/>
                <w:lang w:val="en-US"/>
              </w:rPr>
              <w:t xml:space="preserve">the area </w:t>
            </w:r>
            <w:r w:rsidRPr="0021277B">
              <w:rPr>
                <w:rFonts w:eastAsia="MS Mincho"/>
                <w:color w:val="000000"/>
                <w:sz w:val="22"/>
                <w:szCs w:val="22"/>
                <w:lang w:val="en-US"/>
              </w:rPr>
              <w:t xml:space="preserve">are described as declining (Skov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2011) and globally </w:t>
            </w:r>
            <w:r>
              <w:rPr>
                <w:rFonts w:eastAsia="MS Mincho"/>
                <w:color w:val="000000"/>
                <w:sz w:val="22"/>
                <w:szCs w:val="22"/>
                <w:lang w:val="en-US"/>
              </w:rPr>
              <w:t>R</w:t>
            </w:r>
            <w:r w:rsidRPr="0021277B">
              <w:rPr>
                <w:rFonts w:eastAsia="MS Mincho"/>
                <w:color w:val="000000"/>
                <w:sz w:val="22"/>
                <w:szCs w:val="22"/>
                <w:lang w:val="en-US"/>
              </w:rPr>
              <w:t>ed</w:t>
            </w:r>
            <w:r>
              <w:rPr>
                <w:rFonts w:eastAsia="MS Mincho"/>
                <w:color w:val="000000"/>
                <w:sz w:val="22"/>
                <w:szCs w:val="22"/>
                <w:lang w:val="en-US"/>
              </w:rPr>
              <w:t xml:space="preserve"> L</w:t>
            </w:r>
            <w:r w:rsidRPr="0021277B">
              <w:rPr>
                <w:rFonts w:eastAsia="MS Mincho"/>
                <w:color w:val="000000"/>
                <w:sz w:val="22"/>
                <w:szCs w:val="22"/>
                <w:lang w:val="en-US"/>
              </w:rPr>
              <w:t xml:space="preserve">isted (IUCN </w:t>
            </w:r>
            <w:r>
              <w:rPr>
                <w:rFonts w:eastAsia="MS Mincho"/>
                <w:color w:val="000000"/>
                <w:sz w:val="22"/>
                <w:szCs w:val="22"/>
                <w:lang w:val="en-US"/>
              </w:rPr>
              <w:t>R</w:t>
            </w:r>
            <w:r w:rsidRPr="0021277B">
              <w:rPr>
                <w:rFonts w:eastAsia="MS Mincho"/>
                <w:color w:val="000000"/>
                <w:sz w:val="22"/>
                <w:szCs w:val="22"/>
                <w:lang w:val="en-US"/>
              </w:rPr>
              <w:t xml:space="preserve">ed </w:t>
            </w:r>
            <w:r>
              <w:rPr>
                <w:rFonts w:eastAsia="MS Mincho"/>
                <w:color w:val="000000"/>
                <w:sz w:val="22"/>
                <w:szCs w:val="22"/>
                <w:lang w:val="en-US"/>
              </w:rPr>
              <w:t>L</w:t>
            </w:r>
            <w:r w:rsidRPr="0021277B">
              <w:rPr>
                <w:rFonts w:eastAsia="MS Mincho"/>
                <w:color w:val="000000"/>
                <w:sz w:val="22"/>
                <w:szCs w:val="22"/>
                <w:lang w:val="en-US"/>
              </w:rPr>
              <w:t xml:space="preserve">ist of </w:t>
            </w:r>
            <w:r>
              <w:rPr>
                <w:rFonts w:eastAsia="MS Mincho"/>
                <w:color w:val="000000"/>
                <w:sz w:val="22"/>
                <w:szCs w:val="22"/>
                <w:lang w:val="en-US"/>
              </w:rPr>
              <w:t>T</w:t>
            </w:r>
            <w:r w:rsidRPr="0021277B">
              <w:rPr>
                <w:rFonts w:eastAsia="MS Mincho"/>
                <w:color w:val="000000"/>
                <w:sz w:val="22"/>
                <w:szCs w:val="22"/>
                <w:lang w:val="en-US"/>
              </w:rPr>
              <w:t xml:space="preserve">hreatened </w:t>
            </w:r>
            <w:r>
              <w:rPr>
                <w:rFonts w:eastAsia="MS Mincho"/>
                <w:color w:val="000000"/>
                <w:sz w:val="22"/>
                <w:szCs w:val="22"/>
                <w:lang w:val="en-US"/>
              </w:rPr>
              <w:t>S</w:t>
            </w:r>
            <w:r w:rsidRPr="0021277B">
              <w:rPr>
                <w:rFonts w:eastAsia="MS Mincho"/>
                <w:color w:val="000000"/>
                <w:sz w:val="22"/>
                <w:szCs w:val="22"/>
                <w:lang w:val="en-US"/>
              </w:rPr>
              <w:t>pecies).</w:t>
            </w:r>
          </w:p>
          <w:p w14:paraId="3BB9E5AC"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65ACDC90"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Diver species (Gaviidae)</w:t>
            </w:r>
            <w:r>
              <w:rPr>
                <w:rFonts w:eastAsia="MS Mincho"/>
                <w:color w:val="000000"/>
                <w:sz w:val="22"/>
                <w:szCs w:val="22"/>
                <w:lang w:val="en-US"/>
              </w:rPr>
              <w:t>,</w:t>
            </w:r>
            <w:r w:rsidRPr="0021277B">
              <w:rPr>
                <w:rFonts w:eastAsia="MS Mincho"/>
                <w:color w:val="000000"/>
                <w:sz w:val="22"/>
                <w:szCs w:val="22"/>
                <w:lang w:val="en-US"/>
              </w:rPr>
              <w:t xml:space="preserve"> mainly </w:t>
            </w:r>
            <w:r>
              <w:rPr>
                <w:rFonts w:eastAsia="MS Mincho"/>
                <w:color w:val="000000"/>
                <w:sz w:val="22"/>
                <w:szCs w:val="22"/>
                <w:lang w:val="en-US"/>
              </w:rPr>
              <w:t>r</w:t>
            </w:r>
            <w:r w:rsidRPr="0021277B">
              <w:rPr>
                <w:rFonts w:eastAsia="MS Mincho"/>
                <w:color w:val="000000"/>
                <w:sz w:val="22"/>
                <w:szCs w:val="22"/>
                <w:lang w:val="en-US"/>
              </w:rPr>
              <w:t xml:space="preserve">ed-throated </w:t>
            </w:r>
            <w:r>
              <w:rPr>
                <w:rFonts w:eastAsia="MS Mincho"/>
                <w:color w:val="000000"/>
                <w:sz w:val="22"/>
                <w:szCs w:val="22"/>
                <w:lang w:val="en-US"/>
              </w:rPr>
              <w:t>d</w:t>
            </w:r>
            <w:r w:rsidRPr="0021277B">
              <w:rPr>
                <w:rFonts w:eastAsia="MS Mincho"/>
                <w:color w:val="000000"/>
                <w:sz w:val="22"/>
                <w:szCs w:val="22"/>
                <w:lang w:val="en-US"/>
              </w:rPr>
              <w:t>iver (</w:t>
            </w:r>
            <w:r w:rsidRPr="0021277B">
              <w:rPr>
                <w:rFonts w:eastAsia="MS Mincho"/>
                <w:i/>
                <w:color w:val="000000"/>
                <w:sz w:val="22"/>
                <w:szCs w:val="22"/>
                <w:lang w:val="en-US"/>
              </w:rPr>
              <w:t>Gavia stellate</w:t>
            </w:r>
            <w:r w:rsidRPr="0021277B">
              <w:rPr>
                <w:rFonts w:eastAsia="MS Mincho"/>
                <w:color w:val="000000"/>
                <w:sz w:val="22"/>
                <w:szCs w:val="22"/>
                <w:lang w:val="en-US"/>
              </w:rPr>
              <w:t>)</w:t>
            </w:r>
            <w:r>
              <w:rPr>
                <w:rFonts w:eastAsia="MS Mincho"/>
                <w:color w:val="000000"/>
                <w:sz w:val="22"/>
                <w:szCs w:val="22"/>
                <w:lang w:val="en-US"/>
              </w:rPr>
              <w:t>,</w:t>
            </w:r>
            <w:r w:rsidRPr="0021277B">
              <w:rPr>
                <w:rFonts w:eastAsia="MS Mincho"/>
                <w:color w:val="000000"/>
                <w:sz w:val="22"/>
                <w:szCs w:val="22"/>
                <w:lang w:val="en-US"/>
              </w:rPr>
              <w:t xml:space="preserve"> are found in numbers of national importance (Petersen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2003</w:t>
            </w:r>
            <w:r>
              <w:rPr>
                <w:rFonts w:eastAsia="MS Mincho"/>
                <w:color w:val="000000"/>
                <w:sz w:val="22"/>
                <w:szCs w:val="22"/>
                <w:lang w:val="en-US"/>
              </w:rPr>
              <w:t>;</w:t>
            </w:r>
            <w:r w:rsidRPr="0021277B">
              <w:rPr>
                <w:rFonts w:eastAsia="MS Mincho"/>
                <w:color w:val="000000"/>
                <w:sz w:val="22"/>
                <w:szCs w:val="22"/>
                <w:lang w:val="en-US"/>
              </w:rPr>
              <w:t xml:space="preserve"> 2006</w:t>
            </w:r>
            <w:r>
              <w:rPr>
                <w:rFonts w:eastAsia="MS Mincho"/>
                <w:color w:val="000000"/>
                <w:sz w:val="22"/>
                <w:szCs w:val="22"/>
                <w:lang w:val="en-US"/>
              </w:rPr>
              <w:t>;</w:t>
            </w:r>
            <w:r w:rsidRPr="0021277B">
              <w:rPr>
                <w:rFonts w:eastAsia="MS Mincho"/>
                <w:color w:val="000000"/>
                <w:sz w:val="22"/>
                <w:szCs w:val="22"/>
                <w:lang w:val="en-US"/>
              </w:rPr>
              <w:t xml:space="preserve"> 2010</w:t>
            </w:r>
            <w:r>
              <w:rPr>
                <w:rFonts w:eastAsia="MS Mincho"/>
                <w:color w:val="000000"/>
                <w:sz w:val="22"/>
                <w:szCs w:val="22"/>
                <w:lang w:val="en-US"/>
              </w:rPr>
              <w:t>;</w:t>
            </w:r>
            <w:r w:rsidRPr="0021277B">
              <w:rPr>
                <w:rFonts w:eastAsia="MS Mincho"/>
                <w:color w:val="000000"/>
                <w:sz w:val="22"/>
                <w:szCs w:val="22"/>
                <w:lang w:val="en-US"/>
              </w:rPr>
              <w:t xml:space="preserve"> Holm </w:t>
            </w:r>
            <w:r w:rsidRPr="0006066A">
              <w:rPr>
                <w:rFonts w:eastAsia="MS Mincho"/>
                <w:i/>
                <w:color w:val="000000"/>
                <w:sz w:val="22"/>
                <w:szCs w:val="22"/>
                <w:lang w:val="en-US"/>
              </w:rPr>
              <w:t>et al</w:t>
            </w:r>
            <w:r w:rsidRPr="0021277B">
              <w:rPr>
                <w:rFonts w:eastAsia="MS Mincho"/>
                <w:color w:val="000000"/>
                <w:sz w:val="22"/>
                <w:szCs w:val="22"/>
                <w:lang w:val="en-US"/>
              </w:rPr>
              <w:t xml:space="preserve"> 2018). Red-throated divers are described as declining in the Baltic (Skov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2011).  </w:t>
            </w:r>
          </w:p>
          <w:p w14:paraId="33965B6D"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2A3E39A5" w14:textId="77777777" w:rsidR="006B3F46" w:rsidRPr="0021277B" w:rsidRDefault="006B3F46" w:rsidP="00907941">
            <w:pPr>
              <w:widowControl w:val="0"/>
              <w:autoSpaceDE w:val="0"/>
              <w:autoSpaceDN w:val="0"/>
              <w:adjustRightInd w:val="0"/>
              <w:jc w:val="both"/>
              <w:rPr>
                <w:rFonts w:eastAsia="MS Mincho"/>
                <w:sz w:val="22"/>
                <w:szCs w:val="22"/>
              </w:rPr>
            </w:pPr>
            <w:r w:rsidRPr="0021277B">
              <w:rPr>
                <w:rFonts w:eastAsia="MS Mincho"/>
                <w:sz w:val="22"/>
                <w:szCs w:val="22"/>
                <w:lang w:val="en-US"/>
              </w:rPr>
              <w:t xml:space="preserve">The harbour porpoise is listed in </w:t>
            </w:r>
            <w:r w:rsidRPr="0021277B">
              <w:rPr>
                <w:rFonts w:eastAsia="MS Mincho"/>
                <w:sz w:val="22"/>
                <w:szCs w:val="22"/>
              </w:rPr>
              <w:t>OSPAR Recommendation 2013/11 on furthering the protection and restoration of the harbour porpoise (</w:t>
            </w:r>
            <w:r w:rsidRPr="0021277B">
              <w:rPr>
                <w:rFonts w:eastAsia="MS Mincho"/>
                <w:i/>
                <w:sz w:val="22"/>
                <w:szCs w:val="22"/>
              </w:rPr>
              <w:t>Phocoena phocoena</w:t>
            </w:r>
            <w:r w:rsidRPr="0021277B">
              <w:rPr>
                <w:rFonts w:eastAsia="MS Mincho"/>
                <w:sz w:val="22"/>
                <w:szCs w:val="22"/>
              </w:rPr>
              <w:t xml:space="preserve">) in </w:t>
            </w:r>
            <w:r>
              <w:rPr>
                <w:rFonts w:eastAsia="MS Mincho"/>
                <w:sz w:val="22"/>
                <w:szCs w:val="22"/>
              </w:rPr>
              <w:t>r</w:t>
            </w:r>
            <w:r w:rsidRPr="0021277B">
              <w:rPr>
                <w:rFonts w:eastAsia="MS Mincho"/>
                <w:sz w:val="22"/>
                <w:szCs w:val="22"/>
              </w:rPr>
              <w:t>egions II and III of the OSPAR maritime area</w:t>
            </w:r>
            <w:r>
              <w:rPr>
                <w:rFonts w:eastAsia="MS Mincho"/>
                <w:sz w:val="22"/>
                <w:szCs w:val="22"/>
              </w:rPr>
              <w:t xml:space="preserve"> </w:t>
            </w:r>
            <w:r w:rsidRPr="0021277B">
              <w:rPr>
                <w:rFonts w:eastAsia="MS Mincho"/>
                <w:sz w:val="22"/>
                <w:szCs w:val="22"/>
              </w:rPr>
              <w:t xml:space="preserve">(OSPAR 2013). Harbour porpoise is also assessed as vulnerable by Denmark according to the HELCOM </w:t>
            </w:r>
            <w:r>
              <w:rPr>
                <w:rFonts w:eastAsia="MS Mincho"/>
                <w:sz w:val="22"/>
                <w:szCs w:val="22"/>
              </w:rPr>
              <w:t>R</w:t>
            </w:r>
            <w:r w:rsidRPr="0021277B">
              <w:rPr>
                <w:rFonts w:eastAsia="MS Mincho"/>
                <w:sz w:val="22"/>
                <w:szCs w:val="22"/>
              </w:rPr>
              <w:t xml:space="preserve">ed </w:t>
            </w:r>
            <w:r>
              <w:rPr>
                <w:rFonts w:eastAsia="MS Mincho"/>
                <w:sz w:val="22"/>
                <w:szCs w:val="22"/>
              </w:rPr>
              <w:t>L</w:t>
            </w:r>
            <w:r w:rsidRPr="0021277B">
              <w:rPr>
                <w:rFonts w:eastAsia="MS Mincho"/>
                <w:sz w:val="22"/>
                <w:szCs w:val="22"/>
              </w:rPr>
              <w:t>ist (HELCOM 2013a)</w:t>
            </w:r>
          </w:p>
          <w:p w14:paraId="303628A3" w14:textId="77777777" w:rsidR="006B3F46" w:rsidRPr="0021277B" w:rsidRDefault="006B3F46" w:rsidP="00907941">
            <w:pPr>
              <w:widowControl w:val="0"/>
              <w:tabs>
                <w:tab w:val="left" w:pos="4019"/>
              </w:tabs>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ab/>
              <w:t xml:space="preserve">. </w:t>
            </w:r>
          </w:p>
        </w:tc>
      </w:tr>
      <w:tr w:rsidR="006B3F46" w:rsidRPr="0021277B" w14:paraId="2DB89CD4" w14:textId="77777777" w:rsidTr="00907941">
        <w:tc>
          <w:tcPr>
            <w:tcW w:w="779" w:type="pct"/>
            <w:shd w:val="clear" w:color="auto" w:fill="auto"/>
          </w:tcPr>
          <w:p w14:paraId="2D67E6D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80" w:type="pct"/>
            <w:shd w:val="clear" w:color="auto" w:fill="auto"/>
          </w:tcPr>
          <w:p w14:paraId="060E8086"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756548A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49A2174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6A64A19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3197F5A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15B75C1" w14:textId="77777777" w:rsidTr="00907941">
        <w:tc>
          <w:tcPr>
            <w:tcW w:w="5000" w:type="pct"/>
            <w:gridSpan w:val="11"/>
            <w:shd w:val="clear" w:color="auto" w:fill="auto"/>
          </w:tcPr>
          <w:p w14:paraId="1E654696"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2E51AC9A"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The Danish part of Kattegat hosts </w:t>
            </w:r>
            <w:r>
              <w:rPr>
                <w:rFonts w:eastAsia="MS Mincho"/>
                <w:color w:val="000000"/>
                <w:sz w:val="22"/>
                <w:szCs w:val="22"/>
                <w:lang w:val="en-US"/>
              </w:rPr>
              <w:t>a</w:t>
            </w:r>
            <w:r w:rsidRPr="0021277B">
              <w:rPr>
                <w:rFonts w:eastAsia="MS Mincho"/>
                <w:color w:val="000000"/>
                <w:sz w:val="22"/>
                <w:szCs w:val="22"/>
                <w:lang w:val="en-US"/>
              </w:rPr>
              <w:t xml:space="preserve"> large number of identified bubbling reef structures. The reef structures are fragile and sensitive to physical disturbance, </w:t>
            </w:r>
            <w:r>
              <w:rPr>
                <w:rFonts w:eastAsia="MS Mincho"/>
                <w:color w:val="000000"/>
                <w:sz w:val="22"/>
                <w:szCs w:val="22"/>
                <w:lang w:val="en-US"/>
              </w:rPr>
              <w:t>e.g.,</w:t>
            </w:r>
            <w:r w:rsidRPr="0021277B">
              <w:rPr>
                <w:rFonts w:eastAsia="MS Mincho"/>
                <w:color w:val="000000"/>
                <w:sz w:val="22"/>
                <w:szCs w:val="22"/>
                <w:lang w:val="en-US"/>
              </w:rPr>
              <w:t xml:space="preserve"> by mobile fishing gears like bottom trawls or bottom set gears like pots and gillnets, anchors and lines. Damage to bubbling reef structures is irreversible. </w:t>
            </w:r>
          </w:p>
          <w:p w14:paraId="0E576E0F"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4B25EE52" w14:textId="77777777" w:rsidR="006B3F46" w:rsidRPr="0021277B" w:rsidRDefault="006B3F46" w:rsidP="00907941">
            <w:pPr>
              <w:widowControl w:val="0"/>
              <w:autoSpaceDE w:val="0"/>
              <w:autoSpaceDN w:val="0"/>
              <w:adjustRightInd w:val="0"/>
              <w:jc w:val="both"/>
              <w:rPr>
                <w:rFonts w:eastAsia="MS Mincho"/>
                <w:color w:val="000000"/>
                <w:sz w:val="22"/>
                <w:szCs w:val="22"/>
                <w:highlight w:val="yellow"/>
                <w:lang w:val="en-US"/>
              </w:rPr>
            </w:pPr>
            <w:r w:rsidRPr="0021277B">
              <w:rPr>
                <w:rFonts w:eastAsia="MS Mincho"/>
                <w:color w:val="000000"/>
                <w:sz w:val="22"/>
                <w:szCs w:val="22"/>
                <w:lang w:val="en-US"/>
              </w:rPr>
              <w:t>Eelgrass meadows occur all along the coast of Kattegat. In the 1930s</w:t>
            </w:r>
            <w:r>
              <w:rPr>
                <w:rFonts w:eastAsia="MS Mincho"/>
                <w:color w:val="000000"/>
                <w:sz w:val="22"/>
                <w:szCs w:val="22"/>
                <w:lang w:val="en-US"/>
              </w:rPr>
              <w:t>,</w:t>
            </w:r>
            <w:r w:rsidRPr="0021277B">
              <w:rPr>
                <w:rFonts w:eastAsia="MS Mincho"/>
                <w:color w:val="000000"/>
                <w:sz w:val="22"/>
                <w:szCs w:val="22"/>
                <w:lang w:val="en-US"/>
              </w:rPr>
              <w:t xml:space="preserve"> eelgrass was </w:t>
            </w:r>
            <w:r>
              <w:rPr>
                <w:rFonts w:eastAsia="MS Mincho"/>
                <w:color w:val="000000"/>
                <w:sz w:val="22"/>
                <w:szCs w:val="22"/>
                <w:lang w:val="en-US"/>
              </w:rPr>
              <w:t xml:space="preserve">more widely </w:t>
            </w:r>
            <w:r w:rsidRPr="0021277B">
              <w:rPr>
                <w:rFonts w:eastAsia="MS Mincho"/>
                <w:color w:val="000000"/>
                <w:sz w:val="22"/>
                <w:szCs w:val="22"/>
                <w:lang w:val="en-US"/>
              </w:rPr>
              <w:t>distribut</w:t>
            </w:r>
            <w:r>
              <w:rPr>
                <w:rFonts w:eastAsia="MS Mincho"/>
                <w:color w:val="000000"/>
                <w:sz w:val="22"/>
                <w:szCs w:val="22"/>
                <w:lang w:val="en-US"/>
              </w:rPr>
              <w:t>ed than it is</w:t>
            </w:r>
            <w:r w:rsidRPr="0021277B">
              <w:rPr>
                <w:rFonts w:eastAsia="MS Mincho"/>
                <w:color w:val="000000"/>
                <w:sz w:val="22"/>
                <w:szCs w:val="22"/>
                <w:lang w:val="en-US"/>
              </w:rPr>
              <w:t xml:space="preserve"> today. Despite significant improvement in the marine environment over the last 25 years, eelgrass distribution is still reduced</w:t>
            </w:r>
            <w:r>
              <w:rPr>
                <w:rFonts w:eastAsia="MS Mincho"/>
                <w:color w:val="000000"/>
                <w:sz w:val="22"/>
                <w:szCs w:val="22"/>
                <w:lang w:val="en-US"/>
              </w:rPr>
              <w:t>,</w:t>
            </w:r>
            <w:r w:rsidRPr="0021277B">
              <w:rPr>
                <w:rFonts w:eastAsia="MS Mincho"/>
                <w:color w:val="000000"/>
                <w:sz w:val="22"/>
                <w:szCs w:val="22"/>
                <w:lang w:val="en-US"/>
              </w:rPr>
              <w:t xml:space="preserve"> with hardly any improvement (Rieman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2015). </w:t>
            </w:r>
          </w:p>
          <w:p w14:paraId="09349476"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41303015"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During summer moult the diving ducks are particularly vulnerable to human disturbances (Petersen </w:t>
            </w:r>
            <w:r w:rsidRPr="0006066A">
              <w:rPr>
                <w:rFonts w:eastAsia="MS Mincho"/>
                <w:i/>
                <w:color w:val="000000"/>
                <w:sz w:val="22"/>
                <w:szCs w:val="22"/>
                <w:lang w:val="en-US"/>
              </w:rPr>
              <w:t>et al</w:t>
            </w:r>
            <w:r w:rsidRPr="0021277B">
              <w:rPr>
                <w:rFonts w:eastAsia="MS Mincho"/>
                <w:color w:val="000000"/>
                <w:sz w:val="22"/>
                <w:szCs w:val="22"/>
                <w:lang w:val="en-US"/>
              </w:rPr>
              <w:t xml:space="preserve">. 2017). </w:t>
            </w:r>
          </w:p>
          <w:p w14:paraId="70B17ED3"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An area between the islands of Læsø and Anholt has very shallow waters, making </w:t>
            </w:r>
            <w:r>
              <w:rPr>
                <w:rFonts w:eastAsia="MS Mincho"/>
                <w:color w:val="000000"/>
                <w:sz w:val="22"/>
                <w:szCs w:val="22"/>
                <w:lang w:val="en-US"/>
              </w:rPr>
              <w:t xml:space="preserve">human access </w:t>
            </w:r>
            <w:r w:rsidRPr="0021277B">
              <w:rPr>
                <w:rFonts w:eastAsia="MS Mincho"/>
                <w:color w:val="000000"/>
                <w:sz w:val="22"/>
                <w:szCs w:val="22"/>
                <w:lang w:val="en-US"/>
              </w:rPr>
              <w:t xml:space="preserve">difficult, and is thus an important area for moulting </w:t>
            </w:r>
            <w:r>
              <w:rPr>
                <w:rFonts w:eastAsia="MS Mincho"/>
                <w:color w:val="000000"/>
                <w:sz w:val="22"/>
                <w:szCs w:val="22"/>
                <w:lang w:val="en-US"/>
              </w:rPr>
              <w:t>c</w:t>
            </w:r>
            <w:r w:rsidRPr="0021277B">
              <w:rPr>
                <w:rFonts w:eastAsia="MS Mincho"/>
                <w:color w:val="000000"/>
                <w:sz w:val="22"/>
                <w:szCs w:val="22"/>
                <w:lang w:val="en-US"/>
              </w:rPr>
              <w:t xml:space="preserve">ommon </w:t>
            </w:r>
            <w:r>
              <w:rPr>
                <w:rFonts w:eastAsia="MS Mincho"/>
                <w:color w:val="000000"/>
                <w:sz w:val="22"/>
                <w:szCs w:val="22"/>
                <w:lang w:val="en-US"/>
              </w:rPr>
              <w:t>s</w:t>
            </w:r>
            <w:r w:rsidRPr="0021277B">
              <w:rPr>
                <w:rFonts w:eastAsia="MS Mincho"/>
                <w:color w:val="000000"/>
                <w:sz w:val="22"/>
                <w:szCs w:val="22"/>
                <w:lang w:val="en-US"/>
              </w:rPr>
              <w:t>coters</w:t>
            </w:r>
          </w:p>
          <w:p w14:paraId="645B65C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2D312C65" w14:textId="77777777" w:rsidTr="00907941">
        <w:tc>
          <w:tcPr>
            <w:tcW w:w="779" w:type="pct"/>
            <w:shd w:val="clear" w:color="auto" w:fill="auto"/>
          </w:tcPr>
          <w:p w14:paraId="4CC14262"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80" w:type="pct"/>
            <w:shd w:val="clear" w:color="auto" w:fill="auto"/>
          </w:tcPr>
          <w:p w14:paraId="2D1C7834" w14:textId="77777777" w:rsidR="006B3F46" w:rsidRPr="0021277B" w:rsidRDefault="006B3F46" w:rsidP="00907941">
            <w:pPr>
              <w:widowControl w:val="0"/>
              <w:autoSpaceDE w:val="0"/>
              <w:autoSpaceDN w:val="0"/>
              <w:adjustRightInd w:val="0"/>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383C2B1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774F21F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1D8166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6" w:type="pct"/>
            <w:gridSpan w:val="2"/>
            <w:shd w:val="clear" w:color="auto" w:fill="auto"/>
          </w:tcPr>
          <w:p w14:paraId="49DFE3C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1A1198A3" w14:textId="77777777" w:rsidTr="00907941">
        <w:tc>
          <w:tcPr>
            <w:tcW w:w="5000" w:type="pct"/>
            <w:gridSpan w:val="11"/>
            <w:shd w:val="clear" w:color="auto" w:fill="auto"/>
          </w:tcPr>
          <w:p w14:paraId="5280EAE5"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36C0229E"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The large offshore reef sites have a considerably higher coverage of erect macroalgae compared to coastal sites or sites in adjacent fjord areas (Carstensen and Dahl 2018</w:t>
            </w:r>
            <w:r>
              <w:rPr>
                <w:rFonts w:eastAsia="MS Mincho"/>
                <w:color w:val="000000"/>
                <w:sz w:val="22"/>
                <w:szCs w:val="22"/>
                <w:lang w:val="en-US"/>
              </w:rPr>
              <w:t>;</w:t>
            </w:r>
            <w:r w:rsidRPr="0021277B">
              <w:rPr>
                <w:rFonts w:eastAsia="MS Mincho"/>
                <w:color w:val="000000"/>
                <w:sz w:val="22"/>
                <w:szCs w:val="22"/>
                <w:lang w:val="en-US"/>
              </w:rPr>
              <w:t xml:space="preserve"> Würgler 2018)</w:t>
            </w:r>
            <w:r>
              <w:rPr>
                <w:rFonts w:eastAsia="MS Mincho"/>
                <w:color w:val="000000"/>
                <w:sz w:val="22"/>
                <w:szCs w:val="22"/>
                <w:lang w:val="en-US"/>
              </w:rPr>
              <w:t>.</w:t>
            </w:r>
            <w:r w:rsidRPr="0021277B">
              <w:rPr>
                <w:rFonts w:eastAsia="MS Mincho"/>
                <w:color w:val="000000"/>
                <w:sz w:val="22"/>
                <w:szCs w:val="22"/>
                <w:lang w:val="en-US"/>
              </w:rPr>
              <w:t xml:space="preserve"> </w:t>
            </w:r>
          </w:p>
          <w:p w14:paraId="03FCCF8F" w14:textId="77777777" w:rsidR="006B3F46" w:rsidRPr="0021277B" w:rsidRDefault="006B3F46" w:rsidP="00907941">
            <w:pPr>
              <w:widowControl w:val="0"/>
              <w:autoSpaceDE w:val="0"/>
              <w:autoSpaceDN w:val="0"/>
              <w:adjustRightInd w:val="0"/>
              <w:jc w:val="both"/>
              <w:rPr>
                <w:rFonts w:eastAsia="MS Mincho"/>
                <w:color w:val="000000"/>
                <w:sz w:val="22"/>
                <w:szCs w:val="22"/>
                <w:highlight w:val="yellow"/>
                <w:lang w:val="en-US"/>
              </w:rPr>
            </w:pPr>
          </w:p>
          <w:p w14:paraId="14B3515B"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Eelgrass meadows occur all along the coast of Kattegat. In the 1930s</w:t>
            </w:r>
            <w:r>
              <w:rPr>
                <w:rFonts w:eastAsia="MS Mincho"/>
                <w:color w:val="000000"/>
                <w:sz w:val="22"/>
                <w:szCs w:val="22"/>
                <w:lang w:val="en-US"/>
              </w:rPr>
              <w:t xml:space="preserve">, </w:t>
            </w:r>
            <w:r w:rsidRPr="00A752AE">
              <w:rPr>
                <w:rFonts w:eastAsia="MS Mincho"/>
                <w:color w:val="000000"/>
                <w:sz w:val="22"/>
                <w:szCs w:val="22"/>
                <w:lang w:val="en-US"/>
              </w:rPr>
              <w:t xml:space="preserve">eelgrass was </w:t>
            </w:r>
            <w:r>
              <w:rPr>
                <w:rFonts w:eastAsia="MS Mincho"/>
                <w:color w:val="000000"/>
                <w:sz w:val="22"/>
                <w:szCs w:val="22"/>
                <w:lang w:val="en-US"/>
              </w:rPr>
              <w:t xml:space="preserve">more widely </w:t>
            </w:r>
            <w:r w:rsidRPr="00A752AE">
              <w:rPr>
                <w:rFonts w:eastAsia="MS Mincho"/>
                <w:color w:val="000000"/>
                <w:sz w:val="22"/>
                <w:szCs w:val="22"/>
                <w:lang w:val="en-US"/>
              </w:rPr>
              <w:t>distribut</w:t>
            </w:r>
            <w:r>
              <w:rPr>
                <w:rFonts w:eastAsia="MS Mincho"/>
                <w:color w:val="000000"/>
                <w:sz w:val="22"/>
                <w:szCs w:val="22"/>
                <w:lang w:val="en-US"/>
              </w:rPr>
              <w:t>ed than it is</w:t>
            </w:r>
            <w:r w:rsidRPr="00A752AE">
              <w:rPr>
                <w:rFonts w:eastAsia="MS Mincho"/>
                <w:color w:val="000000"/>
                <w:sz w:val="22"/>
                <w:szCs w:val="22"/>
                <w:lang w:val="en-US"/>
              </w:rPr>
              <w:t xml:space="preserve"> today</w:t>
            </w:r>
            <w:r w:rsidRPr="0021277B">
              <w:rPr>
                <w:rFonts w:eastAsia="MS Mincho"/>
                <w:color w:val="000000"/>
                <w:sz w:val="22"/>
                <w:szCs w:val="22"/>
                <w:lang w:val="en-US"/>
              </w:rPr>
              <w:t>. Despite significant improvement in the marine environment over the last 25 years, eelgrass distribution is still reduced</w:t>
            </w:r>
            <w:r>
              <w:rPr>
                <w:rFonts w:eastAsia="MS Mincho"/>
                <w:color w:val="000000"/>
                <w:sz w:val="22"/>
                <w:szCs w:val="22"/>
                <w:lang w:val="en-US"/>
              </w:rPr>
              <w:t>,</w:t>
            </w:r>
            <w:r w:rsidRPr="0021277B">
              <w:rPr>
                <w:rFonts w:eastAsia="MS Mincho"/>
                <w:color w:val="000000"/>
                <w:sz w:val="22"/>
                <w:szCs w:val="22"/>
                <w:lang w:val="en-US"/>
              </w:rPr>
              <w:t xml:space="preserve"> with hardly any improvement (Rieman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2015). </w:t>
            </w:r>
          </w:p>
          <w:p w14:paraId="3E44D093"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710259F0"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The general assessment of benthic infaunal biomass indicates that it is high in the Danish part of Kattegat (Gogina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2016)</w:t>
            </w:r>
            <w:r>
              <w:rPr>
                <w:rFonts w:eastAsia="MS Mincho"/>
                <w:color w:val="000000"/>
                <w:sz w:val="22"/>
                <w:szCs w:val="22"/>
                <w:lang w:val="en-US"/>
              </w:rPr>
              <w:t>.</w:t>
            </w:r>
          </w:p>
          <w:p w14:paraId="0241316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7762F14B" w14:textId="77777777" w:rsidTr="00907941">
        <w:tc>
          <w:tcPr>
            <w:tcW w:w="779" w:type="pct"/>
            <w:shd w:val="clear" w:color="auto" w:fill="auto"/>
          </w:tcPr>
          <w:p w14:paraId="301952A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80" w:type="pct"/>
            <w:shd w:val="clear" w:color="auto" w:fill="auto"/>
          </w:tcPr>
          <w:p w14:paraId="56839173"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106FD40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2D24DB1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79F4F78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6" w:type="pct"/>
            <w:gridSpan w:val="2"/>
            <w:shd w:val="clear" w:color="auto" w:fill="auto"/>
          </w:tcPr>
          <w:p w14:paraId="45CA27B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17521A87" w14:textId="77777777" w:rsidTr="00907941">
        <w:tc>
          <w:tcPr>
            <w:tcW w:w="5000" w:type="pct"/>
            <w:gridSpan w:val="11"/>
            <w:shd w:val="clear" w:color="auto" w:fill="auto"/>
          </w:tcPr>
          <w:p w14:paraId="29CFCB93"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23C18DA9"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Pr>
                <w:rFonts w:eastAsia="MS Mincho"/>
                <w:color w:val="000000"/>
                <w:sz w:val="22"/>
                <w:szCs w:val="22"/>
                <w:lang w:val="en-US"/>
              </w:rPr>
              <w:t>High</w:t>
            </w:r>
            <w:r w:rsidRPr="0021277B">
              <w:rPr>
                <w:rFonts w:eastAsia="MS Mincho"/>
                <w:color w:val="000000"/>
                <w:sz w:val="22"/>
                <w:szCs w:val="22"/>
                <w:lang w:val="en-US"/>
              </w:rPr>
              <w:t xml:space="preserve"> number of harbo</w:t>
            </w:r>
            <w:r>
              <w:rPr>
                <w:rFonts w:eastAsia="MS Mincho"/>
                <w:color w:val="000000"/>
                <w:sz w:val="22"/>
                <w:szCs w:val="22"/>
                <w:lang w:val="en-US"/>
              </w:rPr>
              <w:t>u</w:t>
            </w:r>
            <w:r w:rsidRPr="0021277B">
              <w:rPr>
                <w:rFonts w:eastAsia="MS Mincho"/>
                <w:color w:val="000000"/>
                <w:sz w:val="22"/>
                <w:szCs w:val="22"/>
                <w:lang w:val="en-US"/>
              </w:rPr>
              <w:t xml:space="preserve">r porpoise, harbour seals and several bird species. </w:t>
            </w:r>
          </w:p>
          <w:p w14:paraId="53645C44"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Off-shore reefs and bubbling reefs both host </w:t>
            </w:r>
            <w:r w:rsidRPr="007170D3">
              <w:rPr>
                <w:rFonts w:eastAsia="MS Mincho"/>
                <w:color w:val="000000"/>
                <w:sz w:val="22"/>
                <w:szCs w:val="22"/>
                <w:lang w:val="en-US"/>
              </w:rPr>
              <w:t>many</w:t>
            </w:r>
            <w:r w:rsidRPr="0021277B">
              <w:rPr>
                <w:rFonts w:eastAsia="MS Mincho"/>
                <w:color w:val="000000"/>
                <w:sz w:val="22"/>
                <w:szCs w:val="22"/>
                <w:lang w:val="en-US"/>
              </w:rPr>
              <w:t xml:space="preserve"> macroalgal species and hard-substrate species. </w:t>
            </w:r>
          </w:p>
          <w:p w14:paraId="4C348EAB"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r>
      <w:tr w:rsidR="006B3F46" w:rsidRPr="0021277B" w14:paraId="4F3AA4BE" w14:textId="77777777" w:rsidTr="00907941">
        <w:tc>
          <w:tcPr>
            <w:tcW w:w="783" w:type="pct"/>
            <w:shd w:val="clear" w:color="auto" w:fill="auto"/>
          </w:tcPr>
          <w:p w14:paraId="43D06FCE"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95" w:type="pct"/>
            <w:gridSpan w:val="2"/>
            <w:shd w:val="clear" w:color="auto" w:fill="auto"/>
          </w:tcPr>
          <w:p w14:paraId="2E5E059B"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6809E7FE"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53" w:type="pct"/>
            <w:gridSpan w:val="2"/>
            <w:shd w:val="clear" w:color="auto" w:fill="auto"/>
          </w:tcPr>
          <w:p w14:paraId="5F15EF90" w14:textId="77777777" w:rsidR="006B3F46" w:rsidRPr="0021277B" w:rsidRDefault="006B3F46" w:rsidP="00907941">
            <w:pPr>
              <w:widowControl w:val="0"/>
              <w:autoSpaceDE w:val="0"/>
              <w:autoSpaceDN w:val="0"/>
              <w:adjustRightInd w:val="0"/>
              <w:jc w:val="center"/>
              <w:rPr>
                <w:rFonts w:eastAsia="MS Mincho"/>
                <w:color w:val="000000"/>
                <w:sz w:val="22"/>
                <w:szCs w:val="22"/>
                <w:highlight w:val="yellow"/>
                <w:lang w:val="en-US"/>
              </w:rPr>
            </w:pPr>
          </w:p>
        </w:tc>
        <w:tc>
          <w:tcPr>
            <w:tcW w:w="400" w:type="pct"/>
            <w:gridSpan w:val="2"/>
            <w:shd w:val="clear" w:color="auto" w:fill="auto"/>
          </w:tcPr>
          <w:p w14:paraId="67943D8E" w14:textId="77777777" w:rsidR="006B3F46" w:rsidRPr="0021277B" w:rsidRDefault="006B3F46" w:rsidP="00907941">
            <w:pPr>
              <w:widowControl w:val="0"/>
              <w:autoSpaceDE w:val="0"/>
              <w:autoSpaceDN w:val="0"/>
              <w:adjustRightInd w:val="0"/>
              <w:rPr>
                <w:rFonts w:eastAsia="MS Mincho"/>
                <w:color w:val="000000"/>
                <w:sz w:val="22"/>
                <w:szCs w:val="22"/>
                <w:highlight w:val="yellow"/>
                <w:lang w:val="en-US"/>
              </w:rPr>
            </w:pPr>
            <w:r w:rsidRPr="0021277B">
              <w:rPr>
                <w:rFonts w:eastAsia="MS Mincho"/>
                <w:color w:val="000000"/>
                <w:sz w:val="22"/>
                <w:szCs w:val="22"/>
                <w:lang w:val="en-US"/>
              </w:rPr>
              <w:t>X</w:t>
            </w:r>
          </w:p>
        </w:tc>
        <w:tc>
          <w:tcPr>
            <w:tcW w:w="385" w:type="pct"/>
            <w:shd w:val="clear" w:color="auto" w:fill="auto"/>
          </w:tcPr>
          <w:p w14:paraId="3D0A4D0C"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330AF9A6" w14:textId="77777777" w:rsidTr="00907941">
        <w:tc>
          <w:tcPr>
            <w:tcW w:w="5000" w:type="pct"/>
            <w:gridSpan w:val="11"/>
            <w:shd w:val="clear" w:color="auto" w:fill="auto"/>
          </w:tcPr>
          <w:p w14:paraId="17CEEFA2" w14:textId="77777777" w:rsidR="006B3F46" w:rsidRPr="0021277B" w:rsidRDefault="006B3F46" w:rsidP="00907941">
            <w:pPr>
              <w:widowControl w:val="0"/>
              <w:autoSpaceDE w:val="0"/>
              <w:autoSpaceDN w:val="0"/>
              <w:adjustRightInd w:val="0"/>
              <w:jc w:val="both"/>
              <w:rPr>
                <w:rFonts w:eastAsia="MS Mincho"/>
                <w:i/>
                <w:color w:val="000000"/>
                <w:sz w:val="22"/>
                <w:szCs w:val="22"/>
                <w:lang w:val="da-DK"/>
              </w:rPr>
            </w:pPr>
            <w:r w:rsidRPr="0021277B">
              <w:rPr>
                <w:rFonts w:eastAsia="MS Mincho"/>
                <w:i/>
                <w:color w:val="000000"/>
                <w:sz w:val="22"/>
                <w:szCs w:val="22"/>
                <w:lang w:val="da-DK"/>
              </w:rPr>
              <w:t>Explanation for ranking</w:t>
            </w:r>
          </w:p>
          <w:p w14:paraId="78CBCED3"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Coastal areas in Denmark</w:t>
            </w:r>
            <w:r>
              <w:rPr>
                <w:rFonts w:eastAsia="MS Mincho"/>
                <w:color w:val="000000"/>
                <w:sz w:val="22"/>
                <w:szCs w:val="22"/>
                <w:lang w:val="en-US"/>
              </w:rPr>
              <w:t>,</w:t>
            </w:r>
            <w:r w:rsidRPr="0021277B">
              <w:rPr>
                <w:rFonts w:eastAsia="MS Mincho"/>
                <w:color w:val="000000"/>
                <w:sz w:val="22"/>
                <w:szCs w:val="22"/>
                <w:lang w:val="en-US"/>
              </w:rPr>
              <w:t xml:space="preserve"> including Kattegat</w:t>
            </w:r>
            <w:r>
              <w:rPr>
                <w:rFonts w:eastAsia="MS Mincho"/>
                <w:color w:val="000000"/>
                <w:sz w:val="22"/>
                <w:szCs w:val="22"/>
                <w:lang w:val="en-US"/>
              </w:rPr>
              <w:t>,</w:t>
            </w:r>
            <w:r w:rsidRPr="0021277B">
              <w:rPr>
                <w:rFonts w:eastAsia="MS Mincho"/>
                <w:color w:val="000000"/>
                <w:sz w:val="22"/>
                <w:szCs w:val="22"/>
                <w:lang w:val="en-US"/>
              </w:rPr>
              <w:t xml:space="preserve"> are in an oligotrophic state as a result of the Danish action plans from 1988 to reduce nutrient load to marine waters. Several parameters</w:t>
            </w:r>
            <w:r>
              <w:rPr>
                <w:rFonts w:eastAsia="MS Mincho"/>
                <w:color w:val="000000"/>
                <w:sz w:val="22"/>
                <w:szCs w:val="22"/>
                <w:lang w:val="en-US"/>
              </w:rPr>
              <w:t>,</w:t>
            </w:r>
            <w:r w:rsidRPr="0021277B">
              <w:rPr>
                <w:rFonts w:eastAsia="MS Mincho"/>
                <w:color w:val="000000"/>
                <w:sz w:val="22"/>
                <w:szCs w:val="22"/>
                <w:lang w:val="en-US"/>
              </w:rPr>
              <w:t xml:space="preserve"> like marine algal vegetation, level of chlorophyll, reduced benthic biomass and a reduction of filter</w:t>
            </w:r>
            <w:r>
              <w:rPr>
                <w:rFonts w:eastAsia="MS Mincho"/>
                <w:color w:val="000000"/>
                <w:sz w:val="22"/>
                <w:szCs w:val="22"/>
                <w:lang w:val="en-US"/>
              </w:rPr>
              <w:t xml:space="preserve"> </w:t>
            </w:r>
            <w:r w:rsidRPr="0021277B">
              <w:rPr>
                <w:rFonts w:eastAsia="MS Mincho"/>
                <w:color w:val="000000"/>
                <w:sz w:val="22"/>
                <w:szCs w:val="22"/>
                <w:lang w:val="en-US"/>
              </w:rPr>
              <w:t>feeders</w:t>
            </w:r>
            <w:r>
              <w:rPr>
                <w:rFonts w:eastAsia="MS Mincho"/>
                <w:color w:val="000000"/>
                <w:sz w:val="22"/>
                <w:szCs w:val="22"/>
                <w:lang w:val="en-US"/>
              </w:rPr>
              <w:t>,</w:t>
            </w:r>
            <w:r w:rsidRPr="0021277B">
              <w:rPr>
                <w:rFonts w:eastAsia="MS Mincho"/>
                <w:color w:val="000000"/>
                <w:sz w:val="22"/>
                <w:szCs w:val="22"/>
                <w:lang w:val="en-US"/>
              </w:rPr>
              <w:t xml:space="preserve"> are counteracted by increasing deposit feeders.</w:t>
            </w:r>
          </w:p>
          <w:p w14:paraId="3DCA5E9A"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179C0DCB"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No improvements have been seen in oxygen content and eelgrass distribution (Riemann </w:t>
            </w:r>
            <w:r w:rsidRPr="0006066A">
              <w:rPr>
                <w:rFonts w:eastAsia="MS Mincho"/>
                <w:i/>
                <w:color w:val="000000"/>
                <w:sz w:val="22"/>
                <w:szCs w:val="22"/>
                <w:lang w:val="en-US"/>
              </w:rPr>
              <w:t>et al</w:t>
            </w:r>
            <w:r>
              <w:rPr>
                <w:rFonts w:eastAsia="MS Mincho"/>
                <w:color w:val="000000"/>
                <w:sz w:val="22"/>
                <w:szCs w:val="22"/>
                <w:lang w:val="en-US"/>
              </w:rPr>
              <w:t>.</w:t>
            </w:r>
            <w:r w:rsidRPr="0021277B">
              <w:rPr>
                <w:rFonts w:eastAsia="MS Mincho"/>
                <w:color w:val="000000"/>
                <w:sz w:val="22"/>
                <w:szCs w:val="22"/>
                <w:lang w:val="en-US"/>
              </w:rPr>
              <w:t xml:space="preserve"> 2017).</w:t>
            </w:r>
          </w:p>
          <w:p w14:paraId="58C9E209"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53F16370"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Some features can be considered </w:t>
            </w:r>
            <w:r>
              <w:rPr>
                <w:rFonts w:eastAsia="MS Mincho"/>
                <w:color w:val="000000"/>
                <w:sz w:val="22"/>
                <w:szCs w:val="22"/>
                <w:lang w:val="en-US"/>
              </w:rPr>
              <w:t>to</w:t>
            </w:r>
            <w:r w:rsidRPr="0021277B">
              <w:rPr>
                <w:rFonts w:eastAsia="MS Mincho"/>
                <w:color w:val="000000"/>
                <w:sz w:val="22"/>
                <w:szCs w:val="22"/>
                <w:lang w:val="en-US"/>
              </w:rPr>
              <w:t xml:space="preserve"> hav</w:t>
            </w:r>
            <w:r>
              <w:rPr>
                <w:rFonts w:eastAsia="MS Mincho"/>
                <w:color w:val="000000"/>
                <w:sz w:val="22"/>
                <w:szCs w:val="22"/>
                <w:lang w:val="en-US"/>
              </w:rPr>
              <w:t>e</w:t>
            </w:r>
            <w:r w:rsidRPr="0021277B">
              <w:rPr>
                <w:rFonts w:eastAsia="MS Mincho"/>
                <w:color w:val="000000"/>
                <w:sz w:val="22"/>
                <w:szCs w:val="22"/>
                <w:lang w:val="en-US"/>
              </w:rPr>
              <w:t xml:space="preserve"> a high naturalness</w:t>
            </w:r>
            <w:r>
              <w:rPr>
                <w:rFonts w:eastAsia="MS Mincho"/>
                <w:color w:val="000000"/>
                <w:sz w:val="22"/>
                <w:szCs w:val="22"/>
                <w:lang w:val="en-US"/>
              </w:rPr>
              <w:t xml:space="preserve"> rating</w:t>
            </w:r>
            <w:r w:rsidRPr="0021277B">
              <w:rPr>
                <w:rFonts w:eastAsia="MS Mincho"/>
                <w:color w:val="000000"/>
                <w:sz w:val="22"/>
                <w:szCs w:val="22"/>
                <w:lang w:val="en-US"/>
              </w:rPr>
              <w:t>, such as bubbling reef sites, offshore reef areas</w:t>
            </w:r>
            <w:r>
              <w:rPr>
                <w:rFonts w:eastAsia="MS Mincho"/>
                <w:color w:val="000000"/>
                <w:sz w:val="22"/>
                <w:szCs w:val="22"/>
                <w:lang w:val="en-US"/>
              </w:rPr>
              <w:t xml:space="preserve"> and</w:t>
            </w:r>
            <w:r w:rsidRPr="0021277B">
              <w:rPr>
                <w:rFonts w:eastAsia="MS Mincho"/>
                <w:color w:val="000000"/>
                <w:sz w:val="22"/>
                <w:szCs w:val="22"/>
                <w:lang w:val="en-US"/>
              </w:rPr>
              <w:t xml:space="preserve"> seal haul</w:t>
            </w:r>
            <w:r>
              <w:rPr>
                <w:rFonts w:eastAsia="MS Mincho"/>
                <w:color w:val="000000"/>
                <w:sz w:val="22"/>
                <w:szCs w:val="22"/>
                <w:lang w:val="en-US"/>
              </w:rPr>
              <w:t xml:space="preserve"> </w:t>
            </w:r>
            <w:r w:rsidRPr="0021277B">
              <w:rPr>
                <w:rFonts w:eastAsia="MS Mincho"/>
                <w:color w:val="000000"/>
                <w:sz w:val="22"/>
                <w:szCs w:val="22"/>
                <w:lang w:val="en-US"/>
              </w:rPr>
              <w:t xml:space="preserve">outs on the eastern spit of the island Anholt and the southern part of Læsø. </w:t>
            </w:r>
          </w:p>
          <w:p w14:paraId="6E80964D"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56130746"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The shallow water in the western Kattegat</w:t>
            </w:r>
            <w:r>
              <w:rPr>
                <w:rFonts w:eastAsia="MS Mincho"/>
                <w:color w:val="000000"/>
                <w:sz w:val="22"/>
                <w:szCs w:val="22"/>
                <w:lang w:val="en-US"/>
              </w:rPr>
              <w:t>,</w:t>
            </w:r>
            <w:r w:rsidRPr="0021277B">
              <w:rPr>
                <w:rFonts w:eastAsia="MS Mincho"/>
                <w:color w:val="000000"/>
                <w:sz w:val="22"/>
                <w:szCs w:val="22"/>
                <w:lang w:val="en-US"/>
              </w:rPr>
              <w:t xml:space="preserve"> especially the area south of the island Læsø</w:t>
            </w:r>
            <w:r>
              <w:rPr>
                <w:rFonts w:eastAsia="MS Mincho"/>
                <w:color w:val="000000"/>
                <w:sz w:val="22"/>
                <w:szCs w:val="22"/>
                <w:lang w:val="en-US"/>
              </w:rPr>
              <w:t>,</w:t>
            </w:r>
            <w:r w:rsidRPr="0021277B">
              <w:rPr>
                <w:rFonts w:eastAsia="MS Mincho"/>
                <w:color w:val="000000"/>
                <w:sz w:val="22"/>
                <w:szCs w:val="22"/>
                <w:lang w:val="en-US"/>
              </w:rPr>
              <w:t xml:space="preserve"> is important for benthic</w:t>
            </w:r>
            <w:r>
              <w:rPr>
                <w:rFonts w:eastAsia="MS Mincho"/>
                <w:color w:val="000000"/>
                <w:sz w:val="22"/>
                <w:szCs w:val="22"/>
                <w:lang w:val="en-US"/>
              </w:rPr>
              <w:t>-</w:t>
            </w:r>
            <w:r w:rsidRPr="0021277B">
              <w:rPr>
                <w:rFonts w:eastAsia="MS Mincho"/>
                <w:color w:val="000000"/>
                <w:sz w:val="22"/>
                <w:szCs w:val="22"/>
                <w:lang w:val="en-US"/>
              </w:rPr>
              <w:t xml:space="preserve">feeding bird species, particularly in the moulting season, </w:t>
            </w:r>
            <w:r>
              <w:rPr>
                <w:rFonts w:eastAsia="MS Mincho"/>
                <w:color w:val="000000"/>
                <w:sz w:val="22"/>
                <w:szCs w:val="22"/>
                <w:lang w:val="en-US"/>
              </w:rPr>
              <w:t xml:space="preserve">and </w:t>
            </w:r>
            <w:r w:rsidRPr="0021277B">
              <w:rPr>
                <w:rFonts w:eastAsia="MS Mincho"/>
                <w:color w:val="000000"/>
                <w:sz w:val="22"/>
                <w:szCs w:val="22"/>
                <w:lang w:val="en-US"/>
              </w:rPr>
              <w:t xml:space="preserve">can be considered </w:t>
            </w:r>
            <w:r>
              <w:rPr>
                <w:rFonts w:eastAsia="MS Mincho"/>
                <w:color w:val="000000"/>
                <w:sz w:val="22"/>
                <w:szCs w:val="22"/>
                <w:lang w:val="en-US"/>
              </w:rPr>
              <w:t>to</w:t>
            </w:r>
            <w:r w:rsidRPr="0021277B">
              <w:rPr>
                <w:rFonts w:eastAsia="MS Mincho"/>
                <w:color w:val="000000"/>
                <w:sz w:val="22"/>
                <w:szCs w:val="22"/>
                <w:lang w:val="en-US"/>
              </w:rPr>
              <w:t xml:space="preserve"> hav</w:t>
            </w:r>
            <w:r>
              <w:rPr>
                <w:rFonts w:eastAsia="MS Mincho"/>
                <w:color w:val="000000"/>
                <w:sz w:val="22"/>
                <w:szCs w:val="22"/>
                <w:lang w:val="en-US"/>
              </w:rPr>
              <w:t>e</w:t>
            </w:r>
            <w:r w:rsidRPr="0021277B">
              <w:rPr>
                <w:rFonts w:eastAsia="MS Mincho"/>
                <w:color w:val="000000"/>
                <w:sz w:val="22"/>
                <w:szCs w:val="22"/>
                <w:lang w:val="en-US"/>
              </w:rPr>
              <w:t xml:space="preserve"> a high degree of naturalness, as human access is limited due to the shallow waters, and thus birds experience reduced human disturbance.</w:t>
            </w:r>
          </w:p>
        </w:tc>
      </w:tr>
    </w:tbl>
    <w:p w14:paraId="47181A63"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02B933F1"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160A4E37" w14:textId="77777777" w:rsidR="006B3F46" w:rsidRPr="009978E3" w:rsidRDefault="006B3F46" w:rsidP="00907941">
      <w:pPr>
        <w:rPr>
          <w:rFonts w:eastAsia="MS Mincho"/>
          <w:b/>
          <w:sz w:val="22"/>
          <w:szCs w:val="22"/>
          <w:lang w:val="en-US"/>
        </w:rPr>
      </w:pPr>
      <w:r w:rsidRPr="009978E3">
        <w:rPr>
          <w:rFonts w:eastAsia="MS Mincho"/>
          <w:b/>
          <w:sz w:val="22"/>
          <w:szCs w:val="22"/>
          <w:lang w:val="en-US"/>
        </w:rPr>
        <w:t>References</w:t>
      </w:r>
    </w:p>
    <w:p w14:paraId="24674729" w14:textId="77777777" w:rsidR="006B3F46" w:rsidRPr="009978E3" w:rsidRDefault="006B3F46" w:rsidP="00907941">
      <w:pPr>
        <w:ind w:left="720" w:hanging="720"/>
        <w:jc w:val="both"/>
        <w:rPr>
          <w:rFonts w:eastAsia="MS Mincho"/>
          <w:sz w:val="22"/>
          <w:szCs w:val="22"/>
          <w:lang w:val="en-US"/>
        </w:rPr>
      </w:pPr>
      <w:r w:rsidRPr="009978E3">
        <w:rPr>
          <w:rFonts w:eastAsia="MS Mincho"/>
          <w:sz w:val="22"/>
          <w:szCs w:val="22"/>
          <w:lang w:val="en-US"/>
        </w:rPr>
        <w:t>Anon 2018</w:t>
      </w:r>
      <w:r>
        <w:rPr>
          <w:rFonts w:eastAsia="MS Mincho"/>
          <w:sz w:val="22"/>
          <w:szCs w:val="22"/>
          <w:lang w:val="en-US"/>
        </w:rPr>
        <w:t>.</w:t>
      </w:r>
      <w:r w:rsidRPr="009978E3">
        <w:rPr>
          <w:rFonts w:eastAsia="MS Mincho"/>
          <w:sz w:val="22"/>
          <w:szCs w:val="22"/>
          <w:lang w:val="en-US"/>
        </w:rPr>
        <w:t xml:space="preserve"> Report of the working group on Nephrops Surveys (WGNEPS) ICES WGNEPS Report 2018. ICES CM 2018/EOSG:18</w:t>
      </w:r>
    </w:p>
    <w:p w14:paraId="2921BCB3" w14:textId="77777777" w:rsidR="006B3F46" w:rsidRPr="009978E3" w:rsidRDefault="006B3F46" w:rsidP="00907941">
      <w:pPr>
        <w:widowControl w:val="0"/>
        <w:autoSpaceDE w:val="0"/>
        <w:autoSpaceDN w:val="0"/>
        <w:adjustRightInd w:val="0"/>
        <w:ind w:left="720" w:hanging="720"/>
        <w:jc w:val="both"/>
        <w:rPr>
          <w:rFonts w:eastAsia="MS Mincho"/>
          <w:color w:val="000000"/>
          <w:sz w:val="22"/>
          <w:szCs w:val="22"/>
          <w:lang w:val="en-US"/>
        </w:rPr>
      </w:pPr>
      <w:r w:rsidRPr="009978E3">
        <w:rPr>
          <w:color w:val="000000"/>
          <w:sz w:val="22"/>
          <w:szCs w:val="22"/>
        </w:rPr>
        <w:t>Boge, E. 2019. The return of the Atlantic bluefin tuna to Norwegian waters. - Master thesis in Fisheries Biology and Management, Department of Biological Sciences University of Bergen. 84 pp</w:t>
      </w:r>
    </w:p>
    <w:p w14:paraId="0E50D97A" w14:textId="77777777" w:rsidR="006B3F46" w:rsidRPr="00F66EF7" w:rsidRDefault="006B3F46" w:rsidP="00907941">
      <w:pPr>
        <w:ind w:left="720" w:hanging="720"/>
        <w:jc w:val="both"/>
        <w:rPr>
          <w:rFonts w:eastAsia="MS Mincho"/>
          <w:sz w:val="22"/>
          <w:szCs w:val="22"/>
          <w:lang w:val="en-US"/>
        </w:rPr>
      </w:pPr>
      <w:r w:rsidRPr="009978E3">
        <w:rPr>
          <w:rFonts w:eastAsia="MS Mincho"/>
          <w:sz w:val="22"/>
          <w:szCs w:val="22"/>
          <w:lang w:val="en"/>
        </w:rPr>
        <w:t>Boström, C. , Baden, S. , Bockelmann, A. , Dromph, K. , Fredriksen, S. , Gustafsson, C. , Krause</w:t>
      </w:r>
      <w:r w:rsidRPr="0021277B">
        <w:rPr>
          <w:rFonts w:ascii="Cambria Math" w:eastAsia="MS Mincho" w:hAnsi="Cambria Math" w:cs="Cambria Math"/>
          <w:sz w:val="22"/>
          <w:szCs w:val="22"/>
          <w:lang w:val="en"/>
        </w:rPr>
        <w:t>‐</w:t>
      </w:r>
      <w:r w:rsidRPr="00F66EF7">
        <w:rPr>
          <w:rFonts w:eastAsia="MS Mincho"/>
          <w:sz w:val="22"/>
          <w:szCs w:val="22"/>
          <w:lang w:val="en"/>
        </w:rPr>
        <w:t>Jensen, D. , Möller, T. , Nielsen, S. L., Olesen, B. , Olsen, J. , Pihl, L. and Rinde,</w:t>
      </w:r>
      <w:r w:rsidRPr="009978E3">
        <w:rPr>
          <w:rFonts w:eastAsia="MS Mincho"/>
          <w:sz w:val="22"/>
          <w:szCs w:val="22"/>
          <w:lang w:val="en"/>
        </w:rPr>
        <w:t xml:space="preserve"> E. (2014), Distribution, structure and function of Nordic eelgrass </w:t>
      </w:r>
      <w:r w:rsidRPr="009978E3">
        <w:rPr>
          <w:rFonts w:eastAsia="MS Mincho"/>
          <w:i/>
          <w:iCs/>
          <w:sz w:val="22"/>
          <w:szCs w:val="22"/>
          <w:lang w:val="en"/>
        </w:rPr>
        <w:t>(Zostera marina)</w:t>
      </w:r>
      <w:r w:rsidRPr="009978E3">
        <w:rPr>
          <w:rFonts w:eastAsia="MS Mincho"/>
          <w:sz w:val="22"/>
          <w:szCs w:val="22"/>
          <w:lang w:val="en"/>
        </w:rPr>
        <w:t xml:space="preserve"> ecosystems: implications for coastal management and conservation. Aquatic Conserv: Mar. Freshw. Ecosyst., 24: 410-434. doi:</w:t>
      </w:r>
      <w:hyperlink r:id="rId98" w:history="1">
        <w:r w:rsidRPr="00F66EF7">
          <w:rPr>
            <w:rStyle w:val="Hyperlink"/>
            <w:rFonts w:eastAsia="MS Mincho"/>
            <w:sz w:val="22"/>
            <w:szCs w:val="22"/>
            <w:lang w:val="en"/>
          </w:rPr>
          <w:t>10.1002/aqc.2424</w:t>
        </w:r>
      </w:hyperlink>
    </w:p>
    <w:p w14:paraId="4EB3C482" w14:textId="77777777" w:rsidR="006B3F46" w:rsidRPr="009978E3" w:rsidRDefault="006B3F46" w:rsidP="00907941">
      <w:pPr>
        <w:ind w:left="720" w:hanging="720"/>
        <w:jc w:val="both"/>
        <w:rPr>
          <w:rFonts w:eastAsia="MS Mincho"/>
          <w:sz w:val="22"/>
          <w:szCs w:val="22"/>
          <w:lang w:val="en"/>
        </w:rPr>
      </w:pPr>
      <w:r w:rsidRPr="009978E3">
        <w:rPr>
          <w:rFonts w:eastAsia="MS Mincho"/>
          <w:sz w:val="22"/>
          <w:szCs w:val="22"/>
          <w:lang w:val="it-IT"/>
        </w:rPr>
        <w:t>Dahl, K., Josefson, A.B., Göke, C., Aagaard Christensen, J.P., Hansen, J.L.S., Markager, S., Rasmussen, M.B., Dromph, K., Tian, T., Wan, Z., Krämer, I., Viitasalo, M., Kostamo, K., Borenäs, K., Bendtsen, J., Springe, G., Bonsdorff, E..</w:t>
      </w:r>
      <w:r w:rsidRPr="009978E3">
        <w:rPr>
          <w:rFonts w:eastAsia="MS Mincho"/>
          <w:sz w:val="22"/>
          <w:szCs w:val="22"/>
          <w:lang w:val="da-DK"/>
        </w:rPr>
        <w:t xml:space="preserve"> </w:t>
      </w:r>
      <w:r w:rsidRPr="009978E3">
        <w:rPr>
          <w:rFonts w:eastAsia="MS Mincho"/>
          <w:i/>
          <w:iCs/>
          <w:sz w:val="22"/>
          <w:szCs w:val="22"/>
          <w:lang w:val="en"/>
        </w:rPr>
        <w:t>Climate Change Impacts on Marine Biodiversity and Habitats in the Baltic Sea - and Possible Human Adaptations.</w:t>
      </w:r>
      <w:r w:rsidRPr="009978E3">
        <w:rPr>
          <w:rFonts w:eastAsia="MS Mincho"/>
          <w:sz w:val="22"/>
          <w:szCs w:val="22"/>
          <w:lang w:val="en"/>
        </w:rPr>
        <w:t xml:space="preserve"> </w:t>
      </w:r>
      <w:r w:rsidRPr="009978E3">
        <w:rPr>
          <w:rFonts w:eastAsia="MS Mincho"/>
          <w:sz w:val="22"/>
          <w:szCs w:val="22"/>
          <w:lang w:val="da-DK"/>
        </w:rPr>
        <w:t xml:space="preserve">In: O. Krarup Leth, K. Dahl, H. Peltonen, I. Krämer &amp; L. Kūle (eds.). </w:t>
      </w:r>
      <w:r w:rsidRPr="009978E3">
        <w:rPr>
          <w:rFonts w:eastAsia="MS Mincho"/>
          <w:i/>
          <w:iCs/>
          <w:sz w:val="22"/>
          <w:szCs w:val="22"/>
          <w:lang w:val="en"/>
        </w:rPr>
        <w:t>Sectoral Impact Assessments for the Baltic Sea Region - Climate Change Impacts on Biodiversity, Fisheries, Coastal Infrastructure and Tourism.</w:t>
      </w:r>
      <w:r w:rsidRPr="009978E3">
        <w:rPr>
          <w:rFonts w:eastAsia="MS Mincho"/>
          <w:sz w:val="22"/>
          <w:szCs w:val="22"/>
          <w:lang w:val="en"/>
        </w:rPr>
        <w:t xml:space="preserve"> Coastline Reports (21), pp. 1-34. EUCC - Die Küsten Union Deutschland e.V., Rostock, 2013.</w:t>
      </w:r>
    </w:p>
    <w:p w14:paraId="618688FD" w14:textId="77777777" w:rsidR="006B3F46" w:rsidRPr="00F66EF7" w:rsidRDefault="006B3F46" w:rsidP="00907941">
      <w:pPr>
        <w:ind w:left="720" w:hanging="720"/>
        <w:jc w:val="both"/>
        <w:rPr>
          <w:rFonts w:eastAsia="MS Mincho"/>
          <w:sz w:val="22"/>
          <w:szCs w:val="22"/>
          <w:lang w:val="da-DK"/>
        </w:rPr>
      </w:pPr>
      <w:r w:rsidRPr="009978E3">
        <w:rPr>
          <w:rFonts w:eastAsia="MS Mincho"/>
          <w:sz w:val="22"/>
          <w:szCs w:val="22"/>
          <w:lang w:val="en-US"/>
        </w:rPr>
        <w:t xml:space="preserve">Dahl, K. and Petersen, J.K. (2018). </w:t>
      </w:r>
      <w:r w:rsidRPr="009978E3">
        <w:rPr>
          <w:rFonts w:eastAsia="MS Mincho"/>
          <w:sz w:val="22"/>
          <w:szCs w:val="22"/>
          <w:lang w:val="da-DK"/>
        </w:rPr>
        <w:t xml:space="preserve">Definition af biogene rev. Miljøprojekt nr. 1992. Miljøstyrelsen </w:t>
      </w:r>
      <w:hyperlink r:id="rId99" w:history="1">
        <w:r w:rsidRPr="00F66EF7">
          <w:rPr>
            <w:rStyle w:val="Hyperlink"/>
            <w:rFonts w:eastAsia="MS Mincho"/>
            <w:sz w:val="22"/>
            <w:szCs w:val="22"/>
            <w:lang w:val="da-DK"/>
          </w:rPr>
          <w:t>https://www2.mst.dk/Udgiv/publikationer/2018/03/978-87-93614-88-8.pdf</w:t>
        </w:r>
      </w:hyperlink>
    </w:p>
    <w:p w14:paraId="014242FB"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 xml:space="preserve">Carstensen J &amp; Dahl K. (2019). </w:t>
      </w:r>
      <w:r w:rsidRPr="009978E3">
        <w:rPr>
          <w:rFonts w:eastAsia="MS Mincho"/>
          <w:sz w:val="22"/>
          <w:szCs w:val="22"/>
          <w:lang w:val="en-US"/>
        </w:rPr>
        <w:t xml:space="preserve">Macroalgal indicators for Danish Natura 2000 habitats. Aarhus University, DCE – Danish Centre for Environment and Energy, 45 pp. </w:t>
      </w:r>
      <w:r w:rsidRPr="009978E3">
        <w:rPr>
          <w:rFonts w:eastAsia="MS Mincho"/>
          <w:sz w:val="22"/>
          <w:szCs w:val="22"/>
          <w:lang w:val="da-DK"/>
        </w:rPr>
        <w:t>Technical Report No. 142.</w:t>
      </w:r>
    </w:p>
    <w:p w14:paraId="66104E54" w14:textId="77777777" w:rsidR="006B3F46" w:rsidRPr="00F66EF7" w:rsidRDefault="009E53BE" w:rsidP="00907941">
      <w:pPr>
        <w:ind w:left="720"/>
        <w:jc w:val="both"/>
        <w:rPr>
          <w:rFonts w:eastAsia="MS Mincho"/>
          <w:sz w:val="22"/>
          <w:szCs w:val="22"/>
          <w:lang w:val="da-DK"/>
        </w:rPr>
      </w:pPr>
      <w:hyperlink r:id="rId100" w:history="1">
        <w:r w:rsidR="006B3F46" w:rsidRPr="007170D3">
          <w:rPr>
            <w:rStyle w:val="Hyperlink"/>
            <w:rFonts w:eastAsia="MS Mincho"/>
            <w:sz w:val="22"/>
            <w:szCs w:val="22"/>
            <w:lang w:val="da-DK"/>
          </w:rPr>
          <w:t>http://dce2.au.dk/pub/TR142.pdf</w:t>
        </w:r>
      </w:hyperlink>
    </w:p>
    <w:p w14:paraId="1A99E0BC" w14:textId="77777777" w:rsidR="006B3F46" w:rsidRPr="009978E3" w:rsidRDefault="006B3F46" w:rsidP="00907941">
      <w:pPr>
        <w:ind w:left="720" w:hanging="720"/>
        <w:jc w:val="both"/>
        <w:rPr>
          <w:rFonts w:eastAsia="MS Mincho"/>
          <w:sz w:val="22"/>
          <w:szCs w:val="22"/>
        </w:rPr>
      </w:pPr>
      <w:r w:rsidRPr="009978E3">
        <w:rPr>
          <w:rFonts w:eastAsia="MS Mincho"/>
          <w:sz w:val="22"/>
          <w:szCs w:val="22"/>
        </w:rPr>
        <w:t xml:space="preserve">Dierschke, V. (2002): </w:t>
      </w:r>
      <w:r w:rsidRPr="009978E3">
        <w:rPr>
          <w:rFonts w:eastAsia="MS Mincho"/>
          <w:bCs/>
          <w:sz w:val="22"/>
          <w:szCs w:val="22"/>
        </w:rPr>
        <w:t xml:space="preserve">Durchzug von Sterntauchern </w:t>
      </w:r>
      <w:r w:rsidRPr="009978E3">
        <w:rPr>
          <w:rFonts w:eastAsia="MS Mincho"/>
          <w:bCs/>
          <w:i/>
          <w:iCs/>
          <w:sz w:val="22"/>
          <w:szCs w:val="22"/>
        </w:rPr>
        <w:t xml:space="preserve">Gavia stellata </w:t>
      </w:r>
      <w:r w:rsidRPr="009978E3">
        <w:rPr>
          <w:rFonts w:eastAsia="MS Mincho"/>
          <w:bCs/>
          <w:sz w:val="22"/>
          <w:szCs w:val="22"/>
        </w:rPr>
        <w:t xml:space="preserve">und Prachttauchern </w:t>
      </w:r>
      <w:r w:rsidRPr="009978E3">
        <w:rPr>
          <w:rFonts w:eastAsia="MS Mincho"/>
          <w:bCs/>
          <w:i/>
          <w:iCs/>
          <w:sz w:val="22"/>
          <w:szCs w:val="22"/>
        </w:rPr>
        <w:t xml:space="preserve">G. arctica </w:t>
      </w:r>
      <w:r w:rsidRPr="009978E3">
        <w:rPr>
          <w:rFonts w:eastAsia="MS Mincho"/>
          <w:bCs/>
          <w:sz w:val="22"/>
          <w:szCs w:val="22"/>
        </w:rPr>
        <w:t xml:space="preserve">in der Deutschen Bucht bei Helgoland. - </w:t>
      </w:r>
      <w:r w:rsidRPr="009978E3">
        <w:rPr>
          <w:rFonts w:eastAsia="MS Mincho"/>
          <w:sz w:val="22"/>
          <w:szCs w:val="22"/>
        </w:rPr>
        <w:t>Vogelwelt 123: 203 – 211.</w:t>
      </w:r>
    </w:p>
    <w:p w14:paraId="1C4F40AD" w14:textId="77777777" w:rsidR="006B3F46" w:rsidRPr="009978E3" w:rsidRDefault="006B3F46" w:rsidP="00907941">
      <w:pPr>
        <w:ind w:left="720" w:hanging="720"/>
        <w:jc w:val="both"/>
        <w:rPr>
          <w:rFonts w:eastAsia="MS Mincho"/>
          <w:sz w:val="22"/>
          <w:szCs w:val="22"/>
          <w:lang w:val="en-US"/>
        </w:rPr>
      </w:pPr>
      <w:r w:rsidRPr="009978E3">
        <w:rPr>
          <w:rFonts w:eastAsia="MS Mincho"/>
          <w:sz w:val="22"/>
          <w:szCs w:val="22"/>
        </w:rPr>
        <w:t xml:space="preserve">Fox, A.D., Hartmann, P. &amp; Petersen, I.K. 2008. </w:t>
      </w:r>
      <w:r w:rsidRPr="009978E3">
        <w:rPr>
          <w:rFonts w:eastAsia="MS Mincho"/>
          <w:sz w:val="22"/>
          <w:szCs w:val="22"/>
          <w:lang w:val="en-US"/>
        </w:rPr>
        <w:t>Changes in body mass and organ size during remigial moult in common scoter Melanitta nigra. - J. Avian Biol. 39: 35_40</w:t>
      </w:r>
    </w:p>
    <w:p w14:paraId="2770DF0D"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en-US"/>
        </w:rPr>
        <w:t>Dinesen G.E. and Morton B. (2014) Review of the functional morphology,</w:t>
      </w:r>
      <w:r>
        <w:rPr>
          <w:rFonts w:eastAsia="MS Mincho"/>
          <w:sz w:val="22"/>
          <w:szCs w:val="22"/>
          <w:lang w:val="en-US"/>
        </w:rPr>
        <w:t xml:space="preserve"> </w:t>
      </w:r>
      <w:r w:rsidRPr="009978E3">
        <w:rPr>
          <w:rFonts w:eastAsia="MS Mincho"/>
          <w:sz w:val="22"/>
          <w:szCs w:val="22"/>
          <w:lang w:val="en-US"/>
        </w:rPr>
        <w:t xml:space="preserve">biology and perturbation impacts on the boreal, habitat-forming horse mussel </w:t>
      </w:r>
      <w:r w:rsidRPr="009978E3">
        <w:rPr>
          <w:rFonts w:eastAsia="MS Mincho"/>
          <w:i/>
          <w:iCs/>
          <w:sz w:val="22"/>
          <w:szCs w:val="22"/>
          <w:lang w:val="en-US"/>
        </w:rPr>
        <w:t>Modiolus</w:t>
      </w:r>
      <w:r>
        <w:rPr>
          <w:rFonts w:eastAsia="MS Mincho"/>
          <w:i/>
          <w:iCs/>
          <w:sz w:val="22"/>
          <w:szCs w:val="22"/>
          <w:lang w:val="en-US"/>
        </w:rPr>
        <w:t xml:space="preserve"> </w:t>
      </w:r>
      <w:r w:rsidRPr="009978E3">
        <w:rPr>
          <w:rFonts w:eastAsia="MS Mincho"/>
          <w:i/>
          <w:iCs/>
          <w:sz w:val="22"/>
          <w:szCs w:val="22"/>
          <w:lang w:val="en-US"/>
        </w:rPr>
        <w:t xml:space="preserve">modiolus </w:t>
      </w:r>
      <w:r w:rsidRPr="009978E3">
        <w:rPr>
          <w:rFonts w:eastAsia="MS Mincho"/>
          <w:sz w:val="22"/>
          <w:szCs w:val="22"/>
          <w:lang w:val="en-US"/>
        </w:rPr>
        <w:t>(Bivalvia: Mytilidae: Modiolinae), Marine Biology Research, 10:9, 845-870, DOI:</w:t>
      </w:r>
      <w:r>
        <w:rPr>
          <w:rFonts w:eastAsia="MS Mincho"/>
          <w:sz w:val="22"/>
          <w:szCs w:val="22"/>
          <w:lang w:val="en-US"/>
        </w:rPr>
        <w:t xml:space="preserve"> </w:t>
      </w:r>
      <w:r w:rsidRPr="009978E3">
        <w:rPr>
          <w:rFonts w:eastAsia="MS Mincho"/>
          <w:sz w:val="22"/>
          <w:szCs w:val="22"/>
          <w:lang w:val="da-DK"/>
        </w:rPr>
        <w:t>10.1080/17451000.2013.866250</w:t>
      </w:r>
    </w:p>
    <w:p w14:paraId="3029C406" w14:textId="77777777" w:rsidR="006B3F46" w:rsidRPr="009978E3" w:rsidRDefault="006B3F46" w:rsidP="00907941">
      <w:pPr>
        <w:ind w:left="720" w:hanging="720"/>
        <w:jc w:val="both"/>
        <w:rPr>
          <w:rFonts w:eastAsia="MS Mincho"/>
          <w:sz w:val="22"/>
          <w:szCs w:val="22"/>
          <w:lang w:val="sv-SE"/>
        </w:rPr>
      </w:pPr>
      <w:r w:rsidRPr="009978E3">
        <w:rPr>
          <w:rFonts w:eastAsia="MS Mincho"/>
          <w:sz w:val="22"/>
          <w:szCs w:val="22"/>
          <w:lang w:val="da-DK"/>
        </w:rPr>
        <w:t xml:space="preserve">Göransson P., Bertilsson Vuksan S., Karlfelt J. &amp; Börjesson L. 2010. </w:t>
      </w:r>
      <w:r w:rsidRPr="009978E3">
        <w:rPr>
          <w:rFonts w:eastAsia="MS Mincho"/>
          <w:sz w:val="22"/>
          <w:szCs w:val="22"/>
          <w:lang w:val="sv-SE"/>
        </w:rPr>
        <w:t>Haploops- och Modiolus-samhället utanför Helsingborg 2000-2009. Miljönämnden i Helsingborg.</w:t>
      </w:r>
    </w:p>
    <w:p w14:paraId="4D51ECE6" w14:textId="77777777" w:rsidR="006B3F46" w:rsidRPr="009978E3" w:rsidRDefault="006B3F46" w:rsidP="00907941">
      <w:pPr>
        <w:ind w:left="720" w:hanging="720"/>
        <w:jc w:val="both"/>
        <w:rPr>
          <w:rFonts w:eastAsia="MS Mincho"/>
          <w:sz w:val="22"/>
          <w:szCs w:val="22"/>
          <w:lang w:val="en-US"/>
        </w:rPr>
      </w:pPr>
      <w:r w:rsidRPr="009978E3">
        <w:rPr>
          <w:rFonts w:eastAsia="MS Mincho"/>
          <w:sz w:val="22"/>
          <w:szCs w:val="22"/>
          <w:lang w:val="sv-SE"/>
        </w:rPr>
        <w:t xml:space="preserve">Gogina, M., H. Nygård, M. Blomqvist, D. Daunys, A. B. Josefson, J. Kotta, A. Maximov, J. Warzocha, V. Yermakov, U. Gr+ñwe, and M. L. Zettler 2016. </w:t>
      </w:r>
      <w:r w:rsidRPr="009978E3">
        <w:rPr>
          <w:rFonts w:eastAsia="MS Mincho"/>
          <w:sz w:val="22"/>
          <w:szCs w:val="22"/>
          <w:lang w:val="en-US"/>
        </w:rPr>
        <w:t>The Baltic Sea scale inventory of benthic faunal communities. Ices Journal</w:t>
      </w:r>
      <w:r>
        <w:rPr>
          <w:rFonts w:eastAsia="MS Mincho"/>
          <w:sz w:val="22"/>
          <w:szCs w:val="22"/>
          <w:lang w:val="en-US"/>
        </w:rPr>
        <w:t xml:space="preserve"> o</w:t>
      </w:r>
      <w:r w:rsidRPr="009978E3">
        <w:rPr>
          <w:rFonts w:eastAsia="MS Mincho"/>
          <w:sz w:val="22"/>
          <w:szCs w:val="22"/>
          <w:lang w:val="en-US"/>
        </w:rPr>
        <w:t xml:space="preserve">f Marine Science </w:t>
      </w:r>
      <w:r w:rsidRPr="009978E3">
        <w:rPr>
          <w:rFonts w:eastAsia="MS Mincho"/>
          <w:b/>
          <w:bCs/>
          <w:sz w:val="22"/>
          <w:szCs w:val="22"/>
          <w:lang w:val="en-US"/>
        </w:rPr>
        <w:t>73</w:t>
      </w:r>
      <w:r w:rsidRPr="009978E3">
        <w:rPr>
          <w:rFonts w:eastAsia="MS Mincho"/>
          <w:sz w:val="22"/>
          <w:szCs w:val="22"/>
          <w:lang w:val="en-US"/>
        </w:rPr>
        <w:t>: 1196-1213.</w:t>
      </w:r>
    </w:p>
    <w:p w14:paraId="5AFA21C6"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Hansen, J.L.S. &amp; Blomqvist, M. 2018. Effekt af bundtrawling på bundfauna-samfund i</w:t>
      </w:r>
      <w:r>
        <w:rPr>
          <w:rFonts w:eastAsia="MS Mincho"/>
          <w:sz w:val="22"/>
          <w:szCs w:val="22"/>
          <w:lang w:val="da-DK"/>
        </w:rPr>
        <w:t xml:space="preserve"> </w:t>
      </w:r>
      <w:r w:rsidRPr="009978E3">
        <w:rPr>
          <w:rFonts w:eastAsia="MS Mincho"/>
          <w:sz w:val="22"/>
          <w:szCs w:val="22"/>
          <w:lang w:val="da-DK"/>
        </w:rPr>
        <w:t>Kattegat - undersøgt med forskellige bundfaunaindeks baseret på NOVANAovervågningsdata.</w:t>
      </w:r>
    </w:p>
    <w:p w14:paraId="48EE8A30"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Aarhus Universitet, DCE – Nationalt Center for Miljø og Energi, 46 s. - Videnskabelig rapport fra DCE - Nationalt Center for Miljø og Energi nr. 256. http://dce2.au.dk/pub/SR256.pdf</w:t>
      </w:r>
    </w:p>
    <w:p w14:paraId="02382470" w14:textId="77777777" w:rsidR="006B3F46" w:rsidRPr="009978E3" w:rsidRDefault="006B3F46" w:rsidP="00907941">
      <w:pPr>
        <w:ind w:left="720" w:hanging="720"/>
        <w:jc w:val="both"/>
        <w:rPr>
          <w:rFonts w:eastAsia="MS Mincho"/>
          <w:sz w:val="22"/>
          <w:szCs w:val="22"/>
          <w:lang w:val="en-US"/>
        </w:rPr>
      </w:pPr>
      <w:r w:rsidRPr="009978E3">
        <w:rPr>
          <w:rFonts w:eastAsia="MS Mincho"/>
          <w:sz w:val="22"/>
          <w:szCs w:val="22"/>
          <w:lang w:val="en-US"/>
        </w:rPr>
        <w:t xml:space="preserve">HELCOM (2013a). </w:t>
      </w:r>
      <w:r w:rsidRPr="009978E3">
        <w:rPr>
          <w:rFonts w:eastAsia="MS Mincho"/>
          <w:sz w:val="22"/>
          <w:szCs w:val="22"/>
        </w:rPr>
        <w:t>Red List of Baltic Sea underwater biotopes, habitats and biotope complexes. Baltic Sea Environmental Proceedings No. 138</w:t>
      </w:r>
    </w:p>
    <w:p w14:paraId="3EDA9DBA" w14:textId="77777777" w:rsidR="006B3F46" w:rsidRPr="009978E3" w:rsidRDefault="006B3F46" w:rsidP="00907941">
      <w:pPr>
        <w:ind w:left="720" w:hanging="720"/>
        <w:jc w:val="both"/>
        <w:rPr>
          <w:rFonts w:eastAsia="MS Mincho"/>
          <w:sz w:val="22"/>
          <w:szCs w:val="22"/>
          <w:lang w:val="en-US"/>
        </w:rPr>
      </w:pPr>
      <w:r w:rsidRPr="009978E3">
        <w:rPr>
          <w:rFonts w:eastAsia="MS Mincho"/>
          <w:sz w:val="22"/>
          <w:szCs w:val="22"/>
          <w:lang w:val="en-US"/>
        </w:rPr>
        <w:t xml:space="preserve">HELCOM (2013b). HELCOM Red List </w:t>
      </w:r>
      <w:r w:rsidRPr="009978E3">
        <w:rPr>
          <w:rFonts w:eastAsia="MS Mincho"/>
          <w:sz w:val="22"/>
          <w:szCs w:val="22"/>
        </w:rPr>
        <w:t>of Baltic Sea species in danger of becoming extinct. Baltic Sea Environmental Proceedings No. 140</w:t>
      </w:r>
      <w:r w:rsidRPr="009978E3">
        <w:rPr>
          <w:rFonts w:eastAsia="MS Mincho"/>
          <w:sz w:val="22"/>
          <w:szCs w:val="22"/>
          <w:lang w:val="en-US"/>
        </w:rPr>
        <w:t xml:space="preserve">. </w:t>
      </w:r>
    </w:p>
    <w:p w14:paraId="63E1B586" w14:textId="77777777" w:rsidR="006B3F46" w:rsidRPr="00F66EF7" w:rsidRDefault="006B3F46" w:rsidP="00907941">
      <w:pPr>
        <w:ind w:left="720" w:hanging="720"/>
        <w:jc w:val="both"/>
        <w:rPr>
          <w:rFonts w:eastAsia="MS Mincho"/>
          <w:sz w:val="22"/>
          <w:szCs w:val="22"/>
          <w:lang w:val="da-DK"/>
        </w:rPr>
      </w:pPr>
      <w:r w:rsidRPr="009978E3">
        <w:rPr>
          <w:rFonts w:eastAsia="MS Mincho"/>
          <w:sz w:val="22"/>
          <w:szCs w:val="22"/>
          <w:lang w:val="en-US"/>
        </w:rPr>
        <w:t xml:space="preserve">Jensen P., Aagard, I., Burke Jr., Dando P.R., Jørgensen N.O., Kuijpers A., Laier T., O’hare S.C.M. and Schmaljohann R (1992) </w:t>
      </w:r>
      <w:r>
        <w:rPr>
          <w:rFonts w:eastAsia="MS Mincho"/>
          <w:sz w:val="22"/>
          <w:szCs w:val="22"/>
          <w:lang w:val="en-US"/>
        </w:rPr>
        <w:t>“</w:t>
      </w:r>
      <w:r w:rsidRPr="009978E3">
        <w:rPr>
          <w:rFonts w:eastAsia="MS Mincho"/>
          <w:sz w:val="22"/>
          <w:szCs w:val="22"/>
          <w:lang w:val="en-US"/>
        </w:rPr>
        <w:t xml:space="preserve">bubbling reefs” in the Kattegat: submerged landscapes of carbonate-cemented rocks support a diverse ecosystem at methane seeps. </w:t>
      </w:r>
      <w:r w:rsidRPr="009978E3">
        <w:rPr>
          <w:rFonts w:eastAsia="MS Mincho"/>
          <w:sz w:val="22"/>
          <w:szCs w:val="22"/>
          <w:lang w:val="da-DK"/>
        </w:rPr>
        <w:t xml:space="preserve">Mar. Ecol. Prog. Ser. Vol. 83:103-112   </w:t>
      </w:r>
      <w:hyperlink r:id="rId101" w:history="1">
        <w:r w:rsidRPr="00F66EF7">
          <w:rPr>
            <w:rStyle w:val="Hyperlink"/>
            <w:rFonts w:eastAsia="MS Mincho"/>
            <w:sz w:val="22"/>
            <w:szCs w:val="22"/>
            <w:lang w:val="da-DK"/>
          </w:rPr>
          <w:t>https://core.ac.uk/download/pdf/154816882.pdf</w:t>
        </w:r>
      </w:hyperlink>
    </w:p>
    <w:p w14:paraId="64FDB510" w14:textId="77777777" w:rsidR="006B3F46" w:rsidRDefault="006B3F46" w:rsidP="00907941">
      <w:pPr>
        <w:ind w:left="720" w:hanging="720"/>
        <w:jc w:val="both"/>
        <w:rPr>
          <w:rFonts w:eastAsia="MS Mincho"/>
          <w:sz w:val="22"/>
          <w:szCs w:val="22"/>
          <w:lang w:val="en-US"/>
        </w:rPr>
      </w:pPr>
      <w:r w:rsidRPr="009978E3">
        <w:rPr>
          <w:rFonts w:eastAsia="MS Mincho"/>
          <w:sz w:val="22"/>
          <w:szCs w:val="22"/>
          <w:lang w:val="en-US"/>
        </w:rPr>
        <w:t>Josefson,</w:t>
      </w:r>
      <w:r>
        <w:rPr>
          <w:rFonts w:eastAsia="MS Mincho"/>
          <w:sz w:val="22"/>
          <w:szCs w:val="22"/>
          <w:lang w:val="en-US"/>
        </w:rPr>
        <w:t xml:space="preserve"> A. and</w:t>
      </w:r>
      <w:r w:rsidRPr="009978E3">
        <w:rPr>
          <w:rFonts w:eastAsia="MS Mincho"/>
          <w:sz w:val="22"/>
          <w:szCs w:val="22"/>
          <w:lang w:val="en-US"/>
        </w:rPr>
        <w:t xml:space="preserve"> Hansen, J.L.S. (2004) Species Richness of benthic macrofauna in Danish estuaries and coastal areas. Global Ecology and Biogeography 13: 273- 288.</w:t>
      </w:r>
    </w:p>
    <w:p w14:paraId="7418096A" w14:textId="77777777" w:rsidR="006B3F46" w:rsidRPr="009978E3" w:rsidRDefault="006B3F46" w:rsidP="00907941">
      <w:pPr>
        <w:ind w:left="720" w:hanging="720"/>
        <w:jc w:val="both"/>
        <w:rPr>
          <w:rFonts w:eastAsia="MS Mincho"/>
          <w:sz w:val="22"/>
          <w:szCs w:val="22"/>
          <w:lang w:val="en-US"/>
        </w:rPr>
      </w:pPr>
      <w:r w:rsidRPr="00B618D1">
        <w:rPr>
          <w:rFonts w:eastAsia="MS Mincho"/>
          <w:sz w:val="22"/>
          <w:szCs w:val="22"/>
          <w:lang w:val="en-US"/>
        </w:rPr>
        <w:t>Laursen, K., Pihl, S., Durinck, J., Hansen, M., Skov, H., Frikke, J. &amp; Danielsen, F. (1997). Numbers and distribution of waterbirds in Denmark 1987-1989. - Danish Review of Game Biology 14 (1): 1-184.</w:t>
      </w:r>
    </w:p>
    <w:p w14:paraId="592E2935" w14:textId="77777777" w:rsidR="006B3F46" w:rsidRPr="009978E3" w:rsidRDefault="006B3F46" w:rsidP="00907941">
      <w:pPr>
        <w:ind w:left="720" w:hanging="720"/>
        <w:jc w:val="both"/>
        <w:rPr>
          <w:rFonts w:eastAsia="MS Mincho"/>
          <w:sz w:val="22"/>
          <w:szCs w:val="22"/>
          <w:lang w:val="sv-SE"/>
        </w:rPr>
      </w:pPr>
      <w:r w:rsidRPr="009978E3">
        <w:rPr>
          <w:rFonts w:eastAsia="MS Mincho"/>
          <w:sz w:val="22"/>
          <w:szCs w:val="22"/>
          <w:lang w:val="sv-SE"/>
        </w:rPr>
        <w:t>Naturvårdsverket (2010). Undersökning av Utsjöbankar - Inventering, modellering och naturvärdesbedömning. Rapport 6385. ISBN 978-91-620-6385-6, ISSN 0282-7298</w:t>
      </w:r>
    </w:p>
    <w:p w14:paraId="5AEFC047"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Nielsen, R.D., Holm, T.E., Clausen, P., Bregnballe. T., Clausen, K.K., Petersen, I.K., Sterup, J., Balsby, T.J.S., Pedersen, C.L., Mikkelsen, P. &amp; Bladt, J. (2019). Fugle 2012-2017. NOVANA. Aarhus Universitet, DCE – Nationalt Center for Miljø og Energi. - Videnskabelig rapport nr. 314.</w:t>
      </w:r>
    </w:p>
    <w:p w14:paraId="3AB03E75" w14:textId="77777777" w:rsidR="006B3F46" w:rsidRPr="009978E3" w:rsidRDefault="006B3F46" w:rsidP="00907941">
      <w:pPr>
        <w:ind w:left="720"/>
        <w:jc w:val="both"/>
        <w:rPr>
          <w:rFonts w:eastAsia="MS Mincho"/>
          <w:sz w:val="22"/>
          <w:szCs w:val="22"/>
          <w:lang w:val="en-US"/>
        </w:rPr>
      </w:pPr>
      <w:r w:rsidRPr="009978E3">
        <w:rPr>
          <w:rFonts w:eastAsia="MS Mincho"/>
          <w:sz w:val="22"/>
          <w:szCs w:val="22"/>
          <w:lang w:val="en-US"/>
        </w:rPr>
        <w:t>http://dce2.au.dk/pub/SR314.pdf and http://novana.au.dk/fugle/</w:t>
      </w:r>
    </w:p>
    <w:p w14:paraId="1658E01B" w14:textId="77777777" w:rsidR="006B3F46" w:rsidRPr="009978E3" w:rsidRDefault="006B3F46" w:rsidP="00907941">
      <w:pPr>
        <w:ind w:left="720" w:hanging="720"/>
        <w:jc w:val="both"/>
        <w:rPr>
          <w:rFonts w:eastAsia="MS Mincho"/>
          <w:sz w:val="22"/>
          <w:szCs w:val="22"/>
          <w:lang w:val="en-US"/>
        </w:rPr>
      </w:pPr>
      <w:r w:rsidRPr="009978E3">
        <w:rPr>
          <w:rFonts w:eastAsia="MS Mincho"/>
          <w:sz w:val="22"/>
          <w:szCs w:val="22"/>
          <w:lang w:val="en-US"/>
        </w:rPr>
        <w:t xml:space="preserve">Nielsen, R., and K. Dahl. (1992).  Macroalgae at briseis Flak, Schultzs Grund and Store Middelgrund, stone reefs in southern and eastern part of Kattegat, Denmark. Bjørnestad, E, Hagerman, L, and Jensen, K. Proceedings of the 12th Baltic Marine Biologists Symposium . </w:t>
      </w:r>
    </w:p>
    <w:p w14:paraId="6A9A17DD" w14:textId="77777777" w:rsidR="006B3F46" w:rsidRPr="009978E3" w:rsidRDefault="006B3F46" w:rsidP="00907941">
      <w:pPr>
        <w:ind w:left="720" w:hanging="720"/>
        <w:jc w:val="both"/>
        <w:rPr>
          <w:rFonts w:eastAsia="MS Mincho"/>
          <w:sz w:val="22"/>
          <w:szCs w:val="22"/>
        </w:rPr>
      </w:pPr>
      <w:r w:rsidRPr="009978E3">
        <w:rPr>
          <w:rFonts w:eastAsia="MS Mincho"/>
          <w:sz w:val="22"/>
          <w:szCs w:val="22"/>
        </w:rPr>
        <w:t>OSPAR 2008. OSPAR List of Threatened and/or Declining Species and Habitats. Agreement 2008/6</w:t>
      </w:r>
    </w:p>
    <w:p w14:paraId="349271FF" w14:textId="77777777" w:rsidR="006B3F46" w:rsidRPr="009978E3" w:rsidRDefault="006B3F46" w:rsidP="00907941">
      <w:pPr>
        <w:ind w:left="720" w:hanging="720"/>
        <w:jc w:val="both"/>
        <w:rPr>
          <w:rFonts w:eastAsia="MS Mincho"/>
          <w:sz w:val="22"/>
          <w:szCs w:val="22"/>
        </w:rPr>
      </w:pPr>
      <w:r w:rsidRPr="009978E3">
        <w:rPr>
          <w:rFonts w:eastAsia="MS Mincho"/>
          <w:sz w:val="22"/>
          <w:szCs w:val="22"/>
        </w:rPr>
        <w:t>OSPAR</w:t>
      </w:r>
      <w:r>
        <w:rPr>
          <w:rFonts w:eastAsia="MS Mincho"/>
          <w:sz w:val="22"/>
          <w:szCs w:val="22"/>
        </w:rPr>
        <w:t xml:space="preserve"> </w:t>
      </w:r>
      <w:r w:rsidRPr="009978E3">
        <w:rPr>
          <w:rFonts w:eastAsia="MS Mincho"/>
          <w:sz w:val="22"/>
          <w:szCs w:val="22"/>
        </w:rPr>
        <w:t>2013</w:t>
      </w:r>
      <w:r>
        <w:rPr>
          <w:rFonts w:eastAsia="MS Mincho"/>
          <w:sz w:val="22"/>
          <w:szCs w:val="22"/>
        </w:rPr>
        <w:t>.</w:t>
      </w:r>
      <w:r w:rsidRPr="009978E3">
        <w:rPr>
          <w:rFonts w:eastAsia="MS Mincho"/>
          <w:sz w:val="22"/>
          <w:szCs w:val="22"/>
        </w:rPr>
        <w:t xml:space="preserve"> OSPAR Recommendation 2013/11 on furthering the protection and restoration of the harbour porpoise (Phocoena phocoena) in Regions II and III of the OSPAR maritime area</w:t>
      </w:r>
      <w:r>
        <w:rPr>
          <w:rFonts w:eastAsia="MS Mincho"/>
          <w:sz w:val="22"/>
          <w:szCs w:val="22"/>
        </w:rPr>
        <w:t>.</w:t>
      </w:r>
    </w:p>
    <w:p w14:paraId="712C0F03"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 xml:space="preserve">Petersen, C.G.J., 1913. Havets Bonitering. II. Om Havbundens Dyresamfund og om disses betydning for den marine Zoogeograti. </w:t>
      </w:r>
      <w:r w:rsidRPr="009978E3">
        <w:rPr>
          <w:rFonts w:eastAsia="MS Mincho"/>
          <w:bCs/>
          <w:i/>
          <w:iCs/>
          <w:sz w:val="22"/>
          <w:szCs w:val="22"/>
          <w:lang w:val="da-DK"/>
        </w:rPr>
        <w:t xml:space="preserve">Beretn. Minist. Landbr. Fisk. Dan. Biol. Stn., </w:t>
      </w:r>
      <w:r w:rsidRPr="009978E3">
        <w:rPr>
          <w:rFonts w:eastAsia="MS Mincho"/>
          <w:sz w:val="22"/>
          <w:szCs w:val="22"/>
          <w:lang w:val="da-DK"/>
        </w:rPr>
        <w:t>Vol. 21, pp. l-42.</w:t>
      </w:r>
    </w:p>
    <w:p w14:paraId="4248DBF4"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en-US"/>
        </w:rPr>
        <w:t xml:space="preserve">Petersen, I.K., Fox, A.D.&amp; Clausager, I. (2003): Distribution and numbers of birds in Kattegat in relation to the proposed offshore wind farm south of Læsø – Ornithological Impact Assessment. – Report Request. </w:t>
      </w:r>
      <w:r w:rsidRPr="009978E3">
        <w:rPr>
          <w:rFonts w:eastAsia="MS Mincho"/>
          <w:sz w:val="22"/>
          <w:szCs w:val="22"/>
          <w:lang w:val="da-DK"/>
        </w:rPr>
        <w:t>Commissioned by ELSAM Engineering A/S. 116 pp.</w:t>
      </w:r>
    </w:p>
    <w:p w14:paraId="002AEED8"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Petersen, I.K. &amp; Fox, A.D. (2009): Faktorer der påvirker fordelingen af sortænder I fældningsperioden i Ålborg Bugt. Report request. Commissioned by Vattenfall Vindkraft. 20 pp.</w:t>
      </w:r>
    </w:p>
    <w:p w14:paraId="0A1987B9" w14:textId="77777777" w:rsidR="006B3F46" w:rsidRPr="00F66EF7" w:rsidRDefault="006B3F46" w:rsidP="00907941">
      <w:pPr>
        <w:ind w:left="720" w:hanging="720"/>
        <w:jc w:val="both"/>
        <w:rPr>
          <w:rFonts w:eastAsia="MS Mincho"/>
          <w:sz w:val="22"/>
          <w:szCs w:val="22"/>
          <w:lang w:val="da-DK"/>
        </w:rPr>
      </w:pPr>
      <w:r w:rsidRPr="009978E3">
        <w:rPr>
          <w:rFonts w:eastAsia="MS Mincho"/>
          <w:sz w:val="22"/>
          <w:szCs w:val="22"/>
          <w:lang w:val="da-DK"/>
        </w:rPr>
        <w:t xml:space="preserve">Petersen, I.K., Pihl, S., Hounisen, J.P., Holm, T.E., Therkildsen, O. &amp; Christensen, T.K. (2006): Landsdækkende optællinger af vandfugle, januar og februar 2004. Danmarks Miljøundersøgelser. 76 pp. – Faglig rapport fra DMU nr. 606. </w:t>
      </w:r>
      <w:hyperlink r:id="rId102" w:history="1">
        <w:r w:rsidRPr="00F66EF7">
          <w:rPr>
            <w:rStyle w:val="Hyperlink"/>
            <w:rFonts w:eastAsia="MS Mincho"/>
            <w:sz w:val="22"/>
            <w:szCs w:val="22"/>
            <w:lang w:val="da-DK"/>
          </w:rPr>
          <w:t>ht</w:t>
        </w:r>
        <w:r w:rsidRPr="009978E3">
          <w:rPr>
            <w:rStyle w:val="Hyperlink"/>
            <w:rFonts w:eastAsia="MS Mincho"/>
            <w:sz w:val="22"/>
            <w:szCs w:val="22"/>
            <w:lang w:val="da-DK"/>
          </w:rPr>
          <w:t>tp://www.dmu.dk/Pub/FR606.pdf</w:t>
        </w:r>
      </w:hyperlink>
    </w:p>
    <w:p w14:paraId="107880FB"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Petersen, I.K., Nielsen, R.D., Pihl, S., Clausen, P., Therkildsen, O., Christensen, T.K., Kahlert,</w:t>
      </w:r>
      <w:r>
        <w:rPr>
          <w:rFonts w:eastAsia="MS Mincho"/>
          <w:sz w:val="22"/>
          <w:szCs w:val="22"/>
          <w:lang w:val="da-DK"/>
        </w:rPr>
        <w:t xml:space="preserve"> </w:t>
      </w:r>
      <w:r w:rsidRPr="009978E3">
        <w:rPr>
          <w:rFonts w:eastAsia="MS Mincho"/>
          <w:sz w:val="22"/>
          <w:szCs w:val="22"/>
          <w:lang w:val="da-DK"/>
        </w:rPr>
        <w:t>J. &amp; Hounisen, J.P. 2010. Landsdækkende optælling af vandfugle i Danmark, vinteren</w:t>
      </w:r>
    </w:p>
    <w:p w14:paraId="79F8C495" w14:textId="77777777" w:rsidR="006B3F46" w:rsidRPr="009978E3" w:rsidRDefault="006B3F46" w:rsidP="00907941">
      <w:pPr>
        <w:ind w:left="720"/>
        <w:jc w:val="both"/>
        <w:rPr>
          <w:rFonts w:eastAsia="MS Mincho"/>
          <w:sz w:val="22"/>
          <w:szCs w:val="22"/>
          <w:lang w:val="da-DK"/>
        </w:rPr>
      </w:pPr>
      <w:r w:rsidRPr="009978E3">
        <w:rPr>
          <w:rFonts w:eastAsia="MS Mincho"/>
          <w:sz w:val="22"/>
          <w:szCs w:val="22"/>
          <w:lang w:val="da-DK"/>
        </w:rPr>
        <w:t>2007/2008. Danmarks Miljøundersøgelser, Aarhus Universitet. 78 s. – Arbejdsrapport fra DMU</w:t>
      </w:r>
    </w:p>
    <w:p w14:paraId="579A8DEA" w14:textId="77777777" w:rsidR="006B3F46" w:rsidRPr="009978E3" w:rsidRDefault="006B3F46" w:rsidP="00907941">
      <w:pPr>
        <w:ind w:left="720"/>
        <w:jc w:val="both"/>
        <w:rPr>
          <w:rFonts w:eastAsia="MS Mincho"/>
          <w:sz w:val="22"/>
          <w:szCs w:val="22"/>
          <w:lang w:val="da-DK"/>
        </w:rPr>
      </w:pPr>
      <w:r w:rsidRPr="009978E3">
        <w:rPr>
          <w:rFonts w:eastAsia="MS Mincho"/>
          <w:sz w:val="22"/>
          <w:szCs w:val="22"/>
          <w:lang w:val="da-DK"/>
        </w:rPr>
        <w:t xml:space="preserve">nr. 261. </w:t>
      </w:r>
      <w:r w:rsidRPr="009978E3">
        <w:rPr>
          <w:rFonts w:eastAsia="MS Mincho"/>
          <w:sz w:val="22"/>
          <w:szCs w:val="22"/>
          <w:u w:val="single"/>
          <w:lang w:val="da-DK"/>
        </w:rPr>
        <w:t>http://www.dmu.dk/Pub/AR261.pdf</w:t>
      </w:r>
    </w:p>
    <w:p w14:paraId="5F431CF4"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Petersen, I.K., Nielsen, R.D., Therkildsen, O.R. &amp; Balsby, T.J.S. 2017. Fældende havdykænders antal og fordeling i Sejerøbugten i relation til menneskelige forstyrrelser. Aarhus Universitet, DCE – Nationalt Center for Miljø og Energi, 38 s. - Videnskabelig rapport fra DCE - Nationalt Center for Miljø og Energi nr. 239</w:t>
      </w:r>
    </w:p>
    <w:p w14:paraId="2CBA9967" w14:textId="77777777" w:rsidR="006B3F46" w:rsidRDefault="009E53BE" w:rsidP="00907941">
      <w:pPr>
        <w:ind w:left="720"/>
        <w:jc w:val="both"/>
        <w:rPr>
          <w:rFonts w:eastAsia="MS Mincho"/>
          <w:sz w:val="22"/>
          <w:szCs w:val="22"/>
          <w:lang w:val="da-DK"/>
        </w:rPr>
      </w:pPr>
      <w:hyperlink r:id="rId103" w:history="1">
        <w:r w:rsidR="006B3F46" w:rsidRPr="005F40C3">
          <w:rPr>
            <w:rStyle w:val="Hyperlink"/>
            <w:rFonts w:eastAsia="MS Mincho"/>
            <w:sz w:val="22"/>
            <w:szCs w:val="22"/>
            <w:lang w:val="da-DK"/>
          </w:rPr>
          <w:t>http://dce2.au.dk/pub/SR239.pdf</w:t>
        </w:r>
      </w:hyperlink>
    </w:p>
    <w:p w14:paraId="0D9BD951" w14:textId="77777777" w:rsidR="006B3F46" w:rsidRPr="009978E3" w:rsidRDefault="006B3F46" w:rsidP="00907941">
      <w:pPr>
        <w:ind w:left="720" w:hanging="720"/>
        <w:jc w:val="both"/>
        <w:rPr>
          <w:rFonts w:eastAsia="MS Mincho"/>
          <w:sz w:val="22"/>
          <w:szCs w:val="22"/>
          <w:lang w:val="da-DK"/>
        </w:rPr>
      </w:pPr>
      <w:r w:rsidRPr="00015312">
        <w:rPr>
          <w:rFonts w:eastAsia="MS Mincho"/>
          <w:sz w:val="22"/>
          <w:szCs w:val="22"/>
          <w:lang w:val="da-DK"/>
        </w:rPr>
        <w:t>Petersen, I.K. &amp; Nielsen, R.D. 2011. Abundance and distribution of selected waterbird species in Danish marine areas. Report commissioned by Vattenfall A/S. National Environmental Research Institute, Aarhus University, Denmark. 62 pp.</w:t>
      </w:r>
    </w:p>
    <w:p w14:paraId="2EECA42F"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 xml:space="preserve">Skov, H., Durinck, J. &amp; Danielsen, F. (1992): Udbredelse og antal af Lomvie </w:t>
      </w:r>
      <w:r w:rsidRPr="009978E3">
        <w:rPr>
          <w:rFonts w:eastAsia="MS Mincho"/>
          <w:i/>
          <w:sz w:val="22"/>
          <w:szCs w:val="22"/>
          <w:lang w:val="da-DK"/>
        </w:rPr>
        <w:t>Uria aalge</w:t>
      </w:r>
      <w:r w:rsidRPr="009978E3">
        <w:rPr>
          <w:rFonts w:eastAsia="MS Mincho"/>
          <w:sz w:val="22"/>
          <w:szCs w:val="22"/>
          <w:lang w:val="da-DK"/>
        </w:rPr>
        <w:t xml:space="preserve"> I Skagerak I sensommerperioden. – Dansk Orn. Foren. Tidsskr. 86: 169-176.</w:t>
      </w:r>
    </w:p>
    <w:p w14:paraId="47637BE9"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Petersen, I.K., Sørensen, I.H., Nielsen, R.D., Fox, T. &amp; Christensen, T.K. 2019. Status for overvintrende fløjlsænder og havlitter i danske farvande. En analyse af bestandsudviklingen og årsager til forandringer. Aarhus Universitet, DCE – Nationalt Center for Miljø og Energi, 52 s. - Videnskabelig rapport nr. 336</w:t>
      </w:r>
    </w:p>
    <w:p w14:paraId="4E957582" w14:textId="77777777" w:rsidR="006B3F46" w:rsidRPr="009978E3" w:rsidRDefault="006B3F46" w:rsidP="00907941">
      <w:pPr>
        <w:ind w:left="720"/>
        <w:jc w:val="both"/>
        <w:rPr>
          <w:rFonts w:eastAsia="MS Mincho"/>
          <w:sz w:val="22"/>
          <w:szCs w:val="22"/>
          <w:lang w:val="da-DK"/>
        </w:rPr>
      </w:pPr>
      <w:r w:rsidRPr="009978E3">
        <w:rPr>
          <w:rFonts w:eastAsia="MS Mincho"/>
          <w:sz w:val="22"/>
          <w:szCs w:val="22"/>
          <w:lang w:val="da-DK"/>
        </w:rPr>
        <w:t>http://dce2.au.dk/pub/SR336.pdf</w:t>
      </w:r>
    </w:p>
    <w:p w14:paraId="56C9CA3A" w14:textId="77777777" w:rsidR="006B3F46" w:rsidRPr="0021277B" w:rsidRDefault="006B3F46" w:rsidP="00907941">
      <w:pPr>
        <w:ind w:left="720" w:hanging="720"/>
        <w:jc w:val="both"/>
        <w:rPr>
          <w:rFonts w:eastAsia="MS Mincho"/>
          <w:color w:val="000000"/>
          <w:sz w:val="22"/>
          <w:szCs w:val="22"/>
          <w:lang w:val="en-US"/>
        </w:rPr>
      </w:pPr>
      <w:r w:rsidRPr="009978E3">
        <w:rPr>
          <w:rFonts w:eastAsia="MS Mincho"/>
          <w:sz w:val="22"/>
          <w:szCs w:val="22"/>
          <w:lang w:val="da-DK"/>
        </w:rPr>
        <w:t xml:space="preserve">Riemann, B., J. Carstensen, K. Dahl, H. Fossing, J. W. Hansen, H. H. Jakobsen, A. B. Josefson, D. Krause-Jensen, S. Markager, P. A. Stæhr, K. Timmermann, J. Windolf, and J. H. Andersen 2015. </w:t>
      </w:r>
      <w:r w:rsidRPr="009978E3">
        <w:rPr>
          <w:rFonts w:eastAsia="MS Mincho"/>
          <w:sz w:val="22"/>
          <w:szCs w:val="22"/>
          <w:lang w:val="en-US"/>
        </w:rPr>
        <w:t xml:space="preserve">Recovery of Danish Coastal Ecosystems After Reductions in Nutrient Loading: A Holistic Ecosystem Approach. Estuaries and Coasts </w:t>
      </w:r>
      <w:r w:rsidRPr="009978E3">
        <w:rPr>
          <w:rFonts w:eastAsia="MS Mincho"/>
          <w:b/>
          <w:bCs/>
          <w:sz w:val="22"/>
          <w:szCs w:val="22"/>
          <w:lang w:val="en-US"/>
        </w:rPr>
        <w:t>39</w:t>
      </w:r>
      <w:r w:rsidRPr="009978E3">
        <w:rPr>
          <w:rFonts w:eastAsia="MS Mincho"/>
          <w:sz w:val="22"/>
          <w:szCs w:val="22"/>
          <w:lang w:val="en-US"/>
        </w:rPr>
        <w:t>: 82-97.</w:t>
      </w:r>
    </w:p>
    <w:p w14:paraId="165FF049"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en-US"/>
        </w:rPr>
        <w:t xml:space="preserve">Skov, H., Heinänen, S., Žydelis, R., Bellebaum, J., Bzoma, S., Dagys, M., Durinck, J., Garthe, G., Grishanov, G., Hario, M., Kieckbusch, J.J., Kube, J., Kuresoo, A., Larsson, K., Luigujoe, L., Meissner, W., Nehls, H.W., Nilsson, L., Petersen, I.K., Roos, M.M., Pihl, S., Sonntag, N., Stock, A., Stipniece A. and Wahl, J. 2011. Waterbird Populations and Pressures in the Baltic Sea. – Nordic Council of Ministers, TemaNord 2011:550. </w:t>
      </w:r>
      <w:r w:rsidRPr="009978E3">
        <w:rPr>
          <w:rFonts w:eastAsia="MS Mincho"/>
          <w:sz w:val="22"/>
          <w:szCs w:val="22"/>
          <w:lang w:val="da-DK"/>
        </w:rPr>
        <w:t>201 pp.</w:t>
      </w:r>
    </w:p>
    <w:p w14:paraId="7991D27E" w14:textId="77777777" w:rsidR="006B3F46" w:rsidRPr="009978E3" w:rsidRDefault="006B3F46" w:rsidP="00907941">
      <w:pPr>
        <w:ind w:left="720" w:hanging="720"/>
        <w:jc w:val="both"/>
        <w:rPr>
          <w:rFonts w:eastAsia="MS Mincho"/>
          <w:sz w:val="22"/>
          <w:szCs w:val="22"/>
          <w:lang w:val="da-DK"/>
        </w:rPr>
      </w:pPr>
      <w:r w:rsidRPr="009978E3">
        <w:rPr>
          <w:rFonts w:eastAsia="MS Mincho"/>
          <w:sz w:val="22"/>
          <w:szCs w:val="22"/>
          <w:lang w:val="da-DK"/>
        </w:rPr>
        <w:t>Sveggard, S., Nabe-Nielsen, J. &amp; Teilmann, J. 2018. Marsvins udbredelse og status for de marine habitatområder i danske farvande. Aarhus Universitet, DCE – Nationalt Center for Miljø og Energi, 36 s. - Videnskabelig rapport nr. 284 http://dce2.au.dk/pub/SR284.pdf</w:t>
      </w:r>
    </w:p>
    <w:p w14:paraId="6A4531E5" w14:textId="77777777" w:rsidR="006B3F46" w:rsidRDefault="006B3F46" w:rsidP="00907941">
      <w:pPr>
        <w:ind w:left="720" w:hanging="720"/>
        <w:jc w:val="both"/>
        <w:rPr>
          <w:rFonts w:eastAsia="MS Mincho"/>
          <w:sz w:val="22"/>
          <w:szCs w:val="22"/>
          <w:lang w:val="da-DK"/>
        </w:rPr>
      </w:pPr>
      <w:r w:rsidRPr="009978E3">
        <w:rPr>
          <w:rFonts w:eastAsia="MS Mincho"/>
          <w:sz w:val="22"/>
          <w:szCs w:val="22"/>
          <w:lang w:val="da-DK"/>
        </w:rPr>
        <w:t>Eske Holm</w:t>
      </w:r>
      <w:r>
        <w:rPr>
          <w:rFonts w:eastAsia="MS Mincho"/>
          <w:sz w:val="22"/>
          <w:szCs w:val="22"/>
          <w:lang w:val="da-DK"/>
        </w:rPr>
        <w:t>, T.</w:t>
      </w:r>
      <w:r w:rsidRPr="009978E3">
        <w:rPr>
          <w:rFonts w:eastAsia="MS Mincho"/>
          <w:sz w:val="22"/>
          <w:szCs w:val="22"/>
          <w:lang w:val="da-DK"/>
        </w:rPr>
        <w:t>, Clausen,</w:t>
      </w:r>
      <w:r>
        <w:rPr>
          <w:rFonts w:eastAsia="MS Mincho"/>
          <w:sz w:val="22"/>
          <w:szCs w:val="22"/>
          <w:lang w:val="da-DK"/>
        </w:rPr>
        <w:t xml:space="preserve"> P.,</w:t>
      </w:r>
      <w:r w:rsidRPr="009978E3">
        <w:rPr>
          <w:rFonts w:eastAsia="MS Mincho"/>
          <w:sz w:val="22"/>
          <w:szCs w:val="22"/>
          <w:lang w:val="da-DK"/>
        </w:rPr>
        <w:t xml:space="preserve"> Nielsen,</w:t>
      </w:r>
      <w:r>
        <w:rPr>
          <w:rFonts w:eastAsia="MS Mincho"/>
          <w:sz w:val="22"/>
          <w:szCs w:val="22"/>
          <w:lang w:val="da-DK"/>
        </w:rPr>
        <w:t xml:space="preserve"> R.D.,</w:t>
      </w:r>
      <w:r w:rsidRPr="009978E3">
        <w:rPr>
          <w:rFonts w:eastAsia="MS Mincho"/>
          <w:sz w:val="22"/>
          <w:szCs w:val="22"/>
          <w:lang w:val="da-DK"/>
        </w:rPr>
        <w:t xml:space="preserve"> Bregnballe, </w:t>
      </w:r>
      <w:r>
        <w:rPr>
          <w:rFonts w:eastAsia="MS Mincho"/>
          <w:sz w:val="22"/>
          <w:szCs w:val="22"/>
          <w:lang w:val="da-DK"/>
        </w:rPr>
        <w:t xml:space="preserve">T., </w:t>
      </w:r>
      <w:r w:rsidRPr="009978E3">
        <w:rPr>
          <w:rFonts w:eastAsia="MS Mincho"/>
          <w:sz w:val="22"/>
          <w:szCs w:val="22"/>
          <w:lang w:val="da-DK"/>
        </w:rPr>
        <w:t>Petersen,</w:t>
      </w:r>
      <w:r>
        <w:rPr>
          <w:rFonts w:eastAsia="MS Mincho"/>
          <w:sz w:val="22"/>
          <w:szCs w:val="22"/>
          <w:lang w:val="da-DK"/>
        </w:rPr>
        <w:t xml:space="preserve"> I.K.,</w:t>
      </w:r>
      <w:r w:rsidRPr="009978E3">
        <w:rPr>
          <w:rFonts w:eastAsia="MS Mincho"/>
          <w:sz w:val="22"/>
          <w:szCs w:val="22"/>
          <w:lang w:val="da-DK"/>
        </w:rPr>
        <w:t xml:space="preserve"> Mikkelsen</w:t>
      </w:r>
      <w:r>
        <w:rPr>
          <w:rFonts w:eastAsia="MS Mincho"/>
          <w:sz w:val="22"/>
          <w:szCs w:val="22"/>
          <w:lang w:val="da-DK"/>
        </w:rPr>
        <w:t>, P. and</w:t>
      </w:r>
      <w:r w:rsidRPr="009978E3">
        <w:rPr>
          <w:rFonts w:eastAsia="MS Mincho"/>
          <w:sz w:val="22"/>
          <w:szCs w:val="22"/>
          <w:lang w:val="da-DK"/>
        </w:rPr>
        <w:t xml:space="preserve"> Bladt</w:t>
      </w:r>
      <w:r>
        <w:rPr>
          <w:rFonts w:eastAsia="MS Mincho"/>
          <w:sz w:val="22"/>
          <w:szCs w:val="22"/>
          <w:lang w:val="da-DK"/>
        </w:rPr>
        <w:t>, J.</w:t>
      </w:r>
      <w:r w:rsidRPr="009978E3">
        <w:rPr>
          <w:rFonts w:eastAsia="MS Mincho"/>
          <w:sz w:val="22"/>
          <w:szCs w:val="22"/>
          <w:lang w:val="da-DK"/>
        </w:rPr>
        <w:t xml:space="preserve"> (2018): Fugle 2016. NOVANA. Aarhus Universitet, DCE – Nationalt Center  for Miljø og Energi. Videnskabelig rapport fra DCE - Nationalt Center for Miljø og Energi nr. 261.</w:t>
      </w:r>
    </w:p>
    <w:p w14:paraId="7B97FD6C" w14:textId="77777777" w:rsidR="006B3F46" w:rsidRDefault="006B3F46" w:rsidP="00907941">
      <w:pPr>
        <w:ind w:hanging="720"/>
        <w:jc w:val="both"/>
        <w:rPr>
          <w:rFonts w:eastAsia="MS Mincho"/>
          <w:sz w:val="22"/>
          <w:szCs w:val="22"/>
          <w:lang w:val="da-DK"/>
        </w:rPr>
      </w:pPr>
    </w:p>
    <w:p w14:paraId="3E51A6DF" w14:textId="6C6B7C4F" w:rsidR="006B3F46" w:rsidRDefault="006B3F46" w:rsidP="00907941">
      <w:pPr>
        <w:rPr>
          <w:rFonts w:eastAsia="MS Mincho"/>
          <w:b/>
          <w:sz w:val="22"/>
          <w:szCs w:val="22"/>
          <w:lang w:val="en-US"/>
        </w:rPr>
      </w:pPr>
      <w:r w:rsidRPr="009978E3">
        <w:rPr>
          <w:rFonts w:eastAsia="MS Mincho"/>
          <w:b/>
          <w:sz w:val="22"/>
          <w:szCs w:val="22"/>
          <w:lang w:val="en-US"/>
        </w:rPr>
        <w:t>Maps and Figures</w:t>
      </w:r>
    </w:p>
    <w:p w14:paraId="5D7B921A" w14:textId="77777777" w:rsidR="006B3F46" w:rsidRPr="009978E3" w:rsidRDefault="009E53BE" w:rsidP="00907941">
      <w:pPr>
        <w:rPr>
          <w:rFonts w:eastAsia="MS Mincho"/>
          <w:bCs/>
          <w:color w:val="000000"/>
          <w:sz w:val="22"/>
          <w:szCs w:val="22"/>
          <w:lang w:val="en-US"/>
        </w:rPr>
      </w:pPr>
      <w:r>
        <w:pict w14:anchorId="3FD25D00">
          <v:shape id="_x0000_i1039" type="#_x0000_t75" style="width:6in;height:6in">
            <v:imagedata r:id="rId104" o:title=""/>
          </v:shape>
        </w:pict>
      </w:r>
    </w:p>
    <w:p w14:paraId="68A0C829" w14:textId="77777777" w:rsidR="006B3F46" w:rsidRPr="009978E3" w:rsidRDefault="006B3F46" w:rsidP="00907941">
      <w:pPr>
        <w:jc w:val="center"/>
        <w:rPr>
          <w:rFonts w:eastAsia="MS Mincho"/>
          <w:b/>
          <w:color w:val="000000"/>
          <w:sz w:val="22"/>
          <w:szCs w:val="22"/>
          <w:lang w:val="en-US"/>
        </w:rPr>
      </w:pPr>
      <w:r>
        <w:rPr>
          <w:rFonts w:eastAsia="MS Mincho"/>
          <w:b/>
          <w:sz w:val="22"/>
          <w:szCs w:val="22"/>
          <w:lang w:val="en-US"/>
        </w:rPr>
        <w:t>Location of a</w:t>
      </w:r>
      <w:r w:rsidRPr="00BC2550">
        <w:rPr>
          <w:rFonts w:eastAsia="MS Mincho"/>
          <w:b/>
          <w:sz w:val="22"/>
          <w:szCs w:val="22"/>
          <w:lang w:val="en-US"/>
        </w:rPr>
        <w:t xml:space="preserve">rea no. </w:t>
      </w:r>
      <w:r>
        <w:rPr>
          <w:rFonts w:eastAsia="MS Mincho"/>
          <w:b/>
          <w:sz w:val="22"/>
          <w:szCs w:val="22"/>
          <w:lang w:val="en-US"/>
        </w:rPr>
        <w:t xml:space="preserve">2: </w:t>
      </w:r>
      <w:r w:rsidRPr="009978E3">
        <w:rPr>
          <w:rFonts w:eastAsia="MS Mincho"/>
          <w:b/>
          <w:sz w:val="22"/>
          <w:szCs w:val="22"/>
          <w:lang w:val="en-US"/>
        </w:rPr>
        <w:t>Danish Kattegat</w:t>
      </w:r>
      <w:r w:rsidRPr="009978E3" w:rsidDel="00DE6FF7">
        <w:rPr>
          <w:rFonts w:eastAsia="MS Mincho"/>
          <w:b/>
          <w:color w:val="000000"/>
          <w:sz w:val="22"/>
          <w:szCs w:val="22"/>
          <w:highlight w:val="yellow"/>
          <w:lang w:val="en-US"/>
        </w:rPr>
        <w:t xml:space="preserve"> </w:t>
      </w:r>
    </w:p>
    <w:p w14:paraId="7B2BA921" w14:textId="77777777" w:rsidR="006B3F46" w:rsidRPr="009978E3" w:rsidRDefault="006B3F46" w:rsidP="00907941">
      <w:pPr>
        <w:rPr>
          <w:rFonts w:eastAsia="MS Mincho"/>
          <w:b/>
          <w:sz w:val="22"/>
          <w:szCs w:val="22"/>
          <w:lang w:val="en-US"/>
        </w:rPr>
      </w:pPr>
    </w:p>
    <w:p w14:paraId="550447D4" w14:textId="77777777" w:rsidR="006B3F46" w:rsidRDefault="009E53BE" w:rsidP="00907941">
      <w:pPr>
        <w:rPr>
          <w:rFonts w:eastAsia="MS Mincho"/>
          <w:b/>
          <w:sz w:val="22"/>
          <w:szCs w:val="22"/>
          <w:lang w:val="en-US"/>
        </w:rPr>
      </w:pPr>
      <w:r>
        <w:rPr>
          <w:rFonts w:eastAsia="MS Mincho"/>
          <w:b/>
          <w:sz w:val="22"/>
          <w:szCs w:val="22"/>
          <w:lang w:val="en-US"/>
        </w:rPr>
        <w:pict w14:anchorId="0446B19B">
          <v:shape id="_x0000_i1040" type="#_x0000_t75" style="width:492pt;height:636.75pt">
            <v:imagedata r:id="rId105" o:title="DK_Kattegat_EBSA_Proposal"/>
          </v:shape>
        </w:pict>
      </w:r>
    </w:p>
    <w:p w14:paraId="20447F23" w14:textId="77777777" w:rsidR="006B3F46" w:rsidRPr="003D4324" w:rsidRDefault="006B3F46" w:rsidP="00907941">
      <w:pPr>
        <w:jc w:val="both"/>
        <w:rPr>
          <w:rFonts w:eastAsia="MS Mincho"/>
          <w:sz w:val="22"/>
          <w:szCs w:val="22"/>
          <w:lang w:val="en-US"/>
        </w:rPr>
      </w:pPr>
      <w:r w:rsidRPr="00C45F10">
        <w:rPr>
          <w:rFonts w:eastAsia="MS Mincho"/>
          <w:sz w:val="22"/>
          <w:szCs w:val="22"/>
          <w:lang w:val="en-US"/>
        </w:rPr>
        <w:t xml:space="preserve">Figure 1. </w:t>
      </w:r>
      <w:r w:rsidRPr="0021277B">
        <w:rPr>
          <w:rFonts w:eastAsia="MS Mincho"/>
          <w:sz w:val="22"/>
          <w:szCs w:val="22"/>
          <w:lang w:val="en-US"/>
        </w:rPr>
        <w:t>Danish Kattegat with suggested boundaries.</w:t>
      </w:r>
      <w:r w:rsidRPr="00C45F10">
        <w:rPr>
          <w:rFonts w:eastAsia="MS Mincho"/>
          <w:sz w:val="22"/>
          <w:szCs w:val="22"/>
          <w:lang w:val="en-US"/>
        </w:rPr>
        <w:t xml:space="preserve"> The figure also show</w:t>
      </w:r>
      <w:r w:rsidRPr="00936A9B">
        <w:rPr>
          <w:rFonts w:eastAsia="MS Mincho"/>
          <w:sz w:val="22"/>
          <w:szCs w:val="22"/>
          <w:lang w:val="en-US"/>
        </w:rPr>
        <w:t>s the existing EBSA (</w:t>
      </w:r>
      <w:r w:rsidRPr="007B0905">
        <w:rPr>
          <w:rFonts w:eastAsia="MS Mincho"/>
          <w:sz w:val="22"/>
          <w:szCs w:val="22"/>
          <w:lang w:val="en-US"/>
        </w:rPr>
        <w:t>Area No. 9: Fladen and Stora and Lilla Middelgrund), described in the Bal</w:t>
      </w:r>
      <w:r w:rsidRPr="00B3387A">
        <w:rPr>
          <w:rFonts w:eastAsia="MS Mincho"/>
          <w:sz w:val="22"/>
          <w:szCs w:val="22"/>
          <w:lang w:val="en-US"/>
        </w:rPr>
        <w:t>tic EBSA workshop, next to</w:t>
      </w:r>
      <w:r w:rsidRPr="005878E0">
        <w:rPr>
          <w:rFonts w:eastAsia="MS Mincho"/>
          <w:sz w:val="22"/>
          <w:szCs w:val="22"/>
          <w:lang w:val="en-US"/>
        </w:rPr>
        <w:t xml:space="preserve"> the Danish-Swedish border, as well as Danish bird</w:t>
      </w:r>
      <w:r w:rsidRPr="0021277B">
        <w:rPr>
          <w:rFonts w:eastAsia="MS Mincho"/>
          <w:sz w:val="22"/>
          <w:szCs w:val="22"/>
          <w:lang w:val="en-US"/>
        </w:rPr>
        <w:t>s</w:t>
      </w:r>
      <w:r w:rsidRPr="00C45F10">
        <w:rPr>
          <w:rFonts w:eastAsia="MS Mincho"/>
          <w:sz w:val="22"/>
          <w:szCs w:val="22"/>
          <w:lang w:val="en-US"/>
        </w:rPr>
        <w:t xml:space="preserve"> and habitats </w:t>
      </w:r>
      <w:r w:rsidRPr="0021277B">
        <w:rPr>
          <w:rFonts w:eastAsia="MS Mincho"/>
          <w:sz w:val="22"/>
          <w:szCs w:val="22"/>
          <w:lang w:val="en-US"/>
        </w:rPr>
        <w:t>d</w:t>
      </w:r>
      <w:r w:rsidRPr="00C45F10">
        <w:rPr>
          <w:rFonts w:eastAsia="MS Mincho"/>
          <w:sz w:val="22"/>
          <w:szCs w:val="22"/>
          <w:lang w:val="en-US"/>
        </w:rPr>
        <w:t>irectives area joint</w:t>
      </w:r>
      <w:r w:rsidRPr="00936A9B">
        <w:rPr>
          <w:rFonts w:eastAsia="MS Mincho"/>
          <w:sz w:val="22"/>
          <w:szCs w:val="22"/>
          <w:lang w:val="en-US"/>
        </w:rPr>
        <w:t>ly known as Natura 2000 sites.</w:t>
      </w:r>
      <w:r w:rsidRPr="0021277B">
        <w:rPr>
          <w:rFonts w:eastAsia="MS Mincho"/>
          <w:sz w:val="22"/>
          <w:szCs w:val="22"/>
          <w:lang w:val="en-US"/>
        </w:rPr>
        <w:t>“Swedish EBSA designation” refers to:</w:t>
      </w:r>
      <w:r w:rsidRPr="00C45F10">
        <w:rPr>
          <w:rFonts w:eastAsia="MS Mincho"/>
          <w:sz w:val="22"/>
          <w:szCs w:val="22"/>
          <w:lang w:val="en-US"/>
        </w:rPr>
        <w:t xml:space="preserve"> </w:t>
      </w:r>
      <w:r w:rsidRPr="0021277B">
        <w:rPr>
          <w:rFonts w:eastAsia="MS Mincho"/>
          <w:sz w:val="22"/>
          <w:szCs w:val="22"/>
          <w:lang w:val="en-US"/>
        </w:rPr>
        <w:t xml:space="preserve">Area No. 9: (Fladen and Stora and Lilla Middelgrund), described in the Baltic EBSA workshop. </w:t>
      </w:r>
    </w:p>
    <w:p w14:paraId="7ECE2380" w14:textId="77777777" w:rsidR="006B3F46" w:rsidRPr="0021277B" w:rsidRDefault="006B3F46" w:rsidP="00907941">
      <w:pPr>
        <w:rPr>
          <w:rFonts w:eastAsia="MS Mincho"/>
          <w:sz w:val="22"/>
          <w:szCs w:val="22"/>
          <w:lang w:val="en-US"/>
        </w:rPr>
      </w:pPr>
    </w:p>
    <w:p w14:paraId="4534D1C5" w14:textId="728CE093" w:rsidR="006B3F46" w:rsidRPr="009978E3" w:rsidRDefault="006B3F46" w:rsidP="00907941">
      <w:pPr>
        <w:jc w:val="both"/>
        <w:rPr>
          <w:rFonts w:eastAsia="MS Mincho"/>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6B3F46" w:rsidRPr="009978E3" w14:paraId="799BCAB3" w14:textId="77777777" w:rsidTr="00907941">
        <w:tc>
          <w:tcPr>
            <w:tcW w:w="4605" w:type="dxa"/>
            <w:shd w:val="clear" w:color="auto" w:fill="auto"/>
          </w:tcPr>
          <w:p w14:paraId="16605E8A"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2.</w:t>
            </w:r>
            <w:r w:rsidRPr="009978E3">
              <w:rPr>
                <w:rFonts w:eastAsia="MS Mincho"/>
                <w:sz w:val="22"/>
                <w:szCs w:val="22"/>
                <w:lang w:val="en-US"/>
              </w:rPr>
              <w:t xml:space="preserve"> Bubbling reefs from Kattegat. </w:t>
            </w:r>
          </w:p>
          <w:p w14:paraId="0A17A429"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Photos</w:t>
            </w:r>
            <w:r>
              <w:rPr>
                <w:rFonts w:eastAsia="MS Mincho"/>
                <w:sz w:val="22"/>
                <w:szCs w:val="22"/>
                <w:lang w:val="en-US"/>
              </w:rPr>
              <w:t>:</w:t>
            </w:r>
            <w:r w:rsidRPr="009978E3">
              <w:rPr>
                <w:rFonts w:eastAsia="MS Mincho"/>
                <w:sz w:val="22"/>
                <w:szCs w:val="22"/>
                <w:lang w:val="en-US"/>
              </w:rPr>
              <w:t xml:space="preserve"> Karsten Dahl</w:t>
            </w:r>
          </w:p>
        </w:tc>
        <w:tc>
          <w:tcPr>
            <w:tcW w:w="4606" w:type="dxa"/>
            <w:shd w:val="clear" w:color="auto" w:fill="auto"/>
          </w:tcPr>
          <w:p w14:paraId="48016C12" w14:textId="77777777" w:rsidR="006B3F46" w:rsidRPr="009978E3" w:rsidRDefault="006B3F46" w:rsidP="00907941">
            <w:pPr>
              <w:jc w:val="both"/>
              <w:rPr>
                <w:rFonts w:eastAsia="MS Mincho"/>
                <w:sz w:val="22"/>
                <w:szCs w:val="22"/>
                <w:lang w:val="en-US"/>
              </w:rPr>
            </w:pPr>
          </w:p>
        </w:tc>
      </w:tr>
      <w:tr w:rsidR="006B3F46" w:rsidRPr="009978E3" w14:paraId="04F783A8" w14:textId="77777777" w:rsidTr="00907941">
        <w:tc>
          <w:tcPr>
            <w:tcW w:w="4605" w:type="dxa"/>
            <w:shd w:val="clear" w:color="auto" w:fill="auto"/>
          </w:tcPr>
          <w:p w14:paraId="68BC1EE6"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27182A4D">
                <v:shape id="_x0000_i1041" type="#_x0000_t75" alt="Søjle-1" style="width:188.25pt;height:141.75pt;visibility:visible">
                  <v:imagedata r:id="rId106" o:title="Søjle-1"/>
                </v:shape>
              </w:pict>
            </w:r>
          </w:p>
        </w:tc>
        <w:tc>
          <w:tcPr>
            <w:tcW w:w="4606" w:type="dxa"/>
            <w:shd w:val="clear" w:color="auto" w:fill="auto"/>
          </w:tcPr>
          <w:p w14:paraId="13FA50B9"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651B9F24">
                <v:shape id="Picture 3" o:spid="_x0000_i1042" type="#_x0000_t75" alt="Udhæng med Laminaria og søanemoner-1" style="width:188.25pt;height:141pt;visibility:visible">
                  <v:imagedata r:id="rId107" o:title="Udhæng med Laminaria og søanemoner-1"/>
                </v:shape>
              </w:pict>
            </w:r>
          </w:p>
        </w:tc>
      </w:tr>
    </w:tbl>
    <w:p w14:paraId="26826B38" w14:textId="77777777" w:rsidR="006B3F46" w:rsidRPr="009978E3" w:rsidRDefault="006B3F46" w:rsidP="00907941">
      <w:pPr>
        <w:rPr>
          <w:rFonts w:eastAsia="MS Mincho"/>
          <w:b/>
          <w:sz w:val="22"/>
          <w:szCs w:val="22"/>
          <w:lang w:val="en-US"/>
        </w:rPr>
      </w:pPr>
    </w:p>
    <w:p w14:paraId="74581D1B"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6B3F46" w:rsidRPr="009978E3" w14:paraId="367ED493" w14:textId="77777777" w:rsidTr="00907941">
        <w:tc>
          <w:tcPr>
            <w:tcW w:w="4605" w:type="dxa"/>
            <w:shd w:val="clear" w:color="auto" w:fill="auto"/>
          </w:tcPr>
          <w:p w14:paraId="736185DF" w14:textId="77777777" w:rsidR="006B3F46"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3</w:t>
            </w:r>
            <w:r w:rsidRPr="009978E3">
              <w:rPr>
                <w:rFonts w:eastAsia="MS Mincho"/>
                <w:sz w:val="22"/>
                <w:szCs w:val="22"/>
                <w:lang w:val="en-US"/>
              </w:rPr>
              <w:t xml:space="preserve">. Distribution of identified bubbling reef areas in the </w:t>
            </w:r>
            <w:r>
              <w:rPr>
                <w:rFonts w:eastAsia="MS Mincho"/>
                <w:sz w:val="22"/>
                <w:szCs w:val="22"/>
                <w:lang w:val="en-US"/>
              </w:rPr>
              <w:t>area meeting</w:t>
            </w:r>
            <w:r w:rsidRPr="009978E3">
              <w:rPr>
                <w:rFonts w:eastAsia="MS Mincho"/>
                <w:sz w:val="22"/>
                <w:szCs w:val="22"/>
                <w:lang w:val="en-US"/>
              </w:rPr>
              <w:t xml:space="preserve"> EBSA </w:t>
            </w:r>
            <w:r>
              <w:rPr>
                <w:rFonts w:eastAsia="MS Mincho"/>
                <w:sz w:val="22"/>
                <w:szCs w:val="22"/>
                <w:lang w:val="en-US"/>
              </w:rPr>
              <w:t>criteria</w:t>
            </w:r>
            <w:r w:rsidRPr="009978E3">
              <w:rPr>
                <w:rFonts w:eastAsia="MS Mincho"/>
                <w:sz w:val="22"/>
                <w:szCs w:val="22"/>
                <w:lang w:val="en-US"/>
              </w:rPr>
              <w:t>.</w:t>
            </w:r>
          </w:p>
          <w:p w14:paraId="7F59BFF5" w14:textId="77777777" w:rsidR="006B3F46" w:rsidRDefault="006B3F46" w:rsidP="00907941">
            <w:pPr>
              <w:jc w:val="both"/>
              <w:rPr>
                <w:rFonts w:eastAsia="MS Mincho"/>
                <w:sz w:val="22"/>
                <w:szCs w:val="22"/>
                <w:lang w:val="en-US"/>
              </w:rPr>
            </w:pPr>
          </w:p>
          <w:p w14:paraId="31261543" w14:textId="77777777" w:rsidR="006B3F46" w:rsidRPr="009978E3" w:rsidRDefault="006B3F46" w:rsidP="00907941">
            <w:pPr>
              <w:jc w:val="both"/>
              <w:rPr>
                <w:rFonts w:eastAsia="MS Mincho"/>
                <w:sz w:val="22"/>
                <w:szCs w:val="22"/>
                <w:lang w:val="en-US"/>
              </w:rPr>
            </w:pPr>
          </w:p>
        </w:tc>
        <w:tc>
          <w:tcPr>
            <w:tcW w:w="4606" w:type="dxa"/>
            <w:shd w:val="clear" w:color="auto" w:fill="auto"/>
          </w:tcPr>
          <w:p w14:paraId="1D0A7D8A" w14:textId="77777777" w:rsidR="006B3F46" w:rsidRPr="00F66EF7" w:rsidRDefault="009E53BE" w:rsidP="00907941">
            <w:pPr>
              <w:jc w:val="both"/>
              <w:rPr>
                <w:rFonts w:eastAsia="MS Mincho"/>
                <w:sz w:val="22"/>
                <w:szCs w:val="22"/>
                <w:highlight w:val="yellow"/>
                <w:lang w:val="en-US"/>
              </w:rPr>
            </w:pPr>
            <w:r>
              <w:rPr>
                <w:rFonts w:eastAsia="MS Mincho"/>
                <w:noProof/>
                <w:sz w:val="22"/>
                <w:szCs w:val="22"/>
                <w:lang w:val="en-US"/>
              </w:rPr>
              <w:pict w14:anchorId="6FB519BE">
                <v:shape id="Picture 4" o:spid="_x0000_i1043" type="#_x0000_t75" alt="DK_Kattegat_BobblingReefs" style="width:219pt;height:282.75pt;visibility:visible">
                  <v:imagedata r:id="rId108" o:title="DK_Kattegat_BobblingReefs"/>
                </v:shape>
              </w:pict>
            </w:r>
          </w:p>
        </w:tc>
      </w:tr>
    </w:tbl>
    <w:p w14:paraId="3AADE325" w14:textId="77777777" w:rsidR="006B3F46" w:rsidRPr="009978E3" w:rsidRDefault="006B3F46" w:rsidP="00907941">
      <w:pPr>
        <w:rPr>
          <w:rFonts w:eastAsia="MS Mincho"/>
          <w:b/>
          <w:sz w:val="22"/>
          <w:szCs w:val="22"/>
          <w:lang w:val="en-US"/>
        </w:rPr>
      </w:pPr>
    </w:p>
    <w:p w14:paraId="3BEFD0D1"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5"/>
      </w:tblGrid>
      <w:tr w:rsidR="006B3F46" w:rsidRPr="009978E3" w14:paraId="2B3B33A5" w14:textId="77777777" w:rsidTr="00907941">
        <w:tc>
          <w:tcPr>
            <w:tcW w:w="4605" w:type="dxa"/>
            <w:shd w:val="clear" w:color="auto" w:fill="auto"/>
          </w:tcPr>
          <w:p w14:paraId="7A2ABB9D" w14:textId="77777777" w:rsidR="006B3F46"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4</w:t>
            </w:r>
            <w:r w:rsidRPr="009978E3">
              <w:rPr>
                <w:rFonts w:eastAsia="MS Mincho"/>
                <w:sz w:val="22"/>
                <w:szCs w:val="22"/>
                <w:lang w:val="en-US"/>
              </w:rPr>
              <w:t xml:space="preserve">. Mapped reef sites within Nature 2000 sites in Danish part of Kattegat. </w:t>
            </w:r>
          </w:p>
          <w:p w14:paraId="546C6022" w14:textId="77777777" w:rsidR="006B3F46" w:rsidRDefault="006B3F46" w:rsidP="00907941">
            <w:pPr>
              <w:jc w:val="both"/>
              <w:rPr>
                <w:rFonts w:eastAsia="MS Mincho"/>
                <w:sz w:val="22"/>
                <w:szCs w:val="22"/>
                <w:lang w:val="en-US"/>
              </w:rPr>
            </w:pPr>
          </w:p>
          <w:p w14:paraId="5CB0D9FB" w14:textId="77777777" w:rsidR="006B3F46" w:rsidRDefault="006B3F46" w:rsidP="00907941">
            <w:pPr>
              <w:jc w:val="both"/>
              <w:rPr>
                <w:rFonts w:eastAsia="MS Mincho"/>
                <w:sz w:val="22"/>
                <w:szCs w:val="22"/>
                <w:lang w:val="en-US"/>
              </w:rPr>
            </w:pPr>
          </w:p>
          <w:p w14:paraId="07A76607"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 </w:t>
            </w:r>
          </w:p>
        </w:tc>
        <w:tc>
          <w:tcPr>
            <w:tcW w:w="4605" w:type="dxa"/>
            <w:shd w:val="clear" w:color="auto" w:fill="auto"/>
          </w:tcPr>
          <w:p w14:paraId="3C01C6FA"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11A97CEC">
                <v:shape id="Picture 5" o:spid="_x0000_i1044" type="#_x0000_t75" alt="DK_Kattegat_BolderReefs" style="width:181.5pt;height:235.5pt;visibility:visible">
                  <v:imagedata r:id="rId109" o:title="DK_Kattegat_BolderReefs"/>
                </v:shape>
              </w:pict>
            </w:r>
          </w:p>
        </w:tc>
      </w:tr>
    </w:tbl>
    <w:p w14:paraId="19391E14" w14:textId="77777777" w:rsidR="006B3F46" w:rsidRPr="009978E3" w:rsidRDefault="006B3F46" w:rsidP="00907941">
      <w:pPr>
        <w:rPr>
          <w:rFonts w:eastAsia="MS Mincho"/>
          <w:b/>
          <w:sz w:val="22"/>
          <w:szCs w:val="22"/>
          <w:lang w:val="en-US"/>
        </w:rPr>
      </w:pPr>
    </w:p>
    <w:p w14:paraId="3F43B6A3"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3"/>
        <w:gridCol w:w="4623"/>
      </w:tblGrid>
      <w:tr w:rsidR="006B3F46" w:rsidRPr="009978E3" w14:paraId="525EA837" w14:textId="77777777" w:rsidTr="00907941">
        <w:tc>
          <w:tcPr>
            <w:tcW w:w="4664" w:type="dxa"/>
            <w:shd w:val="clear" w:color="auto" w:fill="auto"/>
          </w:tcPr>
          <w:p w14:paraId="23C26F19"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2E2A169E">
                <v:shape id="_x0000_i1045" type="#_x0000_t75" alt="total_biomass" style="width:223.5pt;height:270.75pt;visibility:visible">
                  <v:imagedata r:id="rId110" o:title="total_biomass"/>
                </v:shape>
              </w:pict>
            </w:r>
          </w:p>
        </w:tc>
        <w:tc>
          <w:tcPr>
            <w:tcW w:w="4623" w:type="dxa"/>
            <w:shd w:val="clear" w:color="auto" w:fill="auto"/>
          </w:tcPr>
          <w:p w14:paraId="752CCA6D" w14:textId="77777777" w:rsidR="006B3F46" w:rsidRPr="00F66EF7" w:rsidRDefault="006B3F46" w:rsidP="00907941">
            <w:pPr>
              <w:jc w:val="both"/>
              <w:rPr>
                <w:rFonts w:eastAsia="MS Mincho"/>
                <w:sz w:val="22"/>
                <w:szCs w:val="22"/>
                <w:lang w:val="en-US"/>
              </w:rPr>
            </w:pPr>
          </w:p>
        </w:tc>
      </w:tr>
      <w:tr w:rsidR="006B3F46" w:rsidRPr="009978E3" w14:paraId="79A50C71" w14:textId="77777777" w:rsidTr="00907941">
        <w:tc>
          <w:tcPr>
            <w:tcW w:w="9287" w:type="dxa"/>
            <w:gridSpan w:val="2"/>
            <w:shd w:val="clear" w:color="auto" w:fill="auto"/>
          </w:tcPr>
          <w:p w14:paraId="1468201F"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5</w:t>
            </w:r>
            <w:r w:rsidRPr="009978E3">
              <w:rPr>
                <w:rFonts w:eastAsia="MS Mincho"/>
                <w:sz w:val="22"/>
                <w:szCs w:val="22"/>
                <w:lang w:val="en-US"/>
              </w:rPr>
              <w:t>. Left: Biomass distribution of benthic infauna in Kattegat. Right</w:t>
            </w:r>
            <w:r>
              <w:rPr>
                <w:rFonts w:eastAsia="MS Mincho"/>
                <w:sz w:val="22"/>
                <w:szCs w:val="22"/>
                <w:lang w:val="en-US"/>
              </w:rPr>
              <w:t>:</w:t>
            </w:r>
            <w:r w:rsidRPr="009978E3">
              <w:rPr>
                <w:rFonts w:eastAsia="MS Mincho"/>
                <w:sz w:val="22"/>
                <w:szCs w:val="22"/>
                <w:lang w:val="en-US"/>
              </w:rPr>
              <w:t xml:space="preserve"> communities identified based on biomasses in Kattegat (Gogina </w:t>
            </w:r>
            <w:r w:rsidRPr="0006066A">
              <w:rPr>
                <w:rFonts w:eastAsia="MS Mincho"/>
                <w:i/>
                <w:sz w:val="22"/>
                <w:szCs w:val="22"/>
                <w:lang w:val="en-US"/>
              </w:rPr>
              <w:t>et al</w:t>
            </w:r>
            <w:r>
              <w:rPr>
                <w:rFonts w:eastAsia="MS Mincho"/>
                <w:sz w:val="22"/>
                <w:szCs w:val="22"/>
                <w:lang w:val="en-US"/>
              </w:rPr>
              <w:t>.</w:t>
            </w:r>
            <w:r w:rsidRPr="009978E3">
              <w:rPr>
                <w:rFonts w:eastAsia="MS Mincho"/>
                <w:sz w:val="22"/>
                <w:szCs w:val="22"/>
                <w:lang w:val="en-US"/>
              </w:rPr>
              <w:t xml:space="preserve"> 2016)</w:t>
            </w:r>
          </w:p>
        </w:tc>
      </w:tr>
    </w:tbl>
    <w:p w14:paraId="4BDB3A52" w14:textId="77777777" w:rsidR="006B3F46" w:rsidRDefault="006B3F46" w:rsidP="00907941">
      <w:pPr>
        <w:rPr>
          <w:rFonts w:eastAsia="MS Mincho"/>
          <w:b/>
          <w:sz w:val="22"/>
          <w:szCs w:val="22"/>
          <w:lang w:val="en-US"/>
        </w:rPr>
      </w:pPr>
    </w:p>
    <w:p w14:paraId="34592B97" w14:textId="77777777" w:rsidR="006B3F46" w:rsidRDefault="006B3F46" w:rsidP="00907941">
      <w:pPr>
        <w:rPr>
          <w:rFonts w:eastAsia="MS Mincho"/>
          <w:b/>
          <w:sz w:val="22"/>
          <w:szCs w:val="22"/>
          <w:lang w:val="en-US"/>
        </w:rPr>
      </w:pPr>
    </w:p>
    <w:p w14:paraId="5BEA047D" w14:textId="77777777" w:rsidR="006B3F46" w:rsidRDefault="009E53BE" w:rsidP="00907941">
      <w:pPr>
        <w:rPr>
          <w:rFonts w:eastAsia="MS Mincho"/>
          <w:noProof/>
          <w:sz w:val="22"/>
          <w:szCs w:val="22"/>
          <w:lang w:val="en-US"/>
        </w:rPr>
      </w:pPr>
      <w:r>
        <w:rPr>
          <w:rFonts w:eastAsia="MS Mincho"/>
          <w:noProof/>
          <w:sz w:val="22"/>
          <w:szCs w:val="22"/>
          <w:lang w:val="en-US"/>
        </w:rPr>
        <w:pict w14:anchorId="1FB27DAC">
          <v:shape id="_x0000_i1046" type="#_x0000_t75" alt="total_biomass" style="width:424.5pt;height:514.5pt;visibility:visible">
            <v:imagedata r:id="rId110" o:title="total_biomass"/>
          </v:shape>
        </w:pict>
      </w:r>
    </w:p>
    <w:p w14:paraId="3BBB17F0" w14:textId="77777777" w:rsidR="006B3F46" w:rsidRDefault="006B3F46" w:rsidP="00907941">
      <w:pPr>
        <w:rPr>
          <w:rFonts w:eastAsia="MS Mincho"/>
          <w:sz w:val="22"/>
          <w:szCs w:val="22"/>
          <w:lang w:val="en-US"/>
        </w:rPr>
      </w:pPr>
    </w:p>
    <w:p w14:paraId="13921494" w14:textId="77777777" w:rsidR="006B3F46" w:rsidRPr="009978E3" w:rsidRDefault="006B3F46" w:rsidP="00907941">
      <w:pPr>
        <w:rPr>
          <w:rFonts w:eastAsia="MS Mincho"/>
          <w:b/>
          <w:sz w:val="22"/>
          <w:szCs w:val="22"/>
          <w:lang w:val="en-US"/>
        </w:rPr>
      </w:pPr>
      <w:r w:rsidRPr="009978E3">
        <w:rPr>
          <w:rFonts w:eastAsia="MS Mincho"/>
          <w:sz w:val="22"/>
          <w:szCs w:val="22"/>
          <w:lang w:val="en-US"/>
        </w:rPr>
        <w:t xml:space="preserve">Figure </w:t>
      </w:r>
      <w:r>
        <w:rPr>
          <w:rFonts w:eastAsia="MS Mincho"/>
          <w:sz w:val="22"/>
          <w:szCs w:val="22"/>
          <w:lang w:val="en-US"/>
        </w:rPr>
        <w:t>5A</w:t>
      </w:r>
      <w:r w:rsidRPr="009978E3">
        <w:rPr>
          <w:rFonts w:eastAsia="MS Mincho"/>
          <w:sz w:val="22"/>
          <w:szCs w:val="22"/>
          <w:lang w:val="en-US"/>
        </w:rPr>
        <w:t>. Biomass distribution of benthic infauna in Kattegat</w:t>
      </w:r>
      <w:r>
        <w:rPr>
          <w:rFonts w:eastAsia="MS Mincho"/>
          <w:sz w:val="22"/>
          <w:szCs w:val="22"/>
          <w:lang w:val="en-US"/>
        </w:rPr>
        <w:t xml:space="preserve"> </w:t>
      </w:r>
      <w:r w:rsidRPr="009978E3">
        <w:rPr>
          <w:rFonts w:eastAsia="MS Mincho"/>
          <w:sz w:val="22"/>
          <w:szCs w:val="22"/>
          <w:lang w:val="en-US"/>
        </w:rPr>
        <w:t xml:space="preserve">(Gogina </w:t>
      </w:r>
      <w:r w:rsidRPr="0006066A">
        <w:rPr>
          <w:rFonts w:eastAsia="MS Mincho"/>
          <w:i/>
          <w:sz w:val="22"/>
          <w:szCs w:val="22"/>
          <w:lang w:val="en-US"/>
        </w:rPr>
        <w:t>et al</w:t>
      </w:r>
      <w:r>
        <w:rPr>
          <w:rFonts w:eastAsia="MS Mincho"/>
          <w:sz w:val="22"/>
          <w:szCs w:val="22"/>
          <w:lang w:val="en-US"/>
        </w:rPr>
        <w:t>.</w:t>
      </w:r>
      <w:r w:rsidRPr="009978E3">
        <w:rPr>
          <w:rFonts w:eastAsia="MS Mincho"/>
          <w:sz w:val="22"/>
          <w:szCs w:val="22"/>
          <w:lang w:val="en-US"/>
        </w:rPr>
        <w:t xml:space="preserve"> 2016)</w:t>
      </w:r>
    </w:p>
    <w:p w14:paraId="662C22B1" w14:textId="77777777" w:rsidR="006B3F46" w:rsidRDefault="006B3F46" w:rsidP="00907941">
      <w:pPr>
        <w:rPr>
          <w:rFonts w:eastAsia="MS Mincho"/>
          <w:sz w:val="22"/>
          <w:szCs w:val="22"/>
          <w:lang w:val="en-US"/>
        </w:rPr>
      </w:pPr>
    </w:p>
    <w:p w14:paraId="463BD198" w14:textId="77777777" w:rsidR="006B3F46" w:rsidRDefault="006B3F46" w:rsidP="00907941">
      <w:pPr>
        <w:rPr>
          <w:rFonts w:eastAsia="MS Mincho"/>
          <w:sz w:val="22"/>
          <w:szCs w:val="22"/>
          <w:lang w:val="en-US"/>
        </w:rPr>
      </w:pPr>
    </w:p>
    <w:p w14:paraId="7FE48044" w14:textId="77777777" w:rsidR="006B3F46" w:rsidRDefault="009E53BE" w:rsidP="00907941">
      <w:pPr>
        <w:rPr>
          <w:rFonts w:eastAsia="MS Mincho"/>
          <w:sz w:val="22"/>
          <w:szCs w:val="22"/>
          <w:lang w:val="en-US"/>
        </w:rPr>
      </w:pPr>
      <w:r>
        <w:rPr>
          <w:rFonts w:eastAsia="MS Mincho"/>
          <w:b/>
          <w:sz w:val="22"/>
          <w:szCs w:val="22"/>
          <w:lang w:val="en-US"/>
        </w:rPr>
        <w:pict w14:anchorId="1D8BF3E5">
          <v:shape id="_x0000_i1047" type="#_x0000_t75" style="width:453pt;height:421.5pt">
            <v:imagedata r:id="rId111" o:title="biomassbased_communities_legend (002)"/>
          </v:shape>
        </w:pict>
      </w:r>
    </w:p>
    <w:p w14:paraId="7C19BEEA" w14:textId="77777777" w:rsidR="006B3F46" w:rsidRDefault="006B3F46" w:rsidP="00907941">
      <w:pPr>
        <w:rPr>
          <w:rFonts w:eastAsia="MS Mincho"/>
          <w:sz w:val="22"/>
          <w:szCs w:val="22"/>
          <w:lang w:val="en-US"/>
        </w:rPr>
      </w:pPr>
    </w:p>
    <w:p w14:paraId="02BE0DEC" w14:textId="77777777" w:rsidR="006B3F46" w:rsidRDefault="006B3F46" w:rsidP="00907941">
      <w:pPr>
        <w:rPr>
          <w:rFonts w:eastAsia="MS Mincho"/>
          <w:sz w:val="22"/>
          <w:szCs w:val="22"/>
          <w:lang w:val="en-US"/>
        </w:rPr>
      </w:pPr>
    </w:p>
    <w:p w14:paraId="5028D466" w14:textId="77777777" w:rsidR="006B3F46" w:rsidRPr="009978E3" w:rsidRDefault="006B3F46" w:rsidP="00907941">
      <w:pPr>
        <w:rPr>
          <w:rFonts w:eastAsia="MS Mincho"/>
          <w:b/>
          <w:sz w:val="22"/>
          <w:szCs w:val="22"/>
          <w:lang w:val="en-US"/>
        </w:rPr>
      </w:pPr>
      <w:r w:rsidRPr="009978E3">
        <w:rPr>
          <w:rFonts w:eastAsia="MS Mincho"/>
          <w:sz w:val="22"/>
          <w:szCs w:val="22"/>
          <w:lang w:val="en-US"/>
        </w:rPr>
        <w:t xml:space="preserve">Figure </w:t>
      </w:r>
      <w:r>
        <w:rPr>
          <w:rFonts w:eastAsia="MS Mincho"/>
          <w:sz w:val="22"/>
          <w:szCs w:val="22"/>
          <w:lang w:val="en-US"/>
        </w:rPr>
        <w:t>5B.</w:t>
      </w:r>
      <w:r w:rsidRPr="009978E3">
        <w:rPr>
          <w:rFonts w:eastAsia="MS Mincho"/>
          <w:sz w:val="22"/>
          <w:szCs w:val="22"/>
          <w:lang w:val="en-US"/>
        </w:rPr>
        <w:t xml:space="preserve"> communities identified based on biomasses in Kattegat (Gogina </w:t>
      </w:r>
      <w:r w:rsidRPr="0006066A">
        <w:rPr>
          <w:rFonts w:eastAsia="MS Mincho"/>
          <w:i/>
          <w:sz w:val="22"/>
          <w:szCs w:val="22"/>
          <w:lang w:val="en-US"/>
        </w:rPr>
        <w:t>et al</w:t>
      </w:r>
      <w:r>
        <w:rPr>
          <w:rFonts w:eastAsia="MS Mincho"/>
          <w:sz w:val="22"/>
          <w:szCs w:val="22"/>
          <w:lang w:val="en-US"/>
        </w:rPr>
        <w:t>.</w:t>
      </w:r>
      <w:r w:rsidRPr="009978E3">
        <w:rPr>
          <w:rFonts w:eastAsia="MS Mincho"/>
          <w:sz w:val="22"/>
          <w:szCs w:val="22"/>
          <w:lang w:val="en-US"/>
        </w:rPr>
        <w:t xml:space="preserve"> 2016)</w:t>
      </w:r>
    </w:p>
    <w:p w14:paraId="496939B4"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9"/>
        <w:gridCol w:w="5591"/>
      </w:tblGrid>
      <w:tr w:rsidR="006B3F46" w:rsidRPr="009978E3" w14:paraId="2452044F" w14:textId="77777777" w:rsidTr="00907941">
        <w:tc>
          <w:tcPr>
            <w:tcW w:w="4605" w:type="dxa"/>
            <w:shd w:val="clear" w:color="auto" w:fill="auto"/>
          </w:tcPr>
          <w:p w14:paraId="64D78767" w14:textId="5FC17C7C"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6</w:t>
            </w:r>
          </w:p>
          <w:p w14:paraId="3B727287" w14:textId="77777777" w:rsidR="006B3F46" w:rsidRPr="009978E3" w:rsidRDefault="006B3F46" w:rsidP="00907941">
            <w:pPr>
              <w:jc w:val="both"/>
              <w:rPr>
                <w:rFonts w:eastAsia="MS Mincho"/>
                <w:sz w:val="22"/>
                <w:szCs w:val="22"/>
                <w:lang w:val="en-US"/>
              </w:rPr>
            </w:pPr>
          </w:p>
          <w:p w14:paraId="30A08567"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Video survey conducted by Denmark and Sweden in Kattegat describing the density of burrows of Norway lobster (Anon 2018)</w:t>
            </w:r>
            <w:r>
              <w:rPr>
                <w:rFonts w:eastAsia="MS Mincho"/>
                <w:sz w:val="22"/>
                <w:szCs w:val="22"/>
                <w:lang w:val="en-US"/>
              </w:rPr>
              <w:t>.</w:t>
            </w:r>
          </w:p>
          <w:p w14:paraId="192A8A86" w14:textId="77777777" w:rsidR="006B3F46" w:rsidRPr="009978E3" w:rsidRDefault="006B3F46" w:rsidP="00907941">
            <w:pPr>
              <w:jc w:val="both"/>
              <w:rPr>
                <w:rFonts w:eastAsia="MS Mincho"/>
                <w:sz w:val="22"/>
                <w:szCs w:val="22"/>
                <w:lang w:val="en-US"/>
              </w:rPr>
            </w:pPr>
          </w:p>
          <w:p w14:paraId="101102CF" w14:textId="77777777" w:rsidR="006B3F46" w:rsidRPr="009978E3" w:rsidRDefault="006B3F46" w:rsidP="00907941">
            <w:pPr>
              <w:jc w:val="both"/>
              <w:rPr>
                <w:rFonts w:eastAsia="MS Mincho"/>
                <w:sz w:val="22"/>
                <w:szCs w:val="22"/>
                <w:lang w:val="en-US"/>
              </w:rPr>
            </w:pPr>
          </w:p>
        </w:tc>
        <w:tc>
          <w:tcPr>
            <w:tcW w:w="4606" w:type="dxa"/>
            <w:shd w:val="clear" w:color="auto" w:fill="auto"/>
          </w:tcPr>
          <w:p w14:paraId="77A587A7" w14:textId="77777777" w:rsidR="006B3F46" w:rsidRPr="00F66EF7" w:rsidRDefault="009E53BE" w:rsidP="00907941">
            <w:pPr>
              <w:jc w:val="both"/>
              <w:rPr>
                <w:rFonts w:eastAsia="MS Mincho"/>
                <w:sz w:val="22"/>
                <w:szCs w:val="22"/>
                <w:lang w:val="en-US"/>
              </w:rPr>
            </w:pPr>
            <w:r>
              <w:rPr>
                <w:noProof/>
                <w:sz w:val="22"/>
                <w:szCs w:val="22"/>
              </w:rPr>
              <w:pict w14:anchorId="79F7890B">
                <v:shape id="Picture 24" o:spid="_x0000_s1029" type="#_x0000_t75" style="position:absolute;left:0;text-align:left;margin-left:-1.75pt;margin-top:17.3pt;width:268.35pt;height:285.6pt;z-index:251661824;visibility:visible;mso-wrap-edited:f;mso-position-horizontal-relative:text;mso-position-vertical-relative:text">
                  <v:imagedata r:id="rId112" o:title=""/>
                  <w10:wrap type="topAndBottom"/>
                </v:shape>
              </w:pict>
            </w:r>
          </w:p>
        </w:tc>
      </w:tr>
    </w:tbl>
    <w:p w14:paraId="797C213D"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6B3F46" w:rsidRPr="009978E3" w14:paraId="408978E8" w14:textId="77777777" w:rsidTr="00907941">
        <w:tc>
          <w:tcPr>
            <w:tcW w:w="4605" w:type="dxa"/>
            <w:shd w:val="clear" w:color="auto" w:fill="auto"/>
          </w:tcPr>
          <w:p w14:paraId="2A14197F" w14:textId="1CD19723"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7</w:t>
            </w:r>
          </w:p>
          <w:p w14:paraId="6022EC2F"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F</w:t>
            </w:r>
            <w:r w:rsidRPr="009978E3">
              <w:rPr>
                <w:rFonts w:eastAsia="MS Mincho"/>
                <w:sz w:val="22"/>
                <w:szCs w:val="22"/>
              </w:rPr>
              <w:t xml:space="preserve">rom mapping of the Haploops community in southern Kattegat by Petersen (1913). Community distribution encircled </w:t>
            </w:r>
            <w:r>
              <w:rPr>
                <w:rFonts w:eastAsia="MS Mincho"/>
                <w:sz w:val="22"/>
                <w:szCs w:val="22"/>
              </w:rPr>
              <w:t>in</w:t>
            </w:r>
            <w:r w:rsidRPr="009978E3">
              <w:rPr>
                <w:rFonts w:eastAsia="MS Mincho"/>
                <w:sz w:val="22"/>
                <w:szCs w:val="22"/>
              </w:rPr>
              <w:t xml:space="preserve"> black.</w:t>
            </w:r>
          </w:p>
        </w:tc>
        <w:tc>
          <w:tcPr>
            <w:tcW w:w="4606" w:type="dxa"/>
            <w:shd w:val="clear" w:color="auto" w:fill="auto"/>
          </w:tcPr>
          <w:p w14:paraId="36CBB91E" w14:textId="77777777" w:rsidR="006B3F46" w:rsidRPr="00F66EF7" w:rsidRDefault="009E53BE" w:rsidP="00907941">
            <w:pPr>
              <w:jc w:val="both"/>
              <w:rPr>
                <w:rFonts w:eastAsia="MS Mincho"/>
                <w:sz w:val="22"/>
                <w:szCs w:val="22"/>
                <w:lang w:val="en-US"/>
              </w:rPr>
            </w:pPr>
            <w:r>
              <w:rPr>
                <w:noProof/>
                <w:sz w:val="22"/>
                <w:szCs w:val="22"/>
              </w:rPr>
              <w:pict w14:anchorId="28516535">
                <v:shape id="Picture 25" o:spid="_x0000_s1030" type="#_x0000_t75" style="position:absolute;left:0;text-align:left;margin-left:20.1pt;margin-top:12.1pt;width:2in;height:201.6pt;z-index:251662848;visibility:visible;mso-wrap-edited:f;mso-position-horizontal-relative:text;mso-position-vertical-relative:text">
                  <v:imagedata r:id="rId113" o:title=""/>
                  <w10:wrap type="topAndBottom"/>
                </v:shape>
              </w:pict>
            </w:r>
          </w:p>
        </w:tc>
      </w:tr>
    </w:tbl>
    <w:p w14:paraId="74F04148" w14:textId="77777777" w:rsidR="006B3F46" w:rsidRPr="009978E3" w:rsidRDefault="006B3F46" w:rsidP="00907941">
      <w:pPr>
        <w:rPr>
          <w:rFonts w:eastAsia="MS Mincho"/>
          <w:b/>
          <w:sz w:val="22"/>
          <w:szCs w:val="22"/>
          <w:lang w:val="en-US"/>
        </w:rPr>
      </w:pPr>
    </w:p>
    <w:p w14:paraId="400561AA"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6B3F46" w:rsidRPr="009978E3" w14:paraId="3F112FA8" w14:textId="77777777" w:rsidTr="00907941">
        <w:tc>
          <w:tcPr>
            <w:tcW w:w="4605" w:type="dxa"/>
            <w:shd w:val="clear" w:color="auto" w:fill="auto"/>
          </w:tcPr>
          <w:p w14:paraId="221690E3" w14:textId="21906D9A" w:rsidR="006533D9"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8</w:t>
            </w:r>
            <w:r w:rsidRPr="009978E3">
              <w:rPr>
                <w:rFonts w:eastAsia="MS Mincho"/>
                <w:sz w:val="22"/>
                <w:szCs w:val="22"/>
                <w:lang w:val="en-US"/>
              </w:rPr>
              <w:t xml:space="preserve"> </w:t>
            </w:r>
          </w:p>
          <w:p w14:paraId="29809000" w14:textId="2F9FD762" w:rsidR="006B3F46" w:rsidRDefault="006B3F46" w:rsidP="00907941">
            <w:pPr>
              <w:jc w:val="both"/>
              <w:rPr>
                <w:rFonts w:eastAsia="MS Mincho"/>
                <w:sz w:val="22"/>
                <w:szCs w:val="22"/>
                <w:lang w:val="en-US"/>
              </w:rPr>
            </w:pPr>
            <w:r w:rsidRPr="009978E3">
              <w:rPr>
                <w:rFonts w:eastAsia="MS Mincho"/>
                <w:i/>
                <w:sz w:val="22"/>
                <w:szCs w:val="22"/>
                <w:lang w:val="en-US"/>
              </w:rPr>
              <w:t>Modiolus modiolus</w:t>
            </w:r>
            <w:r w:rsidRPr="009978E3">
              <w:rPr>
                <w:rFonts w:eastAsia="MS Mincho"/>
                <w:sz w:val="22"/>
                <w:szCs w:val="22"/>
                <w:lang w:val="en-US"/>
              </w:rPr>
              <w:t xml:space="preserve"> finding in the Danish part of Kattegat. One finding north of the island Læsø became </w:t>
            </w:r>
            <w:r w:rsidRPr="00EC5399">
              <w:rPr>
                <w:rFonts w:eastAsia="MS Mincho"/>
                <w:sz w:val="22"/>
                <w:szCs w:val="22"/>
                <w:lang w:val="en-US"/>
              </w:rPr>
              <w:t>extinct in the 1990s after severe oxygen deficiency. Source: Danish National monitoring program.</w:t>
            </w:r>
          </w:p>
          <w:p w14:paraId="4421104A" w14:textId="77777777" w:rsidR="006B3F46" w:rsidRDefault="006B3F46" w:rsidP="00907941">
            <w:pPr>
              <w:jc w:val="both"/>
              <w:rPr>
                <w:rFonts w:eastAsia="MS Mincho"/>
                <w:sz w:val="22"/>
                <w:szCs w:val="22"/>
                <w:lang w:val="en-US"/>
              </w:rPr>
            </w:pPr>
          </w:p>
          <w:p w14:paraId="437ABAE1" w14:textId="77777777" w:rsidR="006B3F46" w:rsidRPr="009978E3" w:rsidRDefault="006B3F46" w:rsidP="00907941">
            <w:pPr>
              <w:jc w:val="both"/>
              <w:rPr>
                <w:rFonts w:eastAsia="MS Mincho"/>
                <w:sz w:val="22"/>
                <w:szCs w:val="22"/>
                <w:lang w:val="en-US"/>
              </w:rPr>
            </w:pPr>
          </w:p>
        </w:tc>
        <w:tc>
          <w:tcPr>
            <w:tcW w:w="4606" w:type="dxa"/>
            <w:shd w:val="clear" w:color="auto" w:fill="auto"/>
          </w:tcPr>
          <w:p w14:paraId="566014F7"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1D186BD0">
                <v:shape id="Picture 10" o:spid="_x0000_i1048" type="#_x0000_t75" alt="DK_Kattegat_M_M_modiolus" style="width:201pt;height:259.5pt;visibility:visible">
                  <v:imagedata r:id="rId114" o:title="DK_Kattegat_M_M_modiolus"/>
                </v:shape>
              </w:pict>
            </w:r>
          </w:p>
        </w:tc>
      </w:tr>
    </w:tbl>
    <w:p w14:paraId="115E1767" w14:textId="77777777" w:rsidR="006B3F46" w:rsidRPr="009978E3" w:rsidRDefault="006B3F46" w:rsidP="00907941">
      <w:pPr>
        <w:rPr>
          <w:rFonts w:eastAsia="MS Mincho"/>
          <w:b/>
          <w:sz w:val="22"/>
          <w:szCs w:val="22"/>
          <w:lang w:val="en-US"/>
        </w:rPr>
      </w:pPr>
    </w:p>
    <w:p w14:paraId="61B475F3"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0"/>
        <w:gridCol w:w="5460"/>
      </w:tblGrid>
      <w:tr w:rsidR="006B3F46" w:rsidRPr="009978E3" w14:paraId="1A36F9EE" w14:textId="77777777" w:rsidTr="00907941">
        <w:tc>
          <w:tcPr>
            <w:tcW w:w="4605" w:type="dxa"/>
            <w:shd w:val="clear" w:color="auto" w:fill="auto"/>
          </w:tcPr>
          <w:p w14:paraId="48882122" w14:textId="77777777" w:rsidR="006533D9" w:rsidRDefault="006B3F46" w:rsidP="00907941">
            <w:pPr>
              <w:jc w:val="both"/>
              <w:rPr>
                <w:rFonts w:eastAsia="MS Mincho"/>
                <w:sz w:val="22"/>
                <w:szCs w:val="22"/>
                <w:lang w:val="en-US"/>
              </w:rPr>
            </w:pPr>
            <w:r w:rsidRPr="0021277B">
              <w:rPr>
                <w:rFonts w:eastAsia="MS Mincho"/>
                <w:sz w:val="22"/>
                <w:szCs w:val="22"/>
                <w:lang w:val="en-US"/>
              </w:rPr>
              <w:t>Figure 9</w:t>
            </w:r>
          </w:p>
          <w:p w14:paraId="631DD992" w14:textId="3CC96CB6" w:rsidR="006B3F46" w:rsidRDefault="006B3F46" w:rsidP="00907941">
            <w:pPr>
              <w:jc w:val="both"/>
              <w:rPr>
                <w:rFonts w:eastAsia="MS Mincho"/>
                <w:sz w:val="22"/>
                <w:szCs w:val="22"/>
                <w:lang w:val="en-US"/>
              </w:rPr>
            </w:pPr>
            <w:r w:rsidRPr="0021277B">
              <w:rPr>
                <w:rFonts w:eastAsia="MS Mincho"/>
                <w:sz w:val="22"/>
                <w:szCs w:val="22"/>
                <w:lang w:val="en-US"/>
              </w:rPr>
              <w:t xml:space="preserve">Potential eelgrass distribution in Danish waters modelled by Stæhr </w:t>
            </w:r>
            <w:r w:rsidRPr="0006066A">
              <w:rPr>
                <w:rFonts w:eastAsia="MS Mincho"/>
                <w:i/>
                <w:sz w:val="22"/>
                <w:szCs w:val="22"/>
                <w:lang w:val="en-US"/>
              </w:rPr>
              <w:t>et al</w:t>
            </w:r>
            <w:r>
              <w:rPr>
                <w:rFonts w:eastAsia="MS Mincho"/>
                <w:sz w:val="22"/>
                <w:szCs w:val="22"/>
                <w:lang w:val="en-US"/>
              </w:rPr>
              <w:t>.</w:t>
            </w:r>
            <w:r w:rsidRPr="0021277B">
              <w:rPr>
                <w:rFonts w:eastAsia="MS Mincho"/>
                <w:sz w:val="22"/>
                <w:szCs w:val="22"/>
                <w:lang w:val="en-US"/>
              </w:rPr>
              <w:t xml:space="preserve"> 2019. </w:t>
            </w:r>
          </w:p>
          <w:p w14:paraId="0B309E45" w14:textId="77777777" w:rsidR="006B3F46" w:rsidRDefault="006B3F46" w:rsidP="00907941">
            <w:pPr>
              <w:jc w:val="both"/>
              <w:rPr>
                <w:rFonts w:eastAsia="MS Mincho"/>
                <w:sz w:val="22"/>
                <w:szCs w:val="22"/>
                <w:lang w:val="en-US"/>
              </w:rPr>
            </w:pPr>
          </w:p>
          <w:p w14:paraId="63346394" w14:textId="77777777" w:rsidR="006B3F46" w:rsidRPr="0021277B" w:rsidRDefault="006B3F46" w:rsidP="00907941">
            <w:pPr>
              <w:jc w:val="both"/>
              <w:rPr>
                <w:rFonts w:eastAsia="MS Mincho"/>
                <w:sz w:val="22"/>
                <w:szCs w:val="22"/>
                <w:lang w:val="en-US"/>
              </w:rPr>
            </w:pPr>
          </w:p>
        </w:tc>
        <w:tc>
          <w:tcPr>
            <w:tcW w:w="4606" w:type="dxa"/>
            <w:shd w:val="clear" w:color="auto" w:fill="auto"/>
          </w:tcPr>
          <w:p w14:paraId="6BDD0C8A" w14:textId="77777777" w:rsidR="006B3F46" w:rsidRPr="00F66EF7" w:rsidRDefault="009E53BE" w:rsidP="00907941">
            <w:pPr>
              <w:jc w:val="both"/>
              <w:rPr>
                <w:rFonts w:eastAsia="MS Mincho"/>
                <w:i/>
                <w:sz w:val="22"/>
                <w:szCs w:val="22"/>
                <w:lang w:val="en-US"/>
              </w:rPr>
            </w:pPr>
            <w:r>
              <w:rPr>
                <w:rFonts w:eastAsia="MS Mincho"/>
                <w:i/>
                <w:noProof/>
                <w:sz w:val="22"/>
                <w:szCs w:val="22"/>
                <w:lang w:val="en-US"/>
              </w:rPr>
              <w:pict w14:anchorId="4CECD950">
                <v:shape id="_x0000_i1049" type="#_x0000_t75" style="width:262.5pt;height:189.75pt;visibility:visible">
                  <v:imagedata r:id="rId115" o:title=""/>
                </v:shape>
              </w:pict>
            </w:r>
          </w:p>
        </w:tc>
      </w:tr>
    </w:tbl>
    <w:p w14:paraId="4A1ED33C" w14:textId="77777777" w:rsidR="006B3F46" w:rsidRPr="009978E3" w:rsidRDefault="006B3F46" w:rsidP="00907941">
      <w:pPr>
        <w:rPr>
          <w:rFonts w:eastAsia="MS Mincho"/>
          <w:b/>
          <w:sz w:val="22"/>
          <w:szCs w:val="22"/>
          <w:lang w:val="en-US"/>
        </w:rPr>
      </w:pPr>
    </w:p>
    <w:p w14:paraId="1B9A9258" w14:textId="77777777" w:rsidR="006B3F46" w:rsidRPr="009978E3" w:rsidRDefault="006B3F46" w:rsidP="00907941">
      <w:pPr>
        <w:rPr>
          <w:rFonts w:eastAsia="MS Mincho"/>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8"/>
        <w:gridCol w:w="6252"/>
      </w:tblGrid>
      <w:tr w:rsidR="006B3F46" w:rsidRPr="009978E3" w14:paraId="7AE0721C" w14:textId="77777777" w:rsidTr="00907941">
        <w:tc>
          <w:tcPr>
            <w:tcW w:w="4605" w:type="dxa"/>
            <w:shd w:val="clear" w:color="auto" w:fill="auto"/>
          </w:tcPr>
          <w:p w14:paraId="13ED02E1" w14:textId="77777777" w:rsidR="006B3F46" w:rsidRPr="009978E3" w:rsidRDefault="006B3F46" w:rsidP="00907941">
            <w:pPr>
              <w:jc w:val="both"/>
              <w:rPr>
                <w:rFonts w:eastAsia="MS Mincho"/>
                <w:sz w:val="22"/>
                <w:szCs w:val="22"/>
                <w:lang w:val="en-US"/>
              </w:rPr>
            </w:pPr>
            <w:bookmarkStart w:id="19" w:name="_Hlk23509935"/>
            <w:r w:rsidRPr="009978E3">
              <w:rPr>
                <w:rFonts w:eastAsia="MS Mincho"/>
                <w:sz w:val="22"/>
                <w:szCs w:val="22"/>
                <w:lang w:val="en-US"/>
              </w:rPr>
              <w:t xml:space="preserve">Figure </w:t>
            </w:r>
            <w:r>
              <w:rPr>
                <w:rFonts w:eastAsia="MS Mincho"/>
                <w:sz w:val="22"/>
                <w:szCs w:val="22"/>
                <w:lang w:val="en-US"/>
              </w:rPr>
              <w:t xml:space="preserve">10. </w:t>
            </w:r>
            <w:r w:rsidRPr="009978E3">
              <w:rPr>
                <w:rFonts w:eastAsia="MS Mincho"/>
                <w:sz w:val="22"/>
                <w:szCs w:val="22"/>
                <w:lang w:val="en-US"/>
              </w:rPr>
              <w:t xml:space="preserve">North Sea population (upper figures in two time periods and in summer and winter) and Belt Sea population </w:t>
            </w:r>
            <w:r>
              <w:rPr>
                <w:rFonts w:eastAsia="MS Mincho"/>
                <w:sz w:val="22"/>
                <w:szCs w:val="22"/>
                <w:lang w:val="en-US"/>
              </w:rPr>
              <w:t>(</w:t>
            </w:r>
            <w:r w:rsidRPr="009978E3">
              <w:rPr>
                <w:rFonts w:eastAsia="MS Mincho"/>
                <w:sz w:val="22"/>
                <w:szCs w:val="22"/>
                <w:lang w:val="en-US"/>
              </w:rPr>
              <w:t>lower figures in two periods and in summer and winter</w:t>
            </w:r>
            <w:r>
              <w:rPr>
                <w:rFonts w:eastAsia="MS Mincho"/>
                <w:sz w:val="22"/>
                <w:szCs w:val="22"/>
                <w:lang w:val="en-US"/>
              </w:rPr>
              <w:t>) of h</w:t>
            </w:r>
            <w:r w:rsidRPr="009978E3">
              <w:rPr>
                <w:rFonts w:eastAsia="MS Mincho"/>
                <w:sz w:val="22"/>
                <w:szCs w:val="22"/>
                <w:lang w:val="en-US"/>
              </w:rPr>
              <w:t xml:space="preserve">arbour porpoise </w:t>
            </w:r>
            <w:r>
              <w:rPr>
                <w:rFonts w:eastAsia="MS Mincho"/>
                <w:sz w:val="22"/>
                <w:szCs w:val="22"/>
                <w:lang w:val="en-US"/>
              </w:rPr>
              <w:t>of</w:t>
            </w:r>
            <w:r w:rsidRPr="009978E3">
              <w:rPr>
                <w:rFonts w:eastAsia="MS Mincho"/>
                <w:sz w:val="22"/>
                <w:szCs w:val="22"/>
                <w:lang w:val="en-US"/>
              </w:rPr>
              <w:t xml:space="preserve"> Kattegat</w:t>
            </w:r>
            <w:r>
              <w:rPr>
                <w:rFonts w:eastAsia="MS Mincho"/>
                <w:sz w:val="22"/>
                <w:szCs w:val="22"/>
                <w:lang w:val="en-US"/>
              </w:rPr>
              <w:t>.</w:t>
            </w:r>
            <w:r w:rsidRPr="009978E3">
              <w:rPr>
                <w:rFonts w:eastAsia="MS Mincho"/>
                <w:sz w:val="22"/>
                <w:szCs w:val="22"/>
                <w:lang w:val="en-US"/>
              </w:rPr>
              <w:t xml:space="preserve"> </w:t>
            </w:r>
            <w:bookmarkEnd w:id="19"/>
          </w:p>
        </w:tc>
        <w:tc>
          <w:tcPr>
            <w:tcW w:w="4606" w:type="dxa"/>
            <w:shd w:val="clear" w:color="auto" w:fill="auto"/>
          </w:tcPr>
          <w:p w14:paraId="06941B1A"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3559A83B">
                <v:shape id="Picture 12" o:spid="_x0000_i1050" type="#_x0000_t75" alt="HPorpoise_North" style="width:300.75pt;height:265.5pt;visibility:visible">
                  <v:imagedata r:id="rId116" o:title="HPorpoise_North"/>
                </v:shape>
              </w:pict>
            </w:r>
          </w:p>
        </w:tc>
      </w:tr>
      <w:tr w:rsidR="006B3F46" w:rsidRPr="009978E3" w14:paraId="05D3FE88" w14:textId="77777777" w:rsidTr="00907941">
        <w:tc>
          <w:tcPr>
            <w:tcW w:w="4605" w:type="dxa"/>
            <w:shd w:val="clear" w:color="auto" w:fill="auto"/>
          </w:tcPr>
          <w:p w14:paraId="0F8688D2" w14:textId="77777777" w:rsidR="006B3F46" w:rsidRPr="009978E3" w:rsidRDefault="006B3F46" w:rsidP="00907941">
            <w:pPr>
              <w:jc w:val="both"/>
              <w:rPr>
                <w:rFonts w:eastAsia="MS Mincho"/>
                <w:sz w:val="22"/>
                <w:szCs w:val="22"/>
                <w:lang w:val="en-US"/>
              </w:rPr>
            </w:pPr>
          </w:p>
        </w:tc>
        <w:tc>
          <w:tcPr>
            <w:tcW w:w="4606" w:type="dxa"/>
            <w:shd w:val="clear" w:color="auto" w:fill="auto"/>
          </w:tcPr>
          <w:p w14:paraId="373BA274"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4B97B4ED">
                <v:shape id="Picture 13" o:spid="_x0000_i1051" type="#_x0000_t75" alt="HPorpoise_Soutn" style="width:301.5pt;height:266.25pt;visibility:visible">
                  <v:imagedata r:id="rId117" o:title="HPorpoise_Soutn"/>
                </v:shape>
              </w:pict>
            </w:r>
          </w:p>
        </w:tc>
      </w:tr>
    </w:tbl>
    <w:p w14:paraId="30D85856" w14:textId="77777777" w:rsidR="006B3F46" w:rsidRPr="009978E3" w:rsidRDefault="006B3F46" w:rsidP="00907941">
      <w:pPr>
        <w:rPr>
          <w:rFonts w:eastAsia="MS Mincho"/>
          <w:b/>
          <w:sz w:val="22"/>
          <w:szCs w:val="22"/>
          <w:lang w:val="en-US"/>
        </w:rPr>
      </w:pPr>
    </w:p>
    <w:p w14:paraId="76C1A62B" w14:textId="77777777" w:rsidR="006B3F46" w:rsidRPr="009978E3" w:rsidRDefault="006B3F46" w:rsidP="00907941">
      <w:pPr>
        <w:rPr>
          <w:rFonts w:eastAsia="MS Mincho"/>
          <w:b/>
          <w:sz w:val="22"/>
          <w:szCs w:val="22"/>
          <w:lang w:val="en-US"/>
        </w:rPr>
      </w:pPr>
    </w:p>
    <w:p w14:paraId="7E10B208"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1604CB9B">
          <v:shape id="Picture 1" o:spid="_x0000_i1052" type="#_x0000_t75" style="width:425.25pt;height:284.25pt;visibility:visible">
            <v:imagedata r:id="rId118" o:title=""/>
          </v:shape>
        </w:pict>
      </w:r>
    </w:p>
    <w:p w14:paraId="618AEB31" w14:textId="77777777" w:rsidR="006B3F46" w:rsidRDefault="006B3F46" w:rsidP="00907941">
      <w:pPr>
        <w:rPr>
          <w:sz w:val="22"/>
          <w:szCs w:val="22"/>
          <w:lang w:val="en-US"/>
        </w:rPr>
      </w:pPr>
      <w:bookmarkStart w:id="20" w:name="_Hlk23509968"/>
      <w:r w:rsidRPr="0021277B">
        <w:rPr>
          <w:rFonts w:eastAsia="MS Mincho"/>
          <w:iCs/>
          <w:sz w:val="22"/>
          <w:szCs w:val="22"/>
          <w:lang w:val="en-US"/>
        </w:rPr>
        <w:t xml:space="preserve">Figure </w:t>
      </w:r>
      <w:r w:rsidRPr="00215B27">
        <w:rPr>
          <w:rFonts w:eastAsia="MS Mincho"/>
          <w:iCs/>
          <w:sz w:val="22"/>
          <w:szCs w:val="22"/>
          <w:lang w:val="da-DK"/>
        </w:rPr>
        <w:fldChar w:fldCharType="begin"/>
      </w:r>
      <w:r w:rsidRPr="0021277B">
        <w:rPr>
          <w:rFonts w:eastAsia="MS Mincho"/>
          <w:iCs/>
          <w:sz w:val="22"/>
          <w:szCs w:val="22"/>
          <w:lang w:val="en-US"/>
        </w:rPr>
        <w:instrText xml:space="preserve"> SEQ Figure \* ARABIC </w:instrText>
      </w:r>
      <w:r w:rsidRPr="00215B27">
        <w:rPr>
          <w:rFonts w:eastAsia="MS Mincho"/>
          <w:iCs/>
          <w:sz w:val="22"/>
          <w:szCs w:val="22"/>
          <w:lang w:val="da-DK"/>
        </w:rPr>
        <w:fldChar w:fldCharType="separate"/>
      </w:r>
      <w:r>
        <w:rPr>
          <w:rFonts w:eastAsia="MS Mincho"/>
          <w:iCs/>
          <w:noProof/>
          <w:sz w:val="22"/>
          <w:szCs w:val="22"/>
          <w:lang w:val="en-US"/>
        </w:rPr>
        <w:t>1</w:t>
      </w:r>
      <w:r w:rsidRPr="00215B27">
        <w:rPr>
          <w:rFonts w:eastAsia="MS Mincho"/>
          <w:sz w:val="22"/>
          <w:szCs w:val="22"/>
          <w:lang w:val="en-US"/>
        </w:rPr>
        <w:fldChar w:fldCharType="end"/>
      </w:r>
      <w:r w:rsidRPr="00E4212D">
        <w:rPr>
          <w:rFonts w:eastAsia="MS Mincho"/>
          <w:sz w:val="22"/>
          <w:szCs w:val="22"/>
          <w:lang w:val="en-US"/>
        </w:rPr>
        <w:t>1</w:t>
      </w:r>
      <w:r w:rsidRPr="0021277B">
        <w:rPr>
          <w:rFonts w:eastAsia="MS Mincho"/>
          <w:iCs/>
          <w:sz w:val="22"/>
          <w:szCs w:val="22"/>
          <w:lang w:val="en-US"/>
        </w:rPr>
        <w:t xml:space="preserve">. The spatial distribution of 76.553 </w:t>
      </w:r>
      <w:r>
        <w:rPr>
          <w:rFonts w:eastAsia="MS Mincho"/>
          <w:iCs/>
          <w:sz w:val="22"/>
          <w:szCs w:val="22"/>
          <w:lang w:val="en-US"/>
        </w:rPr>
        <w:t>r</w:t>
      </w:r>
      <w:r w:rsidRPr="0021277B">
        <w:rPr>
          <w:rFonts w:eastAsia="MS Mincho"/>
          <w:iCs/>
          <w:sz w:val="22"/>
          <w:szCs w:val="22"/>
          <w:lang w:val="en-US"/>
        </w:rPr>
        <w:t>azorbills/</w:t>
      </w:r>
      <w:r>
        <w:rPr>
          <w:rFonts w:eastAsia="MS Mincho"/>
          <w:iCs/>
          <w:sz w:val="22"/>
          <w:szCs w:val="22"/>
          <w:lang w:val="en-US"/>
        </w:rPr>
        <w:t>g</w:t>
      </w:r>
      <w:r w:rsidRPr="0021277B">
        <w:rPr>
          <w:rFonts w:eastAsia="MS Mincho"/>
          <w:iCs/>
          <w:sz w:val="22"/>
          <w:szCs w:val="22"/>
          <w:lang w:val="en-US"/>
        </w:rPr>
        <w:t>uillemots in inner Danish waters in the winter of 2008. Density is N/0.25 km</w:t>
      </w:r>
      <w:r w:rsidRPr="0021277B">
        <w:rPr>
          <w:rFonts w:eastAsia="MS Mincho"/>
          <w:iCs/>
          <w:sz w:val="22"/>
          <w:szCs w:val="22"/>
          <w:vertAlign w:val="superscript"/>
          <w:lang w:val="en-US"/>
        </w:rPr>
        <w:t>2</w:t>
      </w:r>
      <w:r w:rsidRPr="0021277B">
        <w:rPr>
          <w:rFonts w:eastAsia="MS Mincho"/>
          <w:iCs/>
          <w:sz w:val="22"/>
          <w:szCs w:val="22"/>
          <w:lang w:val="en-US"/>
        </w:rPr>
        <w:t>. Of these, almost 73,000 individuals were estimated to be within the Danish part of Kattegat between Sjælland and Anholt</w:t>
      </w:r>
      <w:r>
        <w:rPr>
          <w:rFonts w:eastAsia="MS Mincho"/>
          <w:iCs/>
          <w:sz w:val="22"/>
          <w:szCs w:val="22"/>
          <w:lang w:val="en-US"/>
        </w:rPr>
        <w:t xml:space="preserve"> (</w:t>
      </w:r>
      <w:r>
        <w:rPr>
          <w:sz w:val="22"/>
          <w:szCs w:val="22"/>
          <w:lang w:val="da-DK"/>
        </w:rPr>
        <w:t xml:space="preserve">Petersen and Nielsen, 2011). </w:t>
      </w:r>
    </w:p>
    <w:p w14:paraId="296DB49B" w14:textId="77777777" w:rsidR="006B3F46" w:rsidRPr="0021277B" w:rsidRDefault="006B3F46" w:rsidP="00907941">
      <w:pPr>
        <w:jc w:val="both"/>
        <w:rPr>
          <w:rFonts w:eastAsia="MS Mincho"/>
          <w:iCs/>
          <w:sz w:val="22"/>
          <w:szCs w:val="22"/>
          <w:lang w:val="en-US"/>
        </w:rPr>
      </w:pPr>
    </w:p>
    <w:bookmarkEnd w:id="20"/>
    <w:p w14:paraId="70B6772C" w14:textId="77777777" w:rsidR="006B3F46" w:rsidRPr="00E4212D" w:rsidRDefault="006B3F46" w:rsidP="00907941">
      <w:pPr>
        <w:rPr>
          <w:rFonts w:eastAsia="MS Mincho"/>
          <w:b/>
          <w:sz w:val="22"/>
          <w:szCs w:val="22"/>
          <w:lang w:val="en-US"/>
        </w:rPr>
      </w:pPr>
    </w:p>
    <w:p w14:paraId="2306BD29"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5103B52D">
          <v:shape id="Picture 8" o:spid="_x0000_i1053" type="#_x0000_t75" style="width:294.75pt;height:205.5pt;visibility:visible">
            <v:imagedata r:id="rId119" o:title=""/>
          </v:shape>
        </w:pict>
      </w:r>
    </w:p>
    <w:p w14:paraId="54939035"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Figure 12. The spatial distribution of 4,228 observed razorbills/common guillemots in inner Danish waters in the winter of 2016 (Holm et al. 2018).</w:t>
      </w:r>
    </w:p>
    <w:p w14:paraId="3C101194" w14:textId="77777777" w:rsidR="006B3F46" w:rsidRPr="009978E3" w:rsidRDefault="006B3F46" w:rsidP="00907941">
      <w:pPr>
        <w:rPr>
          <w:rFonts w:eastAsia="MS Mincho"/>
          <w:b/>
          <w:sz w:val="22"/>
          <w:szCs w:val="22"/>
          <w:lang w:val="en-US"/>
        </w:rPr>
      </w:pPr>
    </w:p>
    <w:p w14:paraId="4F7F29D0" w14:textId="77777777" w:rsidR="006B3F46" w:rsidRPr="009978E3" w:rsidRDefault="006B3F46" w:rsidP="00907941">
      <w:pPr>
        <w:rPr>
          <w:rFonts w:eastAsia="MS Mincho"/>
          <w:b/>
          <w:sz w:val="22"/>
          <w:szCs w:val="22"/>
          <w:lang w:val="en-US"/>
        </w:rPr>
      </w:pPr>
    </w:p>
    <w:p w14:paraId="5C74029A"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164A5E36">
          <v:shape id="_x0000_i1054" type="#_x0000_t75" style="width:268.5pt;height:346.5pt;visibility:visible">
            <v:imagedata r:id="rId120" o:title=""/>
          </v:shape>
        </w:pict>
      </w:r>
    </w:p>
    <w:p w14:paraId="6994B951"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 xml:space="preserve">Figure </w:t>
      </w:r>
      <w:r w:rsidRPr="0021277B">
        <w:rPr>
          <w:rFonts w:eastAsia="MS Mincho"/>
          <w:sz w:val="22"/>
          <w:szCs w:val="22"/>
          <w:lang w:val="da-DK"/>
        </w:rPr>
        <w:t>13</w:t>
      </w:r>
      <w:r w:rsidRPr="0021277B">
        <w:rPr>
          <w:rFonts w:eastAsia="MS Mincho"/>
          <w:sz w:val="22"/>
          <w:szCs w:val="22"/>
          <w:lang w:val="en-US"/>
        </w:rPr>
        <w:t>. The spatial distribution of a total of 1,568 observed black-legged kittiwakes, observed within the area meeting EBSA criteria in the Danish parts of Kattegat during national waterbird censuses in 2004, 2006, 2008, 2012, 2013 and 2016.</w:t>
      </w:r>
    </w:p>
    <w:p w14:paraId="09963D6F" w14:textId="77777777" w:rsidR="006B3F46" w:rsidRPr="009978E3" w:rsidRDefault="006B3F46" w:rsidP="00907941">
      <w:pPr>
        <w:rPr>
          <w:rFonts w:eastAsia="MS Mincho"/>
          <w:b/>
          <w:sz w:val="22"/>
          <w:szCs w:val="22"/>
          <w:lang w:val="en-US"/>
        </w:rPr>
      </w:pPr>
    </w:p>
    <w:p w14:paraId="63BF791B" w14:textId="77777777" w:rsidR="006B3F46" w:rsidRPr="00F66EF7" w:rsidRDefault="009E53BE" w:rsidP="00907941">
      <w:pPr>
        <w:jc w:val="both"/>
        <w:rPr>
          <w:rFonts w:eastAsia="MS Mincho"/>
          <w:sz w:val="22"/>
          <w:szCs w:val="22"/>
          <w:lang w:val="en-US"/>
        </w:rPr>
      </w:pPr>
      <w:r>
        <w:rPr>
          <w:rFonts w:eastAsia="MS Mincho"/>
          <w:noProof/>
          <w:sz w:val="22"/>
          <w:szCs w:val="22"/>
          <w:lang w:val="en-US"/>
        </w:rPr>
        <w:pict w14:anchorId="3E0CEF72">
          <v:shape id="_x0000_i1055" type="#_x0000_t75" style="width:312pt;height:208.5pt;visibility:visible">
            <v:imagedata r:id="rId121" o:title=""/>
          </v:shape>
        </w:pict>
      </w:r>
    </w:p>
    <w:p w14:paraId="4395D9F9"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 xml:space="preserve">Figure </w:t>
      </w:r>
      <w:r w:rsidRPr="0021277B">
        <w:rPr>
          <w:rFonts w:eastAsia="MS Mincho"/>
          <w:sz w:val="22"/>
          <w:szCs w:val="22"/>
          <w:lang w:val="da-DK"/>
        </w:rPr>
        <w:t>14</w:t>
      </w:r>
      <w:r w:rsidRPr="0021277B">
        <w:rPr>
          <w:rFonts w:eastAsia="MS Mincho"/>
          <w:sz w:val="22"/>
          <w:szCs w:val="22"/>
          <w:lang w:val="en-US"/>
        </w:rPr>
        <w:t xml:space="preserve">. The modelled distribution of 401,339 common scoters in inner Danish waters in the winter of 2008. Of those, more than 350,000 common scoters wintered in the area meeting EBSA criteria. </w:t>
      </w:r>
    </w:p>
    <w:p w14:paraId="66D80523" w14:textId="77777777" w:rsidR="006B3F46" w:rsidRPr="009978E3" w:rsidRDefault="006B3F46" w:rsidP="00907941">
      <w:pPr>
        <w:jc w:val="both"/>
        <w:rPr>
          <w:rFonts w:eastAsia="MS Mincho"/>
          <w:sz w:val="22"/>
          <w:szCs w:val="22"/>
          <w:lang w:val="en-US"/>
        </w:rPr>
      </w:pPr>
    </w:p>
    <w:p w14:paraId="084A0E33"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114ABA3D">
          <v:shape id="_x0000_i1056" type="#_x0000_t75" style="width:301.5pt;height:180.75pt;visibility:visible">
            <v:imagedata r:id="rId122" o:title=""/>
          </v:shape>
        </w:pict>
      </w:r>
    </w:p>
    <w:p w14:paraId="1C0F5F05"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Figure 15. Phenology chart of occurrence for common scoter in the area meeting EBSA criteria. Plotted monthly values indicate the mean number of individuals recorded per kilometre of flown transect coverage for each survey (after Petersen et al. 2003).</w:t>
      </w:r>
    </w:p>
    <w:p w14:paraId="14BD07E7" w14:textId="77777777" w:rsidR="006B3F46" w:rsidRPr="00EC5399" w:rsidRDefault="006B3F46" w:rsidP="00907941">
      <w:pPr>
        <w:jc w:val="both"/>
        <w:rPr>
          <w:rFonts w:eastAsia="MS Mincho"/>
          <w:sz w:val="22"/>
          <w:szCs w:val="22"/>
          <w:lang w:val="en-US"/>
        </w:rPr>
      </w:pPr>
    </w:p>
    <w:p w14:paraId="32E4EE87" w14:textId="77777777" w:rsidR="006B3F46" w:rsidRPr="00EC5399" w:rsidRDefault="006B3F46" w:rsidP="00907941">
      <w:pPr>
        <w:jc w:val="both"/>
        <w:rPr>
          <w:rFonts w:eastAsia="MS Mincho"/>
          <w:sz w:val="22"/>
          <w:szCs w:val="22"/>
          <w:lang w:val="en-US"/>
        </w:rPr>
      </w:pPr>
    </w:p>
    <w:p w14:paraId="139F8112" w14:textId="77777777" w:rsidR="006B3F46" w:rsidRPr="00EC5399" w:rsidRDefault="009E53BE" w:rsidP="00907941">
      <w:pPr>
        <w:jc w:val="both"/>
        <w:rPr>
          <w:rFonts w:eastAsia="MS Mincho"/>
          <w:sz w:val="22"/>
          <w:szCs w:val="22"/>
          <w:lang w:val="da-DK"/>
        </w:rPr>
      </w:pPr>
      <w:r>
        <w:rPr>
          <w:rFonts w:eastAsia="MS Mincho"/>
          <w:noProof/>
          <w:sz w:val="22"/>
          <w:szCs w:val="22"/>
          <w:lang w:val="en-US"/>
        </w:rPr>
        <w:pict w14:anchorId="7AD7771F">
          <v:shape id="_x0000_i1057" type="#_x0000_t75" style="width:309pt;height:155.25pt;visibility:visible">
            <v:imagedata r:id="rId123" o:title=""/>
          </v:shape>
        </w:pict>
      </w:r>
    </w:p>
    <w:p w14:paraId="692742B7"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Figure 16. Frequency distribution of water depths for points at which common scoter were recorded in the area meeting EBSA criteria, compared to the frequency distribution generated from 105,372 points sampled at regular intervals along the track lines (after Petersen et al. 2003).</w:t>
      </w:r>
    </w:p>
    <w:p w14:paraId="223742A5"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  </w:t>
      </w:r>
    </w:p>
    <w:p w14:paraId="3D047774" w14:textId="77777777" w:rsidR="006B3F46" w:rsidRPr="009978E3" w:rsidRDefault="006B3F46" w:rsidP="00907941">
      <w:pPr>
        <w:jc w:val="both"/>
        <w:rPr>
          <w:rFonts w:eastAsia="MS Mincho"/>
          <w:sz w:val="22"/>
          <w:szCs w:val="22"/>
          <w:lang w:val="da-DK"/>
        </w:rPr>
      </w:pPr>
    </w:p>
    <w:p w14:paraId="6F6769DD"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3701CC9C">
          <v:shape id="_x0000_i1058" type="#_x0000_t75" style="width:337.5pt;height:237pt;visibility:visible">
            <v:imagedata r:id="rId124" o:title=""/>
          </v:shape>
        </w:pict>
      </w:r>
    </w:p>
    <w:p w14:paraId="6D55437C"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Figure 17. The spatial distribution of 2,310 observed velvet scoters in inner Danish waters in the winter of 2016 (Holm et al. 2018).</w:t>
      </w:r>
    </w:p>
    <w:p w14:paraId="7B0AE427" w14:textId="77777777" w:rsidR="006B3F46" w:rsidRPr="009978E3" w:rsidRDefault="006B3F46" w:rsidP="00907941">
      <w:pPr>
        <w:jc w:val="both"/>
        <w:rPr>
          <w:rFonts w:eastAsia="MS Mincho"/>
          <w:sz w:val="22"/>
          <w:szCs w:val="22"/>
          <w:lang w:val="en-US"/>
        </w:rPr>
      </w:pPr>
    </w:p>
    <w:p w14:paraId="6BDFB2F6"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5B134952">
          <v:shape id="Picture 9" o:spid="_x0000_i1059" type="#_x0000_t75" style="width:314.25pt;height:219.75pt;visibility:visible">
            <v:imagedata r:id="rId125" o:title=""/>
          </v:shape>
        </w:pict>
      </w:r>
    </w:p>
    <w:p w14:paraId="7FE17EE0"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 xml:space="preserve">Figure </w:t>
      </w:r>
      <w:r w:rsidRPr="0021277B">
        <w:rPr>
          <w:rFonts w:eastAsia="MS Mincho"/>
          <w:sz w:val="22"/>
          <w:szCs w:val="22"/>
          <w:lang w:val="da-DK"/>
        </w:rPr>
        <w:t>18</w:t>
      </w:r>
      <w:r w:rsidRPr="0021277B">
        <w:rPr>
          <w:rFonts w:eastAsia="MS Mincho"/>
          <w:sz w:val="22"/>
          <w:szCs w:val="22"/>
          <w:lang w:val="en-US"/>
        </w:rPr>
        <w:t>. The spatial distribution of 740 observed diver species in inner Danish waters in the winter of 2016. Source: Holm et al. 2018.</w:t>
      </w:r>
    </w:p>
    <w:p w14:paraId="08CD4CCB"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 </w:t>
      </w:r>
    </w:p>
    <w:p w14:paraId="4707AD23" w14:textId="77777777" w:rsidR="006B3F46" w:rsidRPr="009978E3" w:rsidRDefault="006B3F46" w:rsidP="00907941">
      <w:pPr>
        <w:jc w:val="both"/>
        <w:rPr>
          <w:rFonts w:eastAsia="MS Mincho"/>
          <w:sz w:val="22"/>
          <w:szCs w:val="22"/>
          <w:lang w:val="en-US"/>
        </w:rPr>
      </w:pPr>
    </w:p>
    <w:p w14:paraId="0C89E3B2"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0DF0C807">
          <v:shape id="Picture 14" o:spid="_x0000_i1060" type="#_x0000_t75" style="width:357.75pt;height:226.5pt;visibility:visible">
            <v:imagedata r:id="rId126" o:title=""/>
          </v:shape>
        </w:pict>
      </w:r>
    </w:p>
    <w:p w14:paraId="20F0DE2F"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 xml:space="preserve">Figure </w:t>
      </w:r>
      <w:r w:rsidRPr="0021277B">
        <w:rPr>
          <w:rFonts w:eastAsia="MS Mincho"/>
          <w:sz w:val="22"/>
          <w:szCs w:val="22"/>
          <w:lang w:val="da-DK"/>
        </w:rPr>
        <w:t>19</w:t>
      </w:r>
      <w:r w:rsidRPr="0021277B">
        <w:rPr>
          <w:rFonts w:eastAsia="MS Mincho"/>
          <w:sz w:val="22"/>
          <w:szCs w:val="22"/>
          <w:lang w:val="en-US"/>
        </w:rPr>
        <w:t>. Phenology chart of occurrence for diver species in the study area. Plotted monthly values indicate the mean number of individuals recorded per kilometer of flown transect coverage for each survey. Source: Petersen et al. 2003.</w:t>
      </w:r>
    </w:p>
    <w:p w14:paraId="53888598" w14:textId="77777777" w:rsidR="006B3F46" w:rsidRPr="009978E3" w:rsidRDefault="006B3F46" w:rsidP="00907941">
      <w:pPr>
        <w:jc w:val="both"/>
        <w:rPr>
          <w:rFonts w:eastAsia="MS Mincho"/>
          <w:sz w:val="22"/>
          <w:szCs w:val="22"/>
          <w:lang w:val="en-US"/>
        </w:rPr>
      </w:pPr>
    </w:p>
    <w:p w14:paraId="3779EDDD" w14:textId="77777777" w:rsidR="006B3F46" w:rsidRPr="00F66EF7" w:rsidRDefault="009E53BE" w:rsidP="00907941">
      <w:pPr>
        <w:jc w:val="both"/>
        <w:rPr>
          <w:rFonts w:eastAsia="MS Mincho"/>
          <w:sz w:val="22"/>
          <w:szCs w:val="22"/>
          <w:lang w:val="da-DK"/>
        </w:rPr>
      </w:pPr>
      <w:r>
        <w:rPr>
          <w:rFonts w:eastAsia="MS Mincho"/>
          <w:noProof/>
          <w:sz w:val="22"/>
          <w:szCs w:val="22"/>
          <w:lang w:val="en-US"/>
        </w:rPr>
        <w:pict w14:anchorId="693663F8">
          <v:shape id="Picture 15" o:spid="_x0000_i1061" type="#_x0000_t75" style="width:365.25pt;height:177.75pt;visibility:visible">
            <v:imagedata r:id="rId127" o:title=""/>
          </v:shape>
        </w:pict>
      </w:r>
    </w:p>
    <w:p w14:paraId="5BA7025D"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 xml:space="preserve">Figure </w:t>
      </w:r>
      <w:r w:rsidRPr="0021277B">
        <w:rPr>
          <w:rFonts w:eastAsia="MS Mincho"/>
          <w:sz w:val="22"/>
          <w:szCs w:val="22"/>
          <w:lang w:val="da-DK"/>
        </w:rPr>
        <w:t>20</w:t>
      </w:r>
      <w:r w:rsidRPr="0021277B">
        <w:rPr>
          <w:rFonts w:eastAsia="MS Mincho"/>
          <w:sz w:val="22"/>
          <w:szCs w:val="22"/>
          <w:lang w:val="en-US"/>
        </w:rPr>
        <w:t>. Frequency distribution of water depths for points at which diver species were recorded in the area meeting EBSA criteria, compared to the frequency distribution generated from 105,372 points sampled at regular intervals along the track lines. Source: Petersen et al. 2003.</w:t>
      </w:r>
    </w:p>
    <w:p w14:paraId="311283C6" w14:textId="77777777" w:rsidR="006B3F46" w:rsidRPr="009978E3" w:rsidRDefault="006B3F46" w:rsidP="00907941">
      <w:pPr>
        <w:rPr>
          <w:rFonts w:eastAsia="MS Mincho"/>
          <w:b/>
          <w:sz w:val="22"/>
          <w:szCs w:val="22"/>
          <w:lang w:val="en-US"/>
        </w:rPr>
      </w:pPr>
    </w:p>
    <w:p w14:paraId="2E56228A" w14:textId="77777777" w:rsidR="006B3F46" w:rsidRPr="009978E3" w:rsidRDefault="006B3F46" w:rsidP="00907941">
      <w:pPr>
        <w:jc w:val="center"/>
        <w:rPr>
          <w:rFonts w:eastAsia="MS Mincho"/>
          <w:b/>
          <w:sz w:val="22"/>
          <w:szCs w:val="22"/>
          <w:lang w:val="en-US"/>
        </w:rPr>
      </w:pPr>
      <w:r w:rsidRPr="009978E3">
        <w:rPr>
          <w:rFonts w:eastAsia="MS Mincho"/>
          <w:sz w:val="22"/>
          <w:szCs w:val="22"/>
          <w:lang w:val="en-US"/>
        </w:rPr>
        <w:br w:type="page"/>
      </w:r>
      <w:bookmarkStart w:id="21" w:name="_Hlk22204098"/>
      <w:r w:rsidRPr="009978E3">
        <w:rPr>
          <w:rFonts w:eastAsia="MS Mincho"/>
          <w:b/>
          <w:sz w:val="22"/>
          <w:szCs w:val="22"/>
          <w:lang w:val="en-US"/>
        </w:rPr>
        <w:t>Area no. 3:  Cantabrian Sea (Southern Bay of Biscay)</w:t>
      </w:r>
      <w:bookmarkEnd w:id="21"/>
    </w:p>
    <w:p w14:paraId="3977D948" w14:textId="77777777" w:rsidR="006B3F46" w:rsidRPr="009978E3" w:rsidRDefault="006B3F46" w:rsidP="00907941">
      <w:pPr>
        <w:jc w:val="both"/>
        <w:rPr>
          <w:rFonts w:eastAsia="MS Mincho"/>
          <w:b/>
          <w:sz w:val="22"/>
          <w:szCs w:val="22"/>
          <w:lang w:val="en-US"/>
        </w:rPr>
      </w:pPr>
    </w:p>
    <w:p w14:paraId="45D76E21"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Abstract </w:t>
      </w:r>
    </w:p>
    <w:p w14:paraId="74A8D30F" w14:textId="77777777" w:rsidR="006B3F46" w:rsidRPr="009978E3" w:rsidRDefault="006B3F46" w:rsidP="00907941">
      <w:pPr>
        <w:jc w:val="both"/>
        <w:rPr>
          <w:sz w:val="22"/>
          <w:szCs w:val="22"/>
          <w:lang w:val="en-US"/>
        </w:rPr>
      </w:pPr>
      <w:r w:rsidRPr="009978E3">
        <w:rPr>
          <w:sz w:val="22"/>
          <w:szCs w:val="22"/>
          <w:lang w:val="en-US"/>
        </w:rPr>
        <w:t xml:space="preserve">The Cantabrian Sea ecosystem includes the continental </w:t>
      </w:r>
      <w:r w:rsidRPr="009978E3">
        <w:rPr>
          <w:rFonts w:eastAsia="MS Mincho"/>
          <w:sz w:val="22"/>
          <w:szCs w:val="22"/>
          <w:lang w:val="en-US"/>
        </w:rPr>
        <w:t>shelf</w:t>
      </w:r>
      <w:r w:rsidRPr="009978E3">
        <w:rPr>
          <w:sz w:val="22"/>
          <w:szCs w:val="22"/>
          <w:lang w:val="en-US"/>
        </w:rPr>
        <w:t xml:space="preserve"> and slope and the deep abyssal basin (5000 m water depth) located along the northern border of the Iberian Peninsula (Southern Bay of Biscay), from the Capbreton Canyon head to Estaca de Bares Cape, </w:t>
      </w:r>
      <w:r w:rsidRPr="009978E3">
        <w:rPr>
          <w:rFonts w:eastAsia="MS Mincho"/>
          <w:sz w:val="22"/>
          <w:szCs w:val="22"/>
          <w:lang w:val="en-US"/>
        </w:rPr>
        <w:t>on</w:t>
      </w:r>
      <w:r w:rsidRPr="009978E3">
        <w:rPr>
          <w:sz w:val="22"/>
          <w:szCs w:val="22"/>
          <w:lang w:val="en-US"/>
        </w:rPr>
        <w:t xml:space="preserve"> the Galician coast. </w:t>
      </w:r>
      <w:r w:rsidRPr="009978E3">
        <w:rPr>
          <w:sz w:val="22"/>
          <w:szCs w:val="22"/>
        </w:rPr>
        <w:t xml:space="preserve">It is a highly complex area, where the narrow continental shelf is deeply affected by the action of tectonic compression. The area contains important geomorphological </w:t>
      </w:r>
      <w:r w:rsidRPr="009978E3">
        <w:rPr>
          <w:sz w:val="22"/>
          <w:szCs w:val="22"/>
          <w:lang w:val="en-US"/>
        </w:rPr>
        <w:t>elements</w:t>
      </w:r>
      <w:r>
        <w:rPr>
          <w:sz w:val="22"/>
          <w:szCs w:val="22"/>
          <w:lang w:val="en-US"/>
        </w:rPr>
        <w:t>,</w:t>
      </w:r>
      <w:r w:rsidRPr="009978E3">
        <w:rPr>
          <w:sz w:val="22"/>
          <w:szCs w:val="22"/>
          <w:lang w:val="en-US"/>
        </w:rPr>
        <w:t xml:space="preserve"> such as large submarine canyons and seamounts. The hydrology is also complex due to the interaction between waters formed in the Atlantic and waters of Mediterranean origin. </w:t>
      </w:r>
      <w:r w:rsidRPr="009978E3">
        <w:rPr>
          <w:rFonts w:eastAsia="MS Mincho"/>
          <w:sz w:val="22"/>
          <w:szCs w:val="22"/>
          <w:lang w:val="en-US"/>
        </w:rPr>
        <w:t>This</w:t>
      </w:r>
      <w:r w:rsidRPr="009978E3">
        <w:rPr>
          <w:sz w:val="22"/>
          <w:szCs w:val="22"/>
          <w:lang w:val="en-US"/>
        </w:rPr>
        <w:t xml:space="preserve"> </w:t>
      </w:r>
      <w:r w:rsidRPr="009978E3">
        <w:rPr>
          <w:rFonts w:eastAsia="MS Mincho"/>
          <w:sz w:val="22"/>
          <w:szCs w:val="22"/>
          <w:lang w:val="en-US"/>
        </w:rPr>
        <w:t>area</w:t>
      </w:r>
      <w:r w:rsidRPr="009978E3">
        <w:rPr>
          <w:sz w:val="22"/>
          <w:szCs w:val="22"/>
          <w:lang w:val="en-US"/>
        </w:rPr>
        <w:t xml:space="preserve"> includes a </w:t>
      </w:r>
      <w:r w:rsidRPr="009978E3">
        <w:rPr>
          <w:rFonts w:eastAsia="MS Mincho"/>
          <w:sz w:val="22"/>
          <w:szCs w:val="22"/>
          <w:lang w:val="en-US"/>
        </w:rPr>
        <w:t xml:space="preserve">variety </w:t>
      </w:r>
      <w:r w:rsidRPr="009978E3">
        <w:rPr>
          <w:sz w:val="22"/>
          <w:szCs w:val="22"/>
          <w:lang w:val="en-US"/>
        </w:rPr>
        <w:t xml:space="preserve">of benthic </w:t>
      </w:r>
      <w:r w:rsidRPr="009978E3">
        <w:rPr>
          <w:rFonts w:eastAsia="MS Mincho"/>
          <w:sz w:val="22"/>
          <w:szCs w:val="22"/>
          <w:lang w:val="en-US"/>
        </w:rPr>
        <w:t>habitats,</w:t>
      </w:r>
      <w:r w:rsidRPr="009978E3">
        <w:rPr>
          <w:sz w:val="22"/>
          <w:szCs w:val="22"/>
          <w:lang w:val="en-US"/>
        </w:rPr>
        <w:t xml:space="preserve"> including habitats that are considered hotspots of biodiversity. These habitats serve as spawning grounds for several commercial species</w:t>
      </w:r>
      <w:r>
        <w:rPr>
          <w:sz w:val="22"/>
          <w:szCs w:val="22"/>
          <w:lang w:val="en-US"/>
        </w:rPr>
        <w:t>.</w:t>
      </w:r>
      <w:r w:rsidRPr="00652CD3">
        <w:rPr>
          <w:sz w:val="22"/>
          <w:szCs w:val="22"/>
          <w:lang w:val="en-US"/>
        </w:rPr>
        <w:t xml:space="preserve"> The area also contains habitats for endangered, threatened</w:t>
      </w:r>
      <w:r>
        <w:rPr>
          <w:sz w:val="22"/>
          <w:szCs w:val="22"/>
          <w:lang w:val="en-US"/>
        </w:rPr>
        <w:t xml:space="preserve"> </w:t>
      </w:r>
      <w:r w:rsidRPr="00652CD3">
        <w:rPr>
          <w:sz w:val="22"/>
          <w:szCs w:val="22"/>
          <w:lang w:val="en-US"/>
        </w:rPr>
        <w:t>and declining</w:t>
      </w:r>
      <w:r>
        <w:rPr>
          <w:sz w:val="22"/>
          <w:szCs w:val="22"/>
          <w:lang w:val="en-US"/>
        </w:rPr>
        <w:t xml:space="preserve"> </w:t>
      </w:r>
      <w:r w:rsidRPr="00652CD3">
        <w:rPr>
          <w:sz w:val="22"/>
          <w:szCs w:val="22"/>
          <w:lang w:val="en-US"/>
        </w:rPr>
        <w:t>species and for migratory pelagic species, including cetaceans.</w:t>
      </w:r>
    </w:p>
    <w:p w14:paraId="0BB5D5F2" w14:textId="77777777" w:rsidR="006B3F46" w:rsidRPr="009978E3" w:rsidRDefault="006B3F46" w:rsidP="00907941">
      <w:pPr>
        <w:jc w:val="both"/>
        <w:rPr>
          <w:rFonts w:eastAsia="MS Mincho"/>
          <w:b/>
          <w:sz w:val="22"/>
          <w:szCs w:val="22"/>
          <w:lang w:val="en-US"/>
        </w:rPr>
      </w:pPr>
    </w:p>
    <w:p w14:paraId="59DD632E"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1D32B361" w14:textId="77777777" w:rsidR="006B3F46" w:rsidRPr="009978E3" w:rsidRDefault="006B3F46" w:rsidP="00907941">
      <w:pPr>
        <w:jc w:val="both"/>
        <w:rPr>
          <w:sz w:val="22"/>
          <w:szCs w:val="22"/>
        </w:rPr>
      </w:pPr>
      <w:r w:rsidRPr="009978E3">
        <w:rPr>
          <w:sz w:val="22"/>
          <w:szCs w:val="22"/>
        </w:rPr>
        <w:t xml:space="preserve">The Bay of Biscay, where the Cantabrian Sea is located, is an arm of the Atlantic Ocean, indenting the coast of Western Europe from </w:t>
      </w:r>
      <w:r>
        <w:rPr>
          <w:sz w:val="22"/>
          <w:szCs w:val="22"/>
        </w:rPr>
        <w:t xml:space="preserve">north-western </w:t>
      </w:r>
      <w:r w:rsidRPr="009978E3">
        <w:rPr>
          <w:sz w:val="22"/>
          <w:szCs w:val="22"/>
        </w:rPr>
        <w:t>France (</w:t>
      </w:r>
      <w:r>
        <w:rPr>
          <w:sz w:val="22"/>
          <w:szCs w:val="22"/>
        </w:rPr>
        <w:t>o</w:t>
      </w:r>
      <w:r w:rsidRPr="009978E3">
        <w:rPr>
          <w:sz w:val="22"/>
          <w:szCs w:val="22"/>
        </w:rPr>
        <w:t xml:space="preserve">ffshore Brittany) to </w:t>
      </w:r>
      <w:r>
        <w:rPr>
          <w:sz w:val="22"/>
          <w:szCs w:val="22"/>
        </w:rPr>
        <w:t>north-western</w:t>
      </w:r>
      <w:r w:rsidRPr="009978E3">
        <w:rPr>
          <w:sz w:val="22"/>
          <w:szCs w:val="22"/>
        </w:rPr>
        <w:t xml:space="preserve"> Spain (Galicia). The southern Bay of Biscay is a well-differentiated geomorphological unit in the northeast Atlantic. The abyssal basin has a mean depth of 4,800 m. The shelf of the Bay of Biscay is quite narrow in the Cantabrian Sea, whereas it is much wider and increasing with latitude on the French coast. In the Cantabrian Sea, there are various deep-sea canyons that have generally narrow, steep-sided, linear and sinuous channels. The deep-sea valleys allow continental sediments to be transported to oceanic basins (Lavín </w:t>
      </w:r>
      <w:r w:rsidRPr="0006066A">
        <w:rPr>
          <w:i/>
          <w:sz w:val="22"/>
          <w:szCs w:val="22"/>
        </w:rPr>
        <w:t>et al</w:t>
      </w:r>
      <w:r w:rsidRPr="009978E3">
        <w:rPr>
          <w:sz w:val="22"/>
          <w:szCs w:val="22"/>
        </w:rPr>
        <w:t>., 2005).</w:t>
      </w:r>
    </w:p>
    <w:p w14:paraId="3D1857A5" w14:textId="77777777" w:rsidR="006B3F46" w:rsidRPr="009978E3" w:rsidRDefault="006B3F46" w:rsidP="00907941">
      <w:pPr>
        <w:jc w:val="both"/>
        <w:rPr>
          <w:sz w:val="22"/>
          <w:szCs w:val="22"/>
        </w:rPr>
      </w:pPr>
    </w:p>
    <w:p w14:paraId="69E732C0" w14:textId="77777777" w:rsidR="006B3F46" w:rsidRPr="009978E3" w:rsidRDefault="006B3F46" w:rsidP="00907941">
      <w:pPr>
        <w:jc w:val="both"/>
        <w:rPr>
          <w:sz w:val="22"/>
          <w:szCs w:val="22"/>
        </w:rPr>
      </w:pPr>
      <w:r w:rsidRPr="009978E3">
        <w:rPr>
          <w:sz w:val="22"/>
          <w:szCs w:val="22"/>
        </w:rPr>
        <w:t xml:space="preserve">Most of the water masses occupying the bay have a North Atlantic origin or are the result of interaction between waters formed in the Atlantic with water of Mediterranean origin. The hydrodynamics of the bay are dominated by: a) a weak anticyclonic circulation in the oceanic part, b) a poleward-flowing slope current, c) coastal upwelling, d) the northward flow of Mediterranean water at depth, around the Iberian Peninsula, e) the shelf circulation and f) the cross-shelf transport along the axes of submarine canyons (OSPAR, 2000). Most of these features show a marked seasonality (Koutsikopoulos and Le Cann, 1996). The Bay of Biscay is a region of large tidal amplitudes and strong thermohaline forcing (Piraud </w:t>
      </w:r>
      <w:r w:rsidRPr="0006066A">
        <w:rPr>
          <w:i/>
          <w:sz w:val="22"/>
          <w:szCs w:val="22"/>
        </w:rPr>
        <w:t>et al</w:t>
      </w:r>
      <w:r w:rsidRPr="009978E3">
        <w:rPr>
          <w:sz w:val="22"/>
          <w:szCs w:val="22"/>
        </w:rPr>
        <w:t xml:space="preserve">., 2003). It is well known for its energetic internal tides, caused by the combination of summer stratification, steep shelf-edge topography and strong (cross-slope) tidal currents, especially at spring tides (Lam </w:t>
      </w:r>
      <w:r w:rsidRPr="0006066A">
        <w:rPr>
          <w:i/>
          <w:sz w:val="22"/>
          <w:szCs w:val="22"/>
        </w:rPr>
        <w:t>et al</w:t>
      </w:r>
      <w:r w:rsidRPr="009978E3">
        <w:rPr>
          <w:sz w:val="22"/>
          <w:szCs w:val="22"/>
        </w:rPr>
        <w:t>., 003).</w:t>
      </w:r>
    </w:p>
    <w:p w14:paraId="6592D979" w14:textId="77777777" w:rsidR="006B3F46" w:rsidRPr="009978E3" w:rsidRDefault="006B3F46" w:rsidP="00907941">
      <w:pPr>
        <w:jc w:val="both"/>
        <w:rPr>
          <w:sz w:val="22"/>
          <w:szCs w:val="22"/>
        </w:rPr>
      </w:pPr>
    </w:p>
    <w:p w14:paraId="4DADDC1C" w14:textId="77777777" w:rsidR="006B3F46" w:rsidRPr="009978E3" w:rsidRDefault="006B3F46" w:rsidP="00907941">
      <w:pPr>
        <w:jc w:val="both"/>
        <w:rPr>
          <w:sz w:val="22"/>
          <w:szCs w:val="22"/>
        </w:rPr>
      </w:pPr>
      <w:r w:rsidRPr="009978E3">
        <w:rPr>
          <w:sz w:val="22"/>
          <w:szCs w:val="22"/>
        </w:rPr>
        <w:t xml:space="preserve">Coastal upwelling events occur mainly on the Spanish continental margin of the Bay of Biscay (Cantabrian Sea). These are produced by </w:t>
      </w:r>
      <w:r>
        <w:rPr>
          <w:sz w:val="22"/>
          <w:szCs w:val="22"/>
        </w:rPr>
        <w:t>north-eastern</w:t>
      </w:r>
      <w:r w:rsidRPr="009978E3">
        <w:rPr>
          <w:sz w:val="22"/>
          <w:szCs w:val="22"/>
        </w:rPr>
        <w:t xml:space="preserve"> winds prevailing from late May to September. Upwelling events are highly variable in intensity and frequency from year to year, but in general they are more common and intense to the west of Cape Peñas and act as a mechanism generating an environmental contrast between the western and eastern parts of the Cantabrian Sea and between the coastal mixed waters and the neighbouring oceanic stratified areas (Lavín </w:t>
      </w:r>
      <w:r w:rsidRPr="0006066A">
        <w:rPr>
          <w:i/>
          <w:sz w:val="22"/>
          <w:szCs w:val="22"/>
        </w:rPr>
        <w:t>et al</w:t>
      </w:r>
      <w:r w:rsidRPr="009978E3">
        <w:rPr>
          <w:sz w:val="22"/>
          <w:szCs w:val="22"/>
        </w:rPr>
        <w:t>., 2005). Moreover,</w:t>
      </w:r>
      <w:r w:rsidRPr="009978E3">
        <w:rPr>
          <w:sz w:val="22"/>
          <w:szCs w:val="22"/>
          <w:lang w:val="en-US"/>
        </w:rPr>
        <w:t xml:space="preserve"> the Cantabrian Sea </w:t>
      </w:r>
      <w:r w:rsidRPr="009978E3">
        <w:rPr>
          <w:rFonts w:eastAsia="MS Mincho"/>
          <w:sz w:val="22"/>
          <w:szCs w:val="22"/>
          <w:lang w:val="en-US"/>
        </w:rPr>
        <w:t>is only weakly influenced by the land,</w:t>
      </w:r>
      <w:r w:rsidRPr="009978E3">
        <w:rPr>
          <w:sz w:val="22"/>
          <w:szCs w:val="22"/>
          <w:lang w:val="en-US"/>
        </w:rPr>
        <w:t xml:space="preserve"> due to the absence of large rivers in the area, which</w:t>
      </w:r>
      <w:r w:rsidRPr="009978E3">
        <w:rPr>
          <w:rFonts w:eastAsia="MS Mincho"/>
          <w:sz w:val="22"/>
          <w:szCs w:val="22"/>
          <w:lang w:val="en-US"/>
        </w:rPr>
        <w:t xml:space="preserve"> can</w:t>
      </w:r>
      <w:r w:rsidRPr="009978E3">
        <w:rPr>
          <w:sz w:val="22"/>
          <w:szCs w:val="22"/>
          <w:lang w:val="en-US"/>
        </w:rPr>
        <w:t xml:space="preserve"> affect the physical and chemical characteristics of the water column and sediments. As a result, it shows environmental characteristics significantly different from the large continental shelf of the French Bay of Biscay area.</w:t>
      </w:r>
    </w:p>
    <w:p w14:paraId="21E20041" w14:textId="77777777" w:rsidR="006B3F46" w:rsidRPr="009978E3" w:rsidRDefault="006B3F46" w:rsidP="00907941">
      <w:pPr>
        <w:jc w:val="both"/>
        <w:rPr>
          <w:sz w:val="22"/>
          <w:szCs w:val="22"/>
          <w:lang w:val="en-US" w:eastAsia="es-ES"/>
        </w:rPr>
      </w:pPr>
    </w:p>
    <w:p w14:paraId="76308E88" w14:textId="77777777" w:rsidR="006B3F46" w:rsidRPr="009978E3" w:rsidRDefault="006B3F46" w:rsidP="00907941">
      <w:pPr>
        <w:autoSpaceDE w:val="0"/>
        <w:autoSpaceDN w:val="0"/>
        <w:adjustRightInd w:val="0"/>
        <w:jc w:val="both"/>
        <w:rPr>
          <w:sz w:val="22"/>
          <w:szCs w:val="22"/>
        </w:rPr>
      </w:pPr>
      <w:r w:rsidRPr="009978E3">
        <w:rPr>
          <w:sz w:val="22"/>
          <w:szCs w:val="22"/>
        </w:rPr>
        <w:t xml:space="preserve">There are many descriptive studies on different aspects of the Bay of Biscay. The main reviews/studies are </w:t>
      </w:r>
      <w:r>
        <w:rPr>
          <w:sz w:val="22"/>
          <w:szCs w:val="22"/>
        </w:rPr>
        <w:t xml:space="preserve">the </w:t>
      </w:r>
      <w:r w:rsidRPr="009978E3">
        <w:rPr>
          <w:sz w:val="22"/>
          <w:szCs w:val="22"/>
        </w:rPr>
        <w:t xml:space="preserve">Quality Status Report from OSPAR (2000) and the work of Valdés and Lavín (2002), which considers the Bay of Biscay a </w:t>
      </w:r>
      <w:r>
        <w:rPr>
          <w:sz w:val="22"/>
          <w:szCs w:val="22"/>
        </w:rPr>
        <w:t>“</w:t>
      </w:r>
      <w:r w:rsidRPr="009978E3">
        <w:rPr>
          <w:sz w:val="22"/>
          <w:szCs w:val="22"/>
        </w:rPr>
        <w:t>large marine ecosystem</w:t>
      </w:r>
      <w:r>
        <w:rPr>
          <w:sz w:val="22"/>
          <w:szCs w:val="22"/>
        </w:rPr>
        <w:t>”</w:t>
      </w:r>
      <w:r w:rsidRPr="009978E3">
        <w:rPr>
          <w:sz w:val="22"/>
          <w:szCs w:val="22"/>
        </w:rPr>
        <w:t xml:space="preserve">. Díez </w:t>
      </w:r>
      <w:r w:rsidRPr="0006066A">
        <w:rPr>
          <w:i/>
          <w:sz w:val="22"/>
          <w:szCs w:val="22"/>
        </w:rPr>
        <w:t>et al</w:t>
      </w:r>
      <w:r w:rsidRPr="009978E3">
        <w:rPr>
          <w:sz w:val="22"/>
          <w:szCs w:val="22"/>
        </w:rPr>
        <w:t>. (2000) reviewed the information on the southern part of the Bay of Biscay (the Cantabrian Sea).</w:t>
      </w:r>
    </w:p>
    <w:p w14:paraId="3FD8FE34" w14:textId="77777777" w:rsidR="006B3F46" w:rsidRPr="009978E3" w:rsidRDefault="006B3F46" w:rsidP="00907941">
      <w:pPr>
        <w:autoSpaceDE w:val="0"/>
        <w:autoSpaceDN w:val="0"/>
        <w:adjustRightInd w:val="0"/>
        <w:jc w:val="both"/>
        <w:rPr>
          <w:color w:val="2F5496"/>
          <w:sz w:val="22"/>
          <w:szCs w:val="22"/>
        </w:rPr>
      </w:pPr>
    </w:p>
    <w:p w14:paraId="029CE20B"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Location</w:t>
      </w:r>
    </w:p>
    <w:p w14:paraId="5798689B" w14:textId="77777777" w:rsidR="006B3F46" w:rsidRPr="009978E3" w:rsidRDefault="006B3F46" w:rsidP="00907941">
      <w:pPr>
        <w:jc w:val="both"/>
        <w:rPr>
          <w:sz w:val="22"/>
          <w:szCs w:val="22"/>
        </w:rPr>
      </w:pPr>
      <w:r w:rsidRPr="009978E3">
        <w:rPr>
          <w:sz w:val="22"/>
          <w:szCs w:val="22"/>
        </w:rPr>
        <w:t xml:space="preserve">The area is located in the south of the Bay of Biscay and is bounded by the parallels 43º 25'N and 45º 00'N and meridians 2º 10'W and 7º 00'W. The feature for which this area is described also extends eastwards and northwards, beyond the boundaries currently described. </w:t>
      </w:r>
    </w:p>
    <w:p w14:paraId="24520FDC"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7B374369" w14:textId="77777777" w:rsidR="006B3F46" w:rsidRPr="009978E3" w:rsidRDefault="006B3F46" w:rsidP="00907941">
      <w:pPr>
        <w:jc w:val="both"/>
        <w:rPr>
          <w:rFonts w:eastAsia="MS Mincho"/>
          <w:i/>
          <w:sz w:val="22"/>
          <w:szCs w:val="22"/>
          <w:lang w:val="en-US"/>
        </w:rPr>
      </w:pPr>
    </w:p>
    <w:p w14:paraId="122200D8" w14:textId="77777777" w:rsidR="006B3F46" w:rsidRPr="009978E3" w:rsidRDefault="006B3F46" w:rsidP="006B3F46">
      <w:pPr>
        <w:pStyle w:val="ListParagraph"/>
        <w:numPr>
          <w:ilvl w:val="0"/>
          <w:numId w:val="22"/>
        </w:numPr>
        <w:ind w:leftChars="0"/>
        <w:contextualSpacing/>
        <w:rPr>
          <w:i/>
          <w:szCs w:val="22"/>
          <w:lang w:val="en-US"/>
        </w:rPr>
      </w:pPr>
      <w:r w:rsidRPr="009978E3">
        <w:rPr>
          <w:i/>
          <w:szCs w:val="22"/>
          <w:lang w:val="en-US"/>
        </w:rPr>
        <w:t xml:space="preserve">The </w:t>
      </w:r>
      <w:r w:rsidRPr="009978E3">
        <w:rPr>
          <w:rFonts w:eastAsia="MS Mincho"/>
          <w:i/>
          <w:szCs w:val="22"/>
          <w:lang w:val="en-US"/>
        </w:rPr>
        <w:t xml:space="preserve">area </w:t>
      </w:r>
      <w:r w:rsidRPr="009978E3">
        <w:rPr>
          <w:i/>
          <w:szCs w:val="22"/>
          <w:lang w:val="en-US"/>
        </w:rPr>
        <w:t xml:space="preserve">includes a </w:t>
      </w:r>
      <w:r w:rsidRPr="009978E3">
        <w:rPr>
          <w:rFonts w:eastAsia="MS Mincho"/>
          <w:i/>
          <w:szCs w:val="22"/>
          <w:lang w:val="en-US"/>
        </w:rPr>
        <w:t xml:space="preserve">variety </w:t>
      </w:r>
      <w:r w:rsidRPr="009978E3">
        <w:rPr>
          <w:i/>
          <w:szCs w:val="22"/>
          <w:lang w:val="en-US"/>
        </w:rPr>
        <w:t xml:space="preserve">of benthic </w:t>
      </w:r>
      <w:r w:rsidRPr="009978E3">
        <w:rPr>
          <w:rFonts w:eastAsia="MS Mincho"/>
          <w:i/>
          <w:szCs w:val="22"/>
          <w:lang w:val="en-US"/>
        </w:rPr>
        <w:t>habitats</w:t>
      </w:r>
      <w:r w:rsidRPr="009978E3">
        <w:rPr>
          <w:i/>
          <w:szCs w:val="22"/>
          <w:lang w:val="en-US"/>
        </w:rPr>
        <w:t xml:space="preserve"> that are considered hotspots of biodiversity. </w:t>
      </w:r>
    </w:p>
    <w:p w14:paraId="3D870EF3" w14:textId="77777777" w:rsidR="006B3F46" w:rsidRPr="009978E3" w:rsidRDefault="006B3F46" w:rsidP="00907941">
      <w:pPr>
        <w:pStyle w:val="ListParagraph"/>
        <w:ind w:left="960"/>
        <w:rPr>
          <w:rFonts w:eastAsia="MS Mincho"/>
          <w:i/>
          <w:szCs w:val="22"/>
          <w:lang w:val="en-US"/>
        </w:rPr>
      </w:pPr>
    </w:p>
    <w:p w14:paraId="015547C3" w14:textId="77777777" w:rsidR="006B3F46" w:rsidRPr="009978E3" w:rsidRDefault="006B3F46" w:rsidP="00907941">
      <w:pPr>
        <w:autoSpaceDE w:val="0"/>
        <w:autoSpaceDN w:val="0"/>
        <w:adjustRightInd w:val="0"/>
        <w:jc w:val="both"/>
        <w:rPr>
          <w:rFonts w:eastAsia="MS Mincho"/>
          <w:i/>
          <w:sz w:val="22"/>
          <w:szCs w:val="22"/>
          <w:lang w:val="en-US"/>
        </w:rPr>
      </w:pPr>
      <w:r w:rsidRPr="009978E3">
        <w:rPr>
          <w:sz w:val="22"/>
          <w:szCs w:val="22"/>
          <w:lang w:val="en-US"/>
        </w:rPr>
        <w:t xml:space="preserve">The Bay of Biscay area forms the subtropical/boreal transition zone of the eastern Atlantic, where typical temperate-water species from the south occur, together with those of northern origin and, consequently, high biodiversity indices exist in comparison with adjacent areas (Quéro </w:t>
      </w:r>
      <w:r w:rsidRPr="0006066A">
        <w:rPr>
          <w:i/>
          <w:sz w:val="22"/>
          <w:szCs w:val="22"/>
          <w:lang w:val="en-US"/>
        </w:rPr>
        <w:t>et al</w:t>
      </w:r>
      <w:r w:rsidRPr="009978E3">
        <w:rPr>
          <w:sz w:val="22"/>
          <w:szCs w:val="22"/>
          <w:lang w:val="en-US"/>
        </w:rPr>
        <w:t xml:space="preserve">., 1989; Sánchez </w:t>
      </w:r>
      <w:r w:rsidRPr="0006066A">
        <w:rPr>
          <w:i/>
          <w:sz w:val="22"/>
          <w:szCs w:val="22"/>
          <w:lang w:val="en-US"/>
        </w:rPr>
        <w:t>et al</w:t>
      </w:r>
      <w:r w:rsidRPr="009978E3">
        <w:rPr>
          <w:sz w:val="22"/>
          <w:szCs w:val="22"/>
          <w:lang w:val="en-US"/>
        </w:rPr>
        <w:t>., 2002). Additionally, the highly complex area includes a great diversity of geomorphological features (</w:t>
      </w:r>
      <w:r>
        <w:rPr>
          <w:sz w:val="22"/>
          <w:szCs w:val="22"/>
          <w:lang w:val="en-US"/>
        </w:rPr>
        <w:t>e.g.,</w:t>
      </w:r>
      <w:r w:rsidRPr="009978E3">
        <w:rPr>
          <w:sz w:val="22"/>
          <w:szCs w:val="22"/>
          <w:lang w:val="en-US"/>
        </w:rPr>
        <w:t xml:space="preserve"> submarine canyons, seamounts, banks and mounds, </w:t>
      </w:r>
      <w:r w:rsidRPr="009978E3">
        <w:rPr>
          <w:sz w:val="22"/>
          <w:szCs w:val="22"/>
        </w:rPr>
        <w:t>pockmarks</w:t>
      </w:r>
      <w:r w:rsidRPr="009978E3">
        <w:rPr>
          <w:sz w:val="22"/>
          <w:szCs w:val="22"/>
          <w:lang w:val="en-US"/>
        </w:rPr>
        <w:t>, slope affected by smaller rock outcrops</w:t>
      </w:r>
      <w:r w:rsidRPr="009978E3">
        <w:rPr>
          <w:rFonts w:eastAsia="MS Mincho"/>
          <w:sz w:val="22"/>
          <w:szCs w:val="22"/>
          <w:lang w:val="en-US"/>
        </w:rPr>
        <w:t>)</w:t>
      </w:r>
      <w:r w:rsidRPr="009978E3">
        <w:rPr>
          <w:sz w:val="22"/>
          <w:szCs w:val="22"/>
          <w:lang w:val="en-US"/>
        </w:rPr>
        <w:t xml:space="preserve"> and hence, a diversity of benthic niches</w:t>
      </w:r>
      <w:r w:rsidRPr="009978E3">
        <w:rPr>
          <w:rFonts w:eastAsia="MS Mincho"/>
          <w:sz w:val="22"/>
          <w:szCs w:val="22"/>
          <w:lang w:val="en-US"/>
        </w:rPr>
        <w:t xml:space="preserve"> is</w:t>
      </w:r>
      <w:r w:rsidRPr="009978E3">
        <w:rPr>
          <w:sz w:val="22"/>
          <w:szCs w:val="22"/>
          <w:lang w:val="en-US"/>
        </w:rPr>
        <w:t xml:space="preserve"> available. Although, in some areas, benthic information is scarce (particular</w:t>
      </w:r>
      <w:r>
        <w:rPr>
          <w:sz w:val="22"/>
          <w:szCs w:val="22"/>
          <w:lang w:val="en-US"/>
        </w:rPr>
        <w:t>ly</w:t>
      </w:r>
      <w:r w:rsidRPr="009978E3">
        <w:rPr>
          <w:sz w:val="22"/>
          <w:szCs w:val="22"/>
          <w:lang w:val="en-US"/>
        </w:rPr>
        <w:t xml:space="preserve"> in the deepest zones), </w:t>
      </w:r>
      <w:r w:rsidRPr="009978E3">
        <w:rPr>
          <w:rFonts w:eastAsia="MS Mincho"/>
          <w:sz w:val="22"/>
          <w:szCs w:val="22"/>
          <w:lang w:val="en-US"/>
        </w:rPr>
        <w:t xml:space="preserve">available </w:t>
      </w:r>
      <w:r w:rsidRPr="009978E3">
        <w:rPr>
          <w:sz w:val="22"/>
          <w:szCs w:val="22"/>
          <w:lang w:val="en-US"/>
        </w:rPr>
        <w:t xml:space="preserve">scientific data highlight the existence of important hotspots of biodiversity. The submarine canyons of the Avilés system (Sánchez </w:t>
      </w:r>
      <w:r w:rsidRPr="0006066A">
        <w:rPr>
          <w:i/>
          <w:sz w:val="22"/>
          <w:szCs w:val="22"/>
          <w:lang w:val="en-US"/>
        </w:rPr>
        <w:t>et al</w:t>
      </w:r>
      <w:r w:rsidRPr="009978E3">
        <w:rPr>
          <w:sz w:val="22"/>
          <w:szCs w:val="22"/>
          <w:lang w:val="en-US"/>
        </w:rPr>
        <w:t xml:space="preserve">., 2014), the Le Danois Bank (Sánchez </w:t>
      </w:r>
      <w:r w:rsidRPr="0006066A">
        <w:rPr>
          <w:i/>
          <w:sz w:val="22"/>
          <w:szCs w:val="22"/>
          <w:lang w:val="en-US"/>
        </w:rPr>
        <w:t>et al</w:t>
      </w:r>
      <w:r w:rsidRPr="009978E3">
        <w:rPr>
          <w:sz w:val="22"/>
          <w:szCs w:val="22"/>
          <w:lang w:val="en-US"/>
        </w:rPr>
        <w:t xml:space="preserve">., 2008) as well as numerous areas of the continental slope (Aguilar </w:t>
      </w:r>
      <w:r w:rsidRPr="0006066A">
        <w:rPr>
          <w:i/>
          <w:sz w:val="22"/>
          <w:szCs w:val="22"/>
          <w:lang w:val="en-US"/>
        </w:rPr>
        <w:t>et al</w:t>
      </w:r>
      <w:r w:rsidRPr="009978E3">
        <w:rPr>
          <w:sz w:val="22"/>
          <w:szCs w:val="22"/>
          <w:lang w:val="en-US"/>
        </w:rPr>
        <w:t>., 2009) are example of hotspots of benthic biodiversity, where numerous vulnerable taxa and habitats have been recorded.</w:t>
      </w:r>
    </w:p>
    <w:p w14:paraId="3FAEC241" w14:textId="77777777" w:rsidR="006B3F46" w:rsidRPr="009978E3" w:rsidRDefault="006B3F46" w:rsidP="00907941">
      <w:pPr>
        <w:jc w:val="both"/>
        <w:rPr>
          <w:sz w:val="22"/>
          <w:szCs w:val="22"/>
          <w:lang w:val="en-US"/>
        </w:rPr>
      </w:pPr>
    </w:p>
    <w:p w14:paraId="2E5F1D38" w14:textId="77777777" w:rsidR="006B3F46" w:rsidRPr="009978E3" w:rsidRDefault="006B3F46" w:rsidP="00907941">
      <w:pPr>
        <w:pStyle w:val="Default"/>
        <w:jc w:val="both"/>
        <w:rPr>
          <w:color w:val="auto"/>
          <w:sz w:val="22"/>
          <w:szCs w:val="22"/>
        </w:rPr>
      </w:pPr>
      <w:r w:rsidRPr="009978E3">
        <w:rPr>
          <w:color w:val="auto"/>
          <w:sz w:val="22"/>
          <w:szCs w:val="22"/>
        </w:rPr>
        <w:t>Habitats on both soft and rocky bottoms host a high diversity of species</w:t>
      </w:r>
      <w:r w:rsidRPr="009978E3">
        <w:rPr>
          <w:color w:val="auto"/>
          <w:sz w:val="22"/>
          <w:szCs w:val="22"/>
          <w:lang w:eastAsia="en-US"/>
        </w:rPr>
        <w:t>,</w:t>
      </w:r>
      <w:r w:rsidRPr="009978E3">
        <w:rPr>
          <w:color w:val="auto"/>
          <w:sz w:val="22"/>
          <w:szCs w:val="22"/>
        </w:rPr>
        <w:t xml:space="preserve"> resulting in shelf and slope ecosystems that are rich in species and in ecological interactions, including circalittoral rocky bottoms with </w:t>
      </w:r>
      <w:r w:rsidRPr="009978E3">
        <w:rPr>
          <w:color w:val="auto"/>
          <w:sz w:val="22"/>
          <w:szCs w:val="22"/>
          <w:lang w:eastAsia="es-ES"/>
        </w:rPr>
        <w:t>sponges (</w:t>
      </w:r>
      <w:r w:rsidRPr="009978E3">
        <w:rPr>
          <w:i/>
          <w:color w:val="auto"/>
          <w:sz w:val="22"/>
          <w:szCs w:val="22"/>
        </w:rPr>
        <w:t>Phakellia ventilabrum</w:t>
      </w:r>
      <w:r w:rsidRPr="009978E3">
        <w:rPr>
          <w:i/>
          <w:color w:val="auto"/>
          <w:sz w:val="22"/>
          <w:szCs w:val="22"/>
          <w:lang w:eastAsia="es-ES"/>
        </w:rPr>
        <w:t>)</w:t>
      </w:r>
      <w:r w:rsidRPr="009978E3">
        <w:rPr>
          <w:color w:val="auto"/>
          <w:sz w:val="22"/>
          <w:szCs w:val="22"/>
        </w:rPr>
        <w:t xml:space="preserve"> and </w:t>
      </w:r>
      <w:r w:rsidRPr="009978E3">
        <w:rPr>
          <w:color w:val="auto"/>
          <w:sz w:val="22"/>
          <w:szCs w:val="22"/>
          <w:lang w:eastAsia="es-ES"/>
        </w:rPr>
        <w:t>corals (</w:t>
      </w:r>
      <w:r w:rsidRPr="009978E3">
        <w:rPr>
          <w:i/>
          <w:color w:val="auto"/>
          <w:sz w:val="22"/>
          <w:szCs w:val="22"/>
        </w:rPr>
        <w:t>Dendrophyllia cornigera</w:t>
      </w:r>
      <w:r w:rsidRPr="009978E3">
        <w:rPr>
          <w:i/>
          <w:color w:val="auto"/>
          <w:sz w:val="22"/>
          <w:szCs w:val="22"/>
          <w:lang w:eastAsia="es-ES"/>
        </w:rPr>
        <w:t>)</w:t>
      </w:r>
      <w:r w:rsidRPr="009978E3">
        <w:rPr>
          <w:color w:val="auto"/>
          <w:sz w:val="22"/>
          <w:szCs w:val="22"/>
          <w:lang w:eastAsia="es-ES"/>
        </w:rPr>
        <w:t>,</w:t>
      </w:r>
      <w:r w:rsidRPr="009978E3">
        <w:rPr>
          <w:color w:val="auto"/>
          <w:sz w:val="22"/>
          <w:szCs w:val="22"/>
        </w:rPr>
        <w:t xml:space="preserve"> coral reefs with </w:t>
      </w:r>
      <w:r w:rsidRPr="009978E3">
        <w:rPr>
          <w:i/>
          <w:color w:val="auto"/>
          <w:sz w:val="22"/>
          <w:szCs w:val="22"/>
        </w:rPr>
        <w:t>Madrepora oculata</w:t>
      </w:r>
      <w:r w:rsidRPr="009978E3">
        <w:rPr>
          <w:color w:val="auto"/>
          <w:sz w:val="22"/>
          <w:szCs w:val="22"/>
        </w:rPr>
        <w:t xml:space="preserve"> and </w:t>
      </w:r>
      <w:r w:rsidRPr="009978E3">
        <w:rPr>
          <w:i/>
          <w:color w:val="auto"/>
          <w:sz w:val="22"/>
          <w:szCs w:val="22"/>
        </w:rPr>
        <w:t>Lophelia pertusa</w:t>
      </w:r>
      <w:r w:rsidRPr="009978E3">
        <w:rPr>
          <w:color w:val="auto"/>
          <w:sz w:val="22"/>
          <w:szCs w:val="22"/>
        </w:rPr>
        <w:t>, bathyal rocky bottoms with gorgonians (</w:t>
      </w:r>
      <w:r w:rsidRPr="009978E3">
        <w:rPr>
          <w:i/>
          <w:color w:val="auto"/>
          <w:sz w:val="22"/>
          <w:szCs w:val="22"/>
        </w:rPr>
        <w:t>Callogorgia verticillata</w:t>
      </w:r>
      <w:r w:rsidRPr="009978E3">
        <w:rPr>
          <w:color w:val="auto"/>
          <w:sz w:val="22"/>
          <w:szCs w:val="22"/>
        </w:rPr>
        <w:t>,</w:t>
      </w:r>
      <w:r w:rsidRPr="009978E3">
        <w:rPr>
          <w:i/>
          <w:color w:val="auto"/>
          <w:sz w:val="22"/>
          <w:szCs w:val="22"/>
        </w:rPr>
        <w:t xml:space="preserve"> Acanthogorgia </w:t>
      </w:r>
      <w:r w:rsidRPr="009978E3">
        <w:rPr>
          <w:color w:val="auto"/>
          <w:sz w:val="22"/>
          <w:szCs w:val="22"/>
        </w:rPr>
        <w:t>spp.), big sponge grounds (</w:t>
      </w:r>
      <w:r w:rsidRPr="009978E3">
        <w:rPr>
          <w:i/>
          <w:color w:val="auto"/>
          <w:sz w:val="22"/>
          <w:szCs w:val="22"/>
        </w:rPr>
        <w:t>Asconema setubalense</w:t>
      </w:r>
      <w:r w:rsidRPr="009978E3">
        <w:rPr>
          <w:color w:val="auto"/>
          <w:sz w:val="22"/>
          <w:szCs w:val="22"/>
        </w:rPr>
        <w:t>, Geodiidae, Pachastrellidae) and black corals (</w:t>
      </w:r>
      <w:r w:rsidRPr="009978E3">
        <w:rPr>
          <w:i/>
          <w:color w:val="auto"/>
          <w:sz w:val="22"/>
          <w:szCs w:val="22"/>
        </w:rPr>
        <w:t>Leiopathes</w:t>
      </w:r>
      <w:r w:rsidRPr="009978E3">
        <w:rPr>
          <w:color w:val="auto"/>
          <w:sz w:val="22"/>
          <w:szCs w:val="22"/>
        </w:rPr>
        <w:t xml:space="preserve"> sp., </w:t>
      </w:r>
      <w:r w:rsidRPr="009978E3">
        <w:rPr>
          <w:i/>
          <w:color w:val="auto"/>
          <w:sz w:val="22"/>
          <w:szCs w:val="22"/>
        </w:rPr>
        <w:t>Antipathes</w:t>
      </w:r>
      <w:r w:rsidRPr="009978E3">
        <w:rPr>
          <w:color w:val="auto"/>
          <w:sz w:val="22"/>
          <w:szCs w:val="22"/>
        </w:rPr>
        <w:t xml:space="preserve"> sp., </w:t>
      </w:r>
      <w:r w:rsidRPr="009978E3">
        <w:rPr>
          <w:i/>
          <w:color w:val="auto"/>
          <w:sz w:val="22"/>
          <w:szCs w:val="22"/>
        </w:rPr>
        <w:t>Bathypathes</w:t>
      </w:r>
      <w:r w:rsidRPr="009978E3">
        <w:rPr>
          <w:color w:val="auto"/>
          <w:sz w:val="22"/>
          <w:szCs w:val="22"/>
        </w:rPr>
        <w:t xml:space="preserve"> sp.). Other species that are frequently found over hard substrates are crinoids (</w:t>
      </w:r>
      <w:r w:rsidRPr="009978E3">
        <w:rPr>
          <w:i/>
          <w:color w:val="auto"/>
          <w:sz w:val="22"/>
          <w:szCs w:val="22"/>
        </w:rPr>
        <w:t>Leptometra celtica</w:t>
      </w:r>
      <w:r w:rsidRPr="009978E3">
        <w:rPr>
          <w:color w:val="auto"/>
          <w:sz w:val="22"/>
          <w:szCs w:val="22"/>
        </w:rPr>
        <w:t>) and sea stars (</w:t>
      </w:r>
      <w:r w:rsidRPr="009978E3">
        <w:rPr>
          <w:i/>
          <w:color w:val="auto"/>
          <w:sz w:val="22"/>
          <w:szCs w:val="22"/>
        </w:rPr>
        <w:t>Brisinga endecacnemos</w:t>
      </w:r>
      <w:r w:rsidRPr="009978E3">
        <w:rPr>
          <w:color w:val="auto"/>
          <w:sz w:val="22"/>
          <w:szCs w:val="22"/>
        </w:rPr>
        <w:t xml:space="preserve"> and </w:t>
      </w:r>
      <w:r w:rsidRPr="009978E3">
        <w:rPr>
          <w:i/>
          <w:color w:val="auto"/>
          <w:sz w:val="22"/>
          <w:szCs w:val="22"/>
        </w:rPr>
        <w:t>Novodina pandina</w:t>
      </w:r>
      <w:r w:rsidRPr="009978E3">
        <w:rPr>
          <w:color w:val="auto"/>
          <w:sz w:val="22"/>
          <w:szCs w:val="22"/>
        </w:rPr>
        <w:t>). However, over soft bottoms, different communities have been found, such as pennatulids (</w:t>
      </w:r>
      <w:r w:rsidRPr="009978E3">
        <w:rPr>
          <w:i/>
          <w:color w:val="auto"/>
          <w:sz w:val="22"/>
          <w:szCs w:val="22"/>
        </w:rPr>
        <w:t>Pennatula rubra</w:t>
      </w:r>
      <w:r w:rsidRPr="009978E3">
        <w:rPr>
          <w:color w:val="auto"/>
          <w:sz w:val="22"/>
          <w:szCs w:val="22"/>
        </w:rPr>
        <w:t xml:space="preserve">, </w:t>
      </w:r>
      <w:r w:rsidRPr="009978E3">
        <w:rPr>
          <w:i/>
          <w:color w:val="auto"/>
          <w:sz w:val="22"/>
          <w:szCs w:val="22"/>
        </w:rPr>
        <w:t>Pennatula phosphorea</w:t>
      </w:r>
      <w:r w:rsidRPr="009978E3">
        <w:rPr>
          <w:color w:val="auto"/>
          <w:sz w:val="22"/>
          <w:szCs w:val="22"/>
        </w:rPr>
        <w:t xml:space="preserve">, </w:t>
      </w:r>
      <w:r w:rsidRPr="009978E3">
        <w:rPr>
          <w:i/>
          <w:color w:val="auto"/>
          <w:sz w:val="22"/>
          <w:szCs w:val="22"/>
        </w:rPr>
        <w:t>Funiculina quadrangularis</w:t>
      </w:r>
      <w:r w:rsidRPr="009978E3">
        <w:rPr>
          <w:color w:val="auto"/>
          <w:sz w:val="22"/>
          <w:szCs w:val="22"/>
        </w:rPr>
        <w:t>), tube-dwelling anemones (</w:t>
      </w:r>
      <w:r w:rsidRPr="009978E3">
        <w:rPr>
          <w:i/>
          <w:color w:val="auto"/>
          <w:sz w:val="22"/>
          <w:szCs w:val="22"/>
        </w:rPr>
        <w:t>Cerianthus</w:t>
      </w:r>
      <w:r w:rsidRPr="009978E3">
        <w:rPr>
          <w:color w:val="auto"/>
          <w:sz w:val="22"/>
          <w:szCs w:val="22"/>
        </w:rPr>
        <w:t xml:space="preserve"> sp.) and detritic sand bottoms with sea anemones (</w:t>
      </w:r>
      <w:r w:rsidRPr="009978E3">
        <w:rPr>
          <w:i/>
          <w:color w:val="auto"/>
          <w:sz w:val="22"/>
          <w:szCs w:val="22"/>
        </w:rPr>
        <w:t>Phelliactis</w:t>
      </w:r>
      <w:r w:rsidRPr="009978E3">
        <w:rPr>
          <w:color w:val="auto"/>
          <w:sz w:val="22"/>
          <w:szCs w:val="22"/>
        </w:rPr>
        <w:t xml:space="preserve"> </w:t>
      </w:r>
      <w:r w:rsidRPr="009978E3">
        <w:rPr>
          <w:i/>
          <w:color w:val="auto"/>
          <w:sz w:val="22"/>
          <w:szCs w:val="22"/>
        </w:rPr>
        <w:t>hertwigi</w:t>
      </w:r>
      <w:r w:rsidRPr="009978E3">
        <w:rPr>
          <w:color w:val="auto"/>
          <w:sz w:val="22"/>
          <w:szCs w:val="22"/>
        </w:rPr>
        <w:t>). Some carnivorous sponges (</w:t>
      </w:r>
      <w:r w:rsidRPr="009978E3">
        <w:rPr>
          <w:i/>
          <w:color w:val="auto"/>
          <w:sz w:val="22"/>
          <w:szCs w:val="22"/>
        </w:rPr>
        <w:t>Lypocodina</w:t>
      </w:r>
      <w:r w:rsidRPr="009978E3">
        <w:rPr>
          <w:color w:val="auto"/>
          <w:sz w:val="22"/>
          <w:szCs w:val="22"/>
        </w:rPr>
        <w:t xml:space="preserve">, </w:t>
      </w:r>
      <w:r w:rsidRPr="009978E3">
        <w:rPr>
          <w:i/>
          <w:color w:val="auto"/>
          <w:sz w:val="22"/>
          <w:szCs w:val="22"/>
        </w:rPr>
        <w:t>Chondrocladia</w:t>
      </w:r>
      <w:r w:rsidRPr="009978E3">
        <w:rPr>
          <w:color w:val="auto"/>
          <w:sz w:val="22"/>
          <w:szCs w:val="22"/>
        </w:rPr>
        <w:t xml:space="preserve"> and </w:t>
      </w:r>
      <w:r w:rsidRPr="009978E3">
        <w:rPr>
          <w:i/>
          <w:color w:val="auto"/>
          <w:sz w:val="22"/>
          <w:szCs w:val="22"/>
        </w:rPr>
        <w:t>Cladrihiza</w:t>
      </w:r>
      <w:r w:rsidRPr="009978E3">
        <w:rPr>
          <w:color w:val="auto"/>
          <w:sz w:val="22"/>
          <w:szCs w:val="22"/>
        </w:rPr>
        <w:t xml:space="preserve">) have also been recorded (see Sánchez </w:t>
      </w:r>
      <w:r w:rsidRPr="0006066A">
        <w:rPr>
          <w:i/>
          <w:color w:val="auto"/>
          <w:sz w:val="22"/>
          <w:szCs w:val="22"/>
        </w:rPr>
        <w:t>et al</w:t>
      </w:r>
      <w:r w:rsidRPr="009978E3">
        <w:rPr>
          <w:color w:val="auto"/>
          <w:sz w:val="22"/>
          <w:szCs w:val="22"/>
        </w:rPr>
        <w:t xml:space="preserve">., 2008; 2014; Aguilar </w:t>
      </w:r>
      <w:r w:rsidRPr="0006066A">
        <w:rPr>
          <w:i/>
          <w:color w:val="auto"/>
          <w:sz w:val="22"/>
          <w:szCs w:val="22"/>
        </w:rPr>
        <w:t>et al</w:t>
      </w:r>
      <w:r w:rsidRPr="009978E3">
        <w:rPr>
          <w:color w:val="auto"/>
          <w:sz w:val="22"/>
          <w:szCs w:val="22"/>
        </w:rPr>
        <w:t>., 2009).</w:t>
      </w:r>
    </w:p>
    <w:p w14:paraId="11F0B7FA" w14:textId="77777777" w:rsidR="006B3F46" w:rsidRPr="009978E3" w:rsidRDefault="006B3F46" w:rsidP="00907941">
      <w:pPr>
        <w:jc w:val="both"/>
        <w:rPr>
          <w:sz w:val="22"/>
          <w:szCs w:val="22"/>
          <w:lang w:val="en-US"/>
        </w:rPr>
      </w:pPr>
    </w:p>
    <w:p w14:paraId="5ACEA1FF" w14:textId="77777777" w:rsidR="006B3F46" w:rsidRPr="009978E3" w:rsidRDefault="006B3F46" w:rsidP="00907941">
      <w:pPr>
        <w:pStyle w:val="Default"/>
        <w:jc w:val="both"/>
        <w:rPr>
          <w:color w:val="auto"/>
          <w:sz w:val="22"/>
          <w:szCs w:val="22"/>
        </w:rPr>
      </w:pPr>
      <w:r w:rsidRPr="009978E3">
        <w:rPr>
          <w:color w:val="auto"/>
          <w:sz w:val="22"/>
          <w:szCs w:val="22"/>
        </w:rPr>
        <w:t xml:space="preserve">Together with deep zones, some coastal areas are ecologically or biologically significant due to the presence of gorgonian </w:t>
      </w:r>
      <w:r w:rsidRPr="009978E3">
        <w:rPr>
          <w:color w:val="auto"/>
          <w:sz w:val="22"/>
          <w:szCs w:val="22"/>
          <w:lang w:eastAsia="en-US"/>
        </w:rPr>
        <w:t>forests</w:t>
      </w:r>
      <w:r w:rsidRPr="009978E3">
        <w:rPr>
          <w:color w:val="auto"/>
          <w:sz w:val="22"/>
          <w:szCs w:val="22"/>
        </w:rPr>
        <w:t xml:space="preserve"> and sponge grounds (</w:t>
      </w:r>
      <w:r>
        <w:rPr>
          <w:color w:val="auto"/>
          <w:sz w:val="22"/>
          <w:szCs w:val="22"/>
        </w:rPr>
        <w:t>e.g.</w:t>
      </w:r>
      <w:r w:rsidRPr="009978E3">
        <w:rPr>
          <w:color w:val="auto"/>
          <w:sz w:val="22"/>
          <w:szCs w:val="22"/>
        </w:rPr>
        <w:t xml:space="preserve">, Somos Llungo- Peñas Cape) where levels of biodiversity indices are high (Aguilar </w:t>
      </w:r>
      <w:r w:rsidRPr="0006066A">
        <w:rPr>
          <w:i/>
          <w:color w:val="auto"/>
          <w:sz w:val="22"/>
          <w:szCs w:val="22"/>
        </w:rPr>
        <w:t>et al</w:t>
      </w:r>
      <w:r w:rsidRPr="009978E3">
        <w:rPr>
          <w:color w:val="auto"/>
          <w:sz w:val="22"/>
          <w:szCs w:val="22"/>
        </w:rPr>
        <w:t xml:space="preserve">., 2009) or due to their geomorphology and the presence of species </w:t>
      </w:r>
      <w:r w:rsidRPr="009978E3">
        <w:rPr>
          <w:color w:val="auto"/>
          <w:sz w:val="22"/>
          <w:szCs w:val="22"/>
          <w:lang w:eastAsia="en-US"/>
        </w:rPr>
        <w:t xml:space="preserve">typical of the Mediterranean </w:t>
      </w:r>
      <w:r w:rsidRPr="009978E3">
        <w:rPr>
          <w:color w:val="auto"/>
          <w:sz w:val="22"/>
          <w:szCs w:val="22"/>
        </w:rPr>
        <w:t>in the Cantabrian Sea (</w:t>
      </w:r>
      <w:r>
        <w:rPr>
          <w:color w:val="auto"/>
          <w:sz w:val="22"/>
          <w:szCs w:val="22"/>
        </w:rPr>
        <w:t>e.g.,</w:t>
      </w:r>
      <w:r w:rsidRPr="009978E3">
        <w:rPr>
          <w:color w:val="auto"/>
          <w:sz w:val="22"/>
          <w:szCs w:val="22"/>
        </w:rPr>
        <w:t xml:space="preserve"> Jaizkibel). </w:t>
      </w:r>
    </w:p>
    <w:p w14:paraId="4429ABF9" w14:textId="77777777" w:rsidR="006B3F46" w:rsidRPr="009978E3" w:rsidRDefault="006B3F46" w:rsidP="00907941">
      <w:pPr>
        <w:jc w:val="both"/>
        <w:rPr>
          <w:color w:val="2F5496"/>
          <w:sz w:val="22"/>
          <w:szCs w:val="22"/>
          <w:lang w:val="en-US"/>
        </w:rPr>
      </w:pPr>
    </w:p>
    <w:p w14:paraId="0DB73E5C" w14:textId="77777777" w:rsidR="006B3F46" w:rsidRPr="009978E3" w:rsidRDefault="006B3F46" w:rsidP="006B3F46">
      <w:pPr>
        <w:pStyle w:val="ListParagraph"/>
        <w:numPr>
          <w:ilvl w:val="0"/>
          <w:numId w:val="22"/>
        </w:numPr>
        <w:ind w:leftChars="0"/>
        <w:contextualSpacing/>
        <w:rPr>
          <w:rFonts w:eastAsia="MS Mincho"/>
          <w:i/>
          <w:szCs w:val="22"/>
          <w:lang w:val="en-US"/>
        </w:rPr>
      </w:pPr>
      <w:r w:rsidRPr="009978E3">
        <w:rPr>
          <w:i/>
          <w:szCs w:val="22"/>
          <w:lang w:val="en-US"/>
        </w:rPr>
        <w:t xml:space="preserve">The </w:t>
      </w:r>
      <w:r w:rsidRPr="009978E3">
        <w:rPr>
          <w:rFonts w:eastAsia="MS Mincho"/>
          <w:i/>
          <w:szCs w:val="22"/>
          <w:lang w:val="en-US"/>
        </w:rPr>
        <w:t xml:space="preserve">area </w:t>
      </w:r>
      <w:r w:rsidRPr="009978E3">
        <w:rPr>
          <w:i/>
          <w:szCs w:val="22"/>
          <w:lang w:val="en-US"/>
        </w:rPr>
        <w:t xml:space="preserve">is important for cetaceans. </w:t>
      </w:r>
    </w:p>
    <w:p w14:paraId="49E00D2A" w14:textId="77777777" w:rsidR="006B3F46" w:rsidRPr="009978E3" w:rsidRDefault="006B3F46" w:rsidP="00907941">
      <w:pPr>
        <w:pStyle w:val="ListParagraph"/>
        <w:ind w:left="960"/>
        <w:rPr>
          <w:rFonts w:eastAsia="MS Mincho"/>
          <w:i/>
          <w:szCs w:val="22"/>
          <w:lang w:val="en-US"/>
        </w:rPr>
      </w:pPr>
    </w:p>
    <w:p w14:paraId="3365D183" w14:textId="77777777" w:rsidR="006B3F46" w:rsidRPr="009978E3" w:rsidRDefault="006B3F46" w:rsidP="00907941">
      <w:pPr>
        <w:pStyle w:val="Default"/>
        <w:jc w:val="both"/>
        <w:rPr>
          <w:rFonts w:eastAsia="Times New Roman"/>
          <w:b/>
          <w:bCs/>
          <w:color w:val="111111"/>
          <w:sz w:val="22"/>
          <w:szCs w:val="22"/>
        </w:rPr>
      </w:pPr>
      <w:r w:rsidRPr="009978E3">
        <w:rPr>
          <w:color w:val="auto"/>
          <w:sz w:val="22"/>
          <w:szCs w:val="22"/>
          <w:lang w:eastAsia="en-US"/>
        </w:rPr>
        <w:t xml:space="preserve">The Bay of Biscay, including the areas of the canyons, seamounts, shelf, and adjacent pelagic areas, support a persistent </w:t>
      </w:r>
      <w:r w:rsidRPr="009978E3">
        <w:rPr>
          <w:color w:val="auto"/>
          <w:sz w:val="22"/>
          <w:szCs w:val="22"/>
        </w:rPr>
        <w:t xml:space="preserve">presence of </w:t>
      </w:r>
      <w:r w:rsidRPr="009978E3">
        <w:rPr>
          <w:color w:val="auto"/>
          <w:sz w:val="22"/>
          <w:szCs w:val="22"/>
          <w:lang w:eastAsia="en-US"/>
        </w:rPr>
        <w:t xml:space="preserve">cetacean species, including </w:t>
      </w:r>
      <w:r w:rsidRPr="009978E3">
        <w:rPr>
          <w:color w:val="auto"/>
          <w:sz w:val="22"/>
          <w:szCs w:val="22"/>
        </w:rPr>
        <w:t>the bottlenose</w:t>
      </w:r>
      <w:r w:rsidRPr="009978E3">
        <w:rPr>
          <w:color w:val="auto"/>
          <w:sz w:val="22"/>
          <w:szCs w:val="22"/>
          <w:lang w:eastAsia="en-US"/>
        </w:rPr>
        <w:t xml:space="preserve"> </w:t>
      </w:r>
      <w:r w:rsidRPr="009978E3">
        <w:rPr>
          <w:color w:val="auto"/>
          <w:sz w:val="22"/>
          <w:szCs w:val="22"/>
        </w:rPr>
        <w:t>dolphin</w:t>
      </w:r>
      <w:r w:rsidRPr="009978E3">
        <w:rPr>
          <w:rStyle w:val="Emphasis"/>
          <w:b/>
          <w:bCs/>
          <w:color w:val="auto"/>
          <w:sz w:val="22"/>
          <w:szCs w:val="22"/>
          <w:shd w:val="clear" w:color="auto" w:fill="FFFFFF"/>
        </w:rPr>
        <w:t xml:space="preserve"> (</w:t>
      </w:r>
      <w:r w:rsidRPr="009978E3">
        <w:rPr>
          <w:i/>
          <w:color w:val="auto"/>
          <w:sz w:val="22"/>
          <w:szCs w:val="22"/>
        </w:rPr>
        <w:t>Tursiops truncatus</w:t>
      </w:r>
      <w:r w:rsidRPr="009978E3">
        <w:rPr>
          <w:color w:val="auto"/>
          <w:sz w:val="22"/>
          <w:szCs w:val="22"/>
          <w:lang w:eastAsia="en-US"/>
        </w:rPr>
        <w:t xml:space="preserve"> </w:t>
      </w:r>
      <w:r w:rsidRPr="009978E3">
        <w:rPr>
          <w:color w:val="auto"/>
          <w:sz w:val="22"/>
          <w:szCs w:val="22"/>
        </w:rPr>
        <w:t>Montagu, 1821</w:t>
      </w:r>
      <w:r w:rsidRPr="009978E3">
        <w:rPr>
          <w:color w:val="auto"/>
          <w:sz w:val="22"/>
          <w:szCs w:val="22"/>
          <w:lang w:eastAsia="en-US"/>
        </w:rPr>
        <w:t>),</w:t>
      </w:r>
      <w:r w:rsidRPr="009978E3">
        <w:rPr>
          <w:color w:val="auto"/>
          <w:sz w:val="22"/>
          <w:szCs w:val="22"/>
        </w:rPr>
        <w:t xml:space="preserve"> common</w:t>
      </w:r>
      <w:r w:rsidRPr="009978E3">
        <w:rPr>
          <w:color w:val="auto"/>
          <w:sz w:val="22"/>
          <w:szCs w:val="22"/>
          <w:lang w:eastAsia="en-US"/>
        </w:rPr>
        <w:t xml:space="preserve"> </w:t>
      </w:r>
      <w:r w:rsidRPr="009978E3">
        <w:rPr>
          <w:color w:val="auto"/>
          <w:sz w:val="22"/>
          <w:szCs w:val="22"/>
        </w:rPr>
        <w:t>dolphin</w:t>
      </w:r>
      <w:r w:rsidRPr="009978E3">
        <w:rPr>
          <w:i/>
          <w:color w:val="auto"/>
          <w:sz w:val="22"/>
          <w:szCs w:val="22"/>
        </w:rPr>
        <w:t xml:space="preserve"> </w:t>
      </w:r>
      <w:r w:rsidRPr="009978E3">
        <w:rPr>
          <w:i/>
          <w:color w:val="auto"/>
          <w:sz w:val="22"/>
          <w:szCs w:val="22"/>
          <w:lang w:eastAsia="en-US"/>
        </w:rPr>
        <w:t>(</w:t>
      </w:r>
      <w:r w:rsidRPr="009978E3">
        <w:rPr>
          <w:i/>
          <w:color w:val="auto"/>
          <w:sz w:val="22"/>
          <w:szCs w:val="22"/>
        </w:rPr>
        <w:t>Delphinus delphis</w:t>
      </w:r>
      <w:r w:rsidRPr="009978E3">
        <w:rPr>
          <w:color w:val="auto"/>
          <w:sz w:val="22"/>
          <w:szCs w:val="22"/>
        </w:rPr>
        <w:t>. Linnaeus, 1758</w:t>
      </w:r>
      <w:r w:rsidRPr="009978E3">
        <w:rPr>
          <w:color w:val="auto"/>
          <w:sz w:val="22"/>
          <w:szCs w:val="22"/>
          <w:lang w:eastAsia="en-US"/>
        </w:rPr>
        <w:t>),</w:t>
      </w:r>
      <w:r w:rsidRPr="009978E3">
        <w:rPr>
          <w:color w:val="auto"/>
          <w:sz w:val="22"/>
          <w:szCs w:val="22"/>
        </w:rPr>
        <w:t xml:space="preserve"> the long-finned pilot</w:t>
      </w:r>
      <w:r w:rsidRPr="009978E3">
        <w:rPr>
          <w:color w:val="auto"/>
          <w:sz w:val="22"/>
          <w:szCs w:val="22"/>
          <w:lang w:eastAsia="en-US"/>
        </w:rPr>
        <w:t xml:space="preserve"> </w:t>
      </w:r>
      <w:r w:rsidRPr="009978E3">
        <w:rPr>
          <w:color w:val="auto"/>
          <w:sz w:val="22"/>
          <w:szCs w:val="22"/>
        </w:rPr>
        <w:t>whale</w:t>
      </w:r>
      <w:r w:rsidRPr="009978E3">
        <w:rPr>
          <w:i/>
          <w:color w:val="auto"/>
          <w:sz w:val="22"/>
          <w:szCs w:val="22"/>
        </w:rPr>
        <w:t xml:space="preserve"> </w:t>
      </w:r>
      <w:r w:rsidRPr="009978E3">
        <w:rPr>
          <w:i/>
          <w:color w:val="auto"/>
          <w:sz w:val="22"/>
          <w:szCs w:val="22"/>
          <w:lang w:eastAsia="en-US"/>
        </w:rPr>
        <w:t>(</w:t>
      </w:r>
      <w:r w:rsidRPr="009978E3">
        <w:rPr>
          <w:i/>
          <w:color w:val="auto"/>
          <w:sz w:val="22"/>
          <w:szCs w:val="22"/>
        </w:rPr>
        <w:t>Globicephala melas,</w:t>
      </w:r>
      <w:r w:rsidRPr="009978E3">
        <w:rPr>
          <w:color w:val="auto"/>
          <w:sz w:val="22"/>
          <w:szCs w:val="22"/>
        </w:rPr>
        <w:t xml:space="preserve"> Traill, 1809</w:t>
      </w:r>
      <w:r w:rsidRPr="009978E3">
        <w:rPr>
          <w:color w:val="auto"/>
          <w:sz w:val="22"/>
          <w:szCs w:val="22"/>
          <w:lang w:eastAsia="en-US"/>
        </w:rPr>
        <w:t>),</w:t>
      </w:r>
      <w:r w:rsidRPr="009978E3">
        <w:rPr>
          <w:color w:val="auto"/>
          <w:sz w:val="22"/>
          <w:szCs w:val="22"/>
        </w:rPr>
        <w:t xml:space="preserve"> striped dolphin</w:t>
      </w:r>
      <w:r w:rsidRPr="009978E3">
        <w:rPr>
          <w:i/>
          <w:color w:val="auto"/>
          <w:sz w:val="22"/>
          <w:szCs w:val="22"/>
        </w:rPr>
        <w:t xml:space="preserve"> </w:t>
      </w:r>
      <w:r w:rsidRPr="009978E3">
        <w:rPr>
          <w:i/>
          <w:color w:val="auto"/>
          <w:sz w:val="22"/>
          <w:szCs w:val="22"/>
          <w:lang w:eastAsia="en-US"/>
        </w:rPr>
        <w:t>(</w:t>
      </w:r>
      <w:r w:rsidRPr="009978E3">
        <w:rPr>
          <w:i/>
          <w:color w:val="auto"/>
          <w:sz w:val="22"/>
          <w:szCs w:val="22"/>
        </w:rPr>
        <w:t>Stenella coeruleoalba,</w:t>
      </w:r>
      <w:r w:rsidRPr="009978E3">
        <w:rPr>
          <w:color w:val="auto"/>
          <w:sz w:val="22"/>
          <w:szCs w:val="22"/>
        </w:rPr>
        <w:t xml:space="preserve"> Meyen, 1833</w:t>
      </w:r>
      <w:r w:rsidRPr="009978E3">
        <w:rPr>
          <w:color w:val="auto"/>
          <w:sz w:val="22"/>
          <w:szCs w:val="22"/>
          <w:lang w:eastAsia="en-US"/>
        </w:rPr>
        <w:t>)</w:t>
      </w:r>
      <w:r w:rsidRPr="009978E3">
        <w:rPr>
          <w:color w:val="auto"/>
          <w:sz w:val="22"/>
          <w:szCs w:val="22"/>
        </w:rPr>
        <w:t xml:space="preserve"> Cuvier's </w:t>
      </w:r>
      <w:r w:rsidRPr="009978E3">
        <w:rPr>
          <w:color w:val="auto"/>
          <w:sz w:val="22"/>
          <w:szCs w:val="22"/>
          <w:lang w:eastAsia="en-US"/>
        </w:rPr>
        <w:t>beaked whale (</w:t>
      </w:r>
      <w:r w:rsidRPr="009978E3">
        <w:rPr>
          <w:i/>
          <w:color w:val="auto"/>
          <w:sz w:val="22"/>
          <w:szCs w:val="22"/>
        </w:rPr>
        <w:t>Ziphius cavirostris,</w:t>
      </w:r>
      <w:r w:rsidRPr="009978E3">
        <w:rPr>
          <w:color w:val="auto"/>
          <w:sz w:val="22"/>
          <w:szCs w:val="22"/>
        </w:rPr>
        <w:t xml:space="preserve"> Cuvier, 1823</w:t>
      </w:r>
      <w:r w:rsidRPr="009978E3">
        <w:rPr>
          <w:color w:val="auto"/>
          <w:sz w:val="22"/>
          <w:szCs w:val="22"/>
          <w:lang w:eastAsia="en-US"/>
        </w:rPr>
        <w:t>), fin whale (</w:t>
      </w:r>
      <w:r w:rsidRPr="009978E3">
        <w:rPr>
          <w:i/>
          <w:color w:val="auto"/>
          <w:sz w:val="22"/>
          <w:szCs w:val="22"/>
          <w:lang w:eastAsia="en-US"/>
        </w:rPr>
        <w:t>Balaenoptera physalus</w:t>
      </w:r>
      <w:r w:rsidRPr="009978E3">
        <w:rPr>
          <w:color w:val="auto"/>
          <w:sz w:val="22"/>
          <w:szCs w:val="22"/>
          <w:lang w:eastAsia="en-US"/>
        </w:rPr>
        <w:t xml:space="preserve">, </w:t>
      </w:r>
      <w:r w:rsidRPr="009978E3">
        <w:rPr>
          <w:color w:val="auto"/>
          <w:sz w:val="22"/>
          <w:szCs w:val="22"/>
          <w:lang w:eastAsia="es-ES"/>
        </w:rPr>
        <w:t>Linnaeus, 1758</w:t>
      </w:r>
      <w:r w:rsidRPr="009978E3">
        <w:rPr>
          <w:color w:val="auto"/>
          <w:sz w:val="22"/>
          <w:szCs w:val="22"/>
          <w:lang w:eastAsia="en-US"/>
        </w:rPr>
        <w:t xml:space="preserve">), and sperm whale </w:t>
      </w:r>
      <w:r w:rsidRPr="0021277B">
        <w:rPr>
          <w:i/>
          <w:color w:val="auto"/>
          <w:sz w:val="22"/>
          <w:szCs w:val="22"/>
          <w:lang w:eastAsia="en-US"/>
        </w:rPr>
        <w:t>Physeter macrocephalus</w:t>
      </w:r>
      <w:r w:rsidRPr="009978E3">
        <w:rPr>
          <w:i/>
          <w:color w:val="auto"/>
          <w:sz w:val="22"/>
          <w:szCs w:val="22"/>
          <w:lang w:eastAsia="en-US"/>
        </w:rPr>
        <w:t xml:space="preserve"> </w:t>
      </w:r>
      <w:r w:rsidRPr="009978E3">
        <w:rPr>
          <w:color w:val="auto"/>
          <w:sz w:val="22"/>
          <w:szCs w:val="22"/>
          <w:lang w:eastAsia="en-US"/>
        </w:rPr>
        <w:t>(</w:t>
      </w:r>
      <w:r w:rsidRPr="009978E3">
        <w:rPr>
          <w:color w:val="auto"/>
          <w:sz w:val="22"/>
          <w:szCs w:val="22"/>
          <w:lang w:eastAsia="es-ES"/>
        </w:rPr>
        <w:t>Linnaeus, 1758;</w:t>
      </w:r>
      <w:r w:rsidRPr="009978E3">
        <w:rPr>
          <w:color w:val="auto"/>
          <w:sz w:val="22"/>
          <w:szCs w:val="22"/>
          <w:lang w:eastAsia="en-US"/>
        </w:rPr>
        <w:t xml:space="preserve"> </w:t>
      </w:r>
      <w:r w:rsidRPr="009978E3">
        <w:rPr>
          <w:color w:val="auto"/>
          <w:sz w:val="22"/>
          <w:szCs w:val="22"/>
          <w:lang w:val="es-ES"/>
        </w:rPr>
        <w:t>Laborde, 2008;</w:t>
      </w:r>
      <w:r w:rsidRPr="009978E3">
        <w:rPr>
          <w:color w:val="auto"/>
          <w:sz w:val="22"/>
          <w:szCs w:val="22"/>
          <w:lang w:eastAsia="en-US"/>
        </w:rPr>
        <w:t xml:space="preserve"> CODA 2009) (</w:t>
      </w:r>
      <w:r w:rsidRPr="009978E3">
        <w:rPr>
          <w:color w:val="auto"/>
          <w:sz w:val="22"/>
          <w:szCs w:val="22"/>
        </w:rPr>
        <w:t xml:space="preserve">Marcos-Ipiña </w:t>
      </w:r>
      <w:r w:rsidRPr="0006066A">
        <w:rPr>
          <w:i/>
          <w:color w:val="auto"/>
          <w:sz w:val="22"/>
          <w:szCs w:val="22"/>
        </w:rPr>
        <w:t>et al</w:t>
      </w:r>
      <w:r w:rsidRPr="009978E3">
        <w:rPr>
          <w:color w:val="auto"/>
          <w:sz w:val="22"/>
          <w:szCs w:val="22"/>
        </w:rPr>
        <w:t>., 2014</w:t>
      </w:r>
      <w:r w:rsidRPr="009978E3">
        <w:rPr>
          <w:color w:val="auto"/>
          <w:sz w:val="22"/>
          <w:szCs w:val="22"/>
          <w:lang w:eastAsia="en-US"/>
        </w:rPr>
        <w:t xml:space="preserve">; Laran </w:t>
      </w:r>
      <w:r w:rsidRPr="0006066A">
        <w:rPr>
          <w:i/>
          <w:color w:val="auto"/>
          <w:sz w:val="22"/>
          <w:szCs w:val="22"/>
          <w:lang w:eastAsia="en-US"/>
        </w:rPr>
        <w:t>et al</w:t>
      </w:r>
      <w:r w:rsidRPr="009978E3">
        <w:rPr>
          <w:color w:val="auto"/>
          <w:sz w:val="22"/>
          <w:szCs w:val="22"/>
          <w:lang w:eastAsia="en-US"/>
        </w:rPr>
        <w:t xml:space="preserve">., 2016). </w:t>
      </w:r>
    </w:p>
    <w:p w14:paraId="64234C7B" w14:textId="77777777" w:rsidR="006B3F46" w:rsidRPr="009978E3" w:rsidRDefault="006B3F46" w:rsidP="00907941">
      <w:pPr>
        <w:jc w:val="both"/>
        <w:rPr>
          <w:rFonts w:eastAsia="MS Mincho"/>
          <w:i/>
          <w:sz w:val="22"/>
          <w:szCs w:val="22"/>
          <w:lang w:val="en-US"/>
        </w:rPr>
      </w:pPr>
    </w:p>
    <w:p w14:paraId="3939E5DF" w14:textId="77777777" w:rsidR="006B3F46" w:rsidRPr="009978E3" w:rsidRDefault="006B3F46" w:rsidP="006B3F46">
      <w:pPr>
        <w:pStyle w:val="ListParagraph"/>
        <w:numPr>
          <w:ilvl w:val="0"/>
          <w:numId w:val="21"/>
        </w:numPr>
        <w:ind w:leftChars="0"/>
        <w:contextualSpacing/>
        <w:rPr>
          <w:i/>
          <w:szCs w:val="22"/>
          <w:lang w:val="en-US"/>
        </w:rPr>
      </w:pPr>
      <w:r w:rsidRPr="009978E3">
        <w:rPr>
          <w:i/>
          <w:szCs w:val="22"/>
          <w:lang w:val="en-US"/>
        </w:rPr>
        <w:t xml:space="preserve">The </w:t>
      </w:r>
      <w:r w:rsidRPr="009978E3">
        <w:rPr>
          <w:rFonts w:eastAsia="MS Mincho"/>
          <w:i/>
          <w:szCs w:val="22"/>
          <w:lang w:val="en-US"/>
        </w:rPr>
        <w:t xml:space="preserve">area </w:t>
      </w:r>
      <w:r w:rsidRPr="009978E3">
        <w:rPr>
          <w:i/>
          <w:szCs w:val="22"/>
          <w:lang w:val="en-US"/>
        </w:rPr>
        <w:t>includes habitats for endangered, threatened and declining species.</w:t>
      </w:r>
    </w:p>
    <w:p w14:paraId="7D347805" w14:textId="77777777" w:rsidR="006B3F46" w:rsidRPr="009978E3" w:rsidRDefault="006B3F46" w:rsidP="00907941">
      <w:pPr>
        <w:jc w:val="both"/>
        <w:rPr>
          <w:i/>
          <w:sz w:val="22"/>
          <w:szCs w:val="22"/>
          <w:lang w:val="en-US"/>
        </w:rPr>
      </w:pPr>
    </w:p>
    <w:p w14:paraId="60ED5A1D" w14:textId="77777777" w:rsidR="006B3F46" w:rsidRPr="009978E3" w:rsidRDefault="006B3F46" w:rsidP="00907941">
      <w:pPr>
        <w:jc w:val="both"/>
        <w:rPr>
          <w:sz w:val="22"/>
          <w:szCs w:val="22"/>
          <w:lang w:val="en-US"/>
        </w:rPr>
      </w:pPr>
      <w:r w:rsidRPr="009978E3">
        <w:rPr>
          <w:sz w:val="22"/>
          <w:szCs w:val="22"/>
          <w:lang w:val="en-US"/>
        </w:rPr>
        <w:t>Many species recorded in the area are considered endangered, threatened and/or declining, according to, for example, the IUCN, OSPAR, ICES</w:t>
      </w:r>
      <w:r>
        <w:rPr>
          <w:sz w:val="22"/>
          <w:szCs w:val="22"/>
          <w:lang w:val="en-US"/>
        </w:rPr>
        <w:t xml:space="preserve"> or the</w:t>
      </w:r>
      <w:r w:rsidRPr="009978E3">
        <w:rPr>
          <w:sz w:val="22"/>
          <w:szCs w:val="22"/>
          <w:lang w:val="en-US"/>
        </w:rPr>
        <w:t xml:space="preserve"> EU Habitat Directive.</w:t>
      </w:r>
    </w:p>
    <w:p w14:paraId="0CA705F2" w14:textId="77777777" w:rsidR="006B3F46" w:rsidRPr="009978E3" w:rsidRDefault="006B3F46" w:rsidP="00907941">
      <w:pPr>
        <w:jc w:val="both"/>
        <w:rPr>
          <w:sz w:val="22"/>
          <w:szCs w:val="22"/>
          <w:lang w:val="en-US"/>
        </w:rPr>
      </w:pPr>
    </w:p>
    <w:p w14:paraId="7E9BCE9B" w14:textId="77777777" w:rsidR="006B3F46" w:rsidRPr="009978E3" w:rsidRDefault="006B3F46" w:rsidP="00907941">
      <w:pPr>
        <w:jc w:val="both"/>
        <w:rPr>
          <w:sz w:val="22"/>
          <w:szCs w:val="22"/>
          <w:lang w:val="en-US"/>
        </w:rPr>
      </w:pPr>
      <w:r w:rsidRPr="009978E3">
        <w:rPr>
          <w:sz w:val="22"/>
          <w:szCs w:val="22"/>
          <w:lang w:val="en-US"/>
        </w:rPr>
        <w:t>Listed below are some examples of species and habitats in the area that need special attention:</w:t>
      </w:r>
    </w:p>
    <w:p w14:paraId="3A520B44" w14:textId="77777777" w:rsidR="006B3F46" w:rsidRPr="009978E3" w:rsidRDefault="006B3F46" w:rsidP="00907941">
      <w:pPr>
        <w:jc w:val="both"/>
        <w:rPr>
          <w:sz w:val="22"/>
          <w:szCs w:val="22"/>
          <w:lang w:val="en-US"/>
        </w:rPr>
      </w:pPr>
    </w:p>
    <w:p w14:paraId="78870C63" w14:textId="77777777" w:rsidR="006B3F46" w:rsidRPr="009978E3" w:rsidRDefault="006B3F46" w:rsidP="00907941">
      <w:pPr>
        <w:jc w:val="both"/>
        <w:rPr>
          <w:sz w:val="22"/>
          <w:szCs w:val="22"/>
          <w:u w:val="single"/>
          <w:lang w:val="en-US"/>
        </w:rPr>
        <w:sectPr w:rsidR="006B3F46" w:rsidRPr="009978E3" w:rsidSect="00907941">
          <w:headerReference w:type="even" r:id="rId128"/>
          <w:headerReference w:type="default" r:id="rId129"/>
          <w:footerReference w:type="even" r:id="rId130"/>
          <w:footerReference w:type="default" r:id="rId131"/>
          <w:headerReference w:type="first" r:id="rId132"/>
          <w:footerReference w:type="first" r:id="rId133"/>
          <w:type w:val="continuous"/>
          <w:pgSz w:w="12240" w:h="15840" w:code="1"/>
          <w:pgMar w:top="1021" w:right="1440" w:bottom="1134" w:left="1440" w:header="720" w:footer="720" w:gutter="0"/>
          <w:cols w:space="708"/>
          <w:titlePg/>
          <w:docGrid w:linePitch="360"/>
        </w:sectPr>
      </w:pPr>
      <w:r w:rsidRPr="009978E3">
        <w:rPr>
          <w:sz w:val="22"/>
          <w:szCs w:val="22"/>
          <w:u w:val="single"/>
          <w:lang w:val="en-US"/>
        </w:rPr>
        <w:t xml:space="preserve">The IUCN Red List of threatened species (CR: Critically </w:t>
      </w:r>
      <w:r>
        <w:rPr>
          <w:sz w:val="22"/>
          <w:szCs w:val="22"/>
          <w:u w:val="single"/>
          <w:lang w:val="en-US"/>
        </w:rPr>
        <w:t>e</w:t>
      </w:r>
      <w:r w:rsidRPr="009978E3">
        <w:rPr>
          <w:sz w:val="22"/>
          <w:szCs w:val="22"/>
          <w:u w:val="single"/>
          <w:lang w:val="en-US"/>
        </w:rPr>
        <w:t>ndangered, EN: Endangered and VU</w:t>
      </w:r>
      <w:r>
        <w:rPr>
          <w:sz w:val="22"/>
          <w:szCs w:val="22"/>
          <w:u w:val="single"/>
          <w:lang w:val="en-US"/>
        </w:rPr>
        <w:t>:</w:t>
      </w:r>
      <w:r w:rsidRPr="009978E3">
        <w:rPr>
          <w:sz w:val="22"/>
          <w:szCs w:val="22"/>
          <w:u w:val="single"/>
          <w:lang w:val="en-US"/>
        </w:rPr>
        <w:t xml:space="preserve"> Vulnerable):</w:t>
      </w:r>
    </w:p>
    <w:p w14:paraId="6FF32640"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Balaenoptera musculus</w:t>
      </w:r>
    </w:p>
    <w:p w14:paraId="5E0F61DB"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Balaenoptera borealis</w:t>
      </w:r>
    </w:p>
    <w:p w14:paraId="0F29EB1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Physeter macrocephalus</w:t>
      </w:r>
    </w:p>
    <w:p w14:paraId="562CDE12"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Balaenoptera musculus</w:t>
      </w:r>
    </w:p>
    <w:p w14:paraId="1250370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Balaenoptera borealis</w:t>
      </w:r>
    </w:p>
    <w:p w14:paraId="2A5BBCE5"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Balaenoptera physalus</w:t>
      </w:r>
    </w:p>
    <w:p w14:paraId="1C6A5D42"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Caretta caretta</w:t>
      </w:r>
    </w:p>
    <w:p w14:paraId="37886C11"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Dermochelys coriacea</w:t>
      </w:r>
    </w:p>
    <w:p w14:paraId="07A69FC5"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Dipturus batis</w:t>
      </w:r>
    </w:p>
    <w:p w14:paraId="1E4C0902"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Squatina squatina</w:t>
      </w:r>
    </w:p>
    <w:p w14:paraId="66024D4B"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Anguilla anguilla</w:t>
      </w:r>
    </w:p>
    <w:p w14:paraId="015C1F9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Sphyrna mokarran</w:t>
      </w:r>
    </w:p>
    <w:p w14:paraId="4634F2E5"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Sphyrna zygaena</w:t>
      </w:r>
    </w:p>
    <w:p w14:paraId="78570B83"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Isurus paucus</w:t>
      </w:r>
    </w:p>
    <w:p w14:paraId="3E61A178"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Isurus oxyrinchus</w:t>
      </w:r>
    </w:p>
    <w:p w14:paraId="427C3C41"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Cetorhinus maximus</w:t>
      </w:r>
    </w:p>
    <w:p w14:paraId="3320644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Oxynotus centrina</w:t>
      </w:r>
    </w:p>
    <w:p w14:paraId="7CB3C963"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Galeorhinus galeus</w:t>
      </w:r>
    </w:p>
    <w:p w14:paraId="1841D3C1"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Squalus acanthias</w:t>
      </w:r>
    </w:p>
    <w:p w14:paraId="30653F1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Mustelus mustelus</w:t>
      </w:r>
    </w:p>
    <w:p w14:paraId="37326D76"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Centrophorus lusitanicus</w:t>
      </w:r>
    </w:p>
    <w:p w14:paraId="249E175E"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Dalatias licha</w:t>
      </w:r>
    </w:p>
    <w:p w14:paraId="5FF34045"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Carcharhinus plumbeus</w:t>
      </w:r>
    </w:p>
    <w:p w14:paraId="11F59014"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Carcharhinus longimanus</w:t>
      </w:r>
    </w:p>
    <w:p w14:paraId="14A51028"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Odontaspis ferox</w:t>
      </w:r>
    </w:p>
    <w:p w14:paraId="1B698D8C"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Raja undulata</w:t>
      </w:r>
    </w:p>
    <w:p w14:paraId="3B68047C"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Rostroraja alba</w:t>
      </w:r>
    </w:p>
    <w:p w14:paraId="2080CD9C"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Leucoraja circularis</w:t>
      </w:r>
    </w:p>
    <w:p w14:paraId="085C94DE"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Leucoraja fullonica</w:t>
      </w:r>
    </w:p>
    <w:p w14:paraId="62C7CF2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Amblyraja radiata</w:t>
      </w:r>
    </w:p>
    <w:p w14:paraId="26630873"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Dipturus batis</w:t>
      </w:r>
    </w:p>
    <w:p w14:paraId="4047F23A"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Mobula mobular</w:t>
      </w:r>
    </w:p>
    <w:p w14:paraId="23247BBB"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Thunnus thynnus</w:t>
      </w:r>
    </w:p>
    <w:p w14:paraId="49AB748C"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Coryphaenoides rupestris</w:t>
      </w:r>
    </w:p>
    <w:p w14:paraId="51A300DD"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Hippoglossus hippoglossus</w:t>
      </w:r>
    </w:p>
    <w:p w14:paraId="75650E9A"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Palinurus elephas</w:t>
      </w:r>
    </w:p>
    <w:p w14:paraId="40EE0E80"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Epinephelus marginatus</w:t>
      </w:r>
    </w:p>
    <w:p w14:paraId="07AF155A"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Mola mola</w:t>
      </w:r>
    </w:p>
    <w:p w14:paraId="62D2D0CB"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Labrus viridis</w:t>
      </w:r>
    </w:p>
    <w:p w14:paraId="4CA0F74D"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Balistes capriscus</w:t>
      </w:r>
    </w:p>
    <w:p w14:paraId="563C32F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Pomatomus saltatrix</w:t>
      </w:r>
    </w:p>
    <w:p w14:paraId="5E7C2072"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Thunnus thynnus</w:t>
      </w:r>
    </w:p>
    <w:p w14:paraId="5AF592C6"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Trachurus trachurus</w:t>
      </w:r>
    </w:p>
    <w:p w14:paraId="1A0C9C36"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Sardinella maderensis</w:t>
      </w:r>
    </w:p>
    <w:p w14:paraId="70D174C4"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Makaira nigricans</w:t>
      </w:r>
    </w:p>
    <w:p w14:paraId="2E79896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Dentex dentex</w:t>
      </w:r>
    </w:p>
    <w:p w14:paraId="0798F430"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Opisthoteuthis calyso</w:t>
      </w:r>
    </w:p>
    <w:p w14:paraId="11DC78A8"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Opisthoteuthis massyae</w:t>
      </w:r>
    </w:p>
    <w:p w14:paraId="520D86BE" w14:textId="77777777" w:rsidR="006B3F46" w:rsidRPr="009978E3" w:rsidRDefault="006B3F46" w:rsidP="00907941">
      <w:pPr>
        <w:jc w:val="both"/>
        <w:rPr>
          <w:sz w:val="22"/>
          <w:szCs w:val="22"/>
          <w:lang w:val="en-US"/>
        </w:rPr>
        <w:sectPr w:rsidR="006B3F46" w:rsidRPr="009978E3" w:rsidSect="00907941">
          <w:type w:val="continuous"/>
          <w:pgSz w:w="11907" w:h="16840" w:code="9"/>
          <w:pgMar w:top="1134" w:right="1418" w:bottom="1134" w:left="1418" w:header="567" w:footer="567" w:gutter="0"/>
          <w:cols w:num="3" w:space="708"/>
          <w:docGrid w:linePitch="360"/>
        </w:sectPr>
      </w:pPr>
    </w:p>
    <w:p w14:paraId="6BF70C53" w14:textId="77777777" w:rsidR="006B3F46" w:rsidRPr="009978E3" w:rsidRDefault="006B3F46" w:rsidP="00907941">
      <w:pPr>
        <w:jc w:val="both"/>
        <w:rPr>
          <w:sz w:val="22"/>
          <w:szCs w:val="22"/>
          <w:lang w:val="en-US"/>
        </w:rPr>
      </w:pPr>
    </w:p>
    <w:p w14:paraId="7FA0BC2B" w14:textId="77777777" w:rsidR="006B3F46" w:rsidRPr="009978E3" w:rsidRDefault="006B3F46" w:rsidP="00907941">
      <w:pPr>
        <w:rPr>
          <w:i/>
          <w:sz w:val="22"/>
          <w:szCs w:val="22"/>
          <w:lang w:val="es-ES"/>
        </w:rPr>
        <w:sectPr w:rsidR="006B3F46" w:rsidRPr="009978E3" w:rsidSect="00907941">
          <w:type w:val="continuous"/>
          <w:pgSz w:w="11907" w:h="16840" w:code="9"/>
          <w:pgMar w:top="1134" w:right="1418" w:bottom="1134" w:left="1418" w:header="567" w:footer="567" w:gutter="0"/>
          <w:cols w:space="708"/>
          <w:docGrid w:linePitch="360"/>
        </w:sectPr>
      </w:pPr>
      <w:r w:rsidRPr="00763F0F">
        <w:rPr>
          <w:sz w:val="22"/>
          <w:szCs w:val="22"/>
          <w:u w:val="single"/>
          <w:lang w:val="es-ES"/>
        </w:rPr>
        <w:t xml:space="preserve">OSPAR List of Threatened and/or Declining Species </w:t>
      </w:r>
      <w:r w:rsidRPr="009978E3">
        <w:rPr>
          <w:sz w:val="22"/>
          <w:szCs w:val="22"/>
          <w:u w:val="single"/>
          <w:lang w:val="es-ES"/>
        </w:rPr>
        <w:t xml:space="preserve"> </w:t>
      </w:r>
    </w:p>
    <w:p w14:paraId="545FACBD"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Arctica islandica</w:t>
      </w:r>
    </w:p>
    <w:p w14:paraId="7572B6E2"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Ostrea edulis</w:t>
      </w:r>
    </w:p>
    <w:p w14:paraId="4CDEEF5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Patella aspera</w:t>
      </w:r>
    </w:p>
    <w:p w14:paraId="1F90C48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Puffinus mauretanicus</w:t>
      </w:r>
    </w:p>
    <w:p w14:paraId="0FD06CC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Rissa tridactyla</w:t>
      </w:r>
    </w:p>
    <w:p w14:paraId="49E9B9D3"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Uria aalge</w:t>
      </w:r>
    </w:p>
    <w:p w14:paraId="268AC1F3"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Sterna dougallii</w:t>
      </w:r>
    </w:p>
    <w:p w14:paraId="343F4924"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Centroscymnus coelolepis</w:t>
      </w:r>
    </w:p>
    <w:p w14:paraId="7AE5B6F4"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Centrophorus granulosus</w:t>
      </w:r>
    </w:p>
    <w:p w14:paraId="59A8966A"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Centrophorus squamosus</w:t>
      </w:r>
    </w:p>
    <w:p w14:paraId="339F5060"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Cetorhinus maximus</w:t>
      </w:r>
    </w:p>
    <w:p w14:paraId="01DB53FC"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p>
    <w:p w14:paraId="5631AD9B"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Dipturus batis</w:t>
      </w:r>
    </w:p>
    <w:p w14:paraId="4ADE02F4"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Raja montagui</w:t>
      </w:r>
    </w:p>
    <w:p w14:paraId="42242DD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Raja clavata</w:t>
      </w:r>
    </w:p>
    <w:p w14:paraId="00FFA432"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Rostroraja alba</w:t>
      </w:r>
    </w:p>
    <w:p w14:paraId="6A4AB4C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Lamna nasus</w:t>
      </w:r>
    </w:p>
    <w:p w14:paraId="4F06335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Squalus acanthias</w:t>
      </w:r>
    </w:p>
    <w:p w14:paraId="3BECC8B4"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Squatina squatina</w:t>
      </w:r>
    </w:p>
    <w:p w14:paraId="05DC8666"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Acipenser sturio</w:t>
      </w:r>
    </w:p>
    <w:p w14:paraId="781CA4D5"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Alosa alosa</w:t>
      </w:r>
    </w:p>
    <w:p w14:paraId="7DEC7EE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Anguilla anguilla</w:t>
      </w:r>
    </w:p>
    <w:p w14:paraId="74CD6A1D"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Hippocampus guttulatus</w:t>
      </w:r>
    </w:p>
    <w:p w14:paraId="076CC0AB"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p>
    <w:p w14:paraId="7228036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Hippocampus hippocampus</w:t>
      </w:r>
    </w:p>
    <w:p w14:paraId="0417C231"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en-US"/>
        </w:rPr>
      </w:pPr>
      <w:r w:rsidRPr="009978E3">
        <w:rPr>
          <w:rFonts w:eastAsia="Malgun Gothic"/>
          <w:i/>
          <w:sz w:val="22"/>
          <w:szCs w:val="22"/>
          <w:lang w:val="en-US"/>
        </w:rPr>
        <w:t>Hoplostethus atlanticus</w:t>
      </w:r>
    </w:p>
    <w:p w14:paraId="1E818CC6"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Petromyzon marinus</w:t>
      </w:r>
    </w:p>
    <w:p w14:paraId="6B023988"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Salmo salar</w:t>
      </w:r>
    </w:p>
    <w:p w14:paraId="4F65F9B0"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lang w:val="fr-CA"/>
        </w:rPr>
      </w:pPr>
      <w:r w:rsidRPr="009978E3">
        <w:rPr>
          <w:rFonts w:eastAsia="Malgun Gothic"/>
          <w:i/>
          <w:sz w:val="22"/>
          <w:szCs w:val="22"/>
          <w:lang w:val="fr-CA"/>
        </w:rPr>
        <w:t>Thunnus thynnus</w:t>
      </w:r>
    </w:p>
    <w:p w14:paraId="1628A257"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Caretta caretta</w:t>
      </w:r>
    </w:p>
    <w:p w14:paraId="2FE8AF6F"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Dermochelys coriacea</w:t>
      </w:r>
    </w:p>
    <w:p w14:paraId="0C9F0846"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Balaenoptera musculus</w:t>
      </w:r>
    </w:p>
    <w:p w14:paraId="4C0D1BD4"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Eubalaena glacialis</w:t>
      </w:r>
    </w:p>
    <w:p w14:paraId="2DF168E9"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pPr>
      <w:r w:rsidRPr="009978E3">
        <w:rPr>
          <w:rFonts w:eastAsia="Malgun Gothic"/>
          <w:i/>
          <w:sz w:val="22"/>
          <w:szCs w:val="22"/>
        </w:rPr>
        <w:t>Phocoena phocoena</w:t>
      </w:r>
    </w:p>
    <w:p w14:paraId="215284C5"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rPr>
        <w:sectPr w:rsidR="006B3F46" w:rsidRPr="009978E3" w:rsidSect="00907941">
          <w:type w:val="continuous"/>
          <w:pgSz w:w="11907" w:h="16840" w:code="9"/>
          <w:pgMar w:top="1134" w:right="1418" w:bottom="1134" w:left="1418" w:header="567" w:footer="567" w:gutter="0"/>
          <w:cols w:num="3" w:space="708"/>
          <w:docGrid w:linePitch="360"/>
        </w:sectPr>
      </w:pPr>
    </w:p>
    <w:p w14:paraId="75BC3009" w14:textId="77777777" w:rsidR="006B3F46" w:rsidRPr="00EC5399" w:rsidRDefault="006B3F46" w:rsidP="00907941">
      <w:pPr>
        <w:jc w:val="both"/>
        <w:rPr>
          <w:sz w:val="22"/>
          <w:szCs w:val="22"/>
          <w:u w:val="single"/>
          <w:lang w:val="es-ES"/>
        </w:rPr>
      </w:pPr>
      <w:r w:rsidRPr="0021277B">
        <w:rPr>
          <w:sz w:val="22"/>
          <w:szCs w:val="22"/>
          <w:u w:val="single"/>
          <w:lang w:val="en-US"/>
        </w:rPr>
        <w:t>OSPAR List of Threatened and/or Declining Habitats</w:t>
      </w:r>
      <w:r w:rsidRPr="00EC5399">
        <w:rPr>
          <w:sz w:val="22"/>
          <w:szCs w:val="22"/>
          <w:u w:val="single"/>
          <w:lang w:val="es-ES"/>
        </w:rPr>
        <w:t xml:space="preserve"> </w:t>
      </w:r>
    </w:p>
    <w:p w14:paraId="4F8BCB7F" w14:textId="77777777" w:rsidR="006B3F46" w:rsidRPr="00DC50DB" w:rsidRDefault="006B3F46" w:rsidP="00907941">
      <w:pPr>
        <w:pStyle w:val="xxmsonormal"/>
        <w:shd w:val="clear" w:color="auto" w:fill="FFFFFF"/>
        <w:spacing w:before="0" w:beforeAutospacing="0" w:after="0" w:afterAutospacing="0"/>
        <w:jc w:val="both"/>
        <w:rPr>
          <w:rFonts w:eastAsia="Malgun Gothic"/>
          <w:sz w:val="22"/>
          <w:szCs w:val="22"/>
          <w:lang w:val="en-CA"/>
        </w:rPr>
      </w:pPr>
      <w:r w:rsidRPr="00DC50DB">
        <w:rPr>
          <w:rFonts w:eastAsia="Malgun Gothic"/>
          <w:sz w:val="22"/>
          <w:szCs w:val="22"/>
          <w:lang w:val="en-CA"/>
        </w:rPr>
        <w:t>Coral gardens</w:t>
      </w:r>
    </w:p>
    <w:p w14:paraId="410A954A" w14:textId="77777777" w:rsidR="006B3F46" w:rsidRPr="009978E3" w:rsidRDefault="006B3F46" w:rsidP="00907941">
      <w:pPr>
        <w:pStyle w:val="xxmsonormal"/>
        <w:shd w:val="clear" w:color="auto" w:fill="FFFFFF"/>
        <w:spacing w:before="0" w:beforeAutospacing="0" w:after="0" w:afterAutospacing="0"/>
        <w:jc w:val="both"/>
        <w:rPr>
          <w:rFonts w:eastAsia="Malgun Gothic"/>
          <w:sz w:val="22"/>
          <w:szCs w:val="22"/>
          <w:lang w:val="en-US"/>
        </w:rPr>
      </w:pPr>
      <w:r w:rsidRPr="009978E3">
        <w:rPr>
          <w:rFonts w:eastAsia="Malgun Gothic"/>
          <w:sz w:val="22"/>
          <w:szCs w:val="22"/>
          <w:lang w:val="en-US"/>
        </w:rPr>
        <w:t>Deep-sea sponge aggregations</w:t>
      </w:r>
    </w:p>
    <w:p w14:paraId="4E0DFCAB" w14:textId="77777777" w:rsidR="006B3F46" w:rsidRPr="009978E3" w:rsidRDefault="006B3F46" w:rsidP="00907941">
      <w:pPr>
        <w:pStyle w:val="xxmsonormal"/>
        <w:shd w:val="clear" w:color="auto" w:fill="FFFFFF"/>
        <w:spacing w:before="0" w:beforeAutospacing="0" w:after="0" w:afterAutospacing="0"/>
        <w:jc w:val="both"/>
        <w:rPr>
          <w:rFonts w:eastAsia="Malgun Gothic"/>
          <w:sz w:val="22"/>
          <w:szCs w:val="22"/>
          <w:lang w:val="en-US"/>
        </w:rPr>
      </w:pPr>
      <w:r w:rsidRPr="009978E3">
        <w:rPr>
          <w:rFonts w:eastAsia="Malgun Gothic"/>
          <w:sz w:val="22"/>
          <w:szCs w:val="22"/>
          <w:lang w:val="en-US"/>
        </w:rPr>
        <w:t>Seamounts</w:t>
      </w:r>
    </w:p>
    <w:p w14:paraId="09A2FC39" w14:textId="77777777" w:rsidR="006B3F46" w:rsidRPr="009978E3" w:rsidRDefault="006B3F46" w:rsidP="00907941">
      <w:pPr>
        <w:pStyle w:val="xxmsonormal"/>
        <w:shd w:val="clear" w:color="auto" w:fill="FFFFFF"/>
        <w:spacing w:before="0" w:beforeAutospacing="0" w:after="0" w:afterAutospacing="0"/>
        <w:jc w:val="both"/>
        <w:rPr>
          <w:rFonts w:eastAsia="Malgun Gothic"/>
          <w:sz w:val="22"/>
          <w:szCs w:val="22"/>
          <w:lang w:val="en-US"/>
        </w:rPr>
      </w:pPr>
      <w:r w:rsidRPr="009978E3">
        <w:rPr>
          <w:rFonts w:eastAsia="Malgun Gothic"/>
          <w:sz w:val="22"/>
          <w:szCs w:val="22"/>
          <w:lang w:val="en-US"/>
        </w:rPr>
        <w:t>Sea-</w:t>
      </w:r>
      <w:r>
        <w:rPr>
          <w:rFonts w:eastAsia="Malgun Gothic"/>
          <w:sz w:val="22"/>
          <w:szCs w:val="22"/>
          <w:lang w:val="en-US"/>
        </w:rPr>
        <w:t>p</w:t>
      </w:r>
      <w:r w:rsidRPr="009978E3">
        <w:rPr>
          <w:rFonts w:eastAsia="Malgun Gothic"/>
          <w:sz w:val="22"/>
          <w:szCs w:val="22"/>
          <w:lang w:val="en-US"/>
        </w:rPr>
        <w:t xml:space="preserve">en </w:t>
      </w:r>
      <w:r>
        <w:rPr>
          <w:rFonts w:eastAsia="Malgun Gothic"/>
          <w:sz w:val="22"/>
          <w:szCs w:val="22"/>
          <w:lang w:val="en-US"/>
        </w:rPr>
        <w:t>and</w:t>
      </w:r>
      <w:r w:rsidRPr="009978E3">
        <w:rPr>
          <w:rFonts w:eastAsia="Malgun Gothic"/>
          <w:sz w:val="22"/>
          <w:szCs w:val="22"/>
          <w:lang w:val="en-US"/>
        </w:rPr>
        <w:t xml:space="preserve"> </w:t>
      </w:r>
      <w:r>
        <w:rPr>
          <w:rFonts w:eastAsia="Malgun Gothic"/>
          <w:sz w:val="22"/>
          <w:szCs w:val="22"/>
          <w:lang w:val="en-US"/>
        </w:rPr>
        <w:t>b</w:t>
      </w:r>
      <w:r w:rsidRPr="009978E3">
        <w:rPr>
          <w:rFonts w:eastAsia="Malgun Gothic"/>
          <w:sz w:val="22"/>
          <w:szCs w:val="22"/>
          <w:lang w:val="en-US"/>
        </w:rPr>
        <w:t xml:space="preserve">urrowing </w:t>
      </w:r>
      <w:r>
        <w:rPr>
          <w:rFonts w:eastAsia="Malgun Gothic"/>
          <w:sz w:val="22"/>
          <w:szCs w:val="22"/>
          <w:lang w:val="en-US"/>
        </w:rPr>
        <w:t>m</w:t>
      </w:r>
      <w:r w:rsidRPr="009978E3">
        <w:rPr>
          <w:rFonts w:eastAsia="Malgun Gothic"/>
          <w:sz w:val="22"/>
          <w:szCs w:val="22"/>
          <w:lang w:val="en-US"/>
        </w:rPr>
        <w:t xml:space="preserve">egafauna </w:t>
      </w:r>
      <w:r>
        <w:rPr>
          <w:rFonts w:eastAsia="Malgun Gothic"/>
          <w:sz w:val="22"/>
          <w:szCs w:val="22"/>
          <w:lang w:val="en-US"/>
        </w:rPr>
        <w:t>c</w:t>
      </w:r>
      <w:r w:rsidRPr="009978E3">
        <w:rPr>
          <w:rFonts w:eastAsia="Malgun Gothic"/>
          <w:sz w:val="22"/>
          <w:szCs w:val="22"/>
          <w:lang w:val="en-US"/>
        </w:rPr>
        <w:t>ommunities</w:t>
      </w:r>
    </w:p>
    <w:p w14:paraId="4CB2D0DA" w14:textId="77777777" w:rsidR="006B3F46" w:rsidRPr="009978E3" w:rsidRDefault="006B3F46" w:rsidP="00907941">
      <w:pPr>
        <w:pStyle w:val="xxmsonormal"/>
        <w:shd w:val="clear" w:color="auto" w:fill="FFFFFF"/>
        <w:spacing w:before="0" w:beforeAutospacing="0" w:after="0" w:afterAutospacing="0"/>
        <w:jc w:val="both"/>
        <w:rPr>
          <w:rFonts w:eastAsia="Malgun Gothic"/>
          <w:i/>
          <w:sz w:val="22"/>
          <w:szCs w:val="22"/>
          <w:u w:val="single"/>
          <w:lang w:val="en-US"/>
        </w:rPr>
      </w:pPr>
    </w:p>
    <w:p w14:paraId="0303133D" w14:textId="77777777" w:rsidR="006B3F46" w:rsidRPr="009978E3" w:rsidRDefault="006B3F46" w:rsidP="00907941">
      <w:pPr>
        <w:jc w:val="both"/>
        <w:rPr>
          <w:sz w:val="22"/>
          <w:szCs w:val="22"/>
          <w:u w:val="single"/>
          <w:lang w:val="en-US"/>
        </w:rPr>
      </w:pPr>
      <w:r>
        <w:rPr>
          <w:sz w:val="22"/>
          <w:szCs w:val="22"/>
          <w:u w:val="single"/>
          <w:lang w:val="en-US"/>
        </w:rPr>
        <w:t xml:space="preserve">EU </w:t>
      </w:r>
      <w:r w:rsidRPr="009978E3">
        <w:rPr>
          <w:sz w:val="22"/>
          <w:szCs w:val="22"/>
          <w:u w:val="single"/>
          <w:lang w:val="en-US"/>
        </w:rPr>
        <w:t>Habitat Directive Habitats</w:t>
      </w:r>
    </w:p>
    <w:p w14:paraId="2805CF0C" w14:textId="77777777" w:rsidR="006B3F46" w:rsidRPr="009978E3" w:rsidRDefault="006B3F46" w:rsidP="00907941">
      <w:pPr>
        <w:pStyle w:val="xxmsonormal"/>
        <w:shd w:val="clear" w:color="auto" w:fill="FFFFFF"/>
        <w:spacing w:before="0" w:beforeAutospacing="0" w:after="0" w:afterAutospacing="0"/>
        <w:jc w:val="both"/>
        <w:rPr>
          <w:rFonts w:eastAsia="Malgun Gothic"/>
          <w:sz w:val="22"/>
          <w:szCs w:val="22"/>
          <w:lang w:val="en-US"/>
        </w:rPr>
      </w:pPr>
      <w:r w:rsidRPr="009978E3">
        <w:rPr>
          <w:rFonts w:eastAsia="Malgun Gothic"/>
          <w:sz w:val="22"/>
          <w:szCs w:val="22"/>
          <w:lang w:val="en-US"/>
        </w:rPr>
        <w:t>1170 Reefs</w:t>
      </w:r>
    </w:p>
    <w:p w14:paraId="01E4C892" w14:textId="77777777" w:rsidR="006B3F46" w:rsidRPr="009978E3" w:rsidRDefault="006B3F46" w:rsidP="00907941">
      <w:pPr>
        <w:pStyle w:val="xxmsonormal"/>
        <w:shd w:val="clear" w:color="auto" w:fill="FFFFFF"/>
        <w:spacing w:before="0" w:beforeAutospacing="0" w:after="0" w:afterAutospacing="0"/>
        <w:jc w:val="both"/>
        <w:rPr>
          <w:rFonts w:eastAsia="Malgun Gothic"/>
          <w:sz w:val="22"/>
          <w:szCs w:val="22"/>
          <w:lang w:val="en-US"/>
        </w:rPr>
      </w:pPr>
      <w:r w:rsidRPr="009978E3">
        <w:rPr>
          <w:rFonts w:eastAsia="Malgun Gothic"/>
          <w:sz w:val="22"/>
          <w:szCs w:val="22"/>
          <w:lang w:val="en-US"/>
        </w:rPr>
        <w:t>1180 Submarine structures made by leaking gases</w:t>
      </w:r>
    </w:p>
    <w:p w14:paraId="40EF3EEA" w14:textId="77777777" w:rsidR="006B3F46" w:rsidRPr="009978E3" w:rsidRDefault="006B3F46" w:rsidP="00907941">
      <w:pPr>
        <w:pStyle w:val="xxmsonormal"/>
        <w:shd w:val="clear" w:color="auto" w:fill="FFFFFF"/>
        <w:spacing w:before="0" w:beforeAutospacing="0" w:after="0" w:afterAutospacing="0"/>
        <w:jc w:val="both"/>
        <w:rPr>
          <w:rFonts w:eastAsia="Malgun Gothic"/>
          <w:sz w:val="22"/>
          <w:szCs w:val="22"/>
          <w:lang w:val="en-US"/>
        </w:rPr>
      </w:pPr>
    </w:p>
    <w:p w14:paraId="354D617D" w14:textId="77777777" w:rsidR="006B3F46" w:rsidRPr="009978E3" w:rsidRDefault="006B3F46" w:rsidP="006B3F46">
      <w:pPr>
        <w:pStyle w:val="ListParagraph"/>
        <w:numPr>
          <w:ilvl w:val="0"/>
          <w:numId w:val="21"/>
        </w:numPr>
        <w:ind w:leftChars="0"/>
        <w:contextualSpacing/>
        <w:rPr>
          <w:i/>
          <w:szCs w:val="22"/>
          <w:lang w:val="en-US"/>
        </w:rPr>
      </w:pPr>
      <w:r w:rsidRPr="009978E3">
        <w:rPr>
          <w:i/>
          <w:szCs w:val="22"/>
          <w:lang w:val="en-US"/>
        </w:rPr>
        <w:t xml:space="preserve">The </w:t>
      </w:r>
      <w:r w:rsidRPr="009978E3">
        <w:rPr>
          <w:rFonts w:eastAsia="MS Mincho"/>
          <w:i/>
          <w:szCs w:val="22"/>
          <w:lang w:val="en-US"/>
        </w:rPr>
        <w:t xml:space="preserve">area </w:t>
      </w:r>
      <w:r w:rsidRPr="009978E3">
        <w:rPr>
          <w:i/>
          <w:szCs w:val="22"/>
          <w:lang w:val="en-US"/>
        </w:rPr>
        <w:t>comprises spawning grounds for several fish species of commercial interest</w:t>
      </w:r>
    </w:p>
    <w:p w14:paraId="74A1D804" w14:textId="77777777" w:rsidR="006B3F46" w:rsidRPr="009978E3" w:rsidRDefault="006B3F46" w:rsidP="00907941">
      <w:pPr>
        <w:jc w:val="both"/>
        <w:rPr>
          <w:i/>
          <w:sz w:val="22"/>
          <w:szCs w:val="22"/>
          <w:lang w:val="en-US"/>
        </w:rPr>
      </w:pPr>
    </w:p>
    <w:p w14:paraId="7FE908F6" w14:textId="77777777" w:rsidR="006B3F46" w:rsidRPr="009978E3" w:rsidRDefault="006B3F46" w:rsidP="00907941">
      <w:pPr>
        <w:autoSpaceDE w:val="0"/>
        <w:autoSpaceDN w:val="0"/>
        <w:adjustRightInd w:val="0"/>
        <w:jc w:val="both"/>
        <w:rPr>
          <w:sz w:val="22"/>
          <w:szCs w:val="22"/>
          <w:lang w:val="en-US"/>
        </w:rPr>
      </w:pPr>
      <w:r w:rsidRPr="009978E3">
        <w:rPr>
          <w:sz w:val="22"/>
          <w:szCs w:val="22"/>
          <w:lang w:val="en-US"/>
        </w:rPr>
        <w:t>Small-sized pelagic species, such as anchovy (</w:t>
      </w:r>
      <w:r w:rsidRPr="009978E3">
        <w:rPr>
          <w:i/>
          <w:sz w:val="22"/>
          <w:szCs w:val="22"/>
          <w:lang w:val="en-US"/>
        </w:rPr>
        <w:t>Engraulis encrasicolus</w:t>
      </w:r>
      <w:r w:rsidRPr="009978E3">
        <w:rPr>
          <w:sz w:val="22"/>
          <w:szCs w:val="22"/>
          <w:lang w:val="en-US"/>
        </w:rPr>
        <w:t>) and demersal species, such as hake (</w:t>
      </w:r>
      <w:r w:rsidRPr="009978E3">
        <w:rPr>
          <w:i/>
          <w:sz w:val="22"/>
          <w:szCs w:val="22"/>
          <w:lang w:val="en-US"/>
        </w:rPr>
        <w:t>Merluccius merluccius</w:t>
      </w:r>
      <w:r w:rsidRPr="009978E3">
        <w:rPr>
          <w:sz w:val="22"/>
          <w:szCs w:val="22"/>
          <w:lang w:val="en-US"/>
        </w:rPr>
        <w:t>), are examples of species that spawn in the area.</w:t>
      </w:r>
    </w:p>
    <w:p w14:paraId="2A09BAC8" w14:textId="77777777" w:rsidR="006B3F46" w:rsidRPr="009978E3" w:rsidRDefault="006B3F46" w:rsidP="00907941">
      <w:pPr>
        <w:autoSpaceDE w:val="0"/>
        <w:autoSpaceDN w:val="0"/>
        <w:adjustRightInd w:val="0"/>
        <w:jc w:val="both"/>
        <w:rPr>
          <w:sz w:val="22"/>
          <w:szCs w:val="22"/>
          <w:lang w:val="en-US"/>
        </w:rPr>
      </w:pPr>
    </w:p>
    <w:p w14:paraId="524F5668" w14:textId="77777777" w:rsidR="006B3F46" w:rsidRPr="009978E3" w:rsidRDefault="006B3F46" w:rsidP="00907941">
      <w:pPr>
        <w:autoSpaceDE w:val="0"/>
        <w:autoSpaceDN w:val="0"/>
        <w:adjustRightInd w:val="0"/>
        <w:jc w:val="both"/>
        <w:rPr>
          <w:sz w:val="22"/>
          <w:szCs w:val="22"/>
          <w:lang w:val="en-US"/>
        </w:rPr>
      </w:pPr>
      <w:r w:rsidRPr="009978E3">
        <w:rPr>
          <w:sz w:val="22"/>
          <w:szCs w:val="22"/>
          <w:lang w:val="en-US"/>
        </w:rPr>
        <w:t xml:space="preserve">Anchovy in the Bay of Biscay may grow to &gt;20 cm and rarely live beyond three years of age. The species forms large schools located between 5 and 15 metres above the bottom during the day (Massé, 1996). It is a serial spawner (several spawns per year) and reproduces in spring. The spawning area stretches to the south of 47ºN latitude and to the east of 5ºW longitude. Most spawning takes place over the continental shelf in areas under the influence of the river plumes of the Gironde, Adour and Cantabrian rivers (Motos </w:t>
      </w:r>
      <w:r w:rsidRPr="0006066A">
        <w:rPr>
          <w:i/>
          <w:sz w:val="22"/>
          <w:szCs w:val="22"/>
          <w:lang w:val="en-US"/>
        </w:rPr>
        <w:t>et al</w:t>
      </w:r>
      <w:r w:rsidRPr="009978E3">
        <w:rPr>
          <w:sz w:val="22"/>
          <w:szCs w:val="22"/>
          <w:lang w:val="en-US"/>
        </w:rPr>
        <w:t>., 1996). As spring and summer progress, the anchovy migrates from the interior of the Bay of Biscay north</w:t>
      </w:r>
      <w:r>
        <w:rPr>
          <w:sz w:val="22"/>
          <w:szCs w:val="22"/>
          <w:lang w:val="en-US"/>
        </w:rPr>
        <w:t>ward</w:t>
      </w:r>
      <w:r w:rsidRPr="009978E3">
        <w:rPr>
          <w:sz w:val="22"/>
          <w:szCs w:val="22"/>
          <w:lang w:val="en-US"/>
        </w:rPr>
        <w:t xml:space="preserve"> along the French coast and towards the east through the Cantabrian Sea. It spends the autumn in these areas</w:t>
      </w:r>
      <w:r>
        <w:rPr>
          <w:sz w:val="22"/>
          <w:szCs w:val="22"/>
          <w:lang w:val="en-US"/>
        </w:rPr>
        <w:t>,</w:t>
      </w:r>
      <w:r w:rsidRPr="009978E3">
        <w:rPr>
          <w:sz w:val="22"/>
          <w:szCs w:val="22"/>
          <w:lang w:val="en-US"/>
        </w:rPr>
        <w:t xml:space="preserve"> and in winter migrates in the opposite direction towards the southeast of the Bay of Biscay (Prouzet </w:t>
      </w:r>
      <w:r w:rsidRPr="0006066A">
        <w:rPr>
          <w:i/>
          <w:sz w:val="22"/>
          <w:szCs w:val="22"/>
          <w:lang w:val="en-US"/>
        </w:rPr>
        <w:t>et al</w:t>
      </w:r>
      <w:r w:rsidRPr="009978E3">
        <w:rPr>
          <w:sz w:val="22"/>
          <w:szCs w:val="22"/>
          <w:lang w:val="en-US"/>
        </w:rPr>
        <w:t>., 1994).</w:t>
      </w:r>
    </w:p>
    <w:p w14:paraId="48B2C61F" w14:textId="77777777" w:rsidR="006B3F46" w:rsidRPr="009978E3" w:rsidRDefault="006B3F46" w:rsidP="00907941">
      <w:pPr>
        <w:pStyle w:val="ListParagraph"/>
        <w:ind w:left="960"/>
        <w:rPr>
          <w:szCs w:val="22"/>
          <w:lang w:val="en-US"/>
        </w:rPr>
      </w:pPr>
    </w:p>
    <w:p w14:paraId="0D677426" w14:textId="77777777" w:rsidR="006B3F46" w:rsidRPr="009978E3" w:rsidRDefault="006B3F46" w:rsidP="00907941">
      <w:pPr>
        <w:autoSpaceDE w:val="0"/>
        <w:autoSpaceDN w:val="0"/>
        <w:adjustRightInd w:val="0"/>
        <w:jc w:val="both"/>
        <w:rPr>
          <w:sz w:val="22"/>
          <w:szCs w:val="22"/>
          <w:lang w:val="en-US"/>
        </w:rPr>
      </w:pPr>
      <w:r w:rsidRPr="009978E3">
        <w:rPr>
          <w:sz w:val="22"/>
          <w:szCs w:val="22"/>
          <w:lang w:val="en-US"/>
        </w:rPr>
        <w:t>European hake (</w:t>
      </w:r>
      <w:r w:rsidRPr="009978E3">
        <w:rPr>
          <w:i/>
          <w:sz w:val="22"/>
          <w:szCs w:val="22"/>
          <w:lang w:val="en-US"/>
        </w:rPr>
        <w:t>Merluccius merluccius</w:t>
      </w:r>
      <w:r w:rsidRPr="009978E3">
        <w:rPr>
          <w:sz w:val="22"/>
          <w:szCs w:val="22"/>
          <w:lang w:val="en-US"/>
        </w:rPr>
        <w:t>) is one of the most important species</w:t>
      </w:r>
      <w:r>
        <w:rPr>
          <w:sz w:val="22"/>
          <w:szCs w:val="22"/>
          <w:lang w:val="en-US"/>
        </w:rPr>
        <w:t>,</w:t>
      </w:r>
      <w:r w:rsidRPr="009978E3">
        <w:rPr>
          <w:sz w:val="22"/>
          <w:szCs w:val="22"/>
          <w:lang w:val="en-US"/>
        </w:rPr>
        <w:t xml:space="preserve"> both commercially and ecologically</w:t>
      </w:r>
      <w:r>
        <w:rPr>
          <w:sz w:val="22"/>
          <w:szCs w:val="22"/>
          <w:lang w:val="en-US"/>
        </w:rPr>
        <w:t>,</w:t>
      </w:r>
      <w:r w:rsidRPr="009978E3">
        <w:rPr>
          <w:sz w:val="22"/>
          <w:szCs w:val="22"/>
          <w:lang w:val="en-US"/>
        </w:rPr>
        <w:t xml:space="preserve"> in the Bay of Biscay. Hake spawns in winter, with the adults concentrating in canyons and rocky grounds of the shelf break area. Areas of high concentration of hake recruits have been located between 80 to 200 m depth and over predominantly muddy bottoms. The area includes one permanent nursery area of hake in Peñas Cape and another area that only appears in some years close to Capbreton Canyon. Important hake recruitment processes lead to well-defined patches of juveniles, found in localized areas of the continental shelf. The</w:t>
      </w:r>
      <w:r w:rsidRPr="009978E3">
        <w:rPr>
          <w:rFonts w:eastAsia="MS Mincho"/>
          <w:sz w:val="22"/>
          <w:szCs w:val="22"/>
          <w:lang w:val="en-US"/>
        </w:rPr>
        <w:t xml:space="preserve"> location of these</w:t>
      </w:r>
      <w:r w:rsidRPr="009978E3">
        <w:rPr>
          <w:sz w:val="22"/>
          <w:szCs w:val="22"/>
          <w:lang w:val="en-US"/>
        </w:rPr>
        <w:t xml:space="preserve"> concentrations remains generally stable </w:t>
      </w:r>
      <w:r w:rsidRPr="009978E3">
        <w:rPr>
          <w:rFonts w:eastAsia="MS Mincho"/>
          <w:sz w:val="22"/>
          <w:szCs w:val="22"/>
          <w:lang w:val="en-US"/>
        </w:rPr>
        <w:t xml:space="preserve">and </w:t>
      </w:r>
      <w:r w:rsidRPr="009978E3">
        <w:rPr>
          <w:sz w:val="22"/>
          <w:szCs w:val="22"/>
          <w:lang w:val="en-US"/>
        </w:rPr>
        <w:t xml:space="preserve">is </w:t>
      </w:r>
      <w:r w:rsidRPr="009978E3">
        <w:rPr>
          <w:rFonts w:eastAsia="MS Mincho"/>
          <w:sz w:val="22"/>
          <w:szCs w:val="22"/>
          <w:lang w:val="en-US"/>
        </w:rPr>
        <w:t>determined</w:t>
      </w:r>
      <w:r w:rsidRPr="009978E3">
        <w:rPr>
          <w:sz w:val="22"/>
          <w:szCs w:val="22"/>
          <w:lang w:val="en-US"/>
        </w:rPr>
        <w:t xml:space="preserve"> by hydrographic mesoscale structures and the Poleward Current (Sánchez and Gil, 2000).</w:t>
      </w:r>
    </w:p>
    <w:p w14:paraId="54DF83F6" w14:textId="77777777" w:rsidR="006B3F46" w:rsidRPr="009978E3" w:rsidRDefault="006B3F46" w:rsidP="00907941">
      <w:pPr>
        <w:autoSpaceDE w:val="0"/>
        <w:autoSpaceDN w:val="0"/>
        <w:adjustRightInd w:val="0"/>
        <w:jc w:val="both"/>
        <w:rPr>
          <w:sz w:val="22"/>
          <w:szCs w:val="22"/>
          <w:lang w:val="en-US"/>
        </w:rPr>
      </w:pPr>
    </w:p>
    <w:p w14:paraId="1DD64A03" w14:textId="77777777" w:rsidR="006B3F46" w:rsidRPr="009978E3" w:rsidRDefault="006B3F46" w:rsidP="006B3F46">
      <w:pPr>
        <w:pStyle w:val="ListParagraph"/>
        <w:numPr>
          <w:ilvl w:val="0"/>
          <w:numId w:val="20"/>
        </w:numPr>
        <w:autoSpaceDE w:val="0"/>
        <w:autoSpaceDN w:val="0"/>
        <w:adjustRightInd w:val="0"/>
        <w:ind w:leftChars="0"/>
        <w:contextualSpacing/>
        <w:rPr>
          <w:i/>
          <w:szCs w:val="22"/>
          <w:lang w:val="en-US"/>
        </w:rPr>
      </w:pPr>
      <w:r w:rsidRPr="009978E3">
        <w:rPr>
          <w:i/>
          <w:szCs w:val="22"/>
          <w:lang w:val="en-US"/>
        </w:rPr>
        <w:t xml:space="preserve">The </w:t>
      </w:r>
      <w:r w:rsidRPr="009978E3">
        <w:rPr>
          <w:rFonts w:eastAsia="MS Mincho"/>
          <w:i/>
          <w:szCs w:val="22"/>
          <w:lang w:val="en-US"/>
        </w:rPr>
        <w:t xml:space="preserve">area </w:t>
      </w:r>
      <w:r w:rsidRPr="009978E3">
        <w:rPr>
          <w:i/>
          <w:szCs w:val="22"/>
          <w:lang w:val="en-US"/>
        </w:rPr>
        <w:t xml:space="preserve">is a </w:t>
      </w:r>
      <w:r w:rsidRPr="009978E3">
        <w:rPr>
          <w:i/>
          <w:szCs w:val="22"/>
        </w:rPr>
        <w:t>seasonal migratory pathway for large migratory pelagic species</w:t>
      </w:r>
    </w:p>
    <w:p w14:paraId="40E2202B" w14:textId="77777777" w:rsidR="006B3F46" w:rsidRPr="009978E3" w:rsidRDefault="006B3F46" w:rsidP="00907941">
      <w:pPr>
        <w:autoSpaceDE w:val="0"/>
        <w:autoSpaceDN w:val="0"/>
        <w:adjustRightInd w:val="0"/>
        <w:jc w:val="both"/>
        <w:rPr>
          <w:sz w:val="22"/>
          <w:szCs w:val="22"/>
          <w:lang w:val="en-US"/>
        </w:rPr>
      </w:pPr>
    </w:p>
    <w:p w14:paraId="3DF8EB9C" w14:textId="77777777" w:rsidR="006B3F46" w:rsidRPr="009978E3" w:rsidRDefault="006B3F46" w:rsidP="00907941">
      <w:pPr>
        <w:autoSpaceDE w:val="0"/>
        <w:autoSpaceDN w:val="0"/>
        <w:adjustRightInd w:val="0"/>
        <w:jc w:val="both"/>
        <w:rPr>
          <w:sz w:val="22"/>
          <w:szCs w:val="22"/>
          <w:lang w:val="en-US"/>
        </w:rPr>
      </w:pPr>
      <w:r w:rsidRPr="009978E3">
        <w:rPr>
          <w:rFonts w:eastAsia="MS Mincho"/>
          <w:sz w:val="22"/>
          <w:szCs w:val="22"/>
          <w:lang w:val="en-US"/>
        </w:rPr>
        <w:t>Large migratory pelagic species</w:t>
      </w:r>
      <w:r w:rsidRPr="009978E3">
        <w:rPr>
          <w:sz w:val="22"/>
          <w:szCs w:val="22"/>
          <w:lang w:val="en-US"/>
        </w:rPr>
        <w:t xml:space="preserve"> are strong swimmers, which enables them to perform long migrations. Some families of the sub-order Scombroidae (tuna-like fishes) and sharks from the Carchariniforms and Lamniforms typically belong to this group. Tuna-like fishes are serial spawners whose spawning area is usually located in tropical and subtropical waters. In tropical areas food is relatively scarce, so tuna must actively search for food patches. This means that their life is nomadic, based on continuous long displacements (Helfman </w:t>
      </w:r>
      <w:r w:rsidRPr="0006066A">
        <w:rPr>
          <w:i/>
          <w:sz w:val="22"/>
          <w:szCs w:val="22"/>
          <w:lang w:val="en-US"/>
        </w:rPr>
        <w:t>et al</w:t>
      </w:r>
      <w:r w:rsidRPr="009978E3">
        <w:rPr>
          <w:sz w:val="22"/>
          <w:szCs w:val="22"/>
          <w:lang w:val="en-US"/>
        </w:rPr>
        <w:t>., 1997). In the Bay of Biscay the most characteristic species are albacore (</w:t>
      </w:r>
      <w:r w:rsidRPr="009978E3">
        <w:rPr>
          <w:i/>
          <w:sz w:val="22"/>
          <w:szCs w:val="22"/>
          <w:lang w:val="en-US"/>
        </w:rPr>
        <w:t>Thunnus alalunga</w:t>
      </w:r>
      <w:r w:rsidRPr="009978E3">
        <w:rPr>
          <w:sz w:val="22"/>
          <w:szCs w:val="22"/>
          <w:lang w:val="en-US"/>
        </w:rPr>
        <w:t>) and bluefin tuna (</w:t>
      </w:r>
      <w:r w:rsidRPr="009978E3">
        <w:rPr>
          <w:i/>
          <w:sz w:val="22"/>
          <w:szCs w:val="22"/>
          <w:lang w:val="en-US"/>
        </w:rPr>
        <w:t>Thunnus thynnus</w:t>
      </w:r>
      <w:r w:rsidRPr="009978E3">
        <w:rPr>
          <w:sz w:val="22"/>
          <w:szCs w:val="22"/>
          <w:lang w:val="en-US"/>
        </w:rPr>
        <w:t>). Other tuna and tuna-like fishes, such as bigeye (</w:t>
      </w:r>
      <w:r w:rsidRPr="009978E3">
        <w:rPr>
          <w:i/>
          <w:sz w:val="22"/>
          <w:szCs w:val="22"/>
          <w:lang w:val="en-US"/>
        </w:rPr>
        <w:t>Thunnus obesus</w:t>
      </w:r>
      <w:r w:rsidRPr="009978E3">
        <w:rPr>
          <w:sz w:val="22"/>
          <w:szCs w:val="22"/>
          <w:lang w:val="en-US"/>
        </w:rPr>
        <w:t>), Atlantic bonito (</w:t>
      </w:r>
      <w:r w:rsidRPr="009978E3">
        <w:rPr>
          <w:i/>
          <w:sz w:val="22"/>
          <w:szCs w:val="22"/>
          <w:lang w:val="en-US"/>
        </w:rPr>
        <w:t>Sarda sarda</w:t>
      </w:r>
      <w:r w:rsidRPr="009978E3">
        <w:rPr>
          <w:sz w:val="22"/>
          <w:szCs w:val="22"/>
          <w:lang w:val="en-US"/>
        </w:rPr>
        <w:t>), skipjack tuna (</w:t>
      </w:r>
      <w:r w:rsidRPr="009978E3">
        <w:rPr>
          <w:i/>
          <w:sz w:val="22"/>
          <w:szCs w:val="22"/>
          <w:lang w:val="en-US"/>
        </w:rPr>
        <w:t>Euthynnus pelamis</w:t>
      </w:r>
      <w:r w:rsidRPr="009978E3">
        <w:rPr>
          <w:sz w:val="22"/>
          <w:szCs w:val="22"/>
          <w:lang w:val="en-US"/>
        </w:rPr>
        <w:t>) and swordfish (</w:t>
      </w:r>
      <w:r w:rsidRPr="009978E3">
        <w:rPr>
          <w:i/>
          <w:sz w:val="22"/>
          <w:szCs w:val="22"/>
          <w:lang w:val="en-US"/>
        </w:rPr>
        <w:t>Xiphias gladius</w:t>
      </w:r>
      <w:r w:rsidRPr="009978E3">
        <w:rPr>
          <w:sz w:val="22"/>
          <w:szCs w:val="22"/>
          <w:lang w:val="en-US"/>
        </w:rPr>
        <w:t xml:space="preserve">), may also be present (Lavín </w:t>
      </w:r>
      <w:r w:rsidRPr="0006066A">
        <w:rPr>
          <w:i/>
          <w:sz w:val="22"/>
          <w:szCs w:val="22"/>
          <w:lang w:val="en-US"/>
        </w:rPr>
        <w:t>et al</w:t>
      </w:r>
      <w:r w:rsidRPr="009978E3">
        <w:rPr>
          <w:sz w:val="22"/>
          <w:szCs w:val="22"/>
          <w:lang w:val="en-US"/>
        </w:rPr>
        <w:t>., 2004).</w:t>
      </w:r>
    </w:p>
    <w:p w14:paraId="11739F49" w14:textId="77777777" w:rsidR="006B3F46" w:rsidRPr="009978E3" w:rsidRDefault="006B3F46" w:rsidP="00907941">
      <w:pPr>
        <w:autoSpaceDE w:val="0"/>
        <w:autoSpaceDN w:val="0"/>
        <w:adjustRightInd w:val="0"/>
        <w:jc w:val="both"/>
        <w:rPr>
          <w:sz w:val="22"/>
          <w:szCs w:val="22"/>
          <w:lang w:val="en-US"/>
        </w:rPr>
      </w:pPr>
    </w:p>
    <w:p w14:paraId="1BB25E4E" w14:textId="77777777" w:rsidR="006B3F46" w:rsidRPr="009978E3" w:rsidRDefault="006B3F46" w:rsidP="00907941">
      <w:pPr>
        <w:autoSpaceDE w:val="0"/>
        <w:autoSpaceDN w:val="0"/>
        <w:adjustRightInd w:val="0"/>
        <w:jc w:val="both"/>
        <w:rPr>
          <w:sz w:val="22"/>
          <w:szCs w:val="22"/>
          <w:lang w:val="en-US"/>
        </w:rPr>
      </w:pPr>
      <w:r w:rsidRPr="009978E3">
        <w:rPr>
          <w:sz w:val="22"/>
          <w:szCs w:val="22"/>
          <w:lang w:val="en-US"/>
        </w:rPr>
        <w:t>The presence of bluefin tuna and albacore in the Bay of Biscay is seasonal. They normally appear at the beginning of summer and disappear at the beginning of autumn, following a trophic migration in search of food. Large predatory sharks have internal fertilization</w:t>
      </w:r>
      <w:r>
        <w:rPr>
          <w:sz w:val="22"/>
          <w:szCs w:val="22"/>
          <w:lang w:val="en-US"/>
        </w:rPr>
        <w:t>,</w:t>
      </w:r>
      <w:r w:rsidRPr="009978E3">
        <w:rPr>
          <w:sz w:val="22"/>
          <w:szCs w:val="22"/>
          <w:lang w:val="en-US"/>
        </w:rPr>
        <w:t xml:space="preserve"> and females either lay eggs or nourish embryos internally for several months before giving birth (Helfman </w:t>
      </w:r>
      <w:r w:rsidRPr="0006066A">
        <w:rPr>
          <w:i/>
          <w:sz w:val="22"/>
          <w:szCs w:val="22"/>
          <w:lang w:val="en-US"/>
        </w:rPr>
        <w:t>et al</w:t>
      </w:r>
      <w:r w:rsidRPr="009978E3">
        <w:rPr>
          <w:sz w:val="22"/>
          <w:szCs w:val="22"/>
          <w:lang w:val="en-US"/>
        </w:rPr>
        <w:t>., 1997). Their populations are very vulnerable to fishing pressure. In the Bay of Biscay the common epipelagic sharks are blue shark (</w:t>
      </w:r>
      <w:r w:rsidRPr="009978E3">
        <w:rPr>
          <w:i/>
          <w:sz w:val="22"/>
          <w:szCs w:val="22"/>
          <w:lang w:val="en-US"/>
        </w:rPr>
        <w:t>Priona glauca</w:t>
      </w:r>
      <w:r w:rsidRPr="009978E3">
        <w:rPr>
          <w:sz w:val="22"/>
          <w:szCs w:val="22"/>
          <w:lang w:val="en-US"/>
        </w:rPr>
        <w:t>), shortfin mako (</w:t>
      </w:r>
      <w:r w:rsidRPr="009978E3">
        <w:rPr>
          <w:i/>
          <w:sz w:val="22"/>
          <w:szCs w:val="22"/>
          <w:lang w:val="en-US"/>
        </w:rPr>
        <w:t>Isurus oxyrrinchus</w:t>
      </w:r>
      <w:r w:rsidRPr="009978E3">
        <w:rPr>
          <w:sz w:val="22"/>
          <w:szCs w:val="22"/>
          <w:lang w:val="en-US"/>
        </w:rPr>
        <w:t>) and porbeagle (</w:t>
      </w:r>
      <w:r w:rsidRPr="009978E3">
        <w:rPr>
          <w:i/>
          <w:sz w:val="22"/>
          <w:szCs w:val="22"/>
          <w:lang w:val="en-US"/>
        </w:rPr>
        <w:t>Lamna nasus</w:t>
      </w:r>
      <w:r w:rsidRPr="009978E3">
        <w:rPr>
          <w:sz w:val="22"/>
          <w:szCs w:val="22"/>
          <w:lang w:val="en-US"/>
        </w:rPr>
        <w:t>). They prey on a wide range of pelagic and demersal fishes. The largest shark in the Bay of Biscay is the basking shark (</w:t>
      </w:r>
      <w:r w:rsidRPr="009978E3">
        <w:rPr>
          <w:i/>
          <w:sz w:val="22"/>
          <w:szCs w:val="22"/>
          <w:lang w:val="en-US"/>
        </w:rPr>
        <w:t>Cetorhinus maximuis</w:t>
      </w:r>
      <w:r w:rsidRPr="009978E3">
        <w:rPr>
          <w:sz w:val="22"/>
          <w:szCs w:val="22"/>
          <w:lang w:val="en-US"/>
        </w:rPr>
        <w:t xml:space="preserve">), </w:t>
      </w:r>
      <w:r>
        <w:rPr>
          <w:sz w:val="22"/>
          <w:szCs w:val="22"/>
          <w:lang w:val="en-US"/>
        </w:rPr>
        <w:t xml:space="preserve">which can measure </w:t>
      </w:r>
      <w:r w:rsidRPr="009978E3">
        <w:rPr>
          <w:sz w:val="22"/>
          <w:szCs w:val="22"/>
          <w:lang w:val="en-US"/>
        </w:rPr>
        <w:t xml:space="preserve"> more than 9 m </w:t>
      </w:r>
      <w:r>
        <w:rPr>
          <w:sz w:val="22"/>
          <w:szCs w:val="22"/>
          <w:lang w:val="en-US"/>
        </w:rPr>
        <w:t xml:space="preserve">in length </w:t>
      </w:r>
      <w:r w:rsidRPr="009978E3">
        <w:rPr>
          <w:sz w:val="22"/>
          <w:szCs w:val="22"/>
          <w:lang w:val="en-US"/>
        </w:rPr>
        <w:t xml:space="preserve">(Lavín </w:t>
      </w:r>
      <w:r w:rsidRPr="0006066A">
        <w:rPr>
          <w:i/>
          <w:sz w:val="22"/>
          <w:szCs w:val="22"/>
          <w:lang w:val="en-US"/>
        </w:rPr>
        <w:t>et al</w:t>
      </w:r>
      <w:r w:rsidRPr="009978E3">
        <w:rPr>
          <w:sz w:val="22"/>
          <w:szCs w:val="22"/>
          <w:lang w:val="en-US"/>
        </w:rPr>
        <w:t>., 2004).</w:t>
      </w:r>
    </w:p>
    <w:p w14:paraId="24D8A550" w14:textId="77777777" w:rsidR="006B3F46" w:rsidRPr="009978E3" w:rsidRDefault="006B3F46" w:rsidP="00907941">
      <w:pPr>
        <w:autoSpaceDE w:val="0"/>
        <w:autoSpaceDN w:val="0"/>
        <w:adjustRightInd w:val="0"/>
        <w:jc w:val="both"/>
        <w:rPr>
          <w:sz w:val="22"/>
          <w:szCs w:val="22"/>
          <w:lang w:val="en-US" w:eastAsia="es-ES"/>
        </w:rPr>
      </w:pPr>
    </w:p>
    <w:p w14:paraId="264AB2C6" w14:textId="77777777" w:rsidR="006B3F46" w:rsidRPr="009978E3" w:rsidRDefault="006B3F46" w:rsidP="006B3F46">
      <w:pPr>
        <w:pStyle w:val="ListParagraph"/>
        <w:numPr>
          <w:ilvl w:val="0"/>
          <w:numId w:val="20"/>
        </w:numPr>
        <w:autoSpaceDE w:val="0"/>
        <w:autoSpaceDN w:val="0"/>
        <w:adjustRightInd w:val="0"/>
        <w:spacing w:after="23"/>
        <w:ind w:leftChars="0"/>
        <w:contextualSpacing/>
        <w:rPr>
          <w:i/>
          <w:szCs w:val="22"/>
          <w:lang w:val="en-US"/>
        </w:rPr>
      </w:pPr>
      <w:r w:rsidRPr="009978E3">
        <w:rPr>
          <w:i/>
          <w:szCs w:val="22"/>
          <w:lang w:val="en-US"/>
        </w:rPr>
        <w:t xml:space="preserve">The </w:t>
      </w:r>
      <w:r w:rsidRPr="009978E3">
        <w:rPr>
          <w:rFonts w:eastAsia="MS Mincho"/>
          <w:i/>
          <w:szCs w:val="22"/>
          <w:lang w:val="en-US"/>
        </w:rPr>
        <w:t xml:space="preserve">area </w:t>
      </w:r>
      <w:r w:rsidRPr="009978E3">
        <w:rPr>
          <w:i/>
          <w:szCs w:val="22"/>
          <w:lang w:val="en-US"/>
        </w:rPr>
        <w:t xml:space="preserve">includes soft bottoms essential for the biology of commercial benthic species. </w:t>
      </w:r>
    </w:p>
    <w:p w14:paraId="1AB91F10" w14:textId="77777777" w:rsidR="006B3F46" w:rsidRPr="009978E3" w:rsidRDefault="006B3F46" w:rsidP="00907941">
      <w:pPr>
        <w:jc w:val="both"/>
        <w:rPr>
          <w:rStyle w:val="Emphasis"/>
          <w:sz w:val="22"/>
          <w:szCs w:val="22"/>
          <w:shd w:val="clear" w:color="auto" w:fill="FFFFFF"/>
        </w:rPr>
      </w:pPr>
    </w:p>
    <w:p w14:paraId="4AE96714" w14:textId="77777777" w:rsidR="006B3F46" w:rsidRPr="009978E3" w:rsidRDefault="006B3F46" w:rsidP="00907941">
      <w:pPr>
        <w:autoSpaceDE w:val="0"/>
        <w:autoSpaceDN w:val="0"/>
        <w:adjustRightInd w:val="0"/>
        <w:jc w:val="both"/>
        <w:rPr>
          <w:i/>
          <w:sz w:val="22"/>
          <w:szCs w:val="22"/>
          <w:lang w:val="en-US"/>
        </w:rPr>
      </w:pPr>
      <w:r w:rsidRPr="009978E3">
        <w:rPr>
          <w:sz w:val="22"/>
          <w:szCs w:val="22"/>
          <w:lang w:val="en-US"/>
        </w:rPr>
        <w:t>This is the case, for example, of the Norway lobster (</w:t>
      </w:r>
      <w:r w:rsidRPr="009978E3">
        <w:rPr>
          <w:i/>
          <w:sz w:val="22"/>
          <w:szCs w:val="22"/>
          <w:lang w:val="en-US"/>
        </w:rPr>
        <w:t>Nephrops norvegicus</w:t>
      </w:r>
      <w:r w:rsidRPr="009978E3">
        <w:rPr>
          <w:sz w:val="22"/>
          <w:szCs w:val="22"/>
          <w:lang w:val="en-US"/>
        </w:rPr>
        <w:t>). This species is distributed from Iceland to Portugal and the Mediterranean and is limited to areas of muddy habitat at depths of 15</w:t>
      </w:r>
      <w:r>
        <w:rPr>
          <w:sz w:val="22"/>
          <w:szCs w:val="22"/>
          <w:lang w:val="en-US"/>
        </w:rPr>
        <w:t xml:space="preserve"> to </w:t>
      </w:r>
      <w:r w:rsidRPr="009978E3">
        <w:rPr>
          <w:sz w:val="22"/>
          <w:szCs w:val="22"/>
          <w:lang w:val="en-US"/>
        </w:rPr>
        <w:t xml:space="preserve">800 m. The spatial extent of suitable sediment defines the species distribution and the stock boundaries. </w:t>
      </w:r>
      <w:r w:rsidRPr="009978E3">
        <w:rPr>
          <w:i/>
          <w:sz w:val="22"/>
          <w:szCs w:val="22"/>
          <w:lang w:val="en-US"/>
        </w:rPr>
        <w:t>Nephrops</w:t>
      </w:r>
      <w:r w:rsidRPr="009978E3">
        <w:rPr>
          <w:sz w:val="22"/>
          <w:szCs w:val="22"/>
          <w:lang w:val="en-US"/>
        </w:rPr>
        <w:t xml:space="preserve"> are sedentary and rather common on muddy grounds, in which they dig the burrows where they spend most of their time. In the Bay of Biscay, three populations are distinguished</w:t>
      </w:r>
      <w:r>
        <w:rPr>
          <w:sz w:val="22"/>
          <w:szCs w:val="22"/>
          <w:lang w:val="en-US"/>
        </w:rPr>
        <w:t>:</w:t>
      </w:r>
      <w:r w:rsidRPr="009978E3">
        <w:rPr>
          <w:sz w:val="22"/>
          <w:szCs w:val="22"/>
          <w:lang w:val="en-US"/>
        </w:rPr>
        <w:t xml:space="preserve"> one on the French shelf and two in the Cantabrian Sea. Females spawn from April to August and carry eggs under their tails (“berried” females) until they hatch about seven months later. The larvae develop in the plankton for one month before settling to the seabed. When berried, females rarely come out of the burrow and are therefore naturally protected from trawlers. Nephrops are mainly nocturnal and feed on detritus, crustaceans and worms (Lavín </w:t>
      </w:r>
      <w:r w:rsidRPr="0006066A">
        <w:rPr>
          <w:i/>
          <w:sz w:val="22"/>
          <w:szCs w:val="22"/>
          <w:lang w:val="en-US"/>
        </w:rPr>
        <w:t>et al</w:t>
      </w:r>
      <w:r w:rsidRPr="009978E3">
        <w:rPr>
          <w:sz w:val="22"/>
          <w:szCs w:val="22"/>
          <w:lang w:val="en-US"/>
        </w:rPr>
        <w:t>., 2004).</w:t>
      </w:r>
    </w:p>
    <w:p w14:paraId="772441EE" w14:textId="77777777" w:rsidR="006B3F46" w:rsidRPr="009978E3" w:rsidRDefault="006B3F46" w:rsidP="00907941">
      <w:pPr>
        <w:jc w:val="both"/>
        <w:rPr>
          <w:i/>
          <w:color w:val="2F5496"/>
          <w:sz w:val="22"/>
          <w:szCs w:val="22"/>
        </w:rPr>
      </w:pPr>
    </w:p>
    <w:p w14:paraId="4502353B" w14:textId="77777777" w:rsidR="006B3F46" w:rsidRPr="009978E3" w:rsidRDefault="006B3F46" w:rsidP="00907941">
      <w:pPr>
        <w:jc w:val="both"/>
        <w:rPr>
          <w:color w:val="2F5496"/>
          <w:sz w:val="22"/>
          <w:szCs w:val="22"/>
          <w:lang w:val="en-US"/>
        </w:rPr>
      </w:pPr>
    </w:p>
    <w:p w14:paraId="00C0F653"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05B6721F" w14:textId="77777777" w:rsidR="006B3F46" w:rsidRPr="009978E3" w:rsidRDefault="006B3F46" w:rsidP="00907941">
      <w:pPr>
        <w:autoSpaceDE w:val="0"/>
        <w:autoSpaceDN w:val="0"/>
        <w:adjustRightInd w:val="0"/>
        <w:jc w:val="both"/>
        <w:rPr>
          <w:sz w:val="22"/>
          <w:szCs w:val="22"/>
        </w:rPr>
      </w:pPr>
      <w:r w:rsidRPr="009978E3">
        <w:rPr>
          <w:sz w:val="22"/>
          <w:szCs w:val="22"/>
          <w:lang w:val="en-US"/>
        </w:rPr>
        <w:t>There are various</w:t>
      </w:r>
      <w:r w:rsidRPr="009978E3">
        <w:rPr>
          <w:sz w:val="22"/>
          <w:szCs w:val="22"/>
        </w:rPr>
        <w:t xml:space="preserve"> activities impacting the ecological/biological features of the Bay of Biscay:</w:t>
      </w:r>
    </w:p>
    <w:p w14:paraId="4344C9EF" w14:textId="77777777" w:rsidR="006B3F46" w:rsidRPr="009978E3" w:rsidRDefault="006B3F46" w:rsidP="00907941">
      <w:pPr>
        <w:autoSpaceDE w:val="0"/>
        <w:autoSpaceDN w:val="0"/>
        <w:adjustRightInd w:val="0"/>
        <w:jc w:val="both"/>
        <w:rPr>
          <w:sz w:val="22"/>
          <w:szCs w:val="22"/>
        </w:rPr>
      </w:pPr>
    </w:p>
    <w:p w14:paraId="41039D6A" w14:textId="77777777" w:rsidR="006B3F46" w:rsidRPr="009978E3" w:rsidRDefault="006B3F46" w:rsidP="00907941">
      <w:pPr>
        <w:autoSpaceDE w:val="0"/>
        <w:autoSpaceDN w:val="0"/>
        <w:adjustRightInd w:val="0"/>
        <w:jc w:val="both"/>
        <w:rPr>
          <w:sz w:val="22"/>
          <w:szCs w:val="22"/>
          <w:lang w:val="en-US"/>
        </w:rPr>
      </w:pPr>
      <w:r w:rsidRPr="009978E3">
        <w:rPr>
          <w:sz w:val="22"/>
          <w:szCs w:val="22"/>
        </w:rPr>
        <w:t xml:space="preserve"> </w:t>
      </w:r>
      <w:r w:rsidRPr="009978E3">
        <w:rPr>
          <w:sz w:val="22"/>
          <w:szCs w:val="22"/>
          <w:lang w:val="en-US"/>
        </w:rPr>
        <w:t xml:space="preserve">- </w:t>
      </w:r>
      <w:r w:rsidRPr="009978E3">
        <w:rPr>
          <w:i/>
          <w:sz w:val="22"/>
          <w:szCs w:val="22"/>
          <w:lang w:val="en-US"/>
        </w:rPr>
        <w:t>Fishing activities</w:t>
      </w:r>
      <w:r w:rsidRPr="009978E3">
        <w:rPr>
          <w:sz w:val="22"/>
          <w:szCs w:val="22"/>
          <w:lang w:val="en-US"/>
        </w:rPr>
        <w:t xml:space="preserve">: the main fishing gears used in the area are bottom trawling, fishing lines and gill nets. </w:t>
      </w:r>
      <w:r w:rsidRPr="009978E3">
        <w:rPr>
          <w:sz w:val="22"/>
          <w:szCs w:val="22"/>
        </w:rPr>
        <w:t xml:space="preserve">Trawlers operate on the muddy bottoms of the shelf and produce serious negative impacts </w:t>
      </w:r>
      <w:r w:rsidRPr="009978E3">
        <w:rPr>
          <w:sz w:val="22"/>
          <w:szCs w:val="22"/>
          <w:lang w:val="en-US"/>
        </w:rPr>
        <w:t>over certain habitat types. Long-liners also operate</w:t>
      </w:r>
      <w:r w:rsidRPr="009978E3">
        <w:rPr>
          <w:sz w:val="22"/>
          <w:szCs w:val="22"/>
        </w:rPr>
        <w:t xml:space="preserve"> mainly at the bottom but at the shelf-break, whereas gill nets are used on rocky grounds near the coast and shelf-break. In addition to resource overexploitation, f</w:t>
      </w:r>
      <w:r w:rsidRPr="009978E3">
        <w:rPr>
          <w:sz w:val="22"/>
          <w:szCs w:val="22"/>
          <w:lang w:val="en-US"/>
        </w:rPr>
        <w:t xml:space="preserve">ishing activities have an impact on </w:t>
      </w:r>
      <w:r w:rsidRPr="009978E3">
        <w:rPr>
          <w:sz w:val="22"/>
          <w:szCs w:val="22"/>
          <w:lang w:val="en-US" w:eastAsia="es-ES"/>
        </w:rPr>
        <w:t>other</w:t>
      </w:r>
      <w:r w:rsidRPr="009978E3">
        <w:rPr>
          <w:sz w:val="22"/>
          <w:szCs w:val="22"/>
          <w:lang w:val="en-US"/>
        </w:rPr>
        <w:t xml:space="preserve"> species, such as sea turtles, cetaceans and seabirds (longline bycatch). </w:t>
      </w:r>
    </w:p>
    <w:p w14:paraId="42BABFF4" w14:textId="77777777" w:rsidR="006B3F46" w:rsidRPr="009978E3" w:rsidRDefault="006B3F46" w:rsidP="00907941">
      <w:pPr>
        <w:autoSpaceDE w:val="0"/>
        <w:autoSpaceDN w:val="0"/>
        <w:adjustRightInd w:val="0"/>
        <w:jc w:val="both"/>
        <w:rPr>
          <w:sz w:val="22"/>
          <w:szCs w:val="22"/>
          <w:lang w:val="en-US"/>
        </w:rPr>
      </w:pPr>
    </w:p>
    <w:p w14:paraId="1162C252" w14:textId="77777777" w:rsidR="006B3F46" w:rsidRPr="009978E3" w:rsidRDefault="006B3F46" w:rsidP="00907941">
      <w:pPr>
        <w:autoSpaceDE w:val="0"/>
        <w:autoSpaceDN w:val="0"/>
        <w:adjustRightInd w:val="0"/>
        <w:jc w:val="both"/>
        <w:rPr>
          <w:sz w:val="22"/>
          <w:szCs w:val="22"/>
        </w:rPr>
      </w:pPr>
      <w:r w:rsidRPr="009978E3">
        <w:rPr>
          <w:sz w:val="22"/>
          <w:szCs w:val="22"/>
        </w:rPr>
        <w:t xml:space="preserve">Bay of Biscay fisheries have had a strong impact on the bottom communities and have induced changes in their structure (Sánchez and Olaso, 2004; Serrano </w:t>
      </w:r>
      <w:r w:rsidRPr="0006066A">
        <w:rPr>
          <w:i/>
          <w:sz w:val="22"/>
          <w:szCs w:val="22"/>
        </w:rPr>
        <w:t>et al</w:t>
      </w:r>
      <w:r w:rsidRPr="009978E3">
        <w:rPr>
          <w:sz w:val="22"/>
          <w:szCs w:val="22"/>
        </w:rPr>
        <w:t>., 2006). This impact has been mainly direct (fishing mortality on target species and bycatch) and indirect by means of modifications to the habitat through erosion of the sediment and damage to the benthos by different elements of the gears.</w:t>
      </w:r>
    </w:p>
    <w:p w14:paraId="14C56CA1" w14:textId="77777777" w:rsidR="006B3F46" w:rsidRPr="009978E3" w:rsidRDefault="006B3F46" w:rsidP="00907941">
      <w:pPr>
        <w:autoSpaceDE w:val="0"/>
        <w:autoSpaceDN w:val="0"/>
        <w:adjustRightInd w:val="0"/>
        <w:spacing w:after="23"/>
        <w:jc w:val="both"/>
        <w:rPr>
          <w:sz w:val="22"/>
          <w:szCs w:val="22"/>
        </w:rPr>
      </w:pPr>
    </w:p>
    <w:p w14:paraId="74E50FBD" w14:textId="77777777" w:rsidR="006B3F46" w:rsidRPr="009978E3" w:rsidRDefault="006B3F46" w:rsidP="00907941">
      <w:pPr>
        <w:autoSpaceDE w:val="0"/>
        <w:autoSpaceDN w:val="0"/>
        <w:adjustRightInd w:val="0"/>
        <w:spacing w:after="23"/>
        <w:jc w:val="both"/>
        <w:rPr>
          <w:sz w:val="22"/>
          <w:szCs w:val="22"/>
          <w:lang w:val="en-US"/>
        </w:rPr>
      </w:pPr>
      <w:r w:rsidRPr="009978E3">
        <w:rPr>
          <w:sz w:val="22"/>
          <w:szCs w:val="22"/>
          <w:lang w:val="en-US"/>
        </w:rPr>
        <w:t xml:space="preserve">- </w:t>
      </w:r>
      <w:r w:rsidRPr="009978E3">
        <w:rPr>
          <w:i/>
          <w:sz w:val="22"/>
          <w:szCs w:val="22"/>
          <w:lang w:val="en-US"/>
        </w:rPr>
        <w:t>Water pollution</w:t>
      </w:r>
      <w:r w:rsidRPr="009978E3">
        <w:rPr>
          <w:sz w:val="22"/>
          <w:szCs w:val="22"/>
          <w:lang w:val="en-US"/>
        </w:rPr>
        <w:t xml:space="preserve">: the main sources of pollution are ships and cities located on the coast (mostly in summer when the intensity of tourism </w:t>
      </w:r>
      <w:r w:rsidRPr="009978E3">
        <w:rPr>
          <w:sz w:val="22"/>
          <w:szCs w:val="22"/>
          <w:lang w:val="en-US" w:eastAsia="es-ES"/>
        </w:rPr>
        <w:t xml:space="preserve">increases </w:t>
      </w:r>
      <w:r w:rsidRPr="009978E3">
        <w:rPr>
          <w:sz w:val="22"/>
          <w:szCs w:val="22"/>
          <w:lang w:val="en-US"/>
        </w:rPr>
        <w:t xml:space="preserve">in some coastal </w:t>
      </w:r>
      <w:r w:rsidRPr="009978E3">
        <w:rPr>
          <w:sz w:val="22"/>
          <w:szCs w:val="22"/>
          <w:lang w:val="en-US" w:eastAsia="es-ES"/>
        </w:rPr>
        <w:t>areas).</w:t>
      </w:r>
      <w:r w:rsidRPr="009978E3">
        <w:rPr>
          <w:sz w:val="22"/>
          <w:szCs w:val="22"/>
          <w:lang w:val="en-US"/>
        </w:rPr>
        <w:t xml:space="preserve"> </w:t>
      </w:r>
    </w:p>
    <w:p w14:paraId="1299A8CB" w14:textId="77777777" w:rsidR="006B3F46" w:rsidRPr="009978E3" w:rsidRDefault="006B3F46" w:rsidP="00907941">
      <w:pPr>
        <w:autoSpaceDE w:val="0"/>
        <w:autoSpaceDN w:val="0"/>
        <w:adjustRightInd w:val="0"/>
        <w:spacing w:after="23"/>
        <w:jc w:val="both"/>
        <w:rPr>
          <w:sz w:val="22"/>
          <w:szCs w:val="22"/>
          <w:lang w:val="en-US"/>
        </w:rPr>
      </w:pPr>
    </w:p>
    <w:p w14:paraId="2BED3336" w14:textId="77777777" w:rsidR="006B3F46" w:rsidRPr="009978E3" w:rsidRDefault="006B3F46" w:rsidP="00907941">
      <w:pPr>
        <w:autoSpaceDE w:val="0"/>
        <w:autoSpaceDN w:val="0"/>
        <w:adjustRightInd w:val="0"/>
        <w:jc w:val="both"/>
        <w:rPr>
          <w:sz w:val="22"/>
          <w:szCs w:val="22"/>
          <w:lang w:val="en-US"/>
        </w:rPr>
      </w:pPr>
      <w:r w:rsidRPr="009978E3">
        <w:rPr>
          <w:sz w:val="22"/>
          <w:szCs w:val="22"/>
          <w:lang w:val="en-US"/>
        </w:rPr>
        <w:t xml:space="preserve">- </w:t>
      </w:r>
      <w:r w:rsidRPr="009978E3">
        <w:rPr>
          <w:i/>
          <w:sz w:val="22"/>
          <w:szCs w:val="22"/>
          <w:lang w:val="en-US"/>
        </w:rPr>
        <w:t>Global warming</w:t>
      </w:r>
      <w:r w:rsidRPr="009978E3">
        <w:rPr>
          <w:sz w:val="22"/>
          <w:szCs w:val="22"/>
          <w:lang w:val="en-US"/>
        </w:rPr>
        <w:t>: this phenomenon seems to have led to an increase in the presence of temperate-water fish species in the Bay of Biscay (</w:t>
      </w:r>
      <w:r>
        <w:rPr>
          <w:sz w:val="22"/>
          <w:szCs w:val="22"/>
          <w:lang w:val="en-US"/>
        </w:rPr>
        <w:t>e.g.,</w:t>
      </w:r>
      <w:r w:rsidRPr="009978E3">
        <w:rPr>
          <w:sz w:val="22"/>
          <w:szCs w:val="22"/>
          <w:lang w:val="en-US"/>
        </w:rPr>
        <w:t xml:space="preserve"> among pelagic fishes </w:t>
      </w:r>
      <w:r w:rsidRPr="009978E3">
        <w:rPr>
          <w:i/>
          <w:sz w:val="22"/>
          <w:szCs w:val="22"/>
          <w:lang w:val="en-US"/>
        </w:rPr>
        <w:t>Megalops atlanticus</w:t>
      </w:r>
      <w:r w:rsidRPr="009978E3">
        <w:rPr>
          <w:sz w:val="22"/>
          <w:szCs w:val="22"/>
          <w:lang w:val="en-US"/>
        </w:rPr>
        <w:t xml:space="preserve">, </w:t>
      </w:r>
      <w:r w:rsidRPr="009978E3">
        <w:rPr>
          <w:i/>
          <w:sz w:val="22"/>
          <w:szCs w:val="22"/>
          <w:lang w:val="en-US"/>
        </w:rPr>
        <w:t>Seriola rivoliana</w:t>
      </w:r>
      <w:r w:rsidRPr="009978E3">
        <w:rPr>
          <w:sz w:val="22"/>
          <w:szCs w:val="22"/>
          <w:lang w:val="en-US"/>
        </w:rPr>
        <w:t xml:space="preserve">) over the last 20 years (Quéro </w:t>
      </w:r>
      <w:r w:rsidRPr="0006066A">
        <w:rPr>
          <w:i/>
          <w:sz w:val="22"/>
          <w:szCs w:val="22"/>
          <w:lang w:val="en-US"/>
        </w:rPr>
        <w:t>et al</w:t>
      </w:r>
      <w:r w:rsidRPr="009978E3">
        <w:rPr>
          <w:sz w:val="22"/>
          <w:szCs w:val="22"/>
          <w:lang w:val="en-US"/>
        </w:rPr>
        <w:t xml:space="preserve">., 1998; Stebbing </w:t>
      </w:r>
      <w:r w:rsidRPr="0006066A">
        <w:rPr>
          <w:i/>
          <w:sz w:val="22"/>
          <w:szCs w:val="22"/>
          <w:lang w:val="en-US"/>
        </w:rPr>
        <w:t>et al</w:t>
      </w:r>
      <w:r w:rsidRPr="009978E3">
        <w:rPr>
          <w:sz w:val="22"/>
          <w:szCs w:val="22"/>
          <w:lang w:val="en-US"/>
        </w:rPr>
        <w:t>., 2002).</w:t>
      </w:r>
      <w:r w:rsidRPr="009978E3">
        <w:rPr>
          <w:sz w:val="22"/>
          <w:szCs w:val="22"/>
          <w:lang w:val="en-US" w:eastAsia="es-ES"/>
        </w:rPr>
        <w:t xml:space="preserve"> </w:t>
      </w:r>
      <w:r w:rsidRPr="009978E3">
        <w:rPr>
          <w:sz w:val="22"/>
          <w:szCs w:val="22"/>
          <w:lang w:val="en-US"/>
        </w:rPr>
        <w:t>These changes related to global warming tend to operate slowly but have severe long-term consequences for the ecology of the ecosystem. They can affect: i) the behaviour of species (</w:t>
      </w:r>
      <w:r>
        <w:rPr>
          <w:sz w:val="22"/>
          <w:szCs w:val="22"/>
          <w:lang w:val="en-US"/>
        </w:rPr>
        <w:t>e.g.,</w:t>
      </w:r>
      <w:r w:rsidRPr="009978E3">
        <w:rPr>
          <w:sz w:val="22"/>
          <w:szCs w:val="22"/>
          <w:lang w:val="en-US"/>
        </w:rPr>
        <w:t xml:space="preserve"> changes in migratory routes), ii) their recruitment (due to changes in the environmental conditions in the spawning and/or recruitment areas) and iii) the spatial distribution of species (since more meridional species can expand their area of distribution). In fact, this increase in temperature is likely to be responsible for the appearance of tropical fish species in the southeast shelf of the Bay of Biscay.</w:t>
      </w:r>
    </w:p>
    <w:p w14:paraId="45D272B0" w14:textId="77777777" w:rsidR="006B3F46" w:rsidRPr="009978E3" w:rsidRDefault="006B3F46" w:rsidP="00907941">
      <w:pPr>
        <w:autoSpaceDE w:val="0"/>
        <w:autoSpaceDN w:val="0"/>
        <w:adjustRightInd w:val="0"/>
        <w:spacing w:after="23"/>
        <w:jc w:val="both"/>
        <w:rPr>
          <w:sz w:val="22"/>
          <w:szCs w:val="22"/>
          <w:lang w:val="en-US"/>
        </w:rPr>
      </w:pPr>
    </w:p>
    <w:p w14:paraId="35869C23" w14:textId="77777777" w:rsidR="006B3F46" w:rsidRPr="009978E3" w:rsidRDefault="006B3F46" w:rsidP="00907941">
      <w:pPr>
        <w:autoSpaceDE w:val="0"/>
        <w:autoSpaceDN w:val="0"/>
        <w:adjustRightInd w:val="0"/>
        <w:spacing w:after="23"/>
        <w:jc w:val="both"/>
        <w:rPr>
          <w:sz w:val="22"/>
          <w:szCs w:val="22"/>
          <w:lang w:val="en-US"/>
        </w:rPr>
      </w:pPr>
      <w:r w:rsidRPr="009978E3">
        <w:rPr>
          <w:sz w:val="22"/>
          <w:szCs w:val="22"/>
          <w:lang w:val="en-US"/>
        </w:rPr>
        <w:t xml:space="preserve">- </w:t>
      </w:r>
      <w:r w:rsidRPr="009978E3">
        <w:rPr>
          <w:i/>
          <w:sz w:val="22"/>
          <w:szCs w:val="22"/>
          <w:lang w:val="en-US"/>
        </w:rPr>
        <w:t>Shipping and oil transport</w:t>
      </w:r>
      <w:r w:rsidRPr="009978E3">
        <w:rPr>
          <w:sz w:val="22"/>
          <w:szCs w:val="22"/>
          <w:lang w:val="en-US"/>
        </w:rPr>
        <w:t xml:space="preserve">: The Bay of Biscay is located on the main route of supertankers transporting oil from the Middle East and Africa to EU harbours. More than 70 </w:t>
      </w:r>
      <w:r>
        <w:rPr>
          <w:sz w:val="22"/>
          <w:szCs w:val="22"/>
          <w:lang w:val="en-US"/>
        </w:rPr>
        <w:t xml:space="preserve"> per cent</w:t>
      </w:r>
      <w:r w:rsidRPr="009978E3">
        <w:rPr>
          <w:sz w:val="22"/>
          <w:szCs w:val="22"/>
          <w:lang w:val="en-US"/>
        </w:rPr>
        <w:t xml:space="preserve"> of the total oil consumed in the EU is moved by shipping through the Finisterre pass directly towards the English Channel and then to the final destination in different European harbours. In recent years, several oil spills have occurred in the Bay of Biscay; for example five supertankers carrying more than 50 000 t have been wrecked since 1976, the last three </w:t>
      </w:r>
      <w:r>
        <w:rPr>
          <w:sz w:val="22"/>
          <w:szCs w:val="22"/>
          <w:lang w:val="en-US"/>
        </w:rPr>
        <w:t xml:space="preserve">of which occurred </w:t>
      </w:r>
      <w:r w:rsidRPr="009978E3">
        <w:rPr>
          <w:sz w:val="22"/>
          <w:szCs w:val="22"/>
          <w:lang w:val="en-US"/>
        </w:rPr>
        <w:t xml:space="preserve">in an interval of just a decade (1992, Aegean Sea; 1999, Erika; 2002, Prestige), which has made this region the most severely affected </w:t>
      </w:r>
      <w:r w:rsidRPr="009978E3">
        <w:rPr>
          <w:sz w:val="22"/>
          <w:szCs w:val="22"/>
          <w:lang w:val="en-US" w:eastAsia="es-ES"/>
        </w:rPr>
        <w:t xml:space="preserve">in the world </w:t>
      </w:r>
      <w:r w:rsidRPr="009978E3">
        <w:rPr>
          <w:sz w:val="22"/>
          <w:szCs w:val="22"/>
          <w:lang w:val="en-US"/>
        </w:rPr>
        <w:t xml:space="preserve">by this kind of accident (Lavín </w:t>
      </w:r>
      <w:r w:rsidRPr="0006066A">
        <w:rPr>
          <w:i/>
          <w:sz w:val="22"/>
          <w:szCs w:val="22"/>
          <w:lang w:val="en-US"/>
        </w:rPr>
        <w:t>et al</w:t>
      </w:r>
      <w:r w:rsidRPr="009978E3">
        <w:rPr>
          <w:sz w:val="22"/>
          <w:szCs w:val="22"/>
          <w:lang w:val="en-US"/>
        </w:rPr>
        <w:t>., 2004).</w:t>
      </w:r>
    </w:p>
    <w:p w14:paraId="0820A829" w14:textId="77777777" w:rsidR="006B3F46" w:rsidRPr="009978E3" w:rsidRDefault="006B3F46" w:rsidP="00907941">
      <w:pPr>
        <w:autoSpaceDE w:val="0"/>
        <w:autoSpaceDN w:val="0"/>
        <w:adjustRightInd w:val="0"/>
        <w:spacing w:after="23"/>
        <w:jc w:val="both"/>
        <w:rPr>
          <w:sz w:val="22"/>
          <w:szCs w:val="22"/>
        </w:rPr>
      </w:pPr>
    </w:p>
    <w:p w14:paraId="67DFDE45" w14:textId="77777777" w:rsidR="006B3F46" w:rsidRPr="009978E3" w:rsidRDefault="006B3F46" w:rsidP="00907941">
      <w:pPr>
        <w:jc w:val="both"/>
        <w:rPr>
          <w:sz w:val="22"/>
          <w:szCs w:val="22"/>
          <w:lang w:val="en-US"/>
        </w:rPr>
      </w:pPr>
      <w:r w:rsidRPr="009978E3">
        <w:rPr>
          <w:sz w:val="22"/>
          <w:szCs w:val="22"/>
          <w:lang w:val="en-US"/>
        </w:rPr>
        <w:t xml:space="preserve">Conversely, some actions to protect the area and to ensure the conservation of its biodiversity are being carried out, and two specific areas within </w:t>
      </w:r>
      <w:r w:rsidRPr="009978E3">
        <w:rPr>
          <w:sz w:val="22"/>
          <w:szCs w:val="22"/>
          <w:lang w:val="en-US" w:eastAsia="es-ES"/>
        </w:rPr>
        <w:t xml:space="preserve">the area </w:t>
      </w:r>
      <w:r>
        <w:rPr>
          <w:sz w:val="22"/>
          <w:szCs w:val="22"/>
          <w:lang w:val="en-US" w:eastAsia="es-ES"/>
        </w:rPr>
        <w:t>described</w:t>
      </w:r>
      <w:r w:rsidRPr="009978E3">
        <w:rPr>
          <w:sz w:val="22"/>
          <w:szCs w:val="22"/>
          <w:lang w:val="en-US"/>
        </w:rPr>
        <w:t xml:space="preserve"> have been protected in accordance with international and Spanish regulations and conventions:</w:t>
      </w:r>
    </w:p>
    <w:p w14:paraId="125EF1CF" w14:textId="77777777" w:rsidR="006B3F46" w:rsidRPr="009978E3" w:rsidRDefault="006B3F46" w:rsidP="00907941">
      <w:pPr>
        <w:jc w:val="both"/>
        <w:rPr>
          <w:sz w:val="22"/>
          <w:szCs w:val="22"/>
          <w:lang w:val="en-US"/>
        </w:rPr>
      </w:pPr>
    </w:p>
    <w:p w14:paraId="5F6F4586" w14:textId="77777777" w:rsidR="006B3F46" w:rsidRPr="009978E3" w:rsidRDefault="006B3F46" w:rsidP="00907941">
      <w:pPr>
        <w:pStyle w:val="NormalWeb"/>
        <w:shd w:val="clear" w:color="auto" w:fill="FFFFFF"/>
        <w:spacing w:before="0" w:beforeAutospacing="0" w:after="150" w:afterAutospacing="0"/>
        <w:jc w:val="both"/>
        <w:rPr>
          <w:sz w:val="22"/>
          <w:szCs w:val="22"/>
          <w:shd w:val="clear" w:color="auto" w:fill="FFFFFF"/>
          <w:lang w:val="en-US"/>
        </w:rPr>
      </w:pPr>
      <w:r w:rsidRPr="009978E3">
        <w:rPr>
          <w:sz w:val="22"/>
          <w:szCs w:val="22"/>
          <w:lang w:val="en-US"/>
        </w:rPr>
        <w:t xml:space="preserve">(1) </w:t>
      </w:r>
      <w:r w:rsidRPr="009978E3">
        <w:rPr>
          <w:sz w:val="22"/>
          <w:szCs w:val="22"/>
          <w:u w:val="single"/>
          <w:lang w:val="en-US"/>
        </w:rPr>
        <w:t>The El Cachucho-Le Danois Bank</w:t>
      </w:r>
      <w:r w:rsidRPr="009978E3">
        <w:rPr>
          <w:sz w:val="22"/>
          <w:szCs w:val="22"/>
          <w:lang w:val="en-US"/>
        </w:rPr>
        <w:t xml:space="preserve">: </w:t>
      </w:r>
      <w:r w:rsidRPr="009978E3">
        <w:rPr>
          <w:rFonts w:eastAsia="Malgun Gothic"/>
          <w:sz w:val="22"/>
          <w:szCs w:val="22"/>
          <w:lang w:val="en-US"/>
        </w:rPr>
        <w:t xml:space="preserve">this </w:t>
      </w:r>
      <w:r w:rsidRPr="009978E3">
        <w:rPr>
          <w:sz w:val="22"/>
          <w:szCs w:val="22"/>
          <w:lang w:val="en-US"/>
        </w:rPr>
        <w:t>off-shore</w:t>
      </w:r>
      <w:r w:rsidRPr="009978E3">
        <w:rPr>
          <w:rFonts w:eastAsia="Malgun Gothic"/>
          <w:sz w:val="22"/>
          <w:szCs w:val="22"/>
          <w:lang w:val="en-US"/>
        </w:rPr>
        <w:t xml:space="preserve"> marine protected area (MPA) covers an extensive offshore bank and seamount with surrounding slopes and a complex system of channels and canyons that covers 234 000 ha. Depths within the area vary from 500 </w:t>
      </w:r>
      <w:r>
        <w:rPr>
          <w:rFonts w:eastAsia="Malgun Gothic"/>
          <w:sz w:val="22"/>
          <w:szCs w:val="22"/>
          <w:lang w:val="en-US"/>
        </w:rPr>
        <w:t>to</w:t>
      </w:r>
      <w:r w:rsidRPr="009978E3">
        <w:rPr>
          <w:rFonts w:eastAsia="Malgun Gothic"/>
          <w:sz w:val="22"/>
          <w:szCs w:val="22"/>
          <w:lang w:val="en-US"/>
        </w:rPr>
        <w:t xml:space="preserve"> 4000 m</w:t>
      </w:r>
      <w:r>
        <w:rPr>
          <w:rFonts w:eastAsia="Malgun Gothic"/>
          <w:sz w:val="22"/>
          <w:szCs w:val="22"/>
          <w:lang w:val="en-US"/>
        </w:rPr>
        <w:t>, which makes for</w:t>
      </w:r>
      <w:r w:rsidRPr="009978E3">
        <w:rPr>
          <w:rFonts w:eastAsia="Malgun Gothic"/>
          <w:sz w:val="22"/>
          <w:szCs w:val="22"/>
          <w:lang w:val="en-US"/>
        </w:rPr>
        <w:t xml:space="preserve"> an amazing</w:t>
      </w:r>
      <w:r>
        <w:rPr>
          <w:rFonts w:eastAsia="Malgun Gothic"/>
          <w:sz w:val="22"/>
          <w:szCs w:val="22"/>
          <w:lang w:val="en-US"/>
        </w:rPr>
        <w:t>ly</w:t>
      </w:r>
      <w:r w:rsidRPr="009978E3">
        <w:rPr>
          <w:rFonts w:eastAsia="Malgun Gothic"/>
          <w:sz w:val="22"/>
          <w:szCs w:val="22"/>
          <w:lang w:val="en-US"/>
        </w:rPr>
        <w:t xml:space="preserve"> diverse biological hotspot.</w:t>
      </w:r>
      <w:r w:rsidRPr="009978E3">
        <w:rPr>
          <w:sz w:val="22"/>
          <w:szCs w:val="22"/>
          <w:lang w:val="en-US"/>
        </w:rPr>
        <w:t xml:space="preserve"> The high biodiversity found in the area </w:t>
      </w:r>
      <w:r w:rsidRPr="009978E3">
        <w:rPr>
          <w:sz w:val="22"/>
          <w:szCs w:val="22"/>
          <w:shd w:val="clear" w:color="auto" w:fill="FFFFFF"/>
          <w:lang w:val="en-US"/>
        </w:rPr>
        <w:t>(</w:t>
      </w:r>
      <w:r w:rsidRPr="009978E3">
        <w:rPr>
          <w:rStyle w:val="frontelement"/>
          <w:szCs w:val="22"/>
          <w:shd w:val="clear" w:color="auto" w:fill="FFFFFF"/>
          <w:lang w:val="en-US"/>
        </w:rPr>
        <w:t xml:space="preserve">Sánchez </w:t>
      </w:r>
      <w:r w:rsidRPr="0006066A">
        <w:rPr>
          <w:rStyle w:val="frontelement"/>
          <w:i/>
          <w:szCs w:val="22"/>
          <w:shd w:val="clear" w:color="auto" w:fill="FFFFFF"/>
          <w:lang w:val="en-US"/>
        </w:rPr>
        <w:t>et al</w:t>
      </w:r>
      <w:r w:rsidRPr="009978E3">
        <w:rPr>
          <w:rStyle w:val="frontelement"/>
          <w:szCs w:val="22"/>
          <w:shd w:val="clear" w:color="auto" w:fill="FFFFFF"/>
          <w:lang w:val="en-US"/>
        </w:rPr>
        <w:t xml:space="preserve">., 2008; Cristobo </w:t>
      </w:r>
      <w:r w:rsidRPr="0006066A">
        <w:rPr>
          <w:rStyle w:val="frontelement"/>
          <w:i/>
          <w:szCs w:val="22"/>
          <w:shd w:val="clear" w:color="auto" w:fill="FFFFFF"/>
          <w:lang w:val="en-US"/>
        </w:rPr>
        <w:t>et al</w:t>
      </w:r>
      <w:r w:rsidRPr="009978E3">
        <w:rPr>
          <w:rStyle w:val="frontelement"/>
          <w:szCs w:val="22"/>
          <w:shd w:val="clear" w:color="auto" w:fill="FFFFFF"/>
          <w:lang w:val="en-US"/>
        </w:rPr>
        <w:t>., 2009; Altuna, 2013</w:t>
      </w:r>
      <w:r w:rsidRPr="009978E3">
        <w:rPr>
          <w:sz w:val="22"/>
          <w:szCs w:val="22"/>
          <w:shd w:val="clear" w:color="auto" w:fill="FFFFFF"/>
          <w:lang w:val="en-US"/>
        </w:rPr>
        <w:t xml:space="preserve">), but moreover, the presence in the area of “1170 Reef” habitats that are included in Annex I of the Habitats Directive of the European Union (Council Directive 92/43/EEC), were the main reason for the declaration of the area as a MPA and inclusion in the </w:t>
      </w:r>
      <w:r w:rsidRPr="005F56EA">
        <w:rPr>
          <w:sz w:val="22"/>
          <w:szCs w:val="22"/>
          <w:shd w:val="clear" w:color="auto" w:fill="FFFFFF"/>
          <w:lang w:val="en-US"/>
        </w:rPr>
        <w:t xml:space="preserve">OSPAR Network of Marine Protected Areas </w:t>
      </w:r>
      <w:r w:rsidRPr="009978E3">
        <w:rPr>
          <w:sz w:val="22"/>
          <w:szCs w:val="22"/>
          <w:shd w:val="clear" w:color="auto" w:fill="FFFFFF"/>
          <w:lang w:val="en-US"/>
        </w:rPr>
        <w:t xml:space="preserve">(Sánchez </w:t>
      </w:r>
      <w:r w:rsidRPr="0006066A">
        <w:rPr>
          <w:i/>
          <w:sz w:val="22"/>
          <w:szCs w:val="22"/>
          <w:shd w:val="clear" w:color="auto" w:fill="FFFFFF"/>
          <w:lang w:val="en-US"/>
        </w:rPr>
        <w:t>et al</w:t>
      </w:r>
      <w:r w:rsidRPr="009978E3">
        <w:rPr>
          <w:sz w:val="22"/>
          <w:szCs w:val="22"/>
          <w:shd w:val="clear" w:color="auto" w:fill="FFFFFF"/>
          <w:lang w:val="en-US"/>
        </w:rPr>
        <w:t xml:space="preserve">., 2017; Rodríguez-Basalo </w:t>
      </w:r>
      <w:r w:rsidRPr="0006066A">
        <w:rPr>
          <w:i/>
          <w:sz w:val="22"/>
          <w:szCs w:val="22"/>
          <w:shd w:val="clear" w:color="auto" w:fill="FFFFFF"/>
          <w:lang w:val="en-US"/>
        </w:rPr>
        <w:t>et al</w:t>
      </w:r>
      <w:r w:rsidRPr="009978E3">
        <w:rPr>
          <w:sz w:val="22"/>
          <w:szCs w:val="22"/>
          <w:shd w:val="clear" w:color="auto" w:fill="FFFFFF"/>
          <w:lang w:val="en-US"/>
        </w:rPr>
        <w:t>., 2019)</w:t>
      </w:r>
      <w:r>
        <w:rPr>
          <w:sz w:val="22"/>
          <w:szCs w:val="22"/>
          <w:shd w:val="clear" w:color="auto" w:fill="FFFFFF"/>
          <w:lang w:val="en-US"/>
        </w:rPr>
        <w:t>.</w:t>
      </w:r>
      <w:r w:rsidRPr="009978E3">
        <w:rPr>
          <w:sz w:val="22"/>
          <w:szCs w:val="22"/>
          <w:shd w:val="clear" w:color="auto" w:fill="FFFFFF"/>
          <w:lang w:val="en-US"/>
        </w:rPr>
        <w:t xml:space="preserve"> </w:t>
      </w:r>
    </w:p>
    <w:p w14:paraId="4ACB0FC7" w14:textId="77777777" w:rsidR="006B3F46" w:rsidRPr="009978E3" w:rsidRDefault="006B3F46" w:rsidP="00907941">
      <w:pPr>
        <w:pStyle w:val="NormalWeb"/>
        <w:shd w:val="clear" w:color="auto" w:fill="FFFFFF"/>
        <w:spacing w:before="0" w:beforeAutospacing="0" w:after="150" w:afterAutospacing="0"/>
        <w:jc w:val="both"/>
        <w:rPr>
          <w:sz w:val="22"/>
          <w:szCs w:val="22"/>
          <w:lang w:val="en-US"/>
        </w:rPr>
      </w:pPr>
      <w:r w:rsidRPr="009978E3">
        <w:rPr>
          <w:sz w:val="22"/>
          <w:szCs w:val="22"/>
          <w:lang w:val="en-US"/>
        </w:rPr>
        <w:t xml:space="preserve">El Cachucho MPA has been the subject of numerous studies and surveys in recent years to evaluate the condition of the habitats (García-Alegre </w:t>
      </w:r>
      <w:r w:rsidRPr="0006066A">
        <w:rPr>
          <w:i/>
          <w:sz w:val="22"/>
          <w:szCs w:val="22"/>
          <w:lang w:val="en-US"/>
        </w:rPr>
        <w:t>et al</w:t>
      </w:r>
      <w:r w:rsidRPr="009978E3">
        <w:rPr>
          <w:sz w:val="22"/>
          <w:szCs w:val="22"/>
          <w:lang w:val="en-US"/>
        </w:rPr>
        <w:t xml:space="preserve">., 2014; Sánchez </w:t>
      </w:r>
      <w:r w:rsidRPr="0006066A">
        <w:rPr>
          <w:i/>
          <w:sz w:val="22"/>
          <w:szCs w:val="22"/>
          <w:lang w:val="en-US"/>
        </w:rPr>
        <w:t>et al</w:t>
      </w:r>
      <w:r w:rsidRPr="009978E3">
        <w:rPr>
          <w:sz w:val="22"/>
          <w:szCs w:val="22"/>
          <w:lang w:val="en-US"/>
        </w:rPr>
        <w:t xml:space="preserve">., 2017). </w:t>
      </w:r>
      <w:r w:rsidRPr="009978E3">
        <w:rPr>
          <w:rFonts w:eastAsia="Malgun Gothic"/>
          <w:sz w:val="22"/>
          <w:szCs w:val="22"/>
          <w:lang w:val="en-US"/>
        </w:rPr>
        <w:t xml:space="preserve"> </w:t>
      </w:r>
      <w:r>
        <w:rPr>
          <w:rFonts w:eastAsia="Malgun Gothic"/>
          <w:sz w:val="22"/>
          <w:szCs w:val="22"/>
          <w:lang w:val="en-US"/>
        </w:rPr>
        <w:t>Many</w:t>
      </w:r>
      <w:r w:rsidRPr="009978E3">
        <w:rPr>
          <w:sz w:val="22"/>
          <w:szCs w:val="22"/>
          <w:shd w:val="clear" w:color="auto" w:fill="FFFFFF"/>
          <w:lang w:val="en-US"/>
        </w:rPr>
        <w:t xml:space="preserve"> species ha</w:t>
      </w:r>
      <w:r>
        <w:rPr>
          <w:sz w:val="22"/>
          <w:szCs w:val="22"/>
          <w:shd w:val="clear" w:color="auto" w:fill="FFFFFF"/>
          <w:lang w:val="en-US"/>
        </w:rPr>
        <w:t>ve</w:t>
      </w:r>
      <w:r w:rsidRPr="009978E3">
        <w:rPr>
          <w:sz w:val="22"/>
          <w:szCs w:val="22"/>
          <w:shd w:val="clear" w:color="auto" w:fill="FFFFFF"/>
          <w:lang w:val="en-US"/>
        </w:rPr>
        <w:t xml:space="preserve"> been recently discovered there to be new to science, and more are being described (</w:t>
      </w:r>
      <w:r w:rsidRPr="009978E3">
        <w:rPr>
          <w:rStyle w:val="frontelement"/>
          <w:szCs w:val="22"/>
          <w:shd w:val="clear" w:color="auto" w:fill="FFFFFF"/>
          <w:lang w:val="en-US"/>
        </w:rPr>
        <w:t xml:space="preserve">Guerra-García </w:t>
      </w:r>
      <w:r w:rsidRPr="0006066A">
        <w:rPr>
          <w:rStyle w:val="frontelement"/>
          <w:i/>
          <w:szCs w:val="22"/>
          <w:shd w:val="clear" w:color="auto" w:fill="FFFFFF"/>
          <w:lang w:val="en-US"/>
        </w:rPr>
        <w:t>et al</w:t>
      </w:r>
      <w:r w:rsidRPr="009978E3">
        <w:rPr>
          <w:rStyle w:val="frontelement"/>
          <w:szCs w:val="22"/>
          <w:shd w:val="clear" w:color="auto" w:fill="FFFFFF"/>
          <w:lang w:val="en-US"/>
        </w:rPr>
        <w:t xml:space="preserve">., 2008; Frutos and Sorbe, 2010; Frutos </w:t>
      </w:r>
      <w:r w:rsidRPr="0006066A">
        <w:rPr>
          <w:rStyle w:val="frontelement"/>
          <w:i/>
          <w:szCs w:val="22"/>
          <w:shd w:val="clear" w:color="auto" w:fill="FFFFFF"/>
          <w:lang w:val="en-US"/>
        </w:rPr>
        <w:t>et al</w:t>
      </w:r>
      <w:r w:rsidRPr="009978E3">
        <w:rPr>
          <w:rStyle w:val="frontelement"/>
          <w:szCs w:val="22"/>
          <w:shd w:val="clear" w:color="auto" w:fill="FFFFFF"/>
          <w:lang w:val="en-US"/>
        </w:rPr>
        <w:t>., 2011</w:t>
      </w:r>
      <w:r w:rsidRPr="009978E3">
        <w:rPr>
          <w:sz w:val="22"/>
          <w:szCs w:val="22"/>
          <w:shd w:val="clear" w:color="auto" w:fill="FFFFFF"/>
          <w:lang w:val="en-US"/>
        </w:rPr>
        <w:t>).</w:t>
      </w:r>
    </w:p>
    <w:p w14:paraId="6B2926EC" w14:textId="77777777" w:rsidR="006B3F46" w:rsidRPr="009978E3" w:rsidRDefault="006B3F46" w:rsidP="00907941">
      <w:pPr>
        <w:pStyle w:val="NormalWeb"/>
        <w:shd w:val="clear" w:color="auto" w:fill="FFFFFF"/>
        <w:spacing w:before="0" w:beforeAutospacing="0" w:after="150" w:afterAutospacing="0"/>
        <w:jc w:val="both"/>
        <w:rPr>
          <w:rFonts w:eastAsia="Malgun Gothic"/>
          <w:sz w:val="22"/>
          <w:szCs w:val="22"/>
          <w:lang w:val="en-US"/>
        </w:rPr>
      </w:pPr>
      <w:r w:rsidRPr="009978E3">
        <w:rPr>
          <w:rFonts w:eastAsia="Malgun Gothic"/>
          <w:sz w:val="22"/>
          <w:szCs w:val="22"/>
          <w:lang w:val="en-US"/>
        </w:rPr>
        <w:t>Bottom trawling and fishing with static gear, including bottom set gillnets and bottom set longlines, are prohibited.</w:t>
      </w:r>
    </w:p>
    <w:p w14:paraId="24C71F93" w14:textId="77777777" w:rsidR="006B3F46" w:rsidRPr="009978E3" w:rsidRDefault="006B3F46" w:rsidP="002E4B39">
      <w:pPr>
        <w:pStyle w:val="NormalWeb"/>
        <w:shd w:val="clear" w:color="auto" w:fill="FFFFFF"/>
        <w:spacing w:before="0" w:beforeAutospacing="0" w:after="150" w:afterAutospacing="0"/>
        <w:jc w:val="both"/>
        <w:rPr>
          <w:sz w:val="22"/>
          <w:szCs w:val="22"/>
          <w:lang w:val="en-US"/>
        </w:rPr>
      </w:pPr>
      <w:r w:rsidRPr="009978E3">
        <w:rPr>
          <w:sz w:val="22"/>
          <w:szCs w:val="22"/>
          <w:lang w:val="en-US"/>
        </w:rPr>
        <w:t xml:space="preserve">(2) </w:t>
      </w:r>
      <w:r w:rsidRPr="009978E3">
        <w:rPr>
          <w:sz w:val="22"/>
          <w:szCs w:val="22"/>
          <w:u w:val="single"/>
          <w:lang w:val="en-US"/>
        </w:rPr>
        <w:t>The Avilés submarine system of canyons</w:t>
      </w:r>
      <w:r w:rsidRPr="009978E3">
        <w:rPr>
          <w:sz w:val="22"/>
          <w:szCs w:val="22"/>
          <w:lang w:val="en-US"/>
        </w:rPr>
        <w:t>: this Site of Community Importance (Natura 2000 network) comprises three great submarine canyons (Avilés, El Corbiro and La Gaviera), a marginal platform (Canto Nuevo) and a tall</w:t>
      </w:r>
      <w:r>
        <w:rPr>
          <w:sz w:val="22"/>
          <w:szCs w:val="22"/>
          <w:lang w:val="en-US"/>
        </w:rPr>
        <w:t>,</w:t>
      </w:r>
      <w:r w:rsidRPr="009978E3">
        <w:rPr>
          <w:sz w:val="22"/>
          <w:szCs w:val="22"/>
          <w:lang w:val="en-US"/>
        </w:rPr>
        <w:t xml:space="preserve"> structural</w:t>
      </w:r>
      <w:r>
        <w:rPr>
          <w:sz w:val="22"/>
          <w:szCs w:val="22"/>
          <w:lang w:val="en-US"/>
        </w:rPr>
        <w:t>,</w:t>
      </w:r>
      <w:r w:rsidRPr="009978E3">
        <w:rPr>
          <w:sz w:val="22"/>
          <w:szCs w:val="22"/>
          <w:lang w:val="en-US"/>
        </w:rPr>
        <w:t xml:space="preserve"> rocky mass (Agudo de Fuera). The Avilés Canyon begins at a depth of 128 m and is approximately 75 km in length, with a V-</w:t>
      </w:r>
      <w:r w:rsidRPr="009978E3">
        <w:rPr>
          <w:sz w:val="22"/>
          <w:szCs w:val="22"/>
          <w:lang w:val="en-US" w:eastAsia="es-ES"/>
        </w:rPr>
        <w:t>shaped</w:t>
      </w:r>
      <w:r w:rsidRPr="009978E3">
        <w:rPr>
          <w:sz w:val="22"/>
          <w:szCs w:val="22"/>
          <w:lang w:val="en-US"/>
        </w:rPr>
        <w:t xml:space="preserve"> profile and a primarily sedimentary bottom. The Corbiro Canyon is 23 km in length and also has a V-shaped profile and a sedimentary bottom, while the La Gaviera Canyon has </w:t>
      </w:r>
      <w:r w:rsidRPr="009978E3">
        <w:rPr>
          <w:sz w:val="22"/>
          <w:szCs w:val="22"/>
          <w:lang w:val="en-US" w:eastAsia="es-ES"/>
        </w:rPr>
        <w:t>U</w:t>
      </w:r>
      <w:r w:rsidRPr="009978E3">
        <w:rPr>
          <w:sz w:val="22"/>
          <w:szCs w:val="22"/>
          <w:lang w:val="en-US"/>
        </w:rPr>
        <w:t>-shaped profile with one sedimentary and one rocky flank, with features of a hanging canyon. Along its axis there are several rocky escarpments (Gomez-</w:t>
      </w:r>
      <w:r w:rsidRPr="002E4B39">
        <w:rPr>
          <w:rFonts w:eastAsia="Malgun Gothic"/>
          <w:sz w:val="22"/>
          <w:szCs w:val="22"/>
          <w:lang w:val="en-US"/>
        </w:rPr>
        <w:t>Ballesteros</w:t>
      </w:r>
      <w:r w:rsidRPr="009978E3">
        <w:rPr>
          <w:sz w:val="22"/>
          <w:szCs w:val="22"/>
          <w:lang w:val="en-US"/>
        </w:rPr>
        <w:t xml:space="preserve"> </w:t>
      </w:r>
      <w:r w:rsidRPr="0006066A">
        <w:rPr>
          <w:i/>
          <w:sz w:val="22"/>
          <w:szCs w:val="22"/>
          <w:lang w:val="en-US"/>
        </w:rPr>
        <w:t>et al</w:t>
      </w:r>
      <w:r w:rsidRPr="009978E3">
        <w:rPr>
          <w:sz w:val="22"/>
          <w:szCs w:val="22"/>
          <w:lang w:val="en-US"/>
        </w:rPr>
        <w:t xml:space="preserve">., 2014). </w:t>
      </w:r>
    </w:p>
    <w:p w14:paraId="2659BC18" w14:textId="77777777" w:rsidR="006B3F46" w:rsidRPr="009978E3" w:rsidRDefault="006B3F46" w:rsidP="002E4B39">
      <w:pPr>
        <w:pStyle w:val="NormalWeb"/>
        <w:shd w:val="clear" w:color="auto" w:fill="FFFFFF"/>
        <w:spacing w:before="0" w:beforeAutospacing="0" w:after="150" w:afterAutospacing="0"/>
        <w:jc w:val="both"/>
        <w:rPr>
          <w:sz w:val="22"/>
          <w:szCs w:val="22"/>
          <w:lang w:val="en-US"/>
        </w:rPr>
      </w:pPr>
      <w:r w:rsidRPr="009978E3">
        <w:rPr>
          <w:sz w:val="22"/>
          <w:szCs w:val="22"/>
          <w:lang w:val="en-US"/>
        </w:rPr>
        <w:t xml:space="preserve">The </w:t>
      </w:r>
      <w:r w:rsidRPr="002E4B39">
        <w:rPr>
          <w:rFonts w:eastAsia="Malgun Gothic"/>
          <w:sz w:val="22"/>
          <w:szCs w:val="22"/>
          <w:lang w:val="en-US"/>
        </w:rPr>
        <w:t>submarine</w:t>
      </w:r>
      <w:r w:rsidRPr="009978E3">
        <w:rPr>
          <w:sz w:val="22"/>
          <w:szCs w:val="22"/>
          <w:lang w:val="en-US"/>
        </w:rPr>
        <w:t xml:space="preserve"> canyons of the Avilés system act as a collector of terrigenous material deposited by the rivers and play an important role as a transport mechanism for the sediment and organic matter from the continental shelf to the deep areas of the Bay of Biscay abyssal basin. Therefore, this area is considered a highly productive biological system. Biodiversity in the area is very high, and more than 1300 species have been catalogued to date on the seabed (excluding the pelagic organisms that occupy the water column). Some of these species, such as corals, sponges and sharks, are particularly vulnerable and are included in various protection regulations. The management plan of the area is being develop</w:t>
      </w:r>
      <w:r>
        <w:rPr>
          <w:sz w:val="22"/>
          <w:szCs w:val="22"/>
          <w:lang w:val="en-US"/>
        </w:rPr>
        <w:t>ed</w:t>
      </w:r>
      <w:r w:rsidRPr="009978E3">
        <w:rPr>
          <w:sz w:val="22"/>
          <w:szCs w:val="22"/>
          <w:lang w:val="en-US"/>
        </w:rPr>
        <w:t xml:space="preserve"> in the framework of the INTEMARES project.</w:t>
      </w:r>
    </w:p>
    <w:p w14:paraId="008A8E29" w14:textId="77777777" w:rsidR="006B3F46" w:rsidRPr="009978E3" w:rsidRDefault="006B3F46" w:rsidP="002E4B39">
      <w:pPr>
        <w:pStyle w:val="NormalWeb"/>
        <w:shd w:val="clear" w:color="auto" w:fill="FFFFFF"/>
        <w:spacing w:before="0" w:beforeAutospacing="0" w:after="150" w:afterAutospacing="0"/>
        <w:jc w:val="both"/>
        <w:rPr>
          <w:sz w:val="22"/>
          <w:szCs w:val="22"/>
          <w:lang w:val="en-US"/>
        </w:rPr>
      </w:pPr>
      <w:r w:rsidRPr="009978E3">
        <w:rPr>
          <w:sz w:val="22"/>
          <w:szCs w:val="22"/>
          <w:lang w:val="en-US"/>
        </w:rPr>
        <w:t xml:space="preserve">A third </w:t>
      </w:r>
      <w:r w:rsidRPr="002E4B39">
        <w:rPr>
          <w:rFonts w:eastAsia="Malgun Gothic"/>
          <w:sz w:val="22"/>
          <w:szCs w:val="22"/>
          <w:lang w:val="en-US"/>
        </w:rPr>
        <w:t>area</w:t>
      </w:r>
      <w:r w:rsidRPr="009978E3">
        <w:rPr>
          <w:sz w:val="22"/>
          <w:szCs w:val="22"/>
          <w:lang w:val="en-US"/>
        </w:rPr>
        <w:t xml:space="preserve"> currently under consideration under the coverage of the INTEMARES project </w:t>
      </w:r>
      <w:r w:rsidRPr="009978E3">
        <w:rPr>
          <w:sz w:val="22"/>
          <w:szCs w:val="22"/>
          <w:lang w:val="en-US" w:eastAsia="es-ES"/>
        </w:rPr>
        <w:t>is</w:t>
      </w:r>
      <w:r w:rsidRPr="009978E3">
        <w:rPr>
          <w:sz w:val="22"/>
          <w:szCs w:val="22"/>
          <w:lang w:val="en-US"/>
        </w:rPr>
        <w:t xml:space="preserve"> the Capbretón Canyon. This submarine valley located on the continental shelf and slope of the Bay of Biscay is divided in two zones: the northern Aquitanian continental shelf and the southern Cantabrian shelf.  A proposal for protection will be developed.</w:t>
      </w:r>
    </w:p>
    <w:p w14:paraId="6715FF02" w14:textId="77777777" w:rsidR="006B3F46" w:rsidRPr="009978E3" w:rsidRDefault="006B3F46" w:rsidP="00907941">
      <w:pPr>
        <w:autoSpaceDE w:val="0"/>
        <w:autoSpaceDN w:val="0"/>
        <w:adjustRightInd w:val="0"/>
        <w:jc w:val="both"/>
        <w:rPr>
          <w:sz w:val="22"/>
          <w:szCs w:val="22"/>
          <w:lang w:val="en-US"/>
        </w:rPr>
      </w:pPr>
      <w:r w:rsidRPr="009978E3">
        <w:rPr>
          <w:sz w:val="22"/>
          <w:szCs w:val="22"/>
          <w:lang w:val="en-US"/>
        </w:rPr>
        <w:t>Apart from conservation projects, every autumn the Instituto Español de Oceanografía (IEO) carries out a bottom</w:t>
      </w:r>
      <w:r w:rsidRPr="009978E3">
        <w:rPr>
          <w:sz w:val="22"/>
          <w:szCs w:val="22"/>
          <w:lang w:val="en-US" w:eastAsia="es-ES"/>
        </w:rPr>
        <w:t>-</w:t>
      </w:r>
      <w:r w:rsidRPr="009978E3">
        <w:rPr>
          <w:sz w:val="22"/>
          <w:szCs w:val="22"/>
          <w:lang w:val="en-US"/>
        </w:rPr>
        <w:t>trawling survey named DEMERSALES. This survey aims to provide data for the assessment of commercial fish species and benthic ecosystems on the Galician and Cantabrian shelf (ICES, 2010). This survey is part of an international effort to monitor marine ecosystems and is coordinated by the International Bottom Trawling Surveys (IBTS) working group of the International Council for the Exploration of the Sea (ICES).</w:t>
      </w:r>
    </w:p>
    <w:p w14:paraId="51E4EF8E" w14:textId="77777777" w:rsidR="006B3F46" w:rsidRPr="0021277B" w:rsidRDefault="006B3F46" w:rsidP="00907941">
      <w:pPr>
        <w:autoSpaceDE w:val="0"/>
        <w:autoSpaceDN w:val="0"/>
        <w:adjustRightInd w:val="0"/>
        <w:jc w:val="both"/>
        <w:rPr>
          <w:sz w:val="22"/>
          <w:szCs w:val="22"/>
          <w:lang w:val="en-US"/>
        </w:rPr>
      </w:pPr>
    </w:p>
    <w:p w14:paraId="56C6EFC7" w14:textId="6EC65EBF" w:rsidR="006B3F46" w:rsidRPr="009978E3" w:rsidRDefault="006B3F46" w:rsidP="00907941">
      <w:pPr>
        <w:autoSpaceDE w:val="0"/>
        <w:autoSpaceDN w:val="0"/>
        <w:adjustRightInd w:val="0"/>
        <w:jc w:val="both"/>
        <w:rPr>
          <w:rFonts w:eastAsia="MS Mincho"/>
          <w:b/>
          <w:sz w:val="22"/>
          <w:szCs w:val="22"/>
          <w:lang w:val="en-US"/>
        </w:rPr>
      </w:pPr>
      <w:r w:rsidRPr="00F66EF7">
        <w:rPr>
          <w:rFonts w:eastAsia="MS Mincho"/>
          <w:b/>
          <w:sz w:val="22"/>
          <w:szCs w:val="22"/>
          <w:lang w:val="en-US"/>
        </w:rPr>
        <w:t xml:space="preserve">Assessment of </w:t>
      </w:r>
      <w:r>
        <w:rPr>
          <w:rFonts w:eastAsia="MS Mincho"/>
          <w:b/>
          <w:sz w:val="22"/>
          <w:szCs w:val="22"/>
          <w:lang w:val="en-US"/>
        </w:rPr>
        <w:t>a</w:t>
      </w:r>
      <w:r w:rsidRPr="009978E3">
        <w:rPr>
          <w:rFonts w:eastAsia="MS Mincho"/>
          <w:b/>
          <w:sz w:val="22"/>
          <w:szCs w:val="22"/>
          <w:lang w:val="en-US"/>
        </w:rPr>
        <w:t>rea no. 3</w:t>
      </w:r>
      <w:r>
        <w:rPr>
          <w:rFonts w:eastAsia="MS Mincho"/>
          <w:b/>
          <w:sz w:val="22"/>
          <w:szCs w:val="22"/>
          <w:lang w:val="en-US"/>
        </w:rPr>
        <w:t>,</w:t>
      </w:r>
      <w:r w:rsidRPr="009978E3">
        <w:rPr>
          <w:rFonts w:eastAsia="MS Mincho"/>
          <w:b/>
          <w:sz w:val="22"/>
          <w:szCs w:val="22"/>
          <w:lang w:val="en-US"/>
        </w:rPr>
        <w:t xml:space="preserve"> Cantabrian Sea (Southern Bay of Biscay)</w:t>
      </w:r>
      <w:r>
        <w:rPr>
          <w:rFonts w:eastAsia="MS Mincho"/>
          <w:b/>
          <w:sz w:val="22"/>
          <w:szCs w:val="22"/>
          <w:lang w:val="en-US"/>
        </w:rPr>
        <w:t xml:space="preserve">, </w:t>
      </w:r>
      <w:r w:rsidRPr="00F66EF7">
        <w:rPr>
          <w:rFonts w:eastAsia="MS Mincho"/>
          <w:b/>
          <w:sz w:val="22"/>
          <w:szCs w:val="22"/>
          <w:lang w:val="en-US"/>
        </w:rPr>
        <w:t>against CBD EBSA Cr</w:t>
      </w:r>
      <w:r w:rsidRPr="009978E3">
        <w:rPr>
          <w:rFonts w:eastAsia="MS Mincho"/>
          <w:b/>
          <w:sz w:val="22"/>
          <w:szCs w:val="22"/>
          <w:lang w:val="en-US"/>
        </w:rPr>
        <w:t xml:space="preserve">iteria </w:t>
      </w:r>
    </w:p>
    <w:p w14:paraId="28E9934A"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2"/>
        <w:gridCol w:w="4286"/>
        <w:gridCol w:w="28"/>
        <w:gridCol w:w="1000"/>
        <w:gridCol w:w="257"/>
        <w:gridCol w:w="28"/>
        <w:gridCol w:w="742"/>
        <w:gridCol w:w="109"/>
        <w:gridCol w:w="663"/>
        <w:gridCol w:w="88"/>
        <w:gridCol w:w="723"/>
      </w:tblGrid>
      <w:tr w:rsidR="006B3F46" w:rsidRPr="0021277B" w14:paraId="25CBCD83" w14:textId="77777777" w:rsidTr="00907941">
        <w:tc>
          <w:tcPr>
            <w:tcW w:w="783" w:type="pct"/>
            <w:vMerge w:val="restart"/>
            <w:shd w:val="clear" w:color="auto" w:fill="auto"/>
          </w:tcPr>
          <w:p w14:paraId="23C44A3D" w14:textId="77777777" w:rsidR="006B3F46" w:rsidRPr="0021277B" w:rsidRDefault="006B3F46" w:rsidP="00907941">
            <w:pPr>
              <w:widowControl w:val="0"/>
              <w:autoSpaceDE w:val="0"/>
              <w:autoSpaceDN w:val="0"/>
              <w:adjustRightInd w:val="0"/>
              <w:jc w:val="both"/>
              <w:rPr>
                <w:rFonts w:eastAsia="MS Mincho"/>
                <w:b/>
                <w:bCs/>
                <w:color w:val="000000"/>
                <w:sz w:val="22"/>
                <w:szCs w:val="22"/>
                <w:lang w:val="it-IT"/>
              </w:rPr>
            </w:pPr>
            <w:r w:rsidRPr="0021277B">
              <w:rPr>
                <w:rFonts w:eastAsia="MS Mincho"/>
                <w:b/>
                <w:bCs/>
                <w:color w:val="000000"/>
                <w:sz w:val="22"/>
                <w:szCs w:val="22"/>
                <w:lang w:val="it-IT"/>
              </w:rPr>
              <w:t>CBD EBSA Criteria</w:t>
            </w:r>
          </w:p>
          <w:p w14:paraId="3C60BD28" w14:textId="77777777" w:rsidR="006B3F46" w:rsidRPr="0021277B" w:rsidRDefault="006B3F46" w:rsidP="00907941">
            <w:pPr>
              <w:widowControl w:val="0"/>
              <w:autoSpaceDE w:val="0"/>
              <w:autoSpaceDN w:val="0"/>
              <w:adjustRightInd w:val="0"/>
              <w:jc w:val="both"/>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80" w:type="pct"/>
            <w:vMerge w:val="restart"/>
            <w:shd w:val="clear" w:color="auto" w:fill="auto"/>
          </w:tcPr>
          <w:p w14:paraId="66458DCE" w14:textId="77777777" w:rsidR="006B3F46" w:rsidRPr="0021277B" w:rsidRDefault="006B3F46" w:rsidP="00907941">
            <w:pPr>
              <w:widowControl w:val="0"/>
              <w:autoSpaceDE w:val="0"/>
              <w:autoSpaceDN w:val="0"/>
              <w:adjustRightInd w:val="0"/>
              <w:jc w:val="both"/>
              <w:rPr>
                <w:rFonts w:eastAsia="MS Mincho"/>
                <w:b/>
                <w:bCs/>
                <w:sz w:val="22"/>
                <w:szCs w:val="22"/>
                <w:lang w:val="en-US"/>
              </w:rPr>
            </w:pPr>
            <w:r w:rsidRPr="0021277B">
              <w:rPr>
                <w:rFonts w:eastAsia="MS Mincho"/>
                <w:b/>
                <w:bCs/>
                <w:sz w:val="22"/>
                <w:szCs w:val="22"/>
                <w:lang w:val="en-US"/>
              </w:rPr>
              <w:t>Description</w:t>
            </w:r>
          </w:p>
          <w:p w14:paraId="155E15B8" w14:textId="77777777" w:rsidR="006B3F46" w:rsidRPr="0021277B" w:rsidRDefault="006B3F46" w:rsidP="00907941">
            <w:pPr>
              <w:widowControl w:val="0"/>
              <w:autoSpaceDE w:val="0"/>
              <w:autoSpaceDN w:val="0"/>
              <w:adjustRightInd w:val="0"/>
              <w:jc w:val="both"/>
              <w:rPr>
                <w:rFonts w:eastAsia="MS Mincho"/>
                <w:bCs/>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5573ED50"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5B63FC1D"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1DC4DDC0" w14:textId="77777777" w:rsidTr="00907941">
        <w:tc>
          <w:tcPr>
            <w:tcW w:w="783" w:type="pct"/>
            <w:vMerge/>
            <w:shd w:val="clear" w:color="auto" w:fill="auto"/>
          </w:tcPr>
          <w:p w14:paraId="1697E06D"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c>
          <w:tcPr>
            <w:tcW w:w="2280" w:type="pct"/>
            <w:vMerge/>
            <w:shd w:val="clear" w:color="auto" w:fill="auto"/>
          </w:tcPr>
          <w:p w14:paraId="5B897429" w14:textId="77777777" w:rsidR="006B3F46" w:rsidRPr="0021277B" w:rsidRDefault="006B3F46" w:rsidP="00907941">
            <w:pPr>
              <w:widowControl w:val="0"/>
              <w:autoSpaceDE w:val="0"/>
              <w:autoSpaceDN w:val="0"/>
              <w:adjustRightInd w:val="0"/>
              <w:jc w:val="both"/>
              <w:rPr>
                <w:rFonts w:eastAsia="MS Mincho"/>
                <w:b/>
                <w:bCs/>
                <w:sz w:val="22"/>
                <w:szCs w:val="22"/>
                <w:lang w:val="en-US"/>
              </w:rPr>
            </w:pPr>
          </w:p>
        </w:tc>
        <w:tc>
          <w:tcPr>
            <w:tcW w:w="547" w:type="pct"/>
            <w:gridSpan w:val="2"/>
            <w:shd w:val="clear" w:color="auto" w:fill="auto"/>
          </w:tcPr>
          <w:p w14:paraId="433A3C6F"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2C2D4B9D"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60BA7EFB"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6DA63ED2"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1E6CBA91" w14:textId="77777777" w:rsidTr="00907941">
        <w:tc>
          <w:tcPr>
            <w:tcW w:w="783" w:type="pct"/>
            <w:shd w:val="clear" w:color="auto" w:fill="auto"/>
          </w:tcPr>
          <w:p w14:paraId="247BD21D" w14:textId="77777777" w:rsidR="006B3F46" w:rsidRPr="0021277B" w:rsidRDefault="006B3F46" w:rsidP="00907941">
            <w:pPr>
              <w:widowControl w:val="0"/>
              <w:autoSpaceDE w:val="0"/>
              <w:autoSpaceDN w:val="0"/>
              <w:adjustRightInd w:val="0"/>
              <w:jc w:val="both"/>
              <w:rPr>
                <w:rFonts w:eastAsia="MS Mincho"/>
                <w:b/>
                <w:bCs/>
                <w:sz w:val="22"/>
                <w:szCs w:val="22"/>
                <w:lang w:val="en-US"/>
              </w:rPr>
            </w:pPr>
            <w:bookmarkStart w:id="22" w:name="_Hlk22204066"/>
            <w:r w:rsidRPr="0021277B">
              <w:rPr>
                <w:rFonts w:eastAsia="MS Mincho"/>
                <w:b/>
                <w:bCs/>
                <w:sz w:val="22"/>
                <w:szCs w:val="22"/>
                <w:lang w:val="en-US"/>
              </w:rPr>
              <w:t>Uniqueness or rarity</w:t>
            </w:r>
          </w:p>
        </w:tc>
        <w:tc>
          <w:tcPr>
            <w:tcW w:w="2280" w:type="pct"/>
            <w:shd w:val="clear" w:color="auto" w:fill="auto"/>
          </w:tcPr>
          <w:p w14:paraId="3D386153" w14:textId="77777777" w:rsidR="006B3F46" w:rsidRPr="0021277B" w:rsidRDefault="006B3F46" w:rsidP="00907941">
            <w:pPr>
              <w:widowControl w:val="0"/>
              <w:autoSpaceDE w:val="0"/>
              <w:autoSpaceDN w:val="0"/>
              <w:adjustRightInd w:val="0"/>
              <w:jc w:val="both"/>
              <w:rPr>
                <w:rFonts w:eastAsia="MS Mincho"/>
                <w:bCs/>
                <w:sz w:val="22"/>
                <w:szCs w:val="22"/>
                <w:lang w:val="en-US"/>
              </w:rPr>
            </w:pPr>
            <w:r w:rsidRPr="0021277B">
              <w:rPr>
                <w:rFonts w:eastAsia="MS Mincho"/>
                <w:bCs/>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36FA8F3C" w14:textId="77777777" w:rsidR="006B3F46" w:rsidRPr="0021277B" w:rsidRDefault="006B3F46" w:rsidP="00907941">
            <w:pPr>
              <w:widowControl w:val="0"/>
              <w:autoSpaceDE w:val="0"/>
              <w:autoSpaceDN w:val="0"/>
              <w:adjustRightInd w:val="0"/>
              <w:jc w:val="both"/>
              <w:rPr>
                <w:sz w:val="22"/>
                <w:szCs w:val="22"/>
                <w:lang w:val="en-US"/>
              </w:rPr>
            </w:pPr>
          </w:p>
          <w:p w14:paraId="4555C1B8" w14:textId="77777777" w:rsidR="006B3F46" w:rsidRPr="0021277B" w:rsidRDefault="006B3F46" w:rsidP="00907941">
            <w:pPr>
              <w:widowControl w:val="0"/>
              <w:autoSpaceDE w:val="0"/>
              <w:autoSpaceDN w:val="0"/>
              <w:adjustRightInd w:val="0"/>
              <w:jc w:val="both"/>
              <w:rPr>
                <w:sz w:val="22"/>
                <w:szCs w:val="22"/>
                <w:lang w:val="en-US"/>
              </w:rPr>
            </w:pPr>
          </w:p>
          <w:p w14:paraId="05F59048" w14:textId="77777777" w:rsidR="006B3F46" w:rsidRPr="0021277B" w:rsidRDefault="006B3F46" w:rsidP="00907941">
            <w:pPr>
              <w:widowControl w:val="0"/>
              <w:autoSpaceDE w:val="0"/>
              <w:autoSpaceDN w:val="0"/>
              <w:adjustRightInd w:val="0"/>
              <w:jc w:val="both"/>
              <w:rPr>
                <w:sz w:val="22"/>
                <w:szCs w:val="22"/>
                <w:lang w:val="en-US"/>
              </w:rPr>
            </w:pPr>
            <w:r w:rsidRPr="0021277B">
              <w:rPr>
                <w:sz w:val="22"/>
                <w:szCs w:val="22"/>
                <w:lang w:val="en-US"/>
              </w:rPr>
              <w:t xml:space="preserve">     </w:t>
            </w:r>
          </w:p>
        </w:tc>
        <w:tc>
          <w:tcPr>
            <w:tcW w:w="547" w:type="pct"/>
            <w:gridSpan w:val="3"/>
            <w:shd w:val="clear" w:color="auto" w:fill="auto"/>
          </w:tcPr>
          <w:p w14:paraId="38ACC4DE"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570940A7"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190235DD"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04D9280B"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1" w:type="pct"/>
            <w:gridSpan w:val="2"/>
            <w:shd w:val="clear" w:color="auto" w:fill="auto"/>
          </w:tcPr>
          <w:p w14:paraId="19E1EFC9"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0BB8B7EE"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4874EAFF"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32" w:type="pct"/>
            <w:gridSpan w:val="2"/>
            <w:shd w:val="clear" w:color="auto" w:fill="auto"/>
          </w:tcPr>
          <w:p w14:paraId="486801B1"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5915C0F6"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32987928"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sz w:val="22"/>
                <w:szCs w:val="22"/>
                <w:lang w:val="en-US"/>
              </w:rPr>
              <w:t>X</w:t>
            </w:r>
          </w:p>
        </w:tc>
      </w:tr>
      <w:tr w:rsidR="006B3F46" w:rsidRPr="0021277B" w14:paraId="017608A5" w14:textId="77777777" w:rsidTr="00907941">
        <w:tc>
          <w:tcPr>
            <w:tcW w:w="5000" w:type="pct"/>
            <w:gridSpan w:val="11"/>
            <w:shd w:val="clear" w:color="auto" w:fill="auto"/>
          </w:tcPr>
          <w:p w14:paraId="4C3E07A5" w14:textId="77777777" w:rsidR="006B3F46" w:rsidRPr="0021277B" w:rsidRDefault="006B3F46" w:rsidP="00907941">
            <w:pPr>
              <w:widowControl w:val="0"/>
              <w:autoSpaceDE w:val="0"/>
              <w:autoSpaceDN w:val="0"/>
              <w:adjustRightInd w:val="0"/>
              <w:jc w:val="both"/>
              <w:rPr>
                <w:rFonts w:eastAsia="MS Mincho"/>
                <w:i/>
                <w:sz w:val="22"/>
                <w:szCs w:val="22"/>
                <w:lang w:val="en-US"/>
              </w:rPr>
            </w:pPr>
            <w:r w:rsidRPr="0021277B">
              <w:rPr>
                <w:rFonts w:eastAsia="MS Mincho"/>
                <w:i/>
                <w:sz w:val="22"/>
                <w:szCs w:val="22"/>
                <w:lang w:val="en-US"/>
              </w:rPr>
              <w:t>Explanation for ranking</w:t>
            </w:r>
          </w:p>
          <w:p w14:paraId="02B81CE9" w14:textId="77777777" w:rsidR="006B3F46" w:rsidRPr="005A024B" w:rsidRDefault="006B3F46" w:rsidP="00907941">
            <w:pPr>
              <w:pStyle w:val="Default"/>
              <w:tabs>
                <w:tab w:val="left" w:pos="319"/>
              </w:tabs>
              <w:jc w:val="both"/>
              <w:rPr>
                <w:color w:val="auto"/>
                <w:sz w:val="22"/>
                <w:szCs w:val="22"/>
              </w:rPr>
            </w:pPr>
            <w:r w:rsidRPr="0021277B">
              <w:rPr>
                <w:color w:val="auto"/>
                <w:sz w:val="22"/>
                <w:szCs w:val="22"/>
              </w:rPr>
              <w:t xml:space="preserve">The Bay of Biscay is a border area between different biogeographic regions, where water masses of different origin (Atlantic and Mediterranean) meet. A diversity of canyons and submarine seamounts are present along the area, making available </w:t>
            </w:r>
            <w:r>
              <w:rPr>
                <w:color w:val="auto"/>
                <w:sz w:val="22"/>
                <w:szCs w:val="22"/>
              </w:rPr>
              <w:t>many</w:t>
            </w:r>
            <w:r w:rsidRPr="0021277B">
              <w:rPr>
                <w:color w:val="auto"/>
                <w:sz w:val="22"/>
                <w:szCs w:val="22"/>
              </w:rPr>
              <w:t xml:space="preserve"> different ecological niches (</w:t>
            </w:r>
            <w:r w:rsidRPr="0021277B">
              <w:rPr>
                <w:sz w:val="22"/>
                <w:szCs w:val="22"/>
              </w:rPr>
              <w:t xml:space="preserve">Sánchez </w:t>
            </w:r>
            <w:r w:rsidRPr="0006066A">
              <w:rPr>
                <w:i/>
                <w:sz w:val="22"/>
                <w:szCs w:val="22"/>
              </w:rPr>
              <w:t>et al</w:t>
            </w:r>
            <w:r w:rsidRPr="0021277B">
              <w:rPr>
                <w:sz w:val="22"/>
                <w:szCs w:val="22"/>
              </w:rPr>
              <w:t xml:space="preserve">., 2007, 2008, 2014; Aguilar </w:t>
            </w:r>
            <w:r w:rsidRPr="0006066A">
              <w:rPr>
                <w:i/>
                <w:sz w:val="22"/>
                <w:szCs w:val="22"/>
              </w:rPr>
              <w:t>et al</w:t>
            </w:r>
            <w:r w:rsidRPr="0021277B">
              <w:rPr>
                <w:sz w:val="22"/>
                <w:szCs w:val="22"/>
              </w:rPr>
              <w:t xml:space="preserve">., 2009; García-Alegre </w:t>
            </w:r>
            <w:r w:rsidRPr="0006066A">
              <w:rPr>
                <w:i/>
                <w:sz w:val="22"/>
                <w:szCs w:val="22"/>
              </w:rPr>
              <w:t>et al</w:t>
            </w:r>
            <w:r w:rsidRPr="0021277B">
              <w:rPr>
                <w:sz w:val="22"/>
                <w:szCs w:val="22"/>
              </w:rPr>
              <w:t>., 2014</w:t>
            </w:r>
            <w:r w:rsidRPr="0021277B">
              <w:rPr>
                <w:color w:val="auto"/>
                <w:sz w:val="22"/>
                <w:szCs w:val="22"/>
              </w:rPr>
              <w:t>The El Danois Bank</w:t>
            </w:r>
            <w:r>
              <w:rPr>
                <w:color w:val="auto"/>
                <w:sz w:val="22"/>
                <w:szCs w:val="22"/>
              </w:rPr>
              <w:t xml:space="preserve"> </w:t>
            </w:r>
            <w:r w:rsidRPr="0021277B">
              <w:rPr>
                <w:color w:val="auto"/>
                <w:sz w:val="22"/>
                <w:szCs w:val="22"/>
              </w:rPr>
              <w:t xml:space="preserve">is a unique, diverse biological hotspot with many species new to science. </w:t>
            </w:r>
            <w:r w:rsidRPr="005A024B">
              <w:rPr>
                <w:color w:val="auto"/>
                <w:sz w:val="22"/>
                <w:szCs w:val="22"/>
              </w:rPr>
              <w:t xml:space="preserve"> (Sánchez </w:t>
            </w:r>
            <w:r w:rsidRPr="0006066A">
              <w:rPr>
                <w:i/>
                <w:color w:val="auto"/>
                <w:sz w:val="22"/>
                <w:szCs w:val="22"/>
              </w:rPr>
              <w:t>et al</w:t>
            </w:r>
            <w:r w:rsidRPr="005A024B">
              <w:rPr>
                <w:color w:val="auto"/>
                <w:sz w:val="22"/>
                <w:szCs w:val="22"/>
              </w:rPr>
              <w:t>., 2008; 2017).</w:t>
            </w:r>
          </w:p>
          <w:p w14:paraId="6C39D38F" w14:textId="77777777" w:rsidR="006B3F46" w:rsidRPr="0021277B" w:rsidRDefault="006B3F46" w:rsidP="00907941">
            <w:pPr>
              <w:pStyle w:val="Default"/>
              <w:jc w:val="both"/>
              <w:rPr>
                <w:b/>
                <w:bCs/>
                <w:color w:val="auto"/>
                <w:sz w:val="22"/>
                <w:szCs w:val="22"/>
                <w:lang w:eastAsia="en-US"/>
              </w:rPr>
            </w:pPr>
          </w:p>
        </w:tc>
      </w:tr>
      <w:bookmarkEnd w:id="22"/>
      <w:tr w:rsidR="006B3F46" w:rsidRPr="0021277B" w14:paraId="7344366C" w14:textId="77777777" w:rsidTr="00907941">
        <w:tc>
          <w:tcPr>
            <w:tcW w:w="783" w:type="pct"/>
            <w:shd w:val="clear" w:color="auto" w:fill="auto"/>
          </w:tcPr>
          <w:p w14:paraId="28365784" w14:textId="77777777" w:rsidR="006B3F46" w:rsidRPr="0021277B" w:rsidRDefault="006B3F46" w:rsidP="002E4B39">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Special importance for life-history stages of species</w:t>
            </w:r>
          </w:p>
        </w:tc>
        <w:tc>
          <w:tcPr>
            <w:tcW w:w="2280" w:type="pct"/>
            <w:shd w:val="clear" w:color="auto" w:fill="auto"/>
          </w:tcPr>
          <w:p w14:paraId="47C837EC" w14:textId="77777777" w:rsidR="006B3F46" w:rsidRPr="0021277B" w:rsidRDefault="006B3F46" w:rsidP="002E4B39">
            <w:pPr>
              <w:widowControl w:val="0"/>
              <w:autoSpaceDE w:val="0"/>
              <w:autoSpaceDN w:val="0"/>
              <w:adjustRightInd w:val="0"/>
              <w:rPr>
                <w:rFonts w:eastAsia="MS Mincho"/>
                <w:bCs/>
                <w:sz w:val="22"/>
                <w:szCs w:val="22"/>
                <w:lang w:val="en-US"/>
              </w:rPr>
            </w:pPr>
            <w:r w:rsidRPr="0021277B">
              <w:rPr>
                <w:rFonts w:eastAsia="MS Mincho"/>
                <w:bCs/>
                <w:sz w:val="22"/>
                <w:szCs w:val="22"/>
                <w:lang w:val="en-US"/>
              </w:rPr>
              <w:t>Areas that are required for a population to survive and thrive.</w:t>
            </w:r>
          </w:p>
        </w:tc>
        <w:tc>
          <w:tcPr>
            <w:tcW w:w="684" w:type="pct"/>
            <w:gridSpan w:val="3"/>
            <w:shd w:val="clear" w:color="auto" w:fill="auto"/>
          </w:tcPr>
          <w:p w14:paraId="67163D53" w14:textId="77777777" w:rsidR="006B3F46" w:rsidRPr="0021277B" w:rsidRDefault="006B3F46" w:rsidP="00907941">
            <w:pPr>
              <w:widowControl w:val="0"/>
              <w:autoSpaceDE w:val="0"/>
              <w:autoSpaceDN w:val="0"/>
              <w:adjustRightInd w:val="0"/>
              <w:jc w:val="both"/>
              <w:rPr>
                <w:sz w:val="22"/>
                <w:szCs w:val="22"/>
                <w:lang w:val="en-US"/>
              </w:rPr>
            </w:pPr>
          </w:p>
          <w:p w14:paraId="5B3B808D" w14:textId="77777777" w:rsidR="006B3F46" w:rsidRPr="0021277B" w:rsidRDefault="006B3F46" w:rsidP="00907941">
            <w:pPr>
              <w:widowControl w:val="0"/>
              <w:autoSpaceDE w:val="0"/>
              <w:autoSpaceDN w:val="0"/>
              <w:adjustRightInd w:val="0"/>
              <w:jc w:val="both"/>
              <w:rPr>
                <w:sz w:val="22"/>
                <w:szCs w:val="22"/>
                <w:lang w:val="en-US"/>
              </w:rPr>
            </w:pPr>
          </w:p>
          <w:p w14:paraId="14BF948A" w14:textId="77777777" w:rsidR="006B3F46" w:rsidRPr="0021277B" w:rsidRDefault="006B3F46" w:rsidP="00907941">
            <w:pPr>
              <w:widowControl w:val="0"/>
              <w:autoSpaceDE w:val="0"/>
              <w:autoSpaceDN w:val="0"/>
              <w:adjustRightInd w:val="0"/>
              <w:jc w:val="both"/>
              <w:rPr>
                <w:sz w:val="22"/>
                <w:szCs w:val="22"/>
                <w:lang w:val="en-US"/>
              </w:rPr>
            </w:pPr>
          </w:p>
        </w:tc>
        <w:tc>
          <w:tcPr>
            <w:tcW w:w="410" w:type="pct"/>
            <w:gridSpan w:val="2"/>
            <w:shd w:val="clear" w:color="auto" w:fill="auto"/>
          </w:tcPr>
          <w:p w14:paraId="14B23A84"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147B9F44"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6599A7DA"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52C94038"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1" w:type="pct"/>
            <w:gridSpan w:val="2"/>
            <w:shd w:val="clear" w:color="auto" w:fill="auto"/>
          </w:tcPr>
          <w:p w14:paraId="0DB17F03"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6D624152"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6D70DF92"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32" w:type="pct"/>
            <w:gridSpan w:val="2"/>
            <w:shd w:val="clear" w:color="auto" w:fill="auto"/>
          </w:tcPr>
          <w:p w14:paraId="1E3DDCC0"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464A7D34"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32B20A5C"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sz w:val="22"/>
                <w:szCs w:val="22"/>
                <w:lang w:val="en-US"/>
              </w:rPr>
              <w:t>X</w:t>
            </w:r>
          </w:p>
        </w:tc>
      </w:tr>
      <w:tr w:rsidR="006B3F46" w:rsidRPr="0021277B" w14:paraId="24683C7D" w14:textId="77777777" w:rsidTr="00907941">
        <w:tc>
          <w:tcPr>
            <w:tcW w:w="5000" w:type="pct"/>
            <w:gridSpan w:val="11"/>
            <w:shd w:val="clear" w:color="auto" w:fill="auto"/>
          </w:tcPr>
          <w:p w14:paraId="1AE8C69F" w14:textId="77777777" w:rsidR="006B3F46" w:rsidRPr="0021277B" w:rsidRDefault="006B3F46" w:rsidP="00907941">
            <w:pPr>
              <w:widowControl w:val="0"/>
              <w:autoSpaceDE w:val="0"/>
              <w:autoSpaceDN w:val="0"/>
              <w:adjustRightInd w:val="0"/>
              <w:jc w:val="both"/>
              <w:rPr>
                <w:rFonts w:eastAsia="MS Mincho"/>
                <w:i/>
                <w:sz w:val="22"/>
                <w:szCs w:val="22"/>
                <w:lang w:val="en-US"/>
              </w:rPr>
            </w:pPr>
            <w:r w:rsidRPr="0021277B">
              <w:rPr>
                <w:rFonts w:eastAsia="MS Mincho"/>
                <w:i/>
                <w:sz w:val="22"/>
                <w:szCs w:val="22"/>
                <w:lang w:val="en-US"/>
              </w:rPr>
              <w:t xml:space="preserve">Explanation for ranking </w:t>
            </w:r>
          </w:p>
          <w:p w14:paraId="6F187F20" w14:textId="77777777" w:rsidR="006B3F46" w:rsidRPr="0021277B" w:rsidRDefault="006B3F46" w:rsidP="00907941">
            <w:pPr>
              <w:jc w:val="both"/>
              <w:rPr>
                <w:i/>
                <w:sz w:val="22"/>
                <w:szCs w:val="22"/>
                <w:lang w:val="en-US"/>
              </w:rPr>
            </w:pPr>
            <w:r w:rsidRPr="0021277B">
              <w:rPr>
                <w:sz w:val="22"/>
                <w:szCs w:val="22"/>
                <w:lang w:val="en-US"/>
              </w:rPr>
              <w:t xml:space="preserve">The </w:t>
            </w:r>
            <w:r w:rsidRPr="0021277B">
              <w:rPr>
                <w:rFonts w:eastAsia="MS Mincho"/>
                <w:sz w:val="22"/>
                <w:szCs w:val="22"/>
                <w:lang w:val="en-US" w:eastAsia="ja-JP"/>
              </w:rPr>
              <w:t xml:space="preserve">area </w:t>
            </w:r>
            <w:r w:rsidRPr="0021277B">
              <w:rPr>
                <w:sz w:val="22"/>
                <w:szCs w:val="22"/>
                <w:lang w:val="en-US"/>
              </w:rPr>
              <w:t xml:space="preserve">is important for cetaceans (Marcos-Ipiña </w:t>
            </w:r>
            <w:r w:rsidRPr="0006066A">
              <w:rPr>
                <w:i/>
                <w:sz w:val="22"/>
                <w:szCs w:val="22"/>
                <w:lang w:val="en-US"/>
              </w:rPr>
              <w:t>et al</w:t>
            </w:r>
            <w:r w:rsidRPr="0021277B">
              <w:rPr>
                <w:sz w:val="22"/>
                <w:szCs w:val="22"/>
                <w:lang w:val="en-US"/>
              </w:rPr>
              <w:t>., 2014</w:t>
            </w:r>
            <w:r>
              <w:rPr>
                <w:sz w:val="22"/>
                <w:szCs w:val="22"/>
                <w:lang w:val="en-US"/>
              </w:rPr>
              <w:t>;</w:t>
            </w:r>
            <w:r w:rsidRPr="0021277B">
              <w:rPr>
                <w:sz w:val="22"/>
                <w:szCs w:val="22"/>
                <w:lang w:val="en-US"/>
              </w:rPr>
              <w:t xml:space="preserve"> Laran </w:t>
            </w:r>
            <w:r w:rsidRPr="0006066A">
              <w:rPr>
                <w:i/>
                <w:sz w:val="22"/>
                <w:szCs w:val="22"/>
                <w:lang w:val="en-US"/>
              </w:rPr>
              <w:t>et al</w:t>
            </w:r>
            <w:r w:rsidRPr="0021277B">
              <w:rPr>
                <w:sz w:val="22"/>
                <w:szCs w:val="22"/>
                <w:lang w:val="en-US"/>
              </w:rPr>
              <w:t>., 2016) and a seasonal migratory pathway for large migratory pelagic species (</w:t>
            </w:r>
            <w:r>
              <w:rPr>
                <w:sz w:val="22"/>
                <w:szCs w:val="22"/>
                <w:lang w:val="en-US"/>
              </w:rPr>
              <w:t>e.g.</w:t>
            </w:r>
            <w:r w:rsidRPr="0021277B">
              <w:rPr>
                <w:sz w:val="22"/>
                <w:szCs w:val="22"/>
                <w:lang w:val="en-US"/>
              </w:rPr>
              <w:t xml:space="preserve">, tuna species) (Lavín </w:t>
            </w:r>
            <w:r w:rsidRPr="0006066A">
              <w:rPr>
                <w:i/>
                <w:sz w:val="22"/>
                <w:szCs w:val="22"/>
                <w:lang w:val="en-US"/>
              </w:rPr>
              <w:t>et al</w:t>
            </w:r>
            <w:r w:rsidRPr="0021277B">
              <w:rPr>
                <w:sz w:val="22"/>
                <w:szCs w:val="22"/>
                <w:lang w:val="en-US"/>
              </w:rPr>
              <w:t xml:space="preserve">., 2004). It also includes spawning grounds for several species of </w:t>
            </w:r>
            <w:r w:rsidRPr="0021277B">
              <w:rPr>
                <w:rFonts w:eastAsia="MS Mincho"/>
                <w:sz w:val="22"/>
                <w:szCs w:val="22"/>
                <w:lang w:val="en-US" w:eastAsia="ja-JP"/>
              </w:rPr>
              <w:t>commercial interest (</w:t>
            </w:r>
            <w:r>
              <w:rPr>
                <w:rFonts w:eastAsia="MS Mincho"/>
                <w:sz w:val="22"/>
                <w:szCs w:val="22"/>
                <w:lang w:val="en-US" w:eastAsia="ja-JP"/>
              </w:rPr>
              <w:t>e.g.,</w:t>
            </w:r>
            <w:r w:rsidRPr="0021277B">
              <w:rPr>
                <w:rFonts w:eastAsia="MS Mincho"/>
                <w:sz w:val="22"/>
                <w:szCs w:val="22"/>
                <w:lang w:val="en-US" w:eastAsia="ja-JP"/>
              </w:rPr>
              <w:t xml:space="preserve"> anchovy, hake, Norway lobster) (Motos </w:t>
            </w:r>
            <w:r w:rsidRPr="0006066A">
              <w:rPr>
                <w:rFonts w:eastAsia="MS Mincho"/>
                <w:i/>
                <w:sz w:val="22"/>
                <w:szCs w:val="22"/>
                <w:lang w:val="en-US" w:eastAsia="ja-JP"/>
              </w:rPr>
              <w:t>et al</w:t>
            </w:r>
            <w:r w:rsidRPr="0021277B">
              <w:rPr>
                <w:rFonts w:eastAsia="MS Mincho"/>
                <w:sz w:val="22"/>
                <w:szCs w:val="22"/>
                <w:lang w:val="en-US" w:eastAsia="ja-JP"/>
              </w:rPr>
              <w:t xml:space="preserve">., 1996; Sánchez and Gil, 2000; Lavín </w:t>
            </w:r>
            <w:r w:rsidRPr="0006066A">
              <w:rPr>
                <w:rFonts w:eastAsia="MS Mincho"/>
                <w:i/>
                <w:sz w:val="22"/>
                <w:szCs w:val="22"/>
                <w:lang w:val="en-US" w:eastAsia="ja-JP"/>
              </w:rPr>
              <w:t>et al</w:t>
            </w:r>
            <w:r w:rsidRPr="0021277B">
              <w:rPr>
                <w:rFonts w:eastAsia="MS Mincho"/>
                <w:sz w:val="22"/>
                <w:szCs w:val="22"/>
                <w:lang w:val="en-US" w:eastAsia="ja-JP"/>
              </w:rPr>
              <w:t>., 2004).</w:t>
            </w:r>
            <w:r w:rsidRPr="0021277B">
              <w:rPr>
                <w:sz w:val="22"/>
                <w:szCs w:val="22"/>
                <w:lang w:val="en-US"/>
              </w:rPr>
              <w:t xml:space="preserve"> </w:t>
            </w:r>
          </w:p>
          <w:p w14:paraId="19D1E5C3" w14:textId="77777777" w:rsidR="006B3F46" w:rsidRPr="0021277B" w:rsidRDefault="006B3F46" w:rsidP="00907941">
            <w:pPr>
              <w:widowControl w:val="0"/>
              <w:autoSpaceDE w:val="0"/>
              <w:autoSpaceDN w:val="0"/>
              <w:adjustRightInd w:val="0"/>
              <w:jc w:val="both"/>
              <w:rPr>
                <w:rFonts w:eastAsia="MS Mincho"/>
                <w:b/>
                <w:bCs/>
                <w:sz w:val="22"/>
                <w:szCs w:val="22"/>
                <w:lang w:val="en-US"/>
              </w:rPr>
            </w:pPr>
          </w:p>
        </w:tc>
      </w:tr>
      <w:tr w:rsidR="006B3F46" w:rsidRPr="0021277B" w14:paraId="5A5CA367" w14:textId="77777777" w:rsidTr="00907941">
        <w:tc>
          <w:tcPr>
            <w:tcW w:w="783" w:type="pct"/>
            <w:shd w:val="clear" w:color="auto" w:fill="auto"/>
          </w:tcPr>
          <w:p w14:paraId="4DE5484C" w14:textId="77777777" w:rsidR="006B3F46" w:rsidRPr="0021277B" w:rsidRDefault="006B3F46" w:rsidP="002E4B39">
            <w:pPr>
              <w:widowControl w:val="0"/>
              <w:autoSpaceDE w:val="0"/>
              <w:autoSpaceDN w:val="0"/>
              <w:adjustRightInd w:val="0"/>
              <w:rPr>
                <w:rFonts w:eastAsia="MS Mincho"/>
                <w:b/>
                <w:bCs/>
                <w:color w:val="000000"/>
                <w:sz w:val="22"/>
                <w:szCs w:val="22"/>
                <w:lang w:val="en-US"/>
              </w:rPr>
            </w:pPr>
            <w:bookmarkStart w:id="23" w:name="_Hlk22204487"/>
            <w:r w:rsidRPr="0021277B">
              <w:rPr>
                <w:rFonts w:eastAsia="MS Mincho"/>
                <w:b/>
                <w:bCs/>
                <w:color w:val="000000"/>
                <w:sz w:val="22"/>
                <w:szCs w:val="22"/>
                <w:lang w:val="en-US"/>
              </w:rPr>
              <w:t>Importance for threatened, endangered or declining species and/or habitats</w:t>
            </w:r>
          </w:p>
        </w:tc>
        <w:tc>
          <w:tcPr>
            <w:tcW w:w="2280" w:type="pct"/>
            <w:shd w:val="clear" w:color="auto" w:fill="auto"/>
          </w:tcPr>
          <w:p w14:paraId="701370FC" w14:textId="77777777" w:rsidR="006B3F46" w:rsidRPr="0021277B" w:rsidRDefault="006B3F46" w:rsidP="002E4B39">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34E26A89"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6D1DCE54"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tcPr>
          <w:p w14:paraId="2B814E13"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32" w:type="pct"/>
            <w:gridSpan w:val="2"/>
            <w:shd w:val="clear" w:color="auto" w:fill="auto"/>
          </w:tcPr>
          <w:p w14:paraId="1A9CF590"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p w14:paraId="128553CE"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p w14:paraId="1FECCC0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color w:val="000000"/>
                <w:sz w:val="22"/>
                <w:szCs w:val="22"/>
                <w:lang w:val="en-US"/>
              </w:rPr>
              <w:t>X</w:t>
            </w:r>
          </w:p>
        </w:tc>
      </w:tr>
      <w:tr w:rsidR="006B3F46" w:rsidRPr="0021277B" w14:paraId="4AD9EFBE" w14:textId="77777777" w:rsidTr="00907941">
        <w:tc>
          <w:tcPr>
            <w:tcW w:w="5000" w:type="pct"/>
            <w:gridSpan w:val="11"/>
            <w:shd w:val="clear" w:color="auto" w:fill="auto"/>
          </w:tcPr>
          <w:p w14:paraId="2EF5855A" w14:textId="77777777" w:rsidR="006B3F46" w:rsidRPr="0021277B" w:rsidRDefault="006B3F46" w:rsidP="00907941">
            <w:pPr>
              <w:widowControl w:val="0"/>
              <w:autoSpaceDE w:val="0"/>
              <w:autoSpaceDN w:val="0"/>
              <w:adjustRightInd w:val="0"/>
              <w:jc w:val="both"/>
              <w:rPr>
                <w:rFonts w:eastAsia="MS Mincho"/>
                <w:i/>
                <w:sz w:val="22"/>
                <w:szCs w:val="22"/>
                <w:lang w:val="en-US"/>
              </w:rPr>
            </w:pPr>
            <w:r w:rsidRPr="0021277B">
              <w:rPr>
                <w:rFonts w:eastAsia="MS Mincho"/>
                <w:i/>
                <w:sz w:val="22"/>
                <w:szCs w:val="22"/>
                <w:lang w:val="en-US"/>
              </w:rPr>
              <w:t xml:space="preserve">Explanation for ranking </w:t>
            </w:r>
          </w:p>
          <w:p w14:paraId="1C09ACDB" w14:textId="77777777" w:rsidR="006B3F46" w:rsidRDefault="006B3F46" w:rsidP="00907941">
            <w:pPr>
              <w:jc w:val="both"/>
              <w:rPr>
                <w:sz w:val="22"/>
                <w:szCs w:val="22"/>
              </w:rPr>
            </w:pPr>
            <w:r w:rsidRPr="0021277B">
              <w:rPr>
                <w:sz w:val="22"/>
                <w:szCs w:val="22"/>
              </w:rPr>
              <w:t>Many species considered “threatened, endangered or declining”, based on different international regulations and agreements, are present in the area, including benthic species as well as marine mammals, fish and reptiles</w:t>
            </w:r>
            <w:r>
              <w:rPr>
                <w:sz w:val="22"/>
                <w:szCs w:val="22"/>
              </w:rPr>
              <w:t>.</w:t>
            </w:r>
            <w:r w:rsidRPr="0021277B">
              <w:rPr>
                <w:sz w:val="22"/>
                <w:szCs w:val="22"/>
              </w:rPr>
              <w:t xml:space="preserve">  Sixty of these species (see the list in the text above) have been observed in the Site of Community Importance “Aviles Canyon” (Sánchez </w:t>
            </w:r>
            <w:r w:rsidRPr="0006066A">
              <w:rPr>
                <w:i/>
                <w:sz w:val="22"/>
                <w:szCs w:val="22"/>
              </w:rPr>
              <w:t>et al</w:t>
            </w:r>
            <w:r w:rsidRPr="0021277B">
              <w:rPr>
                <w:sz w:val="22"/>
                <w:szCs w:val="22"/>
              </w:rPr>
              <w:t>., 2014)..</w:t>
            </w:r>
          </w:p>
          <w:p w14:paraId="3A391B43" w14:textId="77777777" w:rsidR="006B3F46" w:rsidRDefault="006B3F46" w:rsidP="00907941">
            <w:pPr>
              <w:jc w:val="both"/>
              <w:rPr>
                <w:sz w:val="22"/>
                <w:szCs w:val="22"/>
              </w:rPr>
            </w:pPr>
          </w:p>
          <w:p w14:paraId="3BD79AAE" w14:textId="77777777" w:rsidR="006B3F46" w:rsidRPr="0021277B" w:rsidRDefault="006B3F46" w:rsidP="00907941">
            <w:pPr>
              <w:jc w:val="both"/>
              <w:rPr>
                <w:sz w:val="22"/>
                <w:szCs w:val="22"/>
              </w:rPr>
            </w:pPr>
            <w:r w:rsidRPr="009D3D5A">
              <w:rPr>
                <w:sz w:val="22"/>
                <w:szCs w:val="22"/>
              </w:rPr>
              <w:t xml:space="preserve">Additionally, a high diversity of </w:t>
            </w:r>
            <w:r w:rsidRPr="00EC5399">
              <w:rPr>
                <w:sz w:val="22"/>
                <w:szCs w:val="22"/>
              </w:rPr>
              <w:t>Vulnerable Marine Ecosystems characterized</w:t>
            </w:r>
            <w:r w:rsidRPr="009D3D5A">
              <w:rPr>
                <w:sz w:val="22"/>
                <w:szCs w:val="22"/>
              </w:rPr>
              <w:t xml:space="preserve"> by habitat-forming species such as sponges (</w:t>
            </w:r>
            <w:r w:rsidRPr="0021277B">
              <w:rPr>
                <w:i/>
                <w:sz w:val="22"/>
                <w:szCs w:val="22"/>
              </w:rPr>
              <w:t>Phakellia ventilabrum</w:t>
            </w:r>
            <w:r w:rsidRPr="009D3D5A">
              <w:rPr>
                <w:sz w:val="22"/>
                <w:szCs w:val="22"/>
              </w:rPr>
              <w:t>) corals (</w:t>
            </w:r>
            <w:r w:rsidRPr="0021277B">
              <w:rPr>
                <w:i/>
                <w:sz w:val="22"/>
                <w:szCs w:val="22"/>
              </w:rPr>
              <w:t>Madrepora oculata, Lophelia pertusa, Dendrophyllia cornigera</w:t>
            </w:r>
            <w:r w:rsidRPr="009D3D5A">
              <w:rPr>
                <w:sz w:val="22"/>
                <w:szCs w:val="22"/>
              </w:rPr>
              <w:t>), gorgonians (</w:t>
            </w:r>
            <w:r w:rsidRPr="0021277B">
              <w:rPr>
                <w:i/>
                <w:sz w:val="22"/>
                <w:szCs w:val="22"/>
              </w:rPr>
              <w:t>Callogorgia verticillata, Acanthogorgia spp</w:t>
            </w:r>
            <w:r w:rsidRPr="009D3D5A">
              <w:rPr>
                <w:sz w:val="22"/>
                <w:szCs w:val="22"/>
              </w:rPr>
              <w:t>.), and black corals (</w:t>
            </w:r>
            <w:r w:rsidRPr="0021277B">
              <w:rPr>
                <w:i/>
                <w:sz w:val="22"/>
                <w:szCs w:val="22"/>
              </w:rPr>
              <w:t>Leiopathes sp., Antipathes sp., Bathypathes sp</w:t>
            </w:r>
            <w:r w:rsidRPr="009D3D5A">
              <w:rPr>
                <w:sz w:val="22"/>
                <w:szCs w:val="22"/>
              </w:rPr>
              <w:t xml:space="preserve">.) that are threatened or endangered due to the </w:t>
            </w:r>
            <w:r>
              <w:rPr>
                <w:sz w:val="22"/>
                <w:szCs w:val="22"/>
              </w:rPr>
              <w:t>intense</w:t>
            </w:r>
            <w:r w:rsidRPr="009D3D5A">
              <w:rPr>
                <w:sz w:val="22"/>
                <w:szCs w:val="22"/>
              </w:rPr>
              <w:t xml:space="preserve"> fishing activity that takes place in the area, are frequently found over the continental shelf as well as in canyons and over seamounts (see Sánchez </w:t>
            </w:r>
            <w:r w:rsidRPr="0006066A">
              <w:rPr>
                <w:i/>
                <w:sz w:val="22"/>
                <w:szCs w:val="22"/>
              </w:rPr>
              <w:t>et al</w:t>
            </w:r>
            <w:r w:rsidRPr="009D3D5A">
              <w:rPr>
                <w:sz w:val="22"/>
                <w:szCs w:val="22"/>
              </w:rPr>
              <w:t xml:space="preserve">., 2008; 2014; Aguilar </w:t>
            </w:r>
            <w:r w:rsidRPr="0006066A">
              <w:rPr>
                <w:i/>
                <w:sz w:val="22"/>
                <w:szCs w:val="22"/>
              </w:rPr>
              <w:t>et al</w:t>
            </w:r>
            <w:r w:rsidRPr="009D3D5A">
              <w:rPr>
                <w:sz w:val="22"/>
                <w:szCs w:val="22"/>
              </w:rPr>
              <w:t>., 2009).</w:t>
            </w:r>
          </w:p>
          <w:p w14:paraId="5955C7AC" w14:textId="77777777" w:rsidR="006B3F46" w:rsidRPr="0021277B" w:rsidRDefault="006B3F46" w:rsidP="00907941">
            <w:pPr>
              <w:widowControl w:val="0"/>
              <w:autoSpaceDE w:val="0"/>
              <w:autoSpaceDN w:val="0"/>
              <w:adjustRightInd w:val="0"/>
              <w:jc w:val="both"/>
              <w:rPr>
                <w:sz w:val="22"/>
                <w:szCs w:val="22"/>
                <w:lang w:val="en-US"/>
              </w:rPr>
            </w:pPr>
          </w:p>
        </w:tc>
      </w:tr>
      <w:bookmarkEnd w:id="23"/>
      <w:tr w:rsidR="006B3F46" w:rsidRPr="0021277B" w14:paraId="77B8A466" w14:textId="77777777" w:rsidTr="00907941">
        <w:tc>
          <w:tcPr>
            <w:tcW w:w="783" w:type="pct"/>
            <w:shd w:val="clear" w:color="auto" w:fill="auto"/>
          </w:tcPr>
          <w:p w14:paraId="25CF3932" w14:textId="77777777" w:rsidR="006B3F46" w:rsidRPr="0021277B" w:rsidRDefault="006B3F46" w:rsidP="002E4B39">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Vulnerability, fragility, sensitivity, or slow recovery</w:t>
            </w:r>
          </w:p>
        </w:tc>
        <w:tc>
          <w:tcPr>
            <w:tcW w:w="2280" w:type="pct"/>
            <w:shd w:val="clear" w:color="auto" w:fill="auto"/>
          </w:tcPr>
          <w:p w14:paraId="19D1FF98" w14:textId="77777777" w:rsidR="006B3F46" w:rsidRPr="0021277B" w:rsidRDefault="006B3F46" w:rsidP="00907941">
            <w:pPr>
              <w:widowControl w:val="0"/>
              <w:autoSpaceDE w:val="0"/>
              <w:autoSpaceDN w:val="0"/>
              <w:adjustRightInd w:val="0"/>
              <w:jc w:val="both"/>
              <w:rPr>
                <w:rFonts w:eastAsia="MS Mincho"/>
                <w:bCs/>
                <w:sz w:val="22"/>
                <w:szCs w:val="22"/>
                <w:lang w:val="en-US"/>
              </w:rPr>
            </w:pPr>
            <w:r w:rsidRPr="0021277B">
              <w:rPr>
                <w:rFonts w:eastAsia="MS Mincho"/>
                <w:bCs/>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28472830"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0" w:type="pct"/>
            <w:gridSpan w:val="2"/>
            <w:shd w:val="clear" w:color="auto" w:fill="auto"/>
          </w:tcPr>
          <w:p w14:paraId="4CDD753B"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1" w:type="pct"/>
            <w:gridSpan w:val="2"/>
            <w:shd w:val="clear" w:color="auto" w:fill="auto"/>
          </w:tcPr>
          <w:p w14:paraId="66E73053"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32" w:type="pct"/>
            <w:gridSpan w:val="2"/>
            <w:shd w:val="clear" w:color="auto" w:fill="auto"/>
          </w:tcPr>
          <w:p w14:paraId="4E35BC77"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7E8BF2AD"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59E9C1B2"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5A08C9B4" w14:textId="77777777" w:rsidTr="00907941">
        <w:tc>
          <w:tcPr>
            <w:tcW w:w="5000" w:type="pct"/>
            <w:gridSpan w:val="11"/>
            <w:shd w:val="clear" w:color="auto" w:fill="auto"/>
          </w:tcPr>
          <w:p w14:paraId="0187DBFD" w14:textId="77777777" w:rsidR="006B3F46" w:rsidRPr="0021277B" w:rsidRDefault="006B3F46" w:rsidP="00907941">
            <w:pPr>
              <w:widowControl w:val="0"/>
              <w:autoSpaceDE w:val="0"/>
              <w:autoSpaceDN w:val="0"/>
              <w:adjustRightInd w:val="0"/>
              <w:jc w:val="both"/>
              <w:rPr>
                <w:rFonts w:eastAsia="MS Mincho"/>
                <w:i/>
                <w:sz w:val="22"/>
                <w:szCs w:val="22"/>
                <w:lang w:val="en-US"/>
              </w:rPr>
            </w:pPr>
            <w:r w:rsidRPr="0021277B">
              <w:rPr>
                <w:rFonts w:eastAsia="MS Mincho"/>
                <w:i/>
                <w:sz w:val="22"/>
                <w:szCs w:val="22"/>
                <w:lang w:val="en-US"/>
              </w:rPr>
              <w:t>Explanation for ranking</w:t>
            </w:r>
          </w:p>
          <w:p w14:paraId="540F20FF" w14:textId="77777777" w:rsidR="006B3F46" w:rsidRPr="0021277B" w:rsidRDefault="006B3F46" w:rsidP="00907941">
            <w:pPr>
              <w:widowControl w:val="0"/>
              <w:autoSpaceDE w:val="0"/>
              <w:autoSpaceDN w:val="0"/>
              <w:adjustRightInd w:val="0"/>
              <w:jc w:val="both"/>
              <w:rPr>
                <w:sz w:val="22"/>
                <w:szCs w:val="22"/>
              </w:rPr>
            </w:pPr>
            <w:r>
              <w:rPr>
                <w:sz w:val="22"/>
                <w:szCs w:val="22"/>
              </w:rPr>
              <w:t>Many</w:t>
            </w:r>
            <w:r w:rsidRPr="0021277B">
              <w:rPr>
                <w:sz w:val="22"/>
                <w:szCs w:val="22"/>
              </w:rPr>
              <w:t xml:space="preserve"> vulnerable habitats and taxa, characterized by sessile habitat-forming species that are </w:t>
            </w:r>
            <w:r w:rsidRPr="0021277B">
              <w:rPr>
                <w:rFonts w:eastAsia="MS Mincho"/>
                <w:sz w:val="22"/>
                <w:szCs w:val="22"/>
                <w:lang w:val="en-US" w:eastAsia="ja-JP"/>
              </w:rPr>
              <w:t xml:space="preserve">slow-growing </w:t>
            </w:r>
            <w:r w:rsidRPr="0021277B">
              <w:rPr>
                <w:sz w:val="22"/>
                <w:szCs w:val="22"/>
                <w:lang w:val="en-US"/>
              </w:rPr>
              <w:t xml:space="preserve">and </w:t>
            </w:r>
            <w:r w:rsidRPr="0021277B">
              <w:rPr>
                <w:rFonts w:eastAsia="MS Mincho"/>
                <w:sz w:val="22"/>
                <w:szCs w:val="22"/>
                <w:lang w:val="en-US" w:eastAsia="ja-JP"/>
              </w:rPr>
              <w:t>have</w:t>
            </w:r>
            <w:r w:rsidRPr="0021277B">
              <w:rPr>
                <w:sz w:val="22"/>
                <w:szCs w:val="22"/>
                <w:lang w:val="en-US"/>
              </w:rPr>
              <w:t xml:space="preserve"> long life cycles </w:t>
            </w:r>
            <w:r w:rsidRPr="0021277B">
              <w:rPr>
                <w:sz w:val="22"/>
                <w:szCs w:val="22"/>
              </w:rPr>
              <w:t xml:space="preserve"> are present in the area and are vulnerable and sensitive to fishing activities: cold-water coral reefs (</w:t>
            </w:r>
            <w:r w:rsidRPr="0021277B">
              <w:rPr>
                <w:i/>
                <w:iCs/>
                <w:sz w:val="22"/>
                <w:szCs w:val="22"/>
              </w:rPr>
              <w:t>Madrepora oculata</w:t>
            </w:r>
            <w:r w:rsidRPr="0021277B">
              <w:rPr>
                <w:sz w:val="22"/>
                <w:szCs w:val="22"/>
              </w:rPr>
              <w:t xml:space="preserve">, </w:t>
            </w:r>
            <w:r w:rsidRPr="0021277B">
              <w:rPr>
                <w:i/>
                <w:iCs/>
                <w:sz w:val="22"/>
                <w:szCs w:val="22"/>
              </w:rPr>
              <w:t>Lophelia pertusa</w:t>
            </w:r>
            <w:r w:rsidRPr="0021277B">
              <w:rPr>
                <w:sz w:val="22"/>
                <w:szCs w:val="22"/>
              </w:rPr>
              <w:t>), coral gardens (</w:t>
            </w:r>
            <w:r w:rsidRPr="0021277B">
              <w:rPr>
                <w:i/>
                <w:iCs/>
                <w:sz w:val="22"/>
                <w:szCs w:val="22"/>
              </w:rPr>
              <w:t>Callogorgia verticillata</w:t>
            </w:r>
            <w:r w:rsidRPr="0021277B">
              <w:rPr>
                <w:sz w:val="22"/>
                <w:szCs w:val="22"/>
              </w:rPr>
              <w:t xml:space="preserve">, </w:t>
            </w:r>
            <w:r w:rsidRPr="0021277B">
              <w:rPr>
                <w:i/>
                <w:iCs/>
                <w:sz w:val="22"/>
                <w:szCs w:val="22"/>
              </w:rPr>
              <w:t>Acanthogorgia</w:t>
            </w:r>
            <w:r w:rsidRPr="0021277B">
              <w:rPr>
                <w:sz w:val="22"/>
                <w:szCs w:val="22"/>
              </w:rPr>
              <w:t xml:space="preserve"> spp.), big sponge grounds (</w:t>
            </w:r>
            <w:r w:rsidRPr="0021277B">
              <w:rPr>
                <w:i/>
                <w:iCs/>
                <w:sz w:val="22"/>
                <w:szCs w:val="22"/>
              </w:rPr>
              <w:t>Asconema setubalense</w:t>
            </w:r>
            <w:r w:rsidRPr="0021277B">
              <w:rPr>
                <w:sz w:val="22"/>
                <w:szCs w:val="22"/>
              </w:rPr>
              <w:t>, Geodiidae, Pachastrellidae) and black corals (</w:t>
            </w:r>
            <w:r w:rsidRPr="0021277B">
              <w:rPr>
                <w:i/>
                <w:iCs/>
                <w:sz w:val="22"/>
                <w:szCs w:val="22"/>
              </w:rPr>
              <w:t xml:space="preserve">Leiopathes </w:t>
            </w:r>
            <w:r w:rsidRPr="0021277B">
              <w:rPr>
                <w:sz w:val="22"/>
                <w:szCs w:val="22"/>
              </w:rPr>
              <w:t xml:space="preserve">sp., </w:t>
            </w:r>
            <w:r w:rsidRPr="0021277B">
              <w:rPr>
                <w:i/>
                <w:iCs/>
                <w:sz w:val="22"/>
                <w:szCs w:val="22"/>
              </w:rPr>
              <w:t xml:space="preserve">Antipathes </w:t>
            </w:r>
            <w:r w:rsidRPr="0021277B">
              <w:rPr>
                <w:sz w:val="22"/>
                <w:szCs w:val="22"/>
              </w:rPr>
              <w:t xml:space="preserve">sp., </w:t>
            </w:r>
            <w:r w:rsidRPr="0021277B">
              <w:rPr>
                <w:i/>
                <w:iCs/>
                <w:sz w:val="22"/>
                <w:szCs w:val="22"/>
              </w:rPr>
              <w:t>Bathypathes</w:t>
            </w:r>
            <w:r w:rsidRPr="0021277B">
              <w:rPr>
                <w:sz w:val="22"/>
                <w:szCs w:val="22"/>
              </w:rPr>
              <w:t xml:space="preserve"> sp.). Other species that are frequently found over hard substrates are crinoids (</w:t>
            </w:r>
            <w:r w:rsidRPr="0021277B">
              <w:rPr>
                <w:i/>
                <w:iCs/>
                <w:sz w:val="22"/>
                <w:szCs w:val="22"/>
              </w:rPr>
              <w:t>Leptometra celtica</w:t>
            </w:r>
            <w:r w:rsidRPr="0021277B">
              <w:rPr>
                <w:sz w:val="22"/>
                <w:szCs w:val="22"/>
              </w:rPr>
              <w:t>) and sea stars (</w:t>
            </w:r>
            <w:r w:rsidRPr="0021277B">
              <w:rPr>
                <w:i/>
                <w:iCs/>
                <w:sz w:val="22"/>
                <w:szCs w:val="22"/>
              </w:rPr>
              <w:t>Brisinga endecacnemos</w:t>
            </w:r>
            <w:r w:rsidRPr="0021277B">
              <w:rPr>
                <w:sz w:val="22"/>
                <w:szCs w:val="22"/>
              </w:rPr>
              <w:t xml:space="preserve"> and </w:t>
            </w:r>
            <w:r w:rsidRPr="0021277B">
              <w:rPr>
                <w:i/>
                <w:iCs/>
                <w:sz w:val="22"/>
                <w:szCs w:val="22"/>
              </w:rPr>
              <w:t>Novodina pandina</w:t>
            </w:r>
            <w:r w:rsidRPr="0021277B">
              <w:rPr>
                <w:sz w:val="22"/>
                <w:szCs w:val="22"/>
              </w:rPr>
              <w:t>). However, over soft bottoms, different communities have been found, such as pennatulids (</w:t>
            </w:r>
            <w:r w:rsidRPr="0021277B">
              <w:rPr>
                <w:i/>
                <w:iCs/>
                <w:sz w:val="22"/>
                <w:szCs w:val="22"/>
              </w:rPr>
              <w:t>Pennatula rubra</w:t>
            </w:r>
            <w:r w:rsidRPr="0021277B">
              <w:rPr>
                <w:sz w:val="22"/>
                <w:szCs w:val="22"/>
              </w:rPr>
              <w:t xml:space="preserve">, </w:t>
            </w:r>
            <w:r w:rsidRPr="0021277B">
              <w:rPr>
                <w:i/>
                <w:iCs/>
                <w:sz w:val="22"/>
                <w:szCs w:val="22"/>
              </w:rPr>
              <w:t>Pennatula phosphorea</w:t>
            </w:r>
            <w:r w:rsidRPr="0021277B">
              <w:rPr>
                <w:sz w:val="22"/>
                <w:szCs w:val="22"/>
              </w:rPr>
              <w:t xml:space="preserve">, </w:t>
            </w:r>
            <w:r w:rsidRPr="0021277B">
              <w:rPr>
                <w:i/>
                <w:iCs/>
                <w:sz w:val="22"/>
                <w:szCs w:val="22"/>
              </w:rPr>
              <w:t>Funiculina quadrangularis</w:t>
            </w:r>
            <w:r w:rsidRPr="0021277B">
              <w:rPr>
                <w:sz w:val="22"/>
                <w:szCs w:val="22"/>
              </w:rPr>
              <w:t>), tube-dwelling anemones (</w:t>
            </w:r>
            <w:r w:rsidRPr="0021277B">
              <w:rPr>
                <w:i/>
                <w:iCs/>
                <w:sz w:val="22"/>
                <w:szCs w:val="22"/>
              </w:rPr>
              <w:t>Cerianthus</w:t>
            </w:r>
            <w:r w:rsidRPr="0021277B">
              <w:rPr>
                <w:sz w:val="22"/>
                <w:szCs w:val="22"/>
              </w:rPr>
              <w:t xml:space="preserve"> sp.) and detritic sand bottoms with sea anemones (</w:t>
            </w:r>
            <w:r w:rsidRPr="0021277B">
              <w:rPr>
                <w:i/>
                <w:iCs/>
                <w:sz w:val="22"/>
                <w:szCs w:val="22"/>
              </w:rPr>
              <w:t>Phelliactis hertwigi</w:t>
            </w:r>
            <w:r w:rsidRPr="0021277B">
              <w:rPr>
                <w:sz w:val="22"/>
                <w:szCs w:val="22"/>
              </w:rPr>
              <w:t>). Some carnivorous sponges (</w:t>
            </w:r>
            <w:r w:rsidRPr="0021277B">
              <w:rPr>
                <w:i/>
                <w:iCs/>
                <w:sz w:val="22"/>
                <w:szCs w:val="22"/>
              </w:rPr>
              <w:t>Lypocodina</w:t>
            </w:r>
            <w:r w:rsidRPr="0021277B">
              <w:rPr>
                <w:sz w:val="22"/>
                <w:szCs w:val="22"/>
              </w:rPr>
              <w:t xml:space="preserve">, </w:t>
            </w:r>
            <w:r w:rsidRPr="0021277B">
              <w:rPr>
                <w:i/>
                <w:iCs/>
                <w:sz w:val="22"/>
                <w:szCs w:val="22"/>
              </w:rPr>
              <w:t>Chondrocladia</w:t>
            </w:r>
            <w:r w:rsidRPr="0021277B">
              <w:rPr>
                <w:sz w:val="22"/>
                <w:szCs w:val="22"/>
              </w:rPr>
              <w:t xml:space="preserve"> and </w:t>
            </w:r>
            <w:r w:rsidRPr="0021277B">
              <w:rPr>
                <w:i/>
                <w:iCs/>
                <w:sz w:val="22"/>
                <w:szCs w:val="22"/>
              </w:rPr>
              <w:t>Cladrihiza</w:t>
            </w:r>
            <w:r w:rsidRPr="0021277B">
              <w:rPr>
                <w:sz w:val="22"/>
                <w:szCs w:val="22"/>
              </w:rPr>
              <w:t xml:space="preserve">) have also been recorded (Sánchez </w:t>
            </w:r>
            <w:r w:rsidRPr="0006066A">
              <w:rPr>
                <w:i/>
                <w:sz w:val="22"/>
                <w:szCs w:val="22"/>
              </w:rPr>
              <w:t>et al</w:t>
            </w:r>
            <w:r w:rsidRPr="0021277B">
              <w:rPr>
                <w:sz w:val="22"/>
                <w:szCs w:val="22"/>
              </w:rPr>
              <w:t xml:space="preserve">., 2008; 2014; Aguilar </w:t>
            </w:r>
            <w:r w:rsidRPr="0006066A">
              <w:rPr>
                <w:i/>
                <w:sz w:val="22"/>
                <w:szCs w:val="22"/>
              </w:rPr>
              <w:t>et al</w:t>
            </w:r>
            <w:r w:rsidRPr="0021277B">
              <w:rPr>
                <w:sz w:val="22"/>
                <w:szCs w:val="22"/>
              </w:rPr>
              <w:t>., 2009).</w:t>
            </w:r>
          </w:p>
          <w:p w14:paraId="6371B74B" w14:textId="77777777" w:rsidR="006B3F46" w:rsidRPr="0021277B" w:rsidRDefault="006B3F46" w:rsidP="00907941">
            <w:pPr>
              <w:widowControl w:val="0"/>
              <w:autoSpaceDE w:val="0"/>
              <w:autoSpaceDN w:val="0"/>
              <w:adjustRightInd w:val="0"/>
              <w:jc w:val="both"/>
              <w:rPr>
                <w:sz w:val="22"/>
                <w:szCs w:val="22"/>
                <w:lang w:val="en-US"/>
              </w:rPr>
            </w:pPr>
          </w:p>
          <w:p w14:paraId="1C91A9B1" w14:textId="77777777" w:rsidR="006B3F46" w:rsidRPr="0021277B" w:rsidRDefault="006B3F46" w:rsidP="00907941">
            <w:pPr>
              <w:widowControl w:val="0"/>
              <w:autoSpaceDE w:val="0"/>
              <w:autoSpaceDN w:val="0"/>
              <w:adjustRightInd w:val="0"/>
              <w:jc w:val="both"/>
              <w:rPr>
                <w:sz w:val="22"/>
                <w:szCs w:val="22"/>
                <w:lang w:val="en-US"/>
              </w:rPr>
            </w:pPr>
            <w:r w:rsidRPr="0021277B">
              <w:rPr>
                <w:sz w:val="22"/>
                <w:szCs w:val="22"/>
                <w:lang w:val="en-US"/>
              </w:rPr>
              <w:t xml:space="preserve">Moreover, other populations comprising species with </w:t>
            </w:r>
            <w:r w:rsidRPr="00EC31A4">
              <w:rPr>
                <w:sz w:val="22"/>
                <w:szCs w:val="22"/>
                <w:lang w:val="en-US"/>
              </w:rPr>
              <w:t>low fecundity</w:t>
            </w:r>
            <w:r w:rsidRPr="0021277B">
              <w:rPr>
                <w:sz w:val="22"/>
                <w:szCs w:val="22"/>
                <w:lang w:val="en-US"/>
              </w:rPr>
              <w:t xml:space="preserve">, such as sharks or cetaceans, are very vulnerable to anthropogenic impacts (Helfman </w:t>
            </w:r>
            <w:r w:rsidRPr="0006066A">
              <w:rPr>
                <w:i/>
                <w:sz w:val="22"/>
                <w:szCs w:val="22"/>
                <w:lang w:val="en-US"/>
              </w:rPr>
              <w:t>et al</w:t>
            </w:r>
            <w:r w:rsidRPr="0021277B">
              <w:rPr>
                <w:sz w:val="22"/>
                <w:szCs w:val="22"/>
                <w:lang w:val="en-US"/>
              </w:rPr>
              <w:t xml:space="preserve">., 1997; Lavín </w:t>
            </w:r>
            <w:r w:rsidRPr="0006066A">
              <w:rPr>
                <w:i/>
                <w:sz w:val="22"/>
                <w:szCs w:val="22"/>
                <w:lang w:val="en-US"/>
              </w:rPr>
              <w:t>et al</w:t>
            </w:r>
            <w:r w:rsidRPr="0021277B">
              <w:rPr>
                <w:sz w:val="22"/>
                <w:szCs w:val="22"/>
                <w:lang w:val="en-US"/>
              </w:rPr>
              <w:t>., 2004).</w:t>
            </w:r>
          </w:p>
          <w:p w14:paraId="1B279EEE" w14:textId="77777777" w:rsidR="006B3F46" w:rsidRPr="0021277B" w:rsidRDefault="006B3F46" w:rsidP="00907941">
            <w:pPr>
              <w:widowControl w:val="0"/>
              <w:autoSpaceDE w:val="0"/>
              <w:autoSpaceDN w:val="0"/>
              <w:adjustRightInd w:val="0"/>
              <w:jc w:val="both"/>
              <w:rPr>
                <w:rFonts w:eastAsia="MS Mincho"/>
                <w:b/>
                <w:bCs/>
                <w:sz w:val="22"/>
                <w:szCs w:val="22"/>
                <w:lang w:val="en-US"/>
              </w:rPr>
            </w:pPr>
          </w:p>
        </w:tc>
      </w:tr>
      <w:tr w:rsidR="006B3F46" w:rsidRPr="0021277B" w14:paraId="75419CCB" w14:textId="77777777" w:rsidTr="00907941">
        <w:tc>
          <w:tcPr>
            <w:tcW w:w="783" w:type="pct"/>
            <w:shd w:val="clear" w:color="auto" w:fill="auto"/>
          </w:tcPr>
          <w:p w14:paraId="1E2EF5E7" w14:textId="77777777" w:rsidR="006B3F46" w:rsidRPr="0021277B" w:rsidRDefault="006B3F46" w:rsidP="00907941">
            <w:pPr>
              <w:widowControl w:val="0"/>
              <w:autoSpaceDE w:val="0"/>
              <w:autoSpaceDN w:val="0"/>
              <w:adjustRightInd w:val="0"/>
              <w:jc w:val="both"/>
              <w:rPr>
                <w:rFonts w:eastAsia="MS Mincho"/>
                <w:b/>
                <w:bCs/>
                <w:sz w:val="22"/>
                <w:szCs w:val="22"/>
                <w:lang w:val="en-US"/>
              </w:rPr>
            </w:pPr>
            <w:r w:rsidRPr="0021277B">
              <w:rPr>
                <w:rFonts w:eastAsia="MS Mincho"/>
                <w:b/>
                <w:bCs/>
                <w:sz w:val="22"/>
                <w:szCs w:val="22"/>
                <w:lang w:val="en-US"/>
              </w:rPr>
              <w:t>Biological productivity</w:t>
            </w:r>
          </w:p>
        </w:tc>
        <w:tc>
          <w:tcPr>
            <w:tcW w:w="2280" w:type="pct"/>
            <w:shd w:val="clear" w:color="auto" w:fill="auto"/>
          </w:tcPr>
          <w:p w14:paraId="0A9C6DE5" w14:textId="77777777" w:rsidR="006B3F46" w:rsidRPr="0021277B" w:rsidRDefault="006B3F46" w:rsidP="00907941">
            <w:pPr>
              <w:widowControl w:val="0"/>
              <w:autoSpaceDE w:val="0"/>
              <w:autoSpaceDN w:val="0"/>
              <w:adjustRightInd w:val="0"/>
              <w:jc w:val="both"/>
              <w:rPr>
                <w:rFonts w:eastAsia="MS Mincho"/>
                <w:bCs/>
                <w:sz w:val="22"/>
                <w:szCs w:val="22"/>
              </w:rPr>
            </w:pPr>
            <w:r w:rsidRPr="0021277B">
              <w:rPr>
                <w:rFonts w:eastAsia="MS Mincho"/>
                <w:bCs/>
                <w:sz w:val="22"/>
                <w:szCs w:val="22"/>
              </w:rPr>
              <w:t xml:space="preserve">Area containing species, populations or communities with comparatively higher natural biological productivity. </w:t>
            </w:r>
          </w:p>
        </w:tc>
        <w:tc>
          <w:tcPr>
            <w:tcW w:w="684" w:type="pct"/>
            <w:gridSpan w:val="3"/>
            <w:shd w:val="clear" w:color="auto" w:fill="auto"/>
          </w:tcPr>
          <w:p w14:paraId="2E30AEE7"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0" w:type="pct"/>
            <w:gridSpan w:val="2"/>
            <w:shd w:val="clear" w:color="auto" w:fill="auto"/>
          </w:tcPr>
          <w:p w14:paraId="1CB29D0D"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1" w:type="pct"/>
            <w:gridSpan w:val="2"/>
            <w:shd w:val="clear" w:color="auto" w:fill="auto"/>
          </w:tcPr>
          <w:p w14:paraId="0B3FB9FE"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32" w:type="pct"/>
            <w:gridSpan w:val="2"/>
            <w:shd w:val="clear" w:color="auto" w:fill="auto"/>
          </w:tcPr>
          <w:p w14:paraId="26CEF694"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6CD6532B" w14:textId="77777777" w:rsidR="006B3F46" w:rsidRPr="0021277B" w:rsidRDefault="006B3F46" w:rsidP="00907941">
            <w:pPr>
              <w:widowControl w:val="0"/>
              <w:autoSpaceDE w:val="0"/>
              <w:autoSpaceDN w:val="0"/>
              <w:adjustRightInd w:val="0"/>
              <w:jc w:val="center"/>
              <w:rPr>
                <w:sz w:val="22"/>
                <w:szCs w:val="22"/>
                <w:lang w:val="en-US"/>
              </w:rPr>
            </w:pPr>
            <w:r w:rsidRPr="0021277B">
              <w:rPr>
                <w:sz w:val="22"/>
                <w:szCs w:val="22"/>
                <w:lang w:val="en-US"/>
              </w:rPr>
              <w:t>X</w:t>
            </w:r>
          </w:p>
        </w:tc>
      </w:tr>
      <w:tr w:rsidR="006B3F46" w:rsidRPr="0021277B" w14:paraId="7A3E549B" w14:textId="77777777" w:rsidTr="00907941">
        <w:tc>
          <w:tcPr>
            <w:tcW w:w="5000" w:type="pct"/>
            <w:gridSpan w:val="11"/>
            <w:shd w:val="clear" w:color="auto" w:fill="auto"/>
          </w:tcPr>
          <w:p w14:paraId="71290178" w14:textId="77777777" w:rsidR="006B3F46" w:rsidRPr="0021277B" w:rsidRDefault="006B3F46" w:rsidP="00907941">
            <w:pPr>
              <w:widowControl w:val="0"/>
              <w:autoSpaceDE w:val="0"/>
              <w:autoSpaceDN w:val="0"/>
              <w:adjustRightInd w:val="0"/>
              <w:jc w:val="both"/>
              <w:rPr>
                <w:rFonts w:eastAsia="MS Mincho"/>
                <w:i/>
                <w:sz w:val="22"/>
                <w:szCs w:val="22"/>
                <w:lang w:val="en-US"/>
              </w:rPr>
            </w:pPr>
            <w:r w:rsidRPr="0021277B">
              <w:rPr>
                <w:rFonts w:eastAsia="MS Mincho"/>
                <w:i/>
                <w:sz w:val="22"/>
                <w:szCs w:val="22"/>
                <w:lang w:val="en-US"/>
              </w:rPr>
              <w:t>Explanation for ranking</w:t>
            </w:r>
          </w:p>
          <w:p w14:paraId="4D2A3DD2" w14:textId="77777777" w:rsidR="006B3F46" w:rsidRPr="0021277B" w:rsidRDefault="006B3F46" w:rsidP="002E4B39">
            <w:pPr>
              <w:pStyle w:val="NormalWeb"/>
              <w:shd w:val="clear" w:color="auto" w:fill="FFFFFF"/>
              <w:spacing w:before="0" w:beforeAutospacing="0" w:after="150" w:afterAutospacing="0"/>
              <w:jc w:val="both"/>
              <w:rPr>
                <w:sz w:val="22"/>
                <w:szCs w:val="22"/>
                <w:lang w:val="en-US"/>
              </w:rPr>
            </w:pPr>
            <w:r>
              <w:rPr>
                <w:sz w:val="22"/>
                <w:szCs w:val="22"/>
                <w:lang w:val="en-US"/>
              </w:rPr>
              <w:t>T</w:t>
            </w:r>
            <w:r w:rsidRPr="00815551">
              <w:rPr>
                <w:sz w:val="22"/>
                <w:szCs w:val="22"/>
                <w:lang w:val="en-US"/>
              </w:rPr>
              <w:t xml:space="preserve">his </w:t>
            </w:r>
            <w:r>
              <w:rPr>
                <w:sz w:val="22"/>
                <w:szCs w:val="22"/>
                <w:lang w:val="en-US"/>
              </w:rPr>
              <w:t xml:space="preserve">area is </w:t>
            </w:r>
            <w:r w:rsidRPr="00815551">
              <w:rPr>
                <w:sz w:val="22"/>
                <w:szCs w:val="22"/>
                <w:lang w:val="en-US"/>
              </w:rPr>
              <w:t>highly productive biological</w:t>
            </w:r>
            <w:r>
              <w:rPr>
                <w:sz w:val="22"/>
                <w:szCs w:val="22"/>
                <w:lang w:val="en-US"/>
              </w:rPr>
              <w:t>ly due to its</w:t>
            </w:r>
            <w:r w:rsidRPr="0021277B">
              <w:rPr>
                <w:sz w:val="22"/>
                <w:szCs w:val="22"/>
                <w:lang w:val="en-US"/>
              </w:rPr>
              <w:t xml:space="preserve"> complex hydrology</w:t>
            </w:r>
            <w:r>
              <w:rPr>
                <w:sz w:val="22"/>
                <w:szCs w:val="22"/>
                <w:lang w:val="en-US"/>
              </w:rPr>
              <w:t>, which is the result of</w:t>
            </w:r>
            <w:r w:rsidRPr="0021277B">
              <w:rPr>
                <w:sz w:val="22"/>
                <w:szCs w:val="22"/>
                <w:lang w:val="en-US"/>
              </w:rPr>
              <w:t xml:space="preserve"> the interaction between waters </w:t>
            </w:r>
            <w:r>
              <w:rPr>
                <w:sz w:val="22"/>
                <w:szCs w:val="22"/>
                <w:lang w:val="en-US"/>
              </w:rPr>
              <w:t>from</w:t>
            </w:r>
            <w:r w:rsidRPr="0021277B">
              <w:rPr>
                <w:sz w:val="22"/>
                <w:szCs w:val="22"/>
                <w:lang w:val="en-US"/>
              </w:rPr>
              <w:t xml:space="preserve"> the Atlantic with water </w:t>
            </w:r>
            <w:r>
              <w:rPr>
                <w:sz w:val="22"/>
                <w:szCs w:val="22"/>
                <w:lang w:val="en-US"/>
              </w:rPr>
              <w:t>from the</w:t>
            </w:r>
            <w:r w:rsidRPr="0021277B">
              <w:rPr>
                <w:sz w:val="22"/>
                <w:szCs w:val="22"/>
                <w:lang w:val="en-US"/>
              </w:rPr>
              <w:t xml:space="preserve"> Mediterranean  and the </w:t>
            </w:r>
            <w:r w:rsidRPr="00DE7838">
              <w:rPr>
                <w:sz w:val="22"/>
                <w:szCs w:val="22"/>
                <w:lang w:val="en-US"/>
              </w:rPr>
              <w:t>geomorphological</w:t>
            </w:r>
            <w:r w:rsidRPr="00F67031">
              <w:rPr>
                <w:sz w:val="22"/>
                <w:szCs w:val="22"/>
                <w:lang w:val="en-US"/>
              </w:rPr>
              <w:t xml:space="preserve"> </w:t>
            </w:r>
            <w:r w:rsidRPr="0021277B">
              <w:rPr>
                <w:sz w:val="22"/>
                <w:szCs w:val="22"/>
                <w:lang w:val="en-US"/>
              </w:rPr>
              <w:t xml:space="preserve">role of canyons and seamounts </w:t>
            </w:r>
            <w:r>
              <w:rPr>
                <w:sz w:val="22"/>
                <w:szCs w:val="22"/>
                <w:lang w:val="en-US"/>
              </w:rPr>
              <w:t>in</w:t>
            </w:r>
            <w:r w:rsidRPr="0021277B">
              <w:rPr>
                <w:sz w:val="22"/>
                <w:szCs w:val="22"/>
                <w:lang w:val="en-US"/>
              </w:rPr>
              <w:t xml:space="preserve"> transport</w:t>
            </w:r>
            <w:r>
              <w:rPr>
                <w:sz w:val="22"/>
                <w:szCs w:val="22"/>
                <w:lang w:val="en-US"/>
              </w:rPr>
              <w:t>ing</w:t>
            </w:r>
            <w:r w:rsidRPr="0021277B">
              <w:rPr>
                <w:sz w:val="22"/>
                <w:szCs w:val="22"/>
                <w:lang w:val="en-US"/>
              </w:rPr>
              <w:t xml:space="preserve"> organic matter and sediment from the continental </w:t>
            </w:r>
            <w:r w:rsidRPr="002E4B39">
              <w:rPr>
                <w:rFonts w:eastAsia="Malgun Gothic"/>
                <w:sz w:val="22"/>
                <w:szCs w:val="22"/>
                <w:lang w:val="en-US"/>
              </w:rPr>
              <w:t>shelf</w:t>
            </w:r>
            <w:r w:rsidRPr="0021277B">
              <w:rPr>
                <w:sz w:val="22"/>
                <w:szCs w:val="22"/>
                <w:lang w:val="en-US"/>
              </w:rPr>
              <w:t xml:space="preserve"> to the deep areas of the Bay of Biscay abyssal basin</w:t>
            </w:r>
            <w:r>
              <w:rPr>
                <w:sz w:val="22"/>
                <w:szCs w:val="22"/>
                <w:lang w:val="en-US"/>
              </w:rPr>
              <w:t xml:space="preserve">. </w:t>
            </w:r>
          </w:p>
          <w:p w14:paraId="7879F87A" w14:textId="4B2DAE83" w:rsidR="006B3F46" w:rsidRPr="00DC50DB" w:rsidRDefault="006B3F46" w:rsidP="002E4B39">
            <w:pPr>
              <w:pStyle w:val="NormalWeb"/>
              <w:shd w:val="clear" w:color="auto" w:fill="FFFFFF"/>
              <w:spacing w:before="0" w:beforeAutospacing="0" w:after="150" w:afterAutospacing="0"/>
              <w:jc w:val="both"/>
              <w:rPr>
                <w:rFonts w:eastAsia="MS Mincho"/>
                <w:lang w:val="en-CA"/>
              </w:rPr>
            </w:pPr>
            <w:r w:rsidRPr="0021277B">
              <w:rPr>
                <w:sz w:val="22"/>
                <w:szCs w:val="22"/>
                <w:lang w:val="en-US"/>
              </w:rPr>
              <w:t xml:space="preserve">Coastal upwelling events occur mainly on the Spanish continental margin. These are produced by </w:t>
            </w:r>
            <w:r>
              <w:rPr>
                <w:sz w:val="22"/>
                <w:szCs w:val="22"/>
                <w:lang w:val="en-US"/>
              </w:rPr>
              <w:t>north-eastern</w:t>
            </w:r>
            <w:r w:rsidRPr="0021277B">
              <w:rPr>
                <w:sz w:val="22"/>
                <w:szCs w:val="22"/>
                <w:lang w:val="en-US"/>
              </w:rPr>
              <w:t xml:space="preserve"> winds prevailing from late May to September. Upwelling events are responsible for the high productivity of the area and act as a mechanism generating spatial variability between the western and eastern parts of the Cantabrian Sea and between the coastal mixed waters and the neighbouring oceanic stratified areas (Lavín </w:t>
            </w:r>
            <w:r w:rsidRPr="0006066A">
              <w:rPr>
                <w:i/>
                <w:sz w:val="22"/>
                <w:szCs w:val="22"/>
                <w:lang w:val="en-US"/>
              </w:rPr>
              <w:t>et al</w:t>
            </w:r>
            <w:r w:rsidRPr="0021277B">
              <w:rPr>
                <w:sz w:val="22"/>
                <w:szCs w:val="22"/>
                <w:lang w:val="en-US"/>
              </w:rPr>
              <w:t xml:space="preserve">., 2004).  </w:t>
            </w:r>
          </w:p>
        </w:tc>
      </w:tr>
      <w:tr w:rsidR="006B3F46" w:rsidRPr="0021277B" w14:paraId="0732BD40" w14:textId="77777777" w:rsidTr="00907941">
        <w:tc>
          <w:tcPr>
            <w:tcW w:w="783" w:type="pct"/>
            <w:shd w:val="clear" w:color="auto" w:fill="auto"/>
          </w:tcPr>
          <w:p w14:paraId="4440BAEA" w14:textId="77777777" w:rsidR="006B3F46" w:rsidRPr="0021277B" w:rsidRDefault="006B3F46" w:rsidP="00907941">
            <w:pPr>
              <w:widowControl w:val="0"/>
              <w:autoSpaceDE w:val="0"/>
              <w:autoSpaceDN w:val="0"/>
              <w:adjustRightInd w:val="0"/>
              <w:jc w:val="both"/>
              <w:rPr>
                <w:rFonts w:eastAsia="MS Mincho"/>
                <w:b/>
                <w:bCs/>
                <w:sz w:val="22"/>
                <w:szCs w:val="22"/>
                <w:lang w:val="en-US"/>
              </w:rPr>
            </w:pPr>
            <w:r w:rsidRPr="0021277B">
              <w:rPr>
                <w:rFonts w:eastAsia="MS Mincho"/>
                <w:b/>
                <w:bCs/>
                <w:sz w:val="22"/>
                <w:szCs w:val="22"/>
                <w:lang w:val="en-US"/>
              </w:rPr>
              <w:t>Biological diversity</w:t>
            </w:r>
          </w:p>
        </w:tc>
        <w:tc>
          <w:tcPr>
            <w:tcW w:w="2280" w:type="pct"/>
            <w:shd w:val="clear" w:color="auto" w:fill="auto"/>
          </w:tcPr>
          <w:p w14:paraId="024F7F8C" w14:textId="77777777" w:rsidR="006B3F46" w:rsidRPr="0021277B" w:rsidRDefault="006B3F46" w:rsidP="00907941">
            <w:pPr>
              <w:widowControl w:val="0"/>
              <w:autoSpaceDE w:val="0"/>
              <w:autoSpaceDN w:val="0"/>
              <w:adjustRightInd w:val="0"/>
              <w:jc w:val="both"/>
              <w:rPr>
                <w:rFonts w:eastAsia="MS Mincho"/>
                <w:bCs/>
                <w:sz w:val="22"/>
                <w:szCs w:val="22"/>
                <w:lang w:val="en-US"/>
              </w:rPr>
            </w:pPr>
            <w:r w:rsidRPr="0021277B">
              <w:rPr>
                <w:rFonts w:eastAsia="MS Mincho"/>
                <w:bCs/>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3EDCDDD9"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0" w:type="pct"/>
            <w:gridSpan w:val="2"/>
            <w:shd w:val="clear" w:color="auto" w:fill="auto"/>
          </w:tcPr>
          <w:p w14:paraId="3A37AC52"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11" w:type="pct"/>
            <w:gridSpan w:val="2"/>
            <w:shd w:val="clear" w:color="auto" w:fill="auto"/>
          </w:tcPr>
          <w:p w14:paraId="04DA9225" w14:textId="77777777" w:rsidR="006B3F46" w:rsidRPr="0021277B" w:rsidRDefault="006B3F46" w:rsidP="00907941">
            <w:pPr>
              <w:widowControl w:val="0"/>
              <w:autoSpaceDE w:val="0"/>
              <w:autoSpaceDN w:val="0"/>
              <w:adjustRightInd w:val="0"/>
              <w:jc w:val="both"/>
              <w:rPr>
                <w:rFonts w:eastAsia="MS Mincho"/>
                <w:bCs/>
                <w:sz w:val="22"/>
                <w:szCs w:val="22"/>
                <w:lang w:val="en-US"/>
              </w:rPr>
            </w:pPr>
          </w:p>
        </w:tc>
        <w:tc>
          <w:tcPr>
            <w:tcW w:w="432" w:type="pct"/>
            <w:gridSpan w:val="2"/>
            <w:shd w:val="clear" w:color="auto" w:fill="auto"/>
          </w:tcPr>
          <w:p w14:paraId="50254C70" w14:textId="77777777" w:rsidR="006B3F46" w:rsidRPr="0021277B" w:rsidRDefault="006B3F46" w:rsidP="00907941">
            <w:pPr>
              <w:widowControl w:val="0"/>
              <w:autoSpaceDE w:val="0"/>
              <w:autoSpaceDN w:val="0"/>
              <w:adjustRightInd w:val="0"/>
              <w:jc w:val="both"/>
              <w:rPr>
                <w:rFonts w:eastAsia="MS Mincho"/>
                <w:bCs/>
                <w:sz w:val="22"/>
                <w:szCs w:val="22"/>
                <w:lang w:val="en-US"/>
              </w:rPr>
            </w:pPr>
          </w:p>
          <w:p w14:paraId="41F24AF7" w14:textId="77777777" w:rsidR="006B3F46" w:rsidRPr="0021277B" w:rsidRDefault="006B3F46" w:rsidP="00907941">
            <w:pPr>
              <w:widowControl w:val="0"/>
              <w:autoSpaceDE w:val="0"/>
              <w:autoSpaceDN w:val="0"/>
              <w:adjustRightInd w:val="0"/>
              <w:jc w:val="center"/>
              <w:rPr>
                <w:sz w:val="22"/>
                <w:szCs w:val="22"/>
                <w:lang w:val="en-US"/>
              </w:rPr>
            </w:pPr>
            <w:r w:rsidRPr="0021277B">
              <w:rPr>
                <w:sz w:val="22"/>
                <w:szCs w:val="22"/>
                <w:lang w:val="en-US"/>
              </w:rPr>
              <w:t>X</w:t>
            </w:r>
          </w:p>
        </w:tc>
      </w:tr>
      <w:tr w:rsidR="006B3F46" w:rsidRPr="0021277B" w14:paraId="12C518B8" w14:textId="77777777" w:rsidTr="00907941">
        <w:tc>
          <w:tcPr>
            <w:tcW w:w="5000" w:type="pct"/>
            <w:gridSpan w:val="11"/>
            <w:shd w:val="clear" w:color="auto" w:fill="auto"/>
          </w:tcPr>
          <w:p w14:paraId="4092F9B8" w14:textId="77777777" w:rsidR="006B3F46" w:rsidRPr="0021277B" w:rsidRDefault="006B3F46" w:rsidP="00907941">
            <w:pPr>
              <w:widowControl w:val="0"/>
              <w:autoSpaceDE w:val="0"/>
              <w:autoSpaceDN w:val="0"/>
              <w:adjustRightInd w:val="0"/>
              <w:jc w:val="both"/>
              <w:rPr>
                <w:rFonts w:eastAsia="MS Mincho"/>
                <w:i/>
                <w:sz w:val="22"/>
                <w:szCs w:val="22"/>
                <w:lang w:val="en-US"/>
              </w:rPr>
            </w:pPr>
            <w:r w:rsidRPr="0021277B">
              <w:rPr>
                <w:rFonts w:eastAsia="MS Mincho"/>
                <w:i/>
                <w:sz w:val="22"/>
                <w:szCs w:val="22"/>
                <w:lang w:val="en-US"/>
              </w:rPr>
              <w:t>Explanation for ranking</w:t>
            </w:r>
          </w:p>
          <w:p w14:paraId="6182EDE5" w14:textId="77777777" w:rsidR="006B3F46" w:rsidRPr="0021277B" w:rsidRDefault="006B3F46" w:rsidP="002E4B39">
            <w:pPr>
              <w:pStyle w:val="NormalWeb"/>
              <w:shd w:val="clear" w:color="auto" w:fill="FFFFFF"/>
              <w:spacing w:before="0" w:beforeAutospacing="0" w:after="150" w:afterAutospacing="0"/>
              <w:jc w:val="both"/>
              <w:rPr>
                <w:sz w:val="22"/>
                <w:szCs w:val="22"/>
                <w:lang w:val="en-US"/>
              </w:rPr>
            </w:pPr>
            <w:r w:rsidRPr="0021277B">
              <w:rPr>
                <w:sz w:val="22"/>
                <w:szCs w:val="22"/>
                <w:lang w:val="en-US"/>
              </w:rPr>
              <w:t xml:space="preserve">Overall, </w:t>
            </w:r>
            <w:r w:rsidRPr="0021277B">
              <w:rPr>
                <w:rFonts w:eastAsia="MS Mincho"/>
                <w:sz w:val="22"/>
                <w:szCs w:val="22"/>
                <w:lang w:val="en-US" w:eastAsia="ja-JP"/>
              </w:rPr>
              <w:t>compared</w:t>
            </w:r>
            <w:r w:rsidRPr="0021277B">
              <w:rPr>
                <w:sz w:val="22"/>
                <w:szCs w:val="22"/>
                <w:lang w:val="en-US"/>
              </w:rPr>
              <w:t xml:space="preserve"> with adjacent areas</w:t>
            </w:r>
            <w:r>
              <w:rPr>
                <w:sz w:val="22"/>
                <w:szCs w:val="22"/>
                <w:lang w:val="en-US"/>
              </w:rPr>
              <w:t>,</w:t>
            </w:r>
            <w:r w:rsidRPr="0021277B">
              <w:rPr>
                <w:sz w:val="22"/>
                <w:szCs w:val="22"/>
                <w:lang w:val="en-US"/>
              </w:rPr>
              <w:t xml:space="preserve"> </w:t>
            </w:r>
            <w:r w:rsidRPr="0021277B">
              <w:rPr>
                <w:rFonts w:eastAsia="MS Mincho"/>
                <w:sz w:val="22"/>
                <w:szCs w:val="22"/>
                <w:lang w:val="en-US" w:eastAsia="ja-JP"/>
              </w:rPr>
              <w:t xml:space="preserve">the Bay of Biscay has a high level of biological diversity </w:t>
            </w:r>
            <w:r w:rsidRPr="0021277B">
              <w:rPr>
                <w:sz w:val="22"/>
                <w:szCs w:val="22"/>
                <w:lang w:val="en-US"/>
              </w:rPr>
              <w:t xml:space="preserve">(Quéro </w:t>
            </w:r>
            <w:r w:rsidRPr="0006066A">
              <w:rPr>
                <w:i/>
                <w:sz w:val="22"/>
                <w:szCs w:val="22"/>
                <w:lang w:val="en-US"/>
              </w:rPr>
              <w:t>et al</w:t>
            </w:r>
            <w:r w:rsidRPr="0021277B">
              <w:rPr>
                <w:sz w:val="22"/>
                <w:szCs w:val="22"/>
                <w:lang w:val="en-US"/>
              </w:rPr>
              <w:t xml:space="preserve">., 1989; Sánchez </w:t>
            </w:r>
            <w:r w:rsidRPr="0006066A">
              <w:rPr>
                <w:i/>
                <w:sz w:val="22"/>
                <w:szCs w:val="22"/>
                <w:lang w:val="en-US"/>
              </w:rPr>
              <w:t>et al</w:t>
            </w:r>
            <w:r w:rsidRPr="0021277B">
              <w:rPr>
                <w:sz w:val="22"/>
                <w:szCs w:val="22"/>
                <w:lang w:val="en-US"/>
              </w:rPr>
              <w:t xml:space="preserve">., 2002), </w:t>
            </w:r>
            <w:r w:rsidRPr="0021277B">
              <w:rPr>
                <w:rFonts w:eastAsia="MS Mincho"/>
                <w:sz w:val="22"/>
                <w:szCs w:val="22"/>
                <w:lang w:val="en-US" w:eastAsia="ja-JP"/>
              </w:rPr>
              <w:t>caused by the</w:t>
            </w:r>
            <w:r w:rsidRPr="0021277B">
              <w:rPr>
                <w:sz w:val="22"/>
                <w:szCs w:val="22"/>
                <w:lang w:val="en-US"/>
              </w:rPr>
              <w:t xml:space="preserve"> complex </w:t>
            </w:r>
            <w:r w:rsidRPr="0021277B">
              <w:rPr>
                <w:rFonts w:eastAsia="MS Mincho"/>
                <w:sz w:val="22"/>
                <w:szCs w:val="22"/>
                <w:lang w:val="en-US" w:eastAsia="ja-JP"/>
              </w:rPr>
              <w:t>hydrodynamic regime that characterizes</w:t>
            </w:r>
            <w:r w:rsidRPr="0021277B">
              <w:rPr>
                <w:sz w:val="22"/>
                <w:szCs w:val="22"/>
                <w:lang w:val="en-US"/>
              </w:rPr>
              <w:t xml:space="preserve"> the area</w:t>
            </w:r>
            <w:r w:rsidRPr="0021277B">
              <w:rPr>
                <w:rFonts w:eastAsia="MS Mincho"/>
                <w:sz w:val="22"/>
                <w:szCs w:val="22"/>
                <w:lang w:val="en-US" w:eastAsia="ja-JP"/>
              </w:rPr>
              <w:t xml:space="preserve">; </w:t>
            </w:r>
            <w:r w:rsidRPr="0021277B">
              <w:rPr>
                <w:sz w:val="22"/>
                <w:szCs w:val="22"/>
                <w:lang w:val="en-US"/>
              </w:rPr>
              <w:t xml:space="preserve"> typical temperate-water species from the </w:t>
            </w:r>
            <w:r w:rsidRPr="0021277B">
              <w:rPr>
                <w:rFonts w:eastAsia="MS Mincho"/>
                <w:sz w:val="22"/>
                <w:szCs w:val="22"/>
                <w:lang w:val="en-US" w:eastAsia="ja-JP"/>
              </w:rPr>
              <w:t>Mediterranean co-</w:t>
            </w:r>
            <w:r w:rsidRPr="0021277B">
              <w:rPr>
                <w:sz w:val="22"/>
                <w:szCs w:val="22"/>
                <w:lang w:val="en-US"/>
              </w:rPr>
              <w:t xml:space="preserve">occur with </w:t>
            </w:r>
            <w:r w:rsidRPr="00677411">
              <w:rPr>
                <w:rFonts w:eastAsia="MS Mincho"/>
                <w:sz w:val="22"/>
                <w:szCs w:val="22"/>
                <w:lang w:val="en-US" w:eastAsia="ja-JP"/>
              </w:rPr>
              <w:t>species</w:t>
            </w:r>
            <w:r w:rsidRPr="008F44A8">
              <w:rPr>
                <w:sz w:val="22"/>
                <w:szCs w:val="22"/>
                <w:lang w:val="en-US"/>
              </w:rPr>
              <w:t xml:space="preserve"> </w:t>
            </w:r>
            <w:r w:rsidRPr="0021277B">
              <w:rPr>
                <w:sz w:val="22"/>
                <w:szCs w:val="22"/>
                <w:lang w:val="en-US"/>
              </w:rPr>
              <w:t xml:space="preserve"> </w:t>
            </w:r>
            <w:r w:rsidRPr="0021277B">
              <w:rPr>
                <w:rFonts w:eastAsia="MS Mincho"/>
                <w:sz w:val="22"/>
                <w:szCs w:val="22"/>
                <w:lang w:val="en-US" w:eastAsia="ja-JP"/>
              </w:rPr>
              <w:t>more typical of the north</w:t>
            </w:r>
            <w:r w:rsidRPr="0021277B">
              <w:rPr>
                <w:sz w:val="22"/>
                <w:szCs w:val="22"/>
                <w:lang w:val="en-US"/>
              </w:rPr>
              <w:t xml:space="preserve">. </w:t>
            </w:r>
          </w:p>
          <w:p w14:paraId="4EE06D12" w14:textId="328CAB70" w:rsidR="006B3F46" w:rsidRPr="00DC50DB" w:rsidRDefault="006B3F46" w:rsidP="002E4B39">
            <w:pPr>
              <w:pStyle w:val="NormalWeb"/>
              <w:shd w:val="clear" w:color="auto" w:fill="FFFFFF"/>
              <w:spacing w:before="0" w:beforeAutospacing="0" w:after="150" w:afterAutospacing="0"/>
              <w:jc w:val="both"/>
              <w:rPr>
                <w:rFonts w:eastAsia="MS Mincho"/>
                <w:lang w:val="en-CA"/>
              </w:rPr>
            </w:pPr>
            <w:r w:rsidRPr="002E4B39">
              <w:rPr>
                <w:rFonts w:eastAsia="Malgun Gothic"/>
                <w:sz w:val="22"/>
                <w:szCs w:val="22"/>
                <w:lang w:val="en-US"/>
              </w:rPr>
              <w:t>Additionally</w:t>
            </w:r>
            <w:r w:rsidRPr="0021277B">
              <w:rPr>
                <w:sz w:val="22"/>
                <w:szCs w:val="22"/>
                <w:lang w:val="en-US"/>
              </w:rPr>
              <w:t>, the highly complex area includes a great diversity of geomorphological features (</w:t>
            </w:r>
            <w:r>
              <w:rPr>
                <w:sz w:val="22"/>
                <w:szCs w:val="22"/>
                <w:lang w:val="en-US"/>
              </w:rPr>
              <w:t>e.g.</w:t>
            </w:r>
            <w:r w:rsidRPr="0021277B">
              <w:rPr>
                <w:sz w:val="22"/>
                <w:szCs w:val="22"/>
                <w:lang w:val="en-US"/>
              </w:rPr>
              <w:t xml:space="preserve">, submarine canyons, seamounts, banks and mounds, pockmarks, slope affected by smaller rock outcrops) and hence, a great diversity of benthic niches </w:t>
            </w:r>
            <w:r w:rsidRPr="0021277B">
              <w:rPr>
                <w:rFonts w:eastAsia="MS Mincho"/>
                <w:sz w:val="22"/>
                <w:szCs w:val="22"/>
                <w:lang w:val="en-US" w:eastAsia="ja-JP"/>
              </w:rPr>
              <w:t xml:space="preserve">are </w:t>
            </w:r>
            <w:r w:rsidRPr="0021277B">
              <w:rPr>
                <w:sz w:val="22"/>
                <w:szCs w:val="22"/>
                <w:lang w:val="en-US"/>
              </w:rPr>
              <w:t xml:space="preserve">available </w:t>
            </w:r>
            <w:r w:rsidRPr="00DC50DB">
              <w:rPr>
                <w:sz w:val="22"/>
                <w:szCs w:val="22"/>
                <w:lang w:val="en-CA"/>
              </w:rPr>
              <w:t xml:space="preserve">(Sánchez </w:t>
            </w:r>
            <w:r w:rsidRPr="00DC50DB">
              <w:rPr>
                <w:i/>
                <w:sz w:val="22"/>
                <w:szCs w:val="22"/>
                <w:lang w:val="en-CA"/>
              </w:rPr>
              <w:t>et al</w:t>
            </w:r>
            <w:r w:rsidRPr="00DC50DB">
              <w:rPr>
                <w:sz w:val="22"/>
                <w:szCs w:val="22"/>
                <w:lang w:val="en-CA"/>
              </w:rPr>
              <w:t xml:space="preserve">., 2008; 2014; Aguilar </w:t>
            </w:r>
            <w:r w:rsidRPr="00DC50DB">
              <w:rPr>
                <w:i/>
                <w:sz w:val="22"/>
                <w:szCs w:val="22"/>
                <w:lang w:val="en-CA"/>
              </w:rPr>
              <w:t>et al</w:t>
            </w:r>
            <w:r w:rsidRPr="00DC50DB">
              <w:rPr>
                <w:sz w:val="22"/>
                <w:szCs w:val="22"/>
                <w:lang w:val="en-CA"/>
              </w:rPr>
              <w:t>., 2009).</w:t>
            </w:r>
          </w:p>
        </w:tc>
      </w:tr>
      <w:tr w:rsidR="006B3F46" w:rsidRPr="0021277B" w14:paraId="3BF66A99" w14:textId="77777777" w:rsidTr="00907941">
        <w:tc>
          <w:tcPr>
            <w:tcW w:w="783" w:type="pct"/>
            <w:shd w:val="clear" w:color="auto" w:fill="auto"/>
          </w:tcPr>
          <w:p w14:paraId="2E5201C5" w14:textId="77777777" w:rsidR="006B3F46" w:rsidRPr="0021277B" w:rsidRDefault="006B3F46" w:rsidP="00907941">
            <w:pPr>
              <w:widowControl w:val="0"/>
              <w:autoSpaceDE w:val="0"/>
              <w:autoSpaceDN w:val="0"/>
              <w:adjustRightInd w:val="0"/>
              <w:jc w:val="both"/>
              <w:rPr>
                <w:rFonts w:eastAsia="MS Mincho"/>
                <w:b/>
                <w:sz w:val="22"/>
                <w:szCs w:val="22"/>
                <w:lang w:val="en-US"/>
              </w:rPr>
            </w:pPr>
            <w:r w:rsidRPr="0021277B">
              <w:rPr>
                <w:rFonts w:eastAsia="MS Mincho"/>
                <w:b/>
                <w:sz w:val="22"/>
                <w:szCs w:val="22"/>
                <w:lang w:val="en-US"/>
              </w:rPr>
              <w:t>Naturalness</w:t>
            </w:r>
          </w:p>
        </w:tc>
        <w:tc>
          <w:tcPr>
            <w:tcW w:w="2295" w:type="pct"/>
            <w:gridSpan w:val="2"/>
            <w:shd w:val="clear" w:color="auto" w:fill="auto"/>
          </w:tcPr>
          <w:p w14:paraId="1B1A9B84" w14:textId="77777777" w:rsidR="006B3F46" w:rsidRPr="0021277B" w:rsidRDefault="006B3F46" w:rsidP="00907941">
            <w:pPr>
              <w:widowControl w:val="0"/>
              <w:autoSpaceDE w:val="0"/>
              <w:autoSpaceDN w:val="0"/>
              <w:adjustRightInd w:val="0"/>
              <w:jc w:val="both"/>
              <w:rPr>
                <w:rFonts w:eastAsia="MS Mincho"/>
                <w:sz w:val="22"/>
                <w:szCs w:val="22"/>
                <w:lang w:val="en-US"/>
              </w:rPr>
            </w:pPr>
            <w:r w:rsidRPr="0021277B">
              <w:rPr>
                <w:rFonts w:eastAsia="MS Mincho"/>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66CCCC3A" w14:textId="77777777" w:rsidR="006B3F46" w:rsidRPr="0021277B" w:rsidRDefault="006B3F46" w:rsidP="00907941">
            <w:pPr>
              <w:widowControl w:val="0"/>
              <w:autoSpaceDE w:val="0"/>
              <w:autoSpaceDN w:val="0"/>
              <w:adjustRightInd w:val="0"/>
              <w:jc w:val="both"/>
              <w:rPr>
                <w:rFonts w:eastAsia="MS Mincho"/>
                <w:sz w:val="22"/>
                <w:szCs w:val="22"/>
                <w:lang w:val="en-US"/>
              </w:rPr>
            </w:pPr>
          </w:p>
        </w:tc>
        <w:tc>
          <w:tcPr>
            <w:tcW w:w="453" w:type="pct"/>
            <w:gridSpan w:val="2"/>
            <w:shd w:val="clear" w:color="auto" w:fill="auto"/>
          </w:tcPr>
          <w:p w14:paraId="59C3AC87" w14:textId="77777777" w:rsidR="006B3F46" w:rsidRPr="0021277B" w:rsidRDefault="006B3F46" w:rsidP="00907941">
            <w:pPr>
              <w:widowControl w:val="0"/>
              <w:autoSpaceDE w:val="0"/>
              <w:autoSpaceDN w:val="0"/>
              <w:adjustRightInd w:val="0"/>
              <w:jc w:val="both"/>
              <w:rPr>
                <w:rFonts w:eastAsia="MS Mincho"/>
                <w:sz w:val="22"/>
                <w:szCs w:val="22"/>
                <w:lang w:val="en-US"/>
              </w:rPr>
            </w:pPr>
          </w:p>
          <w:p w14:paraId="42BEA09E" w14:textId="77777777" w:rsidR="006B3F46" w:rsidRPr="0021277B" w:rsidRDefault="006B3F46" w:rsidP="00907941">
            <w:pPr>
              <w:widowControl w:val="0"/>
              <w:autoSpaceDE w:val="0"/>
              <w:autoSpaceDN w:val="0"/>
              <w:adjustRightInd w:val="0"/>
              <w:jc w:val="center"/>
              <w:rPr>
                <w:sz w:val="22"/>
                <w:szCs w:val="22"/>
                <w:lang w:val="en-US"/>
              </w:rPr>
            </w:pPr>
            <w:r w:rsidRPr="0021277B">
              <w:rPr>
                <w:sz w:val="22"/>
                <w:szCs w:val="22"/>
                <w:lang w:val="en-US"/>
              </w:rPr>
              <w:t>X</w:t>
            </w:r>
          </w:p>
        </w:tc>
        <w:tc>
          <w:tcPr>
            <w:tcW w:w="400" w:type="pct"/>
            <w:gridSpan w:val="2"/>
            <w:shd w:val="clear" w:color="auto" w:fill="auto"/>
          </w:tcPr>
          <w:p w14:paraId="2624A49E" w14:textId="77777777" w:rsidR="006B3F46" w:rsidRPr="0021277B" w:rsidRDefault="006B3F46" w:rsidP="00907941">
            <w:pPr>
              <w:widowControl w:val="0"/>
              <w:autoSpaceDE w:val="0"/>
              <w:autoSpaceDN w:val="0"/>
              <w:adjustRightInd w:val="0"/>
              <w:jc w:val="both"/>
              <w:rPr>
                <w:rFonts w:eastAsia="MS Mincho"/>
                <w:sz w:val="22"/>
                <w:szCs w:val="22"/>
                <w:lang w:val="en-US"/>
              </w:rPr>
            </w:pPr>
          </w:p>
        </w:tc>
        <w:tc>
          <w:tcPr>
            <w:tcW w:w="385" w:type="pct"/>
            <w:shd w:val="clear" w:color="auto" w:fill="auto"/>
          </w:tcPr>
          <w:p w14:paraId="66CC055B" w14:textId="77777777" w:rsidR="006B3F46" w:rsidRPr="0021277B" w:rsidRDefault="006B3F46" w:rsidP="00907941">
            <w:pPr>
              <w:widowControl w:val="0"/>
              <w:autoSpaceDE w:val="0"/>
              <w:autoSpaceDN w:val="0"/>
              <w:adjustRightInd w:val="0"/>
              <w:jc w:val="both"/>
              <w:rPr>
                <w:rFonts w:eastAsia="MS Mincho"/>
                <w:sz w:val="22"/>
                <w:szCs w:val="22"/>
                <w:lang w:val="en-US"/>
              </w:rPr>
            </w:pPr>
          </w:p>
        </w:tc>
      </w:tr>
      <w:tr w:rsidR="006B3F46" w:rsidRPr="0021277B" w14:paraId="5823A7CC" w14:textId="77777777" w:rsidTr="00907941">
        <w:tc>
          <w:tcPr>
            <w:tcW w:w="5000" w:type="pct"/>
            <w:gridSpan w:val="11"/>
            <w:shd w:val="clear" w:color="auto" w:fill="auto"/>
          </w:tcPr>
          <w:p w14:paraId="776430B1" w14:textId="77777777" w:rsidR="006B3F46" w:rsidRPr="0021277B" w:rsidRDefault="006B3F46" w:rsidP="00907941">
            <w:pPr>
              <w:widowControl w:val="0"/>
              <w:autoSpaceDE w:val="0"/>
              <w:autoSpaceDN w:val="0"/>
              <w:adjustRightInd w:val="0"/>
              <w:jc w:val="both"/>
              <w:rPr>
                <w:rFonts w:eastAsia="MS Mincho"/>
                <w:i/>
                <w:sz w:val="22"/>
                <w:szCs w:val="22"/>
                <w:lang w:val="en-US"/>
              </w:rPr>
            </w:pPr>
            <w:r w:rsidRPr="0021277B">
              <w:rPr>
                <w:rFonts w:eastAsia="MS Mincho"/>
                <w:i/>
                <w:sz w:val="22"/>
                <w:szCs w:val="22"/>
                <w:lang w:val="en-US"/>
              </w:rPr>
              <w:t xml:space="preserve">Explanation for ranking  </w:t>
            </w:r>
          </w:p>
          <w:p w14:paraId="59ACF095" w14:textId="77777777" w:rsidR="006B3F46" w:rsidRDefault="006B3F46" w:rsidP="00907941">
            <w:pPr>
              <w:autoSpaceDE w:val="0"/>
              <w:autoSpaceDN w:val="0"/>
              <w:adjustRightInd w:val="0"/>
              <w:jc w:val="both"/>
              <w:rPr>
                <w:sz w:val="22"/>
                <w:szCs w:val="22"/>
              </w:rPr>
            </w:pPr>
            <w:r w:rsidRPr="0021277B">
              <w:rPr>
                <w:sz w:val="22"/>
                <w:szCs w:val="22"/>
                <w:lang w:val="en-US"/>
              </w:rPr>
              <w:t xml:space="preserve">Fisheries, </w:t>
            </w:r>
            <w:r>
              <w:rPr>
                <w:sz w:val="22"/>
                <w:szCs w:val="22"/>
                <w:lang w:val="en-US"/>
              </w:rPr>
              <w:t xml:space="preserve">climate </w:t>
            </w:r>
            <w:r w:rsidRPr="0021277B">
              <w:rPr>
                <w:sz w:val="22"/>
                <w:szCs w:val="22"/>
                <w:lang w:val="en-US"/>
              </w:rPr>
              <w:t>change</w:t>
            </w:r>
            <w:r>
              <w:rPr>
                <w:sz w:val="22"/>
                <w:szCs w:val="22"/>
                <w:lang w:val="en-US"/>
              </w:rPr>
              <w:t xml:space="preserve"> </w:t>
            </w:r>
            <w:r w:rsidRPr="0021277B">
              <w:rPr>
                <w:sz w:val="22"/>
                <w:szCs w:val="22"/>
                <w:lang w:val="en-US"/>
              </w:rPr>
              <w:t xml:space="preserve">and several oil spills that have occurred in the Bay of Biscay have had a strong impact on the bottom communities and have induced changes in their structure (Lavín </w:t>
            </w:r>
            <w:r w:rsidRPr="0006066A">
              <w:rPr>
                <w:i/>
                <w:sz w:val="22"/>
                <w:szCs w:val="22"/>
                <w:lang w:val="en-US"/>
              </w:rPr>
              <w:t>et al</w:t>
            </w:r>
            <w:r w:rsidRPr="0021277B">
              <w:rPr>
                <w:sz w:val="22"/>
                <w:szCs w:val="22"/>
                <w:lang w:val="en-US"/>
              </w:rPr>
              <w:t xml:space="preserve">., 2004). </w:t>
            </w:r>
            <w:r w:rsidRPr="0021277B">
              <w:rPr>
                <w:sz w:val="22"/>
                <w:szCs w:val="22"/>
              </w:rPr>
              <w:t>Therefore, the area displays characteristics of a heavily exploited area, although some rocky substrates show less stressed ecosystems.</w:t>
            </w:r>
          </w:p>
          <w:p w14:paraId="5A966EC0" w14:textId="77777777" w:rsidR="006B3F46" w:rsidRPr="0021277B" w:rsidRDefault="006B3F46" w:rsidP="00907941">
            <w:pPr>
              <w:autoSpaceDE w:val="0"/>
              <w:autoSpaceDN w:val="0"/>
              <w:adjustRightInd w:val="0"/>
              <w:jc w:val="both"/>
              <w:rPr>
                <w:rFonts w:eastAsia="MS Mincho"/>
                <w:sz w:val="22"/>
                <w:szCs w:val="22"/>
                <w:lang w:val="en-US"/>
              </w:rPr>
            </w:pPr>
          </w:p>
        </w:tc>
      </w:tr>
    </w:tbl>
    <w:p w14:paraId="6AE91419"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0AB4FEDE" w14:textId="77777777" w:rsidR="006B3F46" w:rsidRPr="009978E3" w:rsidRDefault="006B3F46" w:rsidP="00907941">
      <w:pPr>
        <w:jc w:val="both"/>
        <w:rPr>
          <w:rFonts w:eastAsia="MS Mincho"/>
          <w:b/>
          <w:sz w:val="22"/>
          <w:szCs w:val="22"/>
          <w:lang w:val="en-US"/>
        </w:rPr>
      </w:pPr>
    </w:p>
    <w:p w14:paraId="5CA240D2" w14:textId="77777777" w:rsidR="006B3F46" w:rsidRPr="009978E3" w:rsidRDefault="006B3F46" w:rsidP="00907941">
      <w:pPr>
        <w:jc w:val="both"/>
        <w:rPr>
          <w:rFonts w:eastAsia="MS Mincho"/>
          <w:b/>
          <w:sz w:val="22"/>
          <w:szCs w:val="22"/>
          <w:lang w:val="fr-CA"/>
        </w:rPr>
      </w:pPr>
      <w:r w:rsidRPr="009978E3">
        <w:rPr>
          <w:rFonts w:eastAsia="MS Mincho"/>
          <w:b/>
          <w:sz w:val="22"/>
          <w:szCs w:val="22"/>
          <w:lang w:val="fr-CA"/>
        </w:rPr>
        <w:t>References</w:t>
      </w:r>
    </w:p>
    <w:p w14:paraId="579D9EA4" w14:textId="77777777" w:rsidR="006B3F46" w:rsidRPr="009978E3" w:rsidRDefault="006B3F46" w:rsidP="00907941">
      <w:pPr>
        <w:ind w:left="709" w:hanging="720"/>
        <w:jc w:val="both"/>
        <w:rPr>
          <w:sz w:val="22"/>
          <w:szCs w:val="22"/>
          <w:lang w:val="es-ES"/>
        </w:rPr>
      </w:pPr>
      <w:r w:rsidRPr="009978E3">
        <w:rPr>
          <w:sz w:val="22"/>
          <w:szCs w:val="22"/>
          <w:lang w:val="es-ES"/>
        </w:rPr>
        <w:t>Aguilar, R., De la Torriente, A., García, A., 2009. Propuesta de Áreas Marinas de Importancia Ecológica; Zona galaico- cantábrica. OCEANA</w:t>
      </w:r>
    </w:p>
    <w:p w14:paraId="54DBD810"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Aguilar R., García S., De la Torriente A., Peñalver, J., 2009. Cetáceos del área galaico-cantábrica. Zonas de importancia para su conservación. Oceana - Obra Social Caja Madrid, 82 pág.</w:t>
      </w:r>
    </w:p>
    <w:p w14:paraId="10FCB987"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n-US"/>
        </w:rPr>
        <w:t xml:space="preserve">Altuna, A., 2013. Scleractinia (Cnidaria: Anthozoa) from ECOMARG 2003, 2008 and 2009 expeditions to bathyal waters off north and northwest Spain (northeast Atlantic). </w:t>
      </w:r>
      <w:r w:rsidRPr="009978E3">
        <w:rPr>
          <w:sz w:val="22"/>
          <w:szCs w:val="22"/>
          <w:lang w:val="es-ES"/>
        </w:rPr>
        <w:t>Zootaxa 3641 (2), 101–128.</w:t>
      </w:r>
    </w:p>
    <w:p w14:paraId="4A66301B"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Anadón N., Doménech J. L., Pérez C., Villegas, M.L., 2004. Estudio para la conservación de la biodiversidad del entorno marino del Cabo Peñas. Autoridad Portuaria de Gijón. 435 pp.</w:t>
      </w:r>
    </w:p>
    <w:p w14:paraId="4D506143"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lang w:val="es-ES"/>
        </w:rPr>
        <w:t>Barberá C</w:t>
      </w:r>
      <w:r>
        <w:rPr>
          <w:sz w:val="22"/>
          <w:szCs w:val="22"/>
          <w:lang w:val="es-ES"/>
        </w:rPr>
        <w:t>.</w:t>
      </w:r>
      <w:r w:rsidRPr="009978E3">
        <w:rPr>
          <w:sz w:val="22"/>
          <w:szCs w:val="22"/>
          <w:lang w:val="es-ES"/>
        </w:rPr>
        <w:t>, Bordehore C</w:t>
      </w:r>
      <w:r>
        <w:rPr>
          <w:sz w:val="22"/>
          <w:szCs w:val="22"/>
          <w:lang w:val="es-ES"/>
        </w:rPr>
        <w:t>.</w:t>
      </w:r>
      <w:r w:rsidRPr="009978E3">
        <w:rPr>
          <w:sz w:val="22"/>
          <w:szCs w:val="22"/>
          <w:lang w:val="es-ES"/>
        </w:rPr>
        <w:t>, Borg J</w:t>
      </w:r>
      <w:r>
        <w:rPr>
          <w:sz w:val="22"/>
          <w:szCs w:val="22"/>
          <w:lang w:val="es-ES"/>
        </w:rPr>
        <w:t>.</w:t>
      </w:r>
      <w:r w:rsidRPr="009978E3">
        <w:rPr>
          <w:sz w:val="22"/>
          <w:szCs w:val="22"/>
          <w:lang w:val="es-ES"/>
        </w:rPr>
        <w:t>A</w:t>
      </w:r>
      <w:r>
        <w:rPr>
          <w:sz w:val="22"/>
          <w:szCs w:val="22"/>
          <w:lang w:val="es-ES"/>
        </w:rPr>
        <w:t>.</w:t>
      </w:r>
      <w:r w:rsidRPr="009978E3">
        <w:rPr>
          <w:sz w:val="22"/>
          <w:szCs w:val="22"/>
          <w:lang w:val="es-ES"/>
        </w:rPr>
        <w:t>, Glémarec M</w:t>
      </w:r>
      <w:r>
        <w:rPr>
          <w:sz w:val="22"/>
          <w:szCs w:val="22"/>
          <w:lang w:val="es-ES"/>
        </w:rPr>
        <w:t>.</w:t>
      </w:r>
      <w:r w:rsidRPr="009978E3">
        <w:rPr>
          <w:sz w:val="22"/>
          <w:szCs w:val="22"/>
          <w:lang w:val="es-ES"/>
        </w:rPr>
        <w:t>, Grall J</w:t>
      </w:r>
      <w:r>
        <w:rPr>
          <w:sz w:val="22"/>
          <w:szCs w:val="22"/>
          <w:lang w:val="es-ES"/>
        </w:rPr>
        <w:t>.</w:t>
      </w:r>
      <w:r w:rsidRPr="009978E3">
        <w:rPr>
          <w:sz w:val="22"/>
          <w:szCs w:val="22"/>
          <w:lang w:val="es-ES"/>
        </w:rPr>
        <w:t xml:space="preserve">, Hall-Spencer J.M., De la Huz C.H., Lanfranco E., Lastra M., Moore P.G., Mora J., Pita M.E., Ramos-Esplá A.A., Rizzo M., Sánchez-Mata A., Seva A., Schembri P.J. &amp; C. Valle (2003).  </w:t>
      </w:r>
      <w:r w:rsidRPr="009978E3">
        <w:rPr>
          <w:sz w:val="22"/>
          <w:szCs w:val="22"/>
        </w:rPr>
        <w:t>Conservation and management of northeast Atlantic and Mediterranean maërl beds. Aquatic Conservation: Marine and Freshwater Ecosystems 13: 65-76.</w:t>
      </w:r>
    </w:p>
    <w:p w14:paraId="1FB01EEF"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Botas J.A., Fernández E., Bode A., Anadón, R., 1990. A persistent upwelling off the central Cantabrian coast (Bay of Biscay). Est. Coast. Shelf Sci., 30: 185–199.</w:t>
      </w:r>
    </w:p>
    <w:p w14:paraId="429F7743" w14:textId="77777777" w:rsidR="006B3F46" w:rsidRPr="009978E3" w:rsidRDefault="006B3F46" w:rsidP="00907941">
      <w:pPr>
        <w:ind w:left="709" w:hanging="720"/>
        <w:jc w:val="both"/>
        <w:rPr>
          <w:sz w:val="22"/>
          <w:szCs w:val="22"/>
        </w:rPr>
      </w:pPr>
      <w:r w:rsidRPr="009978E3">
        <w:rPr>
          <w:sz w:val="22"/>
          <w:szCs w:val="22"/>
        </w:rPr>
        <w:t>Borja A., Collins, M., 2004. Oceanography and marine environment of the Basque country. Elsevier Oceanograp. Ser. 70, 616 pp.</w:t>
      </w:r>
    </w:p>
    <w:p w14:paraId="7AAF2745"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rPr>
        <w:t xml:space="preserve">Brocheray, S, Cremer, M., Zaragosi, S., Schmidt, Sp., Eynaud, F., Rossignol, L., Gillet, H., 2014. 2000 years of frequent turbidite activity in the Capbreton Canyon (Bay of Biscay). </w:t>
      </w:r>
      <w:r w:rsidRPr="009978E3">
        <w:rPr>
          <w:sz w:val="22"/>
          <w:szCs w:val="22"/>
          <w:lang w:val="es-ES"/>
        </w:rPr>
        <w:t>Marine Geology, 347: 136-152.</w:t>
      </w:r>
    </w:p>
    <w:p w14:paraId="2C826B6B"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lang w:val="es-ES"/>
        </w:rPr>
        <w:t xml:space="preserve">Cardador, F., Sanchéz, F., Pereiro, F.J., Borges, M.F., Caramelo, A.M., Azevedo, M., Silva, A., Pérez, N., Martins, M.M., Olaso, I., Pestana, G., Trujillo, V., Fernandez, A., 1997. </w:t>
      </w:r>
      <w:r w:rsidRPr="009978E3">
        <w:rPr>
          <w:sz w:val="22"/>
          <w:szCs w:val="22"/>
        </w:rPr>
        <w:t>Groundfish surveys in the Atlantic Iberian waters (Ices Divisions VIIIc and IXa): history and perspectives. ICES, Council Meeting 1997/Y:08, 30 pp.;</w:t>
      </w:r>
    </w:p>
    <w:p w14:paraId="225FAA56" w14:textId="77777777" w:rsidR="006B3F46" w:rsidRPr="009978E3" w:rsidRDefault="009E53BE" w:rsidP="00907941">
      <w:pPr>
        <w:ind w:left="709" w:hanging="720"/>
        <w:jc w:val="both"/>
        <w:rPr>
          <w:sz w:val="22"/>
          <w:szCs w:val="22"/>
        </w:rPr>
      </w:pPr>
      <w:hyperlink r:id="rId134" w:anchor="bb0055" w:history="1">
        <w:r w:rsidR="006B3F46" w:rsidRPr="009978E3">
          <w:rPr>
            <w:rStyle w:val="Hyperlink"/>
            <w:sz w:val="22"/>
            <w:szCs w:val="22"/>
          </w:rPr>
          <w:t>CODA 2009</w:t>
        </w:r>
      </w:hyperlink>
      <w:r w:rsidR="006B3F46" w:rsidRPr="00F66EF7">
        <w:rPr>
          <w:sz w:val="22"/>
          <w:szCs w:val="22"/>
        </w:rPr>
        <w:t xml:space="preserve">. Cetacean Offshore </w:t>
      </w:r>
      <w:r w:rsidR="006B3F46" w:rsidRPr="009978E3">
        <w:rPr>
          <w:sz w:val="22"/>
          <w:szCs w:val="22"/>
        </w:rPr>
        <w:t>Distribution and Abundance in the European Atlantic. Final Report. 43 pp. &lt;</w:t>
      </w:r>
      <w:hyperlink r:id="rId135" w:tgtFrame="_blank" w:history="1">
        <w:r w:rsidR="006B3F46" w:rsidRPr="009978E3">
          <w:rPr>
            <w:rStyle w:val="Hyperlink"/>
            <w:sz w:val="22"/>
            <w:szCs w:val="22"/>
          </w:rPr>
          <w:t>http://biology.st-andrews.ac.uk/coda/</w:t>
        </w:r>
      </w:hyperlink>
      <w:r w:rsidR="006B3F46" w:rsidRPr="00F66EF7">
        <w:rPr>
          <w:sz w:val="22"/>
          <w:szCs w:val="22"/>
        </w:rPr>
        <w:t>&gt;.</w:t>
      </w:r>
    </w:p>
    <w:p w14:paraId="4B165D23" w14:textId="77777777" w:rsidR="006B3F46" w:rsidRPr="009978E3" w:rsidRDefault="006B3F46" w:rsidP="00907941">
      <w:pPr>
        <w:autoSpaceDE w:val="0"/>
        <w:autoSpaceDN w:val="0"/>
        <w:adjustRightInd w:val="0"/>
        <w:ind w:left="709" w:hanging="720"/>
        <w:jc w:val="both"/>
        <w:rPr>
          <w:sz w:val="22"/>
          <w:szCs w:val="22"/>
          <w:lang w:val="fr-CA"/>
        </w:rPr>
      </w:pPr>
      <w:r w:rsidRPr="009978E3">
        <w:rPr>
          <w:sz w:val="22"/>
          <w:szCs w:val="22"/>
          <w:lang w:val="fr-CA"/>
        </w:rPr>
        <w:t xml:space="preserve">Corcabri, L., Sorbe, J.C., 2001. </w:t>
      </w:r>
      <w:r w:rsidRPr="009978E3">
        <w:rPr>
          <w:sz w:val="22"/>
          <w:szCs w:val="22"/>
          <w:lang w:val="en-US"/>
        </w:rPr>
        <w:t xml:space="preserve">Structure of the suprabenthic assemblages in the Capbreton area (SE of the bay of Biscay). </w:t>
      </w:r>
      <w:r w:rsidRPr="009978E3">
        <w:rPr>
          <w:sz w:val="22"/>
          <w:szCs w:val="22"/>
          <w:lang w:val="fr-CA"/>
        </w:rPr>
        <w:t>Le milieur marin: benthologie.</w:t>
      </w:r>
    </w:p>
    <w:p w14:paraId="33FFF4E3" w14:textId="77777777" w:rsidR="006B3F46" w:rsidRPr="009978E3" w:rsidRDefault="006B3F46" w:rsidP="00907941">
      <w:pPr>
        <w:autoSpaceDE w:val="0"/>
        <w:autoSpaceDN w:val="0"/>
        <w:adjustRightInd w:val="0"/>
        <w:ind w:left="709" w:hanging="720"/>
        <w:jc w:val="both"/>
        <w:rPr>
          <w:sz w:val="22"/>
          <w:szCs w:val="22"/>
          <w:lang w:val="en-US"/>
        </w:rPr>
      </w:pPr>
      <w:r w:rsidRPr="009E53BE">
        <w:rPr>
          <w:sz w:val="22"/>
          <w:szCs w:val="22"/>
        </w:rPr>
        <w:t xml:space="preserve">Cristobo, J., P. Ríos, F. Sánchez and N. Anadón, 2009. </w:t>
      </w:r>
      <w:r w:rsidRPr="009978E3">
        <w:rPr>
          <w:sz w:val="22"/>
          <w:szCs w:val="22"/>
          <w:lang w:val="en-US"/>
        </w:rPr>
        <w:t>Redescription of the rare species Podospongia loveni (Porifera) from the Cantabrian Sea. Continental Shelf  Research 29 (2009), 1157-1164.</w:t>
      </w:r>
    </w:p>
    <w:p w14:paraId="7D6274E3"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 xml:space="preserve">Díez, I., A. Secilla, A. Santolaria and J.M. Gorostiaga, 2000. The north coast of Spain. In Seas at the Millennium. An environmental evaluation. C. Sheppard (Ed.). Pergamon, Amsterdam, Volume I, 135–150. </w:t>
      </w:r>
    </w:p>
    <w:p w14:paraId="452B3328"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Frutos, I. and Sorbe, J.C., 2010. Politolana sanchezi sp. nov. (Crustacea: Isopoda: Cirolanidae), a new benthic bioturbating scavenger from bathyal soft-bottoms of the southern Bay of Biscay (northeastern Atlantic Ocean). Zootaxa 2640: 20-34.</w:t>
      </w:r>
    </w:p>
    <w:p w14:paraId="255667C4"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n-US"/>
        </w:rPr>
        <w:t xml:space="preserve">Frutos, I., Sorbe J.C. &amp; Junoy J. 2011. The first blind Paranthura species (Crustacea, Isopoda, Paranthuridae) from the "El Cachucho" Marine Protected Area (Le Danois Bank, southern Bay of Biscay). </w:t>
      </w:r>
      <w:r w:rsidRPr="009978E3">
        <w:rPr>
          <w:sz w:val="22"/>
          <w:szCs w:val="22"/>
          <w:lang w:val="es-ES"/>
        </w:rPr>
        <w:t>Zootaxa, 2971: 17-32.</w:t>
      </w:r>
    </w:p>
    <w:p w14:paraId="7ED782B2"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lang w:val="es-ES"/>
        </w:rPr>
        <w:t xml:space="preserve">García-Alegre, A. Sánchez, F., Gómez-Ballesteros, M., Hinz, H., Serrano, A., Parra, S., 2014. </w:t>
      </w:r>
      <w:r w:rsidRPr="009978E3">
        <w:rPr>
          <w:sz w:val="22"/>
          <w:szCs w:val="22"/>
        </w:rPr>
        <w:t>Modelling and mapping the local distribution of representative species on the Le Danois Bank, El Cachucho Marine Protected Area (Cantabrian Sea). Deep-Sea Research II, 106: 151-164.</w:t>
      </w:r>
    </w:p>
    <w:p w14:paraId="2CBDE538"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rPr>
        <w:t xml:space="preserve">Gaudin, M., Mulder, T., Cirac, P., Berné, S., Imbert, P., 2006. Past and present sedimentary activity in the Capbreton Canyon, southern Bay of Biscay. </w:t>
      </w:r>
      <w:r w:rsidRPr="009978E3">
        <w:rPr>
          <w:sz w:val="22"/>
          <w:szCs w:val="22"/>
          <w:lang w:val="es-ES"/>
        </w:rPr>
        <w:t>Geo-Mar Lett (2006) 26:331–345. DOI 10.1007/s00367-006-0043-1.</w:t>
      </w:r>
    </w:p>
    <w:p w14:paraId="0C0F673E"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 xml:space="preserve">Gómez-Ballesteros, M., M. Druet, A. Muñóz, B. Arrese, J. Rivera, F. Sánchez, F. J. Cristobo, S. Parra; A. García-Alegre, C. González-Pola, J. Gallastegui, J. Acosta, 2014. </w:t>
      </w:r>
    </w:p>
    <w:p w14:paraId="45F87D74"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rPr>
        <w:t>Geomorphology and sedimentary features of the Avilés Canyon System. Cantabrian Sea (Bay of Biscay). Deep-Sea Research II, 106, pp. 99-117.</w:t>
      </w:r>
    </w:p>
    <w:p w14:paraId="68F1B35D" w14:textId="77777777" w:rsidR="006B3F46" w:rsidRPr="009978E3" w:rsidRDefault="006B3F46" w:rsidP="00907941">
      <w:pPr>
        <w:autoSpaceDE w:val="0"/>
        <w:autoSpaceDN w:val="0"/>
        <w:adjustRightInd w:val="0"/>
        <w:ind w:left="709" w:hanging="720"/>
        <w:jc w:val="both"/>
        <w:rPr>
          <w:sz w:val="22"/>
          <w:szCs w:val="22"/>
          <w:lang w:val="fr-CA"/>
        </w:rPr>
      </w:pPr>
      <w:r w:rsidRPr="009978E3">
        <w:rPr>
          <w:sz w:val="22"/>
          <w:szCs w:val="22"/>
          <w:lang w:val="es-ES"/>
        </w:rPr>
        <w:t xml:space="preserve">González-Irusta, J.M., De la Torriente, A., Punzón, A., Blanco, M., Serrano, A., 2018. </w:t>
      </w:r>
      <w:r w:rsidRPr="009978E3">
        <w:rPr>
          <w:sz w:val="22"/>
          <w:szCs w:val="22"/>
        </w:rPr>
        <w:t xml:space="preserve">Determining and mapping species sensitivity to trawling impacts: the BEnthos Sensitivity Index to Trawling Operations (BESITO). </w:t>
      </w:r>
      <w:r w:rsidRPr="009978E3">
        <w:rPr>
          <w:sz w:val="22"/>
          <w:szCs w:val="22"/>
          <w:lang w:val="fr-CA"/>
        </w:rPr>
        <w:t>ICES Journal of Marine Science, 75(5), 1710–1721. doi:10.1093/icesjms/fsy030.</w:t>
      </w:r>
    </w:p>
    <w:p w14:paraId="1B7AEA07"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lang w:val="fr-CA"/>
        </w:rPr>
        <w:t xml:space="preserve">Guerra-García J.M., J.C. Sorbe &amp; I. Frutos, 2008. </w:t>
      </w:r>
      <w:r w:rsidRPr="009978E3">
        <w:rPr>
          <w:sz w:val="22"/>
          <w:szCs w:val="22"/>
        </w:rPr>
        <w:t>A new species of /Liropus/ (Crustacea, Amphipoda, Caprellidae) from the Le Danois bank (southern Bay of Biscay). Organisms Diversity &amp; Evolution, Volume 7, Issue 4, 253-264.</w:t>
      </w:r>
    </w:p>
    <w:p w14:paraId="5570CFF4" w14:textId="77777777" w:rsidR="006B3F46" w:rsidRPr="009978E3" w:rsidRDefault="006B3F46" w:rsidP="00907941">
      <w:pPr>
        <w:pStyle w:val="Default"/>
        <w:ind w:left="709" w:hanging="720"/>
        <w:jc w:val="both"/>
        <w:rPr>
          <w:color w:val="auto"/>
          <w:sz w:val="22"/>
          <w:szCs w:val="22"/>
        </w:rPr>
      </w:pPr>
      <w:r w:rsidRPr="009978E3">
        <w:rPr>
          <w:color w:val="auto"/>
          <w:sz w:val="22"/>
          <w:szCs w:val="22"/>
        </w:rPr>
        <w:t>ICES, 2016.   Bay of Biscay and the Iberian Coast Ecoregion – Ecosystem overview.  ICES Ecosystem Overviews.   Published 04 March 2016 Version 2; 13 May 2016</w:t>
      </w:r>
    </w:p>
    <w:p w14:paraId="63E6B36F" w14:textId="77777777" w:rsidR="006B3F46" w:rsidRPr="009978E3" w:rsidRDefault="006B3F46" w:rsidP="00907941">
      <w:pPr>
        <w:pStyle w:val="Default"/>
        <w:ind w:left="709" w:hanging="720"/>
        <w:jc w:val="both"/>
        <w:rPr>
          <w:color w:val="auto"/>
          <w:sz w:val="22"/>
          <w:szCs w:val="22"/>
          <w:lang w:eastAsia="es-ES"/>
        </w:rPr>
      </w:pPr>
      <w:r w:rsidRPr="009978E3">
        <w:rPr>
          <w:color w:val="auto"/>
          <w:sz w:val="22"/>
          <w:szCs w:val="22"/>
        </w:rPr>
        <w:t>ICES, 2019.  Nephrops in Division 8c. WGBIE</w:t>
      </w:r>
    </w:p>
    <w:p w14:paraId="247E8377" w14:textId="77777777" w:rsidR="006B3F46" w:rsidRPr="009978E3" w:rsidRDefault="006B3F46" w:rsidP="00907941">
      <w:pPr>
        <w:pStyle w:val="Heading2"/>
        <w:shd w:val="clear" w:color="auto" w:fill="FFFFFF"/>
        <w:spacing w:before="0" w:after="0"/>
        <w:ind w:left="709" w:hanging="720"/>
        <w:jc w:val="both"/>
        <w:rPr>
          <w:b w:val="0"/>
          <w:szCs w:val="22"/>
          <w:lang w:val="en-US"/>
        </w:rPr>
      </w:pPr>
      <w:r w:rsidRPr="009978E3">
        <w:rPr>
          <w:b w:val="0"/>
          <w:szCs w:val="22"/>
          <w:lang w:val="en-US"/>
        </w:rPr>
        <w:t>IUCN, 2019. IUCN Red List of Threatened Species</w:t>
      </w:r>
    </w:p>
    <w:p w14:paraId="2486336A" w14:textId="77777777" w:rsidR="006B3F46" w:rsidRPr="009978E3" w:rsidRDefault="006B3F46" w:rsidP="00907941">
      <w:pPr>
        <w:ind w:left="709" w:hanging="720"/>
        <w:jc w:val="both"/>
        <w:rPr>
          <w:sz w:val="22"/>
          <w:szCs w:val="22"/>
          <w:lang w:val="en-US"/>
        </w:rPr>
      </w:pPr>
      <w:r w:rsidRPr="009978E3">
        <w:rPr>
          <w:sz w:val="22"/>
          <w:szCs w:val="22"/>
          <w:lang w:val="es-ES"/>
        </w:rPr>
        <w:t xml:space="preserve">Koutsikopoulos C. 6 B. Le Cann (1996). </w:t>
      </w:r>
      <w:r w:rsidRPr="009978E3">
        <w:rPr>
          <w:sz w:val="22"/>
          <w:szCs w:val="22"/>
          <w:lang w:val="en-US"/>
        </w:rPr>
        <w:t>Physical processes and hydrological structures related to the Bay of Biscay anchovy. Sci. Mar., 60: 9–19.</w:t>
      </w:r>
    </w:p>
    <w:p w14:paraId="4B6F326A"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 xml:space="preserve">Lam, F.P.A., T. Gerkema and L.R.M. Maas, 2003. Preliminary results from observations of internal tides and solitary waves in the Bay of Biscay. http://www.whoi.edu/ science/AOPE/people/tduda/isww/text/lam/ </w:t>
      </w:r>
    </w:p>
    <w:p w14:paraId="03EDDC3C"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Laran, S., Authier, M., Aurélie B., Ghislain D., Falchetto, H., &amp; Monestiez, P., Pettex, E., Eric, S., Canneyt, O., &amp; Ridoux, V. (2016). Seasonal distribution and abundance of cetaceans within French waters- Part II: The Bay of Biscay and the English Channel. Deep Sea Research Part II: Topical Studies in Oceanography. 10.1016/j.dsr2.2016.12.012.</w:t>
      </w:r>
    </w:p>
    <w:p w14:paraId="5726A776"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fr-CA"/>
        </w:rPr>
        <w:t xml:space="preserve">Lavín, L. Valdés, F. Sánchez, P. Abaunza, A. Forest, J. Boucher, P. Lazure, A. M. Jegou, 2005. </w:t>
      </w:r>
      <w:r w:rsidRPr="009978E3">
        <w:rPr>
          <w:sz w:val="22"/>
          <w:szCs w:val="22"/>
          <w:lang w:val="en-US"/>
        </w:rPr>
        <w:t xml:space="preserve">The Bay of Biscay: The encountering of the ocean and the shelf. Capítulo en libro ”The Sea, Ideas and Observation on Progress in the Study of the Seas”, Vol: 14, Part B, pp. 935 - 1002. Ed: A. Robinson and K. Brink, Harvard University Press, Cambridge, MA, 2006. </w:t>
      </w:r>
      <w:r w:rsidRPr="009978E3">
        <w:rPr>
          <w:sz w:val="22"/>
          <w:szCs w:val="22"/>
          <w:lang w:val="es-ES"/>
        </w:rPr>
        <w:t>ISBN-13:978-0-674-02117-4.</w:t>
      </w:r>
    </w:p>
    <w:p w14:paraId="00F34684"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Laborde, M (2008) Spatial distribution of cetaceans in the Bay of Biscay and implications of the Marine Strategy Directive for their conservation. 10.13140/RG.2.2.22520.96000.</w:t>
      </w:r>
    </w:p>
    <w:p w14:paraId="0FE4F7F8"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s-ES"/>
        </w:rPr>
        <w:t xml:space="preserve">Marcos-Ipiña, E., Salazar, J.M., De Stephanis, R. 2014. </w:t>
      </w:r>
      <w:r w:rsidRPr="009978E3">
        <w:rPr>
          <w:sz w:val="22"/>
          <w:szCs w:val="22"/>
          <w:lang w:val="en-US"/>
        </w:rPr>
        <w:t>Cetacean population research and detection of Special Areas of Conservation for cetaceans in the marine environment of Jaizkibel and adjacent waters. Munibe Monographs. Nature Series,  2: 91-99. Donostia-San Sebastián • ISSN 2340-0463</w:t>
      </w:r>
    </w:p>
    <w:p w14:paraId="5E09998B"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Mazières, A., Gillet, H., Castelle, B., Mulder, T., Guyot, C., Garlan, T., Mallet, C., 2014. High-resolution morphobathymetric analysis and evolution of Capbreton submarine canyon head (Southeast Bay of Biscay—French Atlantic Coast) over the last decade using descriptive and numerical modeling. Marine Geology 351: 1–12</w:t>
      </w:r>
    </w:p>
    <w:p w14:paraId="31545488"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 xml:space="preserve">Motos, L., A. Uriarte and V. Valencia, 1996. The spawning environment of the Bay of Biscay anchovy (Engraulis encrasicolus L.). Sci. Mar., 60 (2), 140–177. </w:t>
      </w:r>
    </w:p>
    <w:p w14:paraId="0B3BBE46"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s-ES"/>
        </w:rPr>
        <w:t xml:space="preserve">Núñez, J., Aguirrezabalaga, F., Ceberio, A., 2000. </w:t>
      </w:r>
      <w:r w:rsidRPr="009978E3">
        <w:rPr>
          <w:sz w:val="22"/>
          <w:szCs w:val="22"/>
          <w:lang w:val="en-US"/>
        </w:rPr>
        <w:t xml:space="preserve">Species of nereididae from the Capbreton Canyon (Bay of Biscay, Northeast Atlantic). Bulletin of Marine Science, 67(1): 25–37. </w:t>
      </w:r>
    </w:p>
    <w:p w14:paraId="0DFF473E"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OSPAR Commission, 2000. Quality Status Report 2000: Region IV - Bay of Biscay and Iberian Coast. O</w:t>
      </w:r>
      <w:r>
        <w:rPr>
          <w:sz w:val="22"/>
          <w:szCs w:val="22"/>
          <w:lang w:val="en-US"/>
        </w:rPr>
        <w:t>SPAR</w:t>
      </w:r>
      <w:r w:rsidRPr="009978E3">
        <w:rPr>
          <w:sz w:val="22"/>
          <w:szCs w:val="22"/>
          <w:lang w:val="en-US"/>
        </w:rPr>
        <w:t xml:space="preserve"> Commission. London. 134 + xiii pp.</w:t>
      </w:r>
    </w:p>
    <w:p w14:paraId="155CD7C3"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OSPAR (2008). OSPAR List of Threatened and/or Declining Species and Habitats. OSPAR Convention for the Protection of the Marine environment of the North-East Atlantic. (Reference Number: 2008-6).</w:t>
      </w:r>
    </w:p>
    <w:p w14:paraId="25CE1D32"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n-US"/>
        </w:rPr>
        <w:t xml:space="preserve">Piraud, I., Marseleix, P. and F. Auclair, 2003. Tidal and thermohaline circulation in the Bay of Biscay. </w:t>
      </w:r>
      <w:r w:rsidRPr="009978E3">
        <w:rPr>
          <w:sz w:val="22"/>
          <w:szCs w:val="22"/>
          <w:lang w:val="es-ES"/>
        </w:rPr>
        <w:t xml:space="preserve">Geophys. Res. Abstracts, 5, 07058. </w:t>
      </w:r>
    </w:p>
    <w:p w14:paraId="6F42DA55" w14:textId="77777777" w:rsidR="006B3F46" w:rsidRPr="009978E3" w:rsidRDefault="006B3F46" w:rsidP="00907941">
      <w:pPr>
        <w:pStyle w:val="Default"/>
        <w:ind w:left="709" w:hanging="720"/>
        <w:jc w:val="both"/>
        <w:rPr>
          <w:color w:val="auto"/>
          <w:sz w:val="22"/>
          <w:szCs w:val="22"/>
        </w:rPr>
      </w:pPr>
      <w:r w:rsidRPr="009978E3">
        <w:rPr>
          <w:color w:val="auto"/>
          <w:sz w:val="22"/>
          <w:szCs w:val="22"/>
          <w:lang w:val="es-ES"/>
        </w:rPr>
        <w:t xml:space="preserve">Prado, E., Sánchez, F., Rodríguez-Basalo, A., Altuna, A., Cobo , A., 2019. </w:t>
      </w:r>
      <w:r w:rsidRPr="009978E3">
        <w:rPr>
          <w:color w:val="auto"/>
          <w:sz w:val="22"/>
          <w:szCs w:val="22"/>
        </w:rPr>
        <w:t>Semi- automatic method of fan surface assessment to achieve gorgonian populations structure in Le Danois Bank, Cantabrian Sea. The International Archives of the Photogrammetry, Remote Sensing and Spatial Information Sciences, Volume XLII-2/W10, 2019 Underwater 3D Recording and Modelling “A Tool for Modern Applications and CH Recording”, 2–3 May 2019, Limassol, Cyprus</w:t>
      </w:r>
    </w:p>
    <w:p w14:paraId="72BEE08B"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fr-CA"/>
        </w:rPr>
        <w:t xml:space="preserve">Prouzet, P., K. Metuzals and C. Caboche, 1994. </w:t>
      </w:r>
      <w:r w:rsidRPr="009978E3">
        <w:rPr>
          <w:sz w:val="22"/>
          <w:szCs w:val="22"/>
          <w:lang w:val="es-ES"/>
        </w:rPr>
        <w:t xml:space="preserve">L’anchois du golfe de Gascogne. Caractéristiques biologiques et campagne de pêche française en 1992. Rapport CNPM-IMA-IFREMER. </w:t>
      </w:r>
    </w:p>
    <w:p w14:paraId="1FB92378" w14:textId="77777777" w:rsidR="006B3F46" w:rsidRPr="009978E3" w:rsidRDefault="006B3F46" w:rsidP="00907941">
      <w:pPr>
        <w:autoSpaceDE w:val="0"/>
        <w:autoSpaceDN w:val="0"/>
        <w:adjustRightInd w:val="0"/>
        <w:ind w:left="709" w:hanging="720"/>
        <w:jc w:val="both"/>
        <w:rPr>
          <w:sz w:val="22"/>
          <w:szCs w:val="22"/>
          <w:lang w:val="fr-CA"/>
        </w:rPr>
      </w:pPr>
      <w:r w:rsidRPr="009978E3">
        <w:rPr>
          <w:sz w:val="22"/>
          <w:szCs w:val="22"/>
          <w:lang w:val="es-ES"/>
        </w:rPr>
        <w:t xml:space="preserve">Quéro J.C., J. Dardignac and J.J. Vayne, 1989. Les poissons du golfe de Gascogne. </w:t>
      </w:r>
      <w:r w:rsidRPr="009978E3">
        <w:rPr>
          <w:sz w:val="22"/>
          <w:szCs w:val="22"/>
          <w:lang w:val="fr-CA"/>
        </w:rPr>
        <w:t xml:space="preserve">IFREMER. Brest: 229 pp. </w:t>
      </w:r>
    </w:p>
    <w:p w14:paraId="1C926686"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fr-CA"/>
        </w:rPr>
        <w:t xml:space="preserve">Quéro, J.C., M.H. Du Buit and J.J. Vayne, 1998. </w:t>
      </w:r>
      <w:r w:rsidRPr="009978E3">
        <w:rPr>
          <w:sz w:val="22"/>
          <w:szCs w:val="22"/>
          <w:lang w:val="es-ES"/>
        </w:rPr>
        <w:t>Les observations de poissons tropicaux et le réchauffement des eaux dans l’Atlantique européen. Oceanol. Acta, 21 (2), 345–351.</w:t>
      </w:r>
    </w:p>
    <w:p w14:paraId="3773D170"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Rodríguez, A., Sánchez, F., García-Alegre, A., 2015. Epibenthic communities on bathyal hard bottoms of Le Danois Bank (El Cachucho MPA, Cantabrian sea) Resúmenes sobre el VIII Simposio MIA15, Málaga del 21 al 23 de septiembre de 2015.</w:t>
      </w:r>
    </w:p>
    <w:p w14:paraId="71367659"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 xml:space="preserve">Rodríguez-Basalo, A., F. Sánchez, A. Punzón, M. Gómez-Ballesteros, 2019. </w:t>
      </w:r>
      <w:r w:rsidRPr="009978E3">
        <w:rPr>
          <w:sz w:val="22"/>
          <w:szCs w:val="22"/>
          <w:lang w:val="en-US"/>
        </w:rPr>
        <w:t xml:space="preserve">Updating the Master Management Plan for El Cachucho MPA (Cantabrian Sea) using a Spatial planning approach. </w:t>
      </w:r>
      <w:r w:rsidRPr="009978E3">
        <w:rPr>
          <w:sz w:val="22"/>
          <w:szCs w:val="22"/>
          <w:lang w:val="es-ES"/>
        </w:rPr>
        <w:t>Continental Shelf Research (in press).</w:t>
      </w:r>
    </w:p>
    <w:p w14:paraId="51672B2B"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Sánchez, F., de la Gándara, F., Gancedo, R., 1995. Atlas de los peces demersales de Galicia y el Cantábrico, Otoño 1991–1993. Publ. Esp. Inst. Esp. Oceanogr. 20, 99.</w:t>
      </w:r>
    </w:p>
    <w:p w14:paraId="7DEFEDC1"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s-ES"/>
        </w:rPr>
        <w:t xml:space="preserve">Sánchez, F., Serrano, A., Parra, S., Ballesteros, M:, Cartes, J.E., 2008. </w:t>
      </w:r>
      <w:r w:rsidRPr="009978E3">
        <w:rPr>
          <w:sz w:val="22"/>
          <w:szCs w:val="22"/>
          <w:lang w:val="en-US"/>
        </w:rPr>
        <w:t xml:space="preserve">Habitat characteristics as determinant of the structure and spatial distribution of epibenthic and demersal communities of Le Danois Bank (Cantabrian Sea, N. Spain). Journal of Marine Systems, 72: 64–86 </w:t>
      </w:r>
    </w:p>
    <w:p w14:paraId="7880FCD8" w14:textId="77777777" w:rsidR="006B3F46" w:rsidRPr="009978E3" w:rsidRDefault="006B3F46" w:rsidP="00907941">
      <w:pPr>
        <w:autoSpaceDE w:val="0"/>
        <w:autoSpaceDN w:val="0"/>
        <w:adjustRightInd w:val="0"/>
        <w:ind w:left="709" w:hanging="720"/>
        <w:jc w:val="both"/>
        <w:rPr>
          <w:sz w:val="22"/>
          <w:szCs w:val="22"/>
          <w:lang w:val="fr-CA"/>
        </w:rPr>
      </w:pPr>
      <w:r w:rsidRPr="009978E3">
        <w:rPr>
          <w:sz w:val="22"/>
          <w:szCs w:val="22"/>
          <w:lang w:val="en-US"/>
        </w:rPr>
        <w:t xml:space="preserve">Sánchez, F., Gil, J., 2000. Hydrographic mesoscale structures and Poleward Current as a determinant of hake (Merluccius merluccius) recruitment in southern Bay of Biscay ICES Journal of Marine Science, 57: 152–170. </w:t>
      </w:r>
      <w:r w:rsidRPr="009978E3">
        <w:rPr>
          <w:sz w:val="22"/>
          <w:szCs w:val="22"/>
          <w:lang w:val="fr-CA"/>
        </w:rPr>
        <w:t xml:space="preserve">2000 doi:10.1006/jmsc.1999.0566, available online at http://www.idealibrary.com </w:t>
      </w:r>
    </w:p>
    <w:p w14:paraId="0770F4DD"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fr-CA"/>
        </w:rPr>
        <w:t xml:space="preserve">Sánchez F., Blanc M., Gancedo, R., 2002. </w:t>
      </w:r>
      <w:r w:rsidRPr="009978E3">
        <w:rPr>
          <w:sz w:val="22"/>
          <w:szCs w:val="22"/>
          <w:lang w:val="es-ES"/>
        </w:rPr>
        <w:t>Atlas de los peces demersales y de los invertebrados de interés comercial de Galicia y el Cantábrico. Otoño 1997–1999. Ed. CYAN (Inst. Esp.Oceanogr.) 158 p.</w:t>
      </w:r>
    </w:p>
    <w:p w14:paraId="136E88A5"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s-ES"/>
        </w:rPr>
        <w:t xml:space="preserve">Sánchez, F., A. Serrano, 2003. </w:t>
      </w:r>
      <w:r w:rsidRPr="009978E3">
        <w:rPr>
          <w:sz w:val="22"/>
          <w:szCs w:val="22"/>
          <w:lang w:val="en-US"/>
        </w:rPr>
        <w:t>Variability of groundfish communities of the Cantabrian Sea during the 1990s. Hydrobiological Variability in the ICES Area, 1990 – 1999. ICES Marine Science Symposia.219, pp. 249 – 260.</w:t>
      </w:r>
    </w:p>
    <w:p w14:paraId="127CEAED"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n-US"/>
        </w:rPr>
        <w:t xml:space="preserve">Sánchez F., Olaso, I., 2004. Effects of fisheries on the Cantabrian Sea shelf ecosystem. </w:t>
      </w:r>
      <w:r w:rsidRPr="009978E3">
        <w:rPr>
          <w:sz w:val="22"/>
          <w:szCs w:val="22"/>
          <w:lang w:val="es-ES"/>
        </w:rPr>
        <w:t>Ecol. Model. 172, 151–-174.</w:t>
      </w:r>
    </w:p>
    <w:p w14:paraId="5D4D366D" w14:textId="77777777" w:rsidR="006B3F46" w:rsidRPr="009978E3" w:rsidRDefault="006B3F46" w:rsidP="00907941">
      <w:pPr>
        <w:autoSpaceDE w:val="0"/>
        <w:autoSpaceDN w:val="0"/>
        <w:adjustRightInd w:val="0"/>
        <w:ind w:left="709" w:hanging="720"/>
        <w:jc w:val="both"/>
        <w:rPr>
          <w:sz w:val="22"/>
          <w:szCs w:val="22"/>
        </w:rPr>
      </w:pPr>
      <w:r w:rsidRPr="00DC50DB">
        <w:rPr>
          <w:sz w:val="22"/>
          <w:szCs w:val="22"/>
          <w:lang w:val="fr-FR"/>
        </w:rPr>
        <w:t xml:space="preserve">Sánchez, F., A. Serrano, S. Parra, M. Ballesteros &amp; J. Cartes, 2007. </w:t>
      </w:r>
      <w:r w:rsidRPr="009978E3">
        <w:rPr>
          <w:sz w:val="22"/>
          <w:szCs w:val="22"/>
        </w:rPr>
        <w:t>Habitat characteristics as determinant of the structure and spatial distribution of epibenthic and demersal communities of Le Danois bank (Cantabrian Sea, N Spain).</w:t>
      </w:r>
      <w:r>
        <w:rPr>
          <w:sz w:val="22"/>
          <w:szCs w:val="22"/>
        </w:rPr>
        <w:t xml:space="preserve"> </w:t>
      </w:r>
      <w:r w:rsidRPr="009978E3">
        <w:rPr>
          <w:sz w:val="22"/>
          <w:szCs w:val="22"/>
        </w:rPr>
        <w:t xml:space="preserve">Journal of Marine Science (in press). </w:t>
      </w:r>
    </w:p>
    <w:p w14:paraId="762DD381"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s-ES"/>
        </w:rPr>
        <w:t xml:space="preserve">Sánchez, F., A. Serrano, S. Parra, M. Gómez-Ballesteros, J. E. Cartes, 2008. </w:t>
      </w:r>
      <w:r w:rsidRPr="009978E3">
        <w:rPr>
          <w:sz w:val="22"/>
          <w:szCs w:val="22"/>
          <w:lang w:val="en-US"/>
        </w:rPr>
        <w:t>Habitat characteristics as determinant of the structure and spatial distribution of epibenthic and demersal communities of Le Danois Bank (Cantabrian Sea, N. Spain). Journal of Marine Systems. 72, pp. 64 - 86.</w:t>
      </w:r>
    </w:p>
    <w:p w14:paraId="5717E8E2"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n-US"/>
        </w:rPr>
        <w:t xml:space="preserve">Sanchez, F., Morandeau, G., Bru, N., Lissardy, M., 2013. A restricted fishing area as a tool for fisheries management: Example of the Capbreton canyon, southern Bay of Biscay. </w:t>
      </w:r>
      <w:r w:rsidRPr="009978E3">
        <w:rPr>
          <w:sz w:val="22"/>
          <w:szCs w:val="22"/>
          <w:lang w:val="es-ES"/>
        </w:rPr>
        <w:t>Marine Policy 42: 180–189.</w:t>
      </w:r>
    </w:p>
    <w:p w14:paraId="4B4E0B08"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 xml:space="preserve">Sánchez, F., C. González-Pola, M. Druet, A. García-Alegre, J. Acosta, F.J. Cristobo, S. Parra; P. Ríos, A. Altuna, M. Gómez-Ballesteros, A. Muñoz-Recio, J. Rivera, G. Díaz del Río, 2014. </w:t>
      </w:r>
      <w:r w:rsidRPr="009978E3">
        <w:rPr>
          <w:sz w:val="22"/>
          <w:szCs w:val="22"/>
          <w:lang w:val="en-US"/>
        </w:rPr>
        <w:t xml:space="preserve">Habitat characterization of deep-water coral reefs in La Gaviera canyon (Avilés Canyon System, Cantabrian Sea). </w:t>
      </w:r>
      <w:r w:rsidRPr="009978E3">
        <w:rPr>
          <w:sz w:val="22"/>
          <w:szCs w:val="22"/>
          <w:lang w:val="es-ES"/>
        </w:rPr>
        <w:t>Deep Sea Research II, 106, pp. 118-140.</w:t>
      </w:r>
    </w:p>
    <w:p w14:paraId="0C09FF16"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s-ES"/>
        </w:rPr>
        <w:t>Sánchez, Francisco; Gómez-Ballesteros, María; González-Pola, Cesar; Punzón, Antonio. 2014. Sistema de cañones submarinos de Avilés. Proyecto LIFE +INDEMARES. Ed. Fundación Biodiversidad del Ministerio de Agricultura, Alimentación y Medio Ambiente.</w:t>
      </w:r>
    </w:p>
    <w:p w14:paraId="768BA5E9"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s-ES"/>
        </w:rPr>
        <w:t xml:space="preserve">Sánchez, F., Rodríguez Basalo, A., García-Alegre, A., Gómez-Ballesteros, M., 2017. </w:t>
      </w:r>
      <w:r w:rsidRPr="009978E3">
        <w:rPr>
          <w:sz w:val="22"/>
          <w:szCs w:val="22"/>
          <w:lang w:val="en-US"/>
        </w:rPr>
        <w:t>Hard-bottom bathyal habitats and keystone epibenthic species on Le Danois Bank (Cantabrian Sea). Journal of Sea Research 130; 134-153.</w:t>
      </w:r>
    </w:p>
    <w:p w14:paraId="6668E151" w14:textId="77777777" w:rsidR="006B3F46" w:rsidRPr="009978E3" w:rsidRDefault="006B3F46" w:rsidP="00907941">
      <w:pPr>
        <w:ind w:left="709" w:hanging="720"/>
        <w:jc w:val="both"/>
        <w:rPr>
          <w:sz w:val="22"/>
          <w:szCs w:val="22"/>
          <w:lang w:val="en-US"/>
        </w:rPr>
      </w:pPr>
      <w:r w:rsidRPr="009E53BE">
        <w:rPr>
          <w:sz w:val="22"/>
          <w:szCs w:val="22"/>
          <w:lang w:val="fr-FR"/>
        </w:rPr>
        <w:t xml:space="preserve">Serrano A., Sanchez F., Garcia-Castrillo, G., 2006. </w:t>
      </w:r>
      <w:r w:rsidRPr="009978E3">
        <w:rPr>
          <w:sz w:val="22"/>
          <w:szCs w:val="22"/>
          <w:lang w:val="en-US"/>
        </w:rPr>
        <w:t xml:space="preserve">Epibenthic communities of trawlable grounds of the Cantabrian Sea. Sci. Mar., 70, 149–159. </w:t>
      </w:r>
    </w:p>
    <w:p w14:paraId="6098BC10" w14:textId="77777777" w:rsidR="006B3F46" w:rsidRPr="009978E3" w:rsidRDefault="006B3F46" w:rsidP="00907941">
      <w:pPr>
        <w:ind w:left="709" w:hanging="720"/>
        <w:jc w:val="both"/>
        <w:rPr>
          <w:sz w:val="22"/>
          <w:szCs w:val="22"/>
          <w:lang w:val="en-US"/>
        </w:rPr>
      </w:pPr>
      <w:r w:rsidRPr="009978E3">
        <w:rPr>
          <w:sz w:val="22"/>
          <w:szCs w:val="22"/>
          <w:lang w:val="es-ES"/>
        </w:rPr>
        <w:t xml:space="preserve">Serrano, A., F. Sánchez, A. Punzón, F. Velasco, I. Olaso, 2011. </w:t>
      </w:r>
      <w:r w:rsidRPr="009978E3">
        <w:rPr>
          <w:sz w:val="22"/>
          <w:szCs w:val="22"/>
          <w:lang w:val="en-US"/>
        </w:rPr>
        <w:t>Deep sea megafaunal assemblages off the northern Iberian slope related to environmental factors. Scientia Marina. 75 - 3.</w:t>
      </w:r>
    </w:p>
    <w:p w14:paraId="5E739145" w14:textId="77777777" w:rsidR="006B3F46" w:rsidRPr="009978E3" w:rsidRDefault="006B3F46" w:rsidP="00907941">
      <w:pPr>
        <w:pStyle w:val="Default"/>
        <w:ind w:left="709" w:hanging="720"/>
        <w:jc w:val="both"/>
        <w:rPr>
          <w:color w:val="auto"/>
          <w:sz w:val="22"/>
          <w:szCs w:val="22"/>
        </w:rPr>
      </w:pPr>
      <w:r w:rsidRPr="009978E3">
        <w:rPr>
          <w:color w:val="auto"/>
          <w:sz w:val="22"/>
          <w:szCs w:val="22"/>
        </w:rPr>
        <w:t>SIMNORAT, 2019. Marine Potected Areas in the Bay of Biscay and Iberian Coasts Database Completion and Analysis. European Commission; Directorate-General for Maritime Affairs and Fisheries</w:t>
      </w:r>
    </w:p>
    <w:p w14:paraId="1298EDA5"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Sorbe, J.C., Frutos, I., Aguirrezabalaga, F., 2010. The benthic fauna of slope pockmarks from</w:t>
      </w:r>
    </w:p>
    <w:p w14:paraId="0FE183CC" w14:textId="77777777" w:rsidR="006B3F46" w:rsidRPr="009978E3" w:rsidRDefault="006B3F46" w:rsidP="00907941">
      <w:pPr>
        <w:autoSpaceDE w:val="0"/>
        <w:autoSpaceDN w:val="0"/>
        <w:adjustRightInd w:val="0"/>
        <w:ind w:left="709" w:hanging="720"/>
        <w:jc w:val="both"/>
        <w:rPr>
          <w:sz w:val="22"/>
          <w:szCs w:val="22"/>
          <w:lang w:val="es-ES"/>
        </w:rPr>
      </w:pPr>
      <w:r w:rsidRPr="009978E3">
        <w:rPr>
          <w:sz w:val="22"/>
          <w:szCs w:val="22"/>
          <w:lang w:val="en-US"/>
        </w:rPr>
        <w:t xml:space="preserve">the Kostarrenkala area (Capbreton canyon, SE Bay of Biscay). </w:t>
      </w:r>
      <w:r w:rsidRPr="009978E3">
        <w:rPr>
          <w:sz w:val="22"/>
          <w:szCs w:val="22"/>
          <w:lang w:val="es-ES"/>
        </w:rPr>
        <w:t>Munibe (Ciencias Naturales-Natur Zientziak) • Nº 58: 85-98 • ISSN 0214-7688</w:t>
      </w:r>
    </w:p>
    <w:p w14:paraId="5989ED11"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 xml:space="preserve">Stebbing, A. R. D., S. M. T. Turk, A. Wheeler and K. R. Clarke, 2002. Immigration of southern fish species to south-west England linked to warming of the North Atlantic (1960–2000). J. Mar. Biol. Ass. U.K., 82, 177–180. </w:t>
      </w:r>
    </w:p>
    <w:p w14:paraId="1B589BB7" w14:textId="77777777" w:rsidR="006B3F46" w:rsidRPr="009978E3" w:rsidRDefault="006B3F46" w:rsidP="00907941">
      <w:pPr>
        <w:autoSpaceDE w:val="0"/>
        <w:autoSpaceDN w:val="0"/>
        <w:adjustRightInd w:val="0"/>
        <w:ind w:left="709" w:hanging="720"/>
        <w:jc w:val="both"/>
        <w:rPr>
          <w:sz w:val="22"/>
          <w:szCs w:val="22"/>
          <w:lang w:val="en-US"/>
        </w:rPr>
      </w:pPr>
      <w:r w:rsidRPr="009978E3">
        <w:rPr>
          <w:sz w:val="22"/>
          <w:szCs w:val="22"/>
          <w:lang w:val="en-US"/>
        </w:rPr>
        <w:t>Valdés, L. and A. Lavín, 2002. Dynamics and human impact in the Bay of Biscay: An ecological perspective. In Large Marine Ecosystems of the North Atlantic: Changing States and Sustainability. K. Shermann and H.R. Skjoldal (ed.). Elsevier Science B.V., Amsterdam, 293–320.</w:t>
      </w:r>
    </w:p>
    <w:p w14:paraId="315A7C98" w14:textId="77777777" w:rsidR="006B3F46" w:rsidRPr="009978E3" w:rsidRDefault="006B3F46" w:rsidP="00907941">
      <w:pPr>
        <w:autoSpaceDE w:val="0"/>
        <w:autoSpaceDN w:val="0"/>
        <w:adjustRightInd w:val="0"/>
        <w:ind w:hanging="720"/>
        <w:jc w:val="both"/>
        <w:rPr>
          <w:sz w:val="22"/>
          <w:szCs w:val="22"/>
          <w:lang w:val="en-US"/>
        </w:rPr>
      </w:pPr>
    </w:p>
    <w:p w14:paraId="776AA723" w14:textId="77777777" w:rsidR="006B3F46" w:rsidRPr="009978E3" w:rsidRDefault="006B3F46" w:rsidP="00907941">
      <w:pPr>
        <w:ind w:hanging="720"/>
        <w:jc w:val="both"/>
        <w:rPr>
          <w:rFonts w:eastAsia="MS Mincho"/>
          <w:b/>
          <w:sz w:val="22"/>
          <w:szCs w:val="22"/>
          <w:lang w:val="en-US"/>
        </w:rPr>
      </w:pPr>
      <w:r>
        <w:rPr>
          <w:rFonts w:eastAsia="MS Mincho"/>
          <w:b/>
          <w:sz w:val="22"/>
          <w:szCs w:val="22"/>
          <w:lang w:val="en-US"/>
        </w:rPr>
        <w:br w:type="page"/>
      </w:r>
    </w:p>
    <w:p w14:paraId="519AD456" w14:textId="77777777" w:rsidR="006B3F46" w:rsidRDefault="006B3F46" w:rsidP="00907941">
      <w:pPr>
        <w:jc w:val="both"/>
        <w:rPr>
          <w:rFonts w:eastAsia="MS Mincho"/>
          <w:b/>
          <w:sz w:val="22"/>
          <w:szCs w:val="22"/>
          <w:lang w:val="en-US"/>
        </w:rPr>
      </w:pPr>
      <w:r w:rsidRPr="009978E3">
        <w:rPr>
          <w:rFonts w:eastAsia="MS Mincho"/>
          <w:b/>
          <w:sz w:val="22"/>
          <w:szCs w:val="22"/>
          <w:lang w:val="en-US"/>
        </w:rPr>
        <w:t>Maps and Figures</w:t>
      </w:r>
    </w:p>
    <w:p w14:paraId="3BD0D35D" w14:textId="77777777" w:rsidR="006B3F46" w:rsidRDefault="006B3F46" w:rsidP="00907941">
      <w:pPr>
        <w:jc w:val="both"/>
        <w:rPr>
          <w:rFonts w:eastAsia="MS Mincho"/>
          <w:b/>
          <w:sz w:val="22"/>
          <w:szCs w:val="22"/>
          <w:lang w:val="en-US"/>
        </w:rPr>
      </w:pPr>
    </w:p>
    <w:p w14:paraId="554974BF" w14:textId="77777777" w:rsidR="006B3F46" w:rsidRPr="009978E3" w:rsidRDefault="009E53BE" w:rsidP="00907941">
      <w:pPr>
        <w:jc w:val="both"/>
        <w:rPr>
          <w:rFonts w:eastAsia="MS Mincho"/>
          <w:b/>
          <w:sz w:val="22"/>
          <w:szCs w:val="22"/>
          <w:lang w:val="en-US"/>
        </w:rPr>
      </w:pPr>
      <w:r>
        <w:pict w14:anchorId="0E3893B5">
          <v:shape id="_x0000_i1062" type="#_x0000_t75" style="width:6in;height:6in">
            <v:imagedata r:id="rId136" o:title=""/>
          </v:shape>
        </w:pict>
      </w:r>
    </w:p>
    <w:p w14:paraId="7E1094AE" w14:textId="77777777" w:rsidR="006B3F46" w:rsidRPr="009978E3" w:rsidRDefault="006B3F46" w:rsidP="00907941">
      <w:pPr>
        <w:jc w:val="both"/>
        <w:rPr>
          <w:rFonts w:eastAsia="MS Mincho"/>
          <w:b/>
          <w:sz w:val="22"/>
          <w:szCs w:val="22"/>
          <w:lang w:val="en-US"/>
        </w:rPr>
      </w:pPr>
    </w:p>
    <w:p w14:paraId="5D24DA7C" w14:textId="77777777" w:rsidR="006B3F46" w:rsidRPr="0021277B" w:rsidRDefault="006B3F46" w:rsidP="00907941">
      <w:pPr>
        <w:jc w:val="center"/>
        <w:rPr>
          <w:rFonts w:eastAsia="MS Mincho"/>
          <w:b/>
          <w:bCs/>
          <w:sz w:val="22"/>
          <w:szCs w:val="22"/>
          <w:lang w:val="en-US"/>
        </w:rPr>
      </w:pPr>
      <w:r w:rsidRPr="0021277B">
        <w:rPr>
          <w:rFonts w:eastAsia="MS Mincho"/>
          <w:b/>
          <w:bCs/>
          <w:sz w:val="22"/>
          <w:szCs w:val="22"/>
          <w:lang w:val="en-US"/>
        </w:rPr>
        <w:t xml:space="preserve">Location of </w:t>
      </w:r>
      <w:bookmarkStart w:id="24" w:name="_Hlk22204528"/>
      <w:r w:rsidRPr="0021277B">
        <w:rPr>
          <w:rFonts w:eastAsia="MS Mincho"/>
          <w:b/>
          <w:bCs/>
          <w:sz w:val="22"/>
          <w:szCs w:val="22"/>
          <w:lang w:val="en-US"/>
        </w:rPr>
        <w:t>area no. 3: Cantabrian Sea (Southern Bay of Biscay)</w:t>
      </w:r>
      <w:bookmarkEnd w:id="24"/>
    </w:p>
    <w:p w14:paraId="69DEA9E0" w14:textId="77777777" w:rsidR="006B3F46" w:rsidRPr="009978E3" w:rsidRDefault="006B3F46" w:rsidP="00907941">
      <w:pPr>
        <w:jc w:val="both"/>
        <w:rPr>
          <w:rFonts w:eastAsia="MS Mincho"/>
          <w:b/>
          <w:sz w:val="22"/>
          <w:szCs w:val="22"/>
          <w:lang w:val="en-US"/>
        </w:rPr>
      </w:pPr>
    </w:p>
    <w:p w14:paraId="1E27E69F" w14:textId="77777777" w:rsidR="006B3F46" w:rsidRPr="009978E3" w:rsidRDefault="006B3F46" w:rsidP="00907941">
      <w:pPr>
        <w:jc w:val="both"/>
        <w:rPr>
          <w:rFonts w:eastAsia="MS Mincho"/>
          <w:b/>
          <w:sz w:val="22"/>
          <w:szCs w:val="22"/>
          <w:lang w:val="en-US"/>
        </w:rPr>
      </w:pPr>
    </w:p>
    <w:p w14:paraId="7BC718FB" w14:textId="77777777" w:rsidR="006B3F46" w:rsidRPr="009978E3" w:rsidRDefault="006B3F46" w:rsidP="00907941">
      <w:pPr>
        <w:jc w:val="both"/>
        <w:rPr>
          <w:rFonts w:eastAsia="MS Mincho"/>
          <w:b/>
          <w:sz w:val="22"/>
          <w:szCs w:val="22"/>
          <w:lang w:val="en-US"/>
        </w:rPr>
      </w:pPr>
    </w:p>
    <w:p w14:paraId="2016505E" w14:textId="77777777" w:rsidR="006B3F46" w:rsidRPr="00F66EF7" w:rsidRDefault="009E53BE" w:rsidP="00907941">
      <w:pPr>
        <w:jc w:val="center"/>
        <w:rPr>
          <w:rFonts w:eastAsia="MS Mincho"/>
          <w:b/>
          <w:sz w:val="22"/>
          <w:szCs w:val="22"/>
          <w:lang w:val="en-US"/>
        </w:rPr>
      </w:pPr>
      <w:r>
        <w:rPr>
          <w:rFonts w:eastAsia="MS Mincho"/>
          <w:b/>
          <w:noProof/>
          <w:sz w:val="22"/>
          <w:szCs w:val="22"/>
          <w:lang w:val="fr-CA" w:eastAsia="fr-CA"/>
        </w:rPr>
        <w:pict w14:anchorId="2B8740C0">
          <v:shape id="8 Imagen" o:spid="_x0000_i1063" type="#_x0000_t75" style="width:453.75pt;height:209.25pt;visibility:visible">
            <v:imagedata r:id="rId137" o:title=""/>
          </v:shape>
        </w:pict>
      </w:r>
    </w:p>
    <w:p w14:paraId="1315F14E" w14:textId="77777777" w:rsidR="006B3F46" w:rsidRPr="0021277B" w:rsidRDefault="006B3F46" w:rsidP="00907941">
      <w:pPr>
        <w:jc w:val="both"/>
        <w:rPr>
          <w:rFonts w:eastAsia="MS Mincho"/>
          <w:sz w:val="22"/>
          <w:szCs w:val="22"/>
          <w:lang w:val="en-US"/>
        </w:rPr>
      </w:pPr>
      <w:r w:rsidRPr="0021277B">
        <w:rPr>
          <w:rFonts w:eastAsia="MS Mincho"/>
          <w:sz w:val="22"/>
          <w:szCs w:val="22"/>
          <w:lang w:val="en-US"/>
        </w:rPr>
        <w:t>Fig</w:t>
      </w:r>
      <w:r>
        <w:rPr>
          <w:rFonts w:eastAsia="MS Mincho"/>
          <w:sz w:val="22"/>
          <w:szCs w:val="22"/>
          <w:lang w:val="en-US"/>
        </w:rPr>
        <w:t>ure</w:t>
      </w:r>
      <w:r w:rsidRPr="0021277B">
        <w:rPr>
          <w:rFonts w:eastAsia="MS Mincho"/>
          <w:sz w:val="22"/>
          <w:szCs w:val="22"/>
          <w:lang w:val="en-US"/>
        </w:rPr>
        <w:t xml:space="preserve"> 1. The area encompasses the continental shelf along the Spanish northern coast and includes pronounced submarine canyon systems such as Capbreton, Llanes, Lastres and Avilés, seamounts such as Jovellanos and Le Danois Bank, as well as numerous mounds, pockmarks and continental rocky outcrops.</w:t>
      </w:r>
    </w:p>
    <w:p w14:paraId="4BD6F7EE" w14:textId="77777777" w:rsidR="006B3F46" w:rsidRPr="00F66EF7" w:rsidRDefault="006B3F46" w:rsidP="00907941">
      <w:pPr>
        <w:jc w:val="both"/>
        <w:rPr>
          <w:rFonts w:eastAsia="MS Mincho"/>
          <w:b/>
          <w:sz w:val="22"/>
          <w:szCs w:val="22"/>
          <w:lang w:val="en-US"/>
        </w:rPr>
      </w:pPr>
    </w:p>
    <w:p w14:paraId="10F240F4" w14:textId="77777777" w:rsidR="006B3F46" w:rsidRPr="009978E3" w:rsidRDefault="006B3F46" w:rsidP="00907941">
      <w:pPr>
        <w:jc w:val="both"/>
        <w:rPr>
          <w:rFonts w:eastAsia="MS Mincho"/>
          <w:b/>
          <w:sz w:val="22"/>
          <w:szCs w:val="22"/>
          <w:lang w:val="en-US"/>
        </w:rPr>
      </w:pPr>
    </w:p>
    <w:p w14:paraId="38B27BCD" w14:textId="77777777" w:rsidR="006B3F46" w:rsidRPr="00F66EF7" w:rsidRDefault="009E53BE" w:rsidP="00907941">
      <w:pPr>
        <w:jc w:val="center"/>
        <w:rPr>
          <w:rFonts w:eastAsia="MS Mincho"/>
          <w:color w:val="365F91"/>
          <w:sz w:val="22"/>
          <w:szCs w:val="22"/>
          <w:lang w:val="es-ES"/>
        </w:rPr>
      </w:pPr>
      <w:r>
        <w:rPr>
          <w:rFonts w:eastAsia="MS Mincho"/>
          <w:noProof/>
          <w:color w:val="365F91"/>
          <w:sz w:val="22"/>
          <w:szCs w:val="22"/>
          <w:lang w:val="fr-CA" w:eastAsia="fr-CA"/>
        </w:rPr>
        <w:pict w14:anchorId="7ECBCFDA">
          <v:shape id="Imagen 14" o:spid="_x0000_i1064" type="#_x0000_t75" style="width:438.75pt;height:210.75pt;visibility:visible">
            <v:imagedata r:id="rId138" o:title=""/>
          </v:shape>
        </w:pict>
      </w:r>
    </w:p>
    <w:p w14:paraId="324432ED" w14:textId="77777777" w:rsidR="006B3F46" w:rsidRPr="0021277B" w:rsidRDefault="006B3F46" w:rsidP="00907941">
      <w:pPr>
        <w:jc w:val="center"/>
        <w:rPr>
          <w:sz w:val="22"/>
          <w:szCs w:val="22"/>
          <w:lang w:val="en-US"/>
        </w:rPr>
      </w:pPr>
      <w:r w:rsidRPr="0021277B">
        <w:rPr>
          <w:sz w:val="22"/>
          <w:szCs w:val="22"/>
          <w:lang w:val="en-US"/>
        </w:rPr>
        <w:t>Fig</w:t>
      </w:r>
      <w:r>
        <w:rPr>
          <w:sz w:val="22"/>
          <w:szCs w:val="22"/>
          <w:lang w:val="en-US"/>
        </w:rPr>
        <w:t>ure</w:t>
      </w:r>
      <w:r w:rsidRPr="0021277B">
        <w:rPr>
          <w:sz w:val="22"/>
          <w:szCs w:val="22"/>
          <w:lang w:val="en-US"/>
        </w:rPr>
        <w:t xml:space="preserve"> 2. Areas of Ecological Importance from the Cantabrian Sea (Aguilar </w:t>
      </w:r>
      <w:r w:rsidRPr="0006066A">
        <w:rPr>
          <w:i/>
          <w:sz w:val="22"/>
          <w:szCs w:val="22"/>
          <w:lang w:val="en-US"/>
        </w:rPr>
        <w:t>et al</w:t>
      </w:r>
      <w:r w:rsidRPr="0021277B">
        <w:rPr>
          <w:sz w:val="22"/>
          <w:szCs w:val="22"/>
          <w:lang w:val="en-US"/>
        </w:rPr>
        <w:t>., 2009).</w:t>
      </w:r>
    </w:p>
    <w:p w14:paraId="7D628490" w14:textId="77777777" w:rsidR="006B3F46" w:rsidRPr="00F66EF7" w:rsidRDefault="006B3F46" w:rsidP="00907941">
      <w:pPr>
        <w:jc w:val="both"/>
        <w:rPr>
          <w:rFonts w:eastAsia="MS Mincho"/>
          <w:b/>
          <w:sz w:val="22"/>
          <w:szCs w:val="22"/>
          <w:lang w:val="en-US"/>
        </w:rPr>
      </w:pPr>
    </w:p>
    <w:p w14:paraId="478479AE" w14:textId="77777777" w:rsidR="006B3F46" w:rsidRPr="00F66EF7" w:rsidRDefault="009E53BE" w:rsidP="00907941">
      <w:pPr>
        <w:jc w:val="center"/>
        <w:rPr>
          <w:rFonts w:eastAsia="MS Mincho"/>
          <w:color w:val="365F91"/>
          <w:sz w:val="22"/>
          <w:szCs w:val="22"/>
          <w:lang w:val="en-US"/>
        </w:rPr>
      </w:pPr>
      <w:r>
        <w:rPr>
          <w:rFonts w:eastAsia="MS Mincho"/>
          <w:noProof/>
          <w:color w:val="365F91"/>
          <w:sz w:val="22"/>
          <w:szCs w:val="22"/>
          <w:lang w:val="fr-CA" w:eastAsia="fr-CA"/>
        </w:rPr>
        <w:pict w14:anchorId="6BF1D0AF">
          <v:shape id="Imagen 7" o:spid="_x0000_i1065" type="#_x0000_t75" style="width:400.5pt;height:313.5pt;visibility:visible">
            <v:imagedata r:id="rId139" o:title=""/>
          </v:shape>
        </w:pict>
      </w:r>
    </w:p>
    <w:p w14:paraId="403CDB4F" w14:textId="77777777" w:rsidR="006B3F46" w:rsidRPr="009978E3" w:rsidRDefault="006B3F46" w:rsidP="00907941">
      <w:pPr>
        <w:jc w:val="both"/>
        <w:rPr>
          <w:rFonts w:eastAsia="MS Mincho"/>
          <w:color w:val="365F91"/>
          <w:sz w:val="22"/>
          <w:szCs w:val="22"/>
          <w:lang w:val="en-US"/>
        </w:rPr>
      </w:pPr>
    </w:p>
    <w:p w14:paraId="79B62A08" w14:textId="77777777" w:rsidR="006B3F46" w:rsidRPr="0021277B" w:rsidRDefault="006B3F46" w:rsidP="00907941">
      <w:pPr>
        <w:jc w:val="both"/>
        <w:rPr>
          <w:sz w:val="22"/>
          <w:szCs w:val="22"/>
          <w:lang w:val="en-US"/>
        </w:rPr>
      </w:pPr>
      <w:r w:rsidRPr="00DC50DB">
        <w:rPr>
          <w:sz w:val="22"/>
          <w:szCs w:val="22"/>
          <w:lang w:val="fr-FR"/>
        </w:rPr>
        <w:t xml:space="preserve">Figure 3. Spatial distribution of habitat “Reefs” (Habitat Directive, Habitat 1170) in Avilés Canyon. </w:t>
      </w:r>
      <w:r w:rsidRPr="0021277B">
        <w:rPr>
          <w:sz w:val="22"/>
          <w:szCs w:val="22"/>
          <w:lang w:val="en-US"/>
        </w:rPr>
        <w:t xml:space="preserve">The HI index represents the probability of finding coral reefs. The other habitats considered as 1170 are shown with symbols of presence (Sánchez </w:t>
      </w:r>
      <w:r w:rsidRPr="0006066A">
        <w:rPr>
          <w:i/>
          <w:sz w:val="22"/>
          <w:szCs w:val="22"/>
          <w:lang w:val="en-US"/>
        </w:rPr>
        <w:t>et al</w:t>
      </w:r>
      <w:r w:rsidRPr="0021277B">
        <w:rPr>
          <w:sz w:val="22"/>
          <w:szCs w:val="22"/>
          <w:lang w:val="en-US"/>
        </w:rPr>
        <w:t>. 2014).</w:t>
      </w:r>
    </w:p>
    <w:p w14:paraId="5C7767EB" w14:textId="77777777" w:rsidR="006B3F46" w:rsidRPr="00F66EF7" w:rsidRDefault="006B3F46" w:rsidP="00907941">
      <w:pPr>
        <w:jc w:val="both"/>
        <w:rPr>
          <w:color w:val="2F5496"/>
          <w:sz w:val="22"/>
          <w:szCs w:val="22"/>
          <w:lang w:val="en-US"/>
        </w:rPr>
      </w:pPr>
    </w:p>
    <w:p w14:paraId="6BDA9BAD" w14:textId="77777777" w:rsidR="006B3F46" w:rsidRPr="00F66EF7" w:rsidRDefault="009E53BE" w:rsidP="00907941">
      <w:pPr>
        <w:jc w:val="both"/>
        <w:rPr>
          <w:rFonts w:eastAsia="MS Mincho"/>
          <w:color w:val="365F91"/>
          <w:sz w:val="22"/>
          <w:szCs w:val="22"/>
          <w:lang w:val="es-ES"/>
        </w:rPr>
      </w:pPr>
      <w:r>
        <w:rPr>
          <w:rFonts w:eastAsia="MS Mincho"/>
          <w:noProof/>
          <w:color w:val="365F91"/>
          <w:sz w:val="22"/>
          <w:szCs w:val="22"/>
          <w:lang w:val="fr-CA" w:eastAsia="fr-CA"/>
        </w:rPr>
        <w:pict w14:anchorId="36DFB865">
          <v:shape id="Imagen 4" o:spid="_x0000_i1066" type="#_x0000_t75" style="width:453.75pt;height:245.25pt;visibility:visible">
            <v:imagedata r:id="rId140" o:title=""/>
          </v:shape>
        </w:pict>
      </w:r>
    </w:p>
    <w:p w14:paraId="3C933EF9" w14:textId="77777777" w:rsidR="006B3F46" w:rsidRPr="0021277B" w:rsidRDefault="006B3F46" w:rsidP="00907941">
      <w:pPr>
        <w:jc w:val="both"/>
        <w:rPr>
          <w:sz w:val="22"/>
          <w:szCs w:val="22"/>
          <w:lang w:val="en-US"/>
        </w:rPr>
      </w:pPr>
      <w:r w:rsidRPr="0021277B">
        <w:rPr>
          <w:sz w:val="22"/>
          <w:szCs w:val="22"/>
          <w:lang w:val="en-US"/>
        </w:rPr>
        <w:t>Fig</w:t>
      </w:r>
      <w:r>
        <w:rPr>
          <w:sz w:val="22"/>
          <w:szCs w:val="22"/>
          <w:lang w:val="en-US"/>
        </w:rPr>
        <w:t>ure</w:t>
      </w:r>
      <w:r w:rsidRPr="0021277B">
        <w:rPr>
          <w:sz w:val="22"/>
          <w:szCs w:val="22"/>
          <w:lang w:val="en-US"/>
        </w:rPr>
        <w:t xml:space="preserve"> 4. Predicted habitat suitability for all the 1170 </w:t>
      </w:r>
      <w:r>
        <w:rPr>
          <w:sz w:val="22"/>
          <w:szCs w:val="22"/>
          <w:lang w:val="en-US"/>
        </w:rPr>
        <w:t>r</w:t>
      </w:r>
      <w:r w:rsidRPr="0021277B">
        <w:rPr>
          <w:sz w:val="22"/>
          <w:szCs w:val="22"/>
          <w:lang w:val="en-US"/>
        </w:rPr>
        <w:t xml:space="preserve">eefs habitat types based on six structuring species on the Le Danois Bank. The dots of species presence-absence correspond with those of all previous surveys conducted in the area (Sánchez </w:t>
      </w:r>
      <w:r w:rsidRPr="0006066A">
        <w:rPr>
          <w:i/>
          <w:sz w:val="22"/>
          <w:szCs w:val="22"/>
          <w:lang w:val="en-US"/>
        </w:rPr>
        <w:t>et al</w:t>
      </w:r>
      <w:r w:rsidRPr="0021277B">
        <w:rPr>
          <w:sz w:val="22"/>
          <w:szCs w:val="22"/>
          <w:lang w:val="en-US"/>
        </w:rPr>
        <w:t>., 2017).</w:t>
      </w:r>
    </w:p>
    <w:p w14:paraId="77E3AB7F" w14:textId="77777777" w:rsidR="006B3F46" w:rsidRPr="00F66EF7" w:rsidRDefault="006B3F46" w:rsidP="00907941">
      <w:pPr>
        <w:pStyle w:val="Default"/>
        <w:jc w:val="both"/>
        <w:rPr>
          <w:color w:val="auto"/>
          <w:sz w:val="22"/>
          <w:szCs w:val="22"/>
          <w:lang w:eastAsia="en-US"/>
        </w:rPr>
      </w:pPr>
    </w:p>
    <w:p w14:paraId="74372D8E" w14:textId="77777777" w:rsidR="006B3F46" w:rsidRPr="009978E3" w:rsidRDefault="006B3F46" w:rsidP="00907941">
      <w:pPr>
        <w:pStyle w:val="Default"/>
        <w:jc w:val="both"/>
        <w:rPr>
          <w:color w:val="auto"/>
          <w:sz w:val="22"/>
          <w:szCs w:val="22"/>
          <w:lang w:eastAsia="en-US"/>
        </w:rPr>
      </w:pPr>
    </w:p>
    <w:p w14:paraId="03DB9BB2" w14:textId="77777777" w:rsidR="006B3F46" w:rsidRPr="00F66EF7" w:rsidRDefault="009E53BE" w:rsidP="00907941">
      <w:pPr>
        <w:pStyle w:val="Default"/>
        <w:jc w:val="center"/>
        <w:rPr>
          <w:color w:val="auto"/>
          <w:sz w:val="22"/>
          <w:szCs w:val="22"/>
          <w:lang w:eastAsia="en-US"/>
        </w:rPr>
      </w:pPr>
      <w:r>
        <w:rPr>
          <w:noProof/>
          <w:color w:val="auto"/>
          <w:sz w:val="22"/>
          <w:szCs w:val="22"/>
          <w:lang w:val="fr-CA" w:eastAsia="fr-CA"/>
        </w:rPr>
        <w:pict w14:anchorId="3FB1C70B">
          <v:shape id="_x0000_i1067" type="#_x0000_t75" style="width:324pt;height:231.75pt;visibility:visible">
            <v:imagedata r:id="rId141" o:title=""/>
          </v:shape>
        </w:pict>
      </w:r>
    </w:p>
    <w:p w14:paraId="1AF0BFED" w14:textId="77777777" w:rsidR="006B3F46" w:rsidRPr="009978E3" w:rsidRDefault="006B3F46" w:rsidP="00907941">
      <w:pPr>
        <w:jc w:val="center"/>
        <w:rPr>
          <w:rFonts w:eastAsia="MS Mincho"/>
          <w:sz w:val="22"/>
          <w:szCs w:val="22"/>
          <w:lang w:val="en-US"/>
        </w:rPr>
      </w:pPr>
      <w:r w:rsidRPr="009978E3">
        <w:rPr>
          <w:rFonts w:eastAsia="MS Mincho"/>
          <w:sz w:val="22"/>
          <w:szCs w:val="22"/>
          <w:lang w:val="en-US"/>
        </w:rPr>
        <w:t>Fig</w:t>
      </w:r>
      <w:r>
        <w:rPr>
          <w:rFonts w:eastAsia="MS Mincho"/>
          <w:sz w:val="22"/>
          <w:szCs w:val="22"/>
          <w:lang w:val="en-US"/>
        </w:rPr>
        <w:t>ure</w:t>
      </w:r>
      <w:r w:rsidRPr="009978E3">
        <w:rPr>
          <w:rFonts w:eastAsia="MS Mincho"/>
          <w:sz w:val="22"/>
          <w:szCs w:val="22"/>
          <w:lang w:val="en-US"/>
        </w:rPr>
        <w:t xml:space="preserve"> 5. Distribution of cetaceans within the Bay of Biscay during 2007 surveys (</w:t>
      </w:r>
      <w:r w:rsidRPr="0021277B">
        <w:rPr>
          <w:sz w:val="22"/>
          <w:szCs w:val="22"/>
          <w:lang w:val="es-ES"/>
        </w:rPr>
        <w:t>Laborde, 2008</w:t>
      </w:r>
      <w:r w:rsidRPr="00F66EF7">
        <w:rPr>
          <w:rFonts w:eastAsia="MS Mincho"/>
          <w:sz w:val="22"/>
          <w:szCs w:val="22"/>
          <w:lang w:val="en-US"/>
        </w:rPr>
        <w:t>)</w:t>
      </w:r>
    </w:p>
    <w:p w14:paraId="20FFACC8" w14:textId="77777777" w:rsidR="006B3F46" w:rsidRPr="009978E3" w:rsidRDefault="006B3F46" w:rsidP="00907941">
      <w:pPr>
        <w:pStyle w:val="Default"/>
        <w:jc w:val="both"/>
        <w:rPr>
          <w:color w:val="auto"/>
          <w:sz w:val="22"/>
          <w:szCs w:val="22"/>
          <w:lang w:eastAsia="en-US"/>
        </w:rPr>
      </w:pPr>
    </w:p>
    <w:p w14:paraId="0B944BA7" w14:textId="77777777" w:rsidR="006B3F46" w:rsidRPr="009978E3" w:rsidRDefault="006B3F46" w:rsidP="00907941">
      <w:pPr>
        <w:pStyle w:val="Default"/>
        <w:jc w:val="both"/>
        <w:rPr>
          <w:color w:val="auto"/>
          <w:sz w:val="22"/>
          <w:szCs w:val="22"/>
          <w:lang w:eastAsia="en-US"/>
        </w:rPr>
      </w:pPr>
    </w:p>
    <w:p w14:paraId="5326F4B9" w14:textId="77777777" w:rsidR="006B3F46" w:rsidRPr="009978E3" w:rsidRDefault="006B3F46" w:rsidP="00907941">
      <w:pPr>
        <w:pStyle w:val="Default"/>
        <w:jc w:val="both"/>
        <w:rPr>
          <w:color w:val="auto"/>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6B3F46" w:rsidRPr="0021277B" w14:paraId="3B7D855C" w14:textId="77777777" w:rsidTr="00907941">
        <w:tc>
          <w:tcPr>
            <w:tcW w:w="4605" w:type="dxa"/>
            <w:tcBorders>
              <w:top w:val="nil"/>
              <w:left w:val="nil"/>
              <w:bottom w:val="nil"/>
              <w:right w:val="nil"/>
            </w:tcBorders>
            <w:shd w:val="clear" w:color="auto" w:fill="auto"/>
          </w:tcPr>
          <w:p w14:paraId="188739BF" w14:textId="77777777" w:rsidR="006B3F46" w:rsidRPr="00F66EF7" w:rsidRDefault="009E53BE" w:rsidP="00907941">
            <w:pPr>
              <w:jc w:val="center"/>
              <w:rPr>
                <w:sz w:val="22"/>
                <w:szCs w:val="22"/>
                <w:lang w:val="en-US"/>
              </w:rPr>
            </w:pPr>
            <w:r>
              <w:rPr>
                <w:rFonts w:eastAsia="MS Mincho"/>
                <w:noProof/>
                <w:sz w:val="22"/>
                <w:szCs w:val="22"/>
                <w:lang w:val="fr-CA" w:eastAsia="fr-CA"/>
              </w:rPr>
              <w:pict w14:anchorId="222DCE5C">
                <v:shape id="Imagen 17" o:spid="_x0000_i1068" type="#_x0000_t75" style="width:189.75pt;height:141.75pt;visibility:visible">
                  <v:imagedata r:id="rId142" o:title=""/>
                </v:shape>
              </w:pict>
            </w:r>
          </w:p>
        </w:tc>
        <w:tc>
          <w:tcPr>
            <w:tcW w:w="4606" w:type="dxa"/>
            <w:tcBorders>
              <w:top w:val="nil"/>
              <w:left w:val="nil"/>
              <w:bottom w:val="nil"/>
              <w:right w:val="nil"/>
            </w:tcBorders>
            <w:shd w:val="clear" w:color="auto" w:fill="auto"/>
          </w:tcPr>
          <w:p w14:paraId="16BF1461" w14:textId="77777777" w:rsidR="006B3F46" w:rsidRPr="00F66EF7" w:rsidRDefault="009E53BE" w:rsidP="00907941">
            <w:pPr>
              <w:jc w:val="center"/>
              <w:rPr>
                <w:sz w:val="22"/>
                <w:szCs w:val="22"/>
                <w:lang w:val="en-US"/>
              </w:rPr>
            </w:pPr>
            <w:r>
              <w:rPr>
                <w:rFonts w:eastAsia="MS Mincho"/>
                <w:noProof/>
                <w:sz w:val="22"/>
                <w:szCs w:val="22"/>
                <w:lang w:val="fr-CA" w:eastAsia="fr-CA"/>
              </w:rPr>
              <w:pict w14:anchorId="52525F56">
                <v:shape id="Imagen 20" o:spid="_x0000_i1069" type="#_x0000_t75" style="width:201pt;height:138pt;visibility:visible">
                  <v:imagedata r:id="rId143" o:title=""/>
                </v:shape>
              </w:pict>
            </w:r>
          </w:p>
        </w:tc>
      </w:tr>
      <w:tr w:rsidR="006B3F46" w:rsidRPr="0021277B" w14:paraId="038023C0" w14:textId="77777777" w:rsidTr="00907941">
        <w:tc>
          <w:tcPr>
            <w:tcW w:w="4605" w:type="dxa"/>
            <w:tcBorders>
              <w:top w:val="nil"/>
              <w:left w:val="nil"/>
              <w:bottom w:val="nil"/>
              <w:right w:val="nil"/>
            </w:tcBorders>
            <w:shd w:val="clear" w:color="auto" w:fill="auto"/>
          </w:tcPr>
          <w:p w14:paraId="5971F622" w14:textId="77777777" w:rsidR="006B3F46" w:rsidRPr="0021277B" w:rsidRDefault="006B3F46" w:rsidP="00907941">
            <w:pPr>
              <w:jc w:val="center"/>
              <w:rPr>
                <w:i/>
                <w:sz w:val="22"/>
                <w:szCs w:val="22"/>
                <w:lang w:val="en-US"/>
              </w:rPr>
            </w:pPr>
            <w:r w:rsidRPr="0021277B">
              <w:rPr>
                <w:i/>
                <w:sz w:val="22"/>
                <w:szCs w:val="22"/>
                <w:lang w:val="en-US"/>
              </w:rPr>
              <w:t>Delphinus delphis</w:t>
            </w:r>
            <w:r w:rsidRPr="0021277B">
              <w:rPr>
                <w:rFonts w:eastAsia="MS Mincho"/>
                <w:i/>
                <w:sz w:val="22"/>
                <w:szCs w:val="22"/>
                <w:lang w:val="en-US"/>
              </w:rPr>
              <w:t xml:space="preserve"> (</w:t>
            </w:r>
            <w:r w:rsidRPr="00F66EF7">
              <w:rPr>
                <w:sz w:val="22"/>
                <w:szCs w:val="22"/>
              </w:rPr>
              <w:t xml:space="preserve">Marcos-Ipiña </w:t>
            </w:r>
            <w:r w:rsidRPr="0006066A">
              <w:rPr>
                <w:i/>
                <w:sz w:val="22"/>
                <w:szCs w:val="22"/>
              </w:rPr>
              <w:t>et al</w:t>
            </w:r>
            <w:r w:rsidRPr="00F66EF7">
              <w:rPr>
                <w:sz w:val="22"/>
                <w:szCs w:val="22"/>
              </w:rPr>
              <w:t>., 2014</w:t>
            </w:r>
            <w:r w:rsidRPr="0021277B">
              <w:rPr>
                <w:rFonts w:eastAsia="MS Mincho"/>
                <w:i/>
                <w:sz w:val="22"/>
                <w:szCs w:val="22"/>
                <w:lang w:val="en-US"/>
              </w:rPr>
              <w:t>)</w:t>
            </w:r>
          </w:p>
        </w:tc>
        <w:tc>
          <w:tcPr>
            <w:tcW w:w="4606" w:type="dxa"/>
            <w:tcBorders>
              <w:top w:val="nil"/>
              <w:left w:val="nil"/>
              <w:bottom w:val="nil"/>
              <w:right w:val="nil"/>
            </w:tcBorders>
            <w:shd w:val="clear" w:color="auto" w:fill="auto"/>
          </w:tcPr>
          <w:p w14:paraId="03FC5CC8" w14:textId="77777777" w:rsidR="006B3F46" w:rsidRPr="0021277B" w:rsidRDefault="006B3F46" w:rsidP="00907941">
            <w:pPr>
              <w:jc w:val="center"/>
              <w:rPr>
                <w:i/>
                <w:sz w:val="22"/>
                <w:szCs w:val="22"/>
                <w:lang w:val="fr-CA"/>
              </w:rPr>
            </w:pPr>
            <w:r w:rsidRPr="0021277B">
              <w:rPr>
                <w:i/>
                <w:sz w:val="22"/>
                <w:szCs w:val="22"/>
                <w:lang w:val="fr-CA"/>
              </w:rPr>
              <w:t>Stenella coeruleoalba</w:t>
            </w:r>
            <w:r w:rsidRPr="0021277B">
              <w:rPr>
                <w:rFonts w:eastAsia="MS Mincho"/>
                <w:i/>
                <w:sz w:val="22"/>
                <w:szCs w:val="22"/>
                <w:lang w:val="fr-CA"/>
              </w:rPr>
              <w:t xml:space="preserve"> (</w:t>
            </w:r>
            <w:r w:rsidRPr="00F66EF7">
              <w:rPr>
                <w:sz w:val="22"/>
                <w:szCs w:val="22"/>
                <w:lang w:val="fr-CA"/>
              </w:rPr>
              <w:t>M</w:t>
            </w:r>
            <w:r w:rsidRPr="009978E3">
              <w:rPr>
                <w:sz w:val="22"/>
                <w:szCs w:val="22"/>
                <w:lang w:val="fr-CA"/>
              </w:rPr>
              <w:t xml:space="preserve">arcos-Ipiña </w:t>
            </w:r>
            <w:r w:rsidRPr="0006066A">
              <w:rPr>
                <w:i/>
                <w:sz w:val="22"/>
                <w:szCs w:val="22"/>
                <w:lang w:val="fr-CA"/>
              </w:rPr>
              <w:t>et al</w:t>
            </w:r>
            <w:r w:rsidRPr="009978E3">
              <w:rPr>
                <w:sz w:val="22"/>
                <w:szCs w:val="22"/>
                <w:lang w:val="fr-CA"/>
              </w:rPr>
              <w:t>., 2014</w:t>
            </w:r>
            <w:r w:rsidRPr="0021277B">
              <w:rPr>
                <w:rFonts w:eastAsia="MS Mincho"/>
                <w:i/>
                <w:sz w:val="22"/>
                <w:szCs w:val="22"/>
                <w:lang w:val="fr-CA"/>
              </w:rPr>
              <w:t>)</w:t>
            </w:r>
          </w:p>
        </w:tc>
      </w:tr>
      <w:tr w:rsidR="006B3F46" w:rsidRPr="0021277B" w14:paraId="75C2D3B1" w14:textId="77777777" w:rsidTr="00907941">
        <w:tc>
          <w:tcPr>
            <w:tcW w:w="4605" w:type="dxa"/>
            <w:tcBorders>
              <w:top w:val="nil"/>
              <w:left w:val="nil"/>
              <w:bottom w:val="nil"/>
              <w:right w:val="nil"/>
            </w:tcBorders>
            <w:shd w:val="clear" w:color="auto" w:fill="auto"/>
          </w:tcPr>
          <w:p w14:paraId="65E82DFA" w14:textId="77777777" w:rsidR="006B3F46" w:rsidRPr="00F66EF7" w:rsidRDefault="009E53BE" w:rsidP="00907941">
            <w:pPr>
              <w:jc w:val="center"/>
              <w:rPr>
                <w:sz w:val="22"/>
                <w:szCs w:val="22"/>
                <w:lang w:val="en-US"/>
              </w:rPr>
            </w:pPr>
            <w:r>
              <w:rPr>
                <w:rFonts w:eastAsia="MS Mincho"/>
                <w:noProof/>
                <w:sz w:val="22"/>
                <w:szCs w:val="22"/>
                <w:lang w:val="fr-CA" w:eastAsia="fr-CA"/>
              </w:rPr>
              <w:pict w14:anchorId="3D203DC2">
                <v:shape id="Imagen 23" o:spid="_x0000_i1070" type="#_x0000_t75" style="width:183pt;height:131.25pt;visibility:visible">
                  <v:imagedata r:id="rId144" o:title=""/>
                </v:shape>
              </w:pict>
            </w:r>
          </w:p>
        </w:tc>
        <w:tc>
          <w:tcPr>
            <w:tcW w:w="4606" w:type="dxa"/>
            <w:tcBorders>
              <w:top w:val="nil"/>
              <w:left w:val="nil"/>
              <w:bottom w:val="nil"/>
              <w:right w:val="nil"/>
            </w:tcBorders>
            <w:shd w:val="clear" w:color="auto" w:fill="auto"/>
          </w:tcPr>
          <w:p w14:paraId="1738B6A0" w14:textId="77777777" w:rsidR="006B3F46" w:rsidRPr="00F66EF7" w:rsidRDefault="009E53BE" w:rsidP="00907941">
            <w:pPr>
              <w:jc w:val="center"/>
              <w:rPr>
                <w:sz w:val="22"/>
                <w:szCs w:val="22"/>
                <w:lang w:val="en-US"/>
              </w:rPr>
            </w:pPr>
            <w:r>
              <w:rPr>
                <w:rFonts w:eastAsia="MS Mincho"/>
                <w:noProof/>
                <w:sz w:val="22"/>
                <w:szCs w:val="22"/>
                <w:lang w:val="fr-CA" w:eastAsia="fr-CA"/>
              </w:rPr>
              <w:pict w14:anchorId="18EE1B50">
                <v:shape id="Imagen 26" o:spid="_x0000_i1071" type="#_x0000_t75" style="width:197.25pt;height:138.75pt;visibility:visible">
                  <v:imagedata r:id="rId145" o:title=""/>
                </v:shape>
              </w:pict>
            </w:r>
          </w:p>
        </w:tc>
      </w:tr>
      <w:tr w:rsidR="006B3F46" w:rsidRPr="0021277B" w14:paraId="7CEF2D0E" w14:textId="77777777" w:rsidTr="00907941">
        <w:trPr>
          <w:trHeight w:val="497"/>
        </w:trPr>
        <w:tc>
          <w:tcPr>
            <w:tcW w:w="4605" w:type="dxa"/>
            <w:tcBorders>
              <w:top w:val="nil"/>
              <w:left w:val="nil"/>
              <w:bottom w:val="nil"/>
              <w:right w:val="nil"/>
            </w:tcBorders>
            <w:shd w:val="clear" w:color="auto" w:fill="auto"/>
          </w:tcPr>
          <w:p w14:paraId="4E4016A6" w14:textId="77777777" w:rsidR="006B3F46" w:rsidRPr="0021277B" w:rsidRDefault="006B3F46" w:rsidP="00907941">
            <w:pPr>
              <w:jc w:val="center"/>
              <w:rPr>
                <w:i/>
                <w:sz w:val="22"/>
                <w:szCs w:val="22"/>
                <w:lang w:val="fr-CA"/>
              </w:rPr>
            </w:pPr>
            <w:r w:rsidRPr="0021277B">
              <w:rPr>
                <w:i/>
                <w:sz w:val="22"/>
                <w:szCs w:val="22"/>
                <w:lang w:val="fr-CA"/>
              </w:rPr>
              <w:t>Globicephala melas</w:t>
            </w:r>
            <w:r w:rsidRPr="0021277B">
              <w:rPr>
                <w:rFonts w:eastAsia="MS Mincho"/>
                <w:i/>
                <w:sz w:val="22"/>
                <w:szCs w:val="22"/>
                <w:lang w:val="fr-CA"/>
              </w:rPr>
              <w:t xml:space="preserve"> (</w:t>
            </w:r>
            <w:r w:rsidRPr="00F66EF7">
              <w:rPr>
                <w:sz w:val="22"/>
                <w:szCs w:val="22"/>
                <w:lang w:val="fr-CA"/>
              </w:rPr>
              <w:t>Marc</w:t>
            </w:r>
            <w:r w:rsidRPr="009978E3">
              <w:rPr>
                <w:sz w:val="22"/>
                <w:szCs w:val="22"/>
                <w:lang w:val="fr-CA"/>
              </w:rPr>
              <w:t xml:space="preserve">os-Ipiña </w:t>
            </w:r>
            <w:r w:rsidRPr="0006066A">
              <w:rPr>
                <w:i/>
                <w:sz w:val="22"/>
                <w:szCs w:val="22"/>
                <w:lang w:val="fr-CA"/>
              </w:rPr>
              <w:t>et al</w:t>
            </w:r>
            <w:r w:rsidRPr="009978E3">
              <w:rPr>
                <w:sz w:val="22"/>
                <w:szCs w:val="22"/>
                <w:lang w:val="fr-CA"/>
              </w:rPr>
              <w:t>., 2014</w:t>
            </w:r>
            <w:r w:rsidRPr="0021277B">
              <w:rPr>
                <w:rFonts w:eastAsia="MS Mincho"/>
                <w:i/>
                <w:sz w:val="22"/>
                <w:szCs w:val="22"/>
                <w:lang w:val="fr-CA"/>
              </w:rPr>
              <w:t>)</w:t>
            </w:r>
          </w:p>
        </w:tc>
        <w:tc>
          <w:tcPr>
            <w:tcW w:w="4606" w:type="dxa"/>
            <w:tcBorders>
              <w:top w:val="nil"/>
              <w:left w:val="nil"/>
              <w:bottom w:val="nil"/>
              <w:right w:val="nil"/>
            </w:tcBorders>
            <w:shd w:val="clear" w:color="auto" w:fill="auto"/>
          </w:tcPr>
          <w:p w14:paraId="0BB1C722" w14:textId="77777777" w:rsidR="006B3F46" w:rsidRPr="0021277B" w:rsidRDefault="006B3F46" w:rsidP="00907941">
            <w:pPr>
              <w:jc w:val="center"/>
              <w:rPr>
                <w:rFonts w:eastAsia="MS Mincho"/>
                <w:i/>
                <w:sz w:val="22"/>
                <w:szCs w:val="22"/>
                <w:lang w:val="fr-CA"/>
              </w:rPr>
            </w:pPr>
            <w:r w:rsidRPr="0021277B">
              <w:rPr>
                <w:i/>
                <w:sz w:val="22"/>
                <w:szCs w:val="22"/>
                <w:lang w:val="fr-CA"/>
              </w:rPr>
              <w:t>Ziphius cavirostris</w:t>
            </w:r>
            <w:r w:rsidRPr="0021277B">
              <w:rPr>
                <w:rFonts w:eastAsia="MS Mincho"/>
                <w:i/>
                <w:sz w:val="22"/>
                <w:szCs w:val="22"/>
                <w:lang w:val="fr-CA"/>
              </w:rPr>
              <w:t xml:space="preserve"> (</w:t>
            </w:r>
            <w:r w:rsidRPr="00F66EF7">
              <w:rPr>
                <w:sz w:val="22"/>
                <w:szCs w:val="22"/>
                <w:lang w:val="fr-CA"/>
              </w:rPr>
              <w:t xml:space="preserve">Marcos-Ipiña </w:t>
            </w:r>
            <w:r w:rsidRPr="0006066A">
              <w:rPr>
                <w:i/>
                <w:sz w:val="22"/>
                <w:szCs w:val="22"/>
                <w:lang w:val="fr-CA"/>
              </w:rPr>
              <w:t>et al</w:t>
            </w:r>
            <w:r w:rsidRPr="00F66EF7">
              <w:rPr>
                <w:sz w:val="22"/>
                <w:szCs w:val="22"/>
                <w:lang w:val="fr-CA"/>
              </w:rPr>
              <w:t>., 2014</w:t>
            </w:r>
            <w:r w:rsidRPr="0021277B">
              <w:rPr>
                <w:rFonts w:eastAsia="MS Mincho"/>
                <w:i/>
                <w:sz w:val="22"/>
                <w:szCs w:val="22"/>
                <w:lang w:val="fr-CA"/>
              </w:rPr>
              <w:t>)</w:t>
            </w:r>
          </w:p>
          <w:p w14:paraId="3E311B40" w14:textId="77777777" w:rsidR="006B3F46" w:rsidRPr="0021277B" w:rsidRDefault="006B3F46" w:rsidP="00907941">
            <w:pPr>
              <w:jc w:val="both"/>
              <w:rPr>
                <w:i/>
                <w:sz w:val="22"/>
                <w:szCs w:val="22"/>
                <w:lang w:val="fr-CA"/>
              </w:rPr>
            </w:pPr>
          </w:p>
        </w:tc>
      </w:tr>
      <w:tr w:rsidR="006B3F46" w:rsidRPr="0021277B" w14:paraId="6A4AC9B4" w14:textId="77777777" w:rsidTr="00907941">
        <w:tc>
          <w:tcPr>
            <w:tcW w:w="9211" w:type="dxa"/>
            <w:gridSpan w:val="2"/>
            <w:tcBorders>
              <w:top w:val="nil"/>
              <w:left w:val="nil"/>
              <w:bottom w:val="nil"/>
              <w:right w:val="nil"/>
            </w:tcBorders>
            <w:shd w:val="clear" w:color="auto" w:fill="auto"/>
          </w:tcPr>
          <w:p w14:paraId="7EA064DF" w14:textId="77777777" w:rsidR="006B3F46" w:rsidRPr="00F66EF7" w:rsidRDefault="009E53BE" w:rsidP="00907941">
            <w:pPr>
              <w:jc w:val="center"/>
              <w:rPr>
                <w:sz w:val="22"/>
                <w:szCs w:val="22"/>
                <w:lang w:val="en-US"/>
              </w:rPr>
            </w:pPr>
            <w:r>
              <w:rPr>
                <w:rFonts w:eastAsia="MS Mincho"/>
                <w:noProof/>
                <w:sz w:val="22"/>
                <w:szCs w:val="22"/>
                <w:lang w:val="fr-CA" w:eastAsia="fr-CA"/>
              </w:rPr>
              <w:pict w14:anchorId="019A8BC1">
                <v:shape id="Imagen 29" o:spid="_x0000_i1072" type="#_x0000_t75" style="width:381pt;height:230.25pt;visibility:visible">
                  <v:imagedata r:id="rId146" o:title=""/>
                </v:shape>
              </w:pict>
            </w:r>
          </w:p>
        </w:tc>
      </w:tr>
      <w:tr w:rsidR="006B3F46" w:rsidRPr="0021277B" w14:paraId="053E12A0" w14:textId="77777777" w:rsidTr="00907941">
        <w:tc>
          <w:tcPr>
            <w:tcW w:w="9211" w:type="dxa"/>
            <w:gridSpan w:val="2"/>
            <w:tcBorders>
              <w:top w:val="nil"/>
              <w:left w:val="nil"/>
              <w:bottom w:val="nil"/>
              <w:right w:val="nil"/>
            </w:tcBorders>
            <w:shd w:val="clear" w:color="auto" w:fill="auto"/>
          </w:tcPr>
          <w:p w14:paraId="5228E09F" w14:textId="77777777" w:rsidR="006B3F46" w:rsidRPr="0021277B" w:rsidRDefault="006B3F46" w:rsidP="00907941">
            <w:pPr>
              <w:jc w:val="center"/>
              <w:rPr>
                <w:i/>
                <w:sz w:val="22"/>
                <w:szCs w:val="22"/>
                <w:lang w:val="en-US"/>
              </w:rPr>
            </w:pPr>
            <w:r w:rsidRPr="0021277B">
              <w:rPr>
                <w:i/>
                <w:sz w:val="22"/>
                <w:szCs w:val="22"/>
                <w:lang w:val="en-US"/>
              </w:rPr>
              <w:t xml:space="preserve">Tursiops truncatus   </w:t>
            </w:r>
            <w:r w:rsidRPr="0021277B">
              <w:rPr>
                <w:sz w:val="22"/>
                <w:szCs w:val="22"/>
                <w:lang w:val="en-US"/>
              </w:rPr>
              <w:t>2003-2011</w:t>
            </w:r>
            <w:r w:rsidRPr="0021277B">
              <w:rPr>
                <w:i/>
                <w:sz w:val="22"/>
                <w:szCs w:val="22"/>
                <w:lang w:val="en-US"/>
              </w:rPr>
              <w:t xml:space="preserve"> </w:t>
            </w:r>
            <w:r w:rsidRPr="0021277B">
              <w:rPr>
                <w:sz w:val="22"/>
                <w:szCs w:val="22"/>
                <w:lang w:val="en-US"/>
              </w:rPr>
              <w:t>(CEMMA, 2012)</w:t>
            </w:r>
          </w:p>
        </w:tc>
      </w:tr>
      <w:tr w:rsidR="006B3F46" w:rsidRPr="0021277B" w14:paraId="47EBA376" w14:textId="77777777" w:rsidTr="00907941">
        <w:tc>
          <w:tcPr>
            <w:tcW w:w="9211" w:type="dxa"/>
            <w:gridSpan w:val="2"/>
            <w:tcBorders>
              <w:top w:val="nil"/>
              <w:left w:val="nil"/>
              <w:bottom w:val="nil"/>
              <w:right w:val="nil"/>
            </w:tcBorders>
            <w:shd w:val="clear" w:color="auto" w:fill="auto"/>
          </w:tcPr>
          <w:p w14:paraId="395D35F4" w14:textId="77777777" w:rsidR="006B3F46" w:rsidRPr="0021277B" w:rsidRDefault="009E53BE" w:rsidP="00907941">
            <w:pPr>
              <w:jc w:val="center"/>
              <w:rPr>
                <w:sz w:val="22"/>
                <w:szCs w:val="22"/>
              </w:rPr>
            </w:pPr>
            <w:r>
              <w:rPr>
                <w:noProof/>
                <w:sz w:val="22"/>
                <w:szCs w:val="22"/>
                <w:lang w:val="fr-CA" w:eastAsia="fr-CA"/>
              </w:rPr>
              <w:pict w14:anchorId="20F02DBA">
                <v:shape id="Imagen 32" o:spid="_x0000_i1073" type="#_x0000_t75" style="width:346.5pt;height:246pt;visibility:visible">
                  <v:imagedata r:id="rId147" o:title=""/>
                </v:shape>
              </w:pict>
            </w:r>
          </w:p>
        </w:tc>
      </w:tr>
      <w:tr w:rsidR="006B3F46" w:rsidRPr="0021277B" w14:paraId="0BCEBD27" w14:textId="77777777" w:rsidTr="00907941">
        <w:tc>
          <w:tcPr>
            <w:tcW w:w="9211" w:type="dxa"/>
            <w:gridSpan w:val="2"/>
            <w:tcBorders>
              <w:top w:val="nil"/>
              <w:left w:val="nil"/>
              <w:bottom w:val="nil"/>
              <w:right w:val="nil"/>
            </w:tcBorders>
            <w:shd w:val="clear" w:color="auto" w:fill="auto"/>
          </w:tcPr>
          <w:p w14:paraId="35EACD32" w14:textId="77777777" w:rsidR="006B3F46" w:rsidRPr="0021277B" w:rsidRDefault="006B3F46" w:rsidP="00907941">
            <w:pPr>
              <w:jc w:val="center"/>
              <w:rPr>
                <w:i/>
                <w:sz w:val="22"/>
                <w:szCs w:val="22"/>
                <w:lang w:val="en-US"/>
              </w:rPr>
            </w:pPr>
            <w:r w:rsidRPr="0021277B">
              <w:rPr>
                <w:i/>
                <w:sz w:val="22"/>
                <w:szCs w:val="22"/>
                <w:lang w:val="en-US"/>
              </w:rPr>
              <w:t xml:space="preserve">Tursiops </w:t>
            </w:r>
            <w:r w:rsidRPr="0021277B">
              <w:rPr>
                <w:rFonts w:eastAsia="MS Mincho"/>
                <w:i/>
                <w:sz w:val="22"/>
                <w:szCs w:val="22"/>
                <w:lang w:val="en-US"/>
              </w:rPr>
              <w:t>truncates (</w:t>
            </w:r>
            <w:r w:rsidRPr="00F66EF7">
              <w:rPr>
                <w:sz w:val="22"/>
                <w:szCs w:val="22"/>
              </w:rPr>
              <w:t xml:space="preserve">Marcos-Ipiña </w:t>
            </w:r>
            <w:r w:rsidRPr="0006066A">
              <w:rPr>
                <w:i/>
                <w:sz w:val="22"/>
                <w:szCs w:val="22"/>
              </w:rPr>
              <w:t>et al</w:t>
            </w:r>
            <w:r w:rsidRPr="00F66EF7">
              <w:rPr>
                <w:sz w:val="22"/>
                <w:szCs w:val="22"/>
              </w:rPr>
              <w:t>., 2014</w:t>
            </w:r>
            <w:r w:rsidRPr="0021277B">
              <w:rPr>
                <w:rFonts w:eastAsia="MS Mincho"/>
                <w:i/>
                <w:sz w:val="22"/>
                <w:szCs w:val="22"/>
                <w:lang w:val="en-US"/>
              </w:rPr>
              <w:t>)</w:t>
            </w:r>
          </w:p>
        </w:tc>
      </w:tr>
    </w:tbl>
    <w:p w14:paraId="153B274F" w14:textId="77777777" w:rsidR="006B3F46" w:rsidRPr="00F66EF7" w:rsidRDefault="006B3F46" w:rsidP="00907941">
      <w:pPr>
        <w:jc w:val="both"/>
        <w:rPr>
          <w:sz w:val="22"/>
          <w:szCs w:val="22"/>
          <w:lang w:val="en-US"/>
        </w:rPr>
      </w:pPr>
    </w:p>
    <w:p w14:paraId="195FC6A3" w14:textId="77777777" w:rsidR="006B3F46" w:rsidRPr="009978E3" w:rsidRDefault="006B3F46" w:rsidP="00907941">
      <w:pPr>
        <w:jc w:val="center"/>
        <w:rPr>
          <w:rFonts w:eastAsia="MS Mincho"/>
          <w:i/>
          <w:sz w:val="22"/>
          <w:szCs w:val="22"/>
          <w:lang w:val="en-US"/>
        </w:rPr>
      </w:pPr>
    </w:p>
    <w:p w14:paraId="0A5412E4" w14:textId="77777777" w:rsidR="006B3F46" w:rsidRPr="009978E3" w:rsidRDefault="006B3F46" w:rsidP="00907941">
      <w:pPr>
        <w:jc w:val="center"/>
        <w:rPr>
          <w:rFonts w:eastAsia="MS Mincho"/>
          <w:iCs/>
          <w:sz w:val="22"/>
          <w:szCs w:val="22"/>
          <w:lang w:val="en-US"/>
        </w:rPr>
      </w:pPr>
      <w:r w:rsidRPr="009978E3">
        <w:rPr>
          <w:rFonts w:eastAsia="MS Mincho"/>
          <w:iCs/>
          <w:sz w:val="22"/>
          <w:szCs w:val="22"/>
          <w:lang w:val="en-US"/>
        </w:rPr>
        <w:t>Fig</w:t>
      </w:r>
      <w:r>
        <w:rPr>
          <w:rFonts w:eastAsia="MS Mincho"/>
          <w:iCs/>
          <w:sz w:val="22"/>
          <w:szCs w:val="22"/>
          <w:lang w:val="en-US"/>
        </w:rPr>
        <w:t>ure</w:t>
      </w:r>
      <w:r w:rsidRPr="009978E3">
        <w:rPr>
          <w:rFonts w:eastAsia="MS Mincho"/>
          <w:iCs/>
          <w:sz w:val="22"/>
          <w:szCs w:val="22"/>
          <w:lang w:val="en-US"/>
        </w:rPr>
        <w:t xml:space="preserve"> 6. Marine mammal distribution in the area.</w:t>
      </w:r>
    </w:p>
    <w:p w14:paraId="566566BB" w14:textId="77777777" w:rsidR="006B3F46" w:rsidRPr="009978E3" w:rsidRDefault="006B3F46" w:rsidP="00907941">
      <w:pPr>
        <w:jc w:val="center"/>
        <w:rPr>
          <w:rFonts w:eastAsia="MS Mincho"/>
          <w:color w:val="2F5496"/>
          <w:sz w:val="22"/>
          <w:szCs w:val="22"/>
          <w:lang w:val="en-US"/>
        </w:rPr>
      </w:pPr>
    </w:p>
    <w:p w14:paraId="0B22ECBA" w14:textId="77777777" w:rsidR="006B3F46" w:rsidRPr="0021277B" w:rsidRDefault="009E53BE" w:rsidP="00907941">
      <w:pPr>
        <w:jc w:val="both"/>
        <w:rPr>
          <w:sz w:val="22"/>
          <w:szCs w:val="22"/>
        </w:rPr>
      </w:pPr>
      <w:r>
        <w:rPr>
          <w:noProof/>
          <w:sz w:val="22"/>
          <w:szCs w:val="22"/>
          <w:lang w:val="fr-CA" w:eastAsia="fr-CA"/>
        </w:rPr>
        <w:pict w14:anchorId="3916FE68">
          <v:shape id="_x0000_i1074" type="#_x0000_t75" style="width:438pt;height:267.75pt;visibility:visible">
            <v:imagedata r:id="rId148" o:title=""/>
          </v:shape>
        </w:pict>
      </w:r>
    </w:p>
    <w:p w14:paraId="55E05869" w14:textId="77777777" w:rsidR="006B3F46" w:rsidRPr="009978E3" w:rsidRDefault="006B3F46" w:rsidP="00907941">
      <w:pPr>
        <w:jc w:val="both"/>
        <w:rPr>
          <w:sz w:val="22"/>
          <w:szCs w:val="22"/>
        </w:rPr>
      </w:pPr>
      <w:r w:rsidRPr="00F66EF7">
        <w:rPr>
          <w:rFonts w:eastAsia="MS Mincho"/>
          <w:sz w:val="22"/>
          <w:szCs w:val="22"/>
          <w:lang w:val="en-US"/>
        </w:rPr>
        <w:t>Fig</w:t>
      </w:r>
      <w:r>
        <w:rPr>
          <w:rFonts w:eastAsia="MS Mincho"/>
          <w:sz w:val="22"/>
          <w:szCs w:val="22"/>
          <w:lang w:val="en-US"/>
        </w:rPr>
        <w:t>ure</w:t>
      </w:r>
      <w:r w:rsidRPr="00F66EF7">
        <w:rPr>
          <w:rFonts w:eastAsia="MS Mincho"/>
          <w:sz w:val="22"/>
          <w:szCs w:val="22"/>
          <w:lang w:val="en-US"/>
        </w:rPr>
        <w:t xml:space="preserve"> 7. </w:t>
      </w:r>
      <w:r w:rsidRPr="009978E3">
        <w:rPr>
          <w:rFonts w:eastAsia="MS Mincho"/>
          <w:sz w:val="22"/>
          <w:szCs w:val="22"/>
          <w:lang w:val="en-US"/>
        </w:rPr>
        <w:t xml:space="preserve">Surface </w:t>
      </w:r>
      <w:r>
        <w:rPr>
          <w:rFonts w:eastAsia="MS Mincho"/>
          <w:sz w:val="22"/>
          <w:szCs w:val="22"/>
          <w:lang w:val="en-US"/>
        </w:rPr>
        <w:t>d</w:t>
      </w:r>
      <w:r w:rsidRPr="009978E3">
        <w:rPr>
          <w:rFonts w:eastAsia="MS Mincho"/>
          <w:sz w:val="22"/>
          <w:szCs w:val="22"/>
          <w:lang w:val="en-US"/>
        </w:rPr>
        <w:t xml:space="preserve">ensity estimates for sperm whales and beaked whales (including Cuvier’s beaked whales) as observed during the 2007 </w:t>
      </w:r>
      <w:r w:rsidRPr="009978E3">
        <w:rPr>
          <w:sz w:val="22"/>
          <w:szCs w:val="22"/>
        </w:rPr>
        <w:t>Cetacean Offshore Distribution and Abundance in the European Atlantic (CODA) surveys (CODA, 2009)</w:t>
      </w:r>
      <w:r>
        <w:rPr>
          <w:sz w:val="22"/>
          <w:szCs w:val="22"/>
        </w:rPr>
        <w:t>.</w:t>
      </w:r>
    </w:p>
    <w:p w14:paraId="1AACA0DE" w14:textId="77777777" w:rsidR="006B3F46" w:rsidRPr="009978E3" w:rsidRDefault="006B3F46" w:rsidP="00907941">
      <w:pPr>
        <w:jc w:val="both"/>
        <w:rPr>
          <w:rFonts w:eastAsia="MS Mincho"/>
          <w:color w:val="2F5496"/>
          <w:sz w:val="22"/>
          <w:szCs w:val="22"/>
          <w:lang w:val="en-US"/>
        </w:rPr>
      </w:pPr>
    </w:p>
    <w:p w14:paraId="6BA42DA0" w14:textId="77777777" w:rsidR="006B3F46" w:rsidRPr="0021277B" w:rsidRDefault="009E53BE" w:rsidP="00907941">
      <w:pPr>
        <w:jc w:val="center"/>
        <w:rPr>
          <w:sz w:val="22"/>
          <w:szCs w:val="22"/>
        </w:rPr>
      </w:pPr>
      <w:r>
        <w:rPr>
          <w:noProof/>
          <w:sz w:val="22"/>
          <w:szCs w:val="22"/>
          <w:lang w:val="fr-CA" w:eastAsia="fr-CA"/>
        </w:rPr>
        <w:pict w14:anchorId="422AA5D9">
          <v:shape id="_x0000_i1075" type="#_x0000_t75" alt="istribution of sightings and effort for winter and summer surveys, for harbour porpoise (with red dot for calf/young occurrence), common dolphin, small-sized delphinids, bottlenose dolphin, Balaenopteridae, sperm-and beaked whales, long-finned pilot whale and Risso's dolphin (sightings collected on a simultaneous coastal survey are represented by empty symbol). (For interpretation of the references to color in this figure legend, the reader is referred to the web version of this article.) " style="width:330.75pt;height:611.25pt;visibility:visible">
            <v:imagedata r:id="rId149" o:title="young occurrence), common dolphin, small-sized delphinids, bottlenose dolphin, Balaenopteridae, sperm-and beaked whales, long-finned pilot whale and Risso's dolphin (sightings collected on a simultaneous coastal survey are represented by empty symbol)"/>
          </v:shape>
        </w:pict>
      </w:r>
    </w:p>
    <w:p w14:paraId="1477502F" w14:textId="28A3A5C4" w:rsidR="006B3F46" w:rsidRPr="009978E3" w:rsidRDefault="006B3F46" w:rsidP="00907941">
      <w:pPr>
        <w:pStyle w:val="Heading1"/>
        <w:shd w:val="clear" w:color="auto" w:fill="FFFFFF"/>
        <w:spacing w:before="0"/>
        <w:jc w:val="both"/>
        <w:rPr>
          <w:b w:val="0"/>
          <w:bCs/>
          <w:color w:val="111111"/>
          <w:szCs w:val="22"/>
        </w:rPr>
      </w:pPr>
      <w:r w:rsidRPr="00F66EF7">
        <w:rPr>
          <w:b w:val="0"/>
          <w:bCs/>
          <w:color w:val="111111"/>
          <w:szCs w:val="22"/>
        </w:rPr>
        <w:t>F</w:t>
      </w:r>
      <w:r w:rsidR="006533D9" w:rsidRPr="00F66EF7">
        <w:rPr>
          <w:b w:val="0"/>
          <w:bCs/>
          <w:caps w:val="0"/>
          <w:color w:val="111111"/>
          <w:szCs w:val="22"/>
        </w:rPr>
        <w:t>ig</w:t>
      </w:r>
      <w:r w:rsidR="006533D9">
        <w:rPr>
          <w:b w:val="0"/>
          <w:bCs/>
          <w:caps w:val="0"/>
          <w:color w:val="111111"/>
          <w:szCs w:val="22"/>
        </w:rPr>
        <w:t>ure</w:t>
      </w:r>
      <w:r w:rsidRPr="00F66EF7">
        <w:rPr>
          <w:b w:val="0"/>
          <w:bCs/>
          <w:color w:val="111111"/>
          <w:szCs w:val="22"/>
        </w:rPr>
        <w:t xml:space="preserve"> 8. </w:t>
      </w:r>
      <w:r w:rsidRPr="009978E3">
        <w:rPr>
          <w:b w:val="0"/>
          <w:bCs/>
          <w:color w:val="111111"/>
          <w:szCs w:val="22"/>
        </w:rPr>
        <w:t>D</w:t>
      </w:r>
      <w:r w:rsidR="006533D9" w:rsidRPr="009978E3">
        <w:rPr>
          <w:b w:val="0"/>
          <w:bCs/>
          <w:caps w:val="0"/>
          <w:color w:val="111111"/>
          <w:szCs w:val="22"/>
        </w:rPr>
        <w:t>istribution of sightings and effort for winter and summer surveys, for harbour porpoise (with red dot for calf/young occurrence</w:t>
      </w:r>
      <w:r w:rsidRPr="009978E3">
        <w:rPr>
          <w:b w:val="0"/>
          <w:bCs/>
          <w:color w:val="111111"/>
          <w:szCs w:val="22"/>
        </w:rPr>
        <w:t xml:space="preserve">), </w:t>
      </w:r>
      <w:r w:rsidR="006533D9" w:rsidRPr="009978E3">
        <w:rPr>
          <w:b w:val="0"/>
          <w:bCs/>
          <w:caps w:val="0"/>
          <w:color w:val="111111"/>
          <w:szCs w:val="22"/>
        </w:rPr>
        <w:t>common dolphin, small-sized delphinids, bottlenose dolphin, balaenopteridae, sperm-and beaked whales, long-finned pilot whale and risso's dolphin</w:t>
      </w:r>
      <w:r w:rsidRPr="009978E3">
        <w:rPr>
          <w:b w:val="0"/>
          <w:bCs/>
          <w:color w:val="111111"/>
          <w:szCs w:val="22"/>
        </w:rPr>
        <w:t> (L</w:t>
      </w:r>
      <w:r w:rsidR="006533D9" w:rsidRPr="009978E3">
        <w:rPr>
          <w:b w:val="0"/>
          <w:bCs/>
          <w:caps w:val="0"/>
          <w:color w:val="111111"/>
          <w:szCs w:val="22"/>
        </w:rPr>
        <w:t xml:space="preserve">aran </w:t>
      </w:r>
      <w:r w:rsidR="006533D9" w:rsidRPr="0006066A">
        <w:rPr>
          <w:b w:val="0"/>
          <w:bCs/>
          <w:i/>
          <w:caps w:val="0"/>
          <w:color w:val="111111"/>
          <w:szCs w:val="22"/>
        </w:rPr>
        <w:t>et al</w:t>
      </w:r>
      <w:r w:rsidRPr="009978E3">
        <w:rPr>
          <w:b w:val="0"/>
          <w:bCs/>
          <w:color w:val="111111"/>
          <w:szCs w:val="22"/>
        </w:rPr>
        <w:t>. 2016)</w:t>
      </w:r>
    </w:p>
    <w:p w14:paraId="382B7E4A" w14:textId="77777777" w:rsidR="006B3F46" w:rsidRPr="0021277B" w:rsidRDefault="006B3F46" w:rsidP="00907941">
      <w:pPr>
        <w:jc w:val="both"/>
        <w:rPr>
          <w:sz w:val="22"/>
          <w:szCs w:val="22"/>
          <w:lang w:val="en-US"/>
        </w:rPr>
      </w:pPr>
    </w:p>
    <w:p w14:paraId="39AF1CFB" w14:textId="5999A4FA" w:rsidR="006B3F46" w:rsidRPr="0021277B" w:rsidRDefault="009E53BE" w:rsidP="002E4B39">
      <w:pPr>
        <w:jc w:val="center"/>
        <w:rPr>
          <w:i/>
          <w:sz w:val="22"/>
          <w:szCs w:val="22"/>
          <w:lang w:val="en-US"/>
        </w:rPr>
      </w:pPr>
      <w:r>
        <w:rPr>
          <w:rFonts w:eastAsia="MS Mincho"/>
          <w:i/>
          <w:noProof/>
          <w:sz w:val="22"/>
          <w:szCs w:val="22"/>
          <w:lang w:val="fr-CA" w:eastAsia="fr-CA"/>
        </w:rPr>
        <w:pict w14:anchorId="792951B1">
          <v:shape id="Imagen 11" o:spid="_x0000_i1076" type="#_x0000_t75" style="width:270.75pt;height:218.25pt;visibility:visible">
            <v:imagedata r:id="rId150" o:title=""/>
          </v:shape>
        </w:pict>
      </w:r>
    </w:p>
    <w:p w14:paraId="70D6E79B" w14:textId="765AFAFC" w:rsidR="006B3F46" w:rsidRPr="0021277B" w:rsidRDefault="006B3F46" w:rsidP="002E4B39">
      <w:pPr>
        <w:jc w:val="center"/>
        <w:rPr>
          <w:sz w:val="22"/>
          <w:szCs w:val="22"/>
          <w:lang w:val="en-US"/>
        </w:rPr>
      </w:pPr>
      <w:r w:rsidRPr="00F66EF7">
        <w:rPr>
          <w:sz w:val="22"/>
          <w:szCs w:val="22"/>
          <w:lang w:val="en-US"/>
        </w:rPr>
        <w:t>Fig</w:t>
      </w:r>
      <w:r>
        <w:rPr>
          <w:sz w:val="22"/>
          <w:szCs w:val="22"/>
          <w:lang w:val="en-US"/>
        </w:rPr>
        <w:t>ure</w:t>
      </w:r>
      <w:r w:rsidRPr="00F66EF7">
        <w:rPr>
          <w:sz w:val="22"/>
          <w:szCs w:val="22"/>
          <w:lang w:val="en-US"/>
        </w:rPr>
        <w:t xml:space="preserve"> 9. </w:t>
      </w:r>
      <w:r>
        <w:rPr>
          <w:sz w:val="22"/>
          <w:szCs w:val="22"/>
          <w:lang w:val="en-US"/>
        </w:rPr>
        <w:t>A</w:t>
      </w:r>
      <w:r w:rsidRPr="009978E3">
        <w:rPr>
          <w:sz w:val="22"/>
          <w:szCs w:val="22"/>
          <w:lang w:val="en-US"/>
        </w:rPr>
        <w:t xml:space="preserve">nchovy </w:t>
      </w:r>
      <w:r>
        <w:rPr>
          <w:sz w:val="22"/>
          <w:szCs w:val="22"/>
          <w:lang w:val="en-US"/>
        </w:rPr>
        <w:t>s</w:t>
      </w:r>
      <w:r w:rsidRPr="009978E3">
        <w:rPr>
          <w:sz w:val="22"/>
          <w:szCs w:val="22"/>
          <w:lang w:val="en-US"/>
        </w:rPr>
        <w:t xml:space="preserve">pawning grounds in the Bay of Biscay (from Motos </w:t>
      </w:r>
      <w:r w:rsidRPr="0006066A">
        <w:rPr>
          <w:i/>
          <w:sz w:val="22"/>
          <w:szCs w:val="22"/>
          <w:lang w:val="en-US"/>
        </w:rPr>
        <w:t>et al</w:t>
      </w:r>
      <w:r w:rsidRPr="009978E3">
        <w:rPr>
          <w:sz w:val="22"/>
          <w:szCs w:val="22"/>
          <w:lang w:val="en-US"/>
        </w:rPr>
        <w:t>., 1996).</w:t>
      </w:r>
    </w:p>
    <w:p w14:paraId="7F802475" w14:textId="77777777" w:rsidR="006B3F46" w:rsidRPr="0021277B" w:rsidRDefault="009E53BE" w:rsidP="00907941">
      <w:pPr>
        <w:jc w:val="center"/>
        <w:rPr>
          <w:rFonts w:eastAsia="MS Mincho"/>
          <w:sz w:val="22"/>
          <w:szCs w:val="22"/>
          <w:lang w:val="en-US"/>
        </w:rPr>
      </w:pPr>
      <w:r>
        <w:rPr>
          <w:rFonts w:eastAsia="MS Mincho"/>
          <w:noProof/>
          <w:sz w:val="22"/>
          <w:szCs w:val="22"/>
          <w:lang w:val="fr-CA" w:eastAsia="fr-CA"/>
        </w:rPr>
        <w:pict w14:anchorId="412FE7AA">
          <v:shape id="Imagen 2" o:spid="_x0000_i1077" type="#_x0000_t75" style="width:417pt;height:205.5pt;visibility:visible">
            <v:imagedata r:id="rId151" o:title=""/>
          </v:shape>
        </w:pict>
      </w:r>
    </w:p>
    <w:p w14:paraId="1109CD35" w14:textId="1B5B9288" w:rsidR="006B3F46" w:rsidRPr="0021277B" w:rsidRDefault="006B3F46" w:rsidP="00907941">
      <w:pPr>
        <w:autoSpaceDE w:val="0"/>
        <w:autoSpaceDN w:val="0"/>
        <w:adjustRightInd w:val="0"/>
        <w:jc w:val="both"/>
        <w:rPr>
          <w:sz w:val="22"/>
          <w:szCs w:val="22"/>
          <w:lang w:val="en-US"/>
        </w:rPr>
      </w:pPr>
      <w:r w:rsidRPr="00F66EF7">
        <w:rPr>
          <w:sz w:val="22"/>
          <w:szCs w:val="22"/>
          <w:lang w:val="en-US"/>
        </w:rPr>
        <w:t>Fig</w:t>
      </w:r>
      <w:r>
        <w:rPr>
          <w:sz w:val="22"/>
          <w:szCs w:val="22"/>
          <w:lang w:val="en-US"/>
        </w:rPr>
        <w:t>ure</w:t>
      </w:r>
      <w:r w:rsidRPr="00F66EF7">
        <w:rPr>
          <w:sz w:val="22"/>
          <w:szCs w:val="22"/>
          <w:lang w:val="en-US"/>
        </w:rPr>
        <w:t xml:space="preserve"> 10.</w:t>
      </w:r>
      <w:r w:rsidRPr="009978E3">
        <w:rPr>
          <w:sz w:val="22"/>
          <w:szCs w:val="22"/>
          <w:lang w:val="en-US"/>
        </w:rPr>
        <w:t xml:space="preserve"> Main hake nursery areas in the last decade (based </w:t>
      </w:r>
      <w:r>
        <w:rPr>
          <w:sz w:val="22"/>
          <w:szCs w:val="22"/>
          <w:lang w:val="en-US"/>
        </w:rPr>
        <w:t>o</w:t>
      </w:r>
      <w:r w:rsidRPr="009978E3">
        <w:rPr>
          <w:sz w:val="22"/>
          <w:szCs w:val="22"/>
          <w:lang w:val="en-US"/>
        </w:rPr>
        <w:t xml:space="preserve">n Sánchez, 1995). </w:t>
      </w:r>
      <w:r>
        <w:rPr>
          <w:sz w:val="22"/>
          <w:szCs w:val="22"/>
          <w:lang w:val="en-US"/>
        </w:rPr>
        <w:t>Cross-hatching indicates</w:t>
      </w:r>
      <w:r w:rsidRPr="009978E3">
        <w:rPr>
          <w:sz w:val="22"/>
          <w:szCs w:val="22"/>
          <w:lang w:val="en-US"/>
        </w:rPr>
        <w:t xml:space="preserve"> the main areas appearing all years</w:t>
      </w:r>
      <w:r>
        <w:rPr>
          <w:sz w:val="22"/>
          <w:szCs w:val="22"/>
          <w:lang w:val="en-US"/>
        </w:rPr>
        <w:t>,</w:t>
      </w:r>
      <w:r w:rsidRPr="009978E3">
        <w:rPr>
          <w:sz w:val="22"/>
          <w:szCs w:val="22"/>
          <w:lang w:val="en-US"/>
        </w:rPr>
        <w:t xml:space="preserve"> and </w:t>
      </w:r>
      <w:r>
        <w:rPr>
          <w:sz w:val="22"/>
          <w:szCs w:val="22"/>
          <w:lang w:val="en-US"/>
        </w:rPr>
        <w:t>hatching indicates</w:t>
      </w:r>
      <w:r w:rsidRPr="009978E3">
        <w:rPr>
          <w:sz w:val="22"/>
          <w:szCs w:val="22"/>
          <w:lang w:val="en-US"/>
        </w:rPr>
        <w:t xml:space="preserve"> the concentrations </w:t>
      </w:r>
      <w:r>
        <w:rPr>
          <w:sz w:val="22"/>
          <w:szCs w:val="22"/>
          <w:lang w:val="en-US"/>
        </w:rPr>
        <w:t>that</w:t>
      </w:r>
      <w:r w:rsidRPr="009978E3">
        <w:rPr>
          <w:sz w:val="22"/>
          <w:szCs w:val="22"/>
          <w:lang w:val="en-US"/>
        </w:rPr>
        <w:t xml:space="preserve"> only appear in some years (Sánchez and Gil, 2000).</w:t>
      </w:r>
    </w:p>
    <w:p w14:paraId="4730CC0E" w14:textId="62B81753" w:rsidR="006B3F46" w:rsidRPr="0021277B" w:rsidRDefault="009E53BE" w:rsidP="002E4B39">
      <w:pPr>
        <w:autoSpaceDE w:val="0"/>
        <w:autoSpaceDN w:val="0"/>
        <w:adjustRightInd w:val="0"/>
        <w:jc w:val="center"/>
        <w:rPr>
          <w:sz w:val="22"/>
          <w:szCs w:val="22"/>
          <w:lang w:val="en-US"/>
        </w:rPr>
      </w:pPr>
      <w:r>
        <w:rPr>
          <w:noProof/>
          <w:sz w:val="22"/>
          <w:szCs w:val="22"/>
          <w:lang w:val="fr-CA" w:eastAsia="fr-CA"/>
        </w:rPr>
        <w:pict w14:anchorId="65D7420B">
          <v:shape id="Imagen 1" o:spid="_x0000_i1078" type="#_x0000_t75" style="width:291pt;height:203.25pt;visibility:visible">
            <v:imagedata r:id="rId152" o:title=""/>
          </v:shape>
        </w:pict>
      </w:r>
    </w:p>
    <w:p w14:paraId="36110A5B" w14:textId="77777777" w:rsidR="006B3F46" w:rsidRPr="009978E3" w:rsidRDefault="006B3F46" w:rsidP="00907941">
      <w:pPr>
        <w:autoSpaceDE w:val="0"/>
        <w:autoSpaceDN w:val="0"/>
        <w:adjustRightInd w:val="0"/>
        <w:jc w:val="both"/>
        <w:rPr>
          <w:sz w:val="22"/>
          <w:szCs w:val="22"/>
          <w:lang w:val="en-US"/>
        </w:rPr>
      </w:pPr>
      <w:r w:rsidRPr="00F66EF7">
        <w:rPr>
          <w:sz w:val="22"/>
          <w:szCs w:val="22"/>
          <w:lang w:val="en-US"/>
        </w:rPr>
        <w:t>Fi</w:t>
      </w:r>
      <w:r w:rsidRPr="009978E3">
        <w:rPr>
          <w:sz w:val="22"/>
          <w:szCs w:val="22"/>
          <w:lang w:val="en-US"/>
        </w:rPr>
        <w:t>g</w:t>
      </w:r>
      <w:r>
        <w:rPr>
          <w:sz w:val="22"/>
          <w:szCs w:val="22"/>
          <w:lang w:val="en-US"/>
        </w:rPr>
        <w:t>ure</w:t>
      </w:r>
      <w:r w:rsidRPr="009978E3">
        <w:rPr>
          <w:sz w:val="22"/>
          <w:szCs w:val="22"/>
          <w:lang w:val="en-US"/>
        </w:rPr>
        <w:t xml:space="preserve"> 11. Main nurseries of European hake in the Bay of Biscay in autumn 1997. Data from standardized bottom trawl surveys carried out during the SESITS international project (SESITS, 2000) (F</w:t>
      </w:r>
      <w:r>
        <w:rPr>
          <w:sz w:val="22"/>
          <w:szCs w:val="22"/>
          <w:lang w:val="en-US"/>
        </w:rPr>
        <w:t>rom</w:t>
      </w:r>
      <w:r w:rsidRPr="009978E3">
        <w:rPr>
          <w:sz w:val="22"/>
          <w:szCs w:val="22"/>
          <w:lang w:val="en-US"/>
        </w:rPr>
        <w:t xml:space="preserve"> Lavín </w:t>
      </w:r>
      <w:r w:rsidRPr="0006066A">
        <w:rPr>
          <w:i/>
          <w:sz w:val="22"/>
          <w:szCs w:val="22"/>
          <w:lang w:val="en-US"/>
        </w:rPr>
        <w:t>et al</w:t>
      </w:r>
      <w:r w:rsidRPr="009978E3">
        <w:rPr>
          <w:sz w:val="22"/>
          <w:szCs w:val="22"/>
          <w:lang w:val="en-US"/>
        </w:rPr>
        <w:t>., 2004).</w:t>
      </w:r>
    </w:p>
    <w:p w14:paraId="5E4A02A0" w14:textId="77777777" w:rsidR="006B3F46" w:rsidRPr="00F66EF7" w:rsidRDefault="006B3F46" w:rsidP="00907941">
      <w:pPr>
        <w:jc w:val="both"/>
        <w:rPr>
          <w:rFonts w:eastAsia="MS Mincho"/>
          <w:bCs/>
          <w:sz w:val="22"/>
          <w:szCs w:val="22"/>
          <w:lang w:val="en-US"/>
        </w:rPr>
      </w:pPr>
    </w:p>
    <w:p w14:paraId="585391DC"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Rights and permissions </w:t>
      </w:r>
    </w:p>
    <w:p w14:paraId="18CD43F9" w14:textId="4A55A395" w:rsidR="006B3F46" w:rsidRPr="0021277B" w:rsidRDefault="006B3F46" w:rsidP="00907941">
      <w:pPr>
        <w:jc w:val="both"/>
        <w:rPr>
          <w:sz w:val="22"/>
          <w:szCs w:val="22"/>
          <w:lang w:eastAsia="es-ES"/>
        </w:rPr>
      </w:pPr>
      <w:r w:rsidRPr="009978E3">
        <w:rPr>
          <w:sz w:val="22"/>
          <w:szCs w:val="22"/>
        </w:rPr>
        <w:t>All quoted documents and sites are public and subject to specific copyrights that must be respected case by case.</w:t>
      </w:r>
    </w:p>
    <w:p w14:paraId="15B5558A" w14:textId="77777777" w:rsidR="006B3F46" w:rsidRPr="00F66EF7" w:rsidRDefault="006B3F46" w:rsidP="00907941">
      <w:pPr>
        <w:ind w:left="1440" w:hanging="1440"/>
        <w:jc w:val="center"/>
        <w:rPr>
          <w:rFonts w:eastAsia="MS Mincho"/>
          <w:b/>
          <w:sz w:val="22"/>
          <w:szCs w:val="22"/>
          <w:lang w:val="en-US"/>
        </w:rPr>
      </w:pPr>
      <w:r w:rsidRPr="0021277B">
        <w:rPr>
          <w:sz w:val="22"/>
          <w:szCs w:val="22"/>
          <w:lang w:eastAsia="es-ES"/>
        </w:rPr>
        <w:br w:type="page"/>
      </w:r>
      <w:r w:rsidRPr="00F66EF7">
        <w:rPr>
          <w:rFonts w:eastAsia="MS Mincho"/>
          <w:b/>
          <w:sz w:val="22"/>
          <w:szCs w:val="22"/>
          <w:lang w:val="en-US"/>
        </w:rPr>
        <w:t>Area no. 4:</w:t>
      </w:r>
      <w:r w:rsidRPr="009978E3">
        <w:rPr>
          <w:b/>
          <w:sz w:val="22"/>
          <w:szCs w:val="22"/>
        </w:rPr>
        <w:t xml:space="preserve"> </w:t>
      </w:r>
      <w:r w:rsidRPr="009978E3">
        <w:rPr>
          <w:b/>
          <w:color w:val="000000"/>
          <w:sz w:val="22"/>
          <w:szCs w:val="22"/>
          <w:shd w:val="clear" w:color="auto" w:fill="FFFFFF"/>
        </w:rPr>
        <w:t>West Iberian Canyons and Banks</w:t>
      </w:r>
    </w:p>
    <w:p w14:paraId="44DE9D66" w14:textId="77777777" w:rsidR="006B3F46" w:rsidRPr="009978E3" w:rsidRDefault="006B3F46" w:rsidP="00907941">
      <w:pPr>
        <w:jc w:val="both"/>
        <w:rPr>
          <w:rFonts w:eastAsia="MS Mincho"/>
          <w:i/>
          <w:sz w:val="22"/>
          <w:szCs w:val="22"/>
          <w:lang w:val="en-US"/>
        </w:rPr>
      </w:pPr>
      <w:r w:rsidRPr="009978E3">
        <w:rPr>
          <w:rFonts w:eastAsia="MS Mincho"/>
          <w:b/>
          <w:sz w:val="22"/>
          <w:szCs w:val="22"/>
          <w:lang w:val="en-US"/>
        </w:rPr>
        <w:t xml:space="preserve">Abstract </w:t>
      </w:r>
    </w:p>
    <w:p w14:paraId="2B492BAC" w14:textId="77777777" w:rsidR="006B3F46" w:rsidRPr="009978E3" w:rsidRDefault="006B3F46" w:rsidP="002E4B39">
      <w:pPr>
        <w:suppressLineNumbers/>
        <w:spacing w:after="120"/>
        <w:jc w:val="both"/>
        <w:rPr>
          <w:rFonts w:eastAsia="MS Mincho"/>
          <w:sz w:val="22"/>
          <w:szCs w:val="22"/>
          <w:lang w:val="en-US"/>
        </w:rPr>
      </w:pPr>
      <w:bookmarkStart w:id="25" w:name="_Hlk20418962"/>
      <w:r w:rsidRPr="009978E3">
        <w:rPr>
          <w:rFonts w:eastAsia="MS Mincho"/>
          <w:bCs/>
          <w:sz w:val="22"/>
          <w:szCs w:val="22"/>
        </w:rPr>
        <w:t>Th</w:t>
      </w:r>
      <w:r>
        <w:rPr>
          <w:rFonts w:eastAsia="MS Mincho"/>
          <w:bCs/>
          <w:sz w:val="22"/>
          <w:szCs w:val="22"/>
        </w:rPr>
        <w:t>is</w:t>
      </w:r>
      <w:r w:rsidRPr="009978E3">
        <w:rPr>
          <w:rFonts w:eastAsia="MS Mincho"/>
          <w:bCs/>
          <w:sz w:val="22"/>
          <w:szCs w:val="22"/>
          <w:lang w:val="en-US"/>
        </w:rPr>
        <w:t xml:space="preserve"> </w:t>
      </w:r>
      <w:r w:rsidRPr="009978E3">
        <w:rPr>
          <w:rFonts w:eastAsia="MS Mincho"/>
          <w:sz w:val="22"/>
          <w:szCs w:val="22"/>
          <w:lang w:val="en-US"/>
        </w:rPr>
        <w:t xml:space="preserve">area includes </w:t>
      </w:r>
      <w:r>
        <w:rPr>
          <w:rFonts w:eastAsia="MS Mincho"/>
          <w:sz w:val="22"/>
          <w:szCs w:val="22"/>
          <w:lang w:val="en-US"/>
        </w:rPr>
        <w:t xml:space="preserve">marine protected areas (including six that are part of the </w:t>
      </w:r>
      <w:r w:rsidRPr="009978E3">
        <w:rPr>
          <w:rFonts w:eastAsia="MS Mincho"/>
          <w:sz w:val="22"/>
          <w:szCs w:val="22"/>
          <w:lang w:val="en-US"/>
        </w:rPr>
        <w:t xml:space="preserve">OSPAR </w:t>
      </w:r>
      <w:r>
        <w:rPr>
          <w:rFonts w:eastAsia="MS Mincho"/>
          <w:sz w:val="22"/>
          <w:szCs w:val="22"/>
          <w:lang w:val="en-US"/>
        </w:rPr>
        <w:t xml:space="preserve">Network of </w:t>
      </w:r>
      <w:r w:rsidRPr="009978E3">
        <w:rPr>
          <w:rFonts w:eastAsia="MS Mincho"/>
          <w:sz w:val="22"/>
          <w:szCs w:val="22"/>
          <w:lang w:val="en-US"/>
        </w:rPr>
        <w:t>Marine Protected Areas</w:t>
      </w:r>
      <w:r>
        <w:rPr>
          <w:rFonts w:eastAsia="MS Mincho"/>
          <w:sz w:val="22"/>
          <w:szCs w:val="22"/>
          <w:lang w:val="en-US"/>
        </w:rPr>
        <w:t>)</w:t>
      </w:r>
      <w:r w:rsidRPr="009978E3">
        <w:rPr>
          <w:rFonts w:eastAsia="MS Mincho"/>
          <w:sz w:val="22"/>
          <w:szCs w:val="22"/>
          <w:lang w:val="en-US"/>
        </w:rPr>
        <w:t>, one protected area, one UNESCO Biosphere Reserve, 12 Natura 2000 Sites of Community Interest and 10 Natura 2000 Special Protection Areas for seabirds.  The area is divided into three sections</w:t>
      </w:r>
      <w:r>
        <w:rPr>
          <w:rFonts w:eastAsia="MS Mincho"/>
          <w:sz w:val="22"/>
          <w:szCs w:val="22"/>
          <w:lang w:val="en-US"/>
        </w:rPr>
        <w:t>:</w:t>
      </w:r>
      <w:r w:rsidRPr="009978E3">
        <w:rPr>
          <w:rFonts w:eastAsia="MS Mincho"/>
          <w:sz w:val="22"/>
          <w:szCs w:val="22"/>
          <w:lang w:val="en-US"/>
        </w:rPr>
        <w:t xml:space="preserve"> North </w:t>
      </w:r>
      <w:r w:rsidRPr="009978E3">
        <w:rPr>
          <w:rFonts w:eastAsia="MS Mincho"/>
          <w:bCs/>
          <w:sz w:val="22"/>
          <w:szCs w:val="22"/>
        </w:rPr>
        <w:t>W</w:t>
      </w:r>
      <w:r w:rsidRPr="009978E3">
        <w:rPr>
          <w:rFonts w:eastAsia="MS Mincho"/>
          <w:bCs/>
          <w:sz w:val="22"/>
          <w:szCs w:val="22"/>
          <w:lang w:val="en-US"/>
        </w:rPr>
        <w:t>estern,</w:t>
      </w:r>
      <w:r w:rsidRPr="009978E3">
        <w:rPr>
          <w:rFonts w:eastAsia="MS Mincho"/>
          <w:sz w:val="22"/>
          <w:szCs w:val="22"/>
          <w:lang w:val="en-US"/>
        </w:rPr>
        <w:t xml:space="preserve"> Centre </w:t>
      </w:r>
      <w:r w:rsidRPr="009978E3">
        <w:rPr>
          <w:rFonts w:eastAsia="MS Mincho"/>
          <w:bCs/>
          <w:sz w:val="22"/>
          <w:szCs w:val="22"/>
        </w:rPr>
        <w:t>W</w:t>
      </w:r>
      <w:r w:rsidRPr="009978E3">
        <w:rPr>
          <w:rFonts w:eastAsia="MS Mincho"/>
          <w:bCs/>
          <w:sz w:val="22"/>
          <w:szCs w:val="22"/>
          <w:lang w:val="en-US"/>
        </w:rPr>
        <w:t xml:space="preserve">estern </w:t>
      </w:r>
      <w:r w:rsidRPr="009978E3">
        <w:rPr>
          <w:rFonts w:eastAsia="MS Mincho"/>
          <w:sz w:val="22"/>
          <w:szCs w:val="22"/>
          <w:lang w:val="en-US"/>
        </w:rPr>
        <w:t xml:space="preserve">and South </w:t>
      </w:r>
      <w:r w:rsidRPr="009978E3">
        <w:rPr>
          <w:rFonts w:eastAsia="MS Mincho"/>
          <w:bCs/>
          <w:sz w:val="22"/>
          <w:szCs w:val="22"/>
        </w:rPr>
        <w:t>W</w:t>
      </w:r>
      <w:r w:rsidRPr="009978E3">
        <w:rPr>
          <w:rFonts w:eastAsia="MS Mincho"/>
          <w:bCs/>
          <w:sz w:val="22"/>
          <w:szCs w:val="22"/>
          <w:lang w:val="en-US"/>
        </w:rPr>
        <w:t>estern</w:t>
      </w:r>
      <w:r w:rsidRPr="009978E3">
        <w:rPr>
          <w:rFonts w:eastAsia="MS Mincho"/>
          <w:sz w:val="22"/>
          <w:szCs w:val="22"/>
          <w:lang w:val="en-US"/>
        </w:rPr>
        <w:t>. The features in the area are hotspots of marine life, and they represent areas of enhanced productivity, especially when compared with surrounding areas. The area has a high diversity of benthic communities</w:t>
      </w:r>
      <w:r>
        <w:rPr>
          <w:rFonts w:eastAsia="MS Mincho"/>
          <w:sz w:val="22"/>
          <w:szCs w:val="22"/>
          <w:lang w:val="en-US"/>
        </w:rPr>
        <w:t xml:space="preserve"> and</w:t>
      </w:r>
      <w:r w:rsidRPr="009978E3">
        <w:rPr>
          <w:rFonts w:eastAsia="MS Mincho"/>
          <w:sz w:val="22"/>
          <w:szCs w:val="22"/>
          <w:lang w:val="en-US"/>
        </w:rPr>
        <w:t xml:space="preserve"> spawning grounds for several species, and it is an important area for cetaceans. A total of 3411 species are listed in the area</w:t>
      </w:r>
      <w:r>
        <w:rPr>
          <w:rFonts w:eastAsia="MS Mincho"/>
          <w:sz w:val="22"/>
          <w:szCs w:val="22"/>
          <w:lang w:val="en-US"/>
        </w:rPr>
        <w:t xml:space="preserve">, </w:t>
      </w:r>
      <w:r w:rsidRPr="009978E3">
        <w:rPr>
          <w:rFonts w:eastAsia="MS Mincho"/>
          <w:sz w:val="22"/>
          <w:szCs w:val="22"/>
          <w:lang w:val="en-US"/>
        </w:rPr>
        <w:t xml:space="preserve">11 </w:t>
      </w:r>
      <w:r>
        <w:rPr>
          <w:rFonts w:eastAsia="MS Mincho"/>
          <w:sz w:val="22"/>
          <w:szCs w:val="22"/>
          <w:lang w:val="en-US"/>
        </w:rPr>
        <w:t>per cent</w:t>
      </w:r>
      <w:r w:rsidRPr="009978E3">
        <w:rPr>
          <w:rFonts w:eastAsia="MS Mincho"/>
          <w:sz w:val="22"/>
          <w:szCs w:val="22"/>
          <w:lang w:val="en-US"/>
        </w:rPr>
        <w:t xml:space="preserve"> </w:t>
      </w:r>
      <w:r>
        <w:rPr>
          <w:rFonts w:eastAsia="MS Mincho"/>
          <w:sz w:val="22"/>
          <w:szCs w:val="22"/>
          <w:lang w:val="en-US"/>
        </w:rPr>
        <w:t xml:space="preserve">of which </w:t>
      </w:r>
      <w:r w:rsidRPr="009978E3">
        <w:rPr>
          <w:rFonts w:eastAsia="MS Mincho"/>
          <w:sz w:val="22"/>
          <w:szCs w:val="22"/>
          <w:lang w:val="en-US"/>
        </w:rPr>
        <w:t xml:space="preserve">are protected under international or regional law. </w:t>
      </w:r>
    </w:p>
    <w:bookmarkEnd w:id="25"/>
    <w:p w14:paraId="45B7D701"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Introduction</w:t>
      </w:r>
    </w:p>
    <w:p w14:paraId="38C00E77" w14:textId="77777777" w:rsidR="006B3F46" w:rsidRPr="009978E3" w:rsidRDefault="006B3F46" w:rsidP="002E4B39">
      <w:pPr>
        <w:suppressLineNumbers/>
        <w:spacing w:after="120"/>
        <w:jc w:val="both"/>
        <w:rPr>
          <w:rFonts w:eastAsia="MS Mincho"/>
          <w:sz w:val="22"/>
          <w:szCs w:val="22"/>
          <w:lang w:val="en-US"/>
        </w:rPr>
      </w:pPr>
      <w:r w:rsidRPr="009978E3">
        <w:rPr>
          <w:sz w:val="22"/>
          <w:szCs w:val="22"/>
          <w:lang w:val="en"/>
        </w:rPr>
        <w:t xml:space="preserve">This area comprises coastal protected areas, which were designated under different multilateral agreements, national legislation or European Union Directives, with some of them overlapping partially or totally. As an example, </w:t>
      </w:r>
      <w:r w:rsidRPr="009978E3">
        <w:rPr>
          <w:rFonts w:eastAsia="MS Mincho"/>
          <w:sz w:val="22"/>
          <w:szCs w:val="22"/>
          <w:lang w:val="en-US"/>
        </w:rPr>
        <w:t xml:space="preserve">Archipelago of Berlengas is a protected area (Reserva Natural das Berlengas) – Decree-Law No. 264/81, and it overlaps with the Site of Community Interest Arquipélago das Berlengas - PTCON0006, designated under EU Habitats Directive; the Special Protection Area Ilhas Berlengas - PTZPE0009, designated under EU Birds Directive; the UNESCO Berlengas Biosphere Reserve; OSPAR Berlengas Marine Protected Area; and  the Council of Europe Berlenga Biogenetic Reserve. </w:t>
      </w:r>
    </w:p>
    <w:p w14:paraId="4DC8FB4A"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area comprises s</w:t>
      </w:r>
      <w:r w:rsidRPr="009978E3">
        <w:rPr>
          <w:rFonts w:eastAsia="MS Mincho"/>
          <w:bCs/>
          <w:sz w:val="22"/>
          <w:szCs w:val="22"/>
          <w:lang w:val="en-US"/>
        </w:rPr>
        <w:t xml:space="preserve">ubmarine canyons, which </w:t>
      </w:r>
      <w:r w:rsidRPr="009978E3">
        <w:rPr>
          <w:rFonts w:eastAsia="MS Mincho"/>
          <w:sz w:val="22"/>
          <w:szCs w:val="22"/>
          <w:lang w:val="en-US"/>
        </w:rPr>
        <w:t xml:space="preserve">are major geomorphic features of continental margins (Harris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2014). Canyons are characterized by steep and complex topography (Shepard and Dill, 1966; Lastras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Harris and Whiteway, 2011) that influences current patterns (Shepard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1979; Xu, 2011) and provides a heterogeneous set of habitats, from rocky walls and outcrops to soft sediment (De Leo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2014). These geomorphologic features act as preferential particle-transport routes from the productive coastal zone down continental slopes to the more stable deep seafloor (Allen &amp; Durrieu de Madron, 2009; Puig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2014). On many continental margins, cross-shelf exchanges of water and particulate matter are inhibited by the presence of density fronts and associated slope currents flowing parallel to the isobaths (</w:t>
      </w:r>
      <w:r>
        <w:rPr>
          <w:rFonts w:eastAsia="MS Mincho"/>
          <w:sz w:val="22"/>
          <w:szCs w:val="22"/>
          <w:lang w:val="en-US"/>
        </w:rPr>
        <w:t>e.g.</w:t>
      </w:r>
      <w:r w:rsidRPr="009978E3">
        <w:rPr>
          <w:rFonts w:eastAsia="MS Mincho"/>
          <w:sz w:val="22"/>
          <w:szCs w:val="22"/>
          <w:lang w:val="en-US"/>
        </w:rPr>
        <w:t xml:space="preserve">, Font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1988; Allen &amp; </w:t>
      </w:r>
      <w:r w:rsidRPr="009978E3">
        <w:rPr>
          <w:sz w:val="22"/>
          <w:szCs w:val="22"/>
          <w:lang w:val="en-US"/>
        </w:rPr>
        <w:t>Durrieu de Madron, 2009</w:t>
      </w:r>
      <w:r w:rsidRPr="009978E3">
        <w:rPr>
          <w:rFonts w:eastAsia="MS Mincho"/>
          <w:sz w:val="22"/>
          <w:szCs w:val="22"/>
          <w:lang w:val="en-US"/>
        </w:rPr>
        <w:t xml:space="preserve">). Near the seafloor, alignment of the current with the direction of the canyon axis is commonly observed (Shepard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1979; Puig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2000). The adjustments of the current to the canyon topography produce vortex stretching and vertical motions (Klinck, 1996; Hickey, 1997). These modifications of the currents may result in local upwelling, which stimulates primary production (Ryan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2005). Additionally, closed-circulation cells and downwelling may develop over canyons, enhancing the capacity of the canyon to trap particles transported by long-shore currents (Palanques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2005; Allen &amp; Durrieu de Madron, 2009).  Canyons are important routes for the transport of organic matter from surface waters and continental shelf areas to deep-sea basins (Durrieu de Madron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2000; Palanques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2005; Canals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2006; Pasqual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 There is increasing evidence that submarine canyons play important ecological roles in the functioning of deep-sea ecosystems (Amaro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2016; Thurber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2014) and contribute significantly to regional biodiversity and primary/secondary production along the continental margin (Gili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1999, 2000; Sardà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2009; Ingels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2009; Vetter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 De Leo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2010).</w:t>
      </w:r>
    </w:p>
    <w:p w14:paraId="39CD6B6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area also comprises seamounts, which are defined as isolated topographic features of the seabed that have a limited lateral extent and rise (</w:t>
      </w:r>
      <w:r w:rsidRPr="009978E3">
        <w:rPr>
          <w:sz w:val="22"/>
          <w:szCs w:val="22"/>
          <w:lang w:val="en-US"/>
        </w:rPr>
        <w:t>Menard, 1964</w:t>
      </w:r>
      <w:r w:rsidRPr="009978E3">
        <w:rPr>
          <w:rFonts w:eastAsia="MS Mincho"/>
          <w:sz w:val="22"/>
          <w:szCs w:val="22"/>
          <w:lang w:val="en-US"/>
        </w:rPr>
        <w:t>).  Seamounts are hotspots of marine life (</w:t>
      </w:r>
      <w:r>
        <w:rPr>
          <w:rFonts w:eastAsia="MS Mincho"/>
          <w:sz w:val="22"/>
          <w:szCs w:val="22"/>
          <w:lang w:val="en-US"/>
        </w:rPr>
        <w:t>e.g.,</w:t>
      </w:r>
      <w:r w:rsidRPr="0021277B">
        <w:rPr>
          <w:sz w:val="22"/>
          <w:szCs w:val="22"/>
          <w:lang w:val="en-US"/>
        </w:rPr>
        <w:t xml:space="preserve"> </w:t>
      </w:r>
      <w:r w:rsidRPr="009978E3">
        <w:rPr>
          <w:sz w:val="22"/>
          <w:szCs w:val="22"/>
          <w:lang w:val="en-US"/>
        </w:rPr>
        <w:t>Rogers, 1994</w:t>
      </w:r>
      <w:r w:rsidRPr="009978E3">
        <w:rPr>
          <w:rFonts w:eastAsia="MS Mincho"/>
          <w:sz w:val="22"/>
          <w:szCs w:val="22"/>
          <w:lang w:val="en-US"/>
        </w:rPr>
        <w:t xml:space="preserve">; </w:t>
      </w:r>
      <w:r w:rsidRPr="009978E3">
        <w:rPr>
          <w:sz w:val="22"/>
          <w:szCs w:val="22"/>
          <w:lang w:val="en-US"/>
        </w:rPr>
        <w:t>Gubbay, 2003</w:t>
      </w:r>
      <w:r w:rsidRPr="009978E3">
        <w:rPr>
          <w:rFonts w:eastAsia="MS Mincho"/>
          <w:sz w:val="22"/>
          <w:szCs w:val="22"/>
          <w:lang w:val="en-US"/>
        </w:rPr>
        <w:t xml:space="preserve">; </w:t>
      </w:r>
      <w:r w:rsidRPr="009978E3">
        <w:rPr>
          <w:sz w:val="22"/>
          <w:szCs w:val="22"/>
          <w:lang w:val="en-US"/>
        </w:rPr>
        <w:t>Morato &amp; Pauly, 2004</w:t>
      </w:r>
      <w:r w:rsidRPr="009978E3">
        <w:rPr>
          <w:rFonts w:eastAsia="MS Mincho"/>
          <w:sz w:val="22"/>
          <w:szCs w:val="22"/>
          <w:lang w:val="en-US"/>
        </w:rPr>
        <w:t xml:space="preserve">; </w:t>
      </w:r>
      <w:r w:rsidRPr="009978E3">
        <w:rPr>
          <w:sz w:val="22"/>
          <w:szCs w:val="22"/>
          <w:lang w:val="en-US"/>
        </w:rPr>
        <w:t xml:space="preserve">Pitcher </w:t>
      </w:r>
      <w:r w:rsidRPr="0006066A">
        <w:rPr>
          <w:i/>
          <w:sz w:val="22"/>
          <w:szCs w:val="22"/>
          <w:lang w:val="en-US"/>
        </w:rPr>
        <w:t>et al</w:t>
      </w:r>
      <w:r w:rsidRPr="009978E3">
        <w:rPr>
          <w:i/>
          <w:sz w:val="22"/>
          <w:szCs w:val="22"/>
          <w:lang w:val="en-US"/>
        </w:rPr>
        <w:t xml:space="preserve">., </w:t>
      </w:r>
      <w:r w:rsidRPr="009978E3">
        <w:rPr>
          <w:sz w:val="22"/>
          <w:szCs w:val="22"/>
          <w:lang w:val="en-US"/>
        </w:rPr>
        <w:t>2007, 2010</w:t>
      </w:r>
      <w:r w:rsidRPr="009978E3">
        <w:rPr>
          <w:rFonts w:eastAsia="MS Mincho"/>
          <w:sz w:val="22"/>
          <w:szCs w:val="22"/>
          <w:lang w:val="en-US"/>
        </w:rPr>
        <w:t>;</w:t>
      </w:r>
      <w:r w:rsidRPr="009978E3">
        <w:rPr>
          <w:sz w:val="22"/>
          <w:szCs w:val="22"/>
        </w:rPr>
        <w:t xml:space="preserve"> </w:t>
      </w:r>
      <w:r w:rsidRPr="009978E3">
        <w:rPr>
          <w:sz w:val="22"/>
          <w:szCs w:val="22"/>
          <w:lang w:val="en-US"/>
        </w:rPr>
        <w:t xml:space="preserve">Mendonça </w:t>
      </w:r>
      <w:r w:rsidRPr="0006066A">
        <w:rPr>
          <w:i/>
          <w:sz w:val="22"/>
          <w:szCs w:val="22"/>
          <w:lang w:val="en-US"/>
        </w:rPr>
        <w:t>et al</w:t>
      </w:r>
      <w:r w:rsidRPr="009978E3">
        <w:rPr>
          <w:i/>
          <w:sz w:val="22"/>
          <w:szCs w:val="22"/>
          <w:lang w:val="en-US"/>
        </w:rPr>
        <w:t xml:space="preserve">., </w:t>
      </w:r>
      <w:r w:rsidRPr="009978E3">
        <w:rPr>
          <w:sz w:val="22"/>
          <w:szCs w:val="22"/>
          <w:lang w:val="en-US"/>
        </w:rPr>
        <w:t>2012</w:t>
      </w:r>
      <w:r w:rsidRPr="009978E3">
        <w:rPr>
          <w:rFonts w:eastAsia="MS Mincho"/>
          <w:sz w:val="22"/>
          <w:szCs w:val="22"/>
          <w:lang w:val="en-US"/>
        </w:rPr>
        <w:t>), and in general represent areas of enhanced productivity in comparison with nearby abyssal areas. In most cases, around the seamounts there is an extensive anticyclonic eddy associated with the lifting of nutrients from the rich deep water, giving rise to high concentrations of nitrates and chlorophyll in shallow waters (</w:t>
      </w:r>
      <w:r w:rsidRPr="009978E3">
        <w:rPr>
          <w:sz w:val="22"/>
          <w:szCs w:val="22"/>
          <w:lang w:val="en-US"/>
        </w:rPr>
        <w:t>Coelho &amp; Santos, 2003</w:t>
      </w:r>
      <w:r w:rsidRPr="009978E3">
        <w:rPr>
          <w:rFonts w:eastAsia="MS Mincho"/>
          <w:sz w:val="22"/>
          <w:szCs w:val="22"/>
          <w:lang w:val="en-US"/>
        </w:rPr>
        <w:t>). Seamounts are biologically distinctive habitats of the open ocean, exhibiting a number of unique features (</w:t>
      </w:r>
      <w:r w:rsidRPr="009978E3">
        <w:rPr>
          <w:sz w:val="22"/>
          <w:szCs w:val="22"/>
          <w:lang w:val="en-US"/>
        </w:rPr>
        <w:t>Rogers, 1994</w:t>
      </w:r>
      <w:r w:rsidRPr="009978E3">
        <w:rPr>
          <w:rFonts w:eastAsia="MS Mincho"/>
          <w:sz w:val="22"/>
          <w:szCs w:val="22"/>
          <w:lang w:val="en-US"/>
        </w:rPr>
        <w:t xml:space="preserve">; </w:t>
      </w:r>
      <w:r w:rsidRPr="009978E3">
        <w:rPr>
          <w:sz w:val="22"/>
          <w:szCs w:val="22"/>
          <w:lang w:val="en-US"/>
        </w:rPr>
        <w:t>Probert, 1999</w:t>
      </w:r>
      <w:r w:rsidRPr="009978E3">
        <w:rPr>
          <w:rFonts w:eastAsia="MS Mincho"/>
          <w:sz w:val="22"/>
          <w:szCs w:val="22"/>
          <w:lang w:val="en-US"/>
        </w:rPr>
        <w:t xml:space="preserve">; </w:t>
      </w:r>
      <w:r w:rsidRPr="009978E3">
        <w:rPr>
          <w:sz w:val="22"/>
          <w:szCs w:val="22"/>
          <w:lang w:val="en-US"/>
        </w:rPr>
        <w:t>Morato &amp; Clark, 2007</w:t>
      </w:r>
      <w:r w:rsidRPr="009978E3">
        <w:rPr>
          <w:rFonts w:eastAsia="MS Mincho"/>
          <w:sz w:val="22"/>
          <w:szCs w:val="22"/>
          <w:lang w:val="en-US"/>
        </w:rPr>
        <w:t>). These structures can host very distinctive biological communities that are different to the communities on nearby abyssal plains dominated by soft sediment, and these particular places may attract pelagic fish, including larger, commercially valuable vertebrate (</w:t>
      </w:r>
      <w:r w:rsidRPr="009978E3">
        <w:rPr>
          <w:rFonts w:eastAsia="MS Mincho"/>
          <w:i/>
          <w:sz w:val="22"/>
          <w:szCs w:val="22"/>
          <w:lang w:val="en-US"/>
        </w:rPr>
        <w:t>Beryx splendens</w:t>
      </w:r>
      <w:r w:rsidRPr="009978E3">
        <w:rPr>
          <w:rFonts w:eastAsia="MS Mincho"/>
          <w:sz w:val="22"/>
          <w:szCs w:val="22"/>
          <w:lang w:val="en-US"/>
        </w:rPr>
        <w:t>) and invertebrate (</w:t>
      </w:r>
      <w:r w:rsidRPr="009978E3">
        <w:rPr>
          <w:rFonts w:eastAsia="MS Mincho"/>
          <w:i/>
          <w:sz w:val="22"/>
          <w:szCs w:val="22"/>
          <w:lang w:val="en-US"/>
        </w:rPr>
        <w:t>Charonia lampas</w:t>
      </w:r>
      <w:r w:rsidRPr="009978E3">
        <w:rPr>
          <w:rFonts w:eastAsia="MS Mincho"/>
          <w:sz w:val="22"/>
          <w:szCs w:val="22"/>
          <w:lang w:val="en-US"/>
        </w:rPr>
        <w:t xml:space="preserve">) species and other marine species, like top predators, such as the </w:t>
      </w:r>
      <w:r>
        <w:rPr>
          <w:rFonts w:eastAsia="MS Mincho"/>
          <w:sz w:val="22"/>
          <w:szCs w:val="22"/>
          <w:lang w:val="en-US"/>
        </w:rPr>
        <w:t xml:space="preserve">blue </w:t>
      </w:r>
      <w:r w:rsidRPr="009978E3">
        <w:rPr>
          <w:rFonts w:eastAsia="MS Mincho"/>
          <w:sz w:val="22"/>
          <w:szCs w:val="22"/>
          <w:lang w:val="en-US"/>
        </w:rPr>
        <w:t>shark (</w:t>
      </w:r>
      <w:r w:rsidRPr="009978E3">
        <w:rPr>
          <w:rFonts w:eastAsia="MS Mincho"/>
          <w:i/>
          <w:sz w:val="22"/>
          <w:szCs w:val="22"/>
          <w:lang w:val="en-US"/>
        </w:rPr>
        <w:t>Prionace glauca</w:t>
      </w:r>
      <w:r w:rsidRPr="009978E3">
        <w:rPr>
          <w:rFonts w:eastAsia="MS Mincho"/>
          <w:sz w:val="22"/>
          <w:szCs w:val="22"/>
          <w:lang w:val="en-US"/>
        </w:rPr>
        <w:t>) and marine reptile species, such as loggerhead sea turtles (</w:t>
      </w:r>
      <w:r w:rsidRPr="009978E3">
        <w:rPr>
          <w:i/>
          <w:sz w:val="22"/>
          <w:szCs w:val="22"/>
          <w:lang w:val="en-US"/>
        </w:rPr>
        <w:t>Caretta caretta</w:t>
      </w:r>
      <w:r w:rsidRPr="009978E3">
        <w:rPr>
          <w:rFonts w:eastAsia="MS Mincho"/>
          <w:sz w:val="22"/>
          <w:szCs w:val="22"/>
          <w:lang w:val="en-US"/>
        </w:rPr>
        <w:t>) and protected marine mammals (</w:t>
      </w:r>
      <w:r w:rsidRPr="009978E3">
        <w:rPr>
          <w:rFonts w:eastAsia="MS Mincho"/>
          <w:i/>
          <w:sz w:val="22"/>
          <w:szCs w:val="22"/>
          <w:lang w:val="en-US"/>
        </w:rPr>
        <w:t>Balaenoptera borealis</w:t>
      </w:r>
      <w:r w:rsidRPr="009978E3">
        <w:rPr>
          <w:rFonts w:eastAsia="MS Mincho"/>
          <w:sz w:val="22"/>
          <w:szCs w:val="22"/>
          <w:lang w:val="en-US"/>
        </w:rPr>
        <w:t>) (</w:t>
      </w:r>
      <w:r>
        <w:rPr>
          <w:rFonts w:eastAsia="MS Mincho"/>
          <w:sz w:val="22"/>
          <w:szCs w:val="22"/>
          <w:lang w:val="en-US"/>
        </w:rPr>
        <w:t>e.g.,</w:t>
      </w:r>
      <w:r w:rsidRPr="009978E3">
        <w:rPr>
          <w:sz w:val="22"/>
          <w:szCs w:val="22"/>
          <w:lang w:val="en-US"/>
        </w:rPr>
        <w:t xml:space="preserve"> Holland &amp; Grubbs, 2007</w:t>
      </w:r>
      <w:r>
        <w:rPr>
          <w:rFonts w:eastAsia="MS Mincho"/>
          <w:sz w:val="22"/>
          <w:szCs w:val="22"/>
          <w:lang w:val="en-US"/>
        </w:rPr>
        <w:t>;</w:t>
      </w:r>
      <w:r w:rsidRPr="009978E3">
        <w:rPr>
          <w:rFonts w:eastAsia="MS Mincho"/>
          <w:sz w:val="22"/>
          <w:szCs w:val="22"/>
          <w:lang w:val="en-US"/>
        </w:rPr>
        <w:t xml:space="preserve"> </w:t>
      </w:r>
      <w:r w:rsidRPr="009978E3">
        <w:rPr>
          <w:sz w:val="22"/>
          <w:szCs w:val="22"/>
          <w:lang w:val="en-US"/>
        </w:rPr>
        <w:t>Kaschner, 2007</w:t>
      </w:r>
      <w:r w:rsidRPr="009978E3">
        <w:rPr>
          <w:rFonts w:eastAsia="MS Mincho"/>
          <w:sz w:val="22"/>
          <w:szCs w:val="22"/>
          <w:lang w:val="en-US"/>
        </w:rPr>
        <w:t xml:space="preserve">, </w:t>
      </w:r>
      <w:r w:rsidRPr="009978E3">
        <w:rPr>
          <w:sz w:val="22"/>
          <w:szCs w:val="22"/>
          <w:lang w:val="en-US"/>
        </w:rPr>
        <w:t xml:space="preserve">Santos </w:t>
      </w:r>
      <w:r w:rsidRPr="0006066A">
        <w:rPr>
          <w:i/>
          <w:sz w:val="22"/>
          <w:szCs w:val="22"/>
          <w:lang w:val="en-US"/>
        </w:rPr>
        <w:t>et al</w:t>
      </w:r>
      <w:r w:rsidRPr="009978E3">
        <w:rPr>
          <w:i/>
          <w:sz w:val="22"/>
          <w:szCs w:val="22"/>
          <w:lang w:val="en-US"/>
        </w:rPr>
        <w:t xml:space="preserve">., </w:t>
      </w:r>
      <w:r w:rsidRPr="009978E3">
        <w:rPr>
          <w:sz w:val="22"/>
          <w:szCs w:val="22"/>
          <w:lang w:val="en-US"/>
        </w:rPr>
        <w:t>2007</w:t>
      </w:r>
      <w:r w:rsidRPr="009978E3">
        <w:rPr>
          <w:rFonts w:eastAsia="MS Mincho"/>
          <w:sz w:val="22"/>
          <w:szCs w:val="22"/>
          <w:lang w:val="en-US"/>
        </w:rPr>
        <w:t>).</w:t>
      </w:r>
      <w:r w:rsidRPr="009978E3">
        <w:rPr>
          <w:sz w:val="22"/>
          <w:szCs w:val="22"/>
        </w:rPr>
        <w:t xml:space="preserve"> </w:t>
      </w:r>
      <w:r w:rsidRPr="009978E3">
        <w:rPr>
          <w:rFonts w:eastAsia="MS Mincho"/>
          <w:sz w:val="22"/>
          <w:szCs w:val="22"/>
          <w:lang w:val="en-US"/>
        </w:rPr>
        <w:t xml:space="preserve">Productivity in oceanic settings depends on light and nutrient availability, while overall production is the result of productivity and accumulation of the phytoplankton. At a seamount, either a seamount-generated, vertical nutrient flux has to be shallow enough to reach the euphotic zone and the ensuing productivity retained over the seamount long enough to allow transfer to higher trophic levels, or the seamount must rely on allochthonous inputs of organic material to provide a trophic subsidy to resident populations (Clark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2010 a), b)).</w:t>
      </w:r>
    </w:p>
    <w:p w14:paraId="22EC561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color w:val="000000"/>
          <w:sz w:val="22"/>
          <w:szCs w:val="22"/>
          <w:lang w:val="en-US"/>
        </w:rPr>
        <w:t xml:space="preserve">The </w:t>
      </w:r>
      <w:r w:rsidRPr="002E4B39">
        <w:rPr>
          <w:rFonts w:eastAsia="MS Mincho"/>
          <w:sz w:val="22"/>
          <w:szCs w:val="22"/>
          <w:lang w:val="en-US"/>
        </w:rPr>
        <w:t>area</w:t>
      </w:r>
      <w:r w:rsidRPr="009978E3">
        <w:rPr>
          <w:rFonts w:eastAsia="MS Mincho"/>
          <w:color w:val="000000"/>
          <w:sz w:val="22"/>
          <w:szCs w:val="22"/>
          <w:lang w:val="en-US"/>
        </w:rPr>
        <w:t xml:space="preserve"> is located next to the mainland area. The area is divided into three</w:t>
      </w:r>
      <w:r w:rsidRPr="009978E3">
        <w:rPr>
          <w:rFonts w:eastAsia="MS Mincho"/>
          <w:sz w:val="22"/>
          <w:szCs w:val="22"/>
          <w:lang w:val="en-US"/>
        </w:rPr>
        <w:t xml:space="preserve"> sections:1) North Western Iberian Peninsula and Mainland canyons 2) Center Western Iberian Peninsula and Mainland canyons and 3) South Western Iberian Peninsul</w:t>
      </w:r>
      <w:r>
        <w:rPr>
          <w:rFonts w:eastAsia="MS Mincho"/>
          <w:sz w:val="22"/>
          <w:szCs w:val="22"/>
          <w:lang w:val="en-US"/>
        </w:rPr>
        <w:t>a</w:t>
      </w:r>
      <w:r w:rsidRPr="009978E3">
        <w:rPr>
          <w:rFonts w:eastAsia="MS Mincho"/>
          <w:sz w:val="22"/>
          <w:szCs w:val="22"/>
          <w:lang w:val="en-US"/>
        </w:rPr>
        <w:t xml:space="preserve"> and Mainland canyons.</w:t>
      </w:r>
    </w:p>
    <w:p w14:paraId="4933267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To the northwest of the Iberia Abyssal Plain area, the continental rise is relatively wide, ~100 km, and includes three seamounts: the easternmost Porto seamount and the more distant Vigo and Vasco da Gama seamount</w:t>
      </w:r>
      <w:r>
        <w:rPr>
          <w:rFonts w:eastAsia="MS Mincho"/>
          <w:sz w:val="22"/>
          <w:szCs w:val="22"/>
          <w:lang w:val="en-US"/>
        </w:rPr>
        <w:t>s</w:t>
      </w:r>
      <w:r w:rsidRPr="009978E3">
        <w:rPr>
          <w:rFonts w:eastAsia="MS Mincho"/>
          <w:sz w:val="22"/>
          <w:szCs w:val="22"/>
          <w:lang w:val="en-US"/>
        </w:rPr>
        <w:t xml:space="preserve">. The Dom Carlos Valley, between the seamounts, forms a prominent fault bounded depression into which the sediment transported by the Porto and Aveiro submarine canyons is mainly funnelled (Mougenot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1984; Mougenot, 1988; Milkert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1996; Alves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2003). </w:t>
      </w:r>
    </w:p>
    <w:p w14:paraId="4807B41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Galicia Bank is characterized by two isolated seamounts on its southern edge (Vasco da Gama and Vigo) and is separated from northwestern Iberia by a broad submarine valley. The Galicia Bank has an area of 200x150 km within which the seafloor shoals to about 600 m water depth (Whitmarsh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1998; </w:t>
      </w:r>
      <w:r w:rsidRPr="009978E3">
        <w:rPr>
          <w:sz w:val="22"/>
          <w:szCs w:val="22"/>
        </w:rPr>
        <w:t xml:space="preserve">Wilson </w:t>
      </w:r>
      <w:r w:rsidRPr="0006066A">
        <w:rPr>
          <w:i/>
          <w:sz w:val="22"/>
          <w:szCs w:val="22"/>
        </w:rPr>
        <w:t>et al</w:t>
      </w:r>
      <w:r w:rsidRPr="009978E3">
        <w:rPr>
          <w:i/>
          <w:sz w:val="22"/>
          <w:szCs w:val="22"/>
        </w:rPr>
        <w:t>.</w:t>
      </w:r>
      <w:r w:rsidRPr="009978E3">
        <w:rPr>
          <w:sz w:val="22"/>
          <w:szCs w:val="22"/>
        </w:rPr>
        <w:t>, 2001</w:t>
      </w:r>
      <w:r w:rsidRPr="009978E3">
        <w:rPr>
          <w:rFonts w:eastAsia="MS Mincho"/>
          <w:sz w:val="22"/>
          <w:szCs w:val="22"/>
          <w:lang w:val="en-US"/>
        </w:rPr>
        <w:t>).</w:t>
      </w:r>
    </w:p>
    <w:p w14:paraId="126FD70B"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Porto submarine canyon is located about 25 km </w:t>
      </w:r>
      <w:r>
        <w:rPr>
          <w:rFonts w:eastAsia="MS Mincho"/>
          <w:sz w:val="22"/>
          <w:szCs w:val="22"/>
          <w:lang w:val="en-US"/>
        </w:rPr>
        <w:t>west of</w:t>
      </w:r>
      <w:r w:rsidRPr="009978E3">
        <w:rPr>
          <w:rFonts w:eastAsia="MS Mincho"/>
          <w:sz w:val="22"/>
          <w:szCs w:val="22"/>
          <w:lang w:val="en-US"/>
        </w:rPr>
        <w:t xml:space="preserve"> Póvoa de Varzim</w:t>
      </w:r>
      <w:r>
        <w:rPr>
          <w:rFonts w:eastAsia="MS Mincho"/>
          <w:sz w:val="22"/>
          <w:szCs w:val="22"/>
          <w:lang w:val="en-US"/>
        </w:rPr>
        <w:t xml:space="preserve"> and is</w:t>
      </w:r>
      <w:r w:rsidRPr="009978E3">
        <w:rPr>
          <w:rFonts w:eastAsia="MS Mincho"/>
          <w:sz w:val="22"/>
          <w:szCs w:val="22"/>
          <w:lang w:val="en-US"/>
        </w:rPr>
        <w:t xml:space="preserve"> deeper than 110m. This canyon is more than 100 km in length, stretching towards the Iberian Abyssal Plain, and its morphology is related </w:t>
      </w:r>
      <w:r>
        <w:rPr>
          <w:rFonts w:eastAsia="MS Mincho"/>
          <w:sz w:val="22"/>
          <w:szCs w:val="22"/>
          <w:lang w:val="en-US"/>
        </w:rPr>
        <w:t>to</w:t>
      </w:r>
      <w:r w:rsidRPr="009978E3">
        <w:rPr>
          <w:rFonts w:eastAsia="MS Mincho"/>
          <w:sz w:val="22"/>
          <w:szCs w:val="22"/>
          <w:lang w:val="en-US"/>
        </w:rPr>
        <w:t xml:space="preserve"> the occurrence of mass movements, with no apparent relation to the present</w:t>
      </w:r>
      <w:r>
        <w:rPr>
          <w:rFonts w:eastAsia="MS Mincho"/>
          <w:sz w:val="22"/>
          <w:szCs w:val="22"/>
          <w:lang w:val="en-US"/>
        </w:rPr>
        <w:t>-</w:t>
      </w:r>
      <w:r w:rsidRPr="009978E3">
        <w:rPr>
          <w:rFonts w:eastAsia="MS Mincho"/>
          <w:sz w:val="22"/>
          <w:szCs w:val="22"/>
          <w:lang w:val="en-US"/>
        </w:rPr>
        <w:t xml:space="preserve">day watercourses (Vanney &amp; Mougenot, 1981; Rodrigues, 2001; Guerreiro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2007).</w:t>
      </w:r>
      <w:r w:rsidRPr="009978E3">
        <w:rPr>
          <w:sz w:val="22"/>
          <w:szCs w:val="22"/>
        </w:rPr>
        <w:t xml:space="preserve"> T</w:t>
      </w:r>
      <w:r w:rsidRPr="009978E3">
        <w:rPr>
          <w:rFonts w:eastAsia="MS Mincho"/>
          <w:sz w:val="22"/>
          <w:szCs w:val="22"/>
          <w:lang w:val="en-US"/>
        </w:rPr>
        <w:t xml:space="preserve">he Porto submarine canyon is cut deeply into this steep surface (Rodrigues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1991). The bottom sedimentary cover is characterized by the presence of two important muddy deposits with general N-S orientation, located in the mid-shelf off the Minho and Douro rivers (Oliveira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2002; Guerreiro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2009). The normal wave regime promote</w:t>
      </w:r>
      <w:r>
        <w:rPr>
          <w:rFonts w:eastAsia="MS Mincho"/>
          <w:sz w:val="22"/>
          <w:szCs w:val="22"/>
          <w:lang w:val="en-US"/>
        </w:rPr>
        <w:t>s</w:t>
      </w:r>
      <w:r w:rsidRPr="009978E3">
        <w:rPr>
          <w:rFonts w:eastAsia="MS Mincho"/>
          <w:sz w:val="22"/>
          <w:szCs w:val="22"/>
          <w:lang w:val="en-US"/>
        </w:rPr>
        <w:t xml:space="preserve"> bottom sediment remobilization</w:t>
      </w:r>
      <w:r>
        <w:rPr>
          <w:rFonts w:eastAsia="MS Mincho"/>
          <w:sz w:val="22"/>
          <w:szCs w:val="22"/>
          <w:lang w:val="en-US"/>
        </w:rPr>
        <w:t>, primarily</w:t>
      </w:r>
      <w:r w:rsidRPr="009978E3">
        <w:rPr>
          <w:rFonts w:eastAsia="MS Mincho"/>
          <w:sz w:val="22"/>
          <w:szCs w:val="22"/>
          <w:lang w:val="en-US"/>
        </w:rPr>
        <w:t xml:space="preserve"> in the inner and middle shelf region (Vitorino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2002).</w:t>
      </w:r>
    </w:p>
    <w:p w14:paraId="07635D1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Aveiro </w:t>
      </w:r>
      <w:r>
        <w:rPr>
          <w:rFonts w:eastAsia="MS Mincho"/>
          <w:sz w:val="22"/>
          <w:szCs w:val="22"/>
          <w:lang w:val="en-US"/>
        </w:rPr>
        <w:t>C</w:t>
      </w:r>
      <w:r w:rsidRPr="009978E3">
        <w:rPr>
          <w:rFonts w:eastAsia="MS Mincho"/>
          <w:sz w:val="22"/>
          <w:szCs w:val="22"/>
          <w:lang w:val="en-US"/>
        </w:rPr>
        <w:t xml:space="preserve">anyon cuts the shelf-break, presenting an "amphitheater" outline, with the head carved in biogenic and detritic limestone formations from </w:t>
      </w:r>
      <w:r>
        <w:rPr>
          <w:rFonts w:eastAsia="MS Mincho"/>
          <w:sz w:val="22"/>
          <w:szCs w:val="22"/>
          <w:lang w:val="en-US"/>
        </w:rPr>
        <w:t xml:space="preserve">the </w:t>
      </w:r>
      <w:r w:rsidRPr="009978E3">
        <w:rPr>
          <w:rFonts w:eastAsia="MS Mincho"/>
          <w:sz w:val="22"/>
          <w:szCs w:val="22"/>
          <w:lang w:val="en-US"/>
        </w:rPr>
        <w:t>Neogen</w:t>
      </w:r>
      <w:r>
        <w:rPr>
          <w:rFonts w:eastAsia="MS Mincho"/>
          <w:sz w:val="22"/>
          <w:szCs w:val="22"/>
          <w:lang w:val="en-US"/>
        </w:rPr>
        <w:t>e</w:t>
      </w:r>
      <w:r w:rsidRPr="009978E3">
        <w:rPr>
          <w:rFonts w:eastAsia="MS Mincho"/>
          <w:sz w:val="22"/>
          <w:szCs w:val="22"/>
          <w:lang w:val="en-US"/>
        </w:rPr>
        <w:t xml:space="preserve"> and Eocen</w:t>
      </w:r>
      <w:r>
        <w:rPr>
          <w:rFonts w:eastAsia="MS Mincho"/>
          <w:sz w:val="22"/>
          <w:szCs w:val="22"/>
          <w:lang w:val="en-US"/>
        </w:rPr>
        <w:t>e periods</w:t>
      </w:r>
      <w:r w:rsidRPr="009978E3">
        <w:rPr>
          <w:rFonts w:eastAsia="MS Mincho"/>
          <w:sz w:val="22"/>
          <w:szCs w:val="22"/>
          <w:lang w:val="en-US"/>
        </w:rPr>
        <w:t xml:space="preserve"> (Kenyon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2000; Rodrigues, 2004). The canyon begins about 30 km </w:t>
      </w:r>
      <w:r>
        <w:rPr>
          <w:rFonts w:eastAsia="MS Mincho"/>
          <w:sz w:val="22"/>
          <w:szCs w:val="22"/>
          <w:lang w:val="en-US"/>
        </w:rPr>
        <w:t>west of</w:t>
      </w:r>
      <w:r w:rsidRPr="009978E3">
        <w:rPr>
          <w:rFonts w:eastAsia="MS Mincho"/>
          <w:sz w:val="22"/>
          <w:szCs w:val="22"/>
          <w:lang w:val="en-US"/>
        </w:rPr>
        <w:t xml:space="preserve"> the coast, </w:t>
      </w:r>
      <w:r>
        <w:rPr>
          <w:rFonts w:eastAsia="MS Mincho"/>
          <w:sz w:val="22"/>
          <w:szCs w:val="22"/>
          <w:lang w:val="en-US"/>
        </w:rPr>
        <w:t>more</w:t>
      </w:r>
      <w:r w:rsidRPr="009978E3">
        <w:rPr>
          <w:rFonts w:eastAsia="MS Mincho"/>
          <w:sz w:val="22"/>
          <w:szCs w:val="22"/>
          <w:lang w:val="en-US"/>
        </w:rPr>
        <w:t xml:space="preserve"> than 110 m </w:t>
      </w:r>
      <w:r>
        <w:rPr>
          <w:rFonts w:eastAsia="MS Mincho"/>
          <w:sz w:val="22"/>
          <w:szCs w:val="22"/>
          <w:lang w:val="en-US"/>
        </w:rPr>
        <w:t xml:space="preserve">in </w:t>
      </w:r>
      <w:r w:rsidRPr="009978E3">
        <w:rPr>
          <w:rFonts w:eastAsia="MS Mincho"/>
          <w:sz w:val="22"/>
          <w:szCs w:val="22"/>
          <w:lang w:val="en-US"/>
        </w:rPr>
        <w:t xml:space="preserve">depth, has a wide transversal profile with a half-circle upper sector of about 10 km diameter. It shows no apparent relation to present-day watercourses and meets the Porto canyon at the Valle-Inclan Depression, before reaching the Iberian Abyssal Plain (Terrinha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2003; Guerreiro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In Aveiro canyon, due to the interaction of the poleward slope flow with the canyon's topography and with the southwards upwelling, this sector is known to promote recurrent filament activity (Haynes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1993) and generates an anticyclonic eddy in the canyon's mouth (Peliz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2002).</w:t>
      </w:r>
    </w:p>
    <w:p w14:paraId="0F024389" w14:textId="77777777" w:rsidR="006B3F46" w:rsidRPr="009978E3" w:rsidRDefault="006B3F46" w:rsidP="002E4B39">
      <w:pPr>
        <w:suppressLineNumbers/>
        <w:spacing w:after="120"/>
        <w:jc w:val="both"/>
        <w:rPr>
          <w:rFonts w:eastAsia="MS Mincho"/>
          <w:sz w:val="22"/>
          <w:szCs w:val="22"/>
          <w:lang w:val="en-US"/>
        </w:rPr>
      </w:pPr>
      <w:r>
        <w:rPr>
          <w:sz w:val="22"/>
          <w:szCs w:val="22"/>
          <w:lang w:val="en-US"/>
        </w:rPr>
        <w:t xml:space="preserve">The </w:t>
      </w:r>
      <w:r w:rsidRPr="009978E3">
        <w:rPr>
          <w:sz w:val="22"/>
          <w:szCs w:val="22"/>
          <w:lang w:val="en-US"/>
        </w:rPr>
        <w:t xml:space="preserve">Nazaré </w:t>
      </w:r>
      <w:r w:rsidRPr="002E4B39">
        <w:rPr>
          <w:rFonts w:eastAsia="MS Mincho"/>
          <w:sz w:val="22"/>
          <w:szCs w:val="22"/>
          <w:lang w:val="en-US"/>
        </w:rPr>
        <w:t>Canyon</w:t>
      </w:r>
      <w:r w:rsidRPr="009978E3">
        <w:rPr>
          <w:sz w:val="22"/>
          <w:szCs w:val="22"/>
          <w:lang w:val="en-US"/>
        </w:rPr>
        <w:t xml:space="preserve"> is the largest submarine canyon of Europe and one of the largest in the world; it is also </w:t>
      </w:r>
      <w:r w:rsidRPr="009978E3">
        <w:rPr>
          <w:rFonts w:eastAsia="MS Mincho"/>
          <w:sz w:val="22"/>
          <w:szCs w:val="22"/>
          <w:lang w:val="en-US"/>
        </w:rPr>
        <w:t xml:space="preserve">the longest submarine canyon on the western Iberian margin, extending over 270 km from a water depth of about 50 m near the Portuguese coast to 5000 m at the edge of the Iberian Abyssal Plain (Vanney &amp; Mougenot, 1990). The Nazaré fault, with an ENE-WSW alignment, is a late Variscan structure, which maintained its activity during the Meso-Cenozoic period (Moreira, 1985; Ribeiro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1990). In terms of sediment transport, the canyon is highly active, particular</w:t>
      </w:r>
      <w:r>
        <w:rPr>
          <w:rFonts w:eastAsia="MS Mincho"/>
          <w:sz w:val="22"/>
          <w:szCs w:val="22"/>
          <w:lang w:val="en-US"/>
        </w:rPr>
        <w:t>ly</w:t>
      </w:r>
      <w:r w:rsidRPr="009978E3">
        <w:rPr>
          <w:rFonts w:eastAsia="MS Mincho"/>
          <w:sz w:val="22"/>
          <w:szCs w:val="22"/>
          <w:lang w:val="en-US"/>
        </w:rPr>
        <w:t xml:space="preserve"> during winter, because upwelling events may prevent sediment export during summer (Pusceddu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 Although the canyon does not connect to a river, the proximity of the head to the shore contributes to its effectiveness </w:t>
      </w:r>
      <w:r>
        <w:rPr>
          <w:rFonts w:eastAsia="MS Mincho"/>
          <w:sz w:val="22"/>
          <w:szCs w:val="22"/>
          <w:lang w:val="en-US"/>
        </w:rPr>
        <w:t>at</w:t>
      </w:r>
      <w:r w:rsidRPr="009978E3">
        <w:rPr>
          <w:rFonts w:eastAsia="MS Mincho"/>
          <w:sz w:val="22"/>
          <w:szCs w:val="22"/>
          <w:lang w:val="en-US"/>
        </w:rPr>
        <w:t xml:space="preserve"> captur</w:t>
      </w:r>
      <w:r>
        <w:rPr>
          <w:rFonts w:eastAsia="MS Mincho"/>
          <w:sz w:val="22"/>
          <w:szCs w:val="22"/>
          <w:lang w:val="en-US"/>
        </w:rPr>
        <w:t>ing</w:t>
      </w:r>
      <w:r w:rsidRPr="009978E3">
        <w:rPr>
          <w:rFonts w:eastAsia="MS Mincho"/>
          <w:sz w:val="22"/>
          <w:szCs w:val="22"/>
          <w:lang w:val="en-US"/>
        </w:rPr>
        <w:t xml:space="preserve"> sediment transported along the shelf (Duarte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2000; de Stigter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Oliveira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Under the influence of tidal currents, fine-grained particles suspended from bottom sediments are captured in the upper canyon and actively transported downwards to the abyssal plain (Stigter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Other physical forces promoting active sediment transport are episodic (intermittent) gravity flows (Van Weering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2002; Stigter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2007).</w:t>
      </w:r>
    </w:p>
    <w:p w14:paraId="551738D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Berlengas archipelago is located approximately 10 km west of the town of Peniche. The largest island of the archipelago is called Berlenga Island, which reaches an altitude of 88 m, with a maximum length of 1</w:t>
      </w:r>
      <w:r>
        <w:rPr>
          <w:rFonts w:eastAsia="MS Mincho"/>
          <w:sz w:val="22"/>
          <w:szCs w:val="22"/>
          <w:lang w:val="en-US"/>
        </w:rPr>
        <w:t>.</w:t>
      </w:r>
      <w:r w:rsidRPr="009978E3">
        <w:rPr>
          <w:rFonts w:eastAsia="MS Mincho"/>
          <w:sz w:val="22"/>
          <w:szCs w:val="22"/>
          <w:lang w:val="en-US"/>
        </w:rPr>
        <w:t>5 km. Two groups of smaller islets</w:t>
      </w:r>
      <w:r>
        <w:rPr>
          <w:rFonts w:eastAsia="MS Mincho"/>
          <w:sz w:val="22"/>
          <w:szCs w:val="22"/>
          <w:lang w:val="en-US"/>
        </w:rPr>
        <w:t>,</w:t>
      </w:r>
      <w:r w:rsidRPr="009978E3">
        <w:rPr>
          <w:rFonts w:eastAsia="MS Mincho"/>
          <w:sz w:val="22"/>
          <w:szCs w:val="22"/>
          <w:lang w:val="en-US"/>
        </w:rPr>
        <w:t xml:space="preserve"> called Estelas and Farilhões</w:t>
      </w:r>
      <w:r>
        <w:rPr>
          <w:rFonts w:eastAsia="MS Mincho"/>
          <w:sz w:val="22"/>
          <w:szCs w:val="22"/>
          <w:lang w:val="en-US"/>
        </w:rPr>
        <w:t>,</w:t>
      </w:r>
      <w:r w:rsidRPr="009978E3">
        <w:rPr>
          <w:rFonts w:eastAsia="MS Mincho"/>
          <w:sz w:val="22"/>
          <w:szCs w:val="22"/>
          <w:lang w:val="en-US"/>
        </w:rPr>
        <w:t xml:space="preserve"> are also part of the archipelago. </w:t>
      </w:r>
    </w:p>
    <w:p w14:paraId="76EC97B9" w14:textId="77777777" w:rsidR="006B3F46" w:rsidRPr="009978E3" w:rsidRDefault="006B3F46" w:rsidP="00907941">
      <w:pPr>
        <w:jc w:val="both"/>
        <w:rPr>
          <w:rFonts w:eastAsia="MS Mincho"/>
          <w:sz w:val="22"/>
          <w:szCs w:val="22"/>
          <w:lang w:val="en-US"/>
        </w:rPr>
      </w:pPr>
    </w:p>
    <w:p w14:paraId="6D858B91"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Its</w:t>
      </w:r>
      <w:r w:rsidRPr="009978E3">
        <w:rPr>
          <w:rFonts w:eastAsia="MS Mincho"/>
          <w:sz w:val="22"/>
          <w:szCs w:val="22"/>
          <w:lang w:val="en-US"/>
        </w:rPr>
        <w:t xml:space="preserve"> geographical location </w:t>
      </w:r>
      <w:r>
        <w:rPr>
          <w:rFonts w:eastAsia="MS Mincho"/>
          <w:sz w:val="22"/>
          <w:szCs w:val="22"/>
          <w:lang w:val="en-US"/>
        </w:rPr>
        <w:t>imparts the archipelago with</w:t>
      </w:r>
      <w:r w:rsidRPr="009978E3">
        <w:rPr>
          <w:rFonts w:eastAsia="MS Mincho"/>
          <w:sz w:val="22"/>
          <w:szCs w:val="22"/>
          <w:lang w:val="en-US"/>
        </w:rPr>
        <w:t xml:space="preserve"> unique characteristics</w:t>
      </w:r>
      <w:r>
        <w:rPr>
          <w:rFonts w:eastAsia="MS Mincho"/>
          <w:sz w:val="22"/>
          <w:szCs w:val="22"/>
          <w:lang w:val="en-US"/>
        </w:rPr>
        <w:t xml:space="preserve">. The archipelago has </w:t>
      </w:r>
      <w:r w:rsidRPr="009978E3">
        <w:rPr>
          <w:rFonts w:eastAsia="MS Mincho"/>
          <w:sz w:val="22"/>
          <w:szCs w:val="22"/>
          <w:lang w:val="en-US"/>
        </w:rPr>
        <w:t>been studied in detail, because it is located in a</w:t>
      </w:r>
      <w:r>
        <w:rPr>
          <w:rFonts w:eastAsia="MS Mincho"/>
          <w:sz w:val="22"/>
          <w:szCs w:val="22"/>
          <w:lang w:val="en-US"/>
        </w:rPr>
        <w:t>n area</w:t>
      </w:r>
      <w:r w:rsidRPr="009978E3">
        <w:rPr>
          <w:rFonts w:eastAsia="MS Mincho"/>
          <w:sz w:val="22"/>
          <w:szCs w:val="22"/>
          <w:lang w:val="en-US"/>
        </w:rPr>
        <w:t xml:space="preserve"> with a temperate maritime climate and is influenced by seasonal coastal upwelling controlled by the atmospheric circulation associated with the Azores anticyclone. Persistent northerlies (upwelling favourable) are observed in summer (June to September) (</w:t>
      </w:r>
      <w:r w:rsidRPr="009978E3">
        <w:rPr>
          <w:sz w:val="22"/>
          <w:szCs w:val="22"/>
          <w:lang w:val="en-US"/>
        </w:rPr>
        <w:t>Peliz</w:t>
      </w:r>
      <w:r w:rsidRPr="009978E3">
        <w:rPr>
          <w:rFonts w:eastAsia="MS Mincho"/>
          <w:sz w:val="22"/>
          <w:szCs w:val="22"/>
          <w:lang w:val="en-US"/>
        </w:rPr>
        <w:t xml:space="preserve">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2002;</w:t>
      </w:r>
      <w:r w:rsidRPr="009978E3">
        <w:rPr>
          <w:sz w:val="22"/>
          <w:szCs w:val="22"/>
        </w:rPr>
        <w:t xml:space="preserve"> </w:t>
      </w:r>
      <w:r w:rsidRPr="009978E3">
        <w:rPr>
          <w:rFonts w:eastAsia="MS Mincho"/>
          <w:sz w:val="22"/>
          <w:szCs w:val="22"/>
          <w:lang w:val="en-US"/>
        </w:rPr>
        <w:t xml:space="preserve">Álvarez-Salgado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2003). However, it is during the non-upwelling season (late winter-spring) that </w:t>
      </w:r>
      <w:r>
        <w:rPr>
          <w:rFonts w:eastAsia="MS Mincho"/>
          <w:sz w:val="22"/>
          <w:szCs w:val="22"/>
          <w:lang w:val="en-US"/>
        </w:rPr>
        <w:t>many</w:t>
      </w:r>
      <w:r w:rsidRPr="009978E3">
        <w:rPr>
          <w:rFonts w:eastAsia="MS Mincho"/>
          <w:sz w:val="22"/>
          <w:szCs w:val="22"/>
          <w:lang w:val="en-US"/>
        </w:rPr>
        <w:t xml:space="preserve"> meroplankton species are observed over the shelf (Santos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2004). Concerning coastal circulation, other important aspects are the Portugal Current flowing off the continental slope westward of 10ºW (</w:t>
      </w:r>
      <w:r w:rsidRPr="009978E3">
        <w:rPr>
          <w:sz w:val="22"/>
          <w:szCs w:val="22"/>
          <w:lang w:val="en-US"/>
        </w:rPr>
        <w:t>Saunders, 1982)</w:t>
      </w:r>
      <w:r w:rsidRPr="009978E3">
        <w:rPr>
          <w:rFonts w:eastAsia="MS Mincho"/>
          <w:sz w:val="22"/>
          <w:szCs w:val="22"/>
          <w:lang w:val="en-US"/>
        </w:rPr>
        <w:t>, the Iberian Poleward Current</w:t>
      </w:r>
      <w:r>
        <w:rPr>
          <w:rFonts w:eastAsia="MS Mincho"/>
          <w:sz w:val="22"/>
          <w:szCs w:val="22"/>
          <w:lang w:val="en-US"/>
        </w:rPr>
        <w:t>, which</w:t>
      </w:r>
      <w:r w:rsidRPr="009978E3">
        <w:rPr>
          <w:rFonts w:eastAsia="MS Mincho"/>
          <w:sz w:val="22"/>
          <w:szCs w:val="22"/>
          <w:lang w:val="en-US"/>
        </w:rPr>
        <w:t xml:space="preserve"> flows over the slope (Haynes &amp; Barton, 1991) and the Western Iberia Buoyant Plume (WIBP) (</w:t>
      </w:r>
      <w:r w:rsidRPr="009978E3">
        <w:rPr>
          <w:sz w:val="22"/>
          <w:szCs w:val="22"/>
          <w:lang w:val="en-US"/>
        </w:rPr>
        <w:t>Peliz</w:t>
      </w:r>
      <w:r w:rsidRPr="009978E3">
        <w:rPr>
          <w:rFonts w:eastAsia="MS Mincho"/>
          <w:sz w:val="22"/>
          <w:szCs w:val="22"/>
          <w:lang w:val="en-US"/>
        </w:rPr>
        <w:t xml:space="preserve">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2002). Moreover, it is located at the top of the escarpment of the Nazaré Canyon, one of the most important submarine canyons in the world, located in the transition zone between the Mediterranean and European subregions. This location contributes to the remarkable productivity and diversity of marine species and habitats and to a landscape unique in the region. Previous studies have investigated the distribution and composition of zooplankton along the Berlenga shelf area (Pardal &amp; Azeiteiro, 2001).</w:t>
      </w:r>
    </w:p>
    <w:p w14:paraId="652CA92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Berlenga Marine Protected Area is about 102 km</w:t>
      </w:r>
      <w:r w:rsidRPr="009978E3">
        <w:rPr>
          <w:rFonts w:eastAsia="MS Mincho"/>
          <w:sz w:val="22"/>
          <w:szCs w:val="22"/>
          <w:vertAlign w:val="superscript"/>
          <w:lang w:val="en-US"/>
        </w:rPr>
        <w:t>2</w:t>
      </w:r>
      <w:r w:rsidRPr="009978E3">
        <w:rPr>
          <w:rFonts w:eastAsia="MS Mincho"/>
          <w:sz w:val="22"/>
          <w:szCs w:val="22"/>
          <w:lang w:val="en-US"/>
        </w:rPr>
        <w:t xml:space="preserve"> </w:t>
      </w:r>
      <w:r>
        <w:rPr>
          <w:rFonts w:eastAsia="MS Mincho"/>
          <w:sz w:val="22"/>
          <w:szCs w:val="22"/>
          <w:lang w:val="en-US"/>
        </w:rPr>
        <w:t>in area and</w:t>
      </w:r>
      <w:r w:rsidRPr="009978E3">
        <w:rPr>
          <w:rFonts w:eastAsia="MS Mincho"/>
          <w:sz w:val="22"/>
          <w:szCs w:val="22"/>
          <w:lang w:val="en-US"/>
        </w:rPr>
        <w:t xml:space="preserve"> surrounds seabird-nesting habitats and an important place of passage for migratory birds (Queiroga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2008); it comprises a Special Protection Area  for Wild Birds and is integrated in the Natura 2000 network of marine protected areas.</w:t>
      </w:r>
    </w:p>
    <w:p w14:paraId="46282BF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Cascais Canyon is situated north to Setúbal Canyon and is not connected to any river flow. The organic matter input is thought to be mainly from the Tagus River, though some quantities of sediment and associated materials may be transported from the continental shelf. The canyon acted as the major conduit of sediment from the continental shelf to the abyssal plain at the time of the Lisbon earthquake in 1755 (Amaro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2009; Lastras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2009).</w:t>
      </w:r>
    </w:p>
    <w:p w14:paraId="407A3E6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Lisboa and Setúbal canyons are located in an area of complex topography and coastal configuration. These canyons are conduits with southwards (Lisboa) and westerly (Setúbal) course directions, and their heads are located on the shelf at around 80 and 120 m near the mouth of the Tagus and Sado rivers, respectively (Mougenot, 1988; Alves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2003; Lastras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2009; Jesus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2012).</w:t>
      </w:r>
    </w:p>
    <w:p w14:paraId="62658398" w14:textId="77777777" w:rsidR="006B3F46" w:rsidRPr="009978E3" w:rsidRDefault="006B3F46" w:rsidP="002E4B39">
      <w:pPr>
        <w:suppressLineNumbers/>
        <w:spacing w:after="120"/>
        <w:jc w:val="both"/>
        <w:rPr>
          <w:sz w:val="22"/>
          <w:szCs w:val="22"/>
          <w:lang w:val="en-US"/>
        </w:rPr>
      </w:pPr>
      <w:r w:rsidRPr="009978E3">
        <w:rPr>
          <w:rFonts w:eastAsia="MS Mincho"/>
          <w:sz w:val="22"/>
          <w:szCs w:val="22"/>
          <w:lang w:val="en-US"/>
        </w:rPr>
        <w:t xml:space="preserve">The Lisboa Canyon’s V-shaped channel follows a sinuous course down slope in a southerly direction. From the canyon head, at 100m depth, down to the junction with the Setúbal Canyon, at 1900 m, the channel </w:t>
      </w:r>
      <w:r>
        <w:rPr>
          <w:rFonts w:eastAsia="MS Mincho"/>
          <w:sz w:val="22"/>
          <w:szCs w:val="22"/>
          <w:lang w:val="en-US"/>
        </w:rPr>
        <w:t>is</w:t>
      </w:r>
      <w:r w:rsidRPr="009978E3">
        <w:rPr>
          <w:rFonts w:eastAsia="MS Mincho"/>
          <w:sz w:val="22"/>
          <w:szCs w:val="22"/>
          <w:lang w:val="en-US"/>
        </w:rPr>
        <w:t xml:space="preserve"> 30 km</w:t>
      </w:r>
      <w:r>
        <w:rPr>
          <w:rFonts w:eastAsia="MS Mincho"/>
          <w:sz w:val="22"/>
          <w:szCs w:val="22"/>
          <w:lang w:val="en-US"/>
        </w:rPr>
        <w:t xml:space="preserve"> long</w:t>
      </w:r>
      <w:r w:rsidRPr="009978E3">
        <w:rPr>
          <w:rFonts w:eastAsia="MS Mincho"/>
          <w:sz w:val="22"/>
          <w:szCs w:val="22"/>
          <w:lang w:val="en-US"/>
        </w:rPr>
        <w:t xml:space="preserve">. Below the junction point, the canyon continues in WSW direction for another 80 km to the foot of the continental slope at a depth of 4500 m (de Stigter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2004). </w:t>
      </w:r>
      <w:r w:rsidRPr="009978E3">
        <w:rPr>
          <w:sz w:val="22"/>
          <w:szCs w:val="22"/>
          <w:lang w:val="en-US"/>
        </w:rPr>
        <w:t xml:space="preserve">This submarine canyon differs from the other canyons by the width of its valley, which follows a graben. To the south the continental shelf is very narrow and disappears below the sediment progradation of Neogene beds (Kenyon </w:t>
      </w:r>
      <w:r w:rsidRPr="0006066A">
        <w:rPr>
          <w:i/>
          <w:sz w:val="22"/>
          <w:szCs w:val="22"/>
          <w:lang w:val="en-US"/>
        </w:rPr>
        <w:t>et al</w:t>
      </w:r>
      <w:r w:rsidRPr="009978E3">
        <w:rPr>
          <w:i/>
          <w:sz w:val="22"/>
          <w:szCs w:val="22"/>
          <w:lang w:val="en-US"/>
        </w:rPr>
        <w:t>.</w:t>
      </w:r>
      <w:r w:rsidRPr="009978E3">
        <w:rPr>
          <w:sz w:val="22"/>
          <w:szCs w:val="22"/>
          <w:lang w:val="en-US"/>
        </w:rPr>
        <w:t>, 2001).</w:t>
      </w:r>
    </w:p>
    <w:p w14:paraId="3498C35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Lagos canyon extends over 60 km, drains towards the SW, and its morphology changes from the upper to the lower parts. In its upper part the canyon displays a wider thalweg with a smaller inner channel carved close to the SE wall. The heights of the flanks vary from 200 m (incising the contourites) to 800 m (closer to the continental slope). </w:t>
      </w:r>
    </w:p>
    <w:p w14:paraId="76B646D7"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Portimão </w:t>
      </w:r>
      <w:r>
        <w:rPr>
          <w:rFonts w:eastAsia="MS Mincho"/>
          <w:sz w:val="22"/>
          <w:szCs w:val="22"/>
          <w:lang w:val="en-US"/>
        </w:rPr>
        <w:t>C</w:t>
      </w:r>
      <w:r w:rsidRPr="009978E3">
        <w:rPr>
          <w:rFonts w:eastAsia="MS Mincho"/>
          <w:sz w:val="22"/>
          <w:szCs w:val="22"/>
          <w:lang w:val="en-US"/>
        </w:rPr>
        <w:t xml:space="preserve">anyon has an important effect on the formation of the filaments, eddies and internal waves that transport the Mediterranean waters long distances into the Atlantic Ocean (Serra &amp; Ambar, 2002; Serra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2005; Garcia-Lafuente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2006; Ambar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Cherubin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2000; Bruno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2006; Garcia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2015).</w:t>
      </w:r>
    </w:p>
    <w:p w14:paraId="2F67D00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Its location seems to be related to the Albufeira Fault. Erosion is not active </w:t>
      </w:r>
      <w:r>
        <w:rPr>
          <w:rFonts w:eastAsia="MS Mincho"/>
          <w:sz w:val="22"/>
          <w:szCs w:val="22"/>
          <w:lang w:val="en-US"/>
        </w:rPr>
        <w:t>today</w:t>
      </w:r>
      <w:r w:rsidRPr="009978E3">
        <w:rPr>
          <w:rFonts w:eastAsia="MS Mincho"/>
          <w:sz w:val="22"/>
          <w:szCs w:val="22"/>
          <w:lang w:val="en-US"/>
        </w:rPr>
        <w:t xml:space="preserve">, as evidenced by its relatively smooth flanks, and the canyon seems to be progressively infilled by sediment load (Mulder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2006; Marchès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Garcia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2015).</w:t>
      </w:r>
    </w:p>
    <w:p w14:paraId="316394E3" w14:textId="77777777" w:rsidR="006B3F46" w:rsidRPr="009978E3" w:rsidRDefault="006B3F46" w:rsidP="002E4B39">
      <w:pPr>
        <w:suppressLineNumbers/>
        <w:spacing w:after="120"/>
        <w:jc w:val="both"/>
        <w:rPr>
          <w:sz w:val="22"/>
          <w:szCs w:val="22"/>
          <w:lang w:val="en-US" w:eastAsia="pt-PT"/>
        </w:rPr>
      </w:pPr>
      <w:r w:rsidRPr="009978E3">
        <w:rPr>
          <w:rFonts w:eastAsia="MS Mincho"/>
          <w:sz w:val="22"/>
          <w:szCs w:val="22"/>
          <w:lang w:val="en-US"/>
        </w:rPr>
        <w:t xml:space="preserve">In terms of biodiversity, the continental margins are considered major reservoirs of marine biodiversity and productivity (Sanders &amp; Hessler, 1969; Rex, 1983; Snelgrove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1992; Levin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2001; Brandt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w:t>
      </w:r>
      <w:r w:rsidRPr="009978E3">
        <w:rPr>
          <w:sz w:val="22"/>
          <w:szCs w:val="22"/>
          <w:lang w:val="en-US" w:eastAsia="pt-PT"/>
        </w:rPr>
        <w:t>The patterns of benthic community structure and productivity have been studied in relatively few submarine canyons (</w:t>
      </w:r>
      <w:r>
        <w:rPr>
          <w:sz w:val="22"/>
          <w:szCs w:val="22"/>
          <w:lang w:val="en-US" w:eastAsia="pt-PT"/>
        </w:rPr>
        <w:t>e.g.,</w:t>
      </w:r>
      <w:r w:rsidRPr="009978E3">
        <w:rPr>
          <w:sz w:val="22"/>
          <w:szCs w:val="22"/>
          <w:lang w:val="en-US" w:eastAsia="pt-PT"/>
        </w:rPr>
        <w:t xml:space="preserve"> Vetter 1994; Vetter &amp; Dayton 1999; Hargrave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2004; Schlacher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2007). Habitat diversity and specific abiotic characteristics enhance the occurrence of high levels of biodiversity (Vetter &amp; Dayton, 1998; McClain and Barry, 2010; Company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2012; De Leo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2014). Some findings suggest that increased habitat heterogeneity in canyons is responsible for enhancing benthic biodiversity and creating biomass hotspots (Rowe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1982; Vetter 1994; Vetter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2010). Enhanced local fishery production in canyons, when contrasted to regular slope environments, has also been reported and attributed to the channeling and concentrating of detrital organic matter and pelagic animal populations (Yoklavich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2000; Brodeur, 2001; Company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2008). </w:t>
      </w:r>
    </w:p>
    <w:p w14:paraId="267B0809" w14:textId="77777777" w:rsidR="006B3F46" w:rsidRPr="009978E3" w:rsidRDefault="006B3F46" w:rsidP="002E4B39">
      <w:pPr>
        <w:suppressLineNumbers/>
        <w:spacing w:after="120"/>
        <w:jc w:val="both"/>
        <w:rPr>
          <w:rFonts w:eastAsia="MS Mincho"/>
          <w:sz w:val="22"/>
          <w:szCs w:val="22"/>
          <w:lang w:val="en-US"/>
        </w:rPr>
      </w:pPr>
      <w:r w:rsidRPr="002E4B39">
        <w:rPr>
          <w:rFonts w:eastAsia="MS Mincho"/>
          <w:sz w:val="22"/>
          <w:szCs w:val="22"/>
          <w:lang w:val="en-US"/>
        </w:rPr>
        <w:t>The</w:t>
      </w:r>
      <w:r w:rsidRPr="009978E3">
        <w:rPr>
          <w:sz w:val="22"/>
          <w:szCs w:val="22"/>
          <w:lang w:val="en-US" w:eastAsia="pt-PT"/>
        </w:rPr>
        <w:t xml:space="preserve"> area also encompasses seamounts. </w:t>
      </w:r>
      <w:r w:rsidRPr="009978E3">
        <w:rPr>
          <w:rFonts w:eastAsia="MS Mincho"/>
          <w:sz w:val="22"/>
          <w:szCs w:val="22"/>
          <w:lang w:val="en-US"/>
        </w:rPr>
        <w:t>Seamounts are host to epipelagic fishes with important functions for migratory species, such as tuna (</w:t>
      </w:r>
      <w:r>
        <w:rPr>
          <w:rFonts w:eastAsia="MS Mincho"/>
          <w:sz w:val="22"/>
          <w:szCs w:val="22"/>
          <w:lang w:val="en-US"/>
        </w:rPr>
        <w:t>e.g.</w:t>
      </w:r>
      <w:r w:rsidRPr="0021277B">
        <w:rPr>
          <w:rFonts w:eastAsia="MS Mincho"/>
          <w:sz w:val="22"/>
          <w:szCs w:val="22"/>
          <w:lang w:val="en-US"/>
        </w:rPr>
        <w:t>,</w:t>
      </w:r>
      <w:r w:rsidRPr="009978E3">
        <w:rPr>
          <w:rFonts w:eastAsia="MS Mincho"/>
          <w:sz w:val="22"/>
          <w:szCs w:val="22"/>
          <w:lang w:val="en-US"/>
        </w:rPr>
        <w:t xml:space="preserve"> </w:t>
      </w:r>
      <w:r w:rsidRPr="009978E3">
        <w:rPr>
          <w:rFonts w:eastAsia="MS Mincho"/>
          <w:i/>
          <w:sz w:val="22"/>
          <w:szCs w:val="22"/>
          <w:lang w:val="en-US"/>
        </w:rPr>
        <w:t>Thunnus thynnus</w:t>
      </w:r>
      <w:r w:rsidRPr="009978E3">
        <w:rPr>
          <w:rFonts w:eastAsia="MS Mincho"/>
          <w:sz w:val="22"/>
          <w:szCs w:val="22"/>
          <w:lang w:val="en-US"/>
        </w:rPr>
        <w:t xml:space="preserve"> and </w:t>
      </w:r>
      <w:r w:rsidRPr="009978E3">
        <w:rPr>
          <w:rFonts w:eastAsia="MS Mincho"/>
          <w:i/>
          <w:sz w:val="22"/>
          <w:szCs w:val="22"/>
          <w:lang w:val="en-US"/>
        </w:rPr>
        <w:t>Thunnus albacares</w:t>
      </w:r>
      <w:r w:rsidRPr="009978E3">
        <w:rPr>
          <w:rFonts w:eastAsia="MS Mincho"/>
          <w:sz w:val="22"/>
          <w:szCs w:val="22"/>
          <w:lang w:val="en-US"/>
        </w:rPr>
        <w:t>), and habitats that are associated with the species spawning function and recruitment of fish (belonging to the Serranidae, and Carangidae families), benthopelagic and respective communities (including habitats for fish species captured for commercial purposes, such as orange roughy</w:t>
      </w:r>
      <w:r>
        <w:rPr>
          <w:rFonts w:eastAsia="MS Mincho"/>
          <w:sz w:val="22"/>
          <w:szCs w:val="22"/>
          <w:lang w:val="en-US"/>
        </w:rPr>
        <w:t>,</w:t>
      </w:r>
      <w:r>
        <w:rPr>
          <w:rFonts w:eastAsia="MS Mincho"/>
          <w:i/>
          <w:sz w:val="22"/>
          <w:szCs w:val="22"/>
          <w:lang w:val="en-US"/>
        </w:rPr>
        <w:t xml:space="preserve"> </w:t>
      </w:r>
      <w:r w:rsidRPr="009978E3">
        <w:rPr>
          <w:rFonts w:eastAsia="MS Mincho"/>
          <w:i/>
          <w:sz w:val="22"/>
          <w:szCs w:val="22"/>
          <w:lang w:val="en-US"/>
        </w:rPr>
        <w:t>Hoplostethus atlanticus</w:t>
      </w:r>
      <w:r w:rsidRPr="009978E3">
        <w:rPr>
          <w:rFonts w:eastAsia="MS Mincho"/>
          <w:sz w:val="22"/>
          <w:szCs w:val="22"/>
          <w:lang w:val="en-US"/>
        </w:rPr>
        <w:t>) (Morato &amp; Clark, 2007; OSPAR, 2010). In this set of habitats some endangered and/or declining species can also be found, such as the blue whale (</w:t>
      </w:r>
      <w:r w:rsidRPr="009978E3">
        <w:rPr>
          <w:rFonts w:eastAsia="MS Mincho"/>
          <w:i/>
          <w:sz w:val="22"/>
          <w:szCs w:val="22"/>
          <w:lang w:val="en-US"/>
        </w:rPr>
        <w:t>Balaenoptera musculus)</w:t>
      </w:r>
      <w:r w:rsidRPr="009978E3">
        <w:rPr>
          <w:rFonts w:eastAsia="MS Mincho"/>
          <w:sz w:val="22"/>
          <w:szCs w:val="22"/>
          <w:lang w:val="en-US"/>
        </w:rPr>
        <w:t>, leatherback and loggerhead turtles (</w:t>
      </w:r>
      <w:r w:rsidRPr="009978E3">
        <w:rPr>
          <w:rFonts w:eastAsia="MS Mincho"/>
          <w:i/>
          <w:sz w:val="22"/>
          <w:szCs w:val="22"/>
          <w:lang w:val="en-US"/>
        </w:rPr>
        <w:t>Dermochelys coriacea</w:t>
      </w:r>
      <w:r w:rsidRPr="009978E3">
        <w:rPr>
          <w:rFonts w:eastAsia="MS Mincho"/>
          <w:sz w:val="22"/>
          <w:szCs w:val="22"/>
          <w:lang w:val="en-US"/>
        </w:rPr>
        <w:t xml:space="preserve"> and </w:t>
      </w:r>
      <w:r w:rsidRPr="009978E3">
        <w:rPr>
          <w:rFonts w:eastAsia="MS Mincho"/>
          <w:i/>
          <w:sz w:val="22"/>
          <w:szCs w:val="22"/>
          <w:lang w:val="en-US"/>
        </w:rPr>
        <w:t>Caretta caretta)</w:t>
      </w:r>
      <w:r w:rsidRPr="009978E3">
        <w:rPr>
          <w:rFonts w:eastAsia="MS Mincho"/>
          <w:sz w:val="22"/>
          <w:szCs w:val="22"/>
          <w:lang w:val="en-US"/>
        </w:rPr>
        <w:t xml:space="preserve"> (protected under the European Union Habitats Directive, the Bern Convention, Bonn Convention, </w:t>
      </w:r>
      <w:r w:rsidRPr="009978E3">
        <w:rPr>
          <w:sz w:val="22"/>
          <w:szCs w:val="22"/>
        </w:rPr>
        <w:t xml:space="preserve">the Convention on International Trade in Endangered Species of Wild Fauna and Flora </w:t>
      </w:r>
      <w:r w:rsidRPr="009978E3">
        <w:rPr>
          <w:rFonts w:eastAsia="MS Mincho"/>
          <w:sz w:val="22"/>
          <w:szCs w:val="22"/>
          <w:lang w:val="en-US"/>
        </w:rPr>
        <w:t>and the OSPAR Convention), and elasmobranch (</w:t>
      </w:r>
      <w:r w:rsidRPr="009978E3">
        <w:rPr>
          <w:rFonts w:eastAsia="MS Mincho"/>
          <w:i/>
          <w:sz w:val="22"/>
          <w:szCs w:val="22"/>
          <w:lang w:val="en-US"/>
        </w:rPr>
        <w:t>Hoplostethus atlanticus</w:t>
      </w:r>
      <w:r w:rsidRPr="009978E3">
        <w:rPr>
          <w:rFonts w:eastAsia="MS Mincho"/>
          <w:sz w:val="22"/>
          <w:szCs w:val="22"/>
          <w:lang w:val="en-US"/>
        </w:rPr>
        <w:t xml:space="preserve">, </w:t>
      </w:r>
      <w:r w:rsidRPr="009978E3">
        <w:rPr>
          <w:rFonts w:eastAsia="MS Mincho"/>
          <w:i/>
          <w:sz w:val="22"/>
          <w:szCs w:val="22"/>
          <w:lang w:val="en-US"/>
        </w:rPr>
        <w:t>Centroscymnus coelolepis</w:t>
      </w:r>
      <w:r w:rsidRPr="009978E3">
        <w:rPr>
          <w:rFonts w:eastAsia="MS Mincho"/>
          <w:sz w:val="22"/>
          <w:szCs w:val="22"/>
          <w:lang w:val="en-US"/>
        </w:rPr>
        <w:t xml:space="preserve">, </w:t>
      </w:r>
      <w:r w:rsidRPr="009978E3">
        <w:rPr>
          <w:rFonts w:eastAsia="MS Mincho"/>
          <w:i/>
          <w:sz w:val="22"/>
          <w:szCs w:val="22"/>
          <w:lang w:val="en-US"/>
        </w:rPr>
        <w:t>Centrophorus granulosus</w:t>
      </w:r>
      <w:r w:rsidRPr="009978E3">
        <w:rPr>
          <w:rFonts w:eastAsia="MS Mincho"/>
          <w:sz w:val="22"/>
          <w:szCs w:val="22"/>
          <w:lang w:val="en-US"/>
        </w:rPr>
        <w:t xml:space="preserve"> and </w:t>
      </w:r>
      <w:r w:rsidRPr="009978E3">
        <w:rPr>
          <w:rFonts w:eastAsia="MS Mincho"/>
          <w:i/>
          <w:sz w:val="22"/>
          <w:szCs w:val="22"/>
          <w:lang w:val="en-US"/>
        </w:rPr>
        <w:t xml:space="preserve">Centrophorus squamosus) </w:t>
      </w:r>
      <w:r w:rsidRPr="009978E3">
        <w:rPr>
          <w:rFonts w:eastAsia="MS Mincho"/>
          <w:sz w:val="22"/>
          <w:szCs w:val="22"/>
          <w:lang w:val="en-US"/>
        </w:rPr>
        <w:t xml:space="preserve">(protected under the OSPAR Convention) (Morato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2008; Santos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2012). </w:t>
      </w:r>
    </w:p>
    <w:p w14:paraId="0E2D3445" w14:textId="52715AC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Seamounts are also important to birds and Cory’s shearwater (</w:t>
      </w:r>
      <w:r w:rsidRPr="009978E3">
        <w:rPr>
          <w:rFonts w:eastAsia="MS Mincho"/>
          <w:i/>
          <w:sz w:val="22"/>
          <w:szCs w:val="22"/>
          <w:lang w:val="en-US"/>
        </w:rPr>
        <w:t>Calonectris borealis</w:t>
      </w:r>
      <w:r w:rsidRPr="009978E3">
        <w:rPr>
          <w:rFonts w:eastAsia="MS Mincho"/>
          <w:sz w:val="22"/>
          <w:szCs w:val="22"/>
          <w:lang w:val="en-US"/>
        </w:rPr>
        <w:t xml:space="preserve">), which breed in the Azores and have been shown to forage over the Mid-Atlantic Ridge (Magalhães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w:t>
      </w:r>
    </w:p>
    <w:p w14:paraId="2BD830EB"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 xml:space="preserve">Both </w:t>
      </w:r>
      <w:r w:rsidRPr="002E4B39">
        <w:rPr>
          <w:rFonts w:eastAsia="MS Mincho"/>
          <w:sz w:val="22"/>
          <w:szCs w:val="22"/>
          <w:lang w:val="en-US"/>
        </w:rPr>
        <w:t>seamounts</w:t>
      </w:r>
      <w:r w:rsidRPr="009978E3">
        <w:rPr>
          <w:sz w:val="22"/>
          <w:szCs w:val="22"/>
          <w:lang w:val="en-US" w:eastAsia="pt-PT"/>
        </w:rPr>
        <w:t xml:space="preserve"> and canyons can host high biodiversity, and both structures have been relatively well studied (see </w:t>
      </w:r>
      <w:r>
        <w:rPr>
          <w:sz w:val="22"/>
          <w:szCs w:val="22"/>
          <w:lang w:val="en-US" w:eastAsia="pt-PT"/>
        </w:rPr>
        <w:t>T</w:t>
      </w:r>
      <w:r w:rsidRPr="009978E3">
        <w:rPr>
          <w:sz w:val="22"/>
          <w:szCs w:val="22"/>
          <w:lang w:val="en-US" w:eastAsia="pt-PT"/>
        </w:rPr>
        <w:t xml:space="preserve">able 1). </w:t>
      </w:r>
      <w:r w:rsidRPr="009978E3">
        <w:rPr>
          <w:rFonts w:eastAsia="MS Mincho"/>
          <w:sz w:val="22"/>
          <w:szCs w:val="22"/>
          <w:lang w:val="en-US"/>
        </w:rPr>
        <w:t>A total of 3411 species are listed for the area, and 776 were specifically recorded for the different structures</w:t>
      </w:r>
      <w:r>
        <w:rPr>
          <w:rFonts w:eastAsia="MS Mincho"/>
          <w:sz w:val="22"/>
          <w:szCs w:val="22"/>
          <w:lang w:val="en-US"/>
        </w:rPr>
        <w:t xml:space="preserve"> it comprises</w:t>
      </w:r>
      <w:r w:rsidRPr="009978E3">
        <w:rPr>
          <w:sz w:val="22"/>
          <w:szCs w:val="22"/>
          <w:lang w:val="en-US" w:eastAsia="pt-PT"/>
        </w:rPr>
        <w:t xml:space="preserve"> (see</w:t>
      </w:r>
      <w:r w:rsidRPr="009978E3">
        <w:rPr>
          <w:sz w:val="22"/>
          <w:szCs w:val="22"/>
        </w:rPr>
        <w:t xml:space="preserve"> </w:t>
      </w:r>
      <w:r w:rsidRPr="009978E3">
        <w:rPr>
          <w:sz w:val="22"/>
          <w:szCs w:val="22"/>
          <w:lang w:val="en-US" w:eastAsia="pt-PT"/>
        </w:rPr>
        <w:t xml:space="preserve">feature description of the described area). </w:t>
      </w:r>
    </w:p>
    <w:p w14:paraId="74339DD3"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Location</w:t>
      </w:r>
    </w:p>
    <w:p w14:paraId="7B3A962B" w14:textId="77777777" w:rsidR="006B3F46" w:rsidRPr="00F66EF7" w:rsidRDefault="006B3F46" w:rsidP="002E4B39">
      <w:pPr>
        <w:suppressLineNumbers/>
        <w:spacing w:after="120"/>
        <w:jc w:val="both"/>
        <w:rPr>
          <w:rFonts w:eastAsia="MS Mincho"/>
          <w:sz w:val="22"/>
          <w:szCs w:val="22"/>
          <w:lang w:val="en-US"/>
        </w:rPr>
      </w:pPr>
      <w:r w:rsidRPr="00E960E4">
        <w:rPr>
          <w:snapToGrid w:val="0"/>
          <w:kern w:val="22"/>
          <w:sz w:val="22"/>
          <w:szCs w:val="22"/>
        </w:rPr>
        <w:t xml:space="preserve">The area </w:t>
      </w:r>
      <w:r w:rsidRPr="002E4B39">
        <w:rPr>
          <w:rFonts w:eastAsia="MS Mincho"/>
          <w:sz w:val="22"/>
          <w:szCs w:val="22"/>
          <w:lang w:val="en-US"/>
        </w:rPr>
        <w:t>is</w:t>
      </w:r>
      <w:r w:rsidRPr="00E960E4">
        <w:rPr>
          <w:snapToGrid w:val="0"/>
          <w:kern w:val="22"/>
          <w:sz w:val="22"/>
          <w:szCs w:val="22"/>
        </w:rPr>
        <w:t xml:space="preserve"> located in waters surrounding Portugal and Spain. </w:t>
      </w:r>
      <w:r>
        <w:rPr>
          <w:snapToGrid w:val="0"/>
          <w:kern w:val="22"/>
          <w:sz w:val="22"/>
          <w:szCs w:val="22"/>
        </w:rPr>
        <w:t xml:space="preserve">Its </w:t>
      </w:r>
      <w:r w:rsidRPr="00E960E4">
        <w:rPr>
          <w:snapToGrid w:val="0"/>
          <w:kern w:val="22"/>
          <w:sz w:val="22"/>
          <w:szCs w:val="22"/>
        </w:rPr>
        <w:t xml:space="preserve">total area </w:t>
      </w:r>
      <w:r>
        <w:rPr>
          <w:snapToGrid w:val="0"/>
          <w:kern w:val="22"/>
          <w:sz w:val="22"/>
          <w:szCs w:val="22"/>
        </w:rPr>
        <w:t>is</w:t>
      </w:r>
      <w:r w:rsidRPr="00E960E4">
        <w:rPr>
          <w:snapToGrid w:val="0"/>
          <w:kern w:val="22"/>
          <w:sz w:val="22"/>
          <w:szCs w:val="22"/>
        </w:rPr>
        <w:t xml:space="preserve"> 189239 km</w:t>
      </w:r>
      <w:r w:rsidRPr="00E960E4">
        <w:rPr>
          <w:snapToGrid w:val="0"/>
          <w:kern w:val="22"/>
          <w:sz w:val="22"/>
          <w:szCs w:val="22"/>
          <w:vertAlign w:val="superscript"/>
        </w:rPr>
        <w:t>2</w:t>
      </w:r>
      <w:r w:rsidRPr="00E960E4">
        <w:rPr>
          <w:snapToGrid w:val="0"/>
          <w:kern w:val="22"/>
          <w:sz w:val="22"/>
          <w:szCs w:val="22"/>
        </w:rPr>
        <w:t xml:space="preserve"> and is divided into </w:t>
      </w:r>
      <w:r>
        <w:rPr>
          <w:snapToGrid w:val="0"/>
          <w:kern w:val="22"/>
          <w:sz w:val="22"/>
          <w:szCs w:val="22"/>
        </w:rPr>
        <w:t>three</w:t>
      </w:r>
      <w:r w:rsidRPr="00E960E4">
        <w:rPr>
          <w:snapToGrid w:val="0"/>
          <w:kern w:val="22"/>
          <w:sz w:val="22"/>
          <w:szCs w:val="22"/>
        </w:rPr>
        <w:t xml:space="preserve"> sections</w:t>
      </w:r>
      <w:r>
        <w:rPr>
          <w:snapToGrid w:val="0"/>
          <w:kern w:val="22"/>
          <w:sz w:val="22"/>
          <w:szCs w:val="22"/>
        </w:rPr>
        <w:t>:</w:t>
      </w:r>
      <w:r w:rsidRPr="00E960E4">
        <w:rPr>
          <w:snapToGrid w:val="0"/>
          <w:kern w:val="22"/>
          <w:sz w:val="22"/>
          <w:szCs w:val="22"/>
        </w:rPr>
        <w:t xml:space="preserve"> North Western Iberian Peninsula, Center</w:t>
      </w:r>
      <w:r w:rsidRPr="00197CF2">
        <w:rPr>
          <w:snapToGrid w:val="0"/>
          <w:kern w:val="22"/>
          <w:sz w:val="22"/>
          <w:szCs w:val="22"/>
        </w:rPr>
        <w:t xml:space="preserve"> Western Iberian Peninsula and South Western Iberian Peninsula.</w:t>
      </w:r>
      <w:r w:rsidRPr="00197CF2">
        <w:t xml:space="preserve"> </w:t>
      </w:r>
      <w:r w:rsidRPr="00197CF2">
        <w:rPr>
          <w:snapToGrid w:val="0"/>
          <w:kern w:val="22"/>
          <w:sz w:val="22"/>
          <w:szCs w:val="22"/>
        </w:rPr>
        <w:t>The area includes 12 submarine canyons, five seamount structures, banks, islands and an archipelago.</w:t>
      </w:r>
    </w:p>
    <w:p w14:paraId="3F4D4893"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12E5F4CA"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There are 3174 species reported for the whole area and 776 specifically recorded for the structures.</w:t>
      </w:r>
      <w:r>
        <w:rPr>
          <w:rFonts w:eastAsia="MS Mincho"/>
          <w:sz w:val="22"/>
          <w:szCs w:val="22"/>
          <w:lang w:val="en-US"/>
        </w:rPr>
        <w:t xml:space="preserve"> </w:t>
      </w:r>
      <w:r w:rsidRPr="009978E3">
        <w:rPr>
          <w:rFonts w:eastAsia="MS Mincho"/>
          <w:sz w:val="22"/>
          <w:szCs w:val="22"/>
          <w:lang w:val="en-US"/>
        </w:rPr>
        <w:t xml:space="preserve">This coastal area exhibits mesoscale spatial and temporal patterns of upwelling. Coastal winds off </w:t>
      </w:r>
      <w:r>
        <w:rPr>
          <w:rFonts w:eastAsia="MS Mincho"/>
          <w:sz w:val="22"/>
          <w:szCs w:val="22"/>
          <w:lang w:val="en-US"/>
        </w:rPr>
        <w:t>the north-west</w:t>
      </w:r>
      <w:r w:rsidRPr="009978E3">
        <w:rPr>
          <w:rFonts w:eastAsia="MS Mincho"/>
          <w:sz w:val="22"/>
          <w:szCs w:val="22"/>
          <w:lang w:val="en-US"/>
        </w:rPr>
        <w:t xml:space="preserve"> </w:t>
      </w:r>
      <w:r>
        <w:rPr>
          <w:rFonts w:eastAsia="MS Mincho"/>
          <w:sz w:val="22"/>
          <w:szCs w:val="22"/>
          <w:lang w:val="en-US"/>
        </w:rPr>
        <w:t>exert</w:t>
      </w:r>
      <w:r w:rsidRPr="009978E3">
        <w:rPr>
          <w:rFonts w:eastAsia="MS Mincho"/>
          <w:sz w:val="22"/>
          <w:szCs w:val="22"/>
          <w:lang w:val="en-US"/>
        </w:rPr>
        <w:t xml:space="preserve"> a conspicuous seasonal cycle, favo</w:t>
      </w:r>
      <w:r>
        <w:rPr>
          <w:rFonts w:eastAsia="MS Mincho"/>
          <w:sz w:val="22"/>
          <w:szCs w:val="22"/>
          <w:lang w:val="en-US"/>
        </w:rPr>
        <w:t>u</w:t>
      </w:r>
      <w:r w:rsidRPr="009978E3">
        <w:rPr>
          <w:rFonts w:eastAsia="MS Mincho"/>
          <w:sz w:val="22"/>
          <w:szCs w:val="22"/>
          <w:lang w:val="en-US"/>
        </w:rPr>
        <w:t xml:space="preserve">ring upwelling from March-April to September-October and downwelling for the rest of the year (Wooster </w:t>
      </w:r>
      <w:r w:rsidRPr="0006066A">
        <w:rPr>
          <w:rFonts w:eastAsia="MS Mincho"/>
          <w:i/>
          <w:sz w:val="22"/>
          <w:szCs w:val="22"/>
          <w:lang w:val="en-US"/>
        </w:rPr>
        <w:t>et al</w:t>
      </w:r>
      <w:r w:rsidRPr="009978E3">
        <w:rPr>
          <w:rFonts w:eastAsia="MS Mincho"/>
          <w:sz w:val="22"/>
          <w:szCs w:val="22"/>
          <w:lang w:val="en-US"/>
        </w:rPr>
        <w:t>., 1976; Bakun and Nelson, 1991). Upwelling areas are particularly important for the exploitation of resources and for the air-sea exchange of anthropogenic CO</w:t>
      </w:r>
      <w:r w:rsidRPr="009978E3">
        <w:rPr>
          <w:rFonts w:eastAsia="MS Mincho"/>
          <w:sz w:val="22"/>
          <w:szCs w:val="22"/>
          <w:vertAlign w:val="subscript"/>
          <w:lang w:val="en-US"/>
        </w:rPr>
        <w:t>2</w:t>
      </w:r>
      <w:r w:rsidRPr="009978E3">
        <w:rPr>
          <w:rFonts w:eastAsia="MS Mincho"/>
          <w:sz w:val="22"/>
          <w:szCs w:val="22"/>
          <w:lang w:val="en-US"/>
        </w:rPr>
        <w:t xml:space="preserve">. Knowledge of the magnitude of "New Production" of this area is of great importance (Alvarez-Salgado </w:t>
      </w:r>
      <w:r w:rsidRPr="0006066A">
        <w:rPr>
          <w:rFonts w:eastAsia="MS Mincho"/>
          <w:i/>
          <w:sz w:val="22"/>
          <w:szCs w:val="22"/>
          <w:lang w:val="en-US"/>
        </w:rPr>
        <w:t>et al</w:t>
      </w:r>
      <w:r w:rsidRPr="009978E3">
        <w:rPr>
          <w:rFonts w:eastAsia="MS Mincho"/>
          <w:sz w:val="22"/>
          <w:szCs w:val="22"/>
          <w:lang w:val="en-US"/>
        </w:rPr>
        <w:t xml:space="preserve">., 2002). "New Production" is defined as the fraction of the gross primary production that is maintained by external nutrients. </w:t>
      </w:r>
    </w:p>
    <w:p w14:paraId="036FA86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Nutrient enrichment associated with upwelled water results in high pelagic productivity on the shelf and in the Rias Bajas (Campos and Gonzalez, 1975; Tenore </w:t>
      </w:r>
      <w:r w:rsidRPr="0006066A">
        <w:rPr>
          <w:rFonts w:eastAsia="MS Mincho"/>
          <w:i/>
          <w:sz w:val="22"/>
          <w:szCs w:val="22"/>
          <w:lang w:val="en-US"/>
        </w:rPr>
        <w:t>et al</w:t>
      </w:r>
      <w:r w:rsidRPr="009978E3">
        <w:rPr>
          <w:rFonts w:eastAsia="MS Mincho"/>
          <w:sz w:val="22"/>
          <w:szCs w:val="22"/>
          <w:lang w:val="en-US"/>
        </w:rPr>
        <w:t xml:space="preserve">., 1995). Along the coast there is an important pelagic fishery, especially off Cape Finisterre. A coastal purse-seine fishery for sardine, </w:t>
      </w:r>
      <w:r w:rsidRPr="009978E3">
        <w:rPr>
          <w:rFonts w:eastAsia="MS Mincho"/>
          <w:i/>
          <w:sz w:val="22"/>
          <w:szCs w:val="22"/>
          <w:lang w:val="en-US"/>
        </w:rPr>
        <w:t>Sardina pilchardus</w:t>
      </w:r>
      <w:r w:rsidRPr="009978E3">
        <w:rPr>
          <w:rFonts w:eastAsia="MS Mincho"/>
          <w:sz w:val="22"/>
          <w:szCs w:val="22"/>
          <w:lang w:val="en-US"/>
        </w:rPr>
        <w:t xml:space="preserve">, typically yields ca. 80,000 metric tons annually along the Galician coast (Porteiro </w:t>
      </w:r>
      <w:r w:rsidRPr="0006066A">
        <w:rPr>
          <w:rFonts w:eastAsia="MS Mincho"/>
          <w:i/>
          <w:sz w:val="22"/>
          <w:szCs w:val="22"/>
          <w:lang w:val="en-US"/>
        </w:rPr>
        <w:t>et al</w:t>
      </w:r>
      <w:r w:rsidRPr="009978E3">
        <w:rPr>
          <w:rFonts w:eastAsia="MS Mincho"/>
          <w:sz w:val="22"/>
          <w:szCs w:val="22"/>
          <w:lang w:val="en-US"/>
        </w:rPr>
        <w:t>., 1986). There is also an important demersal fishery along the Galician shelf, including hake (</w:t>
      </w:r>
      <w:r w:rsidRPr="009978E3">
        <w:rPr>
          <w:rFonts w:eastAsia="MS Mincho"/>
          <w:i/>
          <w:sz w:val="22"/>
          <w:szCs w:val="22"/>
          <w:lang w:val="en-US"/>
        </w:rPr>
        <w:t>Merluccius merluccius</w:t>
      </w:r>
      <w:r w:rsidRPr="009978E3">
        <w:rPr>
          <w:rFonts w:eastAsia="MS Mincho"/>
          <w:sz w:val="22"/>
          <w:szCs w:val="22"/>
          <w:lang w:val="en-US"/>
        </w:rPr>
        <w:t>), blue-whiting (</w:t>
      </w:r>
      <w:r w:rsidRPr="009978E3">
        <w:rPr>
          <w:rFonts w:eastAsia="MS Mincho"/>
          <w:i/>
          <w:sz w:val="22"/>
          <w:szCs w:val="22"/>
          <w:lang w:val="en-US"/>
        </w:rPr>
        <w:t>Micromesistius poutassou</w:t>
      </w:r>
      <w:r w:rsidRPr="009978E3">
        <w:rPr>
          <w:rFonts w:eastAsia="MS Mincho"/>
          <w:sz w:val="22"/>
          <w:szCs w:val="22"/>
          <w:lang w:val="en-US"/>
        </w:rPr>
        <w:t>) and Norway lobster (</w:t>
      </w:r>
      <w:r w:rsidRPr="009978E3">
        <w:rPr>
          <w:rFonts w:eastAsia="MS Mincho"/>
          <w:i/>
          <w:sz w:val="22"/>
          <w:szCs w:val="22"/>
          <w:lang w:val="en-US"/>
        </w:rPr>
        <w:t>Nephrops norvegicus</w:t>
      </w:r>
      <w:r w:rsidRPr="009978E3">
        <w:rPr>
          <w:rFonts w:eastAsia="MS Mincho"/>
          <w:sz w:val="22"/>
          <w:szCs w:val="22"/>
          <w:lang w:val="en-US"/>
        </w:rPr>
        <w:t xml:space="preserve">) (Farina </w:t>
      </w:r>
      <w:r w:rsidRPr="0006066A">
        <w:rPr>
          <w:rFonts w:eastAsia="MS Mincho"/>
          <w:i/>
          <w:sz w:val="22"/>
          <w:szCs w:val="22"/>
          <w:lang w:val="en-US"/>
        </w:rPr>
        <w:t>et al</w:t>
      </w:r>
      <w:r w:rsidRPr="009978E3">
        <w:rPr>
          <w:rFonts w:eastAsia="MS Mincho"/>
          <w:sz w:val="22"/>
          <w:szCs w:val="22"/>
          <w:lang w:val="en-US"/>
        </w:rPr>
        <w:t>., 1983).</w:t>
      </w:r>
    </w:p>
    <w:p w14:paraId="21142095"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Around 11</w:t>
      </w:r>
      <w:r>
        <w:rPr>
          <w:rFonts w:eastAsia="MS Mincho"/>
          <w:sz w:val="22"/>
          <w:szCs w:val="22"/>
          <w:lang w:val="en-US"/>
        </w:rPr>
        <w:t xml:space="preserve"> per cent</w:t>
      </w:r>
      <w:r w:rsidRPr="009978E3">
        <w:rPr>
          <w:rFonts w:eastAsia="MS Mincho"/>
          <w:sz w:val="22"/>
          <w:szCs w:val="22"/>
          <w:lang w:val="en-US"/>
        </w:rPr>
        <w:t xml:space="preserve"> of the 3174 species identified in the area are legal</w:t>
      </w:r>
      <w:r>
        <w:rPr>
          <w:rFonts w:eastAsia="MS Mincho"/>
          <w:sz w:val="22"/>
          <w:szCs w:val="22"/>
          <w:lang w:val="en-US"/>
        </w:rPr>
        <w:t>ly</w:t>
      </w:r>
      <w:r w:rsidRPr="009978E3">
        <w:rPr>
          <w:rFonts w:eastAsia="MS Mincho"/>
          <w:sz w:val="22"/>
          <w:szCs w:val="22"/>
          <w:lang w:val="en-US"/>
        </w:rPr>
        <w:t xml:space="preserve"> protect</w:t>
      </w:r>
      <w:r>
        <w:rPr>
          <w:rFonts w:eastAsia="MS Mincho"/>
          <w:sz w:val="22"/>
          <w:szCs w:val="22"/>
          <w:lang w:val="en-US"/>
        </w:rPr>
        <w:t>ed</w:t>
      </w:r>
      <w:r w:rsidRPr="009978E3">
        <w:rPr>
          <w:rFonts w:eastAsia="MS Mincho"/>
          <w:sz w:val="22"/>
          <w:szCs w:val="22"/>
          <w:lang w:val="en-US"/>
        </w:rPr>
        <w:t xml:space="preserve"> or </w:t>
      </w:r>
      <w:r>
        <w:rPr>
          <w:rFonts w:eastAsia="MS Mincho"/>
          <w:sz w:val="22"/>
          <w:szCs w:val="22"/>
          <w:lang w:val="en-US"/>
        </w:rPr>
        <w:t xml:space="preserve">recognized as </w:t>
      </w:r>
      <w:r w:rsidRPr="009978E3">
        <w:rPr>
          <w:rFonts w:eastAsia="MS Mincho"/>
          <w:sz w:val="22"/>
          <w:szCs w:val="22"/>
          <w:lang w:val="en-US"/>
        </w:rPr>
        <w:t xml:space="preserve">threatened </w:t>
      </w:r>
      <w:r>
        <w:rPr>
          <w:rFonts w:eastAsia="MS Mincho"/>
          <w:sz w:val="22"/>
          <w:szCs w:val="22"/>
          <w:lang w:val="en-US"/>
        </w:rPr>
        <w:t>by</w:t>
      </w:r>
      <w:r w:rsidRPr="009978E3">
        <w:rPr>
          <w:rFonts w:eastAsia="MS Mincho"/>
          <w:sz w:val="22"/>
          <w:szCs w:val="22"/>
          <w:lang w:val="en-US"/>
        </w:rPr>
        <w:t xml:space="preserve"> CITES, IUCN Red List, European Union Habitats and Birds Directives, Bern Convention </w:t>
      </w:r>
      <w:r>
        <w:rPr>
          <w:rFonts w:eastAsia="MS Mincho"/>
          <w:sz w:val="22"/>
          <w:szCs w:val="22"/>
          <w:lang w:val="en-US"/>
        </w:rPr>
        <w:t>or</w:t>
      </w:r>
      <w:r w:rsidRPr="009978E3">
        <w:rPr>
          <w:rFonts w:eastAsia="MS Mincho"/>
          <w:sz w:val="22"/>
          <w:szCs w:val="22"/>
          <w:lang w:val="en-US"/>
        </w:rPr>
        <w:t xml:space="preserve"> OSPAR Convention. In this area OSPAR identified as endangered or declining the following species: </w:t>
      </w:r>
    </w:p>
    <w:p w14:paraId="1C32B219" w14:textId="77777777" w:rsidR="006B3F46" w:rsidRPr="00B71755" w:rsidRDefault="006B3F46" w:rsidP="006B3F46">
      <w:pPr>
        <w:pStyle w:val="ListParagraph"/>
        <w:numPr>
          <w:ilvl w:val="0"/>
          <w:numId w:val="31"/>
        </w:numPr>
        <w:ind w:leftChars="0"/>
        <w:contextualSpacing/>
        <w:rPr>
          <w:rFonts w:eastAsia="MS Mincho"/>
          <w:szCs w:val="22"/>
          <w:lang w:val="en-US"/>
        </w:rPr>
      </w:pPr>
      <w:r w:rsidRPr="009978E3">
        <w:rPr>
          <w:rFonts w:eastAsia="MS Mincho"/>
          <w:szCs w:val="22"/>
          <w:lang w:val="en-US"/>
        </w:rPr>
        <w:t>Deep</w:t>
      </w:r>
      <w:r>
        <w:rPr>
          <w:rFonts w:eastAsia="MS Mincho"/>
          <w:szCs w:val="22"/>
          <w:lang w:val="en-US"/>
        </w:rPr>
        <w:t>-</w:t>
      </w:r>
      <w:r w:rsidRPr="009978E3">
        <w:rPr>
          <w:rFonts w:eastAsia="MS Mincho"/>
          <w:szCs w:val="22"/>
          <w:lang w:val="en-US"/>
        </w:rPr>
        <w:t>water sharks</w:t>
      </w:r>
      <w:r w:rsidRPr="009978E3">
        <w:rPr>
          <w:szCs w:val="22"/>
        </w:rPr>
        <w:t xml:space="preserve"> </w:t>
      </w:r>
      <w:r>
        <w:rPr>
          <w:szCs w:val="22"/>
        </w:rPr>
        <w:t>(</w:t>
      </w:r>
      <w:r w:rsidRPr="009978E3">
        <w:rPr>
          <w:rFonts w:eastAsia="MS Mincho"/>
          <w:i/>
          <w:szCs w:val="22"/>
          <w:lang w:val="en-US"/>
        </w:rPr>
        <w:t>Centrophorus granulosus</w:t>
      </w:r>
      <w:r w:rsidRPr="009978E3">
        <w:rPr>
          <w:rFonts w:eastAsia="MS Mincho"/>
          <w:szCs w:val="22"/>
          <w:lang w:val="en-US"/>
        </w:rPr>
        <w:t>,</w:t>
      </w:r>
      <w:r w:rsidRPr="009978E3">
        <w:rPr>
          <w:rFonts w:eastAsia="MS Mincho"/>
          <w:i/>
          <w:szCs w:val="22"/>
          <w:lang w:val="en-US"/>
        </w:rPr>
        <w:t xml:space="preserve"> Centroscymus coeleopsis</w:t>
      </w:r>
      <w:r w:rsidRPr="009978E3">
        <w:rPr>
          <w:rFonts w:eastAsia="MS Mincho"/>
          <w:szCs w:val="22"/>
          <w:lang w:val="en-US"/>
        </w:rPr>
        <w:t xml:space="preserve">, </w:t>
      </w:r>
      <w:r w:rsidRPr="009978E3">
        <w:rPr>
          <w:rFonts w:eastAsia="MS Mincho"/>
          <w:i/>
          <w:szCs w:val="22"/>
          <w:lang w:val="en-US"/>
        </w:rPr>
        <w:t xml:space="preserve">Centrophorus </w:t>
      </w:r>
      <w:r w:rsidRPr="00B71755">
        <w:rPr>
          <w:rFonts w:eastAsia="MS Mincho"/>
          <w:i/>
          <w:szCs w:val="22"/>
          <w:lang w:val="en-US"/>
        </w:rPr>
        <w:t>squam)</w:t>
      </w:r>
    </w:p>
    <w:p w14:paraId="5FE724E0" w14:textId="77777777" w:rsidR="006B3F46" w:rsidRPr="00B71755" w:rsidRDefault="006B3F46" w:rsidP="006B3F46">
      <w:pPr>
        <w:pStyle w:val="ListParagraph"/>
        <w:numPr>
          <w:ilvl w:val="0"/>
          <w:numId w:val="31"/>
        </w:numPr>
        <w:ind w:leftChars="0"/>
        <w:contextualSpacing/>
        <w:rPr>
          <w:rFonts w:eastAsia="MS Mincho"/>
          <w:szCs w:val="22"/>
          <w:lang w:val="en-US"/>
        </w:rPr>
      </w:pPr>
      <w:r w:rsidRPr="00B71755">
        <w:rPr>
          <w:rFonts w:eastAsia="MS Mincho"/>
          <w:szCs w:val="22"/>
          <w:lang w:val="en-US"/>
        </w:rPr>
        <w:t>commercial fish</w:t>
      </w:r>
      <w:r w:rsidRPr="0021277B">
        <w:rPr>
          <w:rFonts w:eastAsia="MS Mincho"/>
          <w:szCs w:val="22"/>
          <w:lang w:val="en-US"/>
        </w:rPr>
        <w:t>, such as orange roughy</w:t>
      </w:r>
      <w:r w:rsidRPr="00B71755">
        <w:rPr>
          <w:rFonts w:eastAsia="MS Mincho"/>
          <w:i/>
          <w:szCs w:val="22"/>
          <w:lang w:val="en-US"/>
        </w:rPr>
        <w:t xml:space="preserve"> (Hoplostethus atlanticus)</w:t>
      </w:r>
    </w:p>
    <w:p w14:paraId="417E7D44" w14:textId="77777777" w:rsidR="006B3F46" w:rsidRPr="009978E3" w:rsidRDefault="006B3F46" w:rsidP="006B3F46">
      <w:pPr>
        <w:pStyle w:val="ListParagraph"/>
        <w:numPr>
          <w:ilvl w:val="0"/>
          <w:numId w:val="31"/>
        </w:numPr>
        <w:ind w:leftChars="0"/>
        <w:contextualSpacing/>
        <w:rPr>
          <w:rFonts w:eastAsia="MS Mincho"/>
          <w:szCs w:val="22"/>
          <w:lang w:val="en-US"/>
        </w:rPr>
      </w:pPr>
      <w:r w:rsidRPr="009978E3">
        <w:rPr>
          <w:rFonts w:eastAsia="MS Mincho"/>
          <w:szCs w:val="22"/>
          <w:lang w:val="en-US"/>
        </w:rPr>
        <w:t>three species of corals</w:t>
      </w:r>
      <w:r w:rsidRPr="009978E3">
        <w:rPr>
          <w:szCs w:val="22"/>
        </w:rPr>
        <w:t xml:space="preserve"> </w:t>
      </w:r>
      <w:r>
        <w:rPr>
          <w:szCs w:val="22"/>
        </w:rPr>
        <w:t>(</w:t>
      </w:r>
      <w:r w:rsidRPr="009978E3">
        <w:rPr>
          <w:i/>
          <w:szCs w:val="22"/>
        </w:rPr>
        <w:t>Funiculina quadrangularis</w:t>
      </w:r>
      <w:r w:rsidRPr="009978E3">
        <w:rPr>
          <w:rFonts w:eastAsia="MS Mincho"/>
          <w:szCs w:val="22"/>
          <w:lang w:val="en-US"/>
        </w:rPr>
        <w:t>,</w:t>
      </w:r>
      <w:r w:rsidRPr="009978E3">
        <w:rPr>
          <w:rFonts w:eastAsia="MS Mincho"/>
          <w:i/>
          <w:szCs w:val="22"/>
          <w:lang w:val="en-US"/>
        </w:rPr>
        <w:t xml:space="preserve"> Lophelia pertusa</w:t>
      </w:r>
      <w:r w:rsidRPr="009978E3">
        <w:rPr>
          <w:rFonts w:eastAsia="MS Mincho"/>
          <w:szCs w:val="22"/>
          <w:lang w:val="en-US"/>
        </w:rPr>
        <w:t xml:space="preserve">, </w:t>
      </w:r>
      <w:r w:rsidRPr="009978E3">
        <w:rPr>
          <w:rFonts w:eastAsia="MS Mincho"/>
          <w:i/>
          <w:szCs w:val="22"/>
          <w:lang w:val="en-US"/>
        </w:rPr>
        <w:t xml:space="preserve">Madrepora </w:t>
      </w:r>
      <w:r>
        <w:rPr>
          <w:rFonts w:eastAsia="MS Mincho"/>
          <w:i/>
          <w:szCs w:val="22"/>
          <w:lang w:val="en-US"/>
        </w:rPr>
        <w:t>oculate)</w:t>
      </w:r>
    </w:p>
    <w:p w14:paraId="2C987604" w14:textId="77777777" w:rsidR="006B3F46" w:rsidRPr="009978E3" w:rsidRDefault="006B3F46" w:rsidP="006B3F46">
      <w:pPr>
        <w:pStyle w:val="ListParagraph"/>
        <w:numPr>
          <w:ilvl w:val="0"/>
          <w:numId w:val="31"/>
        </w:numPr>
        <w:ind w:leftChars="0"/>
        <w:contextualSpacing/>
        <w:rPr>
          <w:rFonts w:eastAsia="MS Mincho"/>
          <w:szCs w:val="22"/>
          <w:lang w:val="en-US"/>
        </w:rPr>
      </w:pPr>
      <w:r w:rsidRPr="009978E3">
        <w:rPr>
          <w:rFonts w:eastAsia="MS Mincho"/>
          <w:szCs w:val="22"/>
          <w:lang w:val="en-US"/>
        </w:rPr>
        <w:t>sea urchin</w:t>
      </w:r>
      <w:r w:rsidRPr="009978E3">
        <w:rPr>
          <w:rFonts w:eastAsia="MS Mincho"/>
          <w:i/>
          <w:szCs w:val="22"/>
          <w:lang w:val="en-US"/>
        </w:rPr>
        <w:t xml:space="preserve"> </w:t>
      </w:r>
      <w:r>
        <w:rPr>
          <w:rFonts w:eastAsia="MS Mincho"/>
          <w:i/>
          <w:szCs w:val="22"/>
          <w:lang w:val="en-US"/>
        </w:rPr>
        <w:t>(</w:t>
      </w:r>
      <w:r w:rsidRPr="009978E3">
        <w:rPr>
          <w:rFonts w:eastAsia="MS Mincho"/>
          <w:i/>
          <w:szCs w:val="22"/>
          <w:lang w:val="en-US"/>
        </w:rPr>
        <w:t>Centrostephanus longispinus</w:t>
      </w:r>
      <w:r>
        <w:rPr>
          <w:rFonts w:eastAsia="MS Mincho"/>
          <w:i/>
          <w:szCs w:val="22"/>
          <w:lang w:val="en-US"/>
        </w:rPr>
        <w:t>)</w:t>
      </w:r>
      <w:r w:rsidRPr="009978E3">
        <w:rPr>
          <w:rFonts w:eastAsia="MS Mincho"/>
          <w:i/>
          <w:szCs w:val="22"/>
          <w:lang w:val="en-US"/>
        </w:rPr>
        <w:t xml:space="preserve"> </w:t>
      </w:r>
    </w:p>
    <w:p w14:paraId="6FF448E6" w14:textId="77777777" w:rsidR="006B3F46" w:rsidRPr="009978E3" w:rsidRDefault="006B3F46" w:rsidP="006B3F46">
      <w:pPr>
        <w:pStyle w:val="ListParagraph"/>
        <w:numPr>
          <w:ilvl w:val="0"/>
          <w:numId w:val="31"/>
        </w:numPr>
        <w:ind w:leftChars="0"/>
        <w:contextualSpacing/>
        <w:rPr>
          <w:rFonts w:eastAsia="MS Mincho"/>
          <w:szCs w:val="22"/>
          <w:lang w:val="en-US"/>
        </w:rPr>
      </w:pPr>
      <w:r w:rsidRPr="009978E3">
        <w:rPr>
          <w:rFonts w:eastAsia="MS Mincho"/>
          <w:szCs w:val="22"/>
          <w:lang w:val="en-US"/>
        </w:rPr>
        <w:t xml:space="preserve">turtles </w:t>
      </w:r>
      <w:r>
        <w:rPr>
          <w:rFonts w:eastAsia="MS Mincho"/>
          <w:szCs w:val="22"/>
          <w:lang w:val="en-US"/>
        </w:rPr>
        <w:t>(</w:t>
      </w:r>
      <w:r w:rsidRPr="009978E3">
        <w:rPr>
          <w:rFonts w:eastAsia="MS Mincho"/>
          <w:i/>
          <w:szCs w:val="22"/>
          <w:lang w:val="en-US"/>
        </w:rPr>
        <w:t>Caretta caretta</w:t>
      </w:r>
      <w:r w:rsidRPr="009978E3">
        <w:rPr>
          <w:rFonts w:eastAsia="MS Mincho"/>
          <w:szCs w:val="22"/>
          <w:lang w:val="en-US"/>
        </w:rPr>
        <w:t xml:space="preserve"> and </w:t>
      </w:r>
      <w:r w:rsidRPr="009978E3">
        <w:rPr>
          <w:rFonts w:eastAsia="MS Mincho"/>
          <w:i/>
          <w:szCs w:val="22"/>
          <w:lang w:val="en-US"/>
        </w:rPr>
        <w:t>Dermochelys coriacea</w:t>
      </w:r>
      <w:r>
        <w:rPr>
          <w:rFonts w:eastAsia="MS Mincho"/>
          <w:i/>
          <w:szCs w:val="22"/>
          <w:lang w:val="en-US"/>
        </w:rPr>
        <w:t>)</w:t>
      </w:r>
      <w:r w:rsidRPr="009978E3">
        <w:rPr>
          <w:rFonts w:eastAsia="MS Mincho"/>
          <w:szCs w:val="22"/>
          <w:lang w:val="en-US"/>
        </w:rPr>
        <w:t xml:space="preserve">. </w:t>
      </w:r>
    </w:p>
    <w:p w14:paraId="7BD36C27" w14:textId="77777777" w:rsidR="006B3F46" w:rsidRPr="009978E3" w:rsidRDefault="006B3F46" w:rsidP="002E4B39">
      <w:pPr>
        <w:suppressLineNumbers/>
        <w:spacing w:before="120" w:after="120"/>
        <w:jc w:val="both"/>
        <w:rPr>
          <w:rFonts w:eastAsia="MS Mincho"/>
          <w:sz w:val="22"/>
          <w:szCs w:val="22"/>
          <w:lang w:val="en-US"/>
        </w:rPr>
      </w:pPr>
      <w:r w:rsidRPr="009978E3">
        <w:rPr>
          <w:rFonts w:eastAsia="MS Mincho"/>
          <w:sz w:val="22"/>
          <w:szCs w:val="22"/>
          <w:lang w:val="en-US"/>
        </w:rPr>
        <w:t>Other examples of species under CITES Appendix I are:</w:t>
      </w:r>
    </w:p>
    <w:p w14:paraId="78E91318" w14:textId="77777777" w:rsidR="006B3F46" w:rsidRPr="009978E3" w:rsidRDefault="006B3F46" w:rsidP="006B3F46">
      <w:pPr>
        <w:pStyle w:val="ListParagraph"/>
        <w:numPr>
          <w:ilvl w:val="0"/>
          <w:numId w:val="32"/>
        </w:numPr>
        <w:ind w:leftChars="0" w:left="709"/>
        <w:contextualSpacing/>
        <w:rPr>
          <w:rFonts w:eastAsia="MS Mincho"/>
          <w:szCs w:val="22"/>
          <w:lang w:val="en-US"/>
        </w:rPr>
      </w:pPr>
      <w:r w:rsidRPr="009978E3">
        <w:rPr>
          <w:rFonts w:eastAsia="MS Mincho"/>
          <w:szCs w:val="22"/>
          <w:lang w:val="en-US"/>
        </w:rPr>
        <w:t xml:space="preserve">cetaceans </w:t>
      </w:r>
      <w:r>
        <w:rPr>
          <w:rFonts w:eastAsia="MS Mincho"/>
          <w:szCs w:val="22"/>
          <w:lang w:val="en-US"/>
        </w:rPr>
        <w:t>(</w:t>
      </w:r>
      <w:r w:rsidRPr="009978E3">
        <w:rPr>
          <w:rFonts w:eastAsia="MS Mincho"/>
          <w:i/>
          <w:szCs w:val="22"/>
          <w:lang w:val="en-US"/>
        </w:rPr>
        <w:t>Balaenoptera borealis, Balaenoptera musculus, Balaenoptera physalus, Megaptera novaeangliae</w:t>
      </w:r>
      <w:r w:rsidRPr="009978E3">
        <w:rPr>
          <w:rFonts w:eastAsia="MS Mincho"/>
          <w:szCs w:val="22"/>
          <w:lang w:val="en-US"/>
        </w:rPr>
        <w:t>,</w:t>
      </w:r>
      <w:r w:rsidRPr="009978E3">
        <w:rPr>
          <w:szCs w:val="22"/>
        </w:rPr>
        <w:t xml:space="preserve"> </w:t>
      </w:r>
      <w:r w:rsidRPr="009978E3">
        <w:rPr>
          <w:rFonts w:eastAsia="MS Mincho"/>
          <w:i/>
          <w:szCs w:val="22"/>
          <w:lang w:val="en-US"/>
        </w:rPr>
        <w:t>Physeter macrocephalus</w:t>
      </w:r>
      <w:r w:rsidRPr="009978E3">
        <w:rPr>
          <w:rFonts w:eastAsia="MS Mincho"/>
          <w:szCs w:val="22"/>
          <w:lang w:val="en-US"/>
        </w:rPr>
        <w:t xml:space="preserve">, </w:t>
      </w:r>
      <w:r w:rsidRPr="009978E3">
        <w:rPr>
          <w:rFonts w:eastAsia="MS Mincho"/>
          <w:i/>
          <w:szCs w:val="22"/>
          <w:lang w:val="en-US"/>
        </w:rPr>
        <w:t>Tursiops truncates</w:t>
      </w:r>
      <w:r>
        <w:rPr>
          <w:rFonts w:eastAsia="MS Mincho"/>
          <w:i/>
          <w:szCs w:val="22"/>
          <w:lang w:val="en-US"/>
        </w:rPr>
        <w:t>)</w:t>
      </w:r>
    </w:p>
    <w:p w14:paraId="208E7489" w14:textId="77777777" w:rsidR="006B3F46" w:rsidRPr="009978E3" w:rsidRDefault="006B3F46" w:rsidP="006B3F46">
      <w:pPr>
        <w:pStyle w:val="ListParagraph"/>
        <w:numPr>
          <w:ilvl w:val="0"/>
          <w:numId w:val="32"/>
        </w:numPr>
        <w:ind w:leftChars="0" w:left="709"/>
        <w:contextualSpacing/>
        <w:rPr>
          <w:rFonts w:eastAsia="MS Mincho"/>
          <w:szCs w:val="22"/>
          <w:lang w:val="en-US"/>
        </w:rPr>
      </w:pPr>
      <w:r w:rsidRPr="009978E3">
        <w:rPr>
          <w:rFonts w:eastAsia="MS Mincho"/>
          <w:szCs w:val="22"/>
          <w:lang w:val="en-US"/>
        </w:rPr>
        <w:t xml:space="preserve">turtles </w:t>
      </w:r>
      <w:r>
        <w:rPr>
          <w:rFonts w:eastAsia="MS Mincho"/>
          <w:szCs w:val="22"/>
          <w:lang w:val="en-US"/>
        </w:rPr>
        <w:t>(</w:t>
      </w:r>
      <w:r w:rsidRPr="009978E3">
        <w:rPr>
          <w:rFonts w:eastAsia="MS Mincho"/>
          <w:i/>
          <w:szCs w:val="22"/>
          <w:lang w:val="en-US"/>
        </w:rPr>
        <w:t>Caretta caretta</w:t>
      </w:r>
      <w:r w:rsidRPr="009978E3">
        <w:rPr>
          <w:rFonts w:eastAsia="MS Mincho"/>
          <w:szCs w:val="22"/>
          <w:lang w:val="en-US"/>
        </w:rPr>
        <w:t xml:space="preserve">, </w:t>
      </w:r>
      <w:r w:rsidRPr="009978E3">
        <w:rPr>
          <w:rFonts w:eastAsia="MS Mincho"/>
          <w:i/>
          <w:szCs w:val="22"/>
          <w:lang w:val="en-US"/>
        </w:rPr>
        <w:t>Dermochelys coriacea</w:t>
      </w:r>
      <w:r w:rsidRPr="009978E3">
        <w:rPr>
          <w:rFonts w:eastAsia="MS Mincho"/>
          <w:szCs w:val="22"/>
          <w:lang w:val="en-US"/>
        </w:rPr>
        <w:t>,</w:t>
      </w:r>
      <w:r w:rsidRPr="009978E3">
        <w:rPr>
          <w:szCs w:val="22"/>
        </w:rPr>
        <w:t xml:space="preserve"> </w:t>
      </w:r>
      <w:r w:rsidRPr="009978E3">
        <w:rPr>
          <w:rFonts w:eastAsia="MS Mincho"/>
          <w:i/>
          <w:szCs w:val="22"/>
          <w:lang w:val="en-US"/>
        </w:rPr>
        <w:t>Eretmochelys imbricata</w:t>
      </w:r>
      <w:r w:rsidRPr="009978E3">
        <w:rPr>
          <w:rFonts w:eastAsia="MS Mincho"/>
          <w:szCs w:val="22"/>
          <w:lang w:val="en-US"/>
        </w:rPr>
        <w:t xml:space="preserve"> and </w:t>
      </w:r>
      <w:r w:rsidRPr="009978E3">
        <w:rPr>
          <w:rFonts w:eastAsia="MS Mincho"/>
          <w:i/>
          <w:szCs w:val="22"/>
          <w:lang w:val="en-US"/>
        </w:rPr>
        <w:t>Lepidochelys kempii</w:t>
      </w:r>
      <w:r>
        <w:rPr>
          <w:rFonts w:eastAsia="MS Mincho"/>
          <w:i/>
          <w:szCs w:val="22"/>
          <w:lang w:val="en-US"/>
        </w:rPr>
        <w:t>)</w:t>
      </w:r>
    </w:p>
    <w:p w14:paraId="14196624" w14:textId="77777777" w:rsidR="006B3F46" w:rsidRPr="009978E3" w:rsidRDefault="006B3F46" w:rsidP="006B3F46">
      <w:pPr>
        <w:pStyle w:val="ListParagraph"/>
        <w:numPr>
          <w:ilvl w:val="0"/>
          <w:numId w:val="32"/>
        </w:numPr>
        <w:ind w:leftChars="0" w:left="709"/>
        <w:contextualSpacing/>
        <w:rPr>
          <w:rFonts w:eastAsia="MS Mincho"/>
          <w:szCs w:val="22"/>
          <w:lang w:val="en-US"/>
        </w:rPr>
      </w:pPr>
      <w:r w:rsidRPr="009978E3">
        <w:rPr>
          <w:rFonts w:eastAsia="MS Mincho"/>
          <w:szCs w:val="22"/>
          <w:lang w:val="en-US"/>
        </w:rPr>
        <w:t xml:space="preserve">saw-fish </w:t>
      </w:r>
      <w:r>
        <w:rPr>
          <w:rFonts w:eastAsia="MS Mincho"/>
          <w:szCs w:val="22"/>
          <w:lang w:val="en-US"/>
        </w:rPr>
        <w:t>(</w:t>
      </w:r>
      <w:r w:rsidRPr="009978E3">
        <w:rPr>
          <w:i/>
          <w:szCs w:val="22"/>
        </w:rPr>
        <w:t>Pristis pristis</w:t>
      </w:r>
      <w:r>
        <w:rPr>
          <w:i/>
          <w:szCs w:val="22"/>
        </w:rPr>
        <w:t>)</w:t>
      </w:r>
    </w:p>
    <w:p w14:paraId="2D7039A9" w14:textId="77777777" w:rsidR="006B3F46" w:rsidRPr="009978E3" w:rsidRDefault="006B3F46" w:rsidP="00907941">
      <w:pPr>
        <w:ind w:left="720"/>
        <w:jc w:val="both"/>
        <w:rPr>
          <w:rFonts w:eastAsia="MS Mincho"/>
          <w:i/>
          <w:sz w:val="22"/>
          <w:szCs w:val="22"/>
          <w:lang w:val="en-US"/>
        </w:rPr>
      </w:pPr>
    </w:p>
    <w:p w14:paraId="4560E648"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Examples of species under CITES Appendix I are (CITES</w:t>
      </w:r>
      <w:r w:rsidRPr="009978E3">
        <w:rPr>
          <w:sz w:val="22"/>
          <w:szCs w:val="22"/>
        </w:rPr>
        <w:t xml:space="preserve"> </w:t>
      </w:r>
      <w:r w:rsidRPr="009978E3">
        <w:rPr>
          <w:rFonts w:eastAsia="MS Mincho"/>
          <w:sz w:val="22"/>
          <w:szCs w:val="22"/>
          <w:lang w:val="en-US"/>
        </w:rPr>
        <w:t xml:space="preserve">Appendix II) </w:t>
      </w:r>
    </w:p>
    <w:p w14:paraId="316F227D" w14:textId="77777777" w:rsidR="006B3F46" w:rsidRPr="009978E3" w:rsidRDefault="006B3F46" w:rsidP="006B3F46">
      <w:pPr>
        <w:pStyle w:val="ListParagraph"/>
        <w:numPr>
          <w:ilvl w:val="0"/>
          <w:numId w:val="33"/>
        </w:numPr>
        <w:ind w:leftChars="0" w:left="709"/>
        <w:contextualSpacing/>
        <w:rPr>
          <w:rFonts w:eastAsia="MS Mincho"/>
          <w:szCs w:val="22"/>
          <w:lang w:val="fr-CA"/>
        </w:rPr>
      </w:pPr>
      <w:r w:rsidRPr="009978E3">
        <w:rPr>
          <w:rFonts w:eastAsia="MS Mincho"/>
          <w:szCs w:val="22"/>
          <w:lang w:val="fr-CA"/>
        </w:rPr>
        <w:t xml:space="preserve">sharks </w:t>
      </w:r>
      <w:r>
        <w:rPr>
          <w:rFonts w:eastAsia="MS Mincho"/>
          <w:szCs w:val="22"/>
          <w:lang w:val="fr-CA"/>
        </w:rPr>
        <w:t>(</w:t>
      </w:r>
      <w:r w:rsidRPr="009978E3">
        <w:rPr>
          <w:rFonts w:eastAsia="MS Mincho"/>
          <w:i/>
          <w:szCs w:val="22"/>
          <w:lang w:val="fr-CA"/>
        </w:rPr>
        <w:t>Lamna nasus</w:t>
      </w:r>
      <w:r w:rsidRPr="009978E3">
        <w:rPr>
          <w:rFonts w:eastAsia="MS Mincho"/>
          <w:szCs w:val="22"/>
          <w:lang w:val="fr-CA"/>
        </w:rPr>
        <w:t xml:space="preserve">, </w:t>
      </w:r>
      <w:r w:rsidRPr="009978E3">
        <w:rPr>
          <w:rFonts w:eastAsia="MS Mincho"/>
          <w:i/>
          <w:szCs w:val="22"/>
          <w:lang w:val="fr-CA"/>
        </w:rPr>
        <w:t>Carcharodon carcharias</w:t>
      </w:r>
      <w:r w:rsidRPr="009978E3">
        <w:rPr>
          <w:rFonts w:eastAsia="MS Mincho"/>
          <w:szCs w:val="22"/>
          <w:lang w:val="fr-CA"/>
        </w:rPr>
        <w:t xml:space="preserve">, </w:t>
      </w:r>
      <w:r w:rsidRPr="009978E3">
        <w:rPr>
          <w:rFonts w:eastAsia="MS Mincho"/>
          <w:i/>
          <w:szCs w:val="22"/>
          <w:lang w:val="fr-CA"/>
        </w:rPr>
        <w:t>Cetorhinus maximus</w:t>
      </w:r>
      <w:r w:rsidRPr="009978E3">
        <w:rPr>
          <w:rFonts w:eastAsia="MS Mincho"/>
          <w:szCs w:val="22"/>
          <w:lang w:val="fr-CA"/>
        </w:rPr>
        <w:t xml:space="preserve">, </w:t>
      </w:r>
      <w:r w:rsidRPr="009978E3">
        <w:rPr>
          <w:rFonts w:eastAsia="MS Mincho"/>
          <w:i/>
          <w:szCs w:val="22"/>
          <w:lang w:val="fr-CA"/>
        </w:rPr>
        <w:t>Sphyrna zygaena</w:t>
      </w:r>
      <w:r>
        <w:rPr>
          <w:rFonts w:eastAsia="MS Mincho"/>
          <w:i/>
          <w:szCs w:val="22"/>
          <w:lang w:val="fr-CA"/>
        </w:rPr>
        <w:t>)</w:t>
      </w:r>
      <w:r w:rsidRPr="009978E3">
        <w:rPr>
          <w:rFonts w:eastAsia="MS Mincho"/>
          <w:szCs w:val="22"/>
          <w:lang w:val="fr-CA"/>
        </w:rPr>
        <w:t xml:space="preserve"> </w:t>
      </w:r>
    </w:p>
    <w:p w14:paraId="0F8AD015"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 xml:space="preserve">ray </w:t>
      </w:r>
      <w:r>
        <w:rPr>
          <w:rFonts w:eastAsia="MS Mincho"/>
          <w:szCs w:val="22"/>
          <w:lang w:val="en-US"/>
        </w:rPr>
        <w:t>(</w:t>
      </w:r>
      <w:r w:rsidRPr="009978E3">
        <w:rPr>
          <w:rFonts w:eastAsia="MS Mincho"/>
          <w:i/>
          <w:szCs w:val="22"/>
          <w:lang w:val="en-US"/>
        </w:rPr>
        <w:t>Mobula mobular</w:t>
      </w:r>
      <w:r>
        <w:rPr>
          <w:rFonts w:eastAsia="MS Mincho"/>
          <w:i/>
          <w:szCs w:val="22"/>
          <w:lang w:val="en-US"/>
        </w:rPr>
        <w:t>)</w:t>
      </w:r>
    </w:p>
    <w:p w14:paraId="5B5D71B8"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45 corals</w:t>
      </w:r>
      <w:r w:rsidRPr="009978E3">
        <w:rPr>
          <w:szCs w:val="22"/>
        </w:rPr>
        <w:t xml:space="preserve"> </w:t>
      </w:r>
      <w:r>
        <w:rPr>
          <w:szCs w:val="22"/>
        </w:rPr>
        <w:t>(e.g.</w:t>
      </w:r>
      <w:r w:rsidRPr="0021277B">
        <w:rPr>
          <w:szCs w:val="22"/>
        </w:rPr>
        <w:t>,</w:t>
      </w:r>
      <w:r w:rsidRPr="009978E3">
        <w:rPr>
          <w:szCs w:val="22"/>
        </w:rPr>
        <w:t xml:space="preserve"> </w:t>
      </w:r>
      <w:r w:rsidRPr="009978E3">
        <w:rPr>
          <w:rFonts w:eastAsia="MS Mincho"/>
          <w:i/>
          <w:szCs w:val="22"/>
          <w:lang w:val="en-US"/>
        </w:rPr>
        <w:t>Antipathella subpinnata</w:t>
      </w:r>
      <w:r w:rsidRPr="009978E3">
        <w:rPr>
          <w:rFonts w:eastAsia="MS Mincho"/>
          <w:szCs w:val="22"/>
          <w:lang w:val="en-US"/>
        </w:rPr>
        <w:t xml:space="preserve">, </w:t>
      </w:r>
      <w:r w:rsidRPr="009978E3">
        <w:rPr>
          <w:rFonts w:eastAsia="MS Mincho"/>
          <w:i/>
          <w:szCs w:val="22"/>
          <w:lang w:val="en-US"/>
        </w:rPr>
        <w:t>Aulocyathus atlanticus</w:t>
      </w:r>
      <w:r w:rsidRPr="009978E3">
        <w:rPr>
          <w:rFonts w:eastAsia="MS Mincho"/>
          <w:szCs w:val="22"/>
          <w:lang w:val="en-US"/>
        </w:rPr>
        <w:t xml:space="preserve">, </w:t>
      </w:r>
      <w:r w:rsidRPr="009978E3">
        <w:rPr>
          <w:rFonts w:eastAsia="MS Mincho"/>
          <w:i/>
          <w:szCs w:val="22"/>
          <w:lang w:val="en-US"/>
        </w:rPr>
        <w:t>Caryophyllia ambrosia</w:t>
      </w:r>
      <w:r w:rsidRPr="009978E3">
        <w:rPr>
          <w:rFonts w:eastAsia="MS Mincho"/>
          <w:szCs w:val="22"/>
          <w:lang w:val="en-US"/>
        </w:rPr>
        <w:t xml:space="preserve">, </w:t>
      </w:r>
      <w:r w:rsidRPr="009978E3">
        <w:rPr>
          <w:rFonts w:eastAsia="MS Mincho"/>
          <w:i/>
          <w:szCs w:val="22"/>
          <w:lang w:val="en-US"/>
        </w:rPr>
        <w:t>Desmophyllum dianthus</w:t>
      </w:r>
      <w:r w:rsidRPr="009978E3">
        <w:rPr>
          <w:rFonts w:eastAsia="MS Mincho"/>
          <w:szCs w:val="22"/>
          <w:lang w:val="en-US"/>
        </w:rPr>
        <w:t>,</w:t>
      </w:r>
      <w:r w:rsidRPr="009978E3">
        <w:rPr>
          <w:szCs w:val="22"/>
        </w:rPr>
        <w:t xml:space="preserve"> </w:t>
      </w:r>
      <w:r w:rsidRPr="009978E3">
        <w:rPr>
          <w:rFonts w:eastAsia="MS Mincho"/>
          <w:i/>
          <w:szCs w:val="22"/>
          <w:lang w:val="en-US"/>
        </w:rPr>
        <w:t>Flabellum alabastrum</w:t>
      </w:r>
      <w:r w:rsidRPr="009978E3">
        <w:rPr>
          <w:rFonts w:eastAsia="MS Mincho"/>
          <w:szCs w:val="22"/>
          <w:lang w:val="en-US"/>
        </w:rPr>
        <w:t xml:space="preserve">, </w:t>
      </w:r>
      <w:r w:rsidRPr="009978E3">
        <w:rPr>
          <w:rFonts w:eastAsia="MS Mincho"/>
          <w:i/>
          <w:szCs w:val="22"/>
          <w:lang w:val="en-US"/>
        </w:rPr>
        <w:t>Flabellum angulare</w:t>
      </w:r>
      <w:r w:rsidRPr="009978E3">
        <w:rPr>
          <w:rFonts w:eastAsia="MS Mincho"/>
          <w:szCs w:val="22"/>
          <w:lang w:val="en-US"/>
        </w:rPr>
        <w:t>,</w:t>
      </w:r>
      <w:r w:rsidRPr="009978E3">
        <w:rPr>
          <w:rFonts w:eastAsia="MS Mincho"/>
          <w:i/>
          <w:szCs w:val="22"/>
          <w:lang w:val="en-US"/>
        </w:rPr>
        <w:t xml:space="preserve"> Fungiacyathus fragilis</w:t>
      </w:r>
      <w:r w:rsidRPr="009978E3">
        <w:rPr>
          <w:rFonts w:eastAsia="MS Mincho"/>
          <w:szCs w:val="22"/>
          <w:lang w:val="en-US"/>
        </w:rPr>
        <w:t>,</w:t>
      </w:r>
      <w:r w:rsidRPr="009978E3">
        <w:rPr>
          <w:rFonts w:eastAsia="MS Mincho"/>
          <w:i/>
          <w:szCs w:val="22"/>
          <w:lang w:val="en-US"/>
        </w:rPr>
        <w:t xml:space="preserve"> Lophelia pertusa, Madrepora oculata</w:t>
      </w:r>
      <w:r w:rsidRPr="009978E3">
        <w:rPr>
          <w:rFonts w:eastAsia="MS Mincho"/>
          <w:szCs w:val="22"/>
          <w:lang w:val="en-US"/>
        </w:rPr>
        <w:t xml:space="preserve">, </w:t>
      </w:r>
      <w:r w:rsidRPr="009978E3">
        <w:rPr>
          <w:rFonts w:eastAsia="MS Mincho"/>
          <w:i/>
          <w:szCs w:val="22"/>
          <w:lang w:val="en-US"/>
        </w:rPr>
        <w:t>Schizopathes affinis</w:t>
      </w:r>
      <w:r w:rsidRPr="009978E3">
        <w:rPr>
          <w:rFonts w:eastAsia="MS Mincho"/>
          <w:szCs w:val="22"/>
          <w:lang w:val="en-US"/>
        </w:rPr>
        <w:t xml:space="preserve">, </w:t>
      </w:r>
      <w:r w:rsidRPr="009978E3">
        <w:rPr>
          <w:rFonts w:eastAsia="MS Mincho"/>
          <w:i/>
          <w:szCs w:val="22"/>
          <w:lang w:val="en-US"/>
        </w:rPr>
        <w:t>Solenosmilia variabilis</w:t>
      </w:r>
      <w:r w:rsidRPr="009978E3">
        <w:rPr>
          <w:rFonts w:eastAsia="MS Mincho"/>
          <w:szCs w:val="22"/>
          <w:lang w:val="en-US"/>
        </w:rPr>
        <w:t xml:space="preserve">, </w:t>
      </w:r>
      <w:r w:rsidRPr="009978E3">
        <w:rPr>
          <w:rFonts w:eastAsia="MS Mincho"/>
          <w:i/>
          <w:szCs w:val="22"/>
          <w:lang w:val="en-US"/>
        </w:rPr>
        <w:t>Stauropathes arctica</w:t>
      </w:r>
      <w:r w:rsidRPr="009978E3">
        <w:rPr>
          <w:rFonts w:eastAsia="MS Mincho"/>
          <w:szCs w:val="22"/>
          <w:lang w:val="en-US"/>
        </w:rPr>
        <w:t xml:space="preserve">, </w:t>
      </w:r>
      <w:r w:rsidRPr="009978E3">
        <w:rPr>
          <w:rFonts w:eastAsia="MS Mincho"/>
          <w:i/>
          <w:szCs w:val="22"/>
          <w:lang w:val="en-US"/>
        </w:rPr>
        <w:t>Stephanocyathus moseleyanus</w:t>
      </w:r>
      <w:r>
        <w:rPr>
          <w:rFonts w:eastAsia="MS Mincho"/>
          <w:i/>
          <w:szCs w:val="22"/>
          <w:lang w:val="en-US"/>
        </w:rPr>
        <w:t>)</w:t>
      </w:r>
    </w:p>
    <w:p w14:paraId="2AE0939C"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fishes</w:t>
      </w:r>
      <w:r w:rsidRPr="009978E3">
        <w:rPr>
          <w:szCs w:val="22"/>
        </w:rPr>
        <w:t xml:space="preserve"> </w:t>
      </w:r>
      <w:r>
        <w:rPr>
          <w:szCs w:val="22"/>
        </w:rPr>
        <w:t>(</w:t>
      </w:r>
      <w:r w:rsidRPr="009978E3">
        <w:rPr>
          <w:rFonts w:eastAsia="MS Mincho"/>
          <w:i/>
          <w:szCs w:val="22"/>
          <w:lang w:val="en-US"/>
        </w:rPr>
        <w:t>Hippocampus guttulatus</w:t>
      </w:r>
      <w:r w:rsidRPr="009978E3">
        <w:rPr>
          <w:rFonts w:eastAsia="MS Mincho"/>
          <w:szCs w:val="22"/>
          <w:lang w:val="en-US"/>
        </w:rPr>
        <w:t xml:space="preserve"> and </w:t>
      </w:r>
      <w:r w:rsidRPr="009978E3">
        <w:rPr>
          <w:rFonts w:eastAsia="MS Mincho"/>
          <w:i/>
          <w:szCs w:val="22"/>
          <w:lang w:val="en-US"/>
        </w:rPr>
        <w:t>Hippocampus hippocampus</w:t>
      </w:r>
      <w:r>
        <w:rPr>
          <w:rFonts w:eastAsia="MS Mincho"/>
          <w:i/>
          <w:szCs w:val="22"/>
          <w:lang w:val="en-US"/>
        </w:rPr>
        <w:t>)</w:t>
      </w:r>
    </w:p>
    <w:p w14:paraId="048B9381" w14:textId="77777777" w:rsidR="006B3F46" w:rsidRPr="00EC5399"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whale</w:t>
      </w:r>
      <w:r>
        <w:rPr>
          <w:rFonts w:eastAsia="MS Mincho"/>
          <w:szCs w:val="22"/>
          <w:lang w:val="en-US"/>
        </w:rPr>
        <w:t>s</w:t>
      </w:r>
      <w:r w:rsidRPr="009978E3">
        <w:rPr>
          <w:rFonts w:eastAsia="MS Mincho"/>
          <w:szCs w:val="22"/>
          <w:lang w:val="en-US"/>
        </w:rPr>
        <w:t xml:space="preserve"> </w:t>
      </w:r>
      <w:r>
        <w:rPr>
          <w:rFonts w:eastAsia="MS Mincho"/>
          <w:szCs w:val="22"/>
          <w:lang w:val="en-US"/>
        </w:rPr>
        <w:t>(</w:t>
      </w:r>
      <w:r w:rsidRPr="009978E3">
        <w:rPr>
          <w:rFonts w:eastAsia="MS Mincho"/>
          <w:i/>
          <w:szCs w:val="22"/>
          <w:lang w:val="en-US"/>
        </w:rPr>
        <w:t>Balaenoptera physalus</w:t>
      </w:r>
      <w:r w:rsidRPr="009978E3">
        <w:rPr>
          <w:rFonts w:eastAsia="MS Mincho"/>
          <w:szCs w:val="22"/>
          <w:lang w:val="en-US"/>
        </w:rPr>
        <w:t xml:space="preserve">, </w:t>
      </w:r>
      <w:r w:rsidRPr="009978E3">
        <w:rPr>
          <w:rFonts w:eastAsia="MS Mincho"/>
          <w:i/>
          <w:szCs w:val="22"/>
          <w:lang w:val="en-US"/>
        </w:rPr>
        <w:t>Balaenoptera musculus</w:t>
      </w:r>
      <w:r w:rsidRPr="009978E3">
        <w:rPr>
          <w:rFonts w:eastAsia="MS Mincho"/>
          <w:szCs w:val="22"/>
          <w:lang w:val="en-US"/>
        </w:rPr>
        <w:t xml:space="preserve">, </w:t>
      </w:r>
      <w:r w:rsidRPr="009978E3">
        <w:rPr>
          <w:rFonts w:eastAsia="MS Mincho"/>
          <w:i/>
          <w:szCs w:val="22"/>
          <w:lang w:val="en-US"/>
        </w:rPr>
        <w:t>Balaenoptera borealis</w:t>
      </w:r>
      <w:r w:rsidRPr="009978E3">
        <w:rPr>
          <w:rFonts w:eastAsia="MS Mincho"/>
          <w:szCs w:val="22"/>
          <w:lang w:val="en-US"/>
        </w:rPr>
        <w:t>,</w:t>
      </w:r>
      <w:r w:rsidRPr="009978E3">
        <w:rPr>
          <w:szCs w:val="22"/>
        </w:rPr>
        <w:t xml:space="preserve"> </w:t>
      </w:r>
      <w:r w:rsidRPr="009978E3">
        <w:rPr>
          <w:rFonts w:eastAsia="MS Mincho"/>
          <w:i/>
          <w:szCs w:val="22"/>
          <w:lang w:val="en-US"/>
        </w:rPr>
        <w:t>Megaptera novaeangliae</w:t>
      </w:r>
      <w:r>
        <w:rPr>
          <w:rFonts w:eastAsia="MS Mincho"/>
          <w:i/>
          <w:szCs w:val="22"/>
          <w:lang w:val="en-US"/>
        </w:rPr>
        <w:t>,</w:t>
      </w:r>
      <w:r w:rsidRPr="00F87682">
        <w:rPr>
          <w:rFonts w:eastAsia="MS Mincho"/>
          <w:i/>
          <w:szCs w:val="22"/>
          <w:lang w:val="en-US"/>
        </w:rPr>
        <w:t xml:space="preserve"> </w:t>
      </w:r>
      <w:r w:rsidRPr="009978E3">
        <w:rPr>
          <w:rFonts w:eastAsia="MS Mincho"/>
          <w:i/>
          <w:szCs w:val="22"/>
          <w:lang w:val="en-US"/>
        </w:rPr>
        <w:t>Physeter microcephalus</w:t>
      </w:r>
      <w:r>
        <w:rPr>
          <w:rFonts w:eastAsia="MS Mincho"/>
          <w:i/>
          <w:szCs w:val="22"/>
          <w:lang w:val="en-US"/>
        </w:rPr>
        <w:t>)</w:t>
      </w:r>
    </w:p>
    <w:p w14:paraId="79A66871"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dolphins</w:t>
      </w:r>
      <w:r>
        <w:rPr>
          <w:rFonts w:eastAsia="MS Mincho"/>
          <w:szCs w:val="22"/>
          <w:lang w:val="en-US"/>
        </w:rPr>
        <w:t xml:space="preserve"> (</w:t>
      </w:r>
      <w:r w:rsidRPr="009978E3">
        <w:rPr>
          <w:rFonts w:eastAsia="MS Mincho"/>
          <w:i/>
          <w:szCs w:val="22"/>
          <w:lang w:val="en-US"/>
        </w:rPr>
        <w:t>Delphinus delphis</w:t>
      </w:r>
      <w:r>
        <w:rPr>
          <w:rFonts w:eastAsia="MS Mincho"/>
          <w:i/>
          <w:szCs w:val="22"/>
          <w:lang w:val="en-US"/>
        </w:rPr>
        <w:t>,</w:t>
      </w:r>
      <w:r w:rsidRPr="009978E3">
        <w:rPr>
          <w:szCs w:val="22"/>
        </w:rPr>
        <w:t xml:space="preserve"> </w:t>
      </w:r>
      <w:r w:rsidRPr="009978E3">
        <w:rPr>
          <w:rFonts w:eastAsia="MS Mincho"/>
          <w:i/>
          <w:szCs w:val="22"/>
          <w:lang w:val="en-US"/>
        </w:rPr>
        <w:t>Tursiops truncates</w:t>
      </w:r>
      <w:r>
        <w:rPr>
          <w:rFonts w:eastAsia="MS Mincho"/>
          <w:i/>
          <w:szCs w:val="22"/>
          <w:lang w:val="en-US"/>
        </w:rPr>
        <w:t>)</w:t>
      </w:r>
    </w:p>
    <w:p w14:paraId="0001BA2E" w14:textId="77777777" w:rsidR="006B3F46" w:rsidRPr="00DC50DB" w:rsidRDefault="006B3F46" w:rsidP="006B3F46">
      <w:pPr>
        <w:pStyle w:val="ListParagraph"/>
        <w:numPr>
          <w:ilvl w:val="0"/>
          <w:numId w:val="33"/>
        </w:numPr>
        <w:ind w:leftChars="0" w:left="709"/>
        <w:contextualSpacing/>
        <w:rPr>
          <w:rFonts w:eastAsia="MS Mincho"/>
          <w:szCs w:val="22"/>
          <w:lang w:val="fr-FR"/>
        </w:rPr>
      </w:pPr>
      <w:r w:rsidRPr="00DC50DB">
        <w:rPr>
          <w:rFonts w:eastAsia="MS Mincho"/>
          <w:szCs w:val="22"/>
          <w:lang w:val="fr-FR"/>
        </w:rPr>
        <w:t>turtles</w:t>
      </w:r>
      <w:r w:rsidRPr="00DC50DB">
        <w:rPr>
          <w:rFonts w:eastAsia="MS Mincho"/>
          <w:i/>
          <w:szCs w:val="22"/>
          <w:lang w:val="fr-FR"/>
        </w:rPr>
        <w:t xml:space="preserve"> (Caretta caretta, Dermochelys coriacea)</w:t>
      </w:r>
    </w:p>
    <w:p w14:paraId="5D502564"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 xml:space="preserve">sea urchin </w:t>
      </w:r>
      <w:r>
        <w:rPr>
          <w:rFonts w:eastAsia="MS Mincho"/>
          <w:szCs w:val="22"/>
          <w:lang w:val="en-US"/>
        </w:rPr>
        <w:t>(</w:t>
      </w:r>
      <w:r w:rsidRPr="009978E3">
        <w:rPr>
          <w:rFonts w:eastAsia="MS Mincho"/>
          <w:i/>
          <w:szCs w:val="22"/>
          <w:lang w:val="en-US"/>
        </w:rPr>
        <w:t>Centrostephanus longispinus</w:t>
      </w:r>
      <w:r>
        <w:rPr>
          <w:rFonts w:eastAsia="MS Mincho"/>
          <w:i/>
          <w:szCs w:val="22"/>
          <w:lang w:val="en-US"/>
        </w:rPr>
        <w:t>,</w:t>
      </w:r>
      <w:r w:rsidRPr="009978E3">
        <w:rPr>
          <w:rFonts w:eastAsia="MS Mincho"/>
          <w:szCs w:val="22"/>
          <w:lang w:val="en-US"/>
        </w:rPr>
        <w:t xml:space="preserve"> protected under the EU Habitats Directive</w:t>
      </w:r>
      <w:r>
        <w:rPr>
          <w:rFonts w:eastAsia="MS Mincho"/>
          <w:szCs w:val="22"/>
          <w:lang w:val="en-US"/>
        </w:rPr>
        <w:t>)</w:t>
      </w:r>
    </w:p>
    <w:p w14:paraId="66B74D63"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 xml:space="preserve">anthozoa </w:t>
      </w:r>
      <w:r>
        <w:rPr>
          <w:rFonts w:eastAsia="MS Mincho"/>
          <w:szCs w:val="22"/>
          <w:lang w:val="en-US"/>
        </w:rPr>
        <w:t>(</w:t>
      </w:r>
      <w:r w:rsidRPr="009978E3">
        <w:rPr>
          <w:rFonts w:eastAsia="MS Mincho"/>
          <w:i/>
          <w:szCs w:val="22"/>
          <w:lang w:val="en-US"/>
        </w:rPr>
        <w:t>Astroides calycularis</w:t>
      </w:r>
      <w:r>
        <w:rPr>
          <w:rFonts w:eastAsia="MS Mincho"/>
          <w:i/>
          <w:szCs w:val="22"/>
          <w:lang w:val="en-US"/>
        </w:rPr>
        <w:t>)</w:t>
      </w:r>
    </w:p>
    <w:p w14:paraId="2120B16C"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 xml:space="preserve">crustacean </w:t>
      </w:r>
      <w:r>
        <w:rPr>
          <w:rFonts w:eastAsia="MS Mincho"/>
          <w:szCs w:val="22"/>
          <w:lang w:val="en-US"/>
        </w:rPr>
        <w:t>(</w:t>
      </w:r>
      <w:r w:rsidRPr="009978E3">
        <w:rPr>
          <w:rFonts w:eastAsia="MS Mincho"/>
          <w:i/>
          <w:szCs w:val="22"/>
          <w:lang w:val="en-US"/>
        </w:rPr>
        <w:t>Homarus gammarus</w:t>
      </w:r>
      <w:r w:rsidRPr="009978E3">
        <w:rPr>
          <w:rFonts w:eastAsia="MS Mincho"/>
          <w:szCs w:val="22"/>
          <w:lang w:val="en-US"/>
        </w:rPr>
        <w:t>,</w:t>
      </w:r>
      <w:r w:rsidRPr="009978E3">
        <w:rPr>
          <w:szCs w:val="22"/>
        </w:rPr>
        <w:t xml:space="preserve"> </w:t>
      </w:r>
      <w:r w:rsidRPr="009978E3">
        <w:rPr>
          <w:rFonts w:eastAsia="MS Mincho"/>
          <w:i/>
          <w:szCs w:val="22"/>
          <w:lang w:val="en-US"/>
        </w:rPr>
        <w:t>Maja squinado</w:t>
      </w:r>
      <w:r w:rsidRPr="009978E3">
        <w:rPr>
          <w:rFonts w:eastAsia="MS Mincho"/>
          <w:szCs w:val="22"/>
          <w:lang w:val="en-US"/>
        </w:rPr>
        <w:t xml:space="preserve">, </w:t>
      </w:r>
      <w:r w:rsidRPr="009978E3">
        <w:rPr>
          <w:rFonts w:eastAsia="MS Mincho"/>
          <w:i/>
          <w:szCs w:val="22"/>
          <w:lang w:val="en-US"/>
        </w:rPr>
        <w:t>Pagurus bernhardus</w:t>
      </w:r>
      <w:r w:rsidRPr="009978E3">
        <w:rPr>
          <w:rFonts w:eastAsia="MS Mincho"/>
          <w:szCs w:val="22"/>
          <w:lang w:val="en-US"/>
        </w:rPr>
        <w:t xml:space="preserve">, </w:t>
      </w:r>
      <w:r w:rsidRPr="009978E3">
        <w:rPr>
          <w:rFonts w:eastAsia="MS Mincho"/>
          <w:i/>
          <w:szCs w:val="22"/>
          <w:lang w:val="en-US"/>
        </w:rPr>
        <w:t>Palinurus elephas</w:t>
      </w:r>
      <w:r w:rsidRPr="009978E3">
        <w:rPr>
          <w:rFonts w:eastAsia="MS Mincho"/>
          <w:szCs w:val="22"/>
          <w:lang w:val="en-US"/>
        </w:rPr>
        <w:t xml:space="preserve">, </w:t>
      </w:r>
      <w:r w:rsidRPr="009978E3">
        <w:rPr>
          <w:rFonts w:eastAsia="MS Mincho"/>
          <w:i/>
          <w:szCs w:val="22"/>
          <w:lang w:val="en-US"/>
        </w:rPr>
        <w:t>Scyllarides latus</w:t>
      </w:r>
      <w:r w:rsidRPr="009978E3">
        <w:rPr>
          <w:rFonts w:eastAsia="MS Mincho"/>
          <w:szCs w:val="22"/>
          <w:lang w:val="en-US"/>
        </w:rPr>
        <w:t xml:space="preserve"> and </w:t>
      </w:r>
      <w:r w:rsidRPr="009978E3">
        <w:rPr>
          <w:rFonts w:eastAsia="MS Mincho"/>
          <w:i/>
          <w:szCs w:val="22"/>
          <w:lang w:val="en-US"/>
        </w:rPr>
        <w:t>Scyllarus arctus</w:t>
      </w:r>
      <w:r>
        <w:rPr>
          <w:rFonts w:eastAsia="MS Mincho"/>
          <w:i/>
          <w:szCs w:val="22"/>
          <w:lang w:val="en-US"/>
        </w:rPr>
        <w:t>)</w:t>
      </w:r>
    </w:p>
    <w:p w14:paraId="7E4349A2" w14:textId="77777777" w:rsidR="006B3F46" w:rsidRPr="009978E3" w:rsidRDefault="006B3F46" w:rsidP="006B3F46">
      <w:pPr>
        <w:pStyle w:val="ListParagraph"/>
        <w:numPr>
          <w:ilvl w:val="0"/>
          <w:numId w:val="33"/>
        </w:numPr>
        <w:ind w:leftChars="0" w:left="709"/>
        <w:contextualSpacing/>
        <w:rPr>
          <w:rFonts w:eastAsia="MS Mincho"/>
          <w:szCs w:val="22"/>
          <w:lang w:val="en-US"/>
        </w:rPr>
      </w:pPr>
      <w:r w:rsidRPr="009978E3">
        <w:rPr>
          <w:rFonts w:eastAsia="MS Mincho"/>
          <w:szCs w:val="22"/>
          <w:lang w:val="en-US"/>
        </w:rPr>
        <w:t xml:space="preserve">fish </w:t>
      </w:r>
      <w:r>
        <w:rPr>
          <w:rFonts w:eastAsia="MS Mincho"/>
          <w:szCs w:val="22"/>
          <w:lang w:val="en-US"/>
        </w:rPr>
        <w:t>(</w:t>
      </w:r>
      <w:r w:rsidRPr="009978E3">
        <w:rPr>
          <w:rFonts w:eastAsia="MS Mincho"/>
          <w:i/>
          <w:szCs w:val="22"/>
          <w:lang w:val="en-US"/>
        </w:rPr>
        <w:t>Epinephelus marginatus</w:t>
      </w:r>
      <w:r w:rsidRPr="009978E3">
        <w:rPr>
          <w:rFonts w:eastAsia="MS Mincho"/>
          <w:szCs w:val="22"/>
          <w:lang w:val="en-US"/>
        </w:rPr>
        <w:t xml:space="preserve">, </w:t>
      </w:r>
      <w:r w:rsidRPr="009978E3">
        <w:rPr>
          <w:rFonts w:eastAsia="MS Mincho"/>
          <w:i/>
          <w:szCs w:val="22"/>
          <w:lang w:val="en-US"/>
        </w:rPr>
        <w:t>Pomatoschistus microps</w:t>
      </w:r>
      <w:r w:rsidRPr="009978E3">
        <w:rPr>
          <w:rFonts w:eastAsia="MS Mincho"/>
          <w:szCs w:val="22"/>
          <w:lang w:val="en-US"/>
        </w:rPr>
        <w:t xml:space="preserve">, </w:t>
      </w:r>
      <w:r w:rsidRPr="009978E3">
        <w:rPr>
          <w:rFonts w:eastAsia="MS Mincho"/>
          <w:i/>
          <w:szCs w:val="22"/>
          <w:lang w:val="en-US"/>
        </w:rPr>
        <w:t>Pomatoschistus minutos</w:t>
      </w:r>
      <w:r w:rsidRPr="009978E3">
        <w:rPr>
          <w:rFonts w:eastAsia="MS Mincho"/>
          <w:szCs w:val="22"/>
          <w:lang w:val="en-US"/>
        </w:rPr>
        <w:t xml:space="preserve">, </w:t>
      </w:r>
      <w:r w:rsidRPr="009978E3">
        <w:rPr>
          <w:rFonts w:eastAsia="MS Mincho"/>
          <w:i/>
          <w:szCs w:val="22"/>
          <w:lang w:val="en-US"/>
        </w:rPr>
        <w:t>Syngnathus abaster</w:t>
      </w:r>
      <w:r w:rsidRPr="009978E3">
        <w:rPr>
          <w:rFonts w:eastAsia="MS Mincho"/>
          <w:szCs w:val="22"/>
          <w:lang w:val="en-US"/>
        </w:rPr>
        <w:t xml:space="preserve"> and </w:t>
      </w:r>
      <w:r w:rsidRPr="009978E3">
        <w:rPr>
          <w:rFonts w:eastAsia="MS Mincho"/>
          <w:i/>
          <w:szCs w:val="22"/>
          <w:lang w:val="en-US"/>
        </w:rPr>
        <w:t>Umbrina cirro</w:t>
      </w:r>
      <w:r>
        <w:rPr>
          <w:rFonts w:eastAsia="MS Mincho"/>
          <w:i/>
          <w:szCs w:val="22"/>
          <w:lang w:val="en-US"/>
        </w:rPr>
        <w:t>,</w:t>
      </w:r>
      <w:r w:rsidRPr="009978E3">
        <w:rPr>
          <w:rFonts w:eastAsia="MS Mincho"/>
          <w:szCs w:val="22"/>
          <w:lang w:val="en-US"/>
        </w:rPr>
        <w:t xml:space="preserve"> protected by Annex II of the Bern Convention</w:t>
      </w:r>
      <w:r>
        <w:rPr>
          <w:rFonts w:eastAsia="MS Mincho"/>
          <w:szCs w:val="22"/>
          <w:lang w:val="en-US"/>
        </w:rPr>
        <w:t>)</w:t>
      </w:r>
      <w:r w:rsidRPr="009978E3">
        <w:rPr>
          <w:rFonts w:eastAsia="MS Mincho"/>
          <w:szCs w:val="22"/>
          <w:lang w:val="en-US"/>
        </w:rPr>
        <w:t xml:space="preserve">. </w:t>
      </w:r>
    </w:p>
    <w:p w14:paraId="766CBE0A" w14:textId="77777777" w:rsidR="006B3F46" w:rsidRPr="009978E3" w:rsidRDefault="006B3F46" w:rsidP="00907941">
      <w:pPr>
        <w:jc w:val="both"/>
        <w:rPr>
          <w:rFonts w:eastAsia="MS Mincho"/>
          <w:sz w:val="22"/>
          <w:szCs w:val="22"/>
          <w:lang w:val="en-US"/>
        </w:rPr>
      </w:pPr>
    </w:p>
    <w:p w14:paraId="44C37EF1"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 xml:space="preserve">Also present in the area are </w:t>
      </w:r>
      <w:r w:rsidRPr="009978E3">
        <w:rPr>
          <w:rFonts w:eastAsia="MS Mincho"/>
          <w:sz w:val="22"/>
          <w:szCs w:val="22"/>
          <w:lang w:val="en-US"/>
        </w:rPr>
        <w:t xml:space="preserve">109 species </w:t>
      </w:r>
      <w:r>
        <w:rPr>
          <w:rFonts w:eastAsia="MS Mincho"/>
          <w:sz w:val="22"/>
          <w:szCs w:val="22"/>
          <w:lang w:val="en-US"/>
        </w:rPr>
        <w:t>listed on the</w:t>
      </w:r>
      <w:r w:rsidRPr="009978E3">
        <w:rPr>
          <w:sz w:val="22"/>
          <w:szCs w:val="22"/>
        </w:rPr>
        <w:t xml:space="preserve"> </w:t>
      </w:r>
      <w:r w:rsidRPr="009978E3">
        <w:rPr>
          <w:rFonts w:eastAsia="MS Mincho"/>
          <w:sz w:val="22"/>
          <w:szCs w:val="22"/>
          <w:lang w:val="en-US"/>
        </w:rPr>
        <w:t>IUCN Red List as</w:t>
      </w:r>
      <w:r w:rsidRPr="009978E3">
        <w:rPr>
          <w:sz w:val="22"/>
          <w:szCs w:val="22"/>
        </w:rPr>
        <w:t xml:space="preserve"> </w:t>
      </w:r>
      <w:r w:rsidRPr="009978E3">
        <w:rPr>
          <w:rFonts w:eastAsia="MS Mincho"/>
          <w:sz w:val="22"/>
          <w:szCs w:val="22"/>
          <w:lang w:val="en-US"/>
        </w:rPr>
        <w:t xml:space="preserve">near threatened/vulnerable/endangered/critically endangered, </w:t>
      </w:r>
      <w:r>
        <w:rPr>
          <w:rFonts w:eastAsia="MS Mincho"/>
          <w:sz w:val="22"/>
          <w:szCs w:val="22"/>
          <w:lang w:val="en-US"/>
        </w:rPr>
        <w:t>e.g.,</w:t>
      </w:r>
      <w:r w:rsidRPr="009978E3">
        <w:rPr>
          <w:rFonts w:eastAsia="MS Mincho"/>
          <w:sz w:val="22"/>
          <w:szCs w:val="22"/>
          <w:lang w:val="en-US"/>
        </w:rPr>
        <w:t xml:space="preserve"> 30 cetaceans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Balaenoptera musculus</w:t>
      </w:r>
      <w:r w:rsidRPr="009978E3">
        <w:rPr>
          <w:rFonts w:eastAsia="MS Mincho"/>
          <w:sz w:val="22"/>
          <w:szCs w:val="22"/>
          <w:lang w:val="en-US"/>
        </w:rPr>
        <w:t xml:space="preserve"> and </w:t>
      </w:r>
      <w:r w:rsidRPr="009978E3">
        <w:rPr>
          <w:rFonts w:eastAsia="MS Mincho"/>
          <w:i/>
          <w:sz w:val="22"/>
          <w:szCs w:val="22"/>
          <w:lang w:val="en-US"/>
        </w:rPr>
        <w:t>Balaenoptera borealis</w:t>
      </w:r>
      <w:r w:rsidRPr="009978E3">
        <w:rPr>
          <w:rFonts w:eastAsia="MS Mincho"/>
          <w:sz w:val="22"/>
          <w:szCs w:val="22"/>
          <w:lang w:val="en-US"/>
        </w:rPr>
        <w:t>), six turtles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Caretta caretta</w:t>
      </w:r>
      <w:r w:rsidRPr="009978E3">
        <w:rPr>
          <w:rFonts w:eastAsia="MS Mincho"/>
          <w:sz w:val="22"/>
          <w:szCs w:val="22"/>
          <w:lang w:val="en-US"/>
        </w:rPr>
        <w:t xml:space="preserve"> and </w:t>
      </w:r>
      <w:r w:rsidRPr="009978E3">
        <w:rPr>
          <w:rFonts w:eastAsia="MS Mincho"/>
          <w:i/>
          <w:sz w:val="22"/>
          <w:szCs w:val="22"/>
          <w:lang w:val="en-US"/>
        </w:rPr>
        <w:t>Dermochelys coriacea</w:t>
      </w:r>
      <w:r w:rsidRPr="009978E3">
        <w:rPr>
          <w:rFonts w:eastAsia="MS Mincho"/>
          <w:sz w:val="22"/>
          <w:szCs w:val="22"/>
          <w:lang w:val="en-US"/>
        </w:rPr>
        <w:t xml:space="preserve">), one coral </w:t>
      </w:r>
      <w:r>
        <w:rPr>
          <w:rFonts w:eastAsia="MS Mincho"/>
          <w:sz w:val="22"/>
          <w:szCs w:val="22"/>
          <w:lang w:val="en-US"/>
        </w:rPr>
        <w:t>(</w:t>
      </w:r>
      <w:r w:rsidRPr="009978E3">
        <w:rPr>
          <w:rFonts w:eastAsia="MS Mincho"/>
          <w:i/>
          <w:sz w:val="22"/>
          <w:szCs w:val="22"/>
          <w:lang w:val="en-US"/>
        </w:rPr>
        <w:t xml:space="preserve">Eunicella </w:t>
      </w:r>
      <w:r>
        <w:rPr>
          <w:rFonts w:eastAsia="MS Mincho"/>
          <w:i/>
          <w:sz w:val="22"/>
          <w:szCs w:val="22"/>
          <w:lang w:val="en-US"/>
        </w:rPr>
        <w:t>verrucose)</w:t>
      </w:r>
      <w:r w:rsidRPr="009978E3">
        <w:rPr>
          <w:rFonts w:eastAsia="MS Mincho"/>
          <w:sz w:val="22"/>
          <w:szCs w:val="22"/>
          <w:lang w:val="en-US"/>
        </w:rPr>
        <w:t xml:space="preserve">, one crustacean </w:t>
      </w:r>
      <w:r>
        <w:rPr>
          <w:rFonts w:eastAsia="MS Mincho"/>
          <w:sz w:val="22"/>
          <w:szCs w:val="22"/>
          <w:lang w:val="en-US"/>
        </w:rPr>
        <w:t>(</w:t>
      </w:r>
      <w:r w:rsidRPr="009978E3">
        <w:rPr>
          <w:rFonts w:eastAsia="MS Mincho"/>
          <w:i/>
          <w:sz w:val="22"/>
          <w:szCs w:val="22"/>
          <w:lang w:val="en-US"/>
        </w:rPr>
        <w:t>Palinurus elephas</w:t>
      </w:r>
      <w:r>
        <w:rPr>
          <w:rFonts w:eastAsia="MS Mincho"/>
          <w:i/>
          <w:sz w:val="22"/>
          <w:szCs w:val="22"/>
          <w:lang w:val="en-US"/>
        </w:rPr>
        <w:t>)</w:t>
      </w:r>
      <w:r w:rsidRPr="009978E3">
        <w:rPr>
          <w:rFonts w:eastAsia="MS Mincho"/>
          <w:sz w:val="22"/>
          <w:szCs w:val="22"/>
          <w:lang w:val="en-US"/>
        </w:rPr>
        <w:t>, 37 sharks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Lamna nasus</w:t>
      </w:r>
      <w:r w:rsidRPr="009978E3">
        <w:rPr>
          <w:rFonts w:eastAsia="MS Mincho"/>
          <w:sz w:val="22"/>
          <w:szCs w:val="22"/>
          <w:lang w:val="en-US"/>
        </w:rPr>
        <w:t xml:space="preserve"> and </w:t>
      </w:r>
      <w:r w:rsidRPr="009978E3">
        <w:rPr>
          <w:rFonts w:eastAsia="MS Mincho"/>
          <w:i/>
          <w:sz w:val="22"/>
          <w:szCs w:val="22"/>
          <w:lang w:val="en-US"/>
        </w:rPr>
        <w:t>Carcharhinus brachyurus</w:t>
      </w:r>
      <w:r w:rsidRPr="009978E3">
        <w:rPr>
          <w:rFonts w:eastAsia="MS Mincho"/>
          <w:sz w:val="22"/>
          <w:szCs w:val="22"/>
          <w:lang w:val="en-US"/>
        </w:rPr>
        <w:t>), 13 rays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Dipturus batis</w:t>
      </w:r>
      <w:r w:rsidRPr="009978E3">
        <w:rPr>
          <w:rFonts w:eastAsia="MS Mincho"/>
          <w:sz w:val="22"/>
          <w:szCs w:val="22"/>
          <w:lang w:val="en-US"/>
        </w:rPr>
        <w:t xml:space="preserve"> and </w:t>
      </w:r>
      <w:r w:rsidRPr="009978E3">
        <w:rPr>
          <w:rFonts w:eastAsia="MS Mincho"/>
          <w:i/>
          <w:sz w:val="22"/>
          <w:szCs w:val="22"/>
          <w:lang w:val="en-US"/>
        </w:rPr>
        <w:t>Gymnura altavela</w:t>
      </w:r>
      <w:r w:rsidRPr="009978E3">
        <w:rPr>
          <w:rFonts w:eastAsia="MS Mincho"/>
          <w:sz w:val="22"/>
          <w:szCs w:val="22"/>
          <w:lang w:val="en-US"/>
        </w:rPr>
        <w:t>), 15 fishes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Epinephelus marginatus</w:t>
      </w:r>
      <w:r w:rsidRPr="009978E3">
        <w:rPr>
          <w:rFonts w:eastAsia="MS Mincho"/>
          <w:sz w:val="22"/>
          <w:szCs w:val="22"/>
          <w:lang w:val="en-US"/>
        </w:rPr>
        <w:t xml:space="preserve"> and </w:t>
      </w:r>
      <w:r w:rsidRPr="009978E3">
        <w:rPr>
          <w:rFonts w:eastAsia="MS Mincho"/>
          <w:i/>
          <w:sz w:val="22"/>
          <w:szCs w:val="22"/>
          <w:lang w:val="en-US"/>
        </w:rPr>
        <w:t>Mola mola</w:t>
      </w:r>
      <w:r w:rsidRPr="009978E3">
        <w:rPr>
          <w:rFonts w:eastAsia="MS Mincho"/>
          <w:sz w:val="22"/>
          <w:szCs w:val="22"/>
          <w:lang w:val="en-US"/>
        </w:rPr>
        <w:t>)</w:t>
      </w:r>
      <w:r w:rsidRPr="009978E3">
        <w:rPr>
          <w:rFonts w:eastAsia="MS Mincho"/>
          <w:i/>
          <w:sz w:val="22"/>
          <w:szCs w:val="22"/>
          <w:lang w:val="en-US"/>
        </w:rPr>
        <w:t xml:space="preserve">, </w:t>
      </w:r>
      <w:r>
        <w:rPr>
          <w:rFonts w:eastAsia="MS Mincho"/>
          <w:sz w:val="22"/>
          <w:szCs w:val="22"/>
          <w:lang w:val="en-US"/>
        </w:rPr>
        <w:t>five</w:t>
      </w:r>
      <w:r w:rsidRPr="009978E3">
        <w:rPr>
          <w:rFonts w:eastAsia="MS Mincho"/>
          <w:sz w:val="22"/>
          <w:szCs w:val="22"/>
          <w:lang w:val="en-US"/>
        </w:rPr>
        <w:t xml:space="preserve"> tunas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Thunnus alalunga</w:t>
      </w:r>
      <w:r w:rsidRPr="009978E3">
        <w:rPr>
          <w:rFonts w:eastAsia="MS Mincho"/>
          <w:sz w:val="22"/>
          <w:szCs w:val="22"/>
          <w:lang w:val="en-US"/>
        </w:rPr>
        <w:t xml:space="preserve"> and </w:t>
      </w:r>
      <w:r w:rsidRPr="009978E3">
        <w:rPr>
          <w:rFonts w:eastAsia="MS Mincho"/>
          <w:i/>
          <w:sz w:val="22"/>
          <w:szCs w:val="22"/>
          <w:lang w:val="en-US"/>
        </w:rPr>
        <w:t>Thunnus thynnus</w:t>
      </w:r>
      <w:r w:rsidRPr="009978E3">
        <w:rPr>
          <w:rFonts w:eastAsia="MS Mincho"/>
          <w:sz w:val="22"/>
          <w:szCs w:val="22"/>
          <w:lang w:val="en-US"/>
        </w:rPr>
        <w:t>), one bird</w:t>
      </w:r>
      <w:r w:rsidRPr="009978E3">
        <w:rPr>
          <w:sz w:val="22"/>
          <w:szCs w:val="22"/>
        </w:rPr>
        <w:t xml:space="preserve"> </w:t>
      </w:r>
      <w:r>
        <w:rPr>
          <w:sz w:val="22"/>
          <w:szCs w:val="22"/>
        </w:rPr>
        <w:t>(</w:t>
      </w:r>
      <w:r w:rsidRPr="009978E3">
        <w:rPr>
          <w:rFonts w:eastAsia="MS Mincho"/>
          <w:i/>
          <w:sz w:val="22"/>
          <w:szCs w:val="22"/>
          <w:lang w:val="en-US"/>
        </w:rPr>
        <w:t>Rissa tridactyla</w:t>
      </w:r>
      <w:r>
        <w:rPr>
          <w:rFonts w:eastAsia="MS Mincho"/>
          <w:i/>
          <w:sz w:val="22"/>
          <w:szCs w:val="22"/>
          <w:lang w:val="en-US"/>
        </w:rPr>
        <w:t>)</w:t>
      </w:r>
      <w:r w:rsidRPr="009978E3">
        <w:rPr>
          <w:rFonts w:eastAsia="MS Mincho"/>
          <w:sz w:val="22"/>
          <w:szCs w:val="22"/>
          <w:lang w:val="en-US"/>
        </w:rPr>
        <w:t>. There are also 12 species of birds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 xml:space="preserve">Hydrobates castro </w:t>
      </w:r>
      <w:r w:rsidRPr="009978E3">
        <w:rPr>
          <w:rFonts w:eastAsia="MS Mincho"/>
          <w:sz w:val="22"/>
          <w:szCs w:val="22"/>
          <w:lang w:val="en-US"/>
        </w:rPr>
        <w:t xml:space="preserve">and </w:t>
      </w:r>
      <w:r w:rsidRPr="009978E3">
        <w:rPr>
          <w:rFonts w:eastAsia="MS Mincho"/>
          <w:i/>
          <w:sz w:val="22"/>
          <w:szCs w:val="22"/>
          <w:lang w:val="en-US"/>
        </w:rPr>
        <w:t>Calonectris borealis</w:t>
      </w:r>
      <w:r w:rsidRPr="009978E3">
        <w:rPr>
          <w:rFonts w:eastAsia="MS Mincho"/>
          <w:sz w:val="22"/>
          <w:szCs w:val="22"/>
          <w:lang w:val="en-US"/>
        </w:rPr>
        <w:t>)</w:t>
      </w:r>
      <w:r w:rsidRPr="009978E3">
        <w:rPr>
          <w:rFonts w:eastAsia="MS Mincho"/>
          <w:i/>
          <w:sz w:val="22"/>
          <w:szCs w:val="22"/>
          <w:lang w:val="en-US"/>
        </w:rPr>
        <w:t xml:space="preserve"> </w:t>
      </w:r>
      <w:r w:rsidRPr="009978E3">
        <w:rPr>
          <w:rFonts w:eastAsia="MS Mincho"/>
          <w:sz w:val="22"/>
          <w:szCs w:val="22"/>
          <w:lang w:val="en-US"/>
        </w:rPr>
        <w:t>belonging to Annex I of the European Union Birds Directive.</w:t>
      </w:r>
    </w:p>
    <w:p w14:paraId="148671D4" w14:textId="77777777" w:rsidR="006B3F46" w:rsidRPr="009978E3" w:rsidRDefault="006B3F46" w:rsidP="002E4B39">
      <w:pPr>
        <w:suppressLineNumbers/>
        <w:spacing w:after="120"/>
        <w:jc w:val="both"/>
        <w:rPr>
          <w:rFonts w:eastAsia="MS Mincho"/>
          <w:sz w:val="22"/>
          <w:szCs w:val="22"/>
        </w:rPr>
      </w:pPr>
      <w:r w:rsidRPr="002E4B39">
        <w:rPr>
          <w:rFonts w:eastAsia="MS Mincho"/>
          <w:sz w:val="22"/>
          <w:szCs w:val="22"/>
          <w:lang w:val="en-US"/>
        </w:rPr>
        <w:t>Dedicated</w:t>
      </w:r>
      <w:r w:rsidRPr="009978E3">
        <w:rPr>
          <w:rFonts w:eastAsia="MS Mincho"/>
          <w:bCs/>
          <w:sz w:val="22"/>
          <w:szCs w:val="22"/>
          <w:lang w:val="en-US"/>
        </w:rPr>
        <w:t xml:space="preserve"> surveys for cetacean species from the 2007 </w:t>
      </w:r>
      <w:r w:rsidRPr="009978E3">
        <w:rPr>
          <w:sz w:val="22"/>
          <w:szCs w:val="22"/>
        </w:rPr>
        <w:t xml:space="preserve">Cetacean Offshore Distribution and Abundance (CODA) and </w:t>
      </w:r>
      <w:r w:rsidRPr="009978E3">
        <w:rPr>
          <w:rFonts w:eastAsia="MS Mincho"/>
          <w:bCs/>
          <w:sz w:val="22"/>
          <w:szCs w:val="22"/>
          <w:lang w:val="en-US"/>
        </w:rPr>
        <w:t xml:space="preserve">the 2017 </w:t>
      </w:r>
      <w:r w:rsidRPr="009978E3">
        <w:rPr>
          <w:sz w:val="22"/>
          <w:szCs w:val="22"/>
        </w:rPr>
        <w:t>large-scale surveys for cetaceans in European Atlantic waters (SCANS-III) observed many cetacean species through this area (CODA, 2008</w:t>
      </w:r>
      <w:r>
        <w:rPr>
          <w:sz w:val="22"/>
          <w:szCs w:val="22"/>
        </w:rPr>
        <w:t>;</w:t>
      </w:r>
      <w:r w:rsidRPr="009978E3">
        <w:rPr>
          <w:sz w:val="22"/>
          <w:szCs w:val="22"/>
        </w:rPr>
        <w:t xml:space="preserve"> Hammond </w:t>
      </w:r>
      <w:r w:rsidRPr="0006066A">
        <w:rPr>
          <w:i/>
          <w:sz w:val="22"/>
          <w:szCs w:val="22"/>
        </w:rPr>
        <w:t>et al</w:t>
      </w:r>
      <w:r w:rsidRPr="009978E3">
        <w:rPr>
          <w:sz w:val="22"/>
          <w:szCs w:val="22"/>
        </w:rPr>
        <w:t>., 2017). In particular, modelled density estimates of fin whale (</w:t>
      </w:r>
      <w:r w:rsidRPr="009978E3">
        <w:rPr>
          <w:i/>
          <w:sz w:val="22"/>
          <w:szCs w:val="22"/>
        </w:rPr>
        <w:t>Balaenoptera physalus</w:t>
      </w:r>
      <w:r w:rsidRPr="009978E3">
        <w:rPr>
          <w:sz w:val="22"/>
          <w:szCs w:val="22"/>
        </w:rPr>
        <w:t>) and sperm whales (</w:t>
      </w:r>
      <w:r w:rsidRPr="009978E3">
        <w:rPr>
          <w:i/>
          <w:sz w:val="22"/>
          <w:szCs w:val="22"/>
        </w:rPr>
        <w:t>Physeter macrocephalus</w:t>
      </w:r>
      <w:r w:rsidRPr="009978E3">
        <w:rPr>
          <w:sz w:val="22"/>
          <w:szCs w:val="22"/>
        </w:rPr>
        <w:t xml:space="preserve">) indicate that the areas of the northwest Iberian Peninsula </w:t>
      </w:r>
      <w:r>
        <w:rPr>
          <w:sz w:val="22"/>
          <w:szCs w:val="22"/>
        </w:rPr>
        <w:t xml:space="preserve">likely </w:t>
      </w:r>
      <w:r w:rsidRPr="009978E3">
        <w:rPr>
          <w:sz w:val="22"/>
          <w:szCs w:val="22"/>
        </w:rPr>
        <w:t xml:space="preserve">contain some of the highest densities of these species in European waters (see below). Both fin and sperm whales are migratory species, and seasonally move into and through the area to other known key lifecycle areas (foraging, resting, breeding), such as the inner Bay of Biscay and Biscay Seamounts (Cooke, 2018). </w:t>
      </w:r>
    </w:p>
    <w:p w14:paraId="460C96AA"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There are differences in the proportion of protected species, among the different groups of species. All the bird species observed in this area are protected by the EU Birds Directive, and 86</w:t>
      </w:r>
      <w:r>
        <w:rPr>
          <w:rFonts w:eastAsia="MS Mincho"/>
          <w:sz w:val="22"/>
          <w:szCs w:val="22"/>
          <w:lang w:val="en-US"/>
        </w:rPr>
        <w:t>.</w:t>
      </w:r>
      <w:r w:rsidRPr="009978E3">
        <w:rPr>
          <w:rFonts w:eastAsia="MS Mincho"/>
          <w:sz w:val="22"/>
          <w:szCs w:val="22"/>
          <w:lang w:val="en-US"/>
        </w:rPr>
        <w:t>67</w:t>
      </w:r>
      <w:r>
        <w:rPr>
          <w:rFonts w:eastAsia="MS Mincho"/>
          <w:sz w:val="22"/>
          <w:szCs w:val="22"/>
          <w:lang w:val="en-US"/>
        </w:rPr>
        <w:t xml:space="preserve">  per cent</w:t>
      </w:r>
      <w:r w:rsidRPr="009978E3">
        <w:rPr>
          <w:rFonts w:eastAsia="MS Mincho"/>
          <w:sz w:val="22"/>
          <w:szCs w:val="22"/>
          <w:lang w:val="en-US"/>
        </w:rPr>
        <w:t xml:space="preserve"> belong to annexes I and II. </w:t>
      </w:r>
      <w:r>
        <w:rPr>
          <w:rFonts w:eastAsia="MS Mincho"/>
          <w:sz w:val="22"/>
          <w:szCs w:val="22"/>
          <w:lang w:val="en-US"/>
        </w:rPr>
        <w:t>O</w:t>
      </w:r>
      <w:r w:rsidRPr="009978E3">
        <w:rPr>
          <w:rFonts w:eastAsia="MS Mincho"/>
          <w:sz w:val="22"/>
          <w:szCs w:val="22"/>
          <w:lang w:val="en-US"/>
        </w:rPr>
        <w:t>f the Elasmobranchi</w:t>
      </w:r>
      <w:r>
        <w:rPr>
          <w:rFonts w:eastAsia="MS Mincho"/>
          <w:sz w:val="22"/>
          <w:szCs w:val="22"/>
          <w:lang w:val="en-US"/>
        </w:rPr>
        <w:t>,</w:t>
      </w:r>
      <w:r w:rsidRPr="009978E3">
        <w:rPr>
          <w:rFonts w:eastAsia="MS Mincho"/>
          <w:sz w:val="22"/>
          <w:szCs w:val="22"/>
          <w:lang w:val="en-US"/>
        </w:rPr>
        <w:t xml:space="preserve"> 23</w:t>
      </w:r>
      <w:r>
        <w:rPr>
          <w:rFonts w:eastAsia="MS Mincho"/>
          <w:sz w:val="22"/>
          <w:szCs w:val="22"/>
          <w:lang w:val="en-US"/>
        </w:rPr>
        <w:t>.</w:t>
      </w:r>
      <w:r w:rsidRPr="009978E3">
        <w:rPr>
          <w:rFonts w:eastAsia="MS Mincho"/>
          <w:sz w:val="22"/>
          <w:szCs w:val="22"/>
          <w:lang w:val="en-US"/>
        </w:rPr>
        <w:t>39</w:t>
      </w:r>
      <w:r>
        <w:rPr>
          <w:rFonts w:eastAsia="MS Mincho"/>
          <w:sz w:val="22"/>
          <w:szCs w:val="22"/>
          <w:lang w:val="en-US"/>
        </w:rPr>
        <w:t xml:space="preserve">  per cent</w:t>
      </w:r>
      <w:r w:rsidRPr="009978E3">
        <w:rPr>
          <w:rFonts w:eastAsia="MS Mincho"/>
          <w:sz w:val="22"/>
          <w:szCs w:val="22"/>
          <w:lang w:val="en-US"/>
        </w:rPr>
        <w:t xml:space="preserve"> are listed on the IUCN Red List, with 36</w:t>
      </w:r>
      <w:r>
        <w:rPr>
          <w:rFonts w:eastAsia="MS Mincho"/>
          <w:sz w:val="22"/>
          <w:szCs w:val="22"/>
          <w:lang w:val="en-US"/>
        </w:rPr>
        <w:t>.</w:t>
      </w:r>
      <w:r w:rsidRPr="009978E3">
        <w:rPr>
          <w:rFonts w:eastAsia="MS Mincho"/>
          <w:sz w:val="22"/>
          <w:szCs w:val="22"/>
          <w:lang w:val="en-US"/>
        </w:rPr>
        <w:t>17</w:t>
      </w:r>
      <w:r>
        <w:rPr>
          <w:rFonts w:eastAsia="MS Mincho"/>
          <w:sz w:val="22"/>
          <w:szCs w:val="22"/>
          <w:lang w:val="en-US"/>
        </w:rPr>
        <w:t xml:space="preserve">  per cent</w:t>
      </w:r>
      <w:r w:rsidRPr="009978E3">
        <w:rPr>
          <w:rFonts w:eastAsia="MS Mincho"/>
          <w:sz w:val="22"/>
          <w:szCs w:val="22"/>
          <w:lang w:val="en-US"/>
        </w:rPr>
        <w:t xml:space="preserve"> NT (near threatened), 40</w:t>
      </w:r>
      <w:r>
        <w:rPr>
          <w:rFonts w:eastAsia="MS Mincho"/>
          <w:sz w:val="22"/>
          <w:szCs w:val="22"/>
          <w:lang w:val="en-US"/>
        </w:rPr>
        <w:t>.</w:t>
      </w:r>
      <w:r w:rsidRPr="009978E3">
        <w:rPr>
          <w:rFonts w:eastAsia="MS Mincho"/>
          <w:sz w:val="22"/>
          <w:szCs w:val="22"/>
          <w:lang w:val="en-US"/>
        </w:rPr>
        <w:t>43</w:t>
      </w:r>
      <w:r>
        <w:rPr>
          <w:rFonts w:eastAsia="MS Mincho"/>
          <w:sz w:val="22"/>
          <w:szCs w:val="22"/>
          <w:lang w:val="en-US"/>
        </w:rPr>
        <w:t xml:space="preserve">  per cent</w:t>
      </w:r>
      <w:r w:rsidRPr="009978E3">
        <w:rPr>
          <w:rFonts w:eastAsia="MS Mincho"/>
          <w:sz w:val="22"/>
          <w:szCs w:val="22"/>
          <w:lang w:val="en-US"/>
        </w:rPr>
        <w:t xml:space="preserve"> VUL (vulnerable), 17</w:t>
      </w:r>
      <w:r>
        <w:rPr>
          <w:rFonts w:eastAsia="MS Mincho"/>
          <w:sz w:val="22"/>
          <w:szCs w:val="22"/>
          <w:lang w:val="en-US"/>
        </w:rPr>
        <w:t>.</w:t>
      </w:r>
      <w:r w:rsidRPr="009978E3">
        <w:rPr>
          <w:rFonts w:eastAsia="MS Mincho"/>
          <w:sz w:val="22"/>
          <w:szCs w:val="22"/>
          <w:lang w:val="en-US"/>
        </w:rPr>
        <w:t>02</w:t>
      </w:r>
      <w:r>
        <w:rPr>
          <w:rFonts w:eastAsia="MS Mincho"/>
          <w:sz w:val="22"/>
          <w:szCs w:val="22"/>
          <w:lang w:val="en-US"/>
        </w:rPr>
        <w:t xml:space="preserve">  per cent</w:t>
      </w:r>
      <w:r w:rsidRPr="009978E3">
        <w:rPr>
          <w:rFonts w:eastAsia="MS Mincho"/>
          <w:sz w:val="22"/>
          <w:szCs w:val="22"/>
          <w:lang w:val="en-US"/>
        </w:rPr>
        <w:t xml:space="preserve"> EN (endangered), and 6.38</w:t>
      </w:r>
      <w:r>
        <w:rPr>
          <w:rFonts w:eastAsia="MS Mincho"/>
          <w:sz w:val="22"/>
          <w:szCs w:val="22"/>
          <w:lang w:val="en-US"/>
        </w:rPr>
        <w:t xml:space="preserve">  per cent</w:t>
      </w:r>
      <w:r w:rsidRPr="009978E3">
        <w:rPr>
          <w:rFonts w:eastAsia="MS Mincho"/>
          <w:sz w:val="22"/>
          <w:szCs w:val="22"/>
          <w:lang w:val="en-US"/>
        </w:rPr>
        <w:t xml:space="preserve"> CR (critically endangered); 2</w:t>
      </w:r>
      <w:r>
        <w:rPr>
          <w:rFonts w:eastAsia="MS Mincho"/>
          <w:sz w:val="22"/>
          <w:szCs w:val="22"/>
          <w:lang w:val="en-US"/>
        </w:rPr>
        <w:t>.</w:t>
      </w:r>
      <w:r w:rsidRPr="009978E3">
        <w:rPr>
          <w:rFonts w:eastAsia="MS Mincho"/>
          <w:sz w:val="22"/>
          <w:szCs w:val="22"/>
          <w:lang w:val="en-US"/>
        </w:rPr>
        <w:t>87</w:t>
      </w:r>
      <w:r>
        <w:rPr>
          <w:rFonts w:eastAsia="MS Mincho"/>
          <w:sz w:val="22"/>
          <w:szCs w:val="22"/>
          <w:lang w:val="en-US"/>
        </w:rPr>
        <w:t xml:space="preserve">  per cent</w:t>
      </w:r>
      <w:r w:rsidRPr="009978E3">
        <w:rPr>
          <w:rFonts w:eastAsia="MS Mincho"/>
          <w:sz w:val="22"/>
          <w:szCs w:val="22"/>
          <w:lang w:val="en-US"/>
        </w:rPr>
        <w:t xml:space="preserve"> of fish are classified by the IUCN Red List, with 26</w:t>
      </w:r>
      <w:r>
        <w:rPr>
          <w:rFonts w:eastAsia="MS Mincho"/>
          <w:sz w:val="22"/>
          <w:szCs w:val="22"/>
          <w:lang w:val="en-US"/>
        </w:rPr>
        <w:t>.</w:t>
      </w:r>
      <w:r w:rsidRPr="009978E3">
        <w:rPr>
          <w:rFonts w:eastAsia="MS Mincho"/>
          <w:sz w:val="22"/>
          <w:szCs w:val="22"/>
          <w:lang w:val="en-US"/>
        </w:rPr>
        <w:t>67</w:t>
      </w:r>
      <w:r>
        <w:rPr>
          <w:rFonts w:eastAsia="MS Mincho"/>
          <w:sz w:val="22"/>
          <w:szCs w:val="22"/>
          <w:lang w:val="en-US"/>
        </w:rPr>
        <w:t xml:space="preserve">  per cent</w:t>
      </w:r>
      <w:r w:rsidRPr="009978E3">
        <w:rPr>
          <w:rFonts w:eastAsia="MS Mincho"/>
          <w:sz w:val="22"/>
          <w:szCs w:val="22"/>
          <w:lang w:val="en-US"/>
        </w:rPr>
        <w:t xml:space="preserve"> NT (near threatened), 53</w:t>
      </w:r>
      <w:r>
        <w:rPr>
          <w:rFonts w:eastAsia="MS Mincho"/>
          <w:sz w:val="22"/>
          <w:szCs w:val="22"/>
          <w:lang w:val="en-US"/>
        </w:rPr>
        <w:t>.</w:t>
      </w:r>
      <w:r w:rsidRPr="009978E3">
        <w:rPr>
          <w:rFonts w:eastAsia="MS Mincho"/>
          <w:sz w:val="22"/>
          <w:szCs w:val="22"/>
          <w:lang w:val="en-US"/>
        </w:rPr>
        <w:t>33</w:t>
      </w:r>
      <w:r>
        <w:rPr>
          <w:rFonts w:eastAsia="MS Mincho"/>
          <w:sz w:val="22"/>
          <w:szCs w:val="22"/>
          <w:lang w:val="en-US"/>
        </w:rPr>
        <w:t xml:space="preserve">  per cent</w:t>
      </w:r>
      <w:r w:rsidRPr="009978E3">
        <w:rPr>
          <w:rFonts w:eastAsia="MS Mincho"/>
          <w:sz w:val="22"/>
          <w:szCs w:val="22"/>
          <w:lang w:val="en-US"/>
        </w:rPr>
        <w:t xml:space="preserve"> VUL (vulnerable), 13</w:t>
      </w:r>
      <w:r>
        <w:rPr>
          <w:rFonts w:eastAsia="MS Mincho"/>
          <w:sz w:val="22"/>
          <w:szCs w:val="22"/>
          <w:lang w:val="en-US"/>
        </w:rPr>
        <w:t>.</w:t>
      </w:r>
      <w:r w:rsidRPr="009978E3">
        <w:rPr>
          <w:rFonts w:eastAsia="MS Mincho"/>
          <w:sz w:val="22"/>
          <w:szCs w:val="22"/>
          <w:lang w:val="en-US"/>
        </w:rPr>
        <w:t>3</w:t>
      </w:r>
      <w:r>
        <w:rPr>
          <w:rFonts w:eastAsia="MS Mincho"/>
          <w:sz w:val="22"/>
          <w:szCs w:val="22"/>
          <w:lang w:val="en-US"/>
        </w:rPr>
        <w:t xml:space="preserve">  per cent</w:t>
      </w:r>
      <w:r w:rsidRPr="009978E3">
        <w:rPr>
          <w:rFonts w:eastAsia="MS Mincho"/>
          <w:sz w:val="22"/>
          <w:szCs w:val="22"/>
          <w:lang w:val="en-US"/>
        </w:rPr>
        <w:t xml:space="preserve"> EN (endangered), and 6</w:t>
      </w:r>
      <w:r>
        <w:rPr>
          <w:rFonts w:eastAsia="MS Mincho"/>
          <w:sz w:val="22"/>
          <w:szCs w:val="22"/>
          <w:lang w:val="en-US"/>
        </w:rPr>
        <w:t>.</w:t>
      </w:r>
      <w:r w:rsidRPr="009978E3">
        <w:rPr>
          <w:rFonts w:eastAsia="MS Mincho"/>
          <w:sz w:val="22"/>
          <w:szCs w:val="22"/>
          <w:lang w:val="en-US"/>
        </w:rPr>
        <w:t>67</w:t>
      </w:r>
      <w:r>
        <w:rPr>
          <w:rFonts w:eastAsia="MS Mincho"/>
          <w:sz w:val="22"/>
          <w:szCs w:val="22"/>
          <w:lang w:val="en-US"/>
        </w:rPr>
        <w:t xml:space="preserve"> per cent</w:t>
      </w:r>
      <w:r w:rsidRPr="009978E3">
        <w:rPr>
          <w:rFonts w:eastAsia="MS Mincho"/>
          <w:sz w:val="22"/>
          <w:szCs w:val="22"/>
          <w:lang w:val="en-US"/>
        </w:rPr>
        <w:t xml:space="preserve"> CR (critically endangered).</w:t>
      </w:r>
    </w:p>
    <w:p w14:paraId="5CC82ED7"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Of all the species described for this area, there is a predominance of species belonging to the phylum Annelida, phylum Mollusca, Superclass Gnathostomata (Fish), class Bryozoa, subphylum Crustacea, class Anthozoa, subclass Elasmobranchii. </w:t>
      </w:r>
    </w:p>
    <w:p w14:paraId="21075747"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phylum Annelida is composed almost entirely (94</w:t>
      </w:r>
      <w:r>
        <w:rPr>
          <w:rFonts w:eastAsia="MS Mincho"/>
          <w:sz w:val="22"/>
          <w:szCs w:val="22"/>
          <w:lang w:val="en-US"/>
        </w:rPr>
        <w:t>.</w:t>
      </w:r>
      <w:r w:rsidRPr="009978E3">
        <w:rPr>
          <w:rFonts w:eastAsia="MS Mincho"/>
          <w:sz w:val="22"/>
          <w:szCs w:val="22"/>
          <w:lang w:val="en-US"/>
        </w:rPr>
        <w:t>8</w:t>
      </w:r>
      <w:r>
        <w:rPr>
          <w:rFonts w:eastAsia="MS Mincho"/>
          <w:sz w:val="22"/>
          <w:szCs w:val="22"/>
          <w:lang w:val="en-US"/>
        </w:rPr>
        <w:t xml:space="preserve"> per cent</w:t>
      </w:r>
      <w:r w:rsidRPr="009978E3">
        <w:rPr>
          <w:rFonts w:eastAsia="MS Mincho"/>
          <w:sz w:val="22"/>
          <w:szCs w:val="22"/>
          <w:lang w:val="en-US"/>
        </w:rPr>
        <w:t xml:space="preserve">) </w:t>
      </w:r>
      <w:r>
        <w:rPr>
          <w:rFonts w:eastAsia="MS Mincho"/>
          <w:sz w:val="22"/>
          <w:szCs w:val="22"/>
          <w:lang w:val="en-US"/>
        </w:rPr>
        <w:t>of</w:t>
      </w:r>
      <w:r w:rsidRPr="009978E3">
        <w:rPr>
          <w:rFonts w:eastAsia="MS Mincho"/>
          <w:sz w:val="22"/>
          <w:szCs w:val="22"/>
          <w:lang w:val="en-US"/>
        </w:rPr>
        <w:t xml:space="preserve"> species belonging to the class polychaeta. The second-most abundant is the phylum Mollusca with species belonging to five different classes: Gastropoda (</w:t>
      </w:r>
      <w:r>
        <w:rPr>
          <w:rFonts w:eastAsia="MS Mincho"/>
          <w:sz w:val="22"/>
          <w:szCs w:val="22"/>
          <w:lang w:val="en-US"/>
        </w:rPr>
        <w:t>e.g.,</w:t>
      </w:r>
      <w:r w:rsidRPr="009978E3">
        <w:rPr>
          <w:rFonts w:eastAsia="MS Mincho"/>
          <w:sz w:val="22"/>
          <w:szCs w:val="22"/>
          <w:lang w:val="en-US"/>
        </w:rPr>
        <w:t xml:space="preserve"> </w:t>
      </w:r>
      <w:r w:rsidRPr="009978E3">
        <w:rPr>
          <w:i/>
          <w:sz w:val="22"/>
          <w:szCs w:val="22"/>
        </w:rPr>
        <w:t>Gibbula umbilicalis</w:t>
      </w:r>
      <w:r w:rsidRPr="009978E3">
        <w:rPr>
          <w:rFonts w:eastAsia="MS Mincho"/>
          <w:sz w:val="22"/>
          <w:szCs w:val="22"/>
          <w:lang w:val="en-US"/>
        </w:rPr>
        <w:t>), Bivalvia (</w:t>
      </w:r>
      <w:r>
        <w:rPr>
          <w:rFonts w:eastAsia="MS Mincho"/>
          <w:sz w:val="22"/>
          <w:szCs w:val="22"/>
          <w:lang w:val="en-US"/>
        </w:rPr>
        <w:t>e.g.,</w:t>
      </w:r>
      <w:r w:rsidRPr="009978E3">
        <w:rPr>
          <w:rFonts w:eastAsia="MS Mincho"/>
          <w:sz w:val="22"/>
          <w:szCs w:val="22"/>
          <w:lang w:val="en-US"/>
        </w:rPr>
        <w:t xml:space="preserve"> </w:t>
      </w:r>
      <w:r w:rsidRPr="009978E3">
        <w:rPr>
          <w:i/>
          <w:sz w:val="22"/>
          <w:szCs w:val="22"/>
        </w:rPr>
        <w:t>Crassostrea gigas</w:t>
      </w:r>
      <w:r w:rsidRPr="009978E3">
        <w:rPr>
          <w:rFonts w:eastAsia="MS Mincho"/>
          <w:sz w:val="22"/>
          <w:szCs w:val="22"/>
          <w:lang w:val="en-US"/>
        </w:rPr>
        <w:t>), Cephalopoda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Loligo vulgaris</w:t>
      </w:r>
      <w:r w:rsidRPr="009978E3">
        <w:rPr>
          <w:rFonts w:eastAsia="MS Mincho"/>
          <w:sz w:val="22"/>
          <w:szCs w:val="22"/>
          <w:lang w:val="en-US"/>
        </w:rPr>
        <w:t>), Scaphopoda (</w:t>
      </w:r>
      <w:r>
        <w:rPr>
          <w:rFonts w:eastAsia="MS Mincho"/>
          <w:sz w:val="22"/>
          <w:szCs w:val="22"/>
          <w:lang w:val="en-US"/>
        </w:rPr>
        <w:t xml:space="preserve">e.g., </w:t>
      </w:r>
      <w:r w:rsidRPr="009978E3">
        <w:rPr>
          <w:rFonts w:eastAsia="MS Mincho"/>
          <w:i/>
          <w:sz w:val="22"/>
          <w:szCs w:val="22"/>
          <w:lang w:val="en-US"/>
        </w:rPr>
        <w:t>Cadulus subfusiformis</w:t>
      </w:r>
      <w:r w:rsidRPr="009978E3">
        <w:rPr>
          <w:rFonts w:eastAsia="MS Mincho"/>
          <w:sz w:val="22"/>
          <w:szCs w:val="22"/>
          <w:lang w:val="en-US"/>
        </w:rPr>
        <w:t>), Polyplacophora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Callochiton calcatus</w:t>
      </w:r>
      <w:r w:rsidRPr="009978E3">
        <w:rPr>
          <w:rFonts w:eastAsia="MS Mincho"/>
          <w:sz w:val="22"/>
          <w:szCs w:val="22"/>
          <w:lang w:val="en-US"/>
        </w:rPr>
        <w:t>), a suborder Nudibranchia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Flabellina affinis</w:t>
      </w:r>
      <w:r w:rsidRPr="009978E3">
        <w:rPr>
          <w:rFonts w:eastAsia="MS Mincho"/>
          <w:sz w:val="22"/>
          <w:szCs w:val="22"/>
          <w:lang w:val="en-US"/>
        </w:rPr>
        <w:t>) and order</w:t>
      </w:r>
      <w:r w:rsidRPr="009978E3">
        <w:rPr>
          <w:sz w:val="22"/>
          <w:szCs w:val="22"/>
        </w:rPr>
        <w:t xml:space="preserve"> </w:t>
      </w:r>
      <w:r w:rsidRPr="009978E3">
        <w:rPr>
          <w:rFonts w:eastAsia="MS Mincho"/>
          <w:sz w:val="22"/>
          <w:szCs w:val="22"/>
          <w:lang w:val="en-US"/>
        </w:rPr>
        <w:t>Opisthobranchia (</w:t>
      </w:r>
      <w:r>
        <w:rPr>
          <w:rFonts w:eastAsia="MS Mincho"/>
          <w:sz w:val="22"/>
          <w:szCs w:val="22"/>
          <w:lang w:val="en-US"/>
        </w:rPr>
        <w:t>e.g.,</w:t>
      </w:r>
      <w:r w:rsidRPr="009978E3">
        <w:rPr>
          <w:rFonts w:eastAsia="MS Mincho"/>
          <w:sz w:val="22"/>
          <w:szCs w:val="22"/>
          <w:lang w:val="en-US"/>
        </w:rPr>
        <w:t xml:space="preserve"> </w:t>
      </w:r>
      <w:r w:rsidRPr="009978E3">
        <w:rPr>
          <w:i/>
          <w:sz w:val="22"/>
          <w:szCs w:val="22"/>
        </w:rPr>
        <w:t>Aplysia fasciata</w:t>
      </w:r>
      <w:r w:rsidRPr="009978E3">
        <w:rPr>
          <w:rFonts w:eastAsia="MS Mincho"/>
          <w:sz w:val="22"/>
          <w:szCs w:val="22"/>
          <w:lang w:val="en-US"/>
        </w:rPr>
        <w:t>). The Crustacea subphylum includes many different species from different orders: Decapoda (</w:t>
      </w:r>
      <w:r>
        <w:rPr>
          <w:rFonts w:eastAsia="MS Mincho"/>
          <w:sz w:val="22"/>
          <w:szCs w:val="22"/>
          <w:lang w:val="en-US"/>
        </w:rPr>
        <w:t>e.g.,,</w:t>
      </w:r>
      <w:r w:rsidRPr="009978E3">
        <w:rPr>
          <w:rFonts w:eastAsia="MS Mincho"/>
          <w:sz w:val="22"/>
          <w:szCs w:val="22"/>
          <w:lang w:val="en-US"/>
        </w:rPr>
        <w:t xml:space="preserve"> </w:t>
      </w:r>
      <w:r w:rsidRPr="009978E3">
        <w:rPr>
          <w:i/>
          <w:sz w:val="22"/>
          <w:szCs w:val="22"/>
        </w:rPr>
        <w:t>Scyllarides latus</w:t>
      </w:r>
      <w:r w:rsidRPr="009978E3">
        <w:rPr>
          <w:rFonts w:eastAsia="MS Mincho"/>
          <w:sz w:val="22"/>
          <w:szCs w:val="22"/>
          <w:lang w:val="en-US"/>
        </w:rPr>
        <w:t>), Amphipoda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Ericthonius punctatus</w:t>
      </w:r>
      <w:r w:rsidRPr="009978E3">
        <w:rPr>
          <w:rFonts w:eastAsia="MS Mincho"/>
          <w:sz w:val="22"/>
          <w:szCs w:val="22"/>
          <w:lang w:val="en-US"/>
        </w:rPr>
        <w:t>), Isopoda (</w:t>
      </w:r>
      <w:r>
        <w:rPr>
          <w:rFonts w:eastAsia="MS Mincho"/>
          <w:sz w:val="22"/>
          <w:szCs w:val="22"/>
          <w:lang w:val="en-US"/>
        </w:rPr>
        <w:t>e.g.,</w:t>
      </w:r>
      <w:r w:rsidRPr="009978E3">
        <w:rPr>
          <w:rFonts w:eastAsia="MS Mincho"/>
          <w:sz w:val="22"/>
          <w:szCs w:val="22"/>
          <w:lang w:val="en-US"/>
        </w:rPr>
        <w:t xml:space="preserve"> </w:t>
      </w:r>
      <w:r w:rsidRPr="009978E3">
        <w:rPr>
          <w:i/>
          <w:sz w:val="22"/>
          <w:szCs w:val="22"/>
        </w:rPr>
        <w:t>Zonophryxus grimaldii</w:t>
      </w:r>
      <w:r w:rsidRPr="009978E3">
        <w:rPr>
          <w:rFonts w:eastAsia="MS Mincho"/>
          <w:sz w:val="22"/>
          <w:szCs w:val="22"/>
          <w:lang w:val="en-US"/>
        </w:rPr>
        <w:t>), Cumacea (</w:t>
      </w:r>
      <w:r>
        <w:rPr>
          <w:rFonts w:eastAsia="MS Mincho"/>
          <w:sz w:val="22"/>
          <w:szCs w:val="22"/>
          <w:lang w:val="en-US"/>
        </w:rPr>
        <w:t>e.g.,</w:t>
      </w:r>
      <w:r w:rsidRPr="009978E3">
        <w:rPr>
          <w:rFonts w:eastAsia="MS Mincho"/>
          <w:sz w:val="22"/>
          <w:szCs w:val="22"/>
          <w:lang w:val="en-US"/>
        </w:rPr>
        <w:t xml:space="preserve"> </w:t>
      </w:r>
      <w:r w:rsidRPr="009978E3">
        <w:rPr>
          <w:i/>
          <w:sz w:val="22"/>
          <w:szCs w:val="22"/>
        </w:rPr>
        <w:t>Paralamprops semiornatus</w:t>
      </w:r>
      <w:r w:rsidRPr="009978E3">
        <w:rPr>
          <w:rFonts w:eastAsia="MS Mincho"/>
          <w:sz w:val="22"/>
          <w:szCs w:val="22"/>
          <w:lang w:val="en-US"/>
        </w:rPr>
        <w:t>), Tanaidacea (</w:t>
      </w:r>
      <w:r>
        <w:rPr>
          <w:rFonts w:eastAsia="MS Mincho"/>
          <w:sz w:val="22"/>
          <w:szCs w:val="22"/>
          <w:lang w:val="en-US"/>
        </w:rPr>
        <w:t>e.g.,</w:t>
      </w:r>
      <w:r w:rsidRPr="009978E3">
        <w:rPr>
          <w:rFonts w:eastAsia="MS Mincho"/>
          <w:sz w:val="22"/>
          <w:szCs w:val="22"/>
          <w:lang w:val="en-US"/>
        </w:rPr>
        <w:t xml:space="preserve"> </w:t>
      </w:r>
      <w:r w:rsidRPr="009978E3">
        <w:rPr>
          <w:i/>
          <w:sz w:val="22"/>
          <w:szCs w:val="22"/>
        </w:rPr>
        <w:t>Apseudes latreillei</w:t>
      </w:r>
      <w:r w:rsidRPr="009978E3">
        <w:rPr>
          <w:rFonts w:eastAsia="MS Mincho"/>
          <w:sz w:val="22"/>
          <w:szCs w:val="22"/>
          <w:lang w:val="en-US"/>
        </w:rPr>
        <w:t>), Stomatopoda (</w:t>
      </w:r>
      <w:r>
        <w:rPr>
          <w:rFonts w:eastAsia="MS Mincho"/>
          <w:sz w:val="22"/>
          <w:szCs w:val="22"/>
          <w:lang w:val="en-US"/>
        </w:rPr>
        <w:t>e.g.,</w:t>
      </w:r>
      <w:r w:rsidRPr="009978E3">
        <w:rPr>
          <w:rFonts w:eastAsia="MS Mincho"/>
          <w:sz w:val="22"/>
          <w:szCs w:val="22"/>
          <w:lang w:val="en-US"/>
        </w:rPr>
        <w:t xml:space="preserve"> </w:t>
      </w:r>
      <w:r w:rsidRPr="009978E3">
        <w:rPr>
          <w:i/>
          <w:sz w:val="22"/>
          <w:szCs w:val="22"/>
        </w:rPr>
        <w:t>Pseudosquillisma oculata</w:t>
      </w:r>
      <w:r w:rsidRPr="009978E3">
        <w:rPr>
          <w:rFonts w:eastAsia="MS Mincho"/>
          <w:sz w:val="22"/>
          <w:szCs w:val="22"/>
          <w:lang w:val="en-US"/>
        </w:rPr>
        <w:t>); Subclass: Copepoda (</w:t>
      </w:r>
      <w:r>
        <w:rPr>
          <w:rFonts w:eastAsia="MS Mincho"/>
          <w:sz w:val="22"/>
          <w:szCs w:val="22"/>
          <w:lang w:val="en-US"/>
        </w:rPr>
        <w:t>e.g.,</w:t>
      </w:r>
      <w:r w:rsidRPr="009978E3">
        <w:rPr>
          <w:rFonts w:eastAsia="MS Mincho"/>
          <w:sz w:val="22"/>
          <w:szCs w:val="22"/>
          <w:lang w:val="en-US"/>
        </w:rPr>
        <w:t xml:space="preserve"> </w:t>
      </w:r>
      <w:r w:rsidRPr="009978E3">
        <w:rPr>
          <w:i/>
          <w:sz w:val="22"/>
          <w:szCs w:val="22"/>
        </w:rPr>
        <w:t>Temora longicornis</w:t>
      </w:r>
      <w:r w:rsidRPr="009978E3">
        <w:rPr>
          <w:rFonts w:eastAsia="MS Mincho"/>
          <w:sz w:val="22"/>
          <w:szCs w:val="22"/>
          <w:lang w:val="en-US"/>
        </w:rPr>
        <w:t>); Infraclass: Cirripedia (</w:t>
      </w:r>
      <w:r>
        <w:rPr>
          <w:rFonts w:eastAsia="MS Mincho"/>
          <w:sz w:val="22"/>
          <w:szCs w:val="22"/>
          <w:lang w:val="en-US"/>
        </w:rPr>
        <w:t>e.g.,</w:t>
      </w:r>
      <w:r w:rsidRPr="009978E3">
        <w:rPr>
          <w:rFonts w:eastAsia="MS Mincho"/>
          <w:sz w:val="22"/>
          <w:szCs w:val="22"/>
          <w:lang w:val="en-US"/>
        </w:rPr>
        <w:t xml:space="preserve"> </w:t>
      </w:r>
      <w:r w:rsidRPr="009978E3">
        <w:rPr>
          <w:i/>
          <w:sz w:val="22"/>
          <w:szCs w:val="22"/>
        </w:rPr>
        <w:t>Pollicipes pollicipes</w:t>
      </w:r>
      <w:r w:rsidRPr="009978E3">
        <w:rPr>
          <w:rFonts w:eastAsia="MS Mincho"/>
          <w:sz w:val="22"/>
          <w:szCs w:val="22"/>
          <w:lang w:val="en-US"/>
        </w:rPr>
        <w:t>); Family: Mysidae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Diamysis bahirensis</w:t>
      </w:r>
      <w:r w:rsidRPr="009978E3">
        <w:rPr>
          <w:rFonts w:eastAsia="MS Mincho"/>
          <w:sz w:val="22"/>
          <w:szCs w:val="22"/>
          <w:lang w:val="en-US"/>
        </w:rPr>
        <w:t>), Caprellidae (</w:t>
      </w:r>
      <w:r>
        <w:rPr>
          <w:rFonts w:eastAsia="MS Mincho"/>
          <w:sz w:val="22"/>
          <w:szCs w:val="22"/>
          <w:lang w:val="en-US"/>
        </w:rPr>
        <w:t>e.g.,</w:t>
      </w:r>
      <w:r w:rsidRPr="009978E3">
        <w:rPr>
          <w:sz w:val="22"/>
          <w:szCs w:val="22"/>
        </w:rPr>
        <w:t xml:space="preserve"> </w:t>
      </w:r>
      <w:r w:rsidRPr="009978E3">
        <w:rPr>
          <w:rFonts w:eastAsia="MS Mincho"/>
          <w:i/>
          <w:sz w:val="22"/>
          <w:szCs w:val="22"/>
          <w:lang w:val="en-US"/>
        </w:rPr>
        <w:t>Caprella andreae</w:t>
      </w:r>
      <w:r w:rsidRPr="009978E3">
        <w:rPr>
          <w:rFonts w:eastAsia="MS Mincho"/>
          <w:sz w:val="22"/>
          <w:szCs w:val="22"/>
          <w:lang w:val="en-US"/>
        </w:rPr>
        <w:t>); Class: Ostracoda (</w:t>
      </w:r>
      <w:r>
        <w:rPr>
          <w:rFonts w:eastAsia="MS Mincho"/>
          <w:sz w:val="22"/>
          <w:szCs w:val="22"/>
          <w:lang w:val="en-US"/>
        </w:rPr>
        <w:t>e.g.,</w:t>
      </w:r>
      <w:r w:rsidRPr="009978E3">
        <w:rPr>
          <w:rFonts w:eastAsia="MS Mincho"/>
          <w:sz w:val="22"/>
          <w:szCs w:val="22"/>
          <w:lang w:val="en-US"/>
        </w:rPr>
        <w:t xml:space="preserve"> </w:t>
      </w:r>
      <w:r w:rsidRPr="009978E3">
        <w:rPr>
          <w:i/>
          <w:sz w:val="22"/>
          <w:szCs w:val="22"/>
        </w:rPr>
        <w:t>Munidopsis curvirostra</w:t>
      </w:r>
      <w:r w:rsidRPr="009978E3">
        <w:rPr>
          <w:rFonts w:eastAsia="MS Mincho"/>
          <w:sz w:val="22"/>
          <w:szCs w:val="22"/>
          <w:lang w:val="en-US"/>
        </w:rPr>
        <w:t>), Malacostraca (</w:t>
      </w:r>
      <w:r>
        <w:rPr>
          <w:rFonts w:eastAsia="MS Mincho"/>
          <w:sz w:val="22"/>
          <w:szCs w:val="22"/>
          <w:lang w:val="en-US"/>
        </w:rPr>
        <w:t>e.g.,</w:t>
      </w:r>
      <w:r w:rsidRPr="009978E3">
        <w:rPr>
          <w:rFonts w:eastAsia="MS Mincho"/>
          <w:sz w:val="22"/>
          <w:szCs w:val="22"/>
          <w:lang w:val="en-US"/>
        </w:rPr>
        <w:t xml:space="preserve"> </w:t>
      </w:r>
      <w:r w:rsidRPr="009978E3">
        <w:rPr>
          <w:i/>
          <w:sz w:val="22"/>
          <w:szCs w:val="22"/>
        </w:rPr>
        <w:t>Bathyporeia elkaimi</w:t>
      </w:r>
      <w:r w:rsidRPr="009978E3">
        <w:rPr>
          <w:rFonts w:eastAsia="MS Mincho"/>
          <w:sz w:val="22"/>
          <w:szCs w:val="22"/>
          <w:lang w:val="en-US"/>
        </w:rPr>
        <w:t>). The subclass Elasmobranchii has a dominance of sharks, with a percentage of 68</w:t>
      </w:r>
      <w:r>
        <w:rPr>
          <w:rFonts w:eastAsia="MS Mincho"/>
          <w:sz w:val="22"/>
          <w:szCs w:val="22"/>
          <w:lang w:val="en-US"/>
        </w:rPr>
        <w:t>.</w:t>
      </w:r>
      <w:r w:rsidRPr="009978E3">
        <w:rPr>
          <w:rFonts w:eastAsia="MS Mincho"/>
          <w:sz w:val="22"/>
          <w:szCs w:val="22"/>
          <w:lang w:val="en-US"/>
        </w:rPr>
        <w:t>8.</w:t>
      </w:r>
    </w:p>
    <w:p w14:paraId="2DEFC1ED" w14:textId="61B4615A"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Almost 4</w:t>
      </w:r>
      <w:r>
        <w:rPr>
          <w:rFonts w:eastAsia="MS Mincho"/>
          <w:sz w:val="22"/>
          <w:szCs w:val="22"/>
          <w:lang w:val="en-US"/>
        </w:rPr>
        <w:t xml:space="preserve"> per cent</w:t>
      </w:r>
      <w:r w:rsidRPr="009978E3">
        <w:rPr>
          <w:rFonts w:eastAsia="MS Mincho"/>
          <w:sz w:val="22"/>
          <w:szCs w:val="22"/>
          <w:lang w:val="en-US"/>
        </w:rPr>
        <w:t xml:space="preserve"> of the total species belong to the Anthozoa class, including species of scleractinians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Leptopsammia Formosa</w:t>
      </w:r>
      <w:r w:rsidRPr="009978E3">
        <w:rPr>
          <w:rFonts w:eastAsia="MS Mincho"/>
          <w:sz w:val="22"/>
          <w:szCs w:val="22"/>
          <w:lang w:val="en-US"/>
        </w:rPr>
        <w:t>) and gorgonians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Paramuricea clavata</w:t>
      </w:r>
      <w:r w:rsidRPr="009978E3">
        <w:rPr>
          <w:rFonts w:eastAsia="MS Mincho"/>
          <w:sz w:val="22"/>
          <w:szCs w:val="22"/>
          <w:lang w:val="en-US"/>
        </w:rPr>
        <w:t>). In this area (seamounts and canyons) the gorgonian species were reported to form dense gorgonian coral habitat-forming aggregations, which may represent important feeding and sheltering grounds for seamount fishes and potential shark nurseries (</w:t>
      </w:r>
      <w:r w:rsidRPr="009978E3">
        <w:rPr>
          <w:sz w:val="22"/>
          <w:szCs w:val="22"/>
          <w:lang w:val="en-US"/>
        </w:rPr>
        <w:t>WWF, 2001</w:t>
      </w:r>
      <w:r w:rsidRPr="009978E3">
        <w:rPr>
          <w:rFonts w:eastAsia="MS Mincho"/>
          <w:sz w:val="22"/>
          <w:szCs w:val="22"/>
          <w:lang w:val="en-US"/>
        </w:rPr>
        <w:t xml:space="preserve">; </w:t>
      </w:r>
      <w:r w:rsidRPr="009978E3">
        <w:rPr>
          <w:sz w:val="22"/>
          <w:szCs w:val="22"/>
          <w:lang w:val="en-US"/>
        </w:rPr>
        <w:t>Etnoyer &amp; Warrenchuk, 2007</w:t>
      </w:r>
      <w:r w:rsidRPr="009978E3">
        <w:rPr>
          <w:rFonts w:eastAsia="MS Mincho"/>
          <w:sz w:val="22"/>
          <w:szCs w:val="22"/>
          <w:lang w:val="en-US"/>
        </w:rPr>
        <w:t xml:space="preserve">; </w:t>
      </w:r>
      <w:r w:rsidRPr="009978E3">
        <w:rPr>
          <w:sz w:val="22"/>
          <w:szCs w:val="22"/>
          <w:lang w:val="en-US"/>
        </w:rPr>
        <w:t>OSPAR, 2011</w:t>
      </w:r>
      <w:r w:rsidRPr="009978E3">
        <w:rPr>
          <w:rFonts w:eastAsia="MS Mincho"/>
          <w:sz w:val="22"/>
          <w:szCs w:val="22"/>
          <w:lang w:val="en-US"/>
        </w:rPr>
        <w:t>). Cold-water, deep-sea, habitat</w:t>
      </w:r>
      <w:r>
        <w:rPr>
          <w:rFonts w:eastAsia="MS Mincho"/>
          <w:sz w:val="22"/>
          <w:szCs w:val="22"/>
          <w:lang w:val="en-US"/>
        </w:rPr>
        <w:t>-</w:t>
      </w:r>
      <w:r w:rsidRPr="009978E3">
        <w:rPr>
          <w:rFonts w:eastAsia="MS Mincho"/>
          <w:sz w:val="22"/>
          <w:szCs w:val="22"/>
          <w:lang w:val="en-US"/>
        </w:rPr>
        <w:t>forming corals can shelter higher megafauna in association with the corals than other habitats without coral communities (</w:t>
      </w:r>
      <w:r w:rsidRPr="009978E3">
        <w:rPr>
          <w:sz w:val="22"/>
          <w:szCs w:val="22"/>
          <w:lang w:val="en-US"/>
        </w:rPr>
        <w:t xml:space="preserve">Roberts </w:t>
      </w:r>
      <w:r w:rsidRPr="0006066A">
        <w:rPr>
          <w:i/>
          <w:sz w:val="22"/>
          <w:szCs w:val="22"/>
          <w:lang w:val="en-US"/>
        </w:rPr>
        <w:t>et al</w:t>
      </w:r>
      <w:r w:rsidRPr="009978E3">
        <w:rPr>
          <w:i/>
          <w:sz w:val="22"/>
          <w:szCs w:val="22"/>
          <w:lang w:val="en-US"/>
        </w:rPr>
        <w:t xml:space="preserve">., </w:t>
      </w:r>
      <w:r w:rsidRPr="009978E3">
        <w:rPr>
          <w:sz w:val="22"/>
          <w:szCs w:val="22"/>
          <w:lang w:val="en-US"/>
        </w:rPr>
        <w:t>2006</w:t>
      </w:r>
      <w:r w:rsidRPr="009978E3">
        <w:rPr>
          <w:rFonts w:eastAsia="MS Mincho"/>
          <w:sz w:val="22"/>
          <w:szCs w:val="22"/>
          <w:lang w:val="en-US"/>
        </w:rPr>
        <w:t xml:space="preserve">; </w:t>
      </w:r>
      <w:r w:rsidRPr="009978E3">
        <w:rPr>
          <w:sz w:val="22"/>
          <w:szCs w:val="22"/>
          <w:lang w:val="en-US"/>
        </w:rPr>
        <w:t xml:space="preserve">Mortensen </w:t>
      </w:r>
      <w:r w:rsidRPr="0006066A">
        <w:rPr>
          <w:i/>
          <w:sz w:val="22"/>
          <w:szCs w:val="22"/>
          <w:lang w:val="en-US"/>
        </w:rPr>
        <w:t>et al</w:t>
      </w:r>
      <w:r w:rsidRPr="009978E3">
        <w:rPr>
          <w:i/>
          <w:sz w:val="22"/>
          <w:szCs w:val="22"/>
          <w:lang w:val="en-US"/>
        </w:rPr>
        <w:t xml:space="preserve">., </w:t>
      </w:r>
      <w:r w:rsidRPr="009978E3">
        <w:rPr>
          <w:sz w:val="22"/>
          <w:szCs w:val="22"/>
          <w:lang w:val="en-US"/>
        </w:rPr>
        <w:t>2008</w:t>
      </w:r>
      <w:r w:rsidRPr="009978E3">
        <w:rPr>
          <w:rFonts w:eastAsia="MS Mincho"/>
          <w:sz w:val="22"/>
          <w:szCs w:val="22"/>
          <w:lang w:val="en-US"/>
        </w:rPr>
        <w:t xml:space="preserve">, </w:t>
      </w:r>
      <w:r w:rsidRPr="009978E3">
        <w:rPr>
          <w:sz w:val="22"/>
          <w:szCs w:val="22"/>
          <w:lang w:val="en-US"/>
        </w:rPr>
        <w:t xml:space="preserve">Rogers </w:t>
      </w:r>
      <w:r w:rsidRPr="0006066A">
        <w:rPr>
          <w:i/>
          <w:sz w:val="22"/>
          <w:szCs w:val="22"/>
          <w:lang w:val="en-US"/>
        </w:rPr>
        <w:t>et al</w:t>
      </w:r>
      <w:r w:rsidRPr="009978E3">
        <w:rPr>
          <w:i/>
          <w:sz w:val="22"/>
          <w:szCs w:val="22"/>
          <w:lang w:val="en-US"/>
        </w:rPr>
        <w:t xml:space="preserve">., </w:t>
      </w:r>
      <w:r w:rsidRPr="009978E3">
        <w:rPr>
          <w:sz w:val="22"/>
          <w:szCs w:val="22"/>
          <w:lang w:val="en-US"/>
        </w:rPr>
        <w:t>2008</w:t>
      </w:r>
      <w:r w:rsidRPr="009978E3">
        <w:rPr>
          <w:rFonts w:eastAsia="MS Mincho"/>
          <w:sz w:val="22"/>
          <w:szCs w:val="22"/>
          <w:lang w:val="en-US"/>
        </w:rPr>
        <w:t>). The structures characteristic of this area also harbour large aggregations of demersal or benthopelagic fish (</w:t>
      </w:r>
      <w:r w:rsidRPr="009978E3">
        <w:rPr>
          <w:sz w:val="22"/>
          <w:szCs w:val="22"/>
          <w:lang w:val="en-US"/>
        </w:rPr>
        <w:t>Koslow, 1997</w:t>
      </w:r>
      <w:r w:rsidRPr="009978E3">
        <w:rPr>
          <w:rFonts w:eastAsia="MS Mincho"/>
          <w:sz w:val="22"/>
          <w:szCs w:val="22"/>
          <w:lang w:val="en-US"/>
        </w:rPr>
        <w:t xml:space="preserve">; </w:t>
      </w:r>
      <w:r w:rsidRPr="009978E3">
        <w:rPr>
          <w:sz w:val="22"/>
          <w:szCs w:val="22"/>
          <w:lang w:val="en-US"/>
        </w:rPr>
        <w:t>Morato &amp; Pauly, 2004</w:t>
      </w:r>
      <w:r w:rsidRPr="009978E3">
        <w:rPr>
          <w:rFonts w:eastAsia="MS Mincho"/>
          <w:sz w:val="22"/>
          <w:szCs w:val="22"/>
          <w:lang w:val="en-US"/>
        </w:rPr>
        <w:t xml:space="preserve">; </w:t>
      </w:r>
      <w:r w:rsidRPr="009978E3">
        <w:rPr>
          <w:sz w:val="22"/>
          <w:szCs w:val="22"/>
          <w:lang w:val="en-US"/>
        </w:rPr>
        <w:t xml:space="preserve">Pitcher </w:t>
      </w:r>
      <w:r w:rsidRPr="0006066A">
        <w:rPr>
          <w:i/>
          <w:sz w:val="22"/>
          <w:szCs w:val="22"/>
          <w:lang w:val="en-US"/>
        </w:rPr>
        <w:t>et al</w:t>
      </w:r>
      <w:r w:rsidRPr="009978E3">
        <w:rPr>
          <w:i/>
          <w:sz w:val="22"/>
          <w:szCs w:val="22"/>
          <w:lang w:val="en-US"/>
        </w:rPr>
        <w:t xml:space="preserve">., </w:t>
      </w:r>
      <w:r w:rsidRPr="009978E3">
        <w:rPr>
          <w:sz w:val="22"/>
          <w:szCs w:val="22"/>
          <w:lang w:val="en-US"/>
        </w:rPr>
        <w:t>2007</w:t>
      </w:r>
      <w:r w:rsidRPr="009978E3">
        <w:rPr>
          <w:rFonts w:eastAsia="MS Mincho"/>
          <w:sz w:val="22"/>
          <w:szCs w:val="22"/>
          <w:lang w:val="en-US"/>
        </w:rPr>
        <w:t xml:space="preserve">; </w:t>
      </w:r>
      <w:r w:rsidRPr="009978E3">
        <w:rPr>
          <w:sz w:val="22"/>
          <w:szCs w:val="22"/>
          <w:lang w:val="en-US"/>
        </w:rPr>
        <w:t xml:space="preserve">Morato </w:t>
      </w:r>
      <w:r w:rsidRPr="0006066A">
        <w:rPr>
          <w:i/>
          <w:sz w:val="22"/>
          <w:szCs w:val="22"/>
          <w:lang w:val="en-US"/>
        </w:rPr>
        <w:t>et al</w:t>
      </w:r>
      <w:r w:rsidRPr="009978E3">
        <w:rPr>
          <w:i/>
          <w:sz w:val="22"/>
          <w:szCs w:val="22"/>
          <w:lang w:val="en-US"/>
        </w:rPr>
        <w:t xml:space="preserve">., </w:t>
      </w:r>
      <w:r w:rsidRPr="009978E3">
        <w:rPr>
          <w:sz w:val="22"/>
          <w:szCs w:val="22"/>
          <w:lang w:val="en-US"/>
        </w:rPr>
        <w:t>2009</w:t>
      </w:r>
      <w:r w:rsidRPr="009978E3">
        <w:rPr>
          <w:rFonts w:eastAsia="MS Mincho"/>
          <w:sz w:val="22"/>
          <w:szCs w:val="22"/>
          <w:lang w:val="en-US"/>
        </w:rPr>
        <w:t xml:space="preserve">, </w:t>
      </w:r>
      <w:r w:rsidRPr="009978E3">
        <w:rPr>
          <w:sz w:val="22"/>
          <w:szCs w:val="22"/>
          <w:lang w:val="en-US"/>
        </w:rPr>
        <w:t>2010</w:t>
      </w:r>
      <w:r w:rsidRPr="009978E3">
        <w:rPr>
          <w:rFonts w:eastAsia="MS Mincho"/>
          <w:sz w:val="22"/>
          <w:szCs w:val="22"/>
          <w:lang w:val="en-US"/>
        </w:rPr>
        <w:t xml:space="preserve">). </w:t>
      </w:r>
    </w:p>
    <w:p w14:paraId="3B6E994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Berlengas archipelago is characterized by high biodiversity, with 76 fish species currently reported in the reserve area (Rodrigues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This, allied with the favourable combination of bathymetric features and ocean and wind circulation (namely the Azorean anti-cyclone and the Portuguese continental shelf upwelling), characterizes the area as rich feeding and breeding grounds for several species, especially seabird species (Paiva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2010; Werner, 2010).</w:t>
      </w:r>
    </w:p>
    <w:p w14:paraId="4A442812" w14:textId="212358DF"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Berlenga features the only breeding populations of pelagic seabirds in mainland Portugal: the Cory’s shearwater (</w:t>
      </w:r>
      <w:r w:rsidRPr="009978E3">
        <w:rPr>
          <w:rFonts w:eastAsia="MS Mincho"/>
          <w:i/>
          <w:sz w:val="22"/>
          <w:szCs w:val="22"/>
          <w:lang w:val="en-US"/>
        </w:rPr>
        <w:t>Calonectris borealis</w:t>
      </w:r>
      <w:r w:rsidRPr="009978E3">
        <w:rPr>
          <w:rFonts w:eastAsia="MS Mincho"/>
          <w:sz w:val="22"/>
          <w:szCs w:val="22"/>
          <w:lang w:val="en-US"/>
        </w:rPr>
        <w:t>), and the band-rumped storm-petrel (</w:t>
      </w:r>
      <w:r w:rsidRPr="009978E3">
        <w:rPr>
          <w:rFonts w:eastAsia="MS Mincho"/>
          <w:i/>
          <w:sz w:val="22"/>
          <w:szCs w:val="22"/>
          <w:lang w:val="en-US"/>
        </w:rPr>
        <w:t>Hydrobates castro</w:t>
      </w:r>
      <w:r w:rsidRPr="009978E3">
        <w:rPr>
          <w:rFonts w:eastAsia="MS Mincho"/>
          <w:sz w:val="22"/>
          <w:szCs w:val="22"/>
          <w:lang w:val="en-US"/>
        </w:rPr>
        <w:t xml:space="preserve">). Presently, the archipelago hosts approximately 850 breeding pairs of Cory’s shearwaters, distributed among Farilhões Islets (500-550 pairs) and Berlenga Island (300 pairs) (Lecoq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2011). The European </w:t>
      </w:r>
      <w:r>
        <w:rPr>
          <w:rFonts w:eastAsia="MS Mincho"/>
          <w:sz w:val="22"/>
          <w:szCs w:val="22"/>
          <w:lang w:val="en-US"/>
        </w:rPr>
        <w:t>s</w:t>
      </w:r>
      <w:r w:rsidRPr="009978E3">
        <w:rPr>
          <w:rFonts w:eastAsia="MS Mincho"/>
          <w:sz w:val="22"/>
          <w:szCs w:val="22"/>
          <w:lang w:val="en-US"/>
        </w:rPr>
        <w:t>hag (</w:t>
      </w:r>
      <w:r w:rsidRPr="009978E3">
        <w:rPr>
          <w:rFonts w:eastAsia="MS Mincho"/>
          <w:i/>
          <w:sz w:val="22"/>
          <w:szCs w:val="22"/>
          <w:lang w:val="en-US"/>
        </w:rPr>
        <w:t>Phalacrorax aristotelis</w:t>
      </w:r>
      <w:r w:rsidRPr="009978E3">
        <w:rPr>
          <w:rFonts w:eastAsia="MS Mincho"/>
          <w:sz w:val="22"/>
          <w:szCs w:val="22"/>
          <w:lang w:val="en-US"/>
        </w:rPr>
        <w:t>), lesser black-backed gull (</w:t>
      </w:r>
      <w:r w:rsidRPr="009978E3">
        <w:rPr>
          <w:rFonts w:eastAsia="MS Mincho"/>
          <w:i/>
          <w:sz w:val="22"/>
          <w:szCs w:val="22"/>
          <w:lang w:val="en-US"/>
        </w:rPr>
        <w:t>Larus fuscus)</w:t>
      </w:r>
      <w:r w:rsidRPr="009978E3">
        <w:rPr>
          <w:rFonts w:eastAsia="MS Mincho"/>
          <w:sz w:val="22"/>
          <w:szCs w:val="22"/>
          <w:lang w:val="en-US"/>
        </w:rPr>
        <w:t>, and, until recently, the critically endangered common murre (</w:t>
      </w:r>
      <w:r w:rsidRPr="009978E3">
        <w:rPr>
          <w:rFonts w:eastAsia="MS Mincho"/>
          <w:i/>
          <w:sz w:val="22"/>
          <w:szCs w:val="22"/>
          <w:lang w:val="en-US"/>
        </w:rPr>
        <w:t>Uria aalge)</w:t>
      </w:r>
      <w:r w:rsidRPr="009978E3">
        <w:rPr>
          <w:rFonts w:eastAsia="MS Mincho"/>
          <w:sz w:val="22"/>
          <w:szCs w:val="22"/>
          <w:lang w:val="en-US"/>
        </w:rPr>
        <w:t xml:space="preserve"> also bred on the island. The most abundant bird is the yellow-legged gull (</w:t>
      </w:r>
      <w:r w:rsidRPr="009978E3">
        <w:rPr>
          <w:rFonts w:eastAsia="MS Mincho"/>
          <w:i/>
          <w:sz w:val="22"/>
          <w:szCs w:val="22"/>
          <w:lang w:val="en-US"/>
        </w:rPr>
        <w:t>Larus michahellis</w:t>
      </w:r>
      <w:r w:rsidRPr="009978E3">
        <w:rPr>
          <w:rFonts w:eastAsia="MS Mincho"/>
          <w:sz w:val="22"/>
          <w:szCs w:val="22"/>
          <w:lang w:val="en-US"/>
        </w:rPr>
        <w:t xml:space="preserve">), which possibly exerts a negative effect on the other seabird populations, as stated by Lecoq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(2011), when they recorded predation of Cory’s shearwater eggs at Farilhões </w:t>
      </w:r>
      <w:r>
        <w:rPr>
          <w:rFonts w:eastAsia="MS Mincho"/>
          <w:sz w:val="22"/>
          <w:szCs w:val="22"/>
          <w:lang w:val="en-US"/>
        </w:rPr>
        <w:t>I</w:t>
      </w:r>
      <w:r w:rsidRPr="009978E3">
        <w:rPr>
          <w:rFonts w:eastAsia="MS Mincho"/>
          <w:sz w:val="22"/>
          <w:szCs w:val="22"/>
          <w:lang w:val="en-US"/>
        </w:rPr>
        <w:t>slets.</w:t>
      </w:r>
    </w:p>
    <w:p w14:paraId="33C20B8A"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36416E2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deep sea, the largest biome on Earth, is composed of a variety of different habitats with specific biotic and abiotic characteristics (Ramirez-Llodra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 Submarine canyons and seamounts are two of these habitats. Recent novel technological developments, including underwater acoustic mapping, imaging, and sampling technologies, and long-term/permanent moored or benthic observatories, have greatly contributed to our understanding of the diverse and complex hydrodynamics (Xu, 2011) and geomorphology of canyons over the last two decades (Robert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2014; Quattrini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2015), allowing the spatio-temporal tracking of oceanographic processes and the associated biological responses, with an integration level that grows every day (Aguzzi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2012; Matabos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2014; Fernandez-Arcaya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2017). </w:t>
      </w:r>
    </w:p>
    <w:p w14:paraId="4BA9719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In 1981, the Berlengas Islands</w:t>
      </w:r>
      <w:r>
        <w:rPr>
          <w:rFonts w:eastAsia="MS Mincho"/>
          <w:sz w:val="22"/>
          <w:szCs w:val="22"/>
          <w:lang w:val="en-US"/>
        </w:rPr>
        <w:t>,</w:t>
      </w:r>
      <w:r w:rsidRPr="009978E3">
        <w:rPr>
          <w:rFonts w:eastAsia="MS Mincho"/>
          <w:sz w:val="22"/>
          <w:szCs w:val="22"/>
          <w:lang w:val="en-US"/>
        </w:rPr>
        <w:t xml:space="preserve"> a refuge for marine wildlife</w:t>
      </w:r>
      <w:r>
        <w:rPr>
          <w:rFonts w:eastAsia="MS Mincho"/>
          <w:sz w:val="22"/>
          <w:szCs w:val="22"/>
          <w:lang w:val="en-US"/>
        </w:rPr>
        <w:t>,</w:t>
      </w:r>
      <w:r w:rsidRPr="009978E3">
        <w:rPr>
          <w:rFonts w:eastAsia="MS Mincho"/>
          <w:sz w:val="22"/>
          <w:szCs w:val="22"/>
          <w:lang w:val="en-US"/>
        </w:rPr>
        <w:t xml:space="preserve"> became a natural reserve of major importance (Radhouani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 Pereira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2017). The Berlengas MPA is a type VI from IUCN’s protected area categories:</w:t>
      </w:r>
      <w:r w:rsidRPr="009978E3">
        <w:rPr>
          <w:color w:val="212121"/>
          <w:sz w:val="22"/>
          <w:szCs w:val="22"/>
          <w:shd w:val="clear" w:color="auto" w:fill="FFFFFF"/>
        </w:rPr>
        <w:t xml:space="preserve"> </w:t>
      </w:r>
      <w:r w:rsidRPr="00E82082">
        <w:rPr>
          <w:rFonts w:eastAsia="MS Mincho"/>
          <w:sz w:val="22"/>
          <w:szCs w:val="22"/>
          <w:lang w:val="en-US"/>
        </w:rPr>
        <w:t>“</w:t>
      </w:r>
      <w:r w:rsidRPr="0021277B">
        <w:rPr>
          <w:rStyle w:val="Strong"/>
          <w:b w:val="0"/>
          <w:color w:val="212121"/>
          <w:sz w:val="22"/>
          <w:szCs w:val="22"/>
          <w:shd w:val="clear" w:color="auto" w:fill="FFFFFF"/>
        </w:rPr>
        <w:t>Protected area with sustainable use of natural resources</w:t>
      </w:r>
      <w:r w:rsidRPr="00E82082">
        <w:rPr>
          <w:rFonts w:eastAsia="MS Mincho"/>
          <w:sz w:val="22"/>
          <w:szCs w:val="22"/>
          <w:lang w:val="en-US"/>
        </w:rPr>
        <w:t>:</w:t>
      </w:r>
      <w:r w:rsidRPr="0021277B">
        <w:rPr>
          <w:rFonts w:eastAsia="MS Mincho"/>
          <w:b/>
          <w:sz w:val="22"/>
          <w:szCs w:val="22"/>
          <w:lang w:val="en-US"/>
        </w:rPr>
        <w:t xml:space="preserve"> </w:t>
      </w:r>
      <w:r w:rsidRPr="009978E3">
        <w:rPr>
          <w:rFonts w:eastAsia="MS Mincho"/>
          <w:sz w:val="22"/>
          <w:szCs w:val="22"/>
          <w:lang w:val="en-US"/>
        </w:rPr>
        <w:t xml:space="preserve">Areas that conserve ecosystems and habitats, together with associated cultural values and traditional natural resource management systems” (Day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2012). The Berlengas MPA is not established strictly for the purposes of conservation of species and habitats. It also allows for economic activities, such as fishing</w:t>
      </w:r>
      <w:r w:rsidRPr="009978E3" w:rsidDel="00BD5C9C">
        <w:rPr>
          <w:rFonts w:eastAsia="MS Mincho"/>
          <w:sz w:val="22"/>
          <w:szCs w:val="22"/>
          <w:lang w:val="en-US"/>
        </w:rPr>
        <w:t xml:space="preserve"> </w:t>
      </w:r>
      <w:r w:rsidRPr="009978E3">
        <w:rPr>
          <w:rFonts w:eastAsia="MS Mincho"/>
          <w:sz w:val="22"/>
          <w:szCs w:val="22"/>
          <w:lang w:val="en-US"/>
        </w:rPr>
        <w:t xml:space="preserve">and diving under specific regulations with respect to biodiversity conservation (Law Decree 30/98). It includes two Partially Protected Areas as well as a Complementary Protected Area. Partially Protected Areas are buffer zones where recreational and commercial fishing as well as tourism activities are allowed under specific regulation. This regulation establishes a limited number of visitors by site and allows a limited number of fishing boats. The Complementary Protected Area is open to fishing but not necessarily as an open-access fishery, as legislation does not allow for commercial fishing by vessels not registered in Peniche Port Authority, trawl fishing, gill nets, trap fishing and shellfish collecting (Queiroga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2009; </w:t>
      </w:r>
      <w:r w:rsidRPr="009978E3">
        <w:rPr>
          <w:sz w:val="22"/>
          <w:szCs w:val="22"/>
          <w:lang w:val="en-US"/>
        </w:rPr>
        <w:t>Thurber</w:t>
      </w:r>
      <w:r w:rsidRPr="009978E3">
        <w:rPr>
          <w:sz w:val="22"/>
          <w:szCs w:val="22"/>
        </w:rPr>
        <w:t xml:space="preserve"> </w:t>
      </w:r>
      <w:r w:rsidRPr="0006066A">
        <w:rPr>
          <w:i/>
          <w:sz w:val="22"/>
          <w:szCs w:val="22"/>
        </w:rPr>
        <w:t>et al</w:t>
      </w:r>
      <w:r w:rsidRPr="009978E3">
        <w:rPr>
          <w:i/>
          <w:sz w:val="22"/>
          <w:szCs w:val="22"/>
        </w:rPr>
        <w:t>.</w:t>
      </w:r>
      <w:r w:rsidRPr="009978E3">
        <w:rPr>
          <w:sz w:val="22"/>
          <w:szCs w:val="22"/>
        </w:rPr>
        <w:t xml:space="preserve">, 2014; Boavida </w:t>
      </w:r>
      <w:r w:rsidRPr="0006066A">
        <w:rPr>
          <w:i/>
          <w:sz w:val="22"/>
          <w:szCs w:val="22"/>
        </w:rPr>
        <w:t>et al</w:t>
      </w:r>
      <w:r w:rsidRPr="009978E3">
        <w:rPr>
          <w:i/>
          <w:sz w:val="22"/>
          <w:szCs w:val="22"/>
        </w:rPr>
        <w:t>.</w:t>
      </w:r>
      <w:r w:rsidRPr="009978E3">
        <w:rPr>
          <w:sz w:val="22"/>
          <w:szCs w:val="22"/>
        </w:rPr>
        <w:t>, 2016</w:t>
      </w:r>
      <w:r w:rsidRPr="009978E3">
        <w:rPr>
          <w:rFonts w:eastAsia="MS Mincho"/>
          <w:sz w:val="22"/>
          <w:szCs w:val="22"/>
          <w:lang w:val="en-US"/>
        </w:rPr>
        <w:t>).</w:t>
      </w:r>
    </w:p>
    <w:p w14:paraId="6ACB37D8"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Galician waters have long suffered </w:t>
      </w:r>
      <w:r>
        <w:rPr>
          <w:rFonts w:eastAsia="MS Mincho"/>
          <w:sz w:val="22"/>
          <w:szCs w:val="22"/>
          <w:lang w:val="en-US"/>
        </w:rPr>
        <w:t>from</w:t>
      </w:r>
      <w:r w:rsidRPr="009978E3">
        <w:rPr>
          <w:rFonts w:eastAsia="MS Mincho"/>
          <w:sz w:val="22"/>
          <w:szCs w:val="22"/>
          <w:lang w:val="en-US"/>
        </w:rPr>
        <w:t xml:space="preserve"> overfishing, illegal fisheries and the consequences of shipping and oil transport:</w:t>
      </w:r>
    </w:p>
    <w:p w14:paraId="112A437F" w14:textId="77777777" w:rsidR="006B3F46" w:rsidRPr="009978E3" w:rsidRDefault="006B3F46" w:rsidP="006B3F46">
      <w:pPr>
        <w:numPr>
          <w:ilvl w:val="0"/>
          <w:numId w:val="58"/>
        </w:numPr>
        <w:jc w:val="both"/>
        <w:rPr>
          <w:rFonts w:eastAsia="MS Mincho"/>
          <w:sz w:val="22"/>
          <w:szCs w:val="22"/>
          <w:lang w:val="en-US"/>
        </w:rPr>
      </w:pPr>
      <w:r w:rsidRPr="009978E3">
        <w:rPr>
          <w:rFonts w:eastAsia="MS Mincho"/>
          <w:sz w:val="22"/>
          <w:szCs w:val="22"/>
          <w:lang w:val="en-US"/>
        </w:rPr>
        <w:t xml:space="preserve"> </w:t>
      </w:r>
      <w:r w:rsidRPr="009978E3">
        <w:rPr>
          <w:rFonts w:eastAsia="MS Mincho"/>
          <w:i/>
          <w:sz w:val="22"/>
          <w:szCs w:val="22"/>
          <w:lang w:val="en-US"/>
        </w:rPr>
        <w:t>Fishing activities</w:t>
      </w:r>
      <w:r w:rsidRPr="009978E3">
        <w:rPr>
          <w:rFonts w:eastAsia="MS Mincho"/>
          <w:sz w:val="22"/>
          <w:szCs w:val="22"/>
          <w:lang w:val="en-US"/>
        </w:rPr>
        <w:t xml:space="preserve">: Galicia (NW Spain) is one of the EU regions with the highest level of dependence on fishing activities (EC, 2004). The main fishing gears used in the area are bottom trawling, fishing lines and gill nets. </w:t>
      </w:r>
    </w:p>
    <w:p w14:paraId="1D6C1384" w14:textId="77777777" w:rsidR="006B3F46" w:rsidRPr="009978E3" w:rsidRDefault="006B3F46" w:rsidP="006B3F46">
      <w:pPr>
        <w:numPr>
          <w:ilvl w:val="0"/>
          <w:numId w:val="58"/>
        </w:numPr>
        <w:jc w:val="both"/>
        <w:rPr>
          <w:rFonts w:eastAsia="MS Mincho"/>
          <w:sz w:val="22"/>
          <w:szCs w:val="22"/>
          <w:lang w:val="en-US"/>
        </w:rPr>
      </w:pPr>
      <w:r w:rsidRPr="009978E3">
        <w:rPr>
          <w:rFonts w:eastAsia="MS Mincho"/>
          <w:i/>
          <w:sz w:val="22"/>
          <w:szCs w:val="22"/>
          <w:lang w:val="en-US"/>
        </w:rPr>
        <w:t>Climate change</w:t>
      </w:r>
      <w:r w:rsidRPr="009978E3">
        <w:rPr>
          <w:rFonts w:eastAsia="MS Mincho"/>
          <w:sz w:val="22"/>
          <w:szCs w:val="22"/>
          <w:lang w:val="en-US"/>
        </w:rPr>
        <w:t>: this phenomenon seems to have led to an increase in the presence of temperate water fish species in the Cantabrian sea (</w:t>
      </w:r>
      <w:r>
        <w:rPr>
          <w:rFonts w:eastAsia="MS Mincho"/>
          <w:sz w:val="22"/>
          <w:szCs w:val="22"/>
          <w:lang w:val="en-US"/>
        </w:rPr>
        <w:t>e.g.,</w:t>
      </w:r>
      <w:r w:rsidRPr="009978E3">
        <w:rPr>
          <w:rFonts w:eastAsia="MS Mincho"/>
          <w:sz w:val="22"/>
          <w:szCs w:val="22"/>
          <w:lang w:val="en-US"/>
        </w:rPr>
        <w:t xml:space="preserve"> among pelagic fishes </w:t>
      </w:r>
      <w:r>
        <w:rPr>
          <w:rFonts w:eastAsia="MS Mincho"/>
          <w:sz w:val="22"/>
          <w:szCs w:val="22"/>
          <w:lang w:val="en-US"/>
        </w:rPr>
        <w:t xml:space="preserve">are </w:t>
      </w:r>
      <w:r w:rsidRPr="0021277B">
        <w:rPr>
          <w:rFonts w:eastAsia="MS Mincho"/>
          <w:i/>
          <w:sz w:val="22"/>
          <w:szCs w:val="22"/>
          <w:lang w:val="en-US"/>
        </w:rPr>
        <w:t>Megalops atlanticus</w:t>
      </w:r>
      <w:r>
        <w:rPr>
          <w:rFonts w:eastAsia="MS Mincho"/>
          <w:sz w:val="22"/>
          <w:szCs w:val="22"/>
          <w:lang w:val="en-US"/>
        </w:rPr>
        <w:t xml:space="preserve"> and</w:t>
      </w:r>
      <w:r w:rsidRPr="0021277B">
        <w:rPr>
          <w:rFonts w:eastAsia="MS Mincho"/>
          <w:i/>
          <w:sz w:val="22"/>
          <w:szCs w:val="22"/>
          <w:lang w:val="en-US"/>
        </w:rPr>
        <w:t>Seriola rivoliana</w:t>
      </w:r>
      <w:r w:rsidRPr="009978E3">
        <w:rPr>
          <w:rFonts w:eastAsia="MS Mincho"/>
          <w:sz w:val="22"/>
          <w:szCs w:val="22"/>
          <w:lang w:val="en-US"/>
        </w:rPr>
        <w:t xml:space="preserve">) over the last twenty years (Quéro </w:t>
      </w:r>
      <w:r w:rsidRPr="0006066A">
        <w:rPr>
          <w:rFonts w:eastAsia="MS Mincho"/>
          <w:i/>
          <w:sz w:val="22"/>
          <w:szCs w:val="22"/>
          <w:lang w:val="en-US"/>
        </w:rPr>
        <w:t>et al</w:t>
      </w:r>
      <w:r w:rsidRPr="009978E3">
        <w:rPr>
          <w:rFonts w:eastAsia="MS Mincho"/>
          <w:sz w:val="22"/>
          <w:szCs w:val="22"/>
          <w:lang w:val="en-US"/>
        </w:rPr>
        <w:t xml:space="preserve">., 1998; Stebbing </w:t>
      </w:r>
      <w:r w:rsidRPr="0006066A">
        <w:rPr>
          <w:rFonts w:eastAsia="MS Mincho"/>
          <w:i/>
          <w:sz w:val="22"/>
          <w:szCs w:val="22"/>
          <w:lang w:val="en-US"/>
        </w:rPr>
        <w:t>et al</w:t>
      </w:r>
      <w:r w:rsidRPr="009978E3">
        <w:rPr>
          <w:rFonts w:eastAsia="MS Mincho"/>
          <w:sz w:val="22"/>
          <w:szCs w:val="22"/>
          <w:lang w:val="en-US"/>
        </w:rPr>
        <w:t>., 2002).</w:t>
      </w:r>
    </w:p>
    <w:p w14:paraId="56356127" w14:textId="77777777" w:rsidR="006B3F46" w:rsidRPr="009978E3" w:rsidRDefault="006B3F46" w:rsidP="006B3F46">
      <w:pPr>
        <w:numPr>
          <w:ilvl w:val="0"/>
          <w:numId w:val="58"/>
        </w:numPr>
        <w:jc w:val="both"/>
        <w:rPr>
          <w:rFonts w:eastAsia="MS Mincho"/>
          <w:sz w:val="22"/>
          <w:szCs w:val="22"/>
          <w:lang w:val="en-US"/>
        </w:rPr>
      </w:pPr>
      <w:r w:rsidRPr="009978E3">
        <w:rPr>
          <w:rFonts w:eastAsia="MS Mincho"/>
          <w:i/>
          <w:sz w:val="22"/>
          <w:szCs w:val="22"/>
          <w:lang w:val="en-US"/>
        </w:rPr>
        <w:t>Shipping and oil transport</w:t>
      </w:r>
      <w:r w:rsidRPr="009978E3">
        <w:rPr>
          <w:rFonts w:eastAsia="MS Mincho"/>
          <w:sz w:val="22"/>
          <w:szCs w:val="22"/>
          <w:lang w:val="en-US"/>
        </w:rPr>
        <w:t>: The Galician waters are located on the main route of supertankers transporting oil from the Middle East and Africa to EU harbo</w:t>
      </w:r>
      <w:r>
        <w:rPr>
          <w:rFonts w:eastAsia="MS Mincho"/>
          <w:sz w:val="22"/>
          <w:szCs w:val="22"/>
          <w:lang w:val="en-US"/>
        </w:rPr>
        <w:t>u</w:t>
      </w:r>
      <w:r w:rsidRPr="009978E3">
        <w:rPr>
          <w:rFonts w:eastAsia="MS Mincho"/>
          <w:sz w:val="22"/>
          <w:szCs w:val="22"/>
          <w:lang w:val="en-US"/>
        </w:rPr>
        <w:t>rs. More than 70</w:t>
      </w:r>
      <w:r>
        <w:rPr>
          <w:rFonts w:eastAsia="MS Mincho"/>
          <w:sz w:val="22"/>
          <w:szCs w:val="22"/>
          <w:lang w:val="en-US"/>
        </w:rPr>
        <w:t xml:space="preserve">  per cent</w:t>
      </w:r>
      <w:r w:rsidRPr="009978E3">
        <w:rPr>
          <w:rFonts w:eastAsia="MS Mincho"/>
          <w:sz w:val="22"/>
          <w:szCs w:val="22"/>
          <w:lang w:val="en-US"/>
        </w:rPr>
        <w:t xml:space="preserve"> of the total oil consumed in the EU is moved by shipping through the Finisterre pass directly towards the English Channel and then to the final destination in different European harbo</w:t>
      </w:r>
      <w:r>
        <w:rPr>
          <w:rFonts w:eastAsia="MS Mincho"/>
          <w:sz w:val="22"/>
          <w:szCs w:val="22"/>
          <w:lang w:val="en-US"/>
        </w:rPr>
        <w:t>u</w:t>
      </w:r>
      <w:r w:rsidRPr="009978E3">
        <w:rPr>
          <w:rFonts w:eastAsia="MS Mincho"/>
          <w:sz w:val="22"/>
          <w:szCs w:val="22"/>
          <w:lang w:val="en-US"/>
        </w:rPr>
        <w:t>rs. In recent years several oil spills have occurred (1992, Aegean Sea; 1999, Erika; 2002, Prestige)</w:t>
      </w:r>
      <w:r>
        <w:rPr>
          <w:rFonts w:eastAsia="MS Mincho"/>
          <w:sz w:val="22"/>
          <w:szCs w:val="22"/>
          <w:lang w:val="en-US"/>
        </w:rPr>
        <w:t xml:space="preserve">; </w:t>
      </w:r>
      <w:r w:rsidRPr="009978E3">
        <w:rPr>
          <w:rFonts w:eastAsia="MS Mincho"/>
          <w:sz w:val="22"/>
          <w:szCs w:val="22"/>
          <w:lang w:val="en-US"/>
        </w:rPr>
        <w:t xml:space="preserve"> the sinking of the Prestige oil tanker in 2002 off the coast of Galicia (Spain) caused one of the worst oil spills off the European coastline and made this region the most severely affected by this kind of accident in the world (Lavín </w:t>
      </w:r>
      <w:r w:rsidRPr="0006066A">
        <w:rPr>
          <w:rFonts w:eastAsia="MS Mincho"/>
          <w:i/>
          <w:sz w:val="22"/>
          <w:szCs w:val="22"/>
          <w:lang w:val="en-US"/>
        </w:rPr>
        <w:t>et al</w:t>
      </w:r>
      <w:r w:rsidRPr="009978E3">
        <w:rPr>
          <w:rFonts w:eastAsia="MS Mincho"/>
          <w:sz w:val="22"/>
          <w:szCs w:val="22"/>
          <w:lang w:val="en-US"/>
        </w:rPr>
        <w:t xml:space="preserve">., 2004). </w:t>
      </w:r>
    </w:p>
    <w:p w14:paraId="32CF031A"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Conversely, some actions to protect the area and to ensure the conservation of its biodiversity are being carried out, and one specific offshore area within the area being described has been protected in accordance with international and Spanish regulations and conventions: The Galicia Bank is a deep underwater mountain located to the northwest of the Iberian Peninsula, 180 km from the Galician coast. Its summit is located at a depth of between 650 and 1,500 m. Its steep slopes descend from the summit to the abyssal plains located 4,000 metres below sea level.</w:t>
      </w:r>
    </w:p>
    <w:p w14:paraId="60959F3A"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This submarine mountain belongs to the submerged western extension of the Pyrenees and the Cantabrian mountains. Materials originating from the mainland are not significant, being composed of abundant sediments from shells of tiny marine organisms, which are deposited in </w:t>
      </w:r>
      <w:r>
        <w:rPr>
          <w:rFonts w:eastAsia="MS Mincho"/>
          <w:sz w:val="22"/>
          <w:szCs w:val="22"/>
          <w:lang w:val="en-US"/>
        </w:rPr>
        <w:t>the</w:t>
      </w:r>
      <w:r w:rsidRPr="009978E3">
        <w:rPr>
          <w:rFonts w:eastAsia="MS Mincho"/>
          <w:sz w:val="22"/>
          <w:szCs w:val="22"/>
          <w:lang w:val="en-US"/>
        </w:rPr>
        <w:t xml:space="preserve"> open sea. Located in the middle of the Atlantic, the bank is influenced by various regions and water masses, which create a great disparity of environments. Moreover, local currents that typically originate on undersea mountains – rising water masses, twists and eddies – favour the retention of nutrients and larvae on the Galicia Bank, explaining the existence of a highly biodiverse “submerged island” in the middle of the Atlantic.</w:t>
      </w:r>
    </w:p>
    <w:p w14:paraId="15C8425D"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presence of vulnerable and threatened habitats and species, covered by various protection </w:t>
      </w:r>
      <w:r w:rsidRPr="00EC5399">
        <w:rPr>
          <w:rFonts w:eastAsia="MS Mincho"/>
          <w:sz w:val="22"/>
          <w:szCs w:val="22"/>
          <w:lang w:val="en-US"/>
        </w:rPr>
        <w:t>agreements and international standards, has shown the ecological and biological significance of the Galicia Bank</w:t>
      </w:r>
      <w:r w:rsidRPr="009978E3">
        <w:rPr>
          <w:rFonts w:eastAsia="MS Mincho"/>
          <w:sz w:val="22"/>
          <w:szCs w:val="22"/>
          <w:lang w:val="en-US"/>
        </w:rPr>
        <w:t>. In addition to the presence of the loggerhead sea turtle (</w:t>
      </w:r>
      <w:r w:rsidRPr="009978E3">
        <w:rPr>
          <w:rFonts w:eastAsia="MS Mincho"/>
          <w:i/>
          <w:sz w:val="22"/>
          <w:szCs w:val="22"/>
          <w:lang w:val="en-US"/>
        </w:rPr>
        <w:t>Caretta caretta</w:t>
      </w:r>
      <w:r w:rsidRPr="009978E3">
        <w:rPr>
          <w:rFonts w:eastAsia="MS Mincho"/>
          <w:sz w:val="22"/>
          <w:szCs w:val="22"/>
          <w:lang w:val="en-US"/>
        </w:rPr>
        <w:t>), bottlenose dolphin (</w:t>
      </w:r>
      <w:r w:rsidRPr="009978E3">
        <w:rPr>
          <w:rFonts w:eastAsia="MS Mincho"/>
          <w:i/>
          <w:sz w:val="22"/>
          <w:szCs w:val="22"/>
          <w:lang w:val="en-US"/>
        </w:rPr>
        <w:t>Tursiops truncatus</w:t>
      </w:r>
      <w:r w:rsidRPr="009978E3">
        <w:rPr>
          <w:rFonts w:eastAsia="MS Mincho"/>
          <w:sz w:val="22"/>
          <w:szCs w:val="22"/>
          <w:lang w:val="en-US"/>
        </w:rPr>
        <w:t>) and numerous species of birds, including the band-rumped storm-petrel (</w:t>
      </w:r>
      <w:r w:rsidRPr="009978E3">
        <w:rPr>
          <w:rFonts w:eastAsia="MS Mincho"/>
          <w:i/>
          <w:sz w:val="22"/>
          <w:szCs w:val="22"/>
          <w:lang w:val="en-US"/>
        </w:rPr>
        <w:t>Hydrobates castro</w:t>
      </w:r>
      <w:r w:rsidRPr="009978E3">
        <w:rPr>
          <w:rFonts w:eastAsia="MS Mincho"/>
          <w:sz w:val="22"/>
          <w:szCs w:val="22"/>
          <w:lang w:val="en-US"/>
        </w:rPr>
        <w:t xml:space="preserve">), </w:t>
      </w:r>
      <w:r>
        <w:rPr>
          <w:rFonts w:eastAsia="MS Mincho"/>
          <w:sz w:val="22"/>
          <w:szCs w:val="22"/>
          <w:lang w:val="en-US"/>
        </w:rPr>
        <w:t xml:space="preserve">the area is home to </w:t>
      </w:r>
      <w:r w:rsidRPr="009978E3">
        <w:rPr>
          <w:rFonts w:eastAsia="MS Mincho"/>
          <w:sz w:val="22"/>
          <w:szCs w:val="22"/>
          <w:lang w:val="en-US"/>
        </w:rPr>
        <w:t>extremely rare species</w:t>
      </w:r>
      <w:r>
        <w:rPr>
          <w:rFonts w:eastAsia="MS Mincho"/>
          <w:sz w:val="22"/>
          <w:szCs w:val="22"/>
          <w:lang w:val="en-US"/>
        </w:rPr>
        <w:t xml:space="preserve"> and harbours</w:t>
      </w:r>
      <w:r w:rsidRPr="009978E3">
        <w:rPr>
          <w:rFonts w:eastAsia="MS Mincho"/>
          <w:sz w:val="22"/>
          <w:szCs w:val="22"/>
          <w:lang w:val="en-US"/>
        </w:rPr>
        <w:t xml:space="preserve"> the designated habitat “Reefs” (Habitats Directive: 1170)</w:t>
      </w:r>
      <w:r>
        <w:rPr>
          <w:rFonts w:eastAsia="MS Mincho"/>
          <w:sz w:val="22"/>
          <w:szCs w:val="22"/>
          <w:lang w:val="en-US"/>
        </w:rPr>
        <w:t>, making it</w:t>
      </w:r>
      <w:r w:rsidRPr="009978E3">
        <w:rPr>
          <w:rFonts w:eastAsia="MS Mincho"/>
          <w:sz w:val="22"/>
          <w:szCs w:val="22"/>
          <w:lang w:val="en-US"/>
        </w:rPr>
        <w:t xml:space="preserve"> a priority for conservation.</w:t>
      </w:r>
    </w:p>
    <w:p w14:paraId="1CBD390B"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A</w:t>
      </w:r>
      <w:r w:rsidRPr="009978E3">
        <w:rPr>
          <w:rFonts w:eastAsia="MS Mincho"/>
          <w:sz w:val="22"/>
          <w:szCs w:val="22"/>
          <w:lang w:val="en-US"/>
        </w:rPr>
        <w:t xml:space="preserve"> management plan </w:t>
      </w:r>
      <w:r>
        <w:rPr>
          <w:rFonts w:eastAsia="MS Mincho"/>
          <w:sz w:val="22"/>
          <w:szCs w:val="22"/>
          <w:lang w:val="en-US"/>
        </w:rPr>
        <w:t>for</w:t>
      </w:r>
      <w:r w:rsidRPr="009978E3">
        <w:rPr>
          <w:rFonts w:eastAsia="MS Mincho"/>
          <w:sz w:val="22"/>
          <w:szCs w:val="22"/>
          <w:lang w:val="en-US"/>
        </w:rPr>
        <w:t xml:space="preserve"> the area is being developed in the framework of the INTEMARES project. Apart from conservation projects, every autumn the Instituto Español de Oceanografía (IEO) carries out a bottom-trawling survey on the Northern Spanish Shelf named DEMERSALES. This survey aims to provide data for the assessment of commercial fish species and benthic ecosystems on the Galician and Cantabrian shelf (ICES, 2010). This survey is part of an international effort to monitor marine ecosystems and is coordinated by the International Bottom Trawling Surveys working group of the International Council for the Exploration of the Sea (ICES).</w:t>
      </w:r>
    </w:p>
    <w:p w14:paraId="5DDE2AD9"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F66EF7">
        <w:rPr>
          <w:rFonts w:eastAsia="MS Mincho"/>
          <w:b/>
          <w:sz w:val="22"/>
          <w:szCs w:val="22"/>
          <w:lang w:val="en-US"/>
        </w:rPr>
        <w:t>rea no. 4</w:t>
      </w:r>
      <w:r>
        <w:rPr>
          <w:rFonts w:eastAsia="MS Mincho"/>
          <w:b/>
          <w:sz w:val="22"/>
          <w:szCs w:val="22"/>
          <w:lang w:val="en-US"/>
        </w:rPr>
        <w:t>,</w:t>
      </w:r>
      <w:r w:rsidRPr="009978E3">
        <w:rPr>
          <w:b/>
          <w:sz w:val="22"/>
          <w:szCs w:val="22"/>
        </w:rPr>
        <w:t xml:space="preserve"> </w:t>
      </w:r>
      <w:r w:rsidRPr="009978E3">
        <w:rPr>
          <w:b/>
          <w:color w:val="000000"/>
          <w:sz w:val="22"/>
          <w:szCs w:val="22"/>
          <w:shd w:val="clear" w:color="auto" w:fill="FFFFFF"/>
        </w:rPr>
        <w:t>West Iberian Canyons and Banks</w:t>
      </w:r>
      <w:r>
        <w:rPr>
          <w:b/>
          <w:color w:val="000000"/>
          <w:sz w:val="22"/>
          <w:szCs w:val="22"/>
          <w:shd w:val="clear" w:color="auto" w:fill="FFFFFF"/>
        </w:rPr>
        <w:t xml:space="preserve">, </w:t>
      </w:r>
      <w:r w:rsidRPr="009978E3">
        <w:rPr>
          <w:rFonts w:eastAsia="MS Mincho"/>
          <w:b/>
          <w:sz w:val="22"/>
          <w:szCs w:val="22"/>
          <w:lang w:val="en-US"/>
        </w:rPr>
        <w:t>against CBD EBSA Criteria</w:t>
      </w:r>
    </w:p>
    <w:p w14:paraId="2F1EB0DB" w14:textId="77777777" w:rsidR="006B3F46" w:rsidRPr="009978E3" w:rsidRDefault="006B3F46" w:rsidP="00907941">
      <w:pPr>
        <w:jc w:val="both"/>
        <w:rPr>
          <w:rFonts w:eastAsia="MS Mincho"/>
          <w:i/>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2"/>
        <w:gridCol w:w="4286"/>
        <w:gridCol w:w="28"/>
        <w:gridCol w:w="1000"/>
        <w:gridCol w:w="257"/>
        <w:gridCol w:w="28"/>
        <w:gridCol w:w="742"/>
        <w:gridCol w:w="109"/>
        <w:gridCol w:w="663"/>
        <w:gridCol w:w="88"/>
        <w:gridCol w:w="723"/>
      </w:tblGrid>
      <w:tr w:rsidR="006B3F46" w:rsidRPr="0021277B" w14:paraId="5088C0F2" w14:textId="77777777" w:rsidTr="00907941">
        <w:tc>
          <w:tcPr>
            <w:tcW w:w="783" w:type="pct"/>
            <w:vMerge w:val="restart"/>
            <w:shd w:val="clear" w:color="auto" w:fill="auto"/>
          </w:tcPr>
          <w:p w14:paraId="47739C39"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CBD EBSA Criteria</w:t>
            </w:r>
          </w:p>
          <w:p w14:paraId="393D084E" w14:textId="77777777" w:rsidR="006B3F46" w:rsidRPr="0021277B" w:rsidRDefault="006B3F46" w:rsidP="00907941">
            <w:pPr>
              <w:widowControl w:val="0"/>
              <w:autoSpaceDE w:val="0"/>
              <w:autoSpaceDN w:val="0"/>
              <w:adjustRightInd w:val="0"/>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80" w:type="pct"/>
            <w:vMerge w:val="restart"/>
            <w:shd w:val="clear" w:color="auto" w:fill="auto"/>
          </w:tcPr>
          <w:p w14:paraId="75746AC1" w14:textId="77777777" w:rsidR="006B3F46" w:rsidRPr="0021277B" w:rsidRDefault="006B3F46" w:rsidP="00907941">
            <w:pPr>
              <w:widowControl w:val="0"/>
              <w:autoSpaceDE w:val="0"/>
              <w:autoSpaceDN w:val="0"/>
              <w:adjustRightInd w:val="0"/>
              <w:jc w:val="both"/>
              <w:rPr>
                <w:rFonts w:eastAsia="MS Mincho"/>
                <w:b/>
                <w:bCs/>
                <w:sz w:val="22"/>
                <w:szCs w:val="22"/>
                <w:lang w:val="en-US"/>
              </w:rPr>
            </w:pPr>
            <w:r w:rsidRPr="0021277B">
              <w:rPr>
                <w:rFonts w:eastAsia="MS Mincho"/>
                <w:b/>
                <w:bCs/>
                <w:sz w:val="22"/>
                <w:szCs w:val="22"/>
                <w:lang w:val="en-US"/>
              </w:rPr>
              <w:t>Description</w:t>
            </w:r>
          </w:p>
          <w:p w14:paraId="0E3066D3" w14:textId="77777777" w:rsidR="006B3F46" w:rsidRPr="0021277B" w:rsidRDefault="006B3F46" w:rsidP="00907941">
            <w:pPr>
              <w:widowControl w:val="0"/>
              <w:autoSpaceDE w:val="0"/>
              <w:autoSpaceDN w:val="0"/>
              <w:adjustRightInd w:val="0"/>
              <w:jc w:val="both"/>
              <w:rPr>
                <w:rFonts w:eastAsia="MS Mincho"/>
                <w:bCs/>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71E5781A"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0B3D7A48"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668238A8" w14:textId="77777777" w:rsidTr="00907941">
        <w:tc>
          <w:tcPr>
            <w:tcW w:w="783" w:type="pct"/>
            <w:vMerge/>
            <w:shd w:val="clear" w:color="auto" w:fill="auto"/>
          </w:tcPr>
          <w:p w14:paraId="295EE4DF"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c>
          <w:tcPr>
            <w:tcW w:w="2280" w:type="pct"/>
            <w:vMerge/>
            <w:shd w:val="clear" w:color="auto" w:fill="auto"/>
          </w:tcPr>
          <w:p w14:paraId="387F1A80" w14:textId="77777777" w:rsidR="006B3F46" w:rsidRPr="0021277B" w:rsidRDefault="006B3F46" w:rsidP="00907941">
            <w:pPr>
              <w:widowControl w:val="0"/>
              <w:autoSpaceDE w:val="0"/>
              <w:autoSpaceDN w:val="0"/>
              <w:adjustRightInd w:val="0"/>
              <w:jc w:val="both"/>
              <w:rPr>
                <w:rFonts w:eastAsia="MS Mincho"/>
                <w:b/>
                <w:bCs/>
                <w:sz w:val="22"/>
                <w:szCs w:val="22"/>
                <w:lang w:val="en-US"/>
              </w:rPr>
            </w:pPr>
          </w:p>
        </w:tc>
        <w:tc>
          <w:tcPr>
            <w:tcW w:w="547" w:type="pct"/>
            <w:gridSpan w:val="2"/>
            <w:shd w:val="clear" w:color="auto" w:fill="auto"/>
          </w:tcPr>
          <w:p w14:paraId="7F287205"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4DAB1BA2"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384FEC65"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6D2CB0A9"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6F201156" w14:textId="77777777" w:rsidTr="00907941">
        <w:tc>
          <w:tcPr>
            <w:tcW w:w="783" w:type="pct"/>
            <w:shd w:val="clear" w:color="auto" w:fill="auto"/>
          </w:tcPr>
          <w:p w14:paraId="2CC46936"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80" w:type="pct"/>
            <w:shd w:val="clear" w:color="auto" w:fill="auto"/>
          </w:tcPr>
          <w:p w14:paraId="060510D7"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vAlign w:val="center"/>
          </w:tcPr>
          <w:p w14:paraId="0B63C1E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547" w:type="pct"/>
            <w:gridSpan w:val="3"/>
            <w:shd w:val="clear" w:color="auto" w:fill="auto"/>
            <w:vAlign w:val="center"/>
          </w:tcPr>
          <w:p w14:paraId="0D1189F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74E594A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26859E8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531E35A" w14:textId="77777777" w:rsidTr="00907941">
        <w:tc>
          <w:tcPr>
            <w:tcW w:w="5000" w:type="pct"/>
            <w:gridSpan w:val="11"/>
            <w:shd w:val="clear" w:color="auto" w:fill="auto"/>
          </w:tcPr>
          <w:p w14:paraId="3C45FE16" w14:textId="77777777" w:rsidR="006B3F46" w:rsidRPr="0021277B" w:rsidRDefault="006B3F46" w:rsidP="00907941">
            <w:pPr>
              <w:widowControl w:val="0"/>
              <w:autoSpaceDE w:val="0"/>
              <w:autoSpaceDN w:val="0"/>
              <w:adjustRightInd w:val="0"/>
              <w:jc w:val="both"/>
              <w:rPr>
                <w:rFonts w:eastAsia="MS Mincho"/>
                <w:i/>
                <w:iCs/>
                <w:sz w:val="22"/>
                <w:szCs w:val="22"/>
                <w:lang w:val="en-US"/>
              </w:rPr>
            </w:pPr>
            <w:r w:rsidRPr="0021277B">
              <w:rPr>
                <w:rFonts w:eastAsia="MS Mincho"/>
                <w:i/>
                <w:iCs/>
                <w:sz w:val="22"/>
                <w:szCs w:val="22"/>
                <w:lang w:val="en-US"/>
              </w:rPr>
              <w:t>Explanation for ranking</w:t>
            </w:r>
          </w:p>
          <w:p w14:paraId="643176EB" w14:textId="77777777" w:rsidR="006B3F46" w:rsidRPr="0021277B" w:rsidRDefault="006B3F46" w:rsidP="006B3F46">
            <w:pPr>
              <w:pStyle w:val="ListParagraph"/>
              <w:widowControl w:val="0"/>
              <w:numPr>
                <w:ilvl w:val="0"/>
                <w:numId w:val="24"/>
              </w:numPr>
              <w:autoSpaceDE w:val="0"/>
              <w:autoSpaceDN w:val="0"/>
              <w:adjustRightInd w:val="0"/>
              <w:ind w:leftChars="0" w:left="319"/>
              <w:contextualSpacing/>
              <w:rPr>
                <w:rFonts w:eastAsia="MS Mincho"/>
                <w:szCs w:val="22"/>
                <w:lang w:val="en-US"/>
              </w:rPr>
            </w:pPr>
            <w:r>
              <w:rPr>
                <w:rFonts w:eastAsia="MS Mincho"/>
                <w:szCs w:val="22"/>
                <w:lang w:val="en-US"/>
              </w:rPr>
              <w:t>The s</w:t>
            </w:r>
            <w:r w:rsidRPr="0021277B">
              <w:rPr>
                <w:rFonts w:eastAsia="MS Mincho"/>
                <w:szCs w:val="22"/>
                <w:lang w:val="en-US"/>
              </w:rPr>
              <w:t xml:space="preserve">ubmarine canyons </w:t>
            </w:r>
            <w:r>
              <w:rPr>
                <w:rFonts w:eastAsia="MS Mincho"/>
                <w:szCs w:val="22"/>
                <w:lang w:val="en-US"/>
              </w:rPr>
              <w:t xml:space="preserve">known as </w:t>
            </w:r>
            <w:r w:rsidRPr="0021277B">
              <w:rPr>
                <w:rFonts w:eastAsia="MS Mincho"/>
                <w:szCs w:val="22"/>
                <w:lang w:val="en-US"/>
              </w:rPr>
              <w:t xml:space="preserve">Mugia, Aveiro, Porto, Cascais, Lisboa, Nazaré, Setúbal, Faro, Lagos, Portimão, Sagres and São Vicente are prominent topographic features connecting shallow coastal waters to the deep continental margin and contribute as preferential pathways to the channeling (efficient drainage) of water masses, sediments and organic matter from the shore to deep basins (Nittrouer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1994; Xu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2002; Canals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2006; Shepard, 1981; Wynn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2002; Normark &amp; Carlson, 2003; Weaver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2004; Canals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2006). </w:t>
            </w:r>
          </w:p>
          <w:p w14:paraId="58AC08E9" w14:textId="77777777" w:rsidR="006B3F46" w:rsidRPr="0021277B" w:rsidRDefault="006B3F46" w:rsidP="006B3F46">
            <w:pPr>
              <w:pStyle w:val="ListParagraph"/>
              <w:widowControl w:val="0"/>
              <w:numPr>
                <w:ilvl w:val="0"/>
                <w:numId w:val="23"/>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The Nazaré </w:t>
            </w:r>
            <w:r>
              <w:rPr>
                <w:rFonts w:eastAsia="MS Mincho"/>
                <w:szCs w:val="22"/>
                <w:lang w:val="en-US"/>
              </w:rPr>
              <w:t>C</w:t>
            </w:r>
            <w:r w:rsidRPr="0021277B">
              <w:rPr>
                <w:rFonts w:eastAsia="MS Mincho"/>
                <w:szCs w:val="22"/>
                <w:lang w:val="en-US"/>
              </w:rPr>
              <w:t xml:space="preserve">anyon is one of the largest and deepest submarine valleys in the world (Duarte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2000; Duarte, 2002; Duarte &amp; Taborda, 2003; de Stigter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2007).</w:t>
            </w:r>
          </w:p>
          <w:p w14:paraId="5ADEAFEE" w14:textId="77777777" w:rsidR="006B3F46" w:rsidRPr="0021277B" w:rsidRDefault="006B3F46" w:rsidP="006B3F46">
            <w:pPr>
              <w:pStyle w:val="ListParagraph"/>
              <w:widowControl w:val="0"/>
              <w:numPr>
                <w:ilvl w:val="0"/>
                <w:numId w:val="23"/>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The </w:t>
            </w:r>
            <w:r w:rsidRPr="00DC2CB6">
              <w:rPr>
                <w:rFonts w:eastAsia="MS Mincho"/>
                <w:szCs w:val="22"/>
                <w:lang w:val="en-US"/>
              </w:rPr>
              <w:t xml:space="preserve">fauna and flora </w:t>
            </w:r>
            <w:r>
              <w:rPr>
                <w:rFonts w:eastAsia="MS Mincho"/>
                <w:szCs w:val="22"/>
                <w:lang w:val="en-US"/>
              </w:rPr>
              <w:t xml:space="preserve">of the </w:t>
            </w:r>
            <w:r w:rsidRPr="0021277B">
              <w:rPr>
                <w:rFonts w:eastAsia="MS Mincho"/>
                <w:szCs w:val="22"/>
                <w:lang w:val="en-US"/>
              </w:rPr>
              <w:t xml:space="preserve">Berlenga archipelago present unique characteristics even though located near the mainland. The first colonizers arrived about 15,000 years ago, when the valleys (nowadays submarine valleys) were solid ground. They evolved very differently to </w:t>
            </w:r>
            <w:r>
              <w:rPr>
                <w:rFonts w:eastAsia="MS Mincho"/>
                <w:szCs w:val="22"/>
                <w:lang w:val="en-US"/>
              </w:rPr>
              <w:t>their</w:t>
            </w:r>
            <w:r w:rsidRPr="0021277B">
              <w:rPr>
                <w:rFonts w:eastAsia="MS Mincho"/>
                <w:szCs w:val="22"/>
                <w:lang w:val="en-US"/>
              </w:rPr>
              <w:t xml:space="preserve"> “continental siblings” due to other types of pressures, giving rise to different life forms. The Berlengas host the only population of band-rumped storm petrel (</w:t>
            </w:r>
            <w:r w:rsidRPr="0021277B">
              <w:rPr>
                <w:rFonts w:eastAsia="MS Mincho"/>
                <w:i/>
                <w:szCs w:val="22"/>
                <w:lang w:val="en-US"/>
              </w:rPr>
              <w:t>Hydrobates castro</w:t>
            </w:r>
            <w:r w:rsidRPr="0021277B">
              <w:rPr>
                <w:rFonts w:eastAsia="MS Mincho"/>
                <w:szCs w:val="22"/>
                <w:lang w:val="en-US"/>
              </w:rPr>
              <w:t>) and one of the very few of Cory’s shearwater (</w:t>
            </w:r>
            <w:r w:rsidRPr="0021277B">
              <w:rPr>
                <w:rFonts w:eastAsia="MS Mincho"/>
                <w:i/>
                <w:szCs w:val="22"/>
                <w:lang w:val="en-US"/>
              </w:rPr>
              <w:t>Calonectris borealis</w:t>
            </w:r>
            <w:r w:rsidRPr="0021277B">
              <w:rPr>
                <w:rFonts w:eastAsia="MS Mincho"/>
                <w:szCs w:val="22"/>
                <w:lang w:val="en-US"/>
              </w:rPr>
              <w:t xml:space="preserve">) of continental Europe, the residual population of common guillemot </w:t>
            </w:r>
            <w:r w:rsidRPr="0021277B">
              <w:rPr>
                <w:rFonts w:eastAsia="MS Mincho"/>
                <w:i/>
                <w:szCs w:val="22"/>
                <w:lang w:val="en-US"/>
              </w:rPr>
              <w:t>(Uria aalge</w:t>
            </w:r>
            <w:r w:rsidRPr="0021277B">
              <w:rPr>
                <w:rFonts w:eastAsia="MS Mincho"/>
                <w:szCs w:val="22"/>
                <w:lang w:val="en-US"/>
              </w:rPr>
              <w:t>), the largest national population of shags (</w:t>
            </w:r>
            <w:r w:rsidRPr="0021277B">
              <w:rPr>
                <w:rFonts w:eastAsia="MS Mincho"/>
                <w:i/>
                <w:szCs w:val="22"/>
                <w:lang w:val="en-US"/>
              </w:rPr>
              <w:t>Phalacrocorax aristotelis</w:t>
            </w:r>
            <w:r w:rsidRPr="0021277B">
              <w:rPr>
                <w:rFonts w:eastAsia="MS Mincho"/>
                <w:szCs w:val="22"/>
                <w:lang w:val="en-US"/>
              </w:rPr>
              <w:t>), the only couples of lesser black-backed gulls (</w:t>
            </w:r>
            <w:r w:rsidRPr="0021277B">
              <w:rPr>
                <w:rFonts w:eastAsia="MS Mincho"/>
                <w:i/>
                <w:szCs w:val="22"/>
                <w:lang w:val="en-US"/>
              </w:rPr>
              <w:t>Larus fuscus</w:t>
            </w:r>
            <w:r w:rsidRPr="0021277B">
              <w:rPr>
                <w:rFonts w:eastAsia="MS Mincho"/>
                <w:szCs w:val="22"/>
                <w:lang w:val="en-US"/>
              </w:rPr>
              <w:t>) that reproduce in Portugal, and the largest colony in the country of yellow-legged gull (</w:t>
            </w:r>
            <w:r w:rsidRPr="0021277B">
              <w:rPr>
                <w:rFonts w:eastAsia="MS Mincho"/>
                <w:i/>
                <w:szCs w:val="22"/>
                <w:lang w:val="en-US"/>
              </w:rPr>
              <w:t>Larus michahellis</w:t>
            </w:r>
            <w:r w:rsidRPr="0021277B">
              <w:rPr>
                <w:rFonts w:eastAsia="MS Mincho"/>
                <w:szCs w:val="22"/>
                <w:lang w:val="en-US"/>
              </w:rPr>
              <w:t xml:space="preserve">), with more than 25,000 birds (Azevedo &amp; Nunes, 2010; BirdLife </w:t>
            </w:r>
            <w:r w:rsidRPr="0006066A">
              <w:rPr>
                <w:rFonts w:eastAsia="MS Mincho"/>
                <w:i/>
                <w:szCs w:val="22"/>
                <w:lang w:val="en-US"/>
              </w:rPr>
              <w:t>et al</w:t>
            </w:r>
            <w:r w:rsidRPr="0021277B">
              <w:rPr>
                <w:rFonts w:eastAsia="MS Mincho"/>
                <w:szCs w:val="22"/>
                <w:lang w:val="en-US"/>
              </w:rPr>
              <w:t>. 2019).</w:t>
            </w:r>
          </w:p>
          <w:p w14:paraId="012C8D35" w14:textId="64151AFB" w:rsidR="006B3F46" w:rsidRPr="002E4B39" w:rsidRDefault="006B3F46" w:rsidP="002E4B39">
            <w:pPr>
              <w:pStyle w:val="ListParagraph"/>
              <w:numPr>
                <w:ilvl w:val="0"/>
                <w:numId w:val="24"/>
              </w:numPr>
              <w:ind w:leftChars="0" w:left="319"/>
              <w:contextualSpacing/>
              <w:rPr>
                <w:rFonts w:eastAsia="MS Mincho"/>
                <w:szCs w:val="22"/>
                <w:lang w:val="en-US"/>
              </w:rPr>
            </w:pPr>
            <w:r>
              <w:rPr>
                <w:rFonts w:eastAsia="MS Mincho"/>
                <w:szCs w:val="22"/>
                <w:lang w:val="en-US"/>
              </w:rPr>
              <w:t xml:space="preserve">The </w:t>
            </w:r>
            <w:r w:rsidRPr="0021277B">
              <w:rPr>
                <w:rFonts w:eastAsia="MS Mincho"/>
                <w:szCs w:val="22"/>
                <w:lang w:val="en-US"/>
              </w:rPr>
              <w:t>Galicia Bank is located 180 km from the Galician coast and is influenced by various regions and water masses, which create a great disparity of environments. More than 20 new species hav</w:t>
            </w:r>
            <w:r>
              <w:rPr>
                <w:rFonts w:eastAsia="MS Mincho"/>
                <w:szCs w:val="22"/>
                <w:lang w:val="en-US"/>
              </w:rPr>
              <w:t>e</w:t>
            </w:r>
            <w:r w:rsidRPr="0021277B">
              <w:rPr>
                <w:rFonts w:eastAsia="MS Mincho"/>
                <w:szCs w:val="22"/>
                <w:lang w:val="en-US"/>
              </w:rPr>
              <w:t xml:space="preserve"> been identified on this seamount (De la Torriente </w:t>
            </w:r>
            <w:r w:rsidRPr="0006066A">
              <w:rPr>
                <w:rFonts w:eastAsia="MS Mincho"/>
                <w:i/>
                <w:szCs w:val="22"/>
                <w:lang w:val="en-US"/>
              </w:rPr>
              <w:t>et al</w:t>
            </w:r>
            <w:r w:rsidRPr="0021277B">
              <w:rPr>
                <w:rFonts w:eastAsia="MS Mincho"/>
                <w:szCs w:val="22"/>
                <w:lang w:val="en-US"/>
              </w:rPr>
              <w:t xml:space="preserve">., 2014; Gofas </w:t>
            </w:r>
            <w:r w:rsidRPr="0006066A">
              <w:rPr>
                <w:rFonts w:eastAsia="MS Mincho"/>
                <w:i/>
                <w:szCs w:val="22"/>
                <w:lang w:val="en-US"/>
              </w:rPr>
              <w:t>et al</w:t>
            </w:r>
            <w:r w:rsidRPr="0021277B">
              <w:rPr>
                <w:rFonts w:eastAsia="MS Mincho"/>
                <w:szCs w:val="22"/>
                <w:lang w:val="en-US"/>
              </w:rPr>
              <w:t>., 2014).</w:t>
            </w:r>
          </w:p>
        </w:tc>
      </w:tr>
      <w:tr w:rsidR="006B3F46" w:rsidRPr="0021277B" w14:paraId="43830238" w14:textId="77777777" w:rsidTr="00907941">
        <w:tc>
          <w:tcPr>
            <w:tcW w:w="783" w:type="pct"/>
            <w:shd w:val="clear" w:color="auto" w:fill="auto"/>
          </w:tcPr>
          <w:p w14:paraId="05EBB6E9"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80" w:type="pct"/>
            <w:shd w:val="clear" w:color="auto" w:fill="auto"/>
          </w:tcPr>
          <w:p w14:paraId="3ED4C500"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vAlign w:val="center"/>
          </w:tcPr>
          <w:p w14:paraId="0396639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3B78284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0BAEB02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47A9432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color w:val="000000"/>
                <w:sz w:val="22"/>
                <w:szCs w:val="22"/>
                <w:lang w:val="en-US"/>
              </w:rPr>
              <w:t>X</w:t>
            </w:r>
          </w:p>
        </w:tc>
      </w:tr>
      <w:tr w:rsidR="006B3F46" w:rsidRPr="0021277B" w14:paraId="0D0B2ED1" w14:textId="77777777" w:rsidTr="00907941">
        <w:tc>
          <w:tcPr>
            <w:tcW w:w="5000" w:type="pct"/>
            <w:gridSpan w:val="11"/>
            <w:shd w:val="clear" w:color="auto" w:fill="auto"/>
          </w:tcPr>
          <w:p w14:paraId="13F8F543" w14:textId="77777777" w:rsidR="006B3F46" w:rsidRPr="0021277B" w:rsidRDefault="006B3F46" w:rsidP="00907941">
            <w:pPr>
              <w:widowControl w:val="0"/>
              <w:autoSpaceDE w:val="0"/>
              <w:autoSpaceDN w:val="0"/>
              <w:adjustRightInd w:val="0"/>
              <w:jc w:val="both"/>
              <w:rPr>
                <w:rFonts w:eastAsia="MS Mincho"/>
                <w:i/>
                <w:iCs/>
                <w:sz w:val="22"/>
                <w:szCs w:val="22"/>
                <w:lang w:val="en-US"/>
              </w:rPr>
            </w:pPr>
            <w:r w:rsidRPr="0021277B">
              <w:rPr>
                <w:rFonts w:eastAsia="MS Mincho"/>
                <w:i/>
                <w:iCs/>
                <w:sz w:val="22"/>
                <w:szCs w:val="22"/>
                <w:lang w:val="en-US"/>
              </w:rPr>
              <w:t>Explanation for ranking</w:t>
            </w:r>
          </w:p>
          <w:p w14:paraId="50E5D9CA" w14:textId="77777777" w:rsidR="006B3F46" w:rsidRPr="0021277B" w:rsidRDefault="006B3F46" w:rsidP="006B3F46">
            <w:pPr>
              <w:pStyle w:val="ListParagraph"/>
              <w:numPr>
                <w:ilvl w:val="0"/>
                <w:numId w:val="25"/>
              </w:numPr>
              <w:ind w:leftChars="0" w:left="319"/>
              <w:contextualSpacing/>
              <w:rPr>
                <w:rFonts w:eastAsia="Times New Roman"/>
                <w:szCs w:val="22"/>
              </w:rPr>
            </w:pPr>
            <w:r w:rsidRPr="0021277B">
              <w:rPr>
                <w:rFonts w:eastAsia="Times New Roman"/>
                <w:szCs w:val="22"/>
              </w:rPr>
              <w:t xml:space="preserve">Both fin and sperm whales </w:t>
            </w:r>
            <w:r w:rsidRPr="00732DA9">
              <w:rPr>
                <w:rFonts w:eastAsia="Times New Roman"/>
                <w:szCs w:val="22"/>
              </w:rPr>
              <w:t>(</w:t>
            </w:r>
            <w:r w:rsidRPr="0021277B">
              <w:rPr>
                <w:rFonts w:eastAsia="Times New Roman"/>
                <w:i/>
                <w:szCs w:val="22"/>
              </w:rPr>
              <w:t>Balaenoptera physalus</w:t>
            </w:r>
            <w:r>
              <w:rPr>
                <w:rFonts w:eastAsia="Times New Roman"/>
                <w:szCs w:val="22"/>
              </w:rPr>
              <w:t xml:space="preserve"> and </w:t>
            </w:r>
            <w:r w:rsidRPr="0021277B">
              <w:rPr>
                <w:rFonts w:eastAsia="Times New Roman"/>
                <w:i/>
                <w:szCs w:val="22"/>
              </w:rPr>
              <w:t>Physeter macrocephalus</w:t>
            </w:r>
            <w:r>
              <w:rPr>
                <w:rFonts w:eastAsia="Times New Roman"/>
                <w:szCs w:val="22"/>
              </w:rPr>
              <w:t>, respectively</w:t>
            </w:r>
            <w:r w:rsidRPr="00732DA9">
              <w:rPr>
                <w:rFonts w:eastAsia="Times New Roman"/>
                <w:szCs w:val="22"/>
              </w:rPr>
              <w:t xml:space="preserve">) </w:t>
            </w:r>
            <w:r w:rsidRPr="0021277B">
              <w:rPr>
                <w:rFonts w:eastAsia="Times New Roman"/>
                <w:szCs w:val="22"/>
              </w:rPr>
              <w:t xml:space="preserve">are migratory species and seasonally move into and through the area to other known key lifecycle areas (foraging, resting, breeding), such as the inner Bay of Biscay and Biscay Seamounts (Cooke, 2018).  </w:t>
            </w:r>
          </w:p>
          <w:p w14:paraId="1CE0FB0B" w14:textId="77777777" w:rsidR="006B3F46" w:rsidRPr="0021277B" w:rsidRDefault="006B3F46" w:rsidP="006B3F46">
            <w:pPr>
              <w:pStyle w:val="ListParagraph"/>
              <w:widowControl w:val="0"/>
              <w:numPr>
                <w:ilvl w:val="0"/>
                <w:numId w:val="25"/>
              </w:numPr>
              <w:autoSpaceDE w:val="0"/>
              <w:autoSpaceDN w:val="0"/>
              <w:adjustRightInd w:val="0"/>
              <w:ind w:leftChars="0" w:left="319"/>
              <w:contextualSpacing/>
              <w:rPr>
                <w:rFonts w:eastAsia="MS Mincho"/>
                <w:color w:val="000000"/>
                <w:szCs w:val="22"/>
                <w:lang w:val="en-US"/>
              </w:rPr>
            </w:pPr>
            <w:r w:rsidRPr="0021277B">
              <w:rPr>
                <w:rFonts w:eastAsia="MS Mincho"/>
                <w:color w:val="000000"/>
                <w:szCs w:val="22"/>
                <w:lang w:val="en-US"/>
              </w:rPr>
              <w:t>Spawning ground of demersal species such as the hake (</w:t>
            </w:r>
            <w:r w:rsidRPr="0021277B">
              <w:rPr>
                <w:rFonts w:eastAsia="MS Mincho"/>
                <w:i/>
                <w:iCs/>
                <w:color w:val="000000"/>
                <w:szCs w:val="22"/>
                <w:lang w:val="en-US"/>
              </w:rPr>
              <w:t>Merluccius merluccius</w:t>
            </w:r>
            <w:r w:rsidRPr="0021277B">
              <w:rPr>
                <w:rFonts w:eastAsia="MS Mincho"/>
                <w:color w:val="000000"/>
                <w:szCs w:val="22"/>
                <w:lang w:val="en-US"/>
              </w:rPr>
              <w:t>)</w:t>
            </w:r>
            <w:r>
              <w:rPr>
                <w:rFonts w:eastAsia="MS Mincho"/>
                <w:color w:val="000000"/>
                <w:szCs w:val="22"/>
                <w:lang w:val="en-US"/>
              </w:rPr>
              <w:t xml:space="preserve"> </w:t>
            </w:r>
            <w:r w:rsidRPr="0021277B">
              <w:rPr>
                <w:rFonts w:eastAsia="MS Mincho"/>
                <w:color w:val="000000"/>
                <w:szCs w:val="22"/>
                <w:lang w:val="en-US"/>
              </w:rPr>
              <w:t>(Sánchez and Gil, 2000).</w:t>
            </w:r>
          </w:p>
          <w:p w14:paraId="7E0B949B" w14:textId="77777777" w:rsidR="006B3F46" w:rsidRPr="0021277B" w:rsidRDefault="006B3F46" w:rsidP="006B3F46">
            <w:pPr>
              <w:pStyle w:val="ListParagraph"/>
              <w:widowControl w:val="0"/>
              <w:numPr>
                <w:ilvl w:val="0"/>
                <w:numId w:val="25"/>
              </w:numPr>
              <w:autoSpaceDE w:val="0"/>
              <w:autoSpaceDN w:val="0"/>
              <w:adjustRightInd w:val="0"/>
              <w:ind w:leftChars="0" w:left="319"/>
              <w:contextualSpacing/>
              <w:rPr>
                <w:rFonts w:eastAsia="MS Mincho"/>
                <w:color w:val="000000"/>
                <w:szCs w:val="22"/>
                <w:lang w:val="en-US"/>
              </w:rPr>
            </w:pPr>
            <w:r w:rsidRPr="0021277B">
              <w:rPr>
                <w:rFonts w:eastAsia="MS Mincho"/>
                <w:color w:val="000000"/>
                <w:szCs w:val="22"/>
                <w:lang w:val="en-US"/>
              </w:rPr>
              <w:t xml:space="preserve">Female </w:t>
            </w:r>
            <w:r w:rsidRPr="0021277B">
              <w:rPr>
                <w:rFonts w:eastAsia="MS Mincho"/>
                <w:i/>
                <w:iCs/>
                <w:color w:val="000000"/>
                <w:szCs w:val="22"/>
                <w:lang w:val="en-US"/>
              </w:rPr>
              <w:t>Nephrops norvegicus</w:t>
            </w:r>
            <w:r w:rsidRPr="0021277B">
              <w:rPr>
                <w:rFonts w:eastAsia="MS Mincho"/>
                <w:color w:val="000000"/>
                <w:szCs w:val="22"/>
                <w:lang w:val="en-US"/>
              </w:rPr>
              <w:t xml:space="preserve"> spawn from April to August and brood eggs for </w:t>
            </w:r>
            <w:r>
              <w:rPr>
                <w:rFonts w:eastAsia="MS Mincho"/>
                <w:color w:val="000000"/>
                <w:szCs w:val="22"/>
                <w:lang w:val="en-US"/>
              </w:rPr>
              <w:t>seven</w:t>
            </w:r>
            <w:r w:rsidRPr="0021277B">
              <w:rPr>
                <w:rFonts w:eastAsia="MS Mincho"/>
                <w:color w:val="000000"/>
                <w:szCs w:val="22"/>
                <w:lang w:val="en-US"/>
              </w:rPr>
              <w:t xml:space="preserve"> months. The larvae develop in the plankton for one month before settling to the seabed (Lavín </w:t>
            </w:r>
            <w:r w:rsidRPr="0006066A">
              <w:rPr>
                <w:rFonts w:eastAsia="MS Mincho"/>
                <w:i/>
                <w:color w:val="000000"/>
                <w:szCs w:val="22"/>
                <w:lang w:val="en-US"/>
              </w:rPr>
              <w:t>et al</w:t>
            </w:r>
            <w:r w:rsidRPr="0021277B">
              <w:rPr>
                <w:rFonts w:eastAsia="MS Mincho"/>
                <w:color w:val="000000"/>
                <w:szCs w:val="22"/>
                <w:lang w:val="en-US"/>
              </w:rPr>
              <w:t>., 2004).</w:t>
            </w:r>
          </w:p>
          <w:p w14:paraId="1D5106AE" w14:textId="77777777" w:rsidR="006B3F46" w:rsidRDefault="006B3F46" w:rsidP="006B3F46">
            <w:pPr>
              <w:pStyle w:val="ListParagraph"/>
              <w:widowControl w:val="0"/>
              <w:numPr>
                <w:ilvl w:val="0"/>
                <w:numId w:val="25"/>
              </w:numPr>
              <w:autoSpaceDE w:val="0"/>
              <w:autoSpaceDN w:val="0"/>
              <w:adjustRightInd w:val="0"/>
              <w:ind w:leftChars="0" w:left="319"/>
              <w:contextualSpacing/>
              <w:rPr>
                <w:rFonts w:eastAsia="MS Mincho"/>
                <w:color w:val="000000"/>
                <w:szCs w:val="22"/>
                <w:lang w:val="en-US"/>
              </w:rPr>
            </w:pPr>
            <w:r w:rsidRPr="0021277B">
              <w:rPr>
                <w:rFonts w:eastAsia="MS Mincho"/>
                <w:color w:val="000000"/>
                <w:szCs w:val="22"/>
                <w:lang w:val="en-US"/>
              </w:rPr>
              <w:t xml:space="preserve">The Berlengas archipelago is the most important breeding area for seabird species in mainland Portugal, supporting the only known colonies of Procellariiformes, and the largest colony of yellow-legged gull </w:t>
            </w:r>
            <w:r>
              <w:rPr>
                <w:rFonts w:eastAsia="MS Mincho"/>
                <w:color w:val="000000"/>
                <w:szCs w:val="22"/>
                <w:lang w:val="en-US"/>
              </w:rPr>
              <w:t>(</w:t>
            </w:r>
            <w:r w:rsidRPr="0021277B">
              <w:rPr>
                <w:rFonts w:eastAsia="MS Mincho"/>
                <w:i/>
                <w:color w:val="000000"/>
                <w:szCs w:val="22"/>
                <w:lang w:val="en-US"/>
              </w:rPr>
              <w:t xml:space="preserve">Larus </w:t>
            </w:r>
            <w:r w:rsidRPr="0021277B">
              <w:rPr>
                <w:rFonts w:eastAsia="MS Mincho"/>
                <w:i/>
                <w:noProof/>
                <w:color w:val="000000"/>
                <w:szCs w:val="22"/>
                <w:lang w:val="en-US"/>
              </w:rPr>
              <w:t>michahellis</w:t>
            </w:r>
            <w:r>
              <w:rPr>
                <w:rFonts w:eastAsia="MS Mincho"/>
                <w:i/>
                <w:noProof/>
                <w:color w:val="000000"/>
                <w:szCs w:val="22"/>
                <w:lang w:val="en-US"/>
              </w:rPr>
              <w:t>)</w:t>
            </w:r>
            <w:r w:rsidRPr="0021277B">
              <w:rPr>
                <w:rFonts w:eastAsia="MS Mincho"/>
                <w:color w:val="000000"/>
                <w:szCs w:val="22"/>
                <w:lang w:val="en-US"/>
              </w:rPr>
              <w:t xml:space="preserve"> in the country. </w:t>
            </w:r>
            <w:r w:rsidRPr="0021277B">
              <w:rPr>
                <w:rFonts w:eastAsia="MS Mincho"/>
                <w:szCs w:val="22"/>
                <w:lang w:val="en-US"/>
              </w:rPr>
              <w:t xml:space="preserve">Berlenga </w:t>
            </w:r>
            <w:r w:rsidRPr="001129A2">
              <w:rPr>
                <w:rFonts w:eastAsia="MS Mincho"/>
                <w:szCs w:val="22"/>
                <w:lang w:val="en-US"/>
              </w:rPr>
              <w:t>also</w:t>
            </w:r>
            <w:r w:rsidRPr="00732DA9">
              <w:rPr>
                <w:rFonts w:eastAsia="MS Mincho"/>
                <w:szCs w:val="22"/>
                <w:lang w:val="en-US"/>
              </w:rPr>
              <w:t xml:space="preserve"> </w:t>
            </w:r>
            <w:r w:rsidRPr="0021277B">
              <w:rPr>
                <w:rFonts w:eastAsia="MS Mincho"/>
                <w:szCs w:val="22"/>
                <w:lang w:val="en-US"/>
              </w:rPr>
              <w:t xml:space="preserve">features the only breeding populations of pelagic seabirds in continental Portugal: the Cory’s </w:t>
            </w:r>
            <w:r>
              <w:rPr>
                <w:rFonts w:eastAsia="MS Mincho"/>
                <w:szCs w:val="22"/>
                <w:lang w:val="en-US"/>
              </w:rPr>
              <w:t>s</w:t>
            </w:r>
            <w:r w:rsidRPr="0021277B">
              <w:rPr>
                <w:rFonts w:eastAsia="MS Mincho"/>
                <w:szCs w:val="22"/>
                <w:lang w:val="en-US"/>
              </w:rPr>
              <w:t>hearwater (</w:t>
            </w:r>
            <w:r w:rsidRPr="0021277B">
              <w:rPr>
                <w:rFonts w:eastAsia="MS Mincho"/>
                <w:i/>
                <w:szCs w:val="22"/>
                <w:lang w:val="en-US"/>
              </w:rPr>
              <w:t xml:space="preserve">Calonectris </w:t>
            </w:r>
            <w:r w:rsidRPr="0021277B">
              <w:rPr>
                <w:rFonts w:eastAsia="MS Mincho"/>
                <w:i/>
                <w:noProof/>
                <w:szCs w:val="22"/>
                <w:lang w:val="en-US"/>
              </w:rPr>
              <w:t>borealis</w:t>
            </w:r>
            <w:r w:rsidRPr="0021277B">
              <w:rPr>
                <w:rFonts w:eastAsia="MS Mincho"/>
                <w:szCs w:val="22"/>
                <w:lang w:val="en-US"/>
              </w:rPr>
              <w:t xml:space="preserve">), the </w:t>
            </w:r>
            <w:r>
              <w:rPr>
                <w:rFonts w:eastAsia="MS Mincho"/>
                <w:szCs w:val="22"/>
                <w:lang w:val="en-US"/>
              </w:rPr>
              <w:t>b</w:t>
            </w:r>
            <w:r w:rsidRPr="0021277B">
              <w:rPr>
                <w:rFonts w:eastAsia="MS Mincho"/>
                <w:szCs w:val="22"/>
                <w:lang w:val="en-US"/>
              </w:rPr>
              <w:t xml:space="preserve">and-rumped </w:t>
            </w:r>
            <w:r>
              <w:rPr>
                <w:rFonts w:eastAsia="MS Mincho"/>
                <w:szCs w:val="22"/>
                <w:lang w:val="en-US"/>
              </w:rPr>
              <w:t>s</w:t>
            </w:r>
            <w:r w:rsidRPr="0021277B">
              <w:rPr>
                <w:rFonts w:eastAsia="MS Mincho"/>
                <w:szCs w:val="22"/>
                <w:lang w:val="en-US"/>
              </w:rPr>
              <w:t>torm-</w:t>
            </w:r>
            <w:r>
              <w:rPr>
                <w:rFonts w:eastAsia="MS Mincho"/>
                <w:szCs w:val="22"/>
                <w:lang w:val="en-US"/>
              </w:rPr>
              <w:t>p</w:t>
            </w:r>
            <w:r w:rsidRPr="0021277B">
              <w:rPr>
                <w:rFonts w:eastAsia="MS Mincho"/>
                <w:szCs w:val="22"/>
                <w:lang w:val="en-US"/>
              </w:rPr>
              <w:t>etrel (</w:t>
            </w:r>
            <w:r w:rsidRPr="0021277B">
              <w:rPr>
                <w:rFonts w:eastAsia="MS Mincho"/>
                <w:i/>
                <w:szCs w:val="22"/>
                <w:lang w:val="en-US"/>
              </w:rPr>
              <w:t xml:space="preserve">Hydrobates </w:t>
            </w:r>
            <w:r w:rsidRPr="0021277B">
              <w:rPr>
                <w:rFonts w:eastAsia="MS Mincho"/>
                <w:i/>
                <w:noProof/>
                <w:szCs w:val="22"/>
                <w:lang w:val="en-US"/>
              </w:rPr>
              <w:t>castro</w:t>
            </w:r>
            <w:r w:rsidRPr="0021277B">
              <w:rPr>
                <w:rFonts w:eastAsia="MS Mincho"/>
                <w:szCs w:val="22"/>
                <w:lang w:val="en-US"/>
              </w:rPr>
              <w:t xml:space="preserve">), the European </w:t>
            </w:r>
            <w:r>
              <w:rPr>
                <w:rFonts w:eastAsia="MS Mincho"/>
                <w:szCs w:val="22"/>
                <w:lang w:val="en-US"/>
              </w:rPr>
              <w:t>s</w:t>
            </w:r>
            <w:r w:rsidRPr="0021277B">
              <w:rPr>
                <w:rFonts w:eastAsia="MS Mincho"/>
                <w:szCs w:val="22"/>
                <w:lang w:val="en-US"/>
              </w:rPr>
              <w:t>hag (</w:t>
            </w:r>
            <w:r w:rsidRPr="0021277B">
              <w:rPr>
                <w:rFonts w:eastAsia="MS Mincho"/>
                <w:i/>
                <w:noProof/>
                <w:szCs w:val="22"/>
                <w:lang w:val="en-US"/>
              </w:rPr>
              <w:t>Phalacrorax</w:t>
            </w:r>
            <w:r w:rsidRPr="0021277B">
              <w:rPr>
                <w:rFonts w:eastAsia="MS Mincho"/>
                <w:i/>
                <w:szCs w:val="22"/>
                <w:lang w:val="en-US"/>
              </w:rPr>
              <w:t xml:space="preserve"> </w:t>
            </w:r>
            <w:r w:rsidRPr="0021277B">
              <w:rPr>
                <w:rFonts w:eastAsia="MS Mincho"/>
                <w:i/>
                <w:noProof/>
                <w:szCs w:val="22"/>
                <w:lang w:val="en-US"/>
              </w:rPr>
              <w:t>aristotelis</w:t>
            </w:r>
            <w:r w:rsidRPr="0021277B">
              <w:rPr>
                <w:rFonts w:eastAsia="MS Mincho"/>
                <w:szCs w:val="22"/>
                <w:lang w:val="en-US"/>
              </w:rPr>
              <w:t xml:space="preserve">), </w:t>
            </w:r>
            <w:r>
              <w:rPr>
                <w:rFonts w:eastAsia="MS Mincho"/>
                <w:szCs w:val="22"/>
                <w:lang w:val="en-US"/>
              </w:rPr>
              <w:t>l</w:t>
            </w:r>
            <w:r w:rsidRPr="0021277B">
              <w:rPr>
                <w:rFonts w:eastAsia="MS Mincho"/>
                <w:szCs w:val="22"/>
                <w:lang w:val="en-US"/>
              </w:rPr>
              <w:t xml:space="preserve">esser </w:t>
            </w:r>
            <w:r>
              <w:rPr>
                <w:rFonts w:eastAsia="MS Mincho"/>
                <w:szCs w:val="22"/>
                <w:lang w:val="en-US"/>
              </w:rPr>
              <w:t>b</w:t>
            </w:r>
            <w:r w:rsidRPr="0021277B">
              <w:rPr>
                <w:rFonts w:eastAsia="MS Mincho"/>
                <w:szCs w:val="22"/>
                <w:lang w:val="en-US"/>
              </w:rPr>
              <w:t xml:space="preserve">lack-backed </w:t>
            </w:r>
            <w:r>
              <w:rPr>
                <w:rFonts w:eastAsia="MS Mincho"/>
                <w:szCs w:val="22"/>
                <w:lang w:val="en-US"/>
              </w:rPr>
              <w:t>g</w:t>
            </w:r>
            <w:r w:rsidRPr="0021277B">
              <w:rPr>
                <w:rFonts w:eastAsia="MS Mincho"/>
                <w:szCs w:val="22"/>
                <w:lang w:val="en-US"/>
              </w:rPr>
              <w:t xml:space="preserve">ull </w:t>
            </w:r>
            <w:r>
              <w:rPr>
                <w:rFonts w:eastAsia="MS Mincho"/>
                <w:szCs w:val="22"/>
                <w:lang w:val="en-US"/>
              </w:rPr>
              <w:t>(</w:t>
            </w:r>
            <w:r w:rsidRPr="0021277B">
              <w:rPr>
                <w:rFonts w:eastAsia="MS Mincho"/>
                <w:i/>
                <w:szCs w:val="22"/>
                <w:lang w:val="en-US"/>
              </w:rPr>
              <w:t xml:space="preserve">Larus </w:t>
            </w:r>
            <w:r w:rsidRPr="0021277B">
              <w:rPr>
                <w:rFonts w:eastAsia="MS Mincho"/>
                <w:i/>
                <w:noProof/>
                <w:szCs w:val="22"/>
                <w:lang w:val="en-US"/>
              </w:rPr>
              <w:t>fuscus</w:t>
            </w:r>
            <w:r>
              <w:rPr>
                <w:rFonts w:eastAsia="MS Mincho"/>
                <w:i/>
                <w:noProof/>
                <w:szCs w:val="22"/>
                <w:lang w:val="en-US"/>
              </w:rPr>
              <w:t>)</w:t>
            </w:r>
            <w:r w:rsidRPr="0021277B">
              <w:rPr>
                <w:rFonts w:eastAsia="MS Mincho"/>
                <w:szCs w:val="22"/>
                <w:lang w:val="en-US"/>
              </w:rPr>
              <w:t xml:space="preserve">, and until recently, the critically endangered </w:t>
            </w:r>
            <w:r>
              <w:rPr>
                <w:rFonts w:eastAsia="MS Mincho"/>
                <w:szCs w:val="22"/>
                <w:lang w:val="en-US"/>
              </w:rPr>
              <w:t>c</w:t>
            </w:r>
            <w:r w:rsidRPr="0021277B">
              <w:rPr>
                <w:rFonts w:eastAsia="MS Mincho"/>
                <w:szCs w:val="22"/>
                <w:lang w:val="en-US"/>
              </w:rPr>
              <w:t xml:space="preserve">ommon </w:t>
            </w:r>
            <w:r>
              <w:rPr>
                <w:rFonts w:eastAsia="MS Mincho"/>
                <w:szCs w:val="22"/>
                <w:lang w:val="en-US"/>
              </w:rPr>
              <w:t>m</w:t>
            </w:r>
            <w:r w:rsidRPr="0021277B">
              <w:rPr>
                <w:rFonts w:eastAsia="MS Mincho"/>
                <w:szCs w:val="22"/>
                <w:lang w:val="en-US"/>
              </w:rPr>
              <w:t>urre (</w:t>
            </w:r>
            <w:r w:rsidRPr="0021277B">
              <w:rPr>
                <w:rFonts w:eastAsia="MS Mincho"/>
                <w:i/>
                <w:szCs w:val="22"/>
                <w:lang w:val="en-US"/>
              </w:rPr>
              <w:t>Uria aalge)</w:t>
            </w:r>
            <w:r w:rsidRPr="0021277B">
              <w:rPr>
                <w:rFonts w:eastAsia="MS Mincho"/>
                <w:szCs w:val="22"/>
                <w:lang w:val="en-US"/>
              </w:rPr>
              <w:t xml:space="preserve">. The most abundant bird is the </w:t>
            </w:r>
            <w:r>
              <w:rPr>
                <w:rFonts w:eastAsia="MS Mincho"/>
                <w:szCs w:val="22"/>
                <w:lang w:val="en-US"/>
              </w:rPr>
              <w:t>y</w:t>
            </w:r>
            <w:r w:rsidRPr="0021277B">
              <w:rPr>
                <w:rFonts w:eastAsia="MS Mincho"/>
                <w:szCs w:val="22"/>
                <w:lang w:val="en-US"/>
              </w:rPr>
              <w:t xml:space="preserve">ellow-legged </w:t>
            </w:r>
            <w:r>
              <w:rPr>
                <w:rFonts w:eastAsia="MS Mincho"/>
                <w:szCs w:val="22"/>
                <w:lang w:val="en-US"/>
              </w:rPr>
              <w:t>g</w:t>
            </w:r>
            <w:r w:rsidRPr="0021277B">
              <w:rPr>
                <w:rFonts w:eastAsia="MS Mincho"/>
                <w:szCs w:val="22"/>
                <w:lang w:val="en-US"/>
              </w:rPr>
              <w:t>ull (</w:t>
            </w:r>
            <w:r w:rsidRPr="0021277B">
              <w:rPr>
                <w:rFonts w:eastAsia="MS Mincho"/>
                <w:i/>
                <w:szCs w:val="22"/>
                <w:lang w:val="en-US"/>
              </w:rPr>
              <w:t xml:space="preserve">Larus </w:t>
            </w:r>
            <w:r w:rsidRPr="0021277B">
              <w:rPr>
                <w:rFonts w:eastAsia="MS Mincho"/>
                <w:i/>
                <w:noProof/>
                <w:szCs w:val="22"/>
                <w:lang w:val="en-US"/>
              </w:rPr>
              <w:t>michahellis</w:t>
            </w:r>
            <w:r w:rsidRPr="0021277B">
              <w:rPr>
                <w:rFonts w:eastAsia="MS Mincho"/>
                <w:szCs w:val="22"/>
                <w:lang w:val="en-US"/>
              </w:rPr>
              <w:t xml:space="preserve">), which possibly exerts a negative effect on the other seabird populations, as stated by Lecoq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(2011) when they recorded predation of Cory’s shearwater eggs at Farilhões </w:t>
            </w:r>
            <w:r>
              <w:rPr>
                <w:rFonts w:eastAsia="MS Mincho"/>
                <w:szCs w:val="22"/>
                <w:lang w:val="en-US"/>
              </w:rPr>
              <w:t>I</w:t>
            </w:r>
            <w:r w:rsidRPr="0021277B">
              <w:rPr>
                <w:rFonts w:eastAsia="MS Mincho"/>
                <w:szCs w:val="22"/>
                <w:lang w:val="en-US"/>
              </w:rPr>
              <w:t xml:space="preserve">slets. The area is also important for the critically endangered and OSPAR-listed Balearic shearwater </w:t>
            </w:r>
            <w:r>
              <w:rPr>
                <w:rFonts w:eastAsia="MS Mincho"/>
                <w:szCs w:val="22"/>
                <w:lang w:val="en-US"/>
              </w:rPr>
              <w:t>(</w:t>
            </w:r>
            <w:r w:rsidRPr="0021277B">
              <w:rPr>
                <w:rFonts w:eastAsia="MS Mincho"/>
                <w:i/>
                <w:szCs w:val="22"/>
                <w:lang w:val="en-US"/>
              </w:rPr>
              <w:t>Puffinus mauretanicus</w:t>
            </w:r>
            <w:r>
              <w:rPr>
                <w:rFonts w:eastAsia="MS Mincho"/>
                <w:i/>
                <w:szCs w:val="22"/>
                <w:lang w:val="en-US"/>
              </w:rPr>
              <w:t>)</w:t>
            </w:r>
            <w:r w:rsidRPr="0021277B">
              <w:rPr>
                <w:rFonts w:eastAsia="MS Mincho"/>
                <w:i/>
                <w:szCs w:val="22"/>
                <w:lang w:val="en-US"/>
              </w:rPr>
              <w:t xml:space="preserve">, </w:t>
            </w:r>
            <w:r w:rsidRPr="0021277B">
              <w:rPr>
                <w:rFonts w:eastAsia="MS Mincho"/>
                <w:szCs w:val="22"/>
                <w:lang w:val="en-US"/>
              </w:rPr>
              <w:t xml:space="preserve">with estimates of up to 4,500 individuals using the site during their migration and winter period (BirdLife </w:t>
            </w:r>
            <w:r w:rsidRPr="0006066A">
              <w:rPr>
                <w:rFonts w:eastAsia="MS Mincho"/>
                <w:i/>
                <w:szCs w:val="22"/>
                <w:lang w:val="en-US"/>
              </w:rPr>
              <w:t>et al</w:t>
            </w:r>
            <w:r w:rsidRPr="0021277B">
              <w:rPr>
                <w:rFonts w:eastAsia="MS Mincho"/>
                <w:szCs w:val="22"/>
                <w:lang w:val="en-US"/>
              </w:rPr>
              <w:t xml:space="preserve">. 2019). </w:t>
            </w:r>
            <w:r w:rsidRPr="0021277B">
              <w:rPr>
                <w:rFonts w:eastAsia="MS Mincho"/>
                <w:color w:val="000000"/>
                <w:szCs w:val="22"/>
                <w:lang w:val="en-US"/>
              </w:rPr>
              <w:t>The high variety of habitats make these islands a favourable place for reproduction of skates</w:t>
            </w:r>
            <w:r>
              <w:rPr>
                <w:rFonts w:eastAsia="MS Mincho"/>
                <w:color w:val="000000"/>
                <w:szCs w:val="22"/>
                <w:lang w:val="en-US"/>
              </w:rPr>
              <w:t xml:space="preserve">; for example, </w:t>
            </w:r>
            <w:r w:rsidRPr="0021277B">
              <w:rPr>
                <w:rFonts w:eastAsia="MS Mincho"/>
                <w:color w:val="000000"/>
                <w:szCs w:val="22"/>
                <w:lang w:val="en-US"/>
              </w:rPr>
              <w:t xml:space="preserve"> juvenile</w:t>
            </w:r>
            <w:r>
              <w:rPr>
                <w:rFonts w:eastAsia="MS Mincho"/>
                <w:color w:val="000000"/>
                <w:szCs w:val="22"/>
                <w:lang w:val="en-US"/>
              </w:rPr>
              <w:t xml:space="preserve"> </w:t>
            </w:r>
            <w:r w:rsidRPr="0021277B">
              <w:rPr>
                <w:rFonts w:eastAsia="MS Mincho"/>
                <w:color w:val="000000"/>
                <w:szCs w:val="22"/>
                <w:lang w:val="en-US"/>
              </w:rPr>
              <w:t>undulate ray (</w:t>
            </w:r>
            <w:r w:rsidRPr="0021277B">
              <w:rPr>
                <w:rFonts w:eastAsia="MS Mincho"/>
                <w:i/>
                <w:color w:val="000000"/>
                <w:szCs w:val="22"/>
                <w:lang w:val="en-US"/>
              </w:rPr>
              <w:t xml:space="preserve">Raja </w:t>
            </w:r>
            <w:r w:rsidRPr="0021277B">
              <w:rPr>
                <w:rFonts w:eastAsia="MS Mincho"/>
                <w:i/>
                <w:noProof/>
                <w:color w:val="000000"/>
                <w:szCs w:val="22"/>
                <w:lang w:val="en-US"/>
              </w:rPr>
              <w:t>undulata</w:t>
            </w:r>
            <w:r w:rsidRPr="0021277B">
              <w:rPr>
                <w:rFonts w:eastAsia="MS Mincho"/>
                <w:noProof/>
                <w:color w:val="000000"/>
                <w:szCs w:val="22"/>
                <w:lang w:val="en-US"/>
              </w:rPr>
              <w:t>)</w:t>
            </w:r>
            <w:r w:rsidRPr="0021277B">
              <w:rPr>
                <w:rFonts w:eastAsia="MS Mincho"/>
                <w:color w:val="000000"/>
                <w:szCs w:val="22"/>
                <w:lang w:val="en-US"/>
              </w:rPr>
              <w:t xml:space="preserve"> and egg capsules of smalleyed ray (</w:t>
            </w:r>
            <w:r w:rsidRPr="0021277B">
              <w:rPr>
                <w:rFonts w:eastAsia="MS Mincho"/>
                <w:i/>
                <w:color w:val="000000"/>
                <w:szCs w:val="22"/>
                <w:lang w:val="en-US"/>
              </w:rPr>
              <w:t xml:space="preserve">Raja </w:t>
            </w:r>
            <w:r w:rsidRPr="0021277B">
              <w:rPr>
                <w:rFonts w:eastAsia="MS Mincho"/>
                <w:i/>
                <w:noProof/>
                <w:color w:val="000000"/>
                <w:szCs w:val="22"/>
                <w:lang w:val="en-US"/>
              </w:rPr>
              <w:t>microocellata</w:t>
            </w:r>
            <w:r w:rsidRPr="0021277B">
              <w:rPr>
                <w:rFonts w:eastAsia="MS Mincho"/>
                <w:noProof/>
                <w:color w:val="000000"/>
                <w:szCs w:val="22"/>
                <w:lang w:val="en-US"/>
              </w:rPr>
              <w:t>)</w:t>
            </w:r>
            <w:r>
              <w:rPr>
                <w:rFonts w:eastAsia="MS Mincho"/>
                <w:noProof/>
                <w:color w:val="000000"/>
                <w:szCs w:val="22"/>
                <w:lang w:val="en-US"/>
              </w:rPr>
              <w:t xml:space="preserve"> are </w:t>
            </w:r>
            <w:r w:rsidRPr="0021277B">
              <w:rPr>
                <w:rFonts w:eastAsia="MS Mincho"/>
                <w:color w:val="000000"/>
                <w:szCs w:val="22"/>
                <w:lang w:val="en-US"/>
              </w:rPr>
              <w:t>found in th</w:t>
            </w:r>
            <w:r>
              <w:rPr>
                <w:rFonts w:eastAsia="MS Mincho"/>
                <w:color w:val="000000"/>
                <w:szCs w:val="22"/>
                <w:lang w:val="en-US"/>
              </w:rPr>
              <w:t>e</w:t>
            </w:r>
            <w:r w:rsidRPr="0021277B">
              <w:rPr>
                <w:rFonts w:eastAsia="MS Mincho"/>
                <w:color w:val="000000"/>
                <w:szCs w:val="22"/>
                <w:lang w:val="en-US"/>
              </w:rPr>
              <w:t xml:space="preserve"> area (Serra-Pereira </w:t>
            </w:r>
            <w:r w:rsidRPr="0006066A">
              <w:rPr>
                <w:rFonts w:eastAsia="MS Mincho"/>
                <w:i/>
                <w:color w:val="000000"/>
                <w:szCs w:val="22"/>
                <w:lang w:val="en-US"/>
              </w:rPr>
              <w:t>et al</w:t>
            </w:r>
            <w:r w:rsidRPr="0021277B">
              <w:rPr>
                <w:rFonts w:eastAsia="MS Mincho"/>
                <w:i/>
                <w:color w:val="000000"/>
                <w:szCs w:val="22"/>
                <w:lang w:val="en-US"/>
              </w:rPr>
              <w:t>.</w:t>
            </w:r>
            <w:r w:rsidRPr="0021277B">
              <w:rPr>
                <w:rFonts w:eastAsia="MS Mincho"/>
                <w:color w:val="000000"/>
                <w:szCs w:val="22"/>
                <w:lang w:val="en-US"/>
              </w:rPr>
              <w:t xml:space="preserve">, 2014). </w:t>
            </w:r>
          </w:p>
          <w:p w14:paraId="487A0B2A" w14:textId="77777777" w:rsidR="006B3F46" w:rsidRPr="0021277B" w:rsidRDefault="006B3F46" w:rsidP="00907941">
            <w:pPr>
              <w:pStyle w:val="ListParagraph"/>
              <w:widowControl w:val="0"/>
              <w:autoSpaceDE w:val="0"/>
              <w:autoSpaceDN w:val="0"/>
              <w:adjustRightInd w:val="0"/>
              <w:ind w:left="960"/>
              <w:rPr>
                <w:rFonts w:eastAsia="MS Mincho"/>
                <w:color w:val="000000"/>
                <w:szCs w:val="22"/>
                <w:lang w:val="en-US"/>
              </w:rPr>
            </w:pPr>
          </w:p>
        </w:tc>
      </w:tr>
      <w:tr w:rsidR="006B3F46" w:rsidRPr="0021277B" w14:paraId="4FDB618F" w14:textId="77777777" w:rsidTr="00907941">
        <w:tc>
          <w:tcPr>
            <w:tcW w:w="783" w:type="pct"/>
            <w:shd w:val="clear" w:color="auto" w:fill="auto"/>
          </w:tcPr>
          <w:p w14:paraId="010FB24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80" w:type="pct"/>
            <w:shd w:val="clear" w:color="auto" w:fill="auto"/>
          </w:tcPr>
          <w:p w14:paraId="52367FDE"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0FD44517"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5D6B2F56"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7403E7F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54E77E0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color w:val="000000"/>
                <w:sz w:val="22"/>
                <w:szCs w:val="22"/>
                <w:lang w:val="en-US"/>
              </w:rPr>
              <w:t>X</w:t>
            </w:r>
          </w:p>
        </w:tc>
      </w:tr>
      <w:tr w:rsidR="006B3F46" w:rsidRPr="0021277B" w14:paraId="38060612" w14:textId="77777777" w:rsidTr="00907941">
        <w:tc>
          <w:tcPr>
            <w:tcW w:w="5000" w:type="pct"/>
            <w:gridSpan w:val="11"/>
            <w:shd w:val="clear" w:color="auto" w:fill="auto"/>
          </w:tcPr>
          <w:p w14:paraId="2E3A8491" w14:textId="77777777" w:rsidR="006B3F46" w:rsidRPr="0021277B" w:rsidRDefault="006B3F46" w:rsidP="00907941">
            <w:pPr>
              <w:widowControl w:val="0"/>
              <w:autoSpaceDE w:val="0"/>
              <w:autoSpaceDN w:val="0"/>
              <w:adjustRightInd w:val="0"/>
              <w:jc w:val="both"/>
              <w:rPr>
                <w:rFonts w:eastAsia="MS Mincho"/>
                <w:i/>
                <w:iCs/>
                <w:sz w:val="22"/>
                <w:szCs w:val="22"/>
                <w:lang w:val="en-US"/>
              </w:rPr>
            </w:pPr>
            <w:r w:rsidRPr="0021277B">
              <w:rPr>
                <w:rFonts w:eastAsia="MS Mincho"/>
                <w:i/>
                <w:iCs/>
                <w:sz w:val="22"/>
                <w:szCs w:val="22"/>
                <w:lang w:val="en-US"/>
              </w:rPr>
              <w:t>Explanation for ranking</w:t>
            </w:r>
          </w:p>
          <w:p w14:paraId="15FC6B72" w14:textId="77777777" w:rsidR="006B3F46" w:rsidRPr="0021277B" w:rsidRDefault="006B3F46" w:rsidP="006B3F46">
            <w:pPr>
              <w:pStyle w:val="ListParagraph"/>
              <w:widowControl w:val="0"/>
              <w:numPr>
                <w:ilvl w:val="0"/>
                <w:numId w:val="26"/>
              </w:numPr>
              <w:autoSpaceDE w:val="0"/>
              <w:autoSpaceDN w:val="0"/>
              <w:adjustRightInd w:val="0"/>
              <w:ind w:leftChars="0" w:left="319"/>
              <w:contextualSpacing/>
              <w:rPr>
                <w:rFonts w:eastAsia="MS Mincho"/>
                <w:szCs w:val="22"/>
                <w:lang w:val="en-US"/>
              </w:rPr>
            </w:pPr>
            <w:r w:rsidRPr="0021277B">
              <w:rPr>
                <w:rFonts w:eastAsia="MS Mincho"/>
                <w:szCs w:val="22"/>
                <w:lang w:val="en-US"/>
              </w:rPr>
              <w:t>The submarine canyons and seamounts are hotspots of benthic production (Vetter, 1994) and key habitats of exploited and non-exploited species (</w:t>
            </w:r>
            <w:r w:rsidRPr="0021277B">
              <w:rPr>
                <w:szCs w:val="22"/>
                <w:lang w:val="en-US"/>
              </w:rPr>
              <w:t>Ferrier-Pages</w:t>
            </w:r>
            <w:r w:rsidRPr="0021277B">
              <w:rPr>
                <w:rFonts w:eastAsia="MS Mincho"/>
                <w:szCs w:val="22"/>
                <w:lang w:val="en-US"/>
              </w:rPr>
              <w:t xml:space="preserve">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2007). They host cold-water coral and sponge reef habitats that also qualify as Vulnerable Marine Ecosystems in relation to high seas fisheries</w:t>
            </w:r>
            <w:r>
              <w:rPr>
                <w:rFonts w:eastAsia="MS Mincho"/>
                <w:szCs w:val="22"/>
                <w:lang w:val="en-US"/>
              </w:rPr>
              <w:t>,</w:t>
            </w:r>
            <w:r w:rsidRPr="0021277B">
              <w:rPr>
                <w:rFonts w:eastAsia="MS Mincho"/>
                <w:szCs w:val="22"/>
                <w:lang w:val="en-US"/>
              </w:rPr>
              <w:t xml:space="preserve"> according to criteria developed by FAO (FAO, 2007; Rogers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2008).</w:t>
            </w:r>
          </w:p>
          <w:p w14:paraId="0FB2B3CF" w14:textId="77777777" w:rsidR="006B3F46" w:rsidRPr="0021277B" w:rsidRDefault="006B3F46" w:rsidP="006B3F46">
            <w:pPr>
              <w:pStyle w:val="ListParagraph"/>
              <w:widowControl w:val="0"/>
              <w:numPr>
                <w:ilvl w:val="0"/>
                <w:numId w:val="26"/>
              </w:numPr>
              <w:autoSpaceDE w:val="0"/>
              <w:autoSpaceDN w:val="0"/>
              <w:adjustRightInd w:val="0"/>
              <w:ind w:leftChars="0" w:left="319"/>
              <w:contextualSpacing/>
              <w:rPr>
                <w:rFonts w:eastAsia="MS Mincho"/>
                <w:szCs w:val="22"/>
                <w:lang w:val="en-US"/>
              </w:rPr>
            </w:pPr>
            <w:r w:rsidRPr="0021277B">
              <w:rPr>
                <w:rFonts w:eastAsia="MS Mincho"/>
                <w:color w:val="000000"/>
                <w:szCs w:val="22"/>
                <w:lang w:val="en-US"/>
              </w:rPr>
              <w:t xml:space="preserve">In the underwater environment, the Berlengas have the most skate species in mainland Portugal, including coastal and offshore species, such as the IUCN near threatened (NT) </w:t>
            </w:r>
            <w:r w:rsidRPr="0021277B">
              <w:rPr>
                <w:rFonts w:eastAsia="MS Mincho"/>
                <w:noProof/>
                <w:color w:val="000000"/>
                <w:szCs w:val="22"/>
                <w:lang w:val="en-US"/>
              </w:rPr>
              <w:t>longnosed</w:t>
            </w:r>
            <w:r w:rsidRPr="0021277B">
              <w:rPr>
                <w:rFonts w:eastAsia="MS Mincho"/>
                <w:color w:val="000000"/>
                <w:szCs w:val="22"/>
                <w:lang w:val="en-US"/>
              </w:rPr>
              <w:t xml:space="preserve"> skate (</w:t>
            </w:r>
            <w:r w:rsidRPr="0021277B">
              <w:rPr>
                <w:rFonts w:eastAsia="MS Mincho"/>
                <w:i/>
                <w:color w:val="000000"/>
                <w:szCs w:val="22"/>
                <w:lang w:val="en-US"/>
              </w:rPr>
              <w:t xml:space="preserve">Dipturus </w:t>
            </w:r>
            <w:r w:rsidRPr="0021277B">
              <w:rPr>
                <w:rFonts w:eastAsia="MS Mincho"/>
                <w:i/>
                <w:noProof/>
                <w:color w:val="000000"/>
                <w:szCs w:val="22"/>
                <w:lang w:val="en-US"/>
              </w:rPr>
              <w:t>oxyrinchus)</w:t>
            </w:r>
            <w:r w:rsidRPr="0021277B">
              <w:rPr>
                <w:rFonts w:eastAsia="MS Mincho"/>
                <w:color w:val="000000"/>
                <w:szCs w:val="22"/>
                <w:lang w:val="en-US"/>
              </w:rPr>
              <w:t>.</w:t>
            </w:r>
          </w:p>
          <w:p w14:paraId="55A8B2F0" w14:textId="18B90353" w:rsidR="006B3F46" w:rsidRPr="0021277B" w:rsidRDefault="006B3F46" w:rsidP="006B3F46">
            <w:pPr>
              <w:pStyle w:val="ListParagraph"/>
              <w:widowControl w:val="0"/>
              <w:numPr>
                <w:ilvl w:val="0"/>
                <w:numId w:val="26"/>
              </w:numPr>
              <w:autoSpaceDE w:val="0"/>
              <w:autoSpaceDN w:val="0"/>
              <w:adjustRightInd w:val="0"/>
              <w:ind w:leftChars="0" w:left="319"/>
              <w:contextualSpacing/>
              <w:rPr>
                <w:rFonts w:eastAsia="MS Mincho"/>
                <w:szCs w:val="22"/>
                <w:lang w:val="en-US"/>
              </w:rPr>
            </w:pPr>
            <w:r w:rsidRPr="0021277B">
              <w:rPr>
                <w:rFonts w:eastAsia="MS Mincho"/>
                <w:szCs w:val="22"/>
                <w:lang w:val="en-US"/>
              </w:rPr>
              <w:t>Almost 11</w:t>
            </w:r>
            <w:r>
              <w:rPr>
                <w:rFonts w:eastAsia="MS Mincho"/>
                <w:szCs w:val="22"/>
                <w:lang w:val="en-US"/>
              </w:rPr>
              <w:t xml:space="preserve"> per cent</w:t>
            </w:r>
            <w:r w:rsidRPr="0021277B">
              <w:rPr>
                <w:rFonts w:eastAsia="MS Mincho"/>
                <w:szCs w:val="22"/>
                <w:lang w:val="en-US"/>
              </w:rPr>
              <w:t xml:space="preserve"> of the 3174 species identified in the area are </w:t>
            </w:r>
            <w:r w:rsidRPr="009978E3">
              <w:rPr>
                <w:rFonts w:eastAsia="MS Mincho"/>
                <w:szCs w:val="22"/>
                <w:lang w:val="en-US"/>
              </w:rPr>
              <w:t>legal</w:t>
            </w:r>
            <w:r>
              <w:rPr>
                <w:rFonts w:eastAsia="MS Mincho"/>
                <w:szCs w:val="22"/>
                <w:lang w:val="en-US"/>
              </w:rPr>
              <w:t>ly</w:t>
            </w:r>
            <w:r w:rsidRPr="009978E3">
              <w:rPr>
                <w:rFonts w:eastAsia="MS Mincho"/>
                <w:szCs w:val="22"/>
                <w:lang w:val="en-US"/>
              </w:rPr>
              <w:t xml:space="preserve"> protect</w:t>
            </w:r>
            <w:r>
              <w:rPr>
                <w:rFonts w:eastAsia="MS Mincho"/>
                <w:szCs w:val="22"/>
                <w:lang w:val="en-US"/>
              </w:rPr>
              <w:t>ed</w:t>
            </w:r>
            <w:r w:rsidRPr="009978E3">
              <w:rPr>
                <w:rFonts w:eastAsia="MS Mincho"/>
                <w:szCs w:val="22"/>
                <w:lang w:val="en-US"/>
              </w:rPr>
              <w:t xml:space="preserve"> or </w:t>
            </w:r>
            <w:r>
              <w:rPr>
                <w:rFonts w:eastAsia="MS Mincho"/>
                <w:szCs w:val="22"/>
                <w:lang w:val="en-US"/>
              </w:rPr>
              <w:t xml:space="preserve">recognized as </w:t>
            </w:r>
            <w:r w:rsidRPr="009978E3">
              <w:rPr>
                <w:rFonts w:eastAsia="MS Mincho"/>
                <w:szCs w:val="22"/>
                <w:lang w:val="en-US"/>
              </w:rPr>
              <w:t xml:space="preserve">threatened </w:t>
            </w:r>
            <w:r>
              <w:rPr>
                <w:rFonts w:eastAsia="MS Mincho"/>
                <w:szCs w:val="22"/>
                <w:lang w:val="en-US"/>
              </w:rPr>
              <w:t>by</w:t>
            </w:r>
            <w:r w:rsidRPr="0021277B">
              <w:rPr>
                <w:rFonts w:eastAsia="MS Mincho"/>
                <w:szCs w:val="22"/>
                <w:lang w:val="en-US"/>
              </w:rPr>
              <w:t xml:space="preserve"> CITES, IUCN Red List, European Union Habitats and Birds Directives, Bern Convention </w:t>
            </w:r>
            <w:r>
              <w:rPr>
                <w:rFonts w:eastAsia="MS Mincho"/>
                <w:szCs w:val="22"/>
                <w:lang w:val="en-US"/>
              </w:rPr>
              <w:t>or</w:t>
            </w:r>
            <w:r w:rsidRPr="0021277B">
              <w:rPr>
                <w:rFonts w:eastAsia="MS Mincho"/>
                <w:szCs w:val="22"/>
                <w:lang w:val="en-US"/>
              </w:rPr>
              <w:t xml:space="preserve"> OSPAR Convention. In this area OSPAR identified as endangered or declining the deep</w:t>
            </w:r>
            <w:r>
              <w:rPr>
                <w:rFonts w:eastAsia="MS Mincho"/>
                <w:szCs w:val="22"/>
                <w:lang w:val="en-US"/>
              </w:rPr>
              <w:t>-</w:t>
            </w:r>
            <w:r w:rsidRPr="0021277B">
              <w:rPr>
                <w:rFonts w:eastAsia="MS Mincho"/>
                <w:szCs w:val="22"/>
                <w:lang w:val="en-US"/>
              </w:rPr>
              <w:t>water sharks (see “feature description of the area”)</w:t>
            </w:r>
            <w:r>
              <w:rPr>
                <w:rFonts w:eastAsia="MS Mincho"/>
                <w:szCs w:val="22"/>
                <w:lang w:val="en-US"/>
              </w:rPr>
              <w:t>.</w:t>
            </w:r>
          </w:p>
          <w:p w14:paraId="43E57781" w14:textId="77777777" w:rsidR="006B3F46" w:rsidRPr="0021277B" w:rsidRDefault="006B3F46" w:rsidP="006B3F46">
            <w:pPr>
              <w:pStyle w:val="ListParagraph"/>
              <w:widowControl w:val="0"/>
              <w:numPr>
                <w:ilvl w:val="0"/>
                <w:numId w:val="26"/>
              </w:numPr>
              <w:autoSpaceDE w:val="0"/>
              <w:autoSpaceDN w:val="0"/>
              <w:adjustRightInd w:val="0"/>
              <w:ind w:leftChars="0" w:left="319"/>
              <w:contextualSpacing/>
              <w:rPr>
                <w:rFonts w:eastAsia="MS Mincho"/>
                <w:szCs w:val="22"/>
                <w:lang w:val="en-US"/>
              </w:rPr>
            </w:pPr>
            <w:r w:rsidRPr="0021277B">
              <w:rPr>
                <w:rFonts w:eastAsia="MS Mincho"/>
                <w:szCs w:val="22"/>
                <w:lang w:val="en-US"/>
              </w:rPr>
              <w:t>There are differences in the proportion of protected species among the different groups of species. All the bird species recorded in this area are protected by the EU Birds Directive, and 86</w:t>
            </w:r>
            <w:r>
              <w:rPr>
                <w:rFonts w:eastAsia="MS Mincho"/>
                <w:szCs w:val="22"/>
                <w:lang w:val="en-US"/>
              </w:rPr>
              <w:t>.</w:t>
            </w:r>
            <w:r w:rsidRPr="0021277B">
              <w:rPr>
                <w:rFonts w:eastAsia="MS Mincho"/>
                <w:szCs w:val="22"/>
                <w:lang w:val="en-US"/>
              </w:rPr>
              <w:t>67</w:t>
            </w:r>
            <w:r>
              <w:rPr>
                <w:rFonts w:eastAsia="MS Mincho"/>
                <w:szCs w:val="22"/>
                <w:lang w:val="en-US"/>
              </w:rPr>
              <w:t xml:space="preserve">  per cent</w:t>
            </w:r>
            <w:r w:rsidRPr="0021277B">
              <w:rPr>
                <w:rFonts w:eastAsia="MS Mincho"/>
                <w:szCs w:val="22"/>
                <w:lang w:val="en-US"/>
              </w:rPr>
              <w:t xml:space="preserve"> belong to annex I and II. </w:t>
            </w:r>
            <w:r>
              <w:rPr>
                <w:rFonts w:eastAsia="MS Mincho"/>
                <w:szCs w:val="22"/>
                <w:lang w:val="en-US"/>
              </w:rPr>
              <w:t>O</w:t>
            </w:r>
            <w:r w:rsidRPr="0021277B">
              <w:rPr>
                <w:rFonts w:eastAsia="MS Mincho"/>
                <w:szCs w:val="22"/>
                <w:lang w:val="en-US"/>
              </w:rPr>
              <w:t>f the Elasmobranchi</w:t>
            </w:r>
            <w:r>
              <w:rPr>
                <w:rFonts w:eastAsia="MS Mincho"/>
                <w:szCs w:val="22"/>
                <w:lang w:val="en-US"/>
              </w:rPr>
              <w:t>,</w:t>
            </w:r>
            <w:r w:rsidRPr="0021277B">
              <w:rPr>
                <w:rFonts w:eastAsia="MS Mincho"/>
                <w:szCs w:val="22"/>
                <w:lang w:val="en-US"/>
              </w:rPr>
              <w:t xml:space="preserve"> </w:t>
            </w:r>
            <w:r w:rsidRPr="003F24CD">
              <w:rPr>
                <w:rFonts w:eastAsia="MS Mincho"/>
                <w:szCs w:val="22"/>
                <w:lang w:val="en-US"/>
              </w:rPr>
              <w:t>23</w:t>
            </w:r>
            <w:r>
              <w:rPr>
                <w:rFonts w:eastAsia="MS Mincho"/>
                <w:szCs w:val="22"/>
                <w:lang w:val="en-US"/>
              </w:rPr>
              <w:t>.</w:t>
            </w:r>
            <w:r w:rsidRPr="003F24CD">
              <w:rPr>
                <w:rFonts w:eastAsia="MS Mincho"/>
                <w:szCs w:val="22"/>
                <w:lang w:val="en-US"/>
              </w:rPr>
              <w:t>39</w:t>
            </w:r>
            <w:r>
              <w:rPr>
                <w:rFonts w:eastAsia="MS Mincho"/>
                <w:szCs w:val="22"/>
                <w:lang w:val="en-US"/>
              </w:rPr>
              <w:t xml:space="preserve"> per cent</w:t>
            </w:r>
            <w:r w:rsidRPr="003F24CD">
              <w:rPr>
                <w:rFonts w:eastAsia="MS Mincho"/>
                <w:szCs w:val="22"/>
                <w:lang w:val="en-US"/>
              </w:rPr>
              <w:t xml:space="preserve"> </w:t>
            </w:r>
            <w:r w:rsidRPr="0021277B">
              <w:rPr>
                <w:rFonts w:eastAsia="MS Mincho"/>
                <w:szCs w:val="22"/>
                <w:lang w:val="en-US"/>
              </w:rPr>
              <w:t>are listed on the IUCN Red List, with 36</w:t>
            </w:r>
            <w:r>
              <w:rPr>
                <w:rFonts w:eastAsia="MS Mincho"/>
                <w:szCs w:val="22"/>
                <w:lang w:val="en-US"/>
              </w:rPr>
              <w:t>.</w:t>
            </w:r>
            <w:r w:rsidRPr="0021277B">
              <w:rPr>
                <w:rFonts w:eastAsia="MS Mincho"/>
                <w:szCs w:val="22"/>
                <w:lang w:val="en-US"/>
              </w:rPr>
              <w:t>17</w:t>
            </w:r>
            <w:r>
              <w:rPr>
                <w:rFonts w:eastAsia="MS Mincho"/>
                <w:szCs w:val="22"/>
                <w:lang w:val="en-US"/>
              </w:rPr>
              <w:t xml:space="preserve"> per cent</w:t>
            </w:r>
            <w:r w:rsidRPr="0021277B">
              <w:rPr>
                <w:rFonts w:eastAsia="MS Mincho"/>
                <w:szCs w:val="22"/>
                <w:lang w:val="en-US"/>
              </w:rPr>
              <w:t xml:space="preserve"> near threatened, 40</w:t>
            </w:r>
            <w:r>
              <w:rPr>
                <w:rFonts w:eastAsia="MS Mincho"/>
                <w:szCs w:val="22"/>
                <w:lang w:val="en-US"/>
              </w:rPr>
              <w:t>.</w:t>
            </w:r>
            <w:r w:rsidRPr="0021277B">
              <w:rPr>
                <w:rFonts w:eastAsia="MS Mincho"/>
                <w:szCs w:val="22"/>
                <w:lang w:val="en-US"/>
              </w:rPr>
              <w:t>43</w:t>
            </w:r>
            <w:r>
              <w:rPr>
                <w:rFonts w:eastAsia="MS Mincho"/>
                <w:szCs w:val="22"/>
                <w:lang w:val="en-US"/>
              </w:rPr>
              <w:t xml:space="preserve">  per cent</w:t>
            </w:r>
            <w:r w:rsidRPr="0021277B">
              <w:rPr>
                <w:rFonts w:eastAsia="MS Mincho"/>
                <w:szCs w:val="22"/>
                <w:lang w:val="en-US"/>
              </w:rPr>
              <w:t xml:space="preserve"> vulnerable, 17</w:t>
            </w:r>
            <w:r>
              <w:rPr>
                <w:rFonts w:eastAsia="MS Mincho"/>
                <w:szCs w:val="22"/>
                <w:lang w:val="en-US"/>
              </w:rPr>
              <w:t>.</w:t>
            </w:r>
            <w:r w:rsidRPr="0021277B">
              <w:rPr>
                <w:rFonts w:eastAsia="MS Mincho"/>
                <w:szCs w:val="22"/>
                <w:lang w:val="en-US"/>
              </w:rPr>
              <w:t>02</w:t>
            </w:r>
            <w:r>
              <w:rPr>
                <w:rFonts w:eastAsia="MS Mincho"/>
                <w:szCs w:val="22"/>
                <w:lang w:val="en-US"/>
              </w:rPr>
              <w:t xml:space="preserve"> per cent </w:t>
            </w:r>
            <w:r w:rsidRPr="0021277B">
              <w:rPr>
                <w:rFonts w:eastAsia="MS Mincho"/>
                <w:szCs w:val="22"/>
                <w:lang w:val="en-US"/>
              </w:rPr>
              <w:t>endangered, and 6.38</w:t>
            </w:r>
            <w:r>
              <w:rPr>
                <w:rFonts w:eastAsia="MS Mincho"/>
                <w:szCs w:val="22"/>
                <w:lang w:val="en-US"/>
              </w:rPr>
              <w:t xml:space="preserve"> per cent </w:t>
            </w:r>
            <w:r w:rsidRPr="0021277B">
              <w:rPr>
                <w:rFonts w:eastAsia="MS Mincho"/>
                <w:szCs w:val="22"/>
                <w:lang w:val="en-US"/>
              </w:rPr>
              <w:t>critically endangered; 2</w:t>
            </w:r>
            <w:r>
              <w:rPr>
                <w:rFonts w:eastAsia="MS Mincho"/>
                <w:szCs w:val="22"/>
                <w:lang w:val="en-US"/>
              </w:rPr>
              <w:t>.</w:t>
            </w:r>
            <w:r w:rsidRPr="0021277B">
              <w:rPr>
                <w:rFonts w:eastAsia="MS Mincho"/>
                <w:szCs w:val="22"/>
                <w:lang w:val="en-US"/>
              </w:rPr>
              <w:t>87</w:t>
            </w:r>
            <w:r>
              <w:rPr>
                <w:rFonts w:eastAsia="MS Mincho"/>
                <w:szCs w:val="22"/>
                <w:lang w:val="en-US"/>
              </w:rPr>
              <w:t xml:space="preserve"> per cent</w:t>
            </w:r>
            <w:r w:rsidRPr="0021277B">
              <w:rPr>
                <w:rFonts w:eastAsia="MS Mincho"/>
                <w:szCs w:val="22"/>
                <w:lang w:val="en-US"/>
              </w:rPr>
              <w:t xml:space="preserve"> of fish are classified by the IUCN Red List, with 26</w:t>
            </w:r>
            <w:r>
              <w:rPr>
                <w:rFonts w:eastAsia="MS Mincho"/>
                <w:szCs w:val="22"/>
                <w:lang w:val="en-US"/>
              </w:rPr>
              <w:t>.</w:t>
            </w:r>
            <w:r w:rsidRPr="0021277B">
              <w:rPr>
                <w:rFonts w:eastAsia="MS Mincho"/>
                <w:szCs w:val="22"/>
                <w:lang w:val="en-US"/>
              </w:rPr>
              <w:t>67</w:t>
            </w:r>
            <w:r>
              <w:rPr>
                <w:rFonts w:eastAsia="MS Mincho"/>
                <w:szCs w:val="22"/>
                <w:lang w:val="en-US"/>
              </w:rPr>
              <w:t xml:space="preserve"> per cent</w:t>
            </w:r>
            <w:r w:rsidRPr="0021277B">
              <w:rPr>
                <w:rFonts w:eastAsia="MS Mincho"/>
                <w:szCs w:val="22"/>
                <w:lang w:val="en-US"/>
              </w:rPr>
              <w:t xml:space="preserve"> near threatened, 53</w:t>
            </w:r>
            <w:r>
              <w:rPr>
                <w:rFonts w:eastAsia="MS Mincho"/>
                <w:szCs w:val="22"/>
                <w:lang w:val="en-US"/>
              </w:rPr>
              <w:t>.</w:t>
            </w:r>
            <w:r w:rsidRPr="0021277B">
              <w:rPr>
                <w:rFonts w:eastAsia="MS Mincho"/>
                <w:szCs w:val="22"/>
                <w:lang w:val="en-US"/>
              </w:rPr>
              <w:t>33</w:t>
            </w:r>
            <w:r>
              <w:rPr>
                <w:rFonts w:eastAsia="MS Mincho"/>
                <w:szCs w:val="22"/>
                <w:lang w:val="en-US"/>
              </w:rPr>
              <w:t xml:space="preserve"> per cent</w:t>
            </w:r>
            <w:r w:rsidRPr="0021277B">
              <w:rPr>
                <w:rFonts w:eastAsia="MS Mincho"/>
                <w:szCs w:val="22"/>
                <w:lang w:val="en-US"/>
              </w:rPr>
              <w:t xml:space="preserve"> vulnerable, 13</w:t>
            </w:r>
            <w:r>
              <w:rPr>
                <w:rFonts w:eastAsia="MS Mincho"/>
                <w:szCs w:val="22"/>
                <w:lang w:val="en-US"/>
              </w:rPr>
              <w:t>.</w:t>
            </w:r>
            <w:r w:rsidRPr="0021277B">
              <w:rPr>
                <w:rFonts w:eastAsia="MS Mincho"/>
                <w:szCs w:val="22"/>
                <w:lang w:val="en-US"/>
              </w:rPr>
              <w:t>3</w:t>
            </w:r>
            <w:r>
              <w:rPr>
                <w:rFonts w:eastAsia="MS Mincho"/>
                <w:szCs w:val="22"/>
                <w:lang w:val="en-US"/>
              </w:rPr>
              <w:t xml:space="preserve"> per cent</w:t>
            </w:r>
            <w:r w:rsidRPr="0021277B">
              <w:rPr>
                <w:rFonts w:eastAsia="MS Mincho"/>
                <w:szCs w:val="22"/>
                <w:lang w:val="en-US"/>
              </w:rPr>
              <w:t xml:space="preserve"> endangered, and 6</w:t>
            </w:r>
            <w:r>
              <w:rPr>
                <w:rFonts w:eastAsia="MS Mincho"/>
                <w:szCs w:val="22"/>
                <w:lang w:val="en-US"/>
              </w:rPr>
              <w:t>.</w:t>
            </w:r>
            <w:r w:rsidRPr="0021277B">
              <w:rPr>
                <w:rFonts w:eastAsia="MS Mincho"/>
                <w:szCs w:val="22"/>
                <w:lang w:val="en-US"/>
              </w:rPr>
              <w:t>67</w:t>
            </w:r>
            <w:r>
              <w:rPr>
                <w:rFonts w:eastAsia="MS Mincho"/>
                <w:szCs w:val="22"/>
                <w:lang w:val="en-US"/>
              </w:rPr>
              <w:t xml:space="preserve"> per cent</w:t>
            </w:r>
            <w:r w:rsidRPr="0021277B">
              <w:rPr>
                <w:rFonts w:eastAsia="MS Mincho"/>
                <w:szCs w:val="22"/>
                <w:lang w:val="en-US"/>
              </w:rPr>
              <w:t xml:space="preserve"> critically endangered.</w:t>
            </w:r>
          </w:p>
          <w:p w14:paraId="5526734B" w14:textId="77777777" w:rsidR="006B3F46" w:rsidRPr="0021277B" w:rsidRDefault="006B3F46" w:rsidP="006B3F46">
            <w:pPr>
              <w:pStyle w:val="ListParagraph"/>
              <w:widowControl w:val="0"/>
              <w:numPr>
                <w:ilvl w:val="0"/>
                <w:numId w:val="26"/>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The Berlengas archipelago area has </w:t>
            </w:r>
            <w:r>
              <w:rPr>
                <w:rFonts w:eastAsia="MS Mincho"/>
                <w:szCs w:val="22"/>
                <w:lang w:val="en-US"/>
              </w:rPr>
              <w:t>several</w:t>
            </w:r>
            <w:r w:rsidRPr="0021277B">
              <w:rPr>
                <w:rFonts w:eastAsia="MS Mincho"/>
                <w:szCs w:val="22"/>
                <w:lang w:val="en-US"/>
              </w:rPr>
              <w:t xml:space="preserve"> species and some habitats of high conservation value in a national and European context, namely the reefs and submerged or semi-submerged marine caves classified by the Habitats Directive (Queiroga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2008). It includes the habitat “Reefs (1170)” of the Habitats Directive, consisting of rocky substrates and /or other substrates of biological origin (</w:t>
            </w:r>
            <w:r>
              <w:rPr>
                <w:rFonts w:eastAsia="MS Mincho"/>
                <w:szCs w:val="22"/>
                <w:lang w:val="en-US"/>
              </w:rPr>
              <w:t>e.g.,</w:t>
            </w:r>
            <w:r w:rsidRPr="0021277B">
              <w:rPr>
                <w:rFonts w:eastAsia="MS Mincho"/>
                <w:szCs w:val="22"/>
                <w:lang w:val="en-US"/>
              </w:rPr>
              <w:t xml:space="preserve"> Sabelaria reefs). </w:t>
            </w:r>
          </w:p>
          <w:p w14:paraId="11886136" w14:textId="0CC14F76" w:rsidR="006B3F46" w:rsidRPr="002E4B39" w:rsidRDefault="006B3F46" w:rsidP="002E4B39">
            <w:pPr>
              <w:pStyle w:val="ListParagraph"/>
              <w:widowControl w:val="0"/>
              <w:numPr>
                <w:ilvl w:val="0"/>
                <w:numId w:val="26"/>
              </w:numPr>
              <w:autoSpaceDE w:val="0"/>
              <w:autoSpaceDN w:val="0"/>
              <w:adjustRightInd w:val="0"/>
              <w:ind w:leftChars="0" w:left="319"/>
              <w:contextualSpacing/>
              <w:rPr>
                <w:rFonts w:eastAsia="MS Mincho"/>
                <w:szCs w:val="22"/>
                <w:lang w:val="en-US"/>
              </w:rPr>
            </w:pPr>
            <w:r w:rsidRPr="0021277B">
              <w:rPr>
                <w:rFonts w:eastAsia="MS Mincho"/>
                <w:szCs w:val="22"/>
                <w:lang w:val="en-US"/>
              </w:rPr>
              <w:t>The Berlengas encompass a habitat</w:t>
            </w:r>
            <w:r>
              <w:rPr>
                <w:rFonts w:eastAsia="MS Mincho"/>
                <w:szCs w:val="22"/>
                <w:lang w:val="en-US"/>
              </w:rPr>
              <w:t>,</w:t>
            </w:r>
            <w:r w:rsidRPr="0021277B">
              <w:rPr>
                <w:rFonts w:eastAsia="MS Mincho"/>
                <w:szCs w:val="22"/>
                <w:lang w:val="en-US"/>
              </w:rPr>
              <w:t xml:space="preserve"> protected under the EU Habitats Directive, of significant conservation value: </w:t>
            </w:r>
            <w:r>
              <w:rPr>
                <w:rFonts w:eastAsia="MS Mincho"/>
                <w:szCs w:val="22"/>
                <w:lang w:val="en-US"/>
              </w:rPr>
              <w:t>“</w:t>
            </w:r>
            <w:r w:rsidRPr="0021277B">
              <w:rPr>
                <w:rFonts w:eastAsia="MS Mincho"/>
                <w:szCs w:val="22"/>
                <w:lang w:val="en-US"/>
              </w:rPr>
              <w:t>Submerged or semi-submerged sea caves</w:t>
            </w:r>
            <w:r>
              <w:rPr>
                <w:rFonts w:eastAsia="MS Mincho"/>
                <w:szCs w:val="22"/>
                <w:lang w:val="en-US"/>
              </w:rPr>
              <w:t>”, a type referred to as “</w:t>
            </w:r>
            <w:r w:rsidRPr="0021277B">
              <w:rPr>
                <w:rFonts w:eastAsia="MS Mincho"/>
                <w:szCs w:val="22"/>
                <w:lang w:val="en-US"/>
              </w:rPr>
              <w:t xml:space="preserve">8330”. </w:t>
            </w:r>
          </w:p>
        </w:tc>
      </w:tr>
      <w:tr w:rsidR="006B3F46" w:rsidRPr="0021277B" w14:paraId="48470273" w14:textId="77777777" w:rsidTr="00907941">
        <w:tc>
          <w:tcPr>
            <w:tcW w:w="783" w:type="pct"/>
            <w:shd w:val="clear" w:color="auto" w:fill="auto"/>
          </w:tcPr>
          <w:p w14:paraId="5A23B5E2"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80" w:type="pct"/>
            <w:shd w:val="clear" w:color="auto" w:fill="auto"/>
          </w:tcPr>
          <w:p w14:paraId="270574AC"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1759AE99"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668BDB54"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1E6A04C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64450E6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7EA8153C" w14:textId="77777777" w:rsidTr="00907941">
        <w:tc>
          <w:tcPr>
            <w:tcW w:w="5000" w:type="pct"/>
            <w:gridSpan w:val="11"/>
            <w:shd w:val="clear" w:color="auto" w:fill="auto"/>
          </w:tcPr>
          <w:p w14:paraId="6735DEF9" w14:textId="77777777" w:rsidR="006B3F46" w:rsidRPr="0021277B" w:rsidRDefault="006B3F46" w:rsidP="00907941">
            <w:pPr>
              <w:widowControl w:val="0"/>
              <w:autoSpaceDE w:val="0"/>
              <w:autoSpaceDN w:val="0"/>
              <w:adjustRightInd w:val="0"/>
              <w:jc w:val="both"/>
              <w:rPr>
                <w:rFonts w:eastAsia="MS Mincho"/>
                <w:i/>
                <w:iCs/>
                <w:sz w:val="22"/>
                <w:szCs w:val="22"/>
                <w:lang w:val="en-US"/>
              </w:rPr>
            </w:pPr>
            <w:r w:rsidRPr="0021277B">
              <w:rPr>
                <w:rFonts w:eastAsia="MS Mincho"/>
                <w:i/>
                <w:iCs/>
                <w:sz w:val="22"/>
                <w:szCs w:val="22"/>
                <w:lang w:val="en-US"/>
              </w:rPr>
              <w:t>Explanation for ranking</w:t>
            </w:r>
          </w:p>
          <w:p w14:paraId="18B7F790" w14:textId="77777777" w:rsidR="006B3F46" w:rsidRPr="0021277B" w:rsidRDefault="006B3F46" w:rsidP="006B3F46">
            <w:pPr>
              <w:pStyle w:val="ListParagraph"/>
              <w:widowControl w:val="0"/>
              <w:numPr>
                <w:ilvl w:val="0"/>
                <w:numId w:val="27"/>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This </w:t>
            </w:r>
            <w:r w:rsidRPr="00EC5399">
              <w:rPr>
                <w:rFonts w:eastAsia="MS Mincho"/>
                <w:szCs w:val="22"/>
                <w:lang w:val="en-US"/>
              </w:rPr>
              <w:t xml:space="preserve">area </w:t>
            </w:r>
            <w:r w:rsidRPr="0021277B">
              <w:rPr>
                <w:rFonts w:eastAsia="MS Mincho"/>
                <w:szCs w:val="22"/>
                <w:lang w:val="en-US"/>
              </w:rPr>
              <w:t xml:space="preserve">encompasses different types of habitats classified by the OSPAR Convention as threatened and/or declining, including coral gardens, deep-sea sponge aggregations, maërl beds and semaounts (Aguilar </w:t>
            </w:r>
            <w:r w:rsidRPr="00EC5399">
              <w:rPr>
                <w:rFonts w:eastAsia="MS Mincho"/>
                <w:i/>
                <w:szCs w:val="22"/>
                <w:lang w:val="en-US"/>
              </w:rPr>
              <w:t>et al</w:t>
            </w:r>
            <w:r w:rsidRPr="0021277B">
              <w:rPr>
                <w:rFonts w:eastAsia="MS Mincho"/>
                <w:szCs w:val="22"/>
                <w:lang w:val="en-US"/>
              </w:rPr>
              <w:t xml:space="preserve">., 2009; De la Torriente </w:t>
            </w:r>
            <w:r w:rsidRPr="00EC5399">
              <w:rPr>
                <w:rFonts w:eastAsia="MS Mincho"/>
                <w:i/>
                <w:szCs w:val="22"/>
                <w:lang w:val="en-US"/>
              </w:rPr>
              <w:t>et al</w:t>
            </w:r>
            <w:r w:rsidRPr="0021277B">
              <w:rPr>
                <w:rFonts w:eastAsia="MS Mincho"/>
                <w:szCs w:val="22"/>
                <w:lang w:val="en-US"/>
              </w:rPr>
              <w:t xml:space="preserve">., 2014; Serrano </w:t>
            </w:r>
            <w:r w:rsidRPr="00EC5399">
              <w:rPr>
                <w:rFonts w:eastAsia="MS Mincho"/>
                <w:i/>
                <w:szCs w:val="22"/>
                <w:lang w:val="en-US"/>
              </w:rPr>
              <w:t>et al</w:t>
            </w:r>
            <w:r w:rsidRPr="0021277B">
              <w:rPr>
                <w:rFonts w:eastAsia="MS Mincho"/>
                <w:szCs w:val="22"/>
                <w:lang w:val="en-US"/>
              </w:rPr>
              <w:t>., 2012; 2017). The area also has a relatively high proportion of sensitive habitats, biotopes or species that are functionally fragile and with slow recovery, such as coral reefs, gorgonian forest and sponge grounds. Moreover, these habitats provide valuable direct and indirect goods and services, such as food provision and climate regulation</w:t>
            </w:r>
            <w:r w:rsidRPr="0021277B">
              <w:rPr>
                <w:szCs w:val="22"/>
              </w:rPr>
              <w:t xml:space="preserve"> (</w:t>
            </w:r>
            <w:r w:rsidRPr="0021277B">
              <w:rPr>
                <w:rFonts w:eastAsia="MS Mincho"/>
                <w:szCs w:val="22"/>
                <w:lang w:val="en-US"/>
              </w:rPr>
              <w:t>Van den Hove &amp; Moreau, 2007).</w:t>
            </w:r>
          </w:p>
          <w:p w14:paraId="64A10183" w14:textId="77777777" w:rsidR="006B3F46" w:rsidRPr="0021277B" w:rsidRDefault="006B3F46" w:rsidP="006B3F46">
            <w:pPr>
              <w:pStyle w:val="ListParagraph"/>
              <w:widowControl w:val="0"/>
              <w:numPr>
                <w:ilvl w:val="0"/>
                <w:numId w:val="27"/>
              </w:numPr>
              <w:autoSpaceDE w:val="0"/>
              <w:autoSpaceDN w:val="0"/>
              <w:adjustRightInd w:val="0"/>
              <w:ind w:leftChars="0" w:left="319"/>
              <w:contextualSpacing/>
              <w:rPr>
                <w:rFonts w:eastAsia="MS Mincho"/>
                <w:szCs w:val="22"/>
                <w:lang w:val="en-US"/>
              </w:rPr>
            </w:pPr>
            <w:r w:rsidRPr="0021277B">
              <w:rPr>
                <w:rFonts w:eastAsia="MS Mincho"/>
                <w:szCs w:val="22"/>
                <w:lang w:val="en-US"/>
              </w:rPr>
              <w:t>The archipelago of Berlengas</w:t>
            </w:r>
            <w:r>
              <w:rPr>
                <w:rFonts w:eastAsia="MS Mincho"/>
                <w:szCs w:val="22"/>
                <w:lang w:val="en-US"/>
              </w:rPr>
              <w:t>,</w:t>
            </w:r>
            <w:r w:rsidRPr="0021277B">
              <w:rPr>
                <w:rFonts w:eastAsia="MS Mincho"/>
                <w:szCs w:val="22"/>
                <w:lang w:val="en-US"/>
              </w:rPr>
              <w:t xml:space="preserve"> compris</w:t>
            </w:r>
            <w:r>
              <w:rPr>
                <w:rFonts w:eastAsia="MS Mincho"/>
                <w:szCs w:val="22"/>
                <w:lang w:val="en-US"/>
              </w:rPr>
              <w:t>ing</w:t>
            </w:r>
            <w:r w:rsidRPr="0021277B">
              <w:rPr>
                <w:rFonts w:eastAsia="MS Mincho"/>
                <w:szCs w:val="22"/>
                <w:lang w:val="en-US"/>
              </w:rPr>
              <w:t xml:space="preserve"> a small island and some islets, </w:t>
            </w:r>
            <w:r>
              <w:rPr>
                <w:rFonts w:eastAsia="MS Mincho"/>
                <w:szCs w:val="22"/>
                <w:lang w:val="en-US"/>
              </w:rPr>
              <w:t xml:space="preserve">is </w:t>
            </w:r>
            <w:r w:rsidRPr="0021277B">
              <w:rPr>
                <w:rFonts w:eastAsia="MS Mincho"/>
                <w:szCs w:val="22"/>
                <w:lang w:val="en-US"/>
              </w:rPr>
              <w:t xml:space="preserve">a </w:t>
            </w:r>
            <w:r>
              <w:rPr>
                <w:rFonts w:eastAsia="MS Mincho"/>
                <w:szCs w:val="22"/>
                <w:lang w:val="en-US"/>
              </w:rPr>
              <w:t>p</w:t>
            </w:r>
            <w:r w:rsidRPr="0021277B">
              <w:rPr>
                <w:rFonts w:eastAsia="MS Mincho"/>
                <w:szCs w:val="22"/>
                <w:lang w:val="en-US"/>
              </w:rPr>
              <w:t xml:space="preserve">rotected </w:t>
            </w:r>
            <w:r>
              <w:rPr>
                <w:rFonts w:eastAsia="MS Mincho"/>
                <w:szCs w:val="22"/>
                <w:lang w:val="en-US"/>
              </w:rPr>
              <w:t>a</w:t>
            </w:r>
            <w:r w:rsidRPr="0021277B">
              <w:rPr>
                <w:rFonts w:eastAsia="MS Mincho"/>
                <w:szCs w:val="22"/>
                <w:lang w:val="en-US"/>
              </w:rPr>
              <w:t xml:space="preserve">rea with controlled access, intended to minimize anthropogenic </w:t>
            </w:r>
            <w:r>
              <w:rPr>
                <w:rFonts w:eastAsia="MS Mincho"/>
                <w:szCs w:val="22"/>
                <w:lang w:val="en-US"/>
              </w:rPr>
              <w:t>impacts</w:t>
            </w:r>
            <w:r w:rsidRPr="0021277B">
              <w:rPr>
                <w:rFonts w:eastAsia="MS Mincho"/>
                <w:szCs w:val="22"/>
                <w:lang w:val="en-US"/>
              </w:rPr>
              <w:t xml:space="preserve">. The archipelago is part of the Nature Reserve of Berlenga, protected by Portuguese law since 1981. In 1999, under the EU Birds Diretive, the Berlengas Islands were designated as a Special Protection Area (SPA), which was integrated in the Natura 2000 network. This SPA was then enlarged in 2012. A wider area was identified </w:t>
            </w:r>
            <w:r>
              <w:rPr>
                <w:rFonts w:eastAsia="MS Mincho"/>
                <w:szCs w:val="22"/>
                <w:lang w:val="en-US"/>
              </w:rPr>
              <w:t xml:space="preserve">by BirdLife International </w:t>
            </w:r>
            <w:r w:rsidRPr="0021277B">
              <w:rPr>
                <w:rFonts w:eastAsia="MS Mincho"/>
                <w:szCs w:val="22"/>
                <w:lang w:val="en-US"/>
              </w:rPr>
              <w:t xml:space="preserve">as an Important Bird Area (IBA) for seabirds (Ramirez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2008). The archipelago was also declared a Biosphere Reserve by UNESCO (unesco.org, 2011) and a Site of Community Importance (under the EU Habitats Directive).</w:t>
            </w:r>
          </w:p>
          <w:p w14:paraId="0FC3F342" w14:textId="77777777" w:rsidR="006B3F46" w:rsidRPr="0021277B" w:rsidRDefault="006B3F46" w:rsidP="006B3F46">
            <w:pPr>
              <w:pStyle w:val="ListParagraph"/>
              <w:widowControl w:val="0"/>
              <w:numPr>
                <w:ilvl w:val="0"/>
                <w:numId w:val="27"/>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This area contains 136 species of cold-water corals, with 41 belonging to CITES </w:t>
            </w:r>
            <w:r w:rsidRPr="0021277B">
              <w:rPr>
                <w:szCs w:val="22"/>
              </w:rPr>
              <w:t>annex I and II (</w:t>
            </w:r>
            <w:r>
              <w:rPr>
                <w:szCs w:val="22"/>
              </w:rPr>
              <w:t>e.g.,</w:t>
            </w:r>
            <w:r w:rsidRPr="0021277B">
              <w:rPr>
                <w:szCs w:val="22"/>
              </w:rPr>
              <w:t xml:space="preserve"> </w:t>
            </w:r>
            <w:r w:rsidRPr="0021277B">
              <w:rPr>
                <w:i/>
                <w:szCs w:val="22"/>
              </w:rPr>
              <w:t>Antipathella subpinnata</w:t>
            </w:r>
            <w:r w:rsidRPr="0021277B">
              <w:rPr>
                <w:szCs w:val="22"/>
              </w:rPr>
              <w:t xml:space="preserve">, </w:t>
            </w:r>
            <w:r w:rsidRPr="0021277B">
              <w:rPr>
                <w:i/>
                <w:szCs w:val="22"/>
              </w:rPr>
              <w:t>Flabellum alabastrum</w:t>
            </w:r>
            <w:r w:rsidRPr="0021277B">
              <w:rPr>
                <w:szCs w:val="22"/>
              </w:rPr>
              <w:t xml:space="preserve"> and </w:t>
            </w:r>
            <w:r w:rsidRPr="0021277B">
              <w:rPr>
                <w:i/>
                <w:szCs w:val="22"/>
              </w:rPr>
              <w:t>Stichopathes gracilis</w:t>
            </w:r>
            <w:r w:rsidRPr="0021277B">
              <w:rPr>
                <w:szCs w:val="22"/>
              </w:rPr>
              <w:t>) and</w:t>
            </w:r>
            <w:r w:rsidRPr="0021277B">
              <w:rPr>
                <w:i/>
                <w:szCs w:val="22"/>
              </w:rPr>
              <w:t xml:space="preserve"> </w:t>
            </w:r>
            <w:r w:rsidRPr="0021277B">
              <w:rPr>
                <w:rFonts w:eastAsia="MS Mincho"/>
                <w:szCs w:val="22"/>
                <w:lang w:val="en-US"/>
              </w:rPr>
              <w:t xml:space="preserve">25 belonging to a ist </w:t>
            </w:r>
            <w:r>
              <w:rPr>
                <w:rFonts w:eastAsia="MS Mincho"/>
                <w:szCs w:val="22"/>
                <w:lang w:val="en-US"/>
              </w:rPr>
              <w:t xml:space="preserve">of  </w:t>
            </w:r>
            <w:r w:rsidRPr="0021277B">
              <w:rPr>
                <w:rFonts w:eastAsia="MS Mincho"/>
                <w:szCs w:val="22"/>
                <w:lang w:val="en-US"/>
              </w:rPr>
              <w:t>Vulnerable Marine Ecosystems</w:t>
            </w:r>
            <w:r>
              <w:rPr>
                <w:rFonts w:eastAsia="MS Mincho"/>
                <w:szCs w:val="22"/>
                <w:lang w:val="en-US"/>
              </w:rPr>
              <w:t xml:space="preserve"> (VMEs</w:t>
            </w:r>
            <w:r w:rsidRPr="0021277B">
              <w:rPr>
                <w:rFonts w:eastAsia="MS Mincho"/>
                <w:szCs w:val="22"/>
                <w:lang w:val="en-US"/>
              </w:rPr>
              <w:t>) (</w:t>
            </w:r>
            <w:r w:rsidRPr="0021277B">
              <w:rPr>
                <w:rFonts w:eastAsia="MS Mincho"/>
                <w:iCs/>
                <w:szCs w:val="22"/>
                <w:lang w:val="en-US"/>
              </w:rPr>
              <w:t>e.g.,</w:t>
            </w:r>
            <w:r w:rsidRPr="0021277B">
              <w:rPr>
                <w:rFonts w:eastAsia="MS Mincho"/>
                <w:szCs w:val="22"/>
                <w:lang w:val="en-US"/>
              </w:rPr>
              <w:t xml:space="preserve"> </w:t>
            </w:r>
            <w:r w:rsidRPr="0021277B">
              <w:rPr>
                <w:rFonts w:eastAsia="MS Mincho"/>
                <w:i/>
                <w:szCs w:val="22"/>
                <w:lang w:val="en-US"/>
              </w:rPr>
              <w:t>Caryophyllia ambrosia</w:t>
            </w:r>
            <w:r w:rsidRPr="0021277B">
              <w:rPr>
                <w:rFonts w:eastAsia="MS Mincho"/>
                <w:szCs w:val="22"/>
                <w:lang w:val="en-US"/>
              </w:rPr>
              <w:t xml:space="preserve">, </w:t>
            </w:r>
            <w:r w:rsidRPr="0021277B">
              <w:rPr>
                <w:rFonts w:eastAsia="MS Mincho"/>
                <w:i/>
                <w:szCs w:val="22"/>
                <w:lang w:val="en-US"/>
              </w:rPr>
              <w:t>Lophelia pertusa</w:t>
            </w:r>
            <w:r w:rsidRPr="0021277B">
              <w:rPr>
                <w:rFonts w:eastAsia="MS Mincho"/>
                <w:szCs w:val="22"/>
                <w:lang w:val="en-US"/>
              </w:rPr>
              <w:t xml:space="preserve"> and </w:t>
            </w:r>
            <w:r w:rsidRPr="0021277B">
              <w:rPr>
                <w:rFonts w:eastAsia="MS Mincho"/>
                <w:i/>
                <w:szCs w:val="22"/>
                <w:lang w:val="en-US"/>
              </w:rPr>
              <w:t>Madrepora oculata</w:t>
            </w:r>
            <w:r w:rsidRPr="0021277B">
              <w:rPr>
                <w:rFonts w:eastAsia="MS Mincho"/>
                <w:szCs w:val="22"/>
                <w:lang w:val="en-US"/>
              </w:rPr>
              <w:t xml:space="preserve">). These corals are particularly fragile, and their recovery is quite slow (Rogers </w:t>
            </w:r>
            <w:r w:rsidRPr="0006066A">
              <w:rPr>
                <w:rFonts w:eastAsia="MS Mincho"/>
                <w:i/>
                <w:szCs w:val="22"/>
                <w:lang w:val="en-US"/>
              </w:rPr>
              <w:t>et al</w:t>
            </w:r>
            <w:r w:rsidRPr="0021277B">
              <w:rPr>
                <w:rFonts w:eastAsia="MS Mincho"/>
                <w:i/>
                <w:szCs w:val="22"/>
                <w:lang w:val="en-US"/>
              </w:rPr>
              <w:t xml:space="preserve">., </w:t>
            </w:r>
            <w:r w:rsidRPr="0021277B">
              <w:rPr>
                <w:rFonts w:eastAsia="MS Mincho"/>
                <w:szCs w:val="22"/>
                <w:lang w:val="en-US"/>
              </w:rPr>
              <w:t xml:space="preserve">2007). </w:t>
            </w:r>
          </w:p>
          <w:p w14:paraId="6B57D755" w14:textId="77777777" w:rsidR="006B3F46" w:rsidRPr="0021277B" w:rsidRDefault="006B3F46" w:rsidP="006B3F46">
            <w:pPr>
              <w:pStyle w:val="ListParagraph"/>
              <w:widowControl w:val="0"/>
              <w:numPr>
                <w:ilvl w:val="0"/>
                <w:numId w:val="27"/>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There are 47 species (from a total of 77) of Elasmobranchii listed on the </w:t>
            </w:r>
            <w:r w:rsidRPr="0021277B">
              <w:rPr>
                <w:szCs w:val="22"/>
              </w:rPr>
              <w:t>IUCN Red List of Threatened Species</w:t>
            </w:r>
            <w:r w:rsidRPr="0021277B">
              <w:rPr>
                <w:rFonts w:eastAsia="MS Mincho"/>
                <w:szCs w:val="22"/>
                <w:lang w:val="en-US"/>
              </w:rPr>
              <w:t xml:space="preserve">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Chimaera monstrosa</w:t>
            </w:r>
            <w:r w:rsidRPr="0021277B">
              <w:rPr>
                <w:rFonts w:eastAsia="MS Mincho"/>
                <w:szCs w:val="22"/>
                <w:lang w:val="en-US"/>
              </w:rPr>
              <w:t xml:space="preserve"> (chimera), </w:t>
            </w:r>
            <w:r w:rsidRPr="0021277B">
              <w:rPr>
                <w:rFonts w:eastAsia="MS Mincho"/>
                <w:i/>
                <w:szCs w:val="22"/>
                <w:lang w:val="en-US"/>
              </w:rPr>
              <w:t>Dipturus batis</w:t>
            </w:r>
            <w:r w:rsidRPr="0021277B">
              <w:rPr>
                <w:rFonts w:eastAsia="MS Mincho"/>
                <w:szCs w:val="22"/>
                <w:lang w:val="en-US"/>
              </w:rPr>
              <w:t xml:space="preserve"> (shark) and </w:t>
            </w:r>
            <w:r w:rsidRPr="0021277B">
              <w:rPr>
                <w:rFonts w:eastAsia="MS Mincho"/>
                <w:i/>
                <w:szCs w:val="22"/>
                <w:lang w:val="en-US"/>
              </w:rPr>
              <w:t xml:space="preserve">Raja undulate </w:t>
            </w:r>
            <w:r w:rsidRPr="0021277B">
              <w:rPr>
                <w:rFonts w:eastAsia="MS Mincho"/>
                <w:szCs w:val="22"/>
                <w:lang w:val="en-US"/>
              </w:rPr>
              <w:t xml:space="preserve">(ray)). All the cetacean species in the </w:t>
            </w:r>
            <w:r w:rsidRPr="0021277B">
              <w:rPr>
                <w:color w:val="000000"/>
                <w:szCs w:val="22"/>
                <w:shd w:val="clear" w:color="auto" w:fill="FFFFFF"/>
              </w:rPr>
              <w:t>West Iberian  Canyons and Banks</w:t>
            </w:r>
            <w:r w:rsidRPr="0021277B">
              <w:rPr>
                <w:rFonts w:eastAsia="MS Mincho"/>
                <w:szCs w:val="22"/>
                <w:lang w:val="en-US"/>
              </w:rPr>
              <w:t xml:space="preserve"> area belong</w:t>
            </w:r>
            <w:r w:rsidRPr="0021277B">
              <w:rPr>
                <w:szCs w:val="22"/>
              </w:rPr>
              <w:t xml:space="preserve"> </w:t>
            </w:r>
            <w:r w:rsidRPr="0021277B">
              <w:rPr>
                <w:rFonts w:eastAsia="MS Mincho"/>
                <w:szCs w:val="22"/>
                <w:lang w:val="en-US"/>
              </w:rPr>
              <w:t>to CITES annex I and II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Balaenoptera musculus</w:t>
            </w:r>
            <w:r w:rsidRPr="0021277B">
              <w:rPr>
                <w:rFonts w:eastAsia="MS Mincho"/>
                <w:szCs w:val="22"/>
                <w:lang w:val="en-US"/>
              </w:rPr>
              <w:t xml:space="preserve">, </w:t>
            </w:r>
            <w:r w:rsidRPr="0021277B">
              <w:rPr>
                <w:rFonts w:eastAsia="MS Mincho"/>
                <w:i/>
                <w:szCs w:val="22"/>
                <w:lang w:val="en-US"/>
              </w:rPr>
              <w:t>Physeter macrocephalus</w:t>
            </w:r>
            <w:r w:rsidRPr="0021277B">
              <w:rPr>
                <w:rFonts w:eastAsia="MS Mincho"/>
                <w:szCs w:val="22"/>
                <w:lang w:val="en-US"/>
              </w:rPr>
              <w:t xml:space="preserve"> and</w:t>
            </w:r>
            <w:r w:rsidRPr="0021277B">
              <w:rPr>
                <w:szCs w:val="22"/>
              </w:rPr>
              <w:t xml:space="preserve"> </w:t>
            </w:r>
            <w:r w:rsidRPr="0021277B">
              <w:rPr>
                <w:rFonts w:eastAsia="MS Mincho"/>
                <w:i/>
                <w:szCs w:val="22"/>
                <w:lang w:val="en-US"/>
              </w:rPr>
              <w:t>Tursiops truncatus</w:t>
            </w:r>
            <w:r w:rsidRPr="0021277B">
              <w:rPr>
                <w:rFonts w:eastAsia="MS Mincho"/>
                <w:szCs w:val="22"/>
                <w:lang w:val="en-US"/>
              </w:rPr>
              <w:t>). The same is true of the five turtle species recorded in the area, which are all protected by CITES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Caretta caretta</w:t>
            </w:r>
            <w:r w:rsidRPr="0021277B">
              <w:rPr>
                <w:rFonts w:eastAsia="MS Mincho"/>
                <w:szCs w:val="22"/>
                <w:lang w:val="en-US"/>
              </w:rPr>
              <w:t>,</w:t>
            </w:r>
            <w:r w:rsidRPr="0021277B">
              <w:rPr>
                <w:szCs w:val="22"/>
              </w:rPr>
              <w:t xml:space="preserve"> </w:t>
            </w:r>
            <w:r w:rsidRPr="0021277B">
              <w:rPr>
                <w:i/>
                <w:szCs w:val="22"/>
              </w:rPr>
              <w:t>Chelonia mydas</w:t>
            </w:r>
            <w:r w:rsidRPr="0021277B">
              <w:rPr>
                <w:szCs w:val="22"/>
              </w:rPr>
              <w:t xml:space="preserve"> and </w:t>
            </w:r>
            <w:r w:rsidRPr="0021277B">
              <w:rPr>
                <w:rFonts w:eastAsia="MS Mincho"/>
                <w:i/>
                <w:szCs w:val="22"/>
                <w:lang w:val="en-US"/>
              </w:rPr>
              <w:t>Eretmochelys imbricate</w:t>
            </w:r>
            <w:r w:rsidRPr="0021277B">
              <w:rPr>
                <w:rFonts w:eastAsia="MS Mincho"/>
                <w:szCs w:val="22"/>
                <w:lang w:val="en-US"/>
              </w:rPr>
              <w:t xml:space="preserve">). The Balearic shearwater </w:t>
            </w:r>
            <w:r>
              <w:rPr>
                <w:rFonts w:eastAsia="MS Mincho"/>
                <w:szCs w:val="22"/>
                <w:lang w:val="en-US"/>
              </w:rPr>
              <w:t>(</w:t>
            </w:r>
            <w:r w:rsidRPr="0021277B">
              <w:rPr>
                <w:rFonts w:eastAsia="MS Mincho"/>
                <w:i/>
                <w:szCs w:val="22"/>
                <w:lang w:val="en-US"/>
              </w:rPr>
              <w:t>Puffinus mauretanicus</w:t>
            </w:r>
            <w:r>
              <w:rPr>
                <w:rFonts w:eastAsia="MS Mincho"/>
                <w:i/>
                <w:szCs w:val="22"/>
                <w:lang w:val="en-US"/>
              </w:rPr>
              <w:t>)</w:t>
            </w:r>
            <w:r w:rsidRPr="0021277B">
              <w:rPr>
                <w:rFonts w:eastAsia="MS Mincho"/>
                <w:szCs w:val="22"/>
                <w:lang w:val="en-US"/>
              </w:rPr>
              <w:t xml:space="preserve"> is classified as critically endangered and was listed by OSPAR as a threatened and/or declining species (OSPAR 2008). </w:t>
            </w:r>
          </w:p>
          <w:p w14:paraId="23ECC61A" w14:textId="77777777" w:rsidR="006B3F46" w:rsidRPr="0021277B" w:rsidRDefault="006B3F46" w:rsidP="006B3F46">
            <w:pPr>
              <w:pStyle w:val="ListParagraph"/>
              <w:widowControl w:val="0"/>
              <w:numPr>
                <w:ilvl w:val="0"/>
                <w:numId w:val="27"/>
              </w:numPr>
              <w:autoSpaceDE w:val="0"/>
              <w:autoSpaceDN w:val="0"/>
              <w:adjustRightInd w:val="0"/>
              <w:ind w:leftChars="0" w:left="319"/>
              <w:contextualSpacing/>
              <w:rPr>
                <w:rFonts w:eastAsia="MS Mincho"/>
                <w:szCs w:val="22"/>
                <w:lang w:val="en-US"/>
              </w:rPr>
            </w:pPr>
            <w:r>
              <w:rPr>
                <w:rFonts w:eastAsia="MS Mincho"/>
                <w:szCs w:val="22"/>
                <w:lang w:val="en-US"/>
              </w:rPr>
              <w:t>There are p</w:t>
            </w:r>
            <w:r w:rsidRPr="0021277B">
              <w:rPr>
                <w:rFonts w:eastAsia="MS Mincho"/>
                <w:szCs w:val="22"/>
                <w:lang w:val="en-US"/>
              </w:rPr>
              <w:t>rominent megafaunal taxa, including sponges (</w:t>
            </w:r>
            <w:r>
              <w:rPr>
                <w:rFonts w:eastAsia="MS Mincho"/>
                <w:szCs w:val="22"/>
                <w:lang w:val="en-US"/>
              </w:rPr>
              <w:t>e.g.,</w:t>
            </w:r>
            <w:r w:rsidRPr="0021277B">
              <w:rPr>
                <w:szCs w:val="22"/>
              </w:rPr>
              <w:t xml:space="preserve"> </w:t>
            </w:r>
            <w:r w:rsidRPr="0021277B">
              <w:rPr>
                <w:rFonts w:eastAsia="MS Mincho"/>
                <w:i/>
                <w:szCs w:val="22"/>
                <w:lang w:val="en-US"/>
              </w:rPr>
              <w:t>Geodia cydonium</w:t>
            </w:r>
            <w:r w:rsidRPr="0021277B">
              <w:rPr>
                <w:rFonts w:eastAsia="MS Mincho"/>
                <w:szCs w:val="22"/>
                <w:lang w:val="en-US"/>
              </w:rPr>
              <w:t>), deep-sea bamboo coral (</w:t>
            </w:r>
            <w:r>
              <w:rPr>
                <w:rFonts w:eastAsia="MS Mincho"/>
                <w:szCs w:val="22"/>
                <w:lang w:val="en-US"/>
              </w:rPr>
              <w:t>e.g.,</w:t>
            </w:r>
            <w:r w:rsidRPr="0021277B">
              <w:rPr>
                <w:szCs w:val="22"/>
                <w:lang w:val="en-US"/>
              </w:rPr>
              <w:t xml:space="preserve"> </w:t>
            </w:r>
            <w:r w:rsidRPr="0021277B">
              <w:rPr>
                <w:rFonts w:eastAsia="MS Mincho"/>
                <w:i/>
                <w:szCs w:val="22"/>
                <w:lang w:val="en-US"/>
              </w:rPr>
              <w:t>Acanella arbuscula</w:t>
            </w:r>
            <w:r w:rsidRPr="0021277B">
              <w:rPr>
                <w:rFonts w:eastAsia="MS Mincho"/>
                <w:szCs w:val="22"/>
                <w:lang w:val="en-US"/>
              </w:rPr>
              <w:t>), sea pen (</w:t>
            </w:r>
            <w:r>
              <w:rPr>
                <w:rFonts w:eastAsia="MS Mincho"/>
                <w:szCs w:val="22"/>
                <w:lang w:val="en-US"/>
              </w:rPr>
              <w:t>e.g.,</w:t>
            </w:r>
            <w:r w:rsidRPr="0021277B">
              <w:rPr>
                <w:szCs w:val="22"/>
              </w:rPr>
              <w:t xml:space="preserve"> </w:t>
            </w:r>
            <w:r w:rsidRPr="0021277B">
              <w:rPr>
                <w:rFonts w:eastAsia="MS Mincho"/>
                <w:i/>
                <w:szCs w:val="22"/>
                <w:lang w:val="en-US"/>
              </w:rPr>
              <w:t>Anthoptilum grandiflorum</w:t>
            </w:r>
            <w:r w:rsidRPr="0021277B">
              <w:rPr>
                <w:rFonts w:eastAsia="MS Mincho"/>
                <w:szCs w:val="22"/>
                <w:lang w:val="en-US"/>
              </w:rPr>
              <w:t>), solitary corals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Caryophyllia ambrosia</w:t>
            </w:r>
            <w:r w:rsidRPr="0021277B">
              <w:rPr>
                <w:rFonts w:eastAsia="MS Mincho"/>
                <w:szCs w:val="22"/>
                <w:lang w:val="en-US"/>
              </w:rPr>
              <w:t>), gorgonian species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Eunicella verrucosa</w:t>
            </w:r>
            <w:r w:rsidRPr="0021277B">
              <w:rPr>
                <w:rFonts w:eastAsia="MS Mincho"/>
                <w:szCs w:val="22"/>
                <w:lang w:val="en-US"/>
              </w:rPr>
              <w:t>),</w:t>
            </w:r>
            <w:r w:rsidRPr="0021277B">
              <w:rPr>
                <w:szCs w:val="22"/>
              </w:rPr>
              <w:t xml:space="preserve"> </w:t>
            </w:r>
            <w:r w:rsidRPr="0021277B">
              <w:rPr>
                <w:rFonts w:eastAsia="MS Mincho"/>
                <w:szCs w:val="22"/>
                <w:lang w:val="en-US"/>
              </w:rPr>
              <w:t xml:space="preserve">cockscomb </w:t>
            </w:r>
            <w:r>
              <w:rPr>
                <w:rFonts w:eastAsia="MS Mincho"/>
                <w:szCs w:val="22"/>
                <w:lang w:val="en-US"/>
              </w:rPr>
              <w:t>c</w:t>
            </w:r>
            <w:r w:rsidRPr="0021277B">
              <w:rPr>
                <w:rFonts w:eastAsia="MS Mincho"/>
                <w:szCs w:val="22"/>
                <w:lang w:val="en-US"/>
              </w:rPr>
              <w:t xml:space="preserve">up </w:t>
            </w:r>
            <w:r>
              <w:rPr>
                <w:rFonts w:eastAsia="MS Mincho"/>
                <w:szCs w:val="22"/>
                <w:lang w:val="en-US"/>
              </w:rPr>
              <w:t>c</w:t>
            </w:r>
            <w:r w:rsidRPr="0021277B">
              <w:rPr>
                <w:rFonts w:eastAsia="MS Mincho"/>
                <w:szCs w:val="22"/>
                <w:lang w:val="en-US"/>
              </w:rPr>
              <w:t>oral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Desmophyllum dianthus</w:t>
            </w:r>
            <w:r w:rsidRPr="0021277B">
              <w:rPr>
                <w:rFonts w:eastAsia="MS Mincho"/>
                <w:szCs w:val="22"/>
                <w:lang w:val="en-US"/>
              </w:rPr>
              <w:t>), soft corals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Heteropolypus insolitus</w:t>
            </w:r>
            <w:r w:rsidRPr="0021277B">
              <w:rPr>
                <w:rFonts w:eastAsia="MS Mincho"/>
                <w:szCs w:val="22"/>
                <w:lang w:val="en-US"/>
              </w:rPr>
              <w:t>), sea fan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Paragorgia arborea</w:t>
            </w:r>
            <w:r w:rsidRPr="0021277B">
              <w:rPr>
                <w:rFonts w:eastAsia="MS Mincho"/>
                <w:szCs w:val="22"/>
                <w:lang w:val="en-US"/>
              </w:rPr>
              <w:t>), antipatharian and madreporarian corals (</w:t>
            </w:r>
            <w:r>
              <w:rPr>
                <w:rFonts w:eastAsia="MS Mincho"/>
                <w:szCs w:val="22"/>
                <w:lang w:val="en-US"/>
              </w:rPr>
              <w:t>e.g.,</w:t>
            </w:r>
            <w:r w:rsidRPr="0021277B">
              <w:rPr>
                <w:rFonts w:eastAsia="MS Mincho"/>
                <w:szCs w:val="22"/>
                <w:lang w:val="en-US"/>
              </w:rPr>
              <w:t xml:space="preserve"> </w:t>
            </w:r>
            <w:r w:rsidRPr="0021277B">
              <w:rPr>
                <w:i/>
                <w:szCs w:val="22"/>
                <w:lang w:val="en-US"/>
              </w:rPr>
              <w:t>Leiopathes glabberima</w:t>
            </w:r>
            <w:r w:rsidRPr="0021277B">
              <w:rPr>
                <w:rFonts w:eastAsia="MS Mincho"/>
                <w:szCs w:val="22"/>
                <w:lang w:val="en-US"/>
              </w:rPr>
              <w:t xml:space="preserve"> and </w:t>
            </w:r>
            <w:r w:rsidRPr="0021277B">
              <w:rPr>
                <w:i/>
                <w:szCs w:val="22"/>
                <w:lang w:val="en-US"/>
              </w:rPr>
              <w:t>Madrepora oculata</w:t>
            </w:r>
            <w:r w:rsidRPr="0021277B">
              <w:rPr>
                <w:rFonts w:eastAsia="MS Mincho"/>
                <w:szCs w:val="22"/>
                <w:lang w:val="en-US"/>
              </w:rPr>
              <w:t>), sea cucumber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Abyssocucumis abyssorum</w:t>
            </w:r>
            <w:r w:rsidRPr="0021277B">
              <w:rPr>
                <w:rFonts w:eastAsia="MS Mincho"/>
                <w:szCs w:val="22"/>
                <w:lang w:val="en-US"/>
              </w:rPr>
              <w:t>), dwarf brittle star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Amphipholis squamata</w:t>
            </w:r>
            <w:r w:rsidRPr="0021277B">
              <w:rPr>
                <w:rFonts w:eastAsia="MS Mincho"/>
                <w:szCs w:val="22"/>
                <w:lang w:val="en-US"/>
              </w:rPr>
              <w:t>), sand sea star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Astropecten irregularis</w:t>
            </w:r>
            <w:r w:rsidRPr="0021277B">
              <w:rPr>
                <w:rFonts w:eastAsia="MS Mincho"/>
                <w:szCs w:val="22"/>
                <w:lang w:val="en-US"/>
              </w:rPr>
              <w:t>), sea urchins (</w:t>
            </w:r>
            <w:r w:rsidRPr="0021277B">
              <w:rPr>
                <w:i/>
                <w:szCs w:val="22"/>
                <w:lang w:val="en-US"/>
              </w:rPr>
              <w:t>Centrostephanus longispinus</w:t>
            </w:r>
            <w:r w:rsidRPr="0021277B">
              <w:rPr>
                <w:rFonts w:eastAsia="MS Mincho"/>
                <w:szCs w:val="22"/>
                <w:lang w:val="en-US"/>
              </w:rPr>
              <w:t>), pea urchin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Echinocyamus macrostomus</w:t>
            </w:r>
            <w:r w:rsidRPr="0021277B">
              <w:rPr>
                <w:rFonts w:eastAsia="MS Mincho"/>
                <w:szCs w:val="22"/>
                <w:lang w:val="en-US"/>
              </w:rPr>
              <w:t>), sea star (</w:t>
            </w:r>
            <w:r>
              <w:rPr>
                <w:rFonts w:eastAsia="MS Mincho"/>
                <w:szCs w:val="22"/>
                <w:lang w:val="en-US"/>
              </w:rPr>
              <w:t>e.g.,</w:t>
            </w:r>
            <w:r w:rsidRPr="0021277B">
              <w:rPr>
                <w:szCs w:val="22"/>
              </w:rPr>
              <w:t xml:space="preserve"> </w:t>
            </w:r>
            <w:r w:rsidRPr="0021277B">
              <w:rPr>
                <w:rFonts w:eastAsia="MS Mincho"/>
                <w:i/>
                <w:szCs w:val="22"/>
                <w:lang w:val="en-US"/>
              </w:rPr>
              <w:t>Hymenaster anomalus</w:t>
            </w:r>
            <w:r w:rsidRPr="0021277B">
              <w:rPr>
                <w:rFonts w:eastAsia="MS Mincho"/>
                <w:szCs w:val="22"/>
                <w:lang w:val="en-US"/>
              </w:rPr>
              <w:t>), seven-armed sea star (</w:t>
            </w:r>
            <w:r>
              <w:rPr>
                <w:rFonts w:eastAsia="MS Mincho"/>
                <w:szCs w:val="22"/>
                <w:lang w:val="en-US"/>
              </w:rPr>
              <w:t>e.g.,</w:t>
            </w:r>
            <w:r w:rsidRPr="0021277B">
              <w:rPr>
                <w:rFonts w:eastAsia="MS Mincho"/>
                <w:szCs w:val="22"/>
                <w:lang w:val="en-US"/>
              </w:rPr>
              <w:t xml:space="preserve"> </w:t>
            </w:r>
            <w:r w:rsidRPr="0021277B">
              <w:rPr>
                <w:rFonts w:eastAsia="MS Mincho"/>
                <w:i/>
                <w:szCs w:val="22"/>
                <w:lang w:val="en-US"/>
              </w:rPr>
              <w:t>Luidia ciliaris</w:t>
            </w:r>
            <w:r w:rsidRPr="0021277B">
              <w:rPr>
                <w:rFonts w:eastAsia="MS Mincho"/>
                <w:szCs w:val="22"/>
                <w:lang w:val="en-US"/>
              </w:rPr>
              <w:t>),</w:t>
            </w:r>
            <w:r w:rsidRPr="0021277B">
              <w:rPr>
                <w:szCs w:val="22"/>
              </w:rPr>
              <w:t xml:space="preserve"> </w:t>
            </w:r>
            <w:r w:rsidRPr="0021277B">
              <w:rPr>
                <w:rFonts w:eastAsia="MS Mincho"/>
                <w:szCs w:val="22"/>
                <w:lang w:val="en-US"/>
              </w:rPr>
              <w:t>ophiuroidea brittle stars (</w:t>
            </w:r>
            <w:r>
              <w:rPr>
                <w:rFonts w:eastAsia="MS Mincho"/>
                <w:szCs w:val="22"/>
                <w:lang w:val="en-US"/>
              </w:rPr>
              <w:t>e.g.,</w:t>
            </w:r>
            <w:r w:rsidRPr="0021277B">
              <w:rPr>
                <w:szCs w:val="22"/>
              </w:rPr>
              <w:t xml:space="preserve"> </w:t>
            </w:r>
            <w:r w:rsidRPr="0021277B">
              <w:rPr>
                <w:rFonts w:eastAsia="MS Mincho"/>
                <w:i/>
                <w:szCs w:val="22"/>
                <w:lang w:val="en-US"/>
              </w:rPr>
              <w:t>Ophiura ljungmani</w:t>
            </w:r>
            <w:r w:rsidRPr="0021277B">
              <w:rPr>
                <w:rFonts w:eastAsia="MS Mincho"/>
                <w:szCs w:val="22"/>
                <w:lang w:val="en-US"/>
              </w:rPr>
              <w:t>) that are vulnerable to anthropogenic activities.</w:t>
            </w:r>
          </w:p>
          <w:p w14:paraId="24FC507A" w14:textId="6F122034" w:rsidR="006B3F46" w:rsidRPr="002E4B39" w:rsidRDefault="006B3F46" w:rsidP="002E4B39">
            <w:pPr>
              <w:pStyle w:val="ListParagraph"/>
              <w:widowControl w:val="0"/>
              <w:numPr>
                <w:ilvl w:val="0"/>
                <w:numId w:val="27"/>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The recovery </w:t>
            </w:r>
            <w:r w:rsidRPr="00FC4BED">
              <w:rPr>
                <w:rFonts w:eastAsia="MS Mincho"/>
                <w:szCs w:val="22"/>
                <w:lang w:val="en-US"/>
              </w:rPr>
              <w:t xml:space="preserve">from human impacts </w:t>
            </w:r>
            <w:r w:rsidRPr="0021277B">
              <w:rPr>
                <w:rFonts w:eastAsia="MS Mincho"/>
                <w:szCs w:val="22"/>
                <w:lang w:val="en-US"/>
              </w:rPr>
              <w:t xml:space="preserve">of vulnerable species and the assemblages </w:t>
            </w:r>
            <w:r>
              <w:rPr>
                <w:rFonts w:eastAsia="MS Mincho"/>
                <w:szCs w:val="22"/>
                <w:lang w:val="en-US"/>
              </w:rPr>
              <w:t>that</w:t>
            </w:r>
            <w:r w:rsidRPr="0021277B">
              <w:rPr>
                <w:rFonts w:eastAsia="MS Mincho"/>
                <w:szCs w:val="22"/>
                <w:lang w:val="en-US"/>
              </w:rPr>
              <w:t xml:space="preserve"> they form is predicted to be very slow in the deep sea (</w:t>
            </w:r>
            <w:r w:rsidRPr="0021277B">
              <w:rPr>
                <w:rFonts w:eastAsia="MS Mincho"/>
                <w:iCs/>
                <w:szCs w:val="22"/>
                <w:lang w:val="en-US"/>
              </w:rPr>
              <w:t>e.g.,</w:t>
            </w:r>
            <w:r w:rsidRPr="0021277B">
              <w:rPr>
                <w:rFonts w:eastAsia="MS Mincho"/>
                <w:szCs w:val="22"/>
                <w:lang w:val="en-US"/>
              </w:rPr>
              <w:t xml:space="preserve"> Roark, </w:t>
            </w:r>
            <w:r w:rsidRPr="0006066A">
              <w:rPr>
                <w:rFonts w:eastAsia="MS Mincho"/>
                <w:i/>
                <w:szCs w:val="22"/>
                <w:lang w:val="en-US"/>
              </w:rPr>
              <w:t>et al</w:t>
            </w:r>
            <w:r w:rsidRPr="0021277B">
              <w:rPr>
                <w:rFonts w:eastAsia="MS Mincho"/>
                <w:i/>
                <w:szCs w:val="22"/>
                <w:lang w:val="en-US"/>
              </w:rPr>
              <w:t xml:space="preserve">., </w:t>
            </w:r>
            <w:r w:rsidRPr="0021277B">
              <w:rPr>
                <w:rFonts w:eastAsia="MS Mincho"/>
                <w:szCs w:val="22"/>
                <w:lang w:val="en-US"/>
              </w:rPr>
              <w:t xml:space="preserve">2006; </w:t>
            </w:r>
            <w:r w:rsidRPr="0021277B">
              <w:rPr>
                <w:szCs w:val="22"/>
                <w:lang w:val="en-US"/>
              </w:rPr>
              <w:t xml:space="preserve">Probert </w:t>
            </w:r>
            <w:r w:rsidRPr="0006066A">
              <w:rPr>
                <w:i/>
                <w:szCs w:val="22"/>
                <w:lang w:val="en-US"/>
              </w:rPr>
              <w:t>et al</w:t>
            </w:r>
            <w:r w:rsidRPr="0021277B">
              <w:rPr>
                <w:i/>
                <w:szCs w:val="22"/>
                <w:lang w:val="en-US"/>
              </w:rPr>
              <w:t xml:space="preserve">., </w:t>
            </w:r>
            <w:r w:rsidRPr="0021277B">
              <w:rPr>
                <w:szCs w:val="22"/>
                <w:lang w:val="en-US"/>
              </w:rPr>
              <w:t>2007</w:t>
            </w:r>
            <w:r w:rsidRPr="0021277B">
              <w:rPr>
                <w:rFonts w:eastAsia="MS Mincho"/>
                <w:szCs w:val="22"/>
                <w:lang w:val="en-US"/>
              </w:rPr>
              <w:t>), and the recruitment can be intermittent as a consequence of the also intermittent dispersal between seamount populations (</w:t>
            </w:r>
            <w:r w:rsidRPr="0021277B">
              <w:rPr>
                <w:szCs w:val="22"/>
                <w:lang w:val="en-US"/>
              </w:rPr>
              <w:t xml:space="preserve">Rogers </w:t>
            </w:r>
            <w:r w:rsidRPr="0006066A">
              <w:rPr>
                <w:i/>
                <w:szCs w:val="22"/>
                <w:lang w:val="en-US"/>
              </w:rPr>
              <w:t>et al</w:t>
            </w:r>
            <w:r w:rsidRPr="0021277B">
              <w:rPr>
                <w:i/>
                <w:szCs w:val="22"/>
                <w:lang w:val="en-US"/>
              </w:rPr>
              <w:t xml:space="preserve">., </w:t>
            </w:r>
            <w:r w:rsidRPr="0021277B">
              <w:rPr>
                <w:szCs w:val="22"/>
                <w:lang w:val="en-US"/>
              </w:rPr>
              <w:t>2007</w:t>
            </w:r>
            <w:r w:rsidRPr="0021277B">
              <w:rPr>
                <w:rFonts w:eastAsia="MS Mincho"/>
                <w:szCs w:val="22"/>
                <w:lang w:val="en-US"/>
              </w:rPr>
              <w:t xml:space="preserve">; Shank, 2010). </w:t>
            </w:r>
            <w:r>
              <w:rPr>
                <w:rFonts w:eastAsia="MS Mincho"/>
                <w:szCs w:val="22"/>
                <w:lang w:val="en-US"/>
              </w:rPr>
              <w:t xml:space="preserve">Many </w:t>
            </w:r>
            <w:r w:rsidRPr="0021277B">
              <w:rPr>
                <w:szCs w:val="22"/>
              </w:rPr>
              <w:t xml:space="preserve">commercial species </w:t>
            </w:r>
            <w:r w:rsidRPr="0021277B">
              <w:rPr>
                <w:rFonts w:eastAsia="MS Mincho"/>
                <w:szCs w:val="22"/>
                <w:lang w:val="en-US"/>
              </w:rPr>
              <w:t>are recognized</w:t>
            </w:r>
            <w:r>
              <w:rPr>
                <w:rFonts w:eastAsia="MS Mincho"/>
                <w:szCs w:val="22"/>
                <w:lang w:val="en-US"/>
              </w:rPr>
              <w:t xml:space="preserve"> in the area</w:t>
            </w:r>
            <w:r w:rsidRPr="0021277B">
              <w:rPr>
                <w:rFonts w:eastAsia="MS Mincho"/>
                <w:szCs w:val="22"/>
                <w:lang w:val="en-US"/>
              </w:rPr>
              <w:t xml:space="preserve">, particularly </w:t>
            </w:r>
            <w:r w:rsidRPr="0021277B">
              <w:rPr>
                <w:szCs w:val="22"/>
              </w:rPr>
              <w:t xml:space="preserve">fishes, </w:t>
            </w:r>
            <w:r>
              <w:rPr>
                <w:szCs w:val="22"/>
              </w:rPr>
              <w:t>e.g.,</w:t>
            </w:r>
            <w:r w:rsidRPr="0021277B">
              <w:rPr>
                <w:szCs w:val="22"/>
              </w:rPr>
              <w:t xml:space="preserve"> </w:t>
            </w:r>
            <w:r w:rsidRPr="00985437">
              <w:rPr>
                <w:rFonts w:eastAsia="MS Mincho"/>
                <w:szCs w:val="22"/>
                <w:lang w:val="en-US"/>
              </w:rPr>
              <w:t xml:space="preserve">splendid alfonsino </w:t>
            </w:r>
            <w:r>
              <w:rPr>
                <w:rFonts w:eastAsia="MS Mincho"/>
                <w:szCs w:val="22"/>
                <w:lang w:val="en-US"/>
              </w:rPr>
              <w:t>(</w:t>
            </w:r>
            <w:r w:rsidRPr="0021277B">
              <w:rPr>
                <w:rFonts w:eastAsia="MS Mincho"/>
                <w:i/>
                <w:szCs w:val="22"/>
                <w:lang w:val="en-US"/>
              </w:rPr>
              <w:t>Beryx splendens</w:t>
            </w:r>
            <w:r>
              <w:rPr>
                <w:rFonts w:eastAsia="MS Mincho"/>
                <w:i/>
                <w:szCs w:val="22"/>
                <w:lang w:val="en-US"/>
              </w:rPr>
              <w:t>)</w:t>
            </w:r>
            <w:r>
              <w:rPr>
                <w:rFonts w:eastAsia="MS Mincho"/>
                <w:szCs w:val="22"/>
                <w:lang w:val="en-US"/>
              </w:rPr>
              <w:t xml:space="preserve"> </w:t>
            </w:r>
            <w:r w:rsidRPr="0021277B">
              <w:rPr>
                <w:rFonts w:eastAsia="MS Mincho"/>
                <w:szCs w:val="22"/>
                <w:lang w:val="en-US"/>
              </w:rPr>
              <w:t xml:space="preserve">and crevalle jack </w:t>
            </w:r>
            <w:r>
              <w:rPr>
                <w:rFonts w:eastAsia="MS Mincho"/>
                <w:szCs w:val="22"/>
                <w:lang w:val="en-US"/>
              </w:rPr>
              <w:t>(</w:t>
            </w:r>
            <w:r w:rsidRPr="0021277B">
              <w:rPr>
                <w:rFonts w:eastAsia="MS Mincho"/>
                <w:i/>
                <w:szCs w:val="22"/>
                <w:lang w:val="en-US"/>
              </w:rPr>
              <w:t>Caranx rhonchus</w:t>
            </w:r>
            <w:r>
              <w:rPr>
                <w:rFonts w:eastAsia="MS Mincho"/>
                <w:i/>
                <w:szCs w:val="22"/>
                <w:lang w:val="en-US"/>
              </w:rPr>
              <w:t>)</w:t>
            </w:r>
            <w:r w:rsidRPr="0021277B">
              <w:rPr>
                <w:rFonts w:eastAsia="MS Mincho"/>
                <w:szCs w:val="22"/>
                <w:lang w:val="en-US"/>
              </w:rPr>
              <w:t>.</w:t>
            </w:r>
          </w:p>
        </w:tc>
      </w:tr>
      <w:tr w:rsidR="006B3F46" w:rsidRPr="0021277B" w14:paraId="1ECC01AB" w14:textId="77777777" w:rsidTr="00907941">
        <w:tc>
          <w:tcPr>
            <w:tcW w:w="783" w:type="pct"/>
            <w:shd w:val="clear" w:color="auto" w:fill="auto"/>
          </w:tcPr>
          <w:p w14:paraId="1143927D"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80" w:type="pct"/>
            <w:shd w:val="clear" w:color="auto" w:fill="auto"/>
          </w:tcPr>
          <w:p w14:paraId="68578A44" w14:textId="77777777" w:rsidR="006B3F46" w:rsidRPr="0021277B" w:rsidRDefault="006B3F46" w:rsidP="00907941">
            <w:pPr>
              <w:widowControl w:val="0"/>
              <w:autoSpaceDE w:val="0"/>
              <w:autoSpaceDN w:val="0"/>
              <w:adjustRightInd w:val="0"/>
              <w:jc w:val="both"/>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01605023" w14:textId="77777777" w:rsidR="006B3F46" w:rsidRPr="0021277B" w:rsidRDefault="006B3F46" w:rsidP="00907941">
            <w:pPr>
              <w:widowControl w:val="0"/>
              <w:autoSpaceDE w:val="0"/>
              <w:autoSpaceDN w:val="0"/>
              <w:adjustRightInd w:val="0"/>
              <w:jc w:val="both"/>
              <w:rPr>
                <w:color w:val="000000"/>
                <w:sz w:val="22"/>
                <w:szCs w:val="22"/>
                <w:lang w:val="en-US"/>
              </w:rPr>
            </w:pPr>
          </w:p>
        </w:tc>
        <w:tc>
          <w:tcPr>
            <w:tcW w:w="410" w:type="pct"/>
            <w:gridSpan w:val="2"/>
            <w:shd w:val="clear" w:color="auto" w:fill="auto"/>
            <w:vAlign w:val="center"/>
          </w:tcPr>
          <w:p w14:paraId="66EF04BC" w14:textId="77777777" w:rsidR="006B3F46" w:rsidRPr="0021277B" w:rsidRDefault="006B3F46" w:rsidP="00907941">
            <w:pPr>
              <w:widowControl w:val="0"/>
              <w:autoSpaceDE w:val="0"/>
              <w:autoSpaceDN w:val="0"/>
              <w:adjustRightInd w:val="0"/>
              <w:jc w:val="center"/>
              <w:rPr>
                <w:color w:val="000000"/>
                <w:sz w:val="22"/>
                <w:szCs w:val="22"/>
                <w:lang w:val="en-US"/>
              </w:rPr>
            </w:pPr>
          </w:p>
        </w:tc>
        <w:tc>
          <w:tcPr>
            <w:tcW w:w="411" w:type="pct"/>
            <w:gridSpan w:val="2"/>
            <w:shd w:val="clear" w:color="auto" w:fill="auto"/>
            <w:vAlign w:val="center"/>
          </w:tcPr>
          <w:p w14:paraId="7A959F13" w14:textId="77777777" w:rsidR="006B3F46" w:rsidRPr="0021277B" w:rsidRDefault="006B3F46" w:rsidP="00907941">
            <w:pPr>
              <w:widowControl w:val="0"/>
              <w:autoSpaceDE w:val="0"/>
              <w:autoSpaceDN w:val="0"/>
              <w:adjustRightInd w:val="0"/>
              <w:jc w:val="center"/>
              <w:rPr>
                <w:color w:val="000000"/>
                <w:sz w:val="22"/>
                <w:szCs w:val="22"/>
                <w:lang w:val="en-US"/>
              </w:rPr>
            </w:pPr>
          </w:p>
        </w:tc>
        <w:tc>
          <w:tcPr>
            <w:tcW w:w="432" w:type="pct"/>
            <w:gridSpan w:val="2"/>
            <w:shd w:val="clear" w:color="auto" w:fill="auto"/>
            <w:vAlign w:val="center"/>
          </w:tcPr>
          <w:p w14:paraId="59048E18" w14:textId="77777777" w:rsidR="006B3F46" w:rsidRPr="0021277B" w:rsidRDefault="006B3F46" w:rsidP="00907941">
            <w:pPr>
              <w:widowControl w:val="0"/>
              <w:autoSpaceDE w:val="0"/>
              <w:autoSpaceDN w:val="0"/>
              <w:adjustRightInd w:val="0"/>
              <w:jc w:val="center"/>
              <w:rPr>
                <w:color w:val="000000"/>
                <w:sz w:val="22"/>
                <w:szCs w:val="22"/>
                <w:lang w:val="en-US"/>
              </w:rPr>
            </w:pPr>
            <w:r w:rsidRPr="0021277B">
              <w:rPr>
                <w:color w:val="000000"/>
                <w:sz w:val="22"/>
                <w:szCs w:val="22"/>
                <w:lang w:val="en-US"/>
              </w:rPr>
              <w:t>X</w:t>
            </w:r>
          </w:p>
        </w:tc>
      </w:tr>
      <w:tr w:rsidR="006B3F46" w:rsidRPr="0021277B" w14:paraId="0C2EDD37" w14:textId="77777777" w:rsidTr="00907941">
        <w:tc>
          <w:tcPr>
            <w:tcW w:w="5000" w:type="pct"/>
            <w:gridSpan w:val="11"/>
            <w:shd w:val="clear" w:color="auto" w:fill="auto"/>
          </w:tcPr>
          <w:p w14:paraId="1368B386" w14:textId="77777777" w:rsidR="006B3F46" w:rsidRPr="0021277B" w:rsidRDefault="006B3F46" w:rsidP="00907941">
            <w:pPr>
              <w:widowControl w:val="0"/>
              <w:autoSpaceDE w:val="0"/>
              <w:autoSpaceDN w:val="0"/>
              <w:adjustRightInd w:val="0"/>
              <w:jc w:val="both"/>
              <w:rPr>
                <w:rFonts w:eastAsia="MS Mincho"/>
                <w:i/>
                <w:iCs/>
                <w:sz w:val="22"/>
                <w:szCs w:val="22"/>
                <w:lang w:val="en-US"/>
              </w:rPr>
            </w:pPr>
            <w:r w:rsidRPr="0021277B">
              <w:rPr>
                <w:rFonts w:eastAsia="MS Mincho"/>
                <w:i/>
                <w:iCs/>
                <w:sz w:val="22"/>
                <w:szCs w:val="22"/>
                <w:lang w:val="en-US"/>
              </w:rPr>
              <w:t>Explanation for ranking</w:t>
            </w:r>
          </w:p>
          <w:p w14:paraId="32BBCA36" w14:textId="77777777" w:rsidR="006B3F46" w:rsidRPr="0021277B" w:rsidRDefault="006B3F46" w:rsidP="006B3F46">
            <w:pPr>
              <w:pStyle w:val="ListParagraph"/>
              <w:widowControl w:val="0"/>
              <w:numPr>
                <w:ilvl w:val="0"/>
                <w:numId w:val="28"/>
              </w:numPr>
              <w:autoSpaceDE w:val="0"/>
              <w:autoSpaceDN w:val="0"/>
              <w:adjustRightInd w:val="0"/>
              <w:ind w:leftChars="0" w:left="319"/>
              <w:contextualSpacing/>
              <w:rPr>
                <w:szCs w:val="22"/>
                <w:lang w:val="en-US"/>
              </w:rPr>
            </w:pPr>
            <w:r w:rsidRPr="0021277B">
              <w:rPr>
                <w:szCs w:val="22"/>
                <w:lang w:val="en-US"/>
              </w:rPr>
              <w:t>The Nazaré canyon is highly active, particular</w:t>
            </w:r>
            <w:r>
              <w:rPr>
                <w:szCs w:val="22"/>
                <w:lang w:val="en-US"/>
              </w:rPr>
              <w:t>ly</w:t>
            </w:r>
            <w:r w:rsidRPr="0021277B">
              <w:rPr>
                <w:szCs w:val="22"/>
                <w:lang w:val="en-US"/>
              </w:rPr>
              <w:t xml:space="preserve"> during winter. In summer, upwelling events may prevent sediment export (Pusceddu </w:t>
            </w:r>
            <w:r w:rsidRPr="0006066A">
              <w:rPr>
                <w:i/>
                <w:szCs w:val="22"/>
                <w:lang w:val="en-US"/>
              </w:rPr>
              <w:t>et al</w:t>
            </w:r>
            <w:r w:rsidRPr="0021277B">
              <w:rPr>
                <w:i/>
                <w:szCs w:val="22"/>
                <w:lang w:val="en-US"/>
              </w:rPr>
              <w:t>.</w:t>
            </w:r>
            <w:r w:rsidRPr="0021277B">
              <w:rPr>
                <w:szCs w:val="22"/>
                <w:lang w:val="en-US"/>
              </w:rPr>
              <w:t xml:space="preserve">, 2010). Several studies point to chlorophyll-a and organic carbon concentrations that are significantly higher in the canyon than in the adjacent open slope sediments (Garcıa </w:t>
            </w:r>
            <w:r w:rsidRPr="0006066A">
              <w:rPr>
                <w:i/>
                <w:szCs w:val="22"/>
                <w:lang w:val="en-US"/>
              </w:rPr>
              <w:t>et al</w:t>
            </w:r>
            <w:r w:rsidRPr="0021277B">
              <w:rPr>
                <w:i/>
                <w:szCs w:val="22"/>
                <w:lang w:val="en-US"/>
              </w:rPr>
              <w:t>.</w:t>
            </w:r>
            <w:r w:rsidRPr="0021277B">
              <w:rPr>
                <w:szCs w:val="22"/>
                <w:lang w:val="en-US"/>
              </w:rPr>
              <w:t xml:space="preserve">, 2008; Ingels </w:t>
            </w:r>
            <w:r w:rsidRPr="0006066A">
              <w:rPr>
                <w:i/>
                <w:szCs w:val="22"/>
                <w:lang w:val="en-US"/>
              </w:rPr>
              <w:t>et al</w:t>
            </w:r>
            <w:r w:rsidRPr="0021277B">
              <w:rPr>
                <w:i/>
                <w:szCs w:val="22"/>
                <w:lang w:val="en-US"/>
              </w:rPr>
              <w:t>.</w:t>
            </w:r>
            <w:r w:rsidRPr="0021277B">
              <w:rPr>
                <w:szCs w:val="22"/>
                <w:lang w:val="en-US"/>
              </w:rPr>
              <w:t xml:space="preserve">, 2009; Pusceddu </w:t>
            </w:r>
            <w:r w:rsidRPr="0006066A">
              <w:rPr>
                <w:i/>
                <w:szCs w:val="22"/>
                <w:lang w:val="en-US"/>
              </w:rPr>
              <w:t>et al</w:t>
            </w:r>
            <w:r w:rsidRPr="0021277B">
              <w:rPr>
                <w:i/>
                <w:szCs w:val="22"/>
                <w:lang w:val="en-US"/>
              </w:rPr>
              <w:t>.</w:t>
            </w:r>
            <w:r w:rsidRPr="0021277B">
              <w:rPr>
                <w:szCs w:val="22"/>
                <w:lang w:val="en-US"/>
              </w:rPr>
              <w:t>, 2010).</w:t>
            </w:r>
          </w:p>
          <w:p w14:paraId="69494BBD" w14:textId="77777777" w:rsidR="006B3F46" w:rsidRPr="0021277B" w:rsidRDefault="006B3F46" w:rsidP="006B3F46">
            <w:pPr>
              <w:pStyle w:val="ListParagraph"/>
              <w:widowControl w:val="0"/>
              <w:numPr>
                <w:ilvl w:val="0"/>
                <w:numId w:val="28"/>
              </w:numPr>
              <w:autoSpaceDE w:val="0"/>
              <w:autoSpaceDN w:val="0"/>
              <w:adjustRightInd w:val="0"/>
              <w:ind w:leftChars="0" w:left="319"/>
              <w:contextualSpacing/>
              <w:rPr>
                <w:szCs w:val="22"/>
                <w:lang w:val="en-US"/>
              </w:rPr>
            </w:pPr>
            <w:r w:rsidRPr="0021277B">
              <w:rPr>
                <w:szCs w:val="22"/>
                <w:lang w:val="en-US"/>
              </w:rPr>
              <w:t xml:space="preserve">The Berlengas Natural Reserve, off Peniche, is located in the Eastern North Atlantic Upwelling Region, which is characterized by strong and frequent coastal upwelling events during spring and summer months, with high chlorophyll-a and organic carbon concentrations, creating biomass hotspots (Wooster </w:t>
            </w:r>
            <w:r w:rsidRPr="0006066A">
              <w:rPr>
                <w:i/>
                <w:szCs w:val="22"/>
                <w:lang w:val="en-US"/>
              </w:rPr>
              <w:t>et al</w:t>
            </w:r>
            <w:r w:rsidRPr="0021277B">
              <w:rPr>
                <w:i/>
                <w:szCs w:val="22"/>
                <w:lang w:val="en-US"/>
              </w:rPr>
              <w:t>.</w:t>
            </w:r>
            <w:r w:rsidRPr="0021277B">
              <w:rPr>
                <w:szCs w:val="22"/>
                <w:lang w:val="en-US"/>
              </w:rPr>
              <w:t xml:space="preserve">, 1976, Fraga </w:t>
            </w:r>
            <w:r w:rsidRPr="0006066A">
              <w:rPr>
                <w:i/>
                <w:szCs w:val="22"/>
                <w:lang w:val="en-US"/>
              </w:rPr>
              <w:t>et al</w:t>
            </w:r>
            <w:r w:rsidRPr="0021277B">
              <w:rPr>
                <w:i/>
                <w:szCs w:val="22"/>
                <w:lang w:val="en-US"/>
              </w:rPr>
              <w:t>.</w:t>
            </w:r>
            <w:r w:rsidRPr="0021277B">
              <w:rPr>
                <w:szCs w:val="22"/>
                <w:lang w:val="en-US"/>
              </w:rPr>
              <w:t xml:space="preserve">, 1988, Queiroga </w:t>
            </w:r>
            <w:r w:rsidRPr="0006066A">
              <w:rPr>
                <w:i/>
                <w:szCs w:val="22"/>
                <w:lang w:val="en-US"/>
              </w:rPr>
              <w:t>et al</w:t>
            </w:r>
            <w:r w:rsidRPr="0021277B">
              <w:rPr>
                <w:i/>
                <w:szCs w:val="22"/>
                <w:lang w:val="en-US"/>
              </w:rPr>
              <w:t>.</w:t>
            </w:r>
            <w:r w:rsidRPr="0021277B">
              <w:rPr>
                <w:szCs w:val="22"/>
                <w:lang w:val="en-US"/>
              </w:rPr>
              <w:t xml:space="preserve">, 2007, Alvarez </w:t>
            </w:r>
            <w:r w:rsidRPr="0006066A">
              <w:rPr>
                <w:i/>
                <w:szCs w:val="22"/>
                <w:lang w:val="en-US"/>
              </w:rPr>
              <w:t>et al</w:t>
            </w:r>
            <w:r w:rsidRPr="0021277B">
              <w:rPr>
                <w:i/>
                <w:szCs w:val="22"/>
                <w:lang w:val="en-US"/>
              </w:rPr>
              <w:t>.</w:t>
            </w:r>
            <w:r w:rsidRPr="0021277B">
              <w:rPr>
                <w:szCs w:val="22"/>
                <w:lang w:val="en-US"/>
              </w:rPr>
              <w:t>, 2008).</w:t>
            </w:r>
          </w:p>
          <w:p w14:paraId="3BEB6E7F" w14:textId="77777777" w:rsidR="006B3F46" w:rsidRPr="0021277B" w:rsidRDefault="006B3F46" w:rsidP="006B3F46">
            <w:pPr>
              <w:pStyle w:val="ListParagraph"/>
              <w:widowControl w:val="0"/>
              <w:numPr>
                <w:ilvl w:val="0"/>
                <w:numId w:val="28"/>
              </w:numPr>
              <w:autoSpaceDE w:val="0"/>
              <w:autoSpaceDN w:val="0"/>
              <w:adjustRightInd w:val="0"/>
              <w:ind w:leftChars="0" w:left="319"/>
              <w:contextualSpacing/>
              <w:rPr>
                <w:szCs w:val="22"/>
                <w:lang w:val="en-US"/>
              </w:rPr>
            </w:pPr>
            <w:r w:rsidRPr="0021277B">
              <w:rPr>
                <w:szCs w:val="22"/>
                <w:lang w:val="en-US"/>
              </w:rPr>
              <w:t xml:space="preserve">Coastal winds off NW Spain describe a conspicuous seasonal cycle, favouring upwelling from March-April to September-October and downwelling for the rest of the year (Wooster </w:t>
            </w:r>
            <w:r w:rsidRPr="0006066A">
              <w:rPr>
                <w:i/>
                <w:szCs w:val="22"/>
                <w:lang w:val="en-US"/>
              </w:rPr>
              <w:t>et al</w:t>
            </w:r>
            <w:r w:rsidRPr="0021277B">
              <w:rPr>
                <w:szCs w:val="22"/>
                <w:lang w:val="en-US"/>
              </w:rPr>
              <w:t>., 1976; Bakun and Nelson, 1991). Upwelling areas are particularly important for the exploitation of resources and for the air-sea exchange of anthropogenic CO</w:t>
            </w:r>
            <w:r w:rsidRPr="0021277B">
              <w:rPr>
                <w:szCs w:val="22"/>
                <w:vertAlign w:val="subscript"/>
                <w:lang w:val="en-US"/>
              </w:rPr>
              <w:t>2</w:t>
            </w:r>
            <w:r w:rsidRPr="0021277B">
              <w:rPr>
                <w:szCs w:val="22"/>
                <w:lang w:val="en-US"/>
              </w:rPr>
              <w:t>. Knowledge of the magnitude of "New Production"</w:t>
            </w:r>
            <w:r>
              <w:rPr>
                <w:szCs w:val="22"/>
                <w:lang w:val="en-US"/>
              </w:rPr>
              <w:t>(</w:t>
            </w:r>
            <w:r w:rsidRPr="009774A2">
              <w:rPr>
                <w:szCs w:val="22"/>
                <w:lang w:val="en-US"/>
              </w:rPr>
              <w:t>defined as the fraction of the gross primary production that is maintained by external nutrients</w:t>
            </w:r>
            <w:r>
              <w:rPr>
                <w:szCs w:val="22"/>
                <w:lang w:val="en-US"/>
              </w:rPr>
              <w:t>)</w:t>
            </w:r>
            <w:r w:rsidRPr="00345F5B">
              <w:rPr>
                <w:szCs w:val="22"/>
                <w:lang w:val="en-US"/>
              </w:rPr>
              <w:t xml:space="preserve"> </w:t>
            </w:r>
            <w:r w:rsidRPr="0021277B">
              <w:rPr>
                <w:szCs w:val="22"/>
                <w:lang w:val="en-US"/>
              </w:rPr>
              <w:t xml:space="preserve">of this area is of great importance (Alvarez-Salgado </w:t>
            </w:r>
            <w:r w:rsidRPr="0006066A">
              <w:rPr>
                <w:i/>
                <w:szCs w:val="22"/>
                <w:lang w:val="en-US"/>
              </w:rPr>
              <w:t>et al</w:t>
            </w:r>
            <w:r w:rsidRPr="0021277B">
              <w:rPr>
                <w:szCs w:val="22"/>
                <w:lang w:val="en-US"/>
              </w:rPr>
              <w:t>., 2002). . The coastal areas exhibit mesoscale spatial and temporal patterns of upwelling.</w:t>
            </w:r>
          </w:p>
          <w:p w14:paraId="1F8A0001" w14:textId="256A6FE4" w:rsidR="006B3F46" w:rsidRPr="002E4B39" w:rsidRDefault="006B3F46" w:rsidP="002E4B39">
            <w:pPr>
              <w:pStyle w:val="ListParagraph"/>
              <w:widowControl w:val="0"/>
              <w:numPr>
                <w:ilvl w:val="0"/>
                <w:numId w:val="28"/>
              </w:numPr>
              <w:autoSpaceDE w:val="0"/>
              <w:autoSpaceDN w:val="0"/>
              <w:adjustRightInd w:val="0"/>
              <w:ind w:leftChars="0" w:left="319"/>
              <w:contextualSpacing/>
              <w:rPr>
                <w:color w:val="000000"/>
                <w:szCs w:val="22"/>
                <w:lang w:val="en-US"/>
              </w:rPr>
            </w:pPr>
            <w:r>
              <w:rPr>
                <w:szCs w:val="22"/>
                <w:lang w:val="en-US"/>
              </w:rPr>
              <w:t>S</w:t>
            </w:r>
            <w:r w:rsidRPr="0021277B">
              <w:rPr>
                <w:szCs w:val="22"/>
                <w:lang w:val="en-US"/>
              </w:rPr>
              <w:t>tudies conducted in the structures of the area prove that it</w:t>
            </w:r>
            <w:r w:rsidRPr="0021277B">
              <w:rPr>
                <w:rFonts w:eastAsia="MS Mincho"/>
                <w:bCs/>
                <w:szCs w:val="22"/>
                <w:lang w:val="en-US"/>
              </w:rPr>
              <w:t xml:space="preserve"> has high biological productivity </w:t>
            </w:r>
            <w:r w:rsidRPr="0021277B">
              <w:rPr>
                <w:szCs w:val="22"/>
                <w:lang w:val="en-US"/>
              </w:rPr>
              <w:t>(</w:t>
            </w:r>
            <w:r w:rsidRPr="0021277B">
              <w:rPr>
                <w:iCs/>
                <w:szCs w:val="22"/>
                <w:lang w:val="en-US"/>
              </w:rPr>
              <w:t>e.g.,</w:t>
            </w:r>
            <w:r w:rsidRPr="0021277B">
              <w:rPr>
                <w:szCs w:val="22"/>
                <w:lang w:val="en-US"/>
              </w:rPr>
              <w:t xml:space="preserve"> Mougenot </w:t>
            </w:r>
            <w:r w:rsidRPr="0006066A">
              <w:rPr>
                <w:i/>
                <w:szCs w:val="22"/>
                <w:lang w:val="en-US"/>
              </w:rPr>
              <w:t>et al</w:t>
            </w:r>
            <w:r w:rsidRPr="0021277B">
              <w:rPr>
                <w:i/>
                <w:szCs w:val="22"/>
                <w:lang w:val="en-US"/>
              </w:rPr>
              <w:t>.</w:t>
            </w:r>
            <w:r w:rsidRPr="0021277B">
              <w:rPr>
                <w:szCs w:val="22"/>
                <w:lang w:val="en-US"/>
              </w:rPr>
              <w:t xml:space="preserve">, 1984; Whitmarsh &amp; Sawyer, 1996; Vetter </w:t>
            </w:r>
            <w:r w:rsidRPr="0006066A">
              <w:rPr>
                <w:i/>
                <w:szCs w:val="22"/>
                <w:lang w:val="en-US"/>
              </w:rPr>
              <w:t>et al</w:t>
            </w:r>
            <w:r w:rsidRPr="0021277B">
              <w:rPr>
                <w:i/>
                <w:szCs w:val="22"/>
                <w:lang w:val="en-US"/>
              </w:rPr>
              <w:t>.</w:t>
            </w:r>
            <w:r w:rsidRPr="0021277B">
              <w:rPr>
                <w:szCs w:val="22"/>
                <w:lang w:val="en-US"/>
              </w:rPr>
              <w:t xml:space="preserve">, 1998; Cascalho &amp; Fradique, 2007; Guerreiro </w:t>
            </w:r>
            <w:r w:rsidRPr="0006066A">
              <w:rPr>
                <w:i/>
                <w:szCs w:val="22"/>
                <w:lang w:val="en-US"/>
              </w:rPr>
              <w:t>et al</w:t>
            </w:r>
            <w:r w:rsidRPr="0021277B">
              <w:rPr>
                <w:i/>
                <w:szCs w:val="22"/>
                <w:lang w:val="en-US"/>
              </w:rPr>
              <w:t>.</w:t>
            </w:r>
            <w:r w:rsidRPr="0021277B">
              <w:rPr>
                <w:szCs w:val="22"/>
                <w:lang w:val="en-US"/>
              </w:rPr>
              <w:t xml:space="preserve">, 2009; Cruz </w:t>
            </w:r>
            <w:r w:rsidRPr="0006066A">
              <w:rPr>
                <w:i/>
                <w:szCs w:val="22"/>
                <w:lang w:val="en-US"/>
              </w:rPr>
              <w:t>et al</w:t>
            </w:r>
            <w:r w:rsidRPr="0021277B">
              <w:rPr>
                <w:i/>
                <w:szCs w:val="22"/>
                <w:lang w:val="en-US"/>
              </w:rPr>
              <w:t>.</w:t>
            </w:r>
            <w:r w:rsidRPr="0021277B">
              <w:rPr>
                <w:szCs w:val="22"/>
                <w:lang w:val="en-US"/>
              </w:rPr>
              <w:t xml:space="preserve">, 2010; Keijzer </w:t>
            </w:r>
            <w:r w:rsidRPr="0006066A">
              <w:rPr>
                <w:i/>
                <w:szCs w:val="22"/>
                <w:lang w:val="en-US"/>
              </w:rPr>
              <w:t>et al</w:t>
            </w:r>
            <w:r w:rsidRPr="0021277B">
              <w:rPr>
                <w:i/>
                <w:szCs w:val="22"/>
                <w:lang w:val="en-US"/>
              </w:rPr>
              <w:t>.</w:t>
            </w:r>
            <w:r w:rsidRPr="0021277B">
              <w:rPr>
                <w:szCs w:val="22"/>
                <w:lang w:val="en-US"/>
              </w:rPr>
              <w:t>, 2010; Van Rooij</w:t>
            </w:r>
            <w:r w:rsidRPr="0021277B">
              <w:rPr>
                <w:i/>
                <w:szCs w:val="22"/>
                <w:lang w:val="en-US"/>
              </w:rPr>
              <w:t xml:space="preserve"> </w:t>
            </w:r>
            <w:r w:rsidRPr="0006066A">
              <w:rPr>
                <w:i/>
                <w:szCs w:val="22"/>
                <w:lang w:val="en-US"/>
              </w:rPr>
              <w:t>et al</w:t>
            </w:r>
            <w:r w:rsidRPr="0021277B">
              <w:rPr>
                <w:i/>
                <w:szCs w:val="22"/>
                <w:lang w:val="en-US"/>
              </w:rPr>
              <w:t>.</w:t>
            </w:r>
            <w:r w:rsidRPr="0021277B">
              <w:rPr>
                <w:szCs w:val="22"/>
                <w:lang w:val="en-US"/>
              </w:rPr>
              <w:t xml:space="preserve">, 2010; De Leo, 2012; Tuya </w:t>
            </w:r>
            <w:r w:rsidRPr="0006066A">
              <w:rPr>
                <w:i/>
                <w:szCs w:val="22"/>
                <w:lang w:val="en-US"/>
              </w:rPr>
              <w:t>et al</w:t>
            </w:r>
            <w:r w:rsidRPr="0021277B">
              <w:rPr>
                <w:i/>
                <w:szCs w:val="22"/>
                <w:lang w:val="en-US"/>
              </w:rPr>
              <w:t>.</w:t>
            </w:r>
            <w:r w:rsidRPr="0021277B">
              <w:rPr>
                <w:szCs w:val="22"/>
                <w:lang w:val="en-US"/>
              </w:rPr>
              <w:t>, 2012; Muacho</w:t>
            </w:r>
            <w:r w:rsidRPr="0021277B">
              <w:rPr>
                <w:i/>
                <w:szCs w:val="22"/>
                <w:lang w:val="en-US"/>
              </w:rPr>
              <w:t xml:space="preserve"> </w:t>
            </w:r>
            <w:r w:rsidRPr="0006066A">
              <w:rPr>
                <w:i/>
                <w:szCs w:val="22"/>
                <w:lang w:val="en-US"/>
              </w:rPr>
              <w:t>et al</w:t>
            </w:r>
            <w:r w:rsidRPr="0021277B">
              <w:rPr>
                <w:i/>
                <w:szCs w:val="22"/>
                <w:lang w:val="en-US"/>
              </w:rPr>
              <w:t>.</w:t>
            </w:r>
            <w:r w:rsidRPr="0021277B">
              <w:rPr>
                <w:szCs w:val="22"/>
                <w:lang w:val="en-US"/>
              </w:rPr>
              <w:t>, 2013; Muñoz</w:t>
            </w:r>
            <w:r w:rsidRPr="0021277B">
              <w:rPr>
                <w:i/>
                <w:szCs w:val="22"/>
                <w:lang w:val="en-US"/>
              </w:rPr>
              <w:t xml:space="preserve"> </w:t>
            </w:r>
            <w:r w:rsidRPr="0006066A">
              <w:rPr>
                <w:i/>
                <w:szCs w:val="22"/>
                <w:lang w:val="en-US"/>
              </w:rPr>
              <w:t>et al</w:t>
            </w:r>
            <w:r w:rsidRPr="0021277B">
              <w:rPr>
                <w:i/>
                <w:szCs w:val="22"/>
                <w:lang w:val="en-US"/>
              </w:rPr>
              <w:t>.</w:t>
            </w:r>
            <w:r w:rsidRPr="0021277B">
              <w:rPr>
                <w:szCs w:val="22"/>
                <w:lang w:val="en-US"/>
              </w:rPr>
              <w:t xml:space="preserve">, 2013; Leduc </w:t>
            </w:r>
            <w:r w:rsidRPr="0006066A">
              <w:rPr>
                <w:i/>
                <w:szCs w:val="22"/>
                <w:lang w:val="en-US"/>
              </w:rPr>
              <w:t>et al</w:t>
            </w:r>
            <w:r w:rsidRPr="0021277B">
              <w:rPr>
                <w:i/>
                <w:szCs w:val="22"/>
                <w:lang w:val="en-US"/>
              </w:rPr>
              <w:t>.</w:t>
            </w:r>
            <w:r w:rsidRPr="0021277B">
              <w:rPr>
                <w:szCs w:val="22"/>
                <w:lang w:val="en-US"/>
              </w:rPr>
              <w:t>, 2014;</w:t>
            </w:r>
            <w:r w:rsidRPr="0021277B">
              <w:rPr>
                <w:szCs w:val="22"/>
              </w:rPr>
              <w:t xml:space="preserve"> </w:t>
            </w:r>
            <w:r w:rsidRPr="0021277B">
              <w:rPr>
                <w:szCs w:val="22"/>
                <w:lang w:val="en-US"/>
              </w:rPr>
              <w:t>Souto</w:t>
            </w:r>
            <w:r w:rsidRPr="0021277B">
              <w:rPr>
                <w:i/>
                <w:szCs w:val="22"/>
                <w:lang w:val="en-US"/>
              </w:rPr>
              <w:t xml:space="preserve"> </w:t>
            </w:r>
            <w:r w:rsidRPr="0006066A">
              <w:rPr>
                <w:i/>
                <w:szCs w:val="22"/>
                <w:lang w:val="en-US"/>
              </w:rPr>
              <w:t>et al</w:t>
            </w:r>
            <w:r w:rsidRPr="0021277B">
              <w:rPr>
                <w:i/>
                <w:szCs w:val="22"/>
                <w:lang w:val="en-US"/>
              </w:rPr>
              <w:t>.</w:t>
            </w:r>
            <w:r w:rsidRPr="0021277B">
              <w:rPr>
                <w:szCs w:val="22"/>
                <w:lang w:val="en-US"/>
              </w:rPr>
              <w:t>, 2014; Hernández-Molina</w:t>
            </w:r>
            <w:r w:rsidRPr="0021277B">
              <w:rPr>
                <w:i/>
                <w:szCs w:val="22"/>
                <w:lang w:val="en-US"/>
              </w:rPr>
              <w:t xml:space="preserve"> </w:t>
            </w:r>
            <w:r w:rsidRPr="0006066A">
              <w:rPr>
                <w:i/>
                <w:szCs w:val="22"/>
                <w:lang w:val="en-US"/>
              </w:rPr>
              <w:t>et al</w:t>
            </w:r>
            <w:r w:rsidRPr="0021277B">
              <w:rPr>
                <w:i/>
                <w:szCs w:val="22"/>
                <w:lang w:val="en-US"/>
              </w:rPr>
              <w:t>.</w:t>
            </w:r>
            <w:r w:rsidRPr="0021277B">
              <w:rPr>
                <w:szCs w:val="22"/>
                <w:lang w:val="en-US"/>
              </w:rPr>
              <w:t>, 2015).</w:t>
            </w:r>
          </w:p>
        </w:tc>
      </w:tr>
      <w:tr w:rsidR="006B3F46" w:rsidRPr="0021277B" w14:paraId="68847951" w14:textId="77777777" w:rsidTr="00907941">
        <w:tc>
          <w:tcPr>
            <w:tcW w:w="783" w:type="pct"/>
            <w:shd w:val="clear" w:color="auto" w:fill="auto"/>
          </w:tcPr>
          <w:p w14:paraId="7CE938F4"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80" w:type="pct"/>
            <w:shd w:val="clear" w:color="auto" w:fill="auto"/>
          </w:tcPr>
          <w:p w14:paraId="1A3AEEC4"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vAlign w:val="center"/>
          </w:tcPr>
          <w:p w14:paraId="61E68E1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64E5439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4A5E1B9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1756659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616939B3" w14:textId="77777777" w:rsidTr="00907941">
        <w:tc>
          <w:tcPr>
            <w:tcW w:w="5000" w:type="pct"/>
            <w:gridSpan w:val="11"/>
            <w:shd w:val="clear" w:color="auto" w:fill="auto"/>
          </w:tcPr>
          <w:p w14:paraId="3D2F175B" w14:textId="77777777" w:rsidR="006B3F46" w:rsidRPr="0021277B" w:rsidRDefault="006B3F46" w:rsidP="00907941">
            <w:pPr>
              <w:widowControl w:val="0"/>
              <w:autoSpaceDE w:val="0"/>
              <w:autoSpaceDN w:val="0"/>
              <w:adjustRightInd w:val="0"/>
              <w:jc w:val="both"/>
              <w:rPr>
                <w:rFonts w:eastAsia="MS Mincho"/>
                <w:i/>
                <w:iCs/>
                <w:sz w:val="22"/>
                <w:szCs w:val="22"/>
                <w:lang w:val="en-US"/>
              </w:rPr>
            </w:pPr>
            <w:r w:rsidRPr="0021277B">
              <w:rPr>
                <w:rFonts w:eastAsia="MS Mincho"/>
                <w:i/>
                <w:iCs/>
                <w:sz w:val="22"/>
                <w:szCs w:val="22"/>
                <w:lang w:val="en-US"/>
              </w:rPr>
              <w:t>Explanation for ranking</w:t>
            </w:r>
          </w:p>
          <w:p w14:paraId="529FCC5C" w14:textId="77777777" w:rsidR="006B3F46" w:rsidRPr="0021277B" w:rsidRDefault="006B3F46" w:rsidP="006B3F46">
            <w:pPr>
              <w:pStyle w:val="ListParagraph"/>
              <w:widowControl w:val="0"/>
              <w:numPr>
                <w:ilvl w:val="0"/>
                <w:numId w:val="29"/>
              </w:numPr>
              <w:autoSpaceDE w:val="0"/>
              <w:autoSpaceDN w:val="0"/>
              <w:adjustRightInd w:val="0"/>
              <w:ind w:leftChars="0" w:left="319"/>
              <w:contextualSpacing/>
              <w:rPr>
                <w:rFonts w:eastAsia="MS Mincho"/>
                <w:szCs w:val="22"/>
                <w:lang w:val="en-US"/>
              </w:rPr>
            </w:pPr>
            <w:r w:rsidRPr="0021277B">
              <w:rPr>
                <w:rFonts w:eastAsia="MS Mincho"/>
                <w:szCs w:val="22"/>
                <w:lang w:val="en-US"/>
              </w:rPr>
              <w:t xml:space="preserve">The Berlengas archipelago </w:t>
            </w:r>
            <w:r>
              <w:rPr>
                <w:rFonts w:eastAsia="MS Mincho"/>
                <w:szCs w:val="22"/>
                <w:lang w:val="en-US"/>
              </w:rPr>
              <w:t>has</w:t>
            </w:r>
            <w:r w:rsidRPr="0021277B">
              <w:rPr>
                <w:rFonts w:eastAsia="MS Mincho"/>
                <w:szCs w:val="22"/>
                <w:lang w:val="en-US"/>
              </w:rPr>
              <w:t xml:space="preserve"> high biodiversity, with 76 fish species currently reported in the reserve area (Rodrigues </w:t>
            </w:r>
            <w:r w:rsidRPr="0006066A">
              <w:rPr>
                <w:rFonts w:eastAsia="MS Mincho"/>
                <w:i/>
                <w:szCs w:val="22"/>
                <w:lang w:val="en-US"/>
              </w:rPr>
              <w:t>et al</w:t>
            </w:r>
            <w:r w:rsidRPr="0021277B">
              <w:rPr>
                <w:rFonts w:eastAsia="MS Mincho"/>
                <w:szCs w:val="22"/>
                <w:lang w:val="en-US"/>
              </w:rPr>
              <w:t xml:space="preserve">. 2008). This, </w:t>
            </w:r>
            <w:r>
              <w:rPr>
                <w:rFonts w:eastAsia="MS Mincho"/>
                <w:szCs w:val="22"/>
                <w:lang w:val="en-US"/>
              </w:rPr>
              <w:t>combined</w:t>
            </w:r>
            <w:r w:rsidRPr="0021277B">
              <w:rPr>
                <w:rFonts w:eastAsia="MS Mincho"/>
                <w:szCs w:val="22"/>
                <w:lang w:val="en-US"/>
              </w:rPr>
              <w:t xml:space="preserve"> with the favourable combination of bathymetric features and ocean and wind circulation (namely the Azorean anti-cyclone and the Portuguese continental shelf upwelling), characterizes the area as rich feeding and breeding grounds for several species, especially seabird</w:t>
            </w:r>
            <w:r>
              <w:rPr>
                <w:rFonts w:eastAsia="MS Mincho"/>
                <w:szCs w:val="22"/>
                <w:lang w:val="en-US"/>
              </w:rPr>
              <w:t xml:space="preserve">s </w:t>
            </w:r>
            <w:r w:rsidRPr="0021277B">
              <w:rPr>
                <w:rFonts w:eastAsia="MS Mincho"/>
                <w:szCs w:val="22"/>
                <w:lang w:val="en-US"/>
              </w:rPr>
              <w:t xml:space="preserve">(Paiva </w:t>
            </w:r>
            <w:r w:rsidRPr="0006066A">
              <w:rPr>
                <w:rFonts w:eastAsia="MS Mincho"/>
                <w:i/>
                <w:szCs w:val="22"/>
                <w:lang w:val="en-US"/>
              </w:rPr>
              <w:t>et al</w:t>
            </w:r>
            <w:r w:rsidRPr="0021277B">
              <w:rPr>
                <w:rFonts w:eastAsia="MS Mincho"/>
                <w:szCs w:val="22"/>
                <w:lang w:val="en-US"/>
              </w:rPr>
              <w:t>., 2010; Werner, 2010).</w:t>
            </w:r>
          </w:p>
          <w:p w14:paraId="576FB824" w14:textId="77777777" w:rsidR="006B3F46" w:rsidRPr="0021277B" w:rsidRDefault="006B3F46" w:rsidP="006B3F46">
            <w:pPr>
              <w:pStyle w:val="ListParagraph"/>
              <w:widowControl w:val="0"/>
              <w:numPr>
                <w:ilvl w:val="0"/>
                <w:numId w:val="29"/>
              </w:numPr>
              <w:autoSpaceDE w:val="0"/>
              <w:autoSpaceDN w:val="0"/>
              <w:adjustRightInd w:val="0"/>
              <w:ind w:leftChars="0" w:left="319"/>
              <w:contextualSpacing/>
              <w:rPr>
                <w:color w:val="000000"/>
                <w:szCs w:val="22"/>
                <w:lang w:val="en-US"/>
              </w:rPr>
            </w:pPr>
            <w:r w:rsidRPr="0021277B">
              <w:rPr>
                <w:color w:val="000000"/>
                <w:szCs w:val="22"/>
                <w:lang w:val="en-US"/>
              </w:rPr>
              <w:t xml:space="preserve">The canyon circulation phenomena are responsible for enhancing both pelagic and benthic productivity inside canyon habitats as well as the biodiversity of many benthic faunal groups (Schlacher </w:t>
            </w:r>
            <w:r w:rsidRPr="0006066A">
              <w:rPr>
                <w:i/>
                <w:color w:val="000000"/>
                <w:szCs w:val="22"/>
                <w:lang w:val="en-US"/>
              </w:rPr>
              <w:t>et al</w:t>
            </w:r>
            <w:r w:rsidRPr="0021277B">
              <w:rPr>
                <w:i/>
                <w:color w:val="000000"/>
                <w:szCs w:val="22"/>
                <w:lang w:val="en-US"/>
              </w:rPr>
              <w:t>.</w:t>
            </w:r>
            <w:r w:rsidRPr="0021277B">
              <w:rPr>
                <w:color w:val="000000"/>
                <w:szCs w:val="22"/>
                <w:lang w:val="en-US"/>
              </w:rPr>
              <w:t xml:space="preserve">, 2007; Vetter </w:t>
            </w:r>
            <w:r w:rsidRPr="0006066A">
              <w:rPr>
                <w:i/>
                <w:color w:val="000000"/>
                <w:szCs w:val="22"/>
                <w:lang w:val="en-US"/>
              </w:rPr>
              <w:t>et al</w:t>
            </w:r>
            <w:r w:rsidRPr="0021277B">
              <w:rPr>
                <w:i/>
                <w:color w:val="000000"/>
                <w:szCs w:val="22"/>
                <w:lang w:val="en-US"/>
              </w:rPr>
              <w:t>.</w:t>
            </w:r>
            <w:r w:rsidRPr="0021277B">
              <w:rPr>
                <w:color w:val="000000"/>
                <w:szCs w:val="22"/>
                <w:lang w:val="en-US"/>
              </w:rPr>
              <w:t xml:space="preserve">, 2010). In addition to currents and topography, substrate heterogeneity is a key factor contributing to the highly diverse faunal assemblage present in submarine canyons (De Leo </w:t>
            </w:r>
            <w:r w:rsidRPr="0006066A">
              <w:rPr>
                <w:i/>
                <w:color w:val="000000"/>
                <w:szCs w:val="22"/>
                <w:lang w:val="en-US"/>
              </w:rPr>
              <w:t>et al</w:t>
            </w:r>
            <w:r w:rsidRPr="0021277B">
              <w:rPr>
                <w:i/>
                <w:color w:val="000000"/>
                <w:szCs w:val="22"/>
                <w:lang w:val="en-US"/>
              </w:rPr>
              <w:t>.</w:t>
            </w:r>
            <w:r w:rsidRPr="0021277B">
              <w:rPr>
                <w:color w:val="000000"/>
                <w:szCs w:val="22"/>
                <w:lang w:val="en-US"/>
              </w:rPr>
              <w:t xml:space="preserve">, 2014). Submarine canyons host a wide variety of substrate types, including mud, sand, hardground, gravel, cobbles, pebbles, boulders, and rocky walls, occurring either separately or in various combinations (Baker </w:t>
            </w:r>
            <w:r w:rsidRPr="00EC5399">
              <w:rPr>
                <w:i/>
                <w:color w:val="000000"/>
                <w:szCs w:val="22"/>
                <w:lang w:val="en-US"/>
              </w:rPr>
              <w:t>et al</w:t>
            </w:r>
            <w:r w:rsidRPr="0021277B">
              <w:rPr>
                <w:i/>
                <w:color w:val="000000"/>
                <w:szCs w:val="22"/>
                <w:lang w:val="en-US"/>
              </w:rPr>
              <w:t>.</w:t>
            </w:r>
            <w:r w:rsidRPr="0021277B">
              <w:rPr>
                <w:color w:val="000000"/>
                <w:szCs w:val="22"/>
                <w:lang w:val="en-US"/>
              </w:rPr>
              <w:t xml:space="preserve">, 2011). Most species are restricted to either hard substratum (most scleractinians, antipatharians, gorgonians and sponges) or soft substratum (most pennatulids and some scleractinians, gorgonians and sponges) (Vetter &amp; Dayton, 1998). </w:t>
            </w:r>
          </w:p>
          <w:p w14:paraId="73F82B4B" w14:textId="77777777" w:rsidR="006B3F46" w:rsidRPr="0021277B" w:rsidRDefault="006B3F46" w:rsidP="006B3F46">
            <w:pPr>
              <w:pStyle w:val="ListParagraph"/>
              <w:widowControl w:val="0"/>
              <w:numPr>
                <w:ilvl w:val="0"/>
                <w:numId w:val="29"/>
              </w:numPr>
              <w:autoSpaceDE w:val="0"/>
              <w:autoSpaceDN w:val="0"/>
              <w:adjustRightInd w:val="0"/>
              <w:ind w:leftChars="0" w:left="319"/>
              <w:contextualSpacing/>
              <w:rPr>
                <w:color w:val="000000"/>
                <w:szCs w:val="22"/>
                <w:lang w:val="en-US"/>
              </w:rPr>
            </w:pPr>
            <w:r w:rsidRPr="0021277B">
              <w:rPr>
                <w:rFonts w:eastAsia="MS Mincho"/>
                <w:color w:val="000000"/>
                <w:szCs w:val="22"/>
                <w:lang w:val="en-US"/>
              </w:rPr>
              <w:t xml:space="preserve">Being already partially enclosed by the Berlengas Natural Reserve, it is believed that this area could be one of the main contributors to the known biodiversity and abundance of skates in the surroundings of Peniche (Serra-Pereira </w:t>
            </w:r>
            <w:r w:rsidRPr="00EC5399">
              <w:rPr>
                <w:rFonts w:eastAsia="MS Mincho"/>
                <w:i/>
                <w:color w:val="000000"/>
                <w:szCs w:val="22"/>
                <w:lang w:val="en-US"/>
              </w:rPr>
              <w:t>et al</w:t>
            </w:r>
            <w:r w:rsidRPr="0021277B">
              <w:rPr>
                <w:rFonts w:eastAsia="MS Mincho"/>
                <w:i/>
                <w:color w:val="000000"/>
                <w:szCs w:val="22"/>
                <w:lang w:val="en-US"/>
              </w:rPr>
              <w:t>.</w:t>
            </w:r>
            <w:r w:rsidRPr="0021277B">
              <w:rPr>
                <w:rFonts w:eastAsia="MS Mincho"/>
                <w:color w:val="000000"/>
                <w:szCs w:val="22"/>
                <w:lang w:val="en-US"/>
              </w:rPr>
              <w:t>, 2014).</w:t>
            </w:r>
          </w:p>
          <w:p w14:paraId="12A1E3DF" w14:textId="77777777" w:rsidR="006B3F46" w:rsidRPr="0021277B" w:rsidRDefault="006B3F46" w:rsidP="006B3F46">
            <w:pPr>
              <w:pStyle w:val="ListParagraph"/>
              <w:widowControl w:val="0"/>
              <w:numPr>
                <w:ilvl w:val="0"/>
                <w:numId w:val="29"/>
              </w:numPr>
              <w:autoSpaceDE w:val="0"/>
              <w:autoSpaceDN w:val="0"/>
              <w:adjustRightInd w:val="0"/>
              <w:ind w:leftChars="0" w:left="319"/>
              <w:contextualSpacing/>
              <w:rPr>
                <w:color w:val="000000"/>
                <w:szCs w:val="22"/>
                <w:lang w:val="en-US"/>
              </w:rPr>
            </w:pPr>
            <w:r w:rsidRPr="0021277B">
              <w:rPr>
                <w:color w:val="000000"/>
                <w:szCs w:val="22"/>
                <w:lang w:val="en-US"/>
              </w:rPr>
              <w:t xml:space="preserve">The benthic macrofauna of the canyons and banks of this area show important variations in taxonomic and functional composition, abundance, biodiversity and community structure. Abundance in the upper canyons </w:t>
            </w:r>
            <w:r>
              <w:rPr>
                <w:color w:val="000000"/>
                <w:szCs w:val="22"/>
                <w:lang w:val="en-US"/>
              </w:rPr>
              <w:t>has been shown to be</w:t>
            </w:r>
            <w:r w:rsidRPr="0021277B">
              <w:rPr>
                <w:color w:val="000000"/>
                <w:szCs w:val="22"/>
                <w:lang w:val="en-US"/>
              </w:rPr>
              <w:t xml:space="preserve"> significantly higher than in the adjacent slopes</w:t>
            </w:r>
            <w:r>
              <w:rPr>
                <w:color w:val="000000"/>
                <w:szCs w:val="22"/>
                <w:lang w:val="en-US"/>
              </w:rPr>
              <w:t>,</w:t>
            </w:r>
            <w:r w:rsidRPr="0021277B">
              <w:rPr>
                <w:color w:val="000000"/>
                <w:szCs w:val="22"/>
                <w:lang w:val="en-US"/>
              </w:rPr>
              <w:t xml:space="preserve"> and in all canyons bathymetric trends were identical to peak abundances at intermediate depths (Cunha </w:t>
            </w:r>
            <w:r w:rsidRPr="0006066A">
              <w:rPr>
                <w:i/>
                <w:color w:val="000000"/>
                <w:szCs w:val="22"/>
                <w:lang w:val="en-US"/>
              </w:rPr>
              <w:t>et al</w:t>
            </w:r>
            <w:r w:rsidRPr="0021277B">
              <w:rPr>
                <w:i/>
                <w:color w:val="000000"/>
                <w:szCs w:val="22"/>
                <w:lang w:val="en-US"/>
              </w:rPr>
              <w:t>.</w:t>
            </w:r>
            <w:r w:rsidRPr="0021277B">
              <w:rPr>
                <w:color w:val="000000"/>
                <w:szCs w:val="22"/>
                <w:lang w:val="en-US"/>
              </w:rPr>
              <w:t>, 2011).</w:t>
            </w:r>
          </w:p>
          <w:p w14:paraId="54B93D15" w14:textId="7F53412F" w:rsidR="006B3F46" w:rsidRPr="002E4B39" w:rsidRDefault="006B3F46" w:rsidP="002E4B39">
            <w:pPr>
              <w:pStyle w:val="ListParagraph"/>
              <w:widowControl w:val="0"/>
              <w:numPr>
                <w:ilvl w:val="0"/>
                <w:numId w:val="29"/>
              </w:numPr>
              <w:autoSpaceDE w:val="0"/>
              <w:autoSpaceDN w:val="0"/>
              <w:adjustRightInd w:val="0"/>
              <w:ind w:leftChars="0" w:left="319"/>
              <w:contextualSpacing/>
              <w:rPr>
                <w:color w:val="000000"/>
                <w:szCs w:val="22"/>
                <w:lang w:val="en-US"/>
              </w:rPr>
            </w:pPr>
            <w:r w:rsidRPr="0021277B">
              <w:rPr>
                <w:color w:val="000000"/>
                <w:szCs w:val="22"/>
                <w:lang w:val="en-US"/>
              </w:rPr>
              <w:t xml:space="preserve">The </w:t>
            </w:r>
            <w:r>
              <w:rPr>
                <w:color w:val="000000"/>
                <w:szCs w:val="22"/>
                <w:lang w:val="en-US"/>
              </w:rPr>
              <w:t xml:space="preserve">area </w:t>
            </w:r>
            <w:r w:rsidRPr="0021277B">
              <w:rPr>
                <w:color w:val="000000"/>
                <w:szCs w:val="22"/>
                <w:lang w:val="en-US"/>
              </w:rPr>
              <w:t xml:space="preserve">integrates different types of species belonging to </w:t>
            </w:r>
            <w:r>
              <w:rPr>
                <w:color w:val="000000"/>
                <w:szCs w:val="22"/>
                <w:lang w:val="en-US"/>
              </w:rPr>
              <w:t>p</w:t>
            </w:r>
            <w:r w:rsidRPr="0021277B">
              <w:rPr>
                <w:color w:val="000000"/>
                <w:szCs w:val="22"/>
                <w:lang w:val="en-US"/>
              </w:rPr>
              <w:t>hylum Anellida (</w:t>
            </w:r>
            <w:r>
              <w:rPr>
                <w:color w:val="000000"/>
                <w:szCs w:val="22"/>
                <w:lang w:val="en-US"/>
              </w:rPr>
              <w:t>e.g.,</w:t>
            </w:r>
            <w:r w:rsidRPr="0021277B">
              <w:rPr>
                <w:color w:val="000000"/>
                <w:szCs w:val="22"/>
                <w:lang w:val="en-US"/>
              </w:rPr>
              <w:t xml:space="preserve"> Erpobdellidae - </w:t>
            </w:r>
            <w:r w:rsidRPr="0021277B">
              <w:rPr>
                <w:i/>
                <w:color w:val="000000"/>
                <w:szCs w:val="22"/>
                <w:lang w:val="en-US"/>
              </w:rPr>
              <w:t>Erpobdella octoculata</w:t>
            </w:r>
            <w:r w:rsidRPr="0021277B">
              <w:rPr>
                <w:color w:val="000000"/>
                <w:szCs w:val="22"/>
                <w:lang w:val="en-US"/>
              </w:rPr>
              <w:t>; Hirudinea -</w:t>
            </w:r>
            <w:r w:rsidRPr="0021277B">
              <w:rPr>
                <w:szCs w:val="22"/>
              </w:rPr>
              <w:t xml:space="preserve"> </w:t>
            </w:r>
            <w:r w:rsidRPr="0021277B">
              <w:rPr>
                <w:i/>
                <w:color w:val="000000"/>
                <w:szCs w:val="22"/>
                <w:lang w:val="en-US"/>
              </w:rPr>
              <w:t>Glossiphonia complanata</w:t>
            </w:r>
            <w:r w:rsidRPr="0021277B">
              <w:rPr>
                <w:color w:val="000000"/>
                <w:szCs w:val="22"/>
                <w:lang w:val="en-US"/>
              </w:rPr>
              <w:t xml:space="preserve">; Oligochaeta - </w:t>
            </w:r>
            <w:r w:rsidRPr="0021277B">
              <w:rPr>
                <w:i/>
                <w:color w:val="000000"/>
                <w:szCs w:val="22"/>
                <w:lang w:val="en-US"/>
              </w:rPr>
              <w:t>Enchytraeus capitatus</w:t>
            </w:r>
            <w:r w:rsidRPr="0021277B">
              <w:rPr>
                <w:color w:val="000000"/>
                <w:szCs w:val="22"/>
                <w:lang w:val="en-US"/>
              </w:rPr>
              <w:t xml:space="preserve">; Polychaeta - </w:t>
            </w:r>
            <w:r w:rsidRPr="0021277B">
              <w:rPr>
                <w:i/>
                <w:color w:val="000000"/>
                <w:szCs w:val="22"/>
                <w:lang w:val="en-US"/>
              </w:rPr>
              <w:t>Eulalia viridis</w:t>
            </w:r>
            <w:r w:rsidRPr="0021277B">
              <w:rPr>
                <w:color w:val="000000"/>
                <w:szCs w:val="22"/>
                <w:lang w:val="en-US"/>
              </w:rPr>
              <w:t xml:space="preserve">); </w:t>
            </w:r>
            <w:r>
              <w:rPr>
                <w:color w:val="000000"/>
                <w:szCs w:val="22"/>
                <w:lang w:val="en-US"/>
              </w:rPr>
              <w:t>p</w:t>
            </w:r>
            <w:r w:rsidRPr="0021277B">
              <w:rPr>
                <w:color w:val="000000"/>
                <w:szCs w:val="22"/>
                <w:lang w:val="en-US"/>
              </w:rPr>
              <w:t>hylum Acanthocephala (</w:t>
            </w:r>
            <w:r>
              <w:rPr>
                <w:color w:val="000000"/>
                <w:szCs w:val="22"/>
                <w:lang w:val="en-US"/>
              </w:rPr>
              <w:t>e.g.,</w:t>
            </w:r>
            <w:r w:rsidRPr="0021277B">
              <w:rPr>
                <w:color w:val="000000"/>
                <w:szCs w:val="22"/>
                <w:lang w:val="en-US"/>
              </w:rPr>
              <w:t xml:space="preserve"> </w:t>
            </w:r>
            <w:r w:rsidRPr="0021277B">
              <w:rPr>
                <w:i/>
                <w:color w:val="000000"/>
                <w:szCs w:val="22"/>
                <w:lang w:val="en-US"/>
              </w:rPr>
              <w:t>Acanthocephalus clavula</w:t>
            </w:r>
            <w:r w:rsidRPr="0021277B">
              <w:rPr>
                <w:color w:val="000000"/>
                <w:szCs w:val="22"/>
                <w:lang w:val="en-US"/>
              </w:rPr>
              <w:t xml:space="preserve">); </w:t>
            </w:r>
            <w:r>
              <w:rPr>
                <w:color w:val="000000"/>
                <w:szCs w:val="22"/>
                <w:lang w:val="en-US"/>
              </w:rPr>
              <w:t>p</w:t>
            </w:r>
            <w:r w:rsidRPr="0021277B">
              <w:rPr>
                <w:color w:val="000000"/>
                <w:szCs w:val="22"/>
                <w:lang w:val="en-US"/>
              </w:rPr>
              <w:t>hylum Echinordermata</w:t>
            </w:r>
            <w:r>
              <w:rPr>
                <w:color w:val="000000"/>
                <w:szCs w:val="22"/>
                <w:lang w:val="en-US"/>
              </w:rPr>
              <w:t>,</w:t>
            </w:r>
            <w:r w:rsidRPr="0021277B">
              <w:rPr>
                <w:color w:val="000000"/>
                <w:szCs w:val="22"/>
                <w:lang w:val="en-US"/>
              </w:rPr>
              <w:t xml:space="preserve"> including ophiuroidea (</w:t>
            </w:r>
            <w:r w:rsidRPr="0021277B">
              <w:rPr>
                <w:iCs/>
                <w:color w:val="000000"/>
                <w:szCs w:val="22"/>
                <w:lang w:val="en-US"/>
              </w:rPr>
              <w:t>e.g.,</w:t>
            </w:r>
            <w:r w:rsidRPr="0021277B">
              <w:rPr>
                <w:szCs w:val="22"/>
              </w:rPr>
              <w:t xml:space="preserve"> </w:t>
            </w:r>
            <w:r w:rsidRPr="0021277B">
              <w:rPr>
                <w:i/>
                <w:color w:val="000000"/>
                <w:szCs w:val="22"/>
                <w:lang w:val="en-US"/>
              </w:rPr>
              <w:t>Ophiothrix fragilis</w:t>
            </w:r>
            <w:r w:rsidRPr="0021277B">
              <w:rPr>
                <w:color w:val="000000"/>
                <w:szCs w:val="22"/>
                <w:lang w:val="en-US"/>
              </w:rPr>
              <w:t>), starfish (</w:t>
            </w:r>
            <w:r>
              <w:rPr>
                <w:i/>
                <w:color w:val="000000"/>
                <w:szCs w:val="22"/>
                <w:lang w:val="en-US"/>
              </w:rPr>
              <w:t>e.g.,</w:t>
            </w:r>
            <w:r w:rsidRPr="0021277B">
              <w:rPr>
                <w:i/>
                <w:color w:val="000000"/>
                <w:szCs w:val="22"/>
                <w:lang w:val="en-US"/>
              </w:rPr>
              <w:t xml:space="preserve"> Echinaster sepositus</w:t>
            </w:r>
            <w:r w:rsidRPr="0021277B">
              <w:rPr>
                <w:color w:val="000000"/>
                <w:szCs w:val="22"/>
                <w:lang w:val="en-US"/>
              </w:rPr>
              <w:t>), sea urchins (</w:t>
            </w:r>
            <w:r w:rsidRPr="0021277B">
              <w:rPr>
                <w:iCs/>
                <w:color w:val="000000"/>
                <w:szCs w:val="22"/>
                <w:lang w:val="en-US"/>
              </w:rPr>
              <w:t>e.g.,</w:t>
            </w:r>
            <w:r w:rsidRPr="0021277B">
              <w:rPr>
                <w:i/>
                <w:color w:val="000000"/>
                <w:szCs w:val="22"/>
                <w:lang w:val="en-US"/>
              </w:rPr>
              <w:t xml:space="preserve"> Paracentrotus lividus</w:t>
            </w:r>
            <w:r w:rsidRPr="0021277B">
              <w:rPr>
                <w:color w:val="000000"/>
                <w:szCs w:val="22"/>
                <w:lang w:val="en-US"/>
              </w:rPr>
              <w:t>), crinoide (</w:t>
            </w:r>
            <w:r>
              <w:rPr>
                <w:i/>
                <w:color w:val="000000"/>
                <w:szCs w:val="22"/>
                <w:lang w:val="en-US"/>
              </w:rPr>
              <w:t>e.g.,</w:t>
            </w:r>
            <w:r w:rsidRPr="0021277B">
              <w:rPr>
                <w:color w:val="000000"/>
                <w:szCs w:val="22"/>
                <w:lang w:val="en-US"/>
              </w:rPr>
              <w:t xml:space="preserve"> </w:t>
            </w:r>
            <w:r w:rsidRPr="0021277B">
              <w:rPr>
                <w:i/>
                <w:color w:val="000000"/>
                <w:szCs w:val="22"/>
                <w:lang w:val="en-US"/>
              </w:rPr>
              <w:t>Anachalypsicrinus nefertiti</w:t>
            </w:r>
            <w:r w:rsidRPr="0021277B">
              <w:rPr>
                <w:color w:val="000000"/>
                <w:szCs w:val="22"/>
                <w:lang w:val="en-US"/>
              </w:rPr>
              <w:t>) and sea cucumbers (</w:t>
            </w:r>
            <w:r w:rsidRPr="0021277B">
              <w:rPr>
                <w:iCs/>
                <w:color w:val="000000"/>
                <w:szCs w:val="22"/>
                <w:lang w:val="en-US"/>
              </w:rPr>
              <w:t>e.g.,</w:t>
            </w:r>
            <w:r w:rsidRPr="0021277B">
              <w:rPr>
                <w:color w:val="000000"/>
                <w:szCs w:val="22"/>
                <w:lang w:val="en-US"/>
              </w:rPr>
              <w:t xml:space="preserve"> </w:t>
            </w:r>
            <w:r w:rsidRPr="0021277B">
              <w:rPr>
                <w:i/>
                <w:color w:val="000000"/>
                <w:szCs w:val="22"/>
                <w:lang w:val="en-US"/>
              </w:rPr>
              <w:t>Holothuria forskali</w:t>
            </w:r>
            <w:r w:rsidRPr="0021277B">
              <w:rPr>
                <w:color w:val="000000"/>
                <w:szCs w:val="22"/>
                <w:lang w:val="en-US"/>
              </w:rPr>
              <w:t xml:space="preserve">); </w:t>
            </w:r>
            <w:r>
              <w:rPr>
                <w:color w:val="000000"/>
                <w:szCs w:val="22"/>
                <w:lang w:val="en-US"/>
              </w:rPr>
              <w:t>p</w:t>
            </w:r>
            <w:r w:rsidRPr="0021277B">
              <w:rPr>
                <w:color w:val="000000"/>
                <w:szCs w:val="22"/>
                <w:lang w:val="en-US"/>
              </w:rPr>
              <w:t>hylum Mollusca</w:t>
            </w:r>
            <w:r>
              <w:rPr>
                <w:color w:val="000000"/>
                <w:szCs w:val="22"/>
                <w:lang w:val="en-US"/>
              </w:rPr>
              <w:t>,</w:t>
            </w:r>
            <w:r w:rsidRPr="0021277B">
              <w:rPr>
                <w:color w:val="000000"/>
                <w:szCs w:val="22"/>
                <w:lang w:val="en-US"/>
              </w:rPr>
              <w:t xml:space="preserve"> including </w:t>
            </w:r>
            <w:r w:rsidRPr="0021277B">
              <w:rPr>
                <w:rFonts w:eastAsia="MS Mincho"/>
                <w:szCs w:val="22"/>
                <w:lang w:val="en-US"/>
              </w:rPr>
              <w:t>classes</w:t>
            </w:r>
            <w:r w:rsidRPr="0021277B">
              <w:rPr>
                <w:color w:val="000000"/>
                <w:szCs w:val="22"/>
                <w:lang w:val="en-US"/>
              </w:rPr>
              <w:t xml:space="preserve"> Gastropoda (</w:t>
            </w:r>
            <w:r>
              <w:rPr>
                <w:color w:val="000000"/>
                <w:szCs w:val="22"/>
                <w:lang w:val="en-US"/>
              </w:rPr>
              <w:t>e.g.,</w:t>
            </w:r>
            <w:r w:rsidRPr="0021277B">
              <w:rPr>
                <w:color w:val="000000"/>
                <w:szCs w:val="22"/>
                <w:lang w:val="en-US"/>
              </w:rPr>
              <w:t xml:space="preserve"> </w:t>
            </w:r>
            <w:r w:rsidRPr="0021277B">
              <w:rPr>
                <w:i/>
                <w:color w:val="000000"/>
                <w:szCs w:val="22"/>
                <w:lang w:val="en-US"/>
              </w:rPr>
              <w:t>Bittium reticulatum</w:t>
            </w:r>
            <w:r w:rsidRPr="0021277B">
              <w:rPr>
                <w:color w:val="000000"/>
                <w:szCs w:val="22"/>
                <w:lang w:val="en-US"/>
              </w:rPr>
              <w:t>), Bivalvia (</w:t>
            </w:r>
            <w:r>
              <w:rPr>
                <w:color w:val="000000"/>
                <w:szCs w:val="22"/>
                <w:lang w:val="en-US"/>
              </w:rPr>
              <w:t>e.g.,</w:t>
            </w:r>
            <w:r w:rsidRPr="0021277B">
              <w:rPr>
                <w:color w:val="000000"/>
                <w:szCs w:val="22"/>
                <w:lang w:val="en-US"/>
              </w:rPr>
              <w:t xml:space="preserve"> </w:t>
            </w:r>
            <w:r w:rsidRPr="0021277B">
              <w:rPr>
                <w:i/>
                <w:color w:val="000000"/>
                <w:szCs w:val="22"/>
                <w:lang w:val="en-US"/>
              </w:rPr>
              <w:t>Bathyarca pectunculoides</w:t>
            </w:r>
            <w:r w:rsidRPr="0021277B">
              <w:rPr>
                <w:color w:val="000000"/>
                <w:szCs w:val="22"/>
                <w:lang w:val="en-US"/>
              </w:rPr>
              <w:t>), Cephalopoda (</w:t>
            </w:r>
            <w:r>
              <w:rPr>
                <w:color w:val="000000"/>
                <w:szCs w:val="22"/>
                <w:lang w:val="en-US"/>
              </w:rPr>
              <w:t>e.g.,</w:t>
            </w:r>
            <w:r w:rsidRPr="0021277B">
              <w:rPr>
                <w:szCs w:val="22"/>
              </w:rPr>
              <w:t xml:space="preserve"> </w:t>
            </w:r>
            <w:r w:rsidRPr="0021277B">
              <w:rPr>
                <w:color w:val="000000"/>
                <w:szCs w:val="22"/>
                <w:lang w:val="en-US"/>
              </w:rPr>
              <w:t xml:space="preserve">squid - </w:t>
            </w:r>
            <w:r w:rsidRPr="0021277B">
              <w:rPr>
                <w:i/>
                <w:color w:val="000000"/>
                <w:szCs w:val="22"/>
                <w:lang w:val="en-US"/>
              </w:rPr>
              <w:t>Cranchia scabra</w:t>
            </w:r>
            <w:r w:rsidRPr="0021277B">
              <w:rPr>
                <w:color w:val="000000"/>
                <w:szCs w:val="22"/>
                <w:lang w:val="en-US"/>
              </w:rPr>
              <w:t xml:space="preserve">; octopuses - </w:t>
            </w:r>
            <w:r w:rsidRPr="0021277B">
              <w:rPr>
                <w:i/>
                <w:color w:val="000000"/>
                <w:szCs w:val="22"/>
                <w:lang w:val="en-US"/>
              </w:rPr>
              <w:t>Callistoctopus macropus</w:t>
            </w:r>
            <w:r w:rsidRPr="0021277B">
              <w:rPr>
                <w:color w:val="000000"/>
                <w:szCs w:val="22"/>
                <w:lang w:val="en-US"/>
              </w:rPr>
              <w:t>), Scaphopoda (</w:t>
            </w:r>
            <w:r>
              <w:rPr>
                <w:color w:val="000000"/>
                <w:szCs w:val="22"/>
                <w:lang w:val="en-US"/>
              </w:rPr>
              <w:t>e.g.,</w:t>
            </w:r>
            <w:r w:rsidRPr="0021277B">
              <w:rPr>
                <w:color w:val="000000"/>
                <w:szCs w:val="22"/>
                <w:lang w:val="en-US"/>
              </w:rPr>
              <w:t xml:space="preserve"> </w:t>
            </w:r>
            <w:r w:rsidRPr="0021277B">
              <w:rPr>
                <w:i/>
                <w:color w:val="000000"/>
                <w:szCs w:val="22"/>
                <w:lang w:val="en-US"/>
              </w:rPr>
              <w:t>Fissidentalium candidum</w:t>
            </w:r>
            <w:r w:rsidRPr="0021277B">
              <w:rPr>
                <w:color w:val="000000"/>
                <w:szCs w:val="22"/>
                <w:lang w:val="en-US"/>
              </w:rPr>
              <w:t>) and Polyplacophora (</w:t>
            </w:r>
            <w:r>
              <w:rPr>
                <w:color w:val="000000"/>
                <w:szCs w:val="22"/>
                <w:lang w:val="en-US"/>
              </w:rPr>
              <w:t>e.g.,</w:t>
            </w:r>
            <w:r w:rsidRPr="0021277B">
              <w:rPr>
                <w:color w:val="000000"/>
                <w:szCs w:val="22"/>
                <w:lang w:val="en-US"/>
              </w:rPr>
              <w:t xml:space="preserve"> </w:t>
            </w:r>
            <w:r w:rsidRPr="0021277B">
              <w:rPr>
                <w:i/>
                <w:color w:val="000000"/>
                <w:szCs w:val="22"/>
                <w:lang w:val="en-US"/>
              </w:rPr>
              <w:t>Leptochiton cancellatus</w:t>
            </w:r>
            <w:r w:rsidRPr="0021277B">
              <w:rPr>
                <w:color w:val="000000"/>
                <w:szCs w:val="22"/>
                <w:lang w:val="en-US"/>
              </w:rPr>
              <w:t>), suborder Nudibranchia (</w:t>
            </w:r>
            <w:r>
              <w:rPr>
                <w:color w:val="000000"/>
                <w:szCs w:val="22"/>
                <w:lang w:val="en-US"/>
              </w:rPr>
              <w:t>e.g.,</w:t>
            </w:r>
            <w:r w:rsidRPr="0021277B">
              <w:rPr>
                <w:color w:val="000000"/>
                <w:szCs w:val="22"/>
                <w:lang w:val="en-US"/>
              </w:rPr>
              <w:t xml:space="preserve"> </w:t>
            </w:r>
            <w:r w:rsidRPr="0021277B">
              <w:rPr>
                <w:i/>
                <w:color w:val="000000"/>
                <w:szCs w:val="22"/>
                <w:lang w:val="en-US"/>
              </w:rPr>
              <w:t>Tambja ceutae</w:t>
            </w:r>
            <w:r w:rsidRPr="0021277B">
              <w:rPr>
                <w:color w:val="000000"/>
                <w:szCs w:val="22"/>
                <w:lang w:val="en-US"/>
              </w:rPr>
              <w:t>), and order Opisthobranchia (</w:t>
            </w:r>
            <w:r>
              <w:rPr>
                <w:color w:val="000000"/>
                <w:szCs w:val="22"/>
                <w:lang w:val="en-US"/>
              </w:rPr>
              <w:t>e.g.,</w:t>
            </w:r>
            <w:r w:rsidRPr="0021277B">
              <w:rPr>
                <w:color w:val="000000"/>
                <w:szCs w:val="22"/>
                <w:lang w:val="en-US"/>
              </w:rPr>
              <w:t xml:space="preserve"> </w:t>
            </w:r>
            <w:r w:rsidRPr="0021277B">
              <w:rPr>
                <w:i/>
                <w:color w:val="000000"/>
                <w:szCs w:val="22"/>
                <w:lang w:val="en-US"/>
              </w:rPr>
              <w:t>Aplysia fasciata</w:t>
            </w:r>
            <w:r w:rsidRPr="0021277B">
              <w:rPr>
                <w:color w:val="000000"/>
                <w:szCs w:val="22"/>
                <w:lang w:val="en-US"/>
              </w:rPr>
              <w:t xml:space="preserve">); </w:t>
            </w:r>
            <w:r>
              <w:rPr>
                <w:color w:val="000000"/>
                <w:szCs w:val="22"/>
                <w:lang w:val="en-US"/>
              </w:rPr>
              <w:t>p</w:t>
            </w:r>
            <w:r w:rsidRPr="0021277B">
              <w:rPr>
                <w:color w:val="000000"/>
                <w:szCs w:val="22"/>
                <w:lang w:val="en-US"/>
              </w:rPr>
              <w:t>hylum Nemertea: (</w:t>
            </w:r>
            <w:r>
              <w:rPr>
                <w:color w:val="000000"/>
                <w:szCs w:val="22"/>
                <w:lang w:val="en-US"/>
              </w:rPr>
              <w:t>e.g.,</w:t>
            </w:r>
            <w:r w:rsidRPr="0021277B">
              <w:rPr>
                <w:color w:val="000000"/>
                <w:szCs w:val="22"/>
                <w:lang w:val="en-US"/>
              </w:rPr>
              <w:t xml:space="preserve"> </w:t>
            </w:r>
            <w:r w:rsidRPr="0021277B">
              <w:rPr>
                <w:i/>
                <w:color w:val="000000"/>
                <w:szCs w:val="22"/>
                <w:lang w:val="en-US"/>
              </w:rPr>
              <w:t>Tetrastemma vermiculus</w:t>
            </w:r>
            <w:r w:rsidRPr="0021277B">
              <w:rPr>
                <w:color w:val="000000"/>
                <w:szCs w:val="22"/>
                <w:lang w:val="en-US"/>
              </w:rPr>
              <w:t xml:space="preserve">); </w:t>
            </w:r>
            <w:r>
              <w:rPr>
                <w:color w:val="000000"/>
                <w:szCs w:val="22"/>
                <w:lang w:val="en-US"/>
              </w:rPr>
              <w:t>p</w:t>
            </w:r>
            <w:r w:rsidRPr="0021277B">
              <w:rPr>
                <w:color w:val="000000"/>
                <w:szCs w:val="22"/>
                <w:lang w:val="en-US"/>
              </w:rPr>
              <w:t>hylum Porifera (</w:t>
            </w:r>
            <w:r>
              <w:rPr>
                <w:color w:val="000000"/>
                <w:szCs w:val="22"/>
                <w:lang w:val="en-US"/>
              </w:rPr>
              <w:t>e.g.,</w:t>
            </w:r>
            <w:r w:rsidRPr="0021277B">
              <w:rPr>
                <w:color w:val="000000"/>
                <w:szCs w:val="22"/>
                <w:lang w:val="en-US"/>
              </w:rPr>
              <w:t xml:space="preserve"> </w:t>
            </w:r>
            <w:r w:rsidRPr="0021277B">
              <w:rPr>
                <w:i/>
                <w:color w:val="000000"/>
                <w:szCs w:val="22"/>
                <w:lang w:val="en-US"/>
              </w:rPr>
              <w:t>Clathrina cerebrum</w:t>
            </w:r>
            <w:r w:rsidRPr="0021277B">
              <w:rPr>
                <w:color w:val="000000"/>
                <w:szCs w:val="22"/>
                <w:lang w:val="en-US"/>
              </w:rPr>
              <w:t xml:space="preserve">); </w:t>
            </w:r>
            <w:r>
              <w:rPr>
                <w:color w:val="000000"/>
                <w:szCs w:val="22"/>
                <w:lang w:val="en-US"/>
              </w:rPr>
              <w:t>s</w:t>
            </w:r>
            <w:r w:rsidRPr="0021277B">
              <w:rPr>
                <w:color w:val="000000"/>
                <w:szCs w:val="22"/>
                <w:lang w:val="en-US"/>
              </w:rPr>
              <w:t>ubphylum Crustacea with representation of orders Decapoda (</w:t>
            </w:r>
            <w:r w:rsidRPr="0021277B">
              <w:rPr>
                <w:iCs/>
                <w:color w:val="000000"/>
                <w:szCs w:val="22"/>
                <w:lang w:val="en-US"/>
              </w:rPr>
              <w:t>e.g.,</w:t>
            </w:r>
            <w:r w:rsidRPr="0021277B">
              <w:rPr>
                <w:color w:val="000000"/>
                <w:szCs w:val="22"/>
                <w:lang w:val="en-US"/>
              </w:rPr>
              <w:t xml:space="preserve"> crab - </w:t>
            </w:r>
            <w:r w:rsidRPr="0021277B">
              <w:rPr>
                <w:i/>
                <w:color w:val="000000"/>
                <w:szCs w:val="22"/>
                <w:lang w:val="en-US"/>
              </w:rPr>
              <w:t>Acanthonyx brevifrons</w:t>
            </w:r>
            <w:r w:rsidRPr="0021277B">
              <w:rPr>
                <w:color w:val="000000"/>
                <w:szCs w:val="22"/>
                <w:lang w:val="en-US"/>
              </w:rPr>
              <w:t xml:space="preserve">, hermit crabs - </w:t>
            </w:r>
            <w:r w:rsidRPr="0021277B">
              <w:rPr>
                <w:i/>
                <w:color w:val="000000"/>
                <w:szCs w:val="22"/>
                <w:lang w:val="en-US"/>
              </w:rPr>
              <w:t>Dardanus calidus</w:t>
            </w:r>
            <w:r w:rsidRPr="0021277B">
              <w:rPr>
                <w:color w:val="000000"/>
                <w:szCs w:val="22"/>
                <w:lang w:val="en-US"/>
              </w:rPr>
              <w:t xml:space="preserve">, shrimp - </w:t>
            </w:r>
            <w:r w:rsidRPr="0021277B">
              <w:rPr>
                <w:i/>
                <w:color w:val="000000"/>
                <w:szCs w:val="22"/>
                <w:lang w:val="en-US"/>
              </w:rPr>
              <w:t>Gnathophyllum elegans</w:t>
            </w:r>
            <w:r w:rsidRPr="0021277B">
              <w:rPr>
                <w:color w:val="000000"/>
                <w:szCs w:val="22"/>
                <w:lang w:val="en-US"/>
              </w:rPr>
              <w:t>) Amphipoda</w:t>
            </w:r>
            <w:r w:rsidRPr="0021277B">
              <w:rPr>
                <w:szCs w:val="22"/>
              </w:rPr>
              <w:t xml:space="preserve"> (</w:t>
            </w:r>
            <w:r>
              <w:rPr>
                <w:szCs w:val="22"/>
              </w:rPr>
              <w:t>e.g.,</w:t>
            </w:r>
            <w:r w:rsidRPr="0021277B">
              <w:rPr>
                <w:szCs w:val="22"/>
              </w:rPr>
              <w:t xml:space="preserve"> </w:t>
            </w:r>
            <w:r w:rsidRPr="0021277B">
              <w:rPr>
                <w:i/>
                <w:color w:val="000000"/>
                <w:szCs w:val="22"/>
                <w:lang w:val="en-US"/>
              </w:rPr>
              <w:t>Normanion quadrimanus</w:t>
            </w:r>
            <w:r w:rsidRPr="0021277B">
              <w:rPr>
                <w:color w:val="000000"/>
                <w:szCs w:val="22"/>
                <w:lang w:val="en-US"/>
              </w:rPr>
              <w:t>), Isopoda (</w:t>
            </w:r>
            <w:r>
              <w:rPr>
                <w:color w:val="000000"/>
                <w:szCs w:val="22"/>
                <w:lang w:val="en-US"/>
              </w:rPr>
              <w:t>e.g.,</w:t>
            </w:r>
            <w:r w:rsidRPr="0021277B">
              <w:rPr>
                <w:color w:val="000000"/>
                <w:szCs w:val="22"/>
                <w:lang w:val="en-US"/>
              </w:rPr>
              <w:t xml:space="preserve"> </w:t>
            </w:r>
            <w:r w:rsidRPr="0021277B">
              <w:rPr>
                <w:i/>
                <w:color w:val="000000"/>
                <w:szCs w:val="22"/>
                <w:lang w:val="en-US"/>
              </w:rPr>
              <w:t>Anilocra physodes</w:t>
            </w:r>
            <w:r w:rsidRPr="0021277B">
              <w:rPr>
                <w:color w:val="000000"/>
                <w:szCs w:val="22"/>
                <w:lang w:val="en-US"/>
              </w:rPr>
              <w:t>), Tanaidacea (</w:t>
            </w:r>
            <w:r>
              <w:rPr>
                <w:color w:val="000000"/>
                <w:szCs w:val="22"/>
                <w:lang w:val="en-US"/>
              </w:rPr>
              <w:t>e.g.,</w:t>
            </w:r>
            <w:r w:rsidRPr="0021277B">
              <w:rPr>
                <w:color w:val="000000"/>
                <w:szCs w:val="22"/>
                <w:lang w:val="en-US"/>
              </w:rPr>
              <w:t xml:space="preserve"> </w:t>
            </w:r>
            <w:r w:rsidRPr="0021277B">
              <w:rPr>
                <w:i/>
                <w:color w:val="000000"/>
                <w:szCs w:val="22"/>
                <w:lang w:val="en-US"/>
              </w:rPr>
              <w:t>Tanais dulongii</w:t>
            </w:r>
            <w:r w:rsidRPr="0021277B">
              <w:rPr>
                <w:color w:val="000000"/>
                <w:szCs w:val="22"/>
                <w:lang w:val="en-US"/>
              </w:rPr>
              <w:t>), Cumacea (</w:t>
            </w:r>
            <w:r>
              <w:rPr>
                <w:color w:val="000000"/>
                <w:szCs w:val="22"/>
                <w:lang w:val="en-US"/>
              </w:rPr>
              <w:t>e.g.,</w:t>
            </w:r>
            <w:r w:rsidRPr="0021277B">
              <w:rPr>
                <w:color w:val="000000"/>
                <w:szCs w:val="22"/>
                <w:lang w:val="en-US"/>
              </w:rPr>
              <w:t xml:space="preserve"> </w:t>
            </w:r>
            <w:r w:rsidRPr="0021277B">
              <w:rPr>
                <w:i/>
                <w:color w:val="000000"/>
                <w:szCs w:val="22"/>
                <w:lang w:val="en-US"/>
              </w:rPr>
              <w:t>Makrokylindrus inermis</w:t>
            </w:r>
            <w:r w:rsidRPr="0021277B">
              <w:rPr>
                <w:color w:val="000000"/>
                <w:szCs w:val="22"/>
                <w:lang w:val="en-US"/>
              </w:rPr>
              <w:t xml:space="preserve">), and </w:t>
            </w:r>
            <w:r w:rsidRPr="0021277B">
              <w:rPr>
                <w:rStyle w:val="lrzxr"/>
                <w:szCs w:val="22"/>
              </w:rPr>
              <w:t>Stomatopoda</w:t>
            </w:r>
            <w:r w:rsidRPr="0021277B">
              <w:rPr>
                <w:color w:val="000000"/>
                <w:szCs w:val="22"/>
                <w:lang w:val="en-US"/>
              </w:rPr>
              <w:t xml:space="preserve"> (</w:t>
            </w:r>
            <w:r>
              <w:rPr>
                <w:color w:val="000000"/>
                <w:szCs w:val="22"/>
                <w:lang w:val="en-US"/>
              </w:rPr>
              <w:t>e.g.,</w:t>
            </w:r>
            <w:r w:rsidRPr="0021277B">
              <w:rPr>
                <w:color w:val="000000"/>
                <w:szCs w:val="22"/>
                <w:lang w:val="en-US"/>
              </w:rPr>
              <w:t xml:space="preserve"> </w:t>
            </w:r>
            <w:r w:rsidRPr="0021277B">
              <w:rPr>
                <w:i/>
                <w:color w:val="000000"/>
                <w:szCs w:val="22"/>
                <w:lang w:val="en-US"/>
              </w:rPr>
              <w:t>Pseudosquillisma oculata</w:t>
            </w:r>
            <w:r w:rsidRPr="0021277B">
              <w:rPr>
                <w:color w:val="000000"/>
                <w:szCs w:val="22"/>
                <w:lang w:val="en-US"/>
              </w:rPr>
              <w:t>), subclass Copepoda (</w:t>
            </w:r>
            <w:r>
              <w:rPr>
                <w:color w:val="000000"/>
                <w:szCs w:val="22"/>
                <w:lang w:val="en-US"/>
              </w:rPr>
              <w:t>e.g.,</w:t>
            </w:r>
            <w:r w:rsidRPr="0021277B">
              <w:rPr>
                <w:color w:val="000000"/>
                <w:szCs w:val="22"/>
                <w:lang w:val="en-US"/>
              </w:rPr>
              <w:t xml:space="preserve"> </w:t>
            </w:r>
            <w:r w:rsidRPr="0021277B">
              <w:rPr>
                <w:i/>
                <w:color w:val="000000"/>
                <w:szCs w:val="22"/>
                <w:lang w:val="en-US"/>
              </w:rPr>
              <w:t>Paracalanus parvus</w:t>
            </w:r>
            <w:r w:rsidRPr="0021277B">
              <w:rPr>
                <w:color w:val="000000"/>
                <w:szCs w:val="22"/>
                <w:lang w:val="en-US"/>
              </w:rPr>
              <w:t xml:space="preserve">), </w:t>
            </w:r>
            <w:r>
              <w:rPr>
                <w:color w:val="000000"/>
                <w:szCs w:val="22"/>
                <w:lang w:val="en-US"/>
              </w:rPr>
              <w:t>i</w:t>
            </w:r>
            <w:r w:rsidRPr="0021277B">
              <w:rPr>
                <w:color w:val="000000"/>
                <w:szCs w:val="22"/>
                <w:lang w:val="en-US"/>
              </w:rPr>
              <w:t>nfraclass Cirripedia (</w:t>
            </w:r>
            <w:r>
              <w:rPr>
                <w:color w:val="000000"/>
                <w:szCs w:val="22"/>
                <w:lang w:val="en-US"/>
              </w:rPr>
              <w:t>e.g.,</w:t>
            </w:r>
            <w:r w:rsidRPr="0021277B">
              <w:rPr>
                <w:szCs w:val="22"/>
              </w:rPr>
              <w:t xml:space="preserve"> </w:t>
            </w:r>
            <w:r w:rsidRPr="0021277B">
              <w:rPr>
                <w:i/>
                <w:color w:val="000000"/>
                <w:szCs w:val="22"/>
                <w:lang w:val="en-US"/>
              </w:rPr>
              <w:t>Lepas anatifera</w:t>
            </w:r>
            <w:r w:rsidRPr="0021277B">
              <w:rPr>
                <w:color w:val="000000"/>
                <w:szCs w:val="22"/>
                <w:lang w:val="en-US"/>
              </w:rPr>
              <w:t>), class Ostracoda (</w:t>
            </w:r>
            <w:r>
              <w:rPr>
                <w:color w:val="000000"/>
                <w:szCs w:val="22"/>
                <w:lang w:val="en-US"/>
              </w:rPr>
              <w:t>e.g.,</w:t>
            </w:r>
            <w:r w:rsidRPr="0021277B">
              <w:rPr>
                <w:color w:val="000000"/>
                <w:szCs w:val="22"/>
                <w:lang w:val="en-US"/>
              </w:rPr>
              <w:t xml:space="preserve"> </w:t>
            </w:r>
            <w:r w:rsidRPr="0021277B">
              <w:rPr>
                <w:i/>
                <w:color w:val="000000"/>
                <w:szCs w:val="22"/>
                <w:lang w:val="en-US"/>
              </w:rPr>
              <w:t>Henryhowella sarsii</w:t>
            </w:r>
            <w:r w:rsidRPr="0021277B">
              <w:rPr>
                <w:color w:val="000000"/>
                <w:szCs w:val="22"/>
                <w:lang w:val="en-US"/>
              </w:rPr>
              <w:t>), family</w:t>
            </w:r>
            <w:r w:rsidRPr="0021277B">
              <w:rPr>
                <w:szCs w:val="22"/>
              </w:rPr>
              <w:t xml:space="preserve"> </w:t>
            </w:r>
            <w:r w:rsidRPr="0021277B">
              <w:rPr>
                <w:color w:val="000000"/>
                <w:szCs w:val="22"/>
                <w:lang w:val="en-US"/>
              </w:rPr>
              <w:t>Balanidae (</w:t>
            </w:r>
            <w:r>
              <w:rPr>
                <w:color w:val="000000"/>
                <w:szCs w:val="22"/>
                <w:lang w:val="en-US"/>
              </w:rPr>
              <w:t>e.g.,</w:t>
            </w:r>
            <w:r w:rsidRPr="0021277B">
              <w:rPr>
                <w:color w:val="000000"/>
                <w:szCs w:val="22"/>
                <w:lang w:val="en-US"/>
              </w:rPr>
              <w:t xml:space="preserve"> </w:t>
            </w:r>
            <w:r w:rsidRPr="0021277B">
              <w:rPr>
                <w:i/>
                <w:color w:val="000000"/>
                <w:szCs w:val="22"/>
                <w:lang w:val="en-US"/>
              </w:rPr>
              <w:t>Balanus spongicola</w:t>
            </w:r>
            <w:r w:rsidRPr="0021277B">
              <w:rPr>
                <w:color w:val="000000"/>
                <w:szCs w:val="22"/>
                <w:lang w:val="en-US"/>
              </w:rPr>
              <w:t>), family</w:t>
            </w:r>
            <w:r w:rsidRPr="0021277B">
              <w:rPr>
                <w:szCs w:val="22"/>
              </w:rPr>
              <w:t xml:space="preserve"> </w:t>
            </w:r>
            <w:r w:rsidRPr="0021277B">
              <w:rPr>
                <w:color w:val="000000"/>
                <w:szCs w:val="22"/>
                <w:lang w:val="en-US"/>
              </w:rPr>
              <w:t>Caprellidae (</w:t>
            </w:r>
            <w:r>
              <w:rPr>
                <w:color w:val="000000"/>
                <w:szCs w:val="22"/>
                <w:lang w:val="en-US"/>
              </w:rPr>
              <w:t>e.g.,</w:t>
            </w:r>
            <w:r w:rsidRPr="0021277B">
              <w:rPr>
                <w:szCs w:val="22"/>
              </w:rPr>
              <w:t xml:space="preserve"> </w:t>
            </w:r>
            <w:r w:rsidRPr="0021277B">
              <w:rPr>
                <w:i/>
                <w:color w:val="000000"/>
                <w:szCs w:val="22"/>
                <w:lang w:val="en-US"/>
              </w:rPr>
              <w:t>Caprella andreae</w:t>
            </w:r>
            <w:r w:rsidRPr="0021277B">
              <w:rPr>
                <w:color w:val="000000"/>
                <w:szCs w:val="22"/>
                <w:lang w:val="en-US"/>
              </w:rPr>
              <w:t>) and family Mysidae (</w:t>
            </w:r>
            <w:r>
              <w:rPr>
                <w:color w:val="000000"/>
                <w:szCs w:val="22"/>
                <w:lang w:val="en-US"/>
              </w:rPr>
              <w:t>e.g.,</w:t>
            </w:r>
            <w:r w:rsidRPr="0021277B">
              <w:rPr>
                <w:color w:val="000000"/>
                <w:szCs w:val="22"/>
                <w:lang w:val="en-US"/>
              </w:rPr>
              <w:t xml:space="preserve"> </w:t>
            </w:r>
            <w:r w:rsidRPr="0021277B">
              <w:rPr>
                <w:i/>
                <w:color w:val="000000"/>
                <w:szCs w:val="22"/>
                <w:lang w:val="en-US"/>
              </w:rPr>
              <w:t>Boreomysis arctica</w:t>
            </w:r>
            <w:r w:rsidRPr="0021277B">
              <w:rPr>
                <w:color w:val="000000"/>
                <w:szCs w:val="22"/>
                <w:lang w:val="en-US"/>
              </w:rPr>
              <w:t xml:space="preserve">); </w:t>
            </w:r>
            <w:r>
              <w:rPr>
                <w:color w:val="000000"/>
                <w:szCs w:val="22"/>
                <w:lang w:val="en-US"/>
              </w:rPr>
              <w:t>s</w:t>
            </w:r>
            <w:r w:rsidRPr="0021277B">
              <w:rPr>
                <w:color w:val="000000"/>
                <w:szCs w:val="22"/>
                <w:lang w:val="en-US"/>
              </w:rPr>
              <w:t>uperclass Osteichthyes including all the reported fish (</w:t>
            </w:r>
            <w:r>
              <w:rPr>
                <w:color w:val="000000"/>
                <w:szCs w:val="22"/>
                <w:lang w:val="en-US"/>
              </w:rPr>
              <w:t>e.g.,</w:t>
            </w:r>
            <w:r w:rsidRPr="0021277B">
              <w:rPr>
                <w:color w:val="000000"/>
                <w:szCs w:val="22"/>
                <w:lang w:val="en-US"/>
              </w:rPr>
              <w:t xml:space="preserve"> commercial - </w:t>
            </w:r>
            <w:r w:rsidRPr="0021277B">
              <w:rPr>
                <w:i/>
                <w:color w:val="000000"/>
                <w:szCs w:val="22"/>
                <w:lang w:val="en-US"/>
              </w:rPr>
              <w:t>Aphanopus carbo</w:t>
            </w:r>
            <w:r w:rsidRPr="0021277B">
              <w:rPr>
                <w:color w:val="000000"/>
                <w:szCs w:val="22"/>
                <w:lang w:val="en-US"/>
              </w:rPr>
              <w:t xml:space="preserve">; non-commercial - </w:t>
            </w:r>
            <w:r w:rsidRPr="0021277B">
              <w:rPr>
                <w:i/>
                <w:color w:val="000000"/>
                <w:szCs w:val="22"/>
                <w:lang w:val="en-US"/>
              </w:rPr>
              <w:t>Serrivomer beanie</w:t>
            </w:r>
            <w:r w:rsidRPr="0021277B">
              <w:rPr>
                <w:color w:val="000000"/>
                <w:szCs w:val="22"/>
                <w:lang w:val="en-US"/>
              </w:rPr>
              <w:t xml:space="preserve">; protected - </w:t>
            </w:r>
            <w:r w:rsidRPr="0021277B">
              <w:rPr>
                <w:i/>
                <w:color w:val="000000"/>
                <w:szCs w:val="22"/>
                <w:lang w:val="en-US"/>
              </w:rPr>
              <w:t>Hippoglossus hippoglossus</w:t>
            </w:r>
            <w:r w:rsidRPr="0021277B">
              <w:rPr>
                <w:color w:val="000000"/>
                <w:szCs w:val="22"/>
                <w:lang w:val="en-US"/>
              </w:rPr>
              <w:t xml:space="preserve">); </w:t>
            </w:r>
            <w:r>
              <w:rPr>
                <w:color w:val="000000"/>
                <w:szCs w:val="22"/>
                <w:lang w:val="en-US"/>
              </w:rPr>
              <w:t>c</w:t>
            </w:r>
            <w:r w:rsidRPr="0021277B">
              <w:rPr>
                <w:color w:val="000000"/>
                <w:szCs w:val="22"/>
                <w:lang w:val="en-US"/>
              </w:rPr>
              <w:t>lass Anthozoa (</w:t>
            </w:r>
            <w:r>
              <w:rPr>
                <w:color w:val="000000"/>
                <w:szCs w:val="22"/>
                <w:lang w:val="en-US"/>
              </w:rPr>
              <w:t>e.g.,</w:t>
            </w:r>
            <w:r w:rsidRPr="0021277B">
              <w:rPr>
                <w:color w:val="000000"/>
                <w:szCs w:val="22"/>
                <w:lang w:val="en-US"/>
              </w:rPr>
              <w:t xml:space="preserve"> </w:t>
            </w:r>
            <w:r w:rsidRPr="0021277B">
              <w:rPr>
                <w:i/>
                <w:color w:val="000000"/>
                <w:szCs w:val="22"/>
                <w:lang w:val="en-US"/>
              </w:rPr>
              <w:t>Flabellum alabastrum</w:t>
            </w:r>
            <w:r w:rsidRPr="0021277B">
              <w:rPr>
                <w:color w:val="000000"/>
                <w:szCs w:val="22"/>
                <w:lang w:val="en-US"/>
              </w:rPr>
              <w:t xml:space="preserve">); </w:t>
            </w:r>
            <w:r>
              <w:rPr>
                <w:color w:val="000000"/>
                <w:szCs w:val="22"/>
                <w:lang w:val="en-US"/>
              </w:rPr>
              <w:t>c</w:t>
            </w:r>
            <w:r w:rsidRPr="0021277B">
              <w:rPr>
                <w:color w:val="000000"/>
                <w:szCs w:val="22"/>
                <w:lang w:val="en-US"/>
              </w:rPr>
              <w:t>lass Ascideacea (</w:t>
            </w:r>
            <w:r>
              <w:rPr>
                <w:color w:val="000000"/>
                <w:szCs w:val="22"/>
                <w:lang w:val="en-US"/>
              </w:rPr>
              <w:t>e.g.,</w:t>
            </w:r>
            <w:r w:rsidRPr="0021277B">
              <w:rPr>
                <w:color w:val="000000"/>
                <w:szCs w:val="22"/>
                <w:lang w:val="en-US"/>
              </w:rPr>
              <w:t xml:space="preserve"> </w:t>
            </w:r>
            <w:r w:rsidRPr="0021277B">
              <w:rPr>
                <w:i/>
                <w:color w:val="000000"/>
                <w:szCs w:val="22"/>
                <w:lang w:val="en-US"/>
              </w:rPr>
              <w:t>Botryllus schlosseri</w:t>
            </w:r>
            <w:r w:rsidRPr="0021277B">
              <w:rPr>
                <w:color w:val="000000"/>
                <w:szCs w:val="22"/>
                <w:lang w:val="en-US"/>
              </w:rPr>
              <w:t xml:space="preserve">); </w:t>
            </w:r>
            <w:r>
              <w:rPr>
                <w:color w:val="000000"/>
                <w:szCs w:val="22"/>
                <w:lang w:val="en-US"/>
              </w:rPr>
              <w:t>c</w:t>
            </w:r>
            <w:r w:rsidRPr="0021277B">
              <w:rPr>
                <w:color w:val="000000"/>
                <w:szCs w:val="22"/>
                <w:lang w:val="en-US"/>
              </w:rPr>
              <w:t>lass Aves (</w:t>
            </w:r>
            <w:r>
              <w:rPr>
                <w:color w:val="000000"/>
                <w:szCs w:val="22"/>
                <w:lang w:val="en-US"/>
              </w:rPr>
              <w:t>e.g.,</w:t>
            </w:r>
            <w:r w:rsidRPr="0021277B">
              <w:rPr>
                <w:color w:val="000000"/>
                <w:szCs w:val="22"/>
                <w:lang w:val="en-US"/>
              </w:rPr>
              <w:t xml:space="preserve"> seabirds - </w:t>
            </w:r>
            <w:r w:rsidRPr="0021277B">
              <w:rPr>
                <w:i/>
                <w:color w:val="000000"/>
                <w:szCs w:val="22"/>
                <w:lang w:val="en-US"/>
              </w:rPr>
              <w:t>Calonectris</w:t>
            </w:r>
            <w:r w:rsidRPr="0021277B">
              <w:rPr>
                <w:color w:val="000000"/>
                <w:szCs w:val="22"/>
                <w:lang w:val="en-US"/>
              </w:rPr>
              <w:t xml:space="preserve"> (</w:t>
            </w:r>
            <w:r w:rsidRPr="0021277B">
              <w:rPr>
                <w:i/>
                <w:color w:val="000000"/>
                <w:szCs w:val="22"/>
                <w:lang w:val="en-US"/>
              </w:rPr>
              <w:t>diomedea</w:t>
            </w:r>
            <w:r w:rsidRPr="0021277B">
              <w:rPr>
                <w:color w:val="000000"/>
                <w:szCs w:val="22"/>
                <w:lang w:val="en-US"/>
              </w:rPr>
              <w:t xml:space="preserve">) </w:t>
            </w:r>
            <w:r w:rsidRPr="0021277B">
              <w:rPr>
                <w:i/>
                <w:color w:val="000000"/>
                <w:szCs w:val="22"/>
                <w:lang w:val="en-US"/>
              </w:rPr>
              <w:t>borealis</w:t>
            </w:r>
            <w:r w:rsidRPr="0021277B">
              <w:rPr>
                <w:color w:val="000000"/>
                <w:szCs w:val="22"/>
                <w:lang w:val="en-US"/>
              </w:rPr>
              <w:t xml:space="preserve">); </w:t>
            </w:r>
            <w:r>
              <w:rPr>
                <w:color w:val="000000"/>
                <w:szCs w:val="22"/>
                <w:lang w:val="en-US"/>
              </w:rPr>
              <w:t>c</w:t>
            </w:r>
            <w:r w:rsidRPr="0021277B">
              <w:rPr>
                <w:color w:val="000000"/>
                <w:szCs w:val="22"/>
                <w:lang w:val="en-US"/>
              </w:rPr>
              <w:t>lass</w:t>
            </w:r>
            <w:r w:rsidRPr="0021277B">
              <w:rPr>
                <w:szCs w:val="22"/>
              </w:rPr>
              <w:t xml:space="preserve"> </w:t>
            </w:r>
            <w:r w:rsidRPr="0021277B">
              <w:rPr>
                <w:color w:val="000000"/>
                <w:szCs w:val="22"/>
                <w:lang w:val="en-US"/>
              </w:rPr>
              <w:t>Brachiopoda (</w:t>
            </w:r>
            <w:r>
              <w:rPr>
                <w:color w:val="000000"/>
                <w:szCs w:val="22"/>
                <w:lang w:val="en-US"/>
              </w:rPr>
              <w:t>e.g.,</w:t>
            </w:r>
            <w:r w:rsidRPr="0021277B">
              <w:rPr>
                <w:color w:val="000000"/>
                <w:szCs w:val="22"/>
                <w:lang w:val="en-US"/>
              </w:rPr>
              <w:t xml:space="preserve"> </w:t>
            </w:r>
            <w:r w:rsidRPr="0021277B">
              <w:rPr>
                <w:i/>
                <w:color w:val="000000"/>
                <w:szCs w:val="22"/>
                <w:lang w:val="en-US"/>
              </w:rPr>
              <w:t>Megathiris detruncate</w:t>
            </w:r>
            <w:r w:rsidRPr="0021277B">
              <w:rPr>
                <w:color w:val="000000"/>
                <w:szCs w:val="22"/>
                <w:lang w:val="en-US"/>
              </w:rPr>
              <w:t xml:space="preserve">); </w:t>
            </w:r>
            <w:r>
              <w:rPr>
                <w:color w:val="000000"/>
                <w:szCs w:val="22"/>
                <w:lang w:val="en-US"/>
              </w:rPr>
              <w:t>c</w:t>
            </w:r>
            <w:r w:rsidRPr="0021277B">
              <w:rPr>
                <w:color w:val="000000"/>
                <w:szCs w:val="22"/>
                <w:lang w:val="en-US"/>
              </w:rPr>
              <w:t>lass Bryozoa (</w:t>
            </w:r>
            <w:r>
              <w:rPr>
                <w:color w:val="000000"/>
                <w:szCs w:val="22"/>
                <w:lang w:val="en-US"/>
              </w:rPr>
              <w:t>e.g.,</w:t>
            </w:r>
            <w:r w:rsidRPr="0021277B">
              <w:rPr>
                <w:color w:val="000000"/>
                <w:szCs w:val="22"/>
                <w:lang w:val="en-US"/>
              </w:rPr>
              <w:t xml:space="preserve"> </w:t>
            </w:r>
            <w:r w:rsidRPr="0021277B">
              <w:rPr>
                <w:i/>
                <w:color w:val="000000"/>
                <w:szCs w:val="22"/>
                <w:lang w:val="en-US"/>
              </w:rPr>
              <w:t>Membranipora membranacea</w:t>
            </w:r>
            <w:r w:rsidRPr="0021277B">
              <w:rPr>
                <w:color w:val="000000"/>
                <w:szCs w:val="22"/>
                <w:lang w:val="en-US"/>
              </w:rPr>
              <w:t xml:space="preserve">); </w:t>
            </w:r>
            <w:r>
              <w:rPr>
                <w:color w:val="000000"/>
                <w:szCs w:val="22"/>
                <w:lang w:val="en-US"/>
              </w:rPr>
              <w:t>c</w:t>
            </w:r>
            <w:r w:rsidRPr="0021277B">
              <w:rPr>
                <w:color w:val="000000"/>
                <w:szCs w:val="22"/>
                <w:lang w:val="en-US"/>
              </w:rPr>
              <w:t>lass Elasmobranchii (</w:t>
            </w:r>
            <w:r>
              <w:rPr>
                <w:color w:val="000000"/>
                <w:szCs w:val="22"/>
                <w:lang w:val="en-US"/>
              </w:rPr>
              <w:t>e.g.,</w:t>
            </w:r>
            <w:r w:rsidRPr="0021277B">
              <w:rPr>
                <w:color w:val="000000"/>
                <w:szCs w:val="22"/>
                <w:lang w:val="en-US"/>
              </w:rPr>
              <w:t xml:space="preserve"> shark - </w:t>
            </w:r>
            <w:r w:rsidRPr="0021277B">
              <w:rPr>
                <w:i/>
                <w:color w:val="000000"/>
                <w:szCs w:val="22"/>
                <w:lang w:val="en-US"/>
              </w:rPr>
              <w:t>Dipturus batis</w:t>
            </w:r>
            <w:r w:rsidRPr="0021277B">
              <w:rPr>
                <w:color w:val="000000"/>
                <w:szCs w:val="22"/>
                <w:lang w:val="en-US"/>
              </w:rPr>
              <w:t xml:space="preserve">; ray - </w:t>
            </w:r>
            <w:r w:rsidRPr="0021277B">
              <w:rPr>
                <w:i/>
                <w:color w:val="000000"/>
                <w:szCs w:val="22"/>
                <w:lang w:val="en-US"/>
              </w:rPr>
              <w:t>Raja microocellata</w:t>
            </w:r>
            <w:r w:rsidRPr="0021277B">
              <w:rPr>
                <w:color w:val="000000"/>
                <w:szCs w:val="22"/>
                <w:lang w:val="en-US"/>
              </w:rPr>
              <w:t xml:space="preserve">); </w:t>
            </w:r>
            <w:r>
              <w:rPr>
                <w:color w:val="000000"/>
                <w:szCs w:val="22"/>
                <w:lang w:val="en-US"/>
              </w:rPr>
              <w:t>c</w:t>
            </w:r>
            <w:r w:rsidRPr="0021277B">
              <w:rPr>
                <w:color w:val="000000"/>
                <w:szCs w:val="22"/>
                <w:lang w:val="en-US"/>
              </w:rPr>
              <w:t>lass Hydrozoa (</w:t>
            </w:r>
            <w:r>
              <w:rPr>
                <w:color w:val="000000"/>
                <w:szCs w:val="22"/>
                <w:lang w:val="en-US"/>
              </w:rPr>
              <w:t>e.g.,</w:t>
            </w:r>
            <w:r w:rsidRPr="0021277B">
              <w:rPr>
                <w:color w:val="000000"/>
                <w:szCs w:val="22"/>
                <w:lang w:val="en-US"/>
              </w:rPr>
              <w:t xml:space="preserve"> </w:t>
            </w:r>
            <w:r w:rsidRPr="0021277B">
              <w:rPr>
                <w:i/>
                <w:color w:val="000000"/>
                <w:szCs w:val="22"/>
                <w:lang w:val="en-US"/>
              </w:rPr>
              <w:t>Dynamena disticha</w:t>
            </w:r>
            <w:r w:rsidRPr="0021277B">
              <w:rPr>
                <w:color w:val="000000"/>
                <w:szCs w:val="22"/>
                <w:lang w:val="en-US"/>
              </w:rPr>
              <w:t xml:space="preserve">); </w:t>
            </w:r>
            <w:r>
              <w:rPr>
                <w:color w:val="000000"/>
                <w:szCs w:val="22"/>
                <w:lang w:val="en-US"/>
              </w:rPr>
              <w:t>c</w:t>
            </w:r>
            <w:r w:rsidRPr="0021277B">
              <w:rPr>
                <w:color w:val="000000"/>
                <w:szCs w:val="22"/>
                <w:lang w:val="en-US"/>
              </w:rPr>
              <w:t>lass Pycnogonida (</w:t>
            </w:r>
            <w:r>
              <w:rPr>
                <w:color w:val="000000"/>
                <w:szCs w:val="22"/>
                <w:lang w:val="en-US"/>
              </w:rPr>
              <w:t>e.g.,</w:t>
            </w:r>
            <w:r w:rsidRPr="0021277B">
              <w:rPr>
                <w:color w:val="000000"/>
                <w:szCs w:val="22"/>
                <w:lang w:val="en-US"/>
              </w:rPr>
              <w:t xml:space="preserve"> </w:t>
            </w:r>
            <w:r w:rsidRPr="0021277B">
              <w:rPr>
                <w:i/>
                <w:color w:val="000000"/>
                <w:szCs w:val="22"/>
                <w:lang w:val="en-US"/>
              </w:rPr>
              <w:t>Ammothella longipes</w:t>
            </w:r>
            <w:r w:rsidRPr="0021277B">
              <w:rPr>
                <w:color w:val="000000"/>
                <w:szCs w:val="22"/>
                <w:lang w:val="en-US"/>
              </w:rPr>
              <w:t xml:space="preserve">); </w:t>
            </w:r>
            <w:r>
              <w:rPr>
                <w:color w:val="000000"/>
                <w:szCs w:val="22"/>
                <w:lang w:val="en-US"/>
              </w:rPr>
              <w:t>c</w:t>
            </w:r>
            <w:r w:rsidRPr="0021277B">
              <w:rPr>
                <w:color w:val="000000"/>
                <w:szCs w:val="22"/>
                <w:lang w:val="en-US"/>
              </w:rPr>
              <w:t>lass Reptilia (</w:t>
            </w:r>
            <w:r>
              <w:rPr>
                <w:color w:val="000000"/>
                <w:szCs w:val="22"/>
                <w:lang w:val="en-US"/>
              </w:rPr>
              <w:t>e.g.,</w:t>
            </w:r>
            <w:r w:rsidRPr="0021277B">
              <w:rPr>
                <w:color w:val="000000"/>
                <w:szCs w:val="22"/>
                <w:lang w:val="en-US"/>
              </w:rPr>
              <w:t xml:space="preserve"> sea turtle - </w:t>
            </w:r>
            <w:r w:rsidRPr="0021277B">
              <w:rPr>
                <w:i/>
                <w:color w:val="000000"/>
                <w:szCs w:val="22"/>
                <w:lang w:val="en-US"/>
              </w:rPr>
              <w:t>Caretta caretta</w:t>
            </w:r>
            <w:r w:rsidRPr="0021277B">
              <w:rPr>
                <w:color w:val="000000"/>
                <w:szCs w:val="22"/>
                <w:lang w:val="en-US"/>
              </w:rPr>
              <w:t xml:space="preserve">); </w:t>
            </w:r>
            <w:r>
              <w:rPr>
                <w:color w:val="000000"/>
                <w:szCs w:val="22"/>
                <w:lang w:val="en-US"/>
              </w:rPr>
              <w:t>c</w:t>
            </w:r>
            <w:r w:rsidRPr="0021277B">
              <w:rPr>
                <w:color w:val="000000"/>
                <w:szCs w:val="22"/>
                <w:lang w:val="en-US"/>
              </w:rPr>
              <w:t>lass Scyphozoa (</w:t>
            </w:r>
            <w:r>
              <w:rPr>
                <w:color w:val="000000"/>
                <w:szCs w:val="22"/>
                <w:lang w:val="en-US"/>
              </w:rPr>
              <w:t>e.g.,</w:t>
            </w:r>
            <w:r w:rsidRPr="0021277B">
              <w:rPr>
                <w:szCs w:val="22"/>
              </w:rPr>
              <w:t xml:space="preserve"> </w:t>
            </w:r>
            <w:r w:rsidRPr="0021277B">
              <w:rPr>
                <w:i/>
                <w:color w:val="000000"/>
                <w:szCs w:val="22"/>
                <w:lang w:val="en-US"/>
              </w:rPr>
              <w:t>Catostylus tagi</w:t>
            </w:r>
            <w:r w:rsidRPr="0021277B">
              <w:rPr>
                <w:color w:val="000000"/>
                <w:szCs w:val="22"/>
                <w:lang w:val="en-US"/>
              </w:rPr>
              <w:t xml:space="preserve">); </w:t>
            </w:r>
            <w:r>
              <w:rPr>
                <w:color w:val="000000"/>
                <w:szCs w:val="22"/>
                <w:lang w:val="en-US"/>
              </w:rPr>
              <w:t>i</w:t>
            </w:r>
            <w:r w:rsidRPr="0021277B">
              <w:rPr>
                <w:color w:val="000000"/>
                <w:szCs w:val="22"/>
                <w:lang w:val="en-US"/>
              </w:rPr>
              <w:t>nfraorder Cetacea (</w:t>
            </w:r>
            <w:r>
              <w:rPr>
                <w:color w:val="000000"/>
                <w:szCs w:val="22"/>
                <w:lang w:val="en-US"/>
              </w:rPr>
              <w:t>e.g.,</w:t>
            </w:r>
            <w:r w:rsidRPr="0021277B">
              <w:rPr>
                <w:color w:val="000000"/>
                <w:szCs w:val="22"/>
                <w:lang w:val="en-US"/>
              </w:rPr>
              <w:t xml:space="preserve"> </w:t>
            </w:r>
            <w:r w:rsidRPr="0021277B">
              <w:rPr>
                <w:i/>
                <w:color w:val="000000"/>
                <w:szCs w:val="22"/>
                <w:lang w:val="en-US"/>
              </w:rPr>
              <w:t>Balaenoptera musculus</w:t>
            </w:r>
            <w:r w:rsidRPr="0021277B">
              <w:rPr>
                <w:color w:val="000000"/>
                <w:szCs w:val="22"/>
                <w:lang w:val="en-US"/>
              </w:rPr>
              <w:t xml:space="preserve">); </w:t>
            </w:r>
            <w:r>
              <w:rPr>
                <w:color w:val="000000"/>
                <w:szCs w:val="22"/>
                <w:lang w:val="en-US"/>
              </w:rPr>
              <w:t>f</w:t>
            </w:r>
            <w:r w:rsidRPr="0021277B">
              <w:rPr>
                <w:color w:val="000000"/>
                <w:szCs w:val="22"/>
                <w:lang w:val="en-US"/>
              </w:rPr>
              <w:t>amily Chimaeridae (</w:t>
            </w:r>
            <w:r>
              <w:rPr>
                <w:color w:val="000000"/>
                <w:szCs w:val="22"/>
                <w:lang w:val="en-US"/>
              </w:rPr>
              <w:t>e.g.,</w:t>
            </w:r>
            <w:r w:rsidRPr="0021277B">
              <w:rPr>
                <w:color w:val="000000"/>
                <w:szCs w:val="22"/>
                <w:lang w:val="en-US"/>
              </w:rPr>
              <w:t xml:space="preserve"> </w:t>
            </w:r>
            <w:r w:rsidRPr="0021277B">
              <w:rPr>
                <w:i/>
                <w:color w:val="000000"/>
                <w:szCs w:val="22"/>
                <w:lang w:val="en-US"/>
              </w:rPr>
              <w:t>Chimaera monstrosa</w:t>
            </w:r>
            <w:r w:rsidRPr="0021277B">
              <w:rPr>
                <w:color w:val="000000"/>
                <w:szCs w:val="22"/>
                <w:lang w:val="en-US"/>
              </w:rPr>
              <w:t>).</w:t>
            </w:r>
          </w:p>
        </w:tc>
      </w:tr>
      <w:tr w:rsidR="006B3F46" w:rsidRPr="0021277B" w14:paraId="2F22E391" w14:textId="77777777" w:rsidTr="00907941">
        <w:tc>
          <w:tcPr>
            <w:tcW w:w="783" w:type="pct"/>
            <w:shd w:val="clear" w:color="auto" w:fill="auto"/>
          </w:tcPr>
          <w:p w14:paraId="1CD77786"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95" w:type="pct"/>
            <w:gridSpan w:val="2"/>
            <w:shd w:val="clear" w:color="auto" w:fill="auto"/>
          </w:tcPr>
          <w:p w14:paraId="11110DF3"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vAlign w:val="center"/>
          </w:tcPr>
          <w:p w14:paraId="5650D494" w14:textId="77777777" w:rsidR="006B3F46" w:rsidRPr="0021277B" w:rsidRDefault="006B3F46" w:rsidP="00907941">
            <w:pPr>
              <w:widowControl w:val="0"/>
              <w:autoSpaceDE w:val="0"/>
              <w:autoSpaceDN w:val="0"/>
              <w:adjustRightInd w:val="0"/>
              <w:jc w:val="center"/>
              <w:rPr>
                <w:color w:val="000000"/>
                <w:sz w:val="22"/>
                <w:szCs w:val="22"/>
                <w:lang w:val="en-US"/>
              </w:rPr>
            </w:pPr>
          </w:p>
        </w:tc>
        <w:tc>
          <w:tcPr>
            <w:tcW w:w="453" w:type="pct"/>
            <w:gridSpan w:val="2"/>
            <w:shd w:val="clear" w:color="auto" w:fill="auto"/>
            <w:vAlign w:val="center"/>
          </w:tcPr>
          <w:p w14:paraId="75F81F88" w14:textId="77777777" w:rsidR="006B3F46" w:rsidRPr="0021277B" w:rsidRDefault="006B3F46" w:rsidP="00907941">
            <w:pPr>
              <w:widowControl w:val="0"/>
              <w:autoSpaceDE w:val="0"/>
              <w:autoSpaceDN w:val="0"/>
              <w:adjustRightInd w:val="0"/>
              <w:jc w:val="center"/>
              <w:rPr>
                <w:color w:val="000000"/>
                <w:sz w:val="22"/>
                <w:szCs w:val="22"/>
                <w:lang w:val="en-US"/>
              </w:rPr>
            </w:pPr>
            <w:r w:rsidRPr="0021277B">
              <w:rPr>
                <w:color w:val="000000"/>
                <w:sz w:val="22"/>
                <w:szCs w:val="22"/>
                <w:lang w:val="en-US"/>
              </w:rPr>
              <w:t>X</w:t>
            </w:r>
          </w:p>
        </w:tc>
        <w:tc>
          <w:tcPr>
            <w:tcW w:w="400" w:type="pct"/>
            <w:gridSpan w:val="2"/>
            <w:shd w:val="clear" w:color="auto" w:fill="auto"/>
            <w:vAlign w:val="center"/>
          </w:tcPr>
          <w:p w14:paraId="4ADEA894" w14:textId="77777777" w:rsidR="006B3F46" w:rsidRPr="0021277B" w:rsidRDefault="006B3F46" w:rsidP="00907941">
            <w:pPr>
              <w:widowControl w:val="0"/>
              <w:autoSpaceDE w:val="0"/>
              <w:autoSpaceDN w:val="0"/>
              <w:adjustRightInd w:val="0"/>
              <w:jc w:val="center"/>
              <w:rPr>
                <w:color w:val="000000"/>
                <w:sz w:val="22"/>
                <w:szCs w:val="22"/>
                <w:lang w:val="en-US"/>
              </w:rPr>
            </w:pPr>
          </w:p>
        </w:tc>
        <w:tc>
          <w:tcPr>
            <w:tcW w:w="385" w:type="pct"/>
            <w:shd w:val="clear" w:color="auto" w:fill="auto"/>
            <w:vAlign w:val="center"/>
          </w:tcPr>
          <w:p w14:paraId="5AF61F7D" w14:textId="77777777" w:rsidR="006B3F46" w:rsidRPr="0021277B" w:rsidRDefault="006B3F46" w:rsidP="00907941">
            <w:pPr>
              <w:widowControl w:val="0"/>
              <w:autoSpaceDE w:val="0"/>
              <w:autoSpaceDN w:val="0"/>
              <w:adjustRightInd w:val="0"/>
              <w:jc w:val="center"/>
              <w:rPr>
                <w:color w:val="000000"/>
                <w:sz w:val="22"/>
                <w:szCs w:val="22"/>
                <w:lang w:val="en-US"/>
              </w:rPr>
            </w:pPr>
          </w:p>
        </w:tc>
      </w:tr>
      <w:tr w:rsidR="006B3F46" w:rsidRPr="0021277B" w14:paraId="0AEFFB41" w14:textId="77777777" w:rsidTr="00907941">
        <w:tc>
          <w:tcPr>
            <w:tcW w:w="5000" w:type="pct"/>
            <w:gridSpan w:val="11"/>
            <w:shd w:val="clear" w:color="auto" w:fill="auto"/>
          </w:tcPr>
          <w:p w14:paraId="6880ED64" w14:textId="77777777" w:rsidR="006B3F46" w:rsidRPr="0021277B" w:rsidRDefault="006B3F46" w:rsidP="00907941">
            <w:pPr>
              <w:widowControl w:val="0"/>
              <w:autoSpaceDE w:val="0"/>
              <w:autoSpaceDN w:val="0"/>
              <w:adjustRightInd w:val="0"/>
              <w:jc w:val="both"/>
              <w:rPr>
                <w:rFonts w:eastAsia="MS Mincho"/>
                <w:i/>
                <w:iCs/>
                <w:sz w:val="22"/>
                <w:szCs w:val="22"/>
                <w:lang w:val="en-US"/>
              </w:rPr>
            </w:pPr>
            <w:r w:rsidRPr="0021277B">
              <w:rPr>
                <w:rFonts w:eastAsia="MS Mincho"/>
                <w:i/>
                <w:iCs/>
                <w:sz w:val="22"/>
                <w:szCs w:val="22"/>
                <w:lang w:val="en-US"/>
              </w:rPr>
              <w:t>Explanation for ranking</w:t>
            </w:r>
          </w:p>
          <w:p w14:paraId="35200C9D"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Pr>
                <w:szCs w:val="22"/>
                <w:lang w:val="en-US"/>
              </w:rPr>
              <w:t>Seafloor resources of t</w:t>
            </w:r>
            <w:r w:rsidRPr="0021277B">
              <w:rPr>
                <w:szCs w:val="22"/>
                <w:lang w:val="en-US"/>
              </w:rPr>
              <w:t xml:space="preserve">he mainland canyons, the steep slopes and rocky topography have </w:t>
            </w:r>
            <w:r>
              <w:rPr>
                <w:szCs w:val="22"/>
                <w:lang w:val="en-US"/>
              </w:rPr>
              <w:t xml:space="preserve">seen </w:t>
            </w:r>
            <w:r w:rsidRPr="0021277B">
              <w:rPr>
                <w:szCs w:val="22"/>
                <w:lang w:val="en-US"/>
              </w:rPr>
              <w:t xml:space="preserve">limited exploitation </w:t>
            </w:r>
            <w:r>
              <w:rPr>
                <w:szCs w:val="22"/>
                <w:lang w:val="en-US"/>
              </w:rPr>
              <w:t>by human</w:t>
            </w:r>
            <w:r w:rsidRPr="0021277B">
              <w:rPr>
                <w:szCs w:val="22"/>
                <w:lang w:val="en-US"/>
              </w:rPr>
              <w:t xml:space="preserve"> activities (Würtz, 2012). Consequently, many canyon areas experience lower levels of anthropogenic pressure than adjacent areas on the shelf and slope. </w:t>
            </w:r>
          </w:p>
          <w:p w14:paraId="2990C378"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sidRPr="0021277B">
              <w:rPr>
                <w:szCs w:val="22"/>
                <w:lang w:val="en-US"/>
              </w:rPr>
              <w:t xml:space="preserve">Nevertheless, submarine canyons are increasingly subjected to different stressors, not only in relation to fishing (Company </w:t>
            </w:r>
            <w:r w:rsidRPr="0006066A">
              <w:rPr>
                <w:i/>
                <w:szCs w:val="22"/>
                <w:lang w:val="en-US"/>
              </w:rPr>
              <w:t>et al</w:t>
            </w:r>
            <w:r w:rsidRPr="0021277B">
              <w:rPr>
                <w:i/>
                <w:szCs w:val="22"/>
                <w:lang w:val="en-US"/>
              </w:rPr>
              <w:t>.</w:t>
            </w:r>
            <w:r w:rsidRPr="0021277B">
              <w:rPr>
                <w:szCs w:val="22"/>
                <w:lang w:val="en-US"/>
              </w:rPr>
              <w:t xml:space="preserve">, 2008; Martín </w:t>
            </w:r>
            <w:r w:rsidRPr="0006066A">
              <w:rPr>
                <w:i/>
                <w:szCs w:val="22"/>
                <w:lang w:val="en-US"/>
              </w:rPr>
              <w:t>et al</w:t>
            </w:r>
            <w:r w:rsidRPr="0021277B">
              <w:rPr>
                <w:i/>
                <w:szCs w:val="22"/>
                <w:lang w:val="en-US"/>
              </w:rPr>
              <w:t>.</w:t>
            </w:r>
            <w:r w:rsidRPr="0021277B">
              <w:rPr>
                <w:szCs w:val="22"/>
                <w:lang w:val="en-US"/>
              </w:rPr>
              <w:t xml:space="preserve">, 2008; Orejas </w:t>
            </w:r>
            <w:r w:rsidRPr="0006066A">
              <w:rPr>
                <w:i/>
                <w:szCs w:val="22"/>
                <w:lang w:val="en-US"/>
              </w:rPr>
              <w:t>et al</w:t>
            </w:r>
            <w:r w:rsidRPr="0021277B">
              <w:rPr>
                <w:i/>
                <w:szCs w:val="22"/>
                <w:lang w:val="en-US"/>
              </w:rPr>
              <w:t>.</w:t>
            </w:r>
            <w:r w:rsidRPr="0021277B">
              <w:rPr>
                <w:szCs w:val="22"/>
                <w:lang w:val="en-US"/>
              </w:rPr>
              <w:t xml:space="preserve">, 2009; Puig </w:t>
            </w:r>
            <w:r w:rsidRPr="0006066A">
              <w:rPr>
                <w:i/>
                <w:szCs w:val="22"/>
                <w:lang w:val="en-US"/>
              </w:rPr>
              <w:t>et al</w:t>
            </w:r>
            <w:r w:rsidRPr="0021277B">
              <w:rPr>
                <w:i/>
                <w:szCs w:val="22"/>
                <w:lang w:val="en-US"/>
              </w:rPr>
              <w:t>.</w:t>
            </w:r>
            <w:r w:rsidRPr="0021277B">
              <w:rPr>
                <w:szCs w:val="22"/>
                <w:lang w:val="en-US"/>
              </w:rPr>
              <w:t xml:space="preserve">, 2012). </w:t>
            </w:r>
            <w:r>
              <w:rPr>
                <w:szCs w:val="22"/>
                <w:lang w:val="en-US"/>
              </w:rPr>
              <w:t>T</w:t>
            </w:r>
            <w:r w:rsidRPr="0021277B">
              <w:rPr>
                <w:szCs w:val="22"/>
                <w:lang w:val="en-US"/>
              </w:rPr>
              <w:t xml:space="preserve">he hydrodynamic processes of canyons enhance the transport of litter (Mordecai </w:t>
            </w:r>
            <w:r w:rsidRPr="0006066A">
              <w:rPr>
                <w:i/>
                <w:szCs w:val="22"/>
                <w:lang w:val="en-US"/>
              </w:rPr>
              <w:t>et al</w:t>
            </w:r>
            <w:r w:rsidRPr="0021277B">
              <w:rPr>
                <w:i/>
                <w:szCs w:val="22"/>
                <w:lang w:val="en-US"/>
              </w:rPr>
              <w:t>.</w:t>
            </w:r>
            <w:r w:rsidRPr="0021277B">
              <w:rPr>
                <w:szCs w:val="22"/>
                <w:lang w:val="en-US"/>
              </w:rPr>
              <w:t xml:space="preserve">, 2011; Ramirez-Llodra </w:t>
            </w:r>
            <w:r w:rsidRPr="0006066A">
              <w:rPr>
                <w:i/>
                <w:szCs w:val="22"/>
                <w:lang w:val="en-US"/>
              </w:rPr>
              <w:t>et al</w:t>
            </w:r>
            <w:r w:rsidRPr="0021277B">
              <w:rPr>
                <w:i/>
                <w:szCs w:val="22"/>
                <w:lang w:val="en-US"/>
              </w:rPr>
              <w:t>.</w:t>
            </w:r>
            <w:r w:rsidRPr="0021277B">
              <w:rPr>
                <w:szCs w:val="22"/>
                <w:lang w:val="en-US"/>
              </w:rPr>
              <w:t xml:space="preserve">, 2013; Tubau </w:t>
            </w:r>
            <w:r w:rsidRPr="0006066A">
              <w:rPr>
                <w:i/>
                <w:szCs w:val="22"/>
                <w:lang w:val="en-US"/>
              </w:rPr>
              <w:t>et al</w:t>
            </w:r>
            <w:r w:rsidRPr="0021277B">
              <w:rPr>
                <w:i/>
                <w:szCs w:val="22"/>
                <w:lang w:val="en-US"/>
              </w:rPr>
              <w:t>.</w:t>
            </w:r>
            <w:r w:rsidRPr="0021277B">
              <w:rPr>
                <w:szCs w:val="22"/>
                <w:lang w:val="en-US"/>
              </w:rPr>
              <w:t xml:space="preserve">, 2015) and chemical pollutants from the shelf to deep-sea environments (Palanques </w:t>
            </w:r>
            <w:r w:rsidRPr="0006066A">
              <w:rPr>
                <w:i/>
                <w:szCs w:val="22"/>
                <w:lang w:val="en-US"/>
              </w:rPr>
              <w:t>et al</w:t>
            </w:r>
            <w:r w:rsidRPr="0021277B">
              <w:rPr>
                <w:i/>
                <w:szCs w:val="22"/>
                <w:lang w:val="en-US"/>
              </w:rPr>
              <w:t>.</w:t>
            </w:r>
            <w:r w:rsidRPr="0021277B">
              <w:rPr>
                <w:szCs w:val="22"/>
                <w:lang w:val="en-US"/>
              </w:rPr>
              <w:t xml:space="preserve">, 2008; Koenig </w:t>
            </w:r>
            <w:r w:rsidRPr="0006066A">
              <w:rPr>
                <w:i/>
                <w:szCs w:val="22"/>
                <w:lang w:val="en-US"/>
              </w:rPr>
              <w:t>et al</w:t>
            </w:r>
            <w:r w:rsidRPr="0021277B">
              <w:rPr>
                <w:i/>
                <w:szCs w:val="22"/>
                <w:lang w:val="en-US"/>
              </w:rPr>
              <w:t>.</w:t>
            </w:r>
            <w:r w:rsidRPr="0021277B">
              <w:rPr>
                <w:szCs w:val="22"/>
                <w:lang w:val="en-US"/>
              </w:rPr>
              <w:t xml:space="preserve">, 2013; Pham </w:t>
            </w:r>
            <w:r w:rsidRPr="0006066A">
              <w:rPr>
                <w:i/>
                <w:szCs w:val="22"/>
                <w:lang w:val="en-US"/>
              </w:rPr>
              <w:t>et al</w:t>
            </w:r>
            <w:r w:rsidRPr="0021277B">
              <w:rPr>
                <w:i/>
                <w:szCs w:val="22"/>
                <w:lang w:val="en-US"/>
              </w:rPr>
              <w:t>.</w:t>
            </w:r>
            <w:r w:rsidRPr="0021277B">
              <w:rPr>
                <w:szCs w:val="22"/>
                <w:lang w:val="en-US"/>
              </w:rPr>
              <w:t xml:space="preserve">, 2014). </w:t>
            </w:r>
          </w:p>
          <w:p w14:paraId="31A7A3AB" w14:textId="77777777" w:rsidR="006B3F46" w:rsidRPr="0021277B" w:rsidRDefault="006B3F46" w:rsidP="006B3F46">
            <w:pPr>
              <w:pStyle w:val="ListParagraph"/>
              <w:numPr>
                <w:ilvl w:val="0"/>
                <w:numId w:val="30"/>
              </w:numPr>
              <w:ind w:leftChars="0" w:left="319"/>
              <w:contextualSpacing/>
              <w:rPr>
                <w:rFonts w:eastAsia="MS Mincho"/>
                <w:szCs w:val="22"/>
                <w:lang w:val="en-US"/>
              </w:rPr>
            </w:pPr>
            <w:r w:rsidRPr="0021277B">
              <w:rPr>
                <w:szCs w:val="22"/>
                <w:lang w:val="en-US"/>
              </w:rPr>
              <w:t>The Lisbon, Setúbal and Cascais canyons are located adjacent to the Lisbon and Setúbal regions of Portugal, where Lisbon, the capital city, and Setúbal and their suburbs are located. The Lisbon and Setúbal region</w:t>
            </w:r>
            <w:r>
              <w:rPr>
                <w:szCs w:val="22"/>
                <w:lang w:val="en-US"/>
              </w:rPr>
              <w:t>s</w:t>
            </w:r>
            <w:r w:rsidRPr="0021277B">
              <w:rPr>
                <w:szCs w:val="22"/>
                <w:lang w:val="en-US"/>
              </w:rPr>
              <w:t xml:space="preserve"> </w:t>
            </w:r>
            <w:r>
              <w:rPr>
                <w:szCs w:val="22"/>
                <w:lang w:val="en-US"/>
              </w:rPr>
              <w:t>are</w:t>
            </w:r>
            <w:r w:rsidRPr="0021277B">
              <w:rPr>
                <w:szCs w:val="22"/>
                <w:lang w:val="en-US"/>
              </w:rPr>
              <w:t xml:space="preserve"> relatively heavily populated and industrialized and a potential source of more litter than less populated regions. As the abundance of litter in canyons off Lisbon was associated with </w:t>
            </w:r>
            <w:r>
              <w:rPr>
                <w:szCs w:val="22"/>
                <w:lang w:val="en-US"/>
              </w:rPr>
              <w:t xml:space="preserve">both </w:t>
            </w:r>
            <w:r w:rsidRPr="0021277B">
              <w:rPr>
                <w:szCs w:val="22"/>
                <w:lang w:val="en-US"/>
              </w:rPr>
              <w:t xml:space="preserve">distance from the coast and depth, we infer that </w:t>
            </w:r>
            <w:r>
              <w:rPr>
                <w:szCs w:val="22"/>
                <w:lang w:val="en-US"/>
              </w:rPr>
              <w:t>most</w:t>
            </w:r>
            <w:r w:rsidRPr="0021277B">
              <w:rPr>
                <w:szCs w:val="22"/>
                <w:lang w:val="en-US"/>
              </w:rPr>
              <w:t xml:space="preserve"> litter </w:t>
            </w:r>
            <w:r>
              <w:rPr>
                <w:szCs w:val="22"/>
                <w:lang w:val="en-US"/>
              </w:rPr>
              <w:t>i</w:t>
            </w:r>
            <w:r w:rsidRPr="0021277B">
              <w:rPr>
                <w:szCs w:val="22"/>
                <w:lang w:val="en-US"/>
              </w:rPr>
              <w:t>s from terrestrial sources</w:t>
            </w:r>
            <w:r w:rsidRPr="0021277B">
              <w:rPr>
                <w:rFonts w:eastAsia="MS Mincho"/>
                <w:szCs w:val="22"/>
                <w:lang w:val="en-US"/>
              </w:rPr>
              <w:t>. Studies performed in the Tagus estuary and prodelta indicated the occurrence of anthropogenic metal enrichment (</w:t>
            </w:r>
            <w:r>
              <w:rPr>
                <w:rFonts w:eastAsia="MS Mincho"/>
                <w:szCs w:val="22"/>
                <w:lang w:val="en-US"/>
              </w:rPr>
              <w:t>e.g.,</w:t>
            </w:r>
            <w:r w:rsidRPr="0021277B">
              <w:rPr>
                <w:rFonts w:eastAsia="MS Mincho"/>
                <w:szCs w:val="22"/>
                <w:lang w:val="en-US"/>
              </w:rPr>
              <w:t xml:space="preserve"> Paiva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1997; Jouanneau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1998, Mil-Homens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2009). Richter </w:t>
            </w:r>
            <w:r w:rsidRPr="0006066A">
              <w:rPr>
                <w:rFonts w:eastAsia="MS Mincho"/>
                <w:i/>
                <w:szCs w:val="22"/>
                <w:lang w:val="en-US"/>
              </w:rPr>
              <w:t>et al</w:t>
            </w:r>
            <w:r w:rsidRPr="0021277B">
              <w:rPr>
                <w:rFonts w:eastAsia="MS Mincho"/>
                <w:i/>
                <w:szCs w:val="22"/>
                <w:lang w:val="en-US"/>
              </w:rPr>
              <w:t>.</w:t>
            </w:r>
            <w:r w:rsidRPr="0021277B">
              <w:rPr>
                <w:rFonts w:eastAsia="MS Mincho"/>
                <w:szCs w:val="22"/>
                <w:lang w:val="en-US"/>
              </w:rPr>
              <w:t xml:space="preserve"> (2009) also demonstrated a contribution of anthropogenic metals in surface sediments from the Lisboa-Setúbal Canyon System.</w:t>
            </w:r>
          </w:p>
          <w:p w14:paraId="073E9F22"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sidRPr="0021277B">
              <w:rPr>
                <w:szCs w:val="22"/>
                <w:lang w:val="en-US"/>
              </w:rPr>
              <w:t xml:space="preserve">The Portimão </w:t>
            </w:r>
            <w:r>
              <w:rPr>
                <w:szCs w:val="22"/>
                <w:lang w:val="en-US"/>
              </w:rPr>
              <w:t>C</w:t>
            </w:r>
            <w:r w:rsidRPr="0021277B">
              <w:rPr>
                <w:szCs w:val="22"/>
                <w:lang w:val="en-US"/>
              </w:rPr>
              <w:t xml:space="preserve">anyon has a strong influence on the regional sediment cover distribution (Moita, 1986; </w:t>
            </w:r>
            <w:r w:rsidRPr="0021277B">
              <w:rPr>
                <w:szCs w:val="22"/>
              </w:rPr>
              <w:t xml:space="preserve">Hernández-Molina </w:t>
            </w:r>
            <w:r w:rsidRPr="0006066A">
              <w:rPr>
                <w:i/>
                <w:szCs w:val="22"/>
              </w:rPr>
              <w:t>et al</w:t>
            </w:r>
            <w:r w:rsidRPr="0021277B">
              <w:rPr>
                <w:i/>
                <w:szCs w:val="22"/>
              </w:rPr>
              <w:t>.</w:t>
            </w:r>
            <w:r w:rsidRPr="0021277B">
              <w:rPr>
                <w:szCs w:val="22"/>
              </w:rPr>
              <w:t>, 2006</w:t>
            </w:r>
            <w:r w:rsidRPr="0021277B">
              <w:rPr>
                <w:szCs w:val="22"/>
                <w:lang w:val="en-US"/>
              </w:rPr>
              <w:t xml:space="preserve">). It becomes a distinct feature at only 100 m depth, sinking for about 8 km (first from NNE–SSW then turning in a NNW–SSE direction) until it joins the Lagos Canyon at ca. 4000 m depth (Mouguenot, 1989). The head of this canyon is, therefore, in the route of the crustacean trawlers operating here with intense activity (Borges </w:t>
            </w:r>
            <w:r w:rsidRPr="0006066A">
              <w:rPr>
                <w:i/>
                <w:szCs w:val="22"/>
                <w:lang w:val="en-US"/>
              </w:rPr>
              <w:t>et al</w:t>
            </w:r>
            <w:r w:rsidRPr="0021277B">
              <w:rPr>
                <w:i/>
                <w:szCs w:val="22"/>
                <w:lang w:val="en-US"/>
              </w:rPr>
              <w:t>.</w:t>
            </w:r>
            <w:r w:rsidRPr="0021277B">
              <w:rPr>
                <w:szCs w:val="22"/>
                <w:lang w:val="en-US"/>
              </w:rPr>
              <w:t>, 2001); being aware of this feature, fisher</w:t>
            </w:r>
            <w:r>
              <w:rPr>
                <w:szCs w:val="22"/>
                <w:lang w:val="en-US"/>
              </w:rPr>
              <w:t>s</w:t>
            </w:r>
            <w:r w:rsidRPr="0021277B">
              <w:rPr>
                <w:szCs w:val="22"/>
                <w:lang w:val="en-US"/>
              </w:rPr>
              <w:t xml:space="preserve"> often choose to </w:t>
            </w:r>
            <w:r>
              <w:rPr>
                <w:szCs w:val="22"/>
                <w:lang w:val="en-US"/>
              </w:rPr>
              <w:t>“</w:t>
            </w:r>
            <w:r w:rsidRPr="0021277B">
              <w:rPr>
                <w:szCs w:val="22"/>
                <w:lang w:val="en-US"/>
              </w:rPr>
              <w:t>fly</w:t>
            </w:r>
            <w:r>
              <w:rPr>
                <w:szCs w:val="22"/>
                <w:lang w:val="en-US"/>
              </w:rPr>
              <w:t>”</w:t>
            </w:r>
            <w:r w:rsidRPr="0021277B">
              <w:rPr>
                <w:szCs w:val="22"/>
                <w:lang w:val="en-US"/>
              </w:rPr>
              <w:t xml:space="preserve"> their nets over the canyon rather than stopping the haul (Morais </w:t>
            </w:r>
            <w:r w:rsidRPr="0006066A">
              <w:rPr>
                <w:i/>
                <w:szCs w:val="22"/>
                <w:lang w:val="en-US"/>
              </w:rPr>
              <w:t>et al</w:t>
            </w:r>
            <w:r w:rsidRPr="0021277B">
              <w:rPr>
                <w:i/>
                <w:szCs w:val="22"/>
                <w:lang w:val="en-US"/>
              </w:rPr>
              <w:t>.</w:t>
            </w:r>
            <w:r w:rsidRPr="0021277B">
              <w:rPr>
                <w:szCs w:val="22"/>
                <w:lang w:val="en-US"/>
              </w:rPr>
              <w:t>, 2007).</w:t>
            </w:r>
          </w:p>
          <w:p w14:paraId="086B7DD3"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sidRPr="0021277B">
              <w:rPr>
                <w:szCs w:val="22"/>
                <w:lang w:val="en-US"/>
              </w:rPr>
              <w:t xml:space="preserve">In Nazaré </w:t>
            </w:r>
            <w:r>
              <w:rPr>
                <w:szCs w:val="22"/>
                <w:lang w:val="en-US"/>
              </w:rPr>
              <w:t>C</w:t>
            </w:r>
            <w:r w:rsidRPr="0021277B">
              <w:rPr>
                <w:szCs w:val="22"/>
                <w:lang w:val="en-US"/>
              </w:rPr>
              <w:t>anyon</w:t>
            </w:r>
            <w:r>
              <w:rPr>
                <w:szCs w:val="22"/>
                <w:lang w:val="en-US"/>
              </w:rPr>
              <w:t>,</w:t>
            </w:r>
            <w:r w:rsidRPr="0021277B">
              <w:rPr>
                <w:szCs w:val="22"/>
                <w:lang w:val="en-US"/>
              </w:rPr>
              <w:t xml:space="preserve"> </w:t>
            </w:r>
            <w:r w:rsidRPr="003D7C37">
              <w:rPr>
                <w:szCs w:val="22"/>
                <w:lang w:val="en-US"/>
              </w:rPr>
              <w:t>at 460 km from the coast</w:t>
            </w:r>
            <w:r>
              <w:rPr>
                <w:szCs w:val="22"/>
                <w:lang w:val="en-US"/>
              </w:rPr>
              <w:t>,</w:t>
            </w:r>
            <w:r w:rsidRPr="00F175F7">
              <w:rPr>
                <w:szCs w:val="22"/>
                <w:lang w:val="en-US"/>
              </w:rPr>
              <w:t xml:space="preserve"> </w:t>
            </w:r>
            <w:r w:rsidRPr="0021277B">
              <w:rPr>
                <w:szCs w:val="22"/>
                <w:lang w:val="en-US"/>
              </w:rPr>
              <w:t xml:space="preserve">the </w:t>
            </w:r>
            <w:r>
              <w:rPr>
                <w:szCs w:val="22"/>
                <w:lang w:val="en-US"/>
              </w:rPr>
              <w:t xml:space="preserve">abundance </w:t>
            </w:r>
            <w:r w:rsidRPr="0021277B">
              <w:rPr>
                <w:szCs w:val="22"/>
                <w:lang w:val="en-US"/>
              </w:rPr>
              <w:t xml:space="preserve">of litter remains at a relatively low constant </w:t>
            </w:r>
            <w:r>
              <w:rPr>
                <w:szCs w:val="22"/>
                <w:lang w:val="en-US"/>
              </w:rPr>
              <w:t>level</w:t>
            </w:r>
            <w:r w:rsidRPr="0021277B">
              <w:rPr>
                <w:szCs w:val="22"/>
                <w:lang w:val="en-US"/>
              </w:rPr>
              <w:t>. This canyon is less influenced by nearby population centr</w:t>
            </w:r>
            <w:r>
              <w:rPr>
                <w:szCs w:val="22"/>
                <w:lang w:val="en-US"/>
              </w:rPr>
              <w:t>e</w:t>
            </w:r>
            <w:r w:rsidRPr="0021277B">
              <w:rPr>
                <w:szCs w:val="22"/>
                <w:lang w:val="en-US"/>
              </w:rPr>
              <w:t xml:space="preserve">s than the canyons further south. Over all, the distribution of litter in canyons suggests that litter from terrestrial sources (population sources) </w:t>
            </w:r>
            <w:r>
              <w:rPr>
                <w:szCs w:val="22"/>
                <w:lang w:val="en-US"/>
              </w:rPr>
              <w:t>is</w:t>
            </w:r>
            <w:r w:rsidRPr="0021277B">
              <w:rPr>
                <w:szCs w:val="22"/>
                <w:lang w:val="en-US"/>
              </w:rPr>
              <w:t xml:space="preserve"> not transported in large quantities more than a few tens of </w:t>
            </w:r>
            <w:r>
              <w:rPr>
                <w:szCs w:val="22"/>
                <w:lang w:val="en-US"/>
              </w:rPr>
              <w:t>kilometres</w:t>
            </w:r>
            <w:r w:rsidRPr="0021277B">
              <w:rPr>
                <w:szCs w:val="22"/>
                <w:lang w:val="en-US"/>
              </w:rPr>
              <w:t xml:space="preserve"> from the source, although the observed litter distribution may primarily be a function of local oceanographic conditions (De Stigter </w:t>
            </w:r>
            <w:r w:rsidRPr="0006066A">
              <w:rPr>
                <w:i/>
                <w:szCs w:val="22"/>
                <w:lang w:val="en-US"/>
              </w:rPr>
              <w:t>et al</w:t>
            </w:r>
            <w:r w:rsidRPr="0021277B">
              <w:rPr>
                <w:i/>
                <w:szCs w:val="22"/>
                <w:lang w:val="en-US"/>
              </w:rPr>
              <w:t>.</w:t>
            </w:r>
            <w:r w:rsidRPr="0021277B">
              <w:rPr>
                <w:szCs w:val="22"/>
                <w:lang w:val="en-US"/>
              </w:rPr>
              <w:t xml:space="preserve">, 2011). </w:t>
            </w:r>
          </w:p>
          <w:p w14:paraId="1EC6AA0C"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sidRPr="0021277B">
              <w:rPr>
                <w:szCs w:val="22"/>
                <w:lang w:val="en-US"/>
              </w:rPr>
              <w:t>The composition and abundance of litter varies among canyons. The litter in Lisbon, Setúbal and Cascais canyons is dominated by plastics</w:t>
            </w:r>
            <w:r>
              <w:rPr>
                <w:szCs w:val="22"/>
                <w:lang w:val="en-US"/>
              </w:rPr>
              <w:t xml:space="preserve"> has been</w:t>
            </w:r>
            <w:r w:rsidRPr="0021277B">
              <w:rPr>
                <w:szCs w:val="22"/>
                <w:lang w:val="en-US"/>
              </w:rPr>
              <w:t xml:space="preserve"> found </w:t>
            </w:r>
            <w:r>
              <w:rPr>
                <w:szCs w:val="22"/>
                <w:lang w:val="en-US"/>
              </w:rPr>
              <w:t xml:space="preserve">to comprise </w:t>
            </w:r>
            <w:r w:rsidRPr="0021277B">
              <w:rPr>
                <w:szCs w:val="22"/>
                <w:lang w:val="en-US"/>
              </w:rPr>
              <w:t xml:space="preserve"> up to 70</w:t>
            </w:r>
            <w:r>
              <w:rPr>
                <w:szCs w:val="22"/>
                <w:lang w:val="en-US"/>
              </w:rPr>
              <w:t xml:space="preserve"> per cent plastic, similar to </w:t>
            </w:r>
            <w:r w:rsidRPr="0021277B">
              <w:rPr>
                <w:szCs w:val="22"/>
                <w:lang w:val="en-US"/>
              </w:rPr>
              <w:t xml:space="preserve">the European coast (Galgani </w:t>
            </w:r>
            <w:r w:rsidRPr="0006066A">
              <w:rPr>
                <w:i/>
                <w:szCs w:val="22"/>
                <w:lang w:val="en-US"/>
              </w:rPr>
              <w:t>et al</w:t>
            </w:r>
            <w:r w:rsidRPr="0021277B">
              <w:rPr>
                <w:i/>
                <w:szCs w:val="22"/>
                <w:lang w:val="en-US"/>
              </w:rPr>
              <w:t>.</w:t>
            </w:r>
            <w:r w:rsidRPr="0021277B">
              <w:rPr>
                <w:szCs w:val="22"/>
                <w:lang w:val="en-US"/>
              </w:rPr>
              <w:t xml:space="preserve">, 2000). In contrast, </w:t>
            </w:r>
            <w:r>
              <w:rPr>
                <w:szCs w:val="22"/>
                <w:lang w:val="en-US"/>
              </w:rPr>
              <w:t>most</w:t>
            </w:r>
            <w:r w:rsidRPr="0021277B">
              <w:rPr>
                <w:szCs w:val="22"/>
                <w:lang w:val="en-US"/>
              </w:rPr>
              <w:t xml:space="preserve"> of the litter in Nazaré canyon is fishing gear (37</w:t>
            </w:r>
            <w:r>
              <w:rPr>
                <w:szCs w:val="22"/>
                <w:lang w:val="en-US"/>
              </w:rPr>
              <w:t xml:space="preserve"> per cent</w:t>
            </w:r>
            <w:r w:rsidRPr="0021277B">
              <w:rPr>
                <w:szCs w:val="22"/>
                <w:lang w:val="en-US"/>
              </w:rPr>
              <w:t>), followed by plastic (25</w:t>
            </w:r>
            <w:r>
              <w:rPr>
                <w:szCs w:val="22"/>
                <w:lang w:val="en-US"/>
              </w:rPr>
              <w:t xml:space="preserve"> per cent</w:t>
            </w:r>
            <w:r w:rsidRPr="0021277B">
              <w:rPr>
                <w:szCs w:val="22"/>
                <w:lang w:val="en-US"/>
              </w:rPr>
              <w:t>) and metal (17</w:t>
            </w:r>
            <w:r>
              <w:rPr>
                <w:szCs w:val="22"/>
                <w:lang w:val="en-US"/>
              </w:rPr>
              <w:t xml:space="preserve"> per cent</w:t>
            </w:r>
            <w:r w:rsidRPr="0021277B">
              <w:rPr>
                <w:szCs w:val="22"/>
                <w:lang w:val="en-US"/>
              </w:rPr>
              <w:t xml:space="preserve">). Although it is difficult to ascertain the exact source of litter, the results suggest that the Nazaré canyon is mostly affected by marine-sourced litter (June, 1990; Keller </w:t>
            </w:r>
            <w:r w:rsidRPr="0006066A">
              <w:rPr>
                <w:i/>
                <w:szCs w:val="22"/>
                <w:lang w:val="en-US"/>
              </w:rPr>
              <w:t>et al</w:t>
            </w:r>
            <w:r w:rsidRPr="0021277B">
              <w:rPr>
                <w:i/>
                <w:szCs w:val="22"/>
                <w:lang w:val="en-US"/>
              </w:rPr>
              <w:t>.</w:t>
            </w:r>
            <w:r w:rsidRPr="0021277B">
              <w:rPr>
                <w:szCs w:val="22"/>
                <w:lang w:val="en-US"/>
              </w:rPr>
              <w:t xml:space="preserve">, 2010; Watters </w:t>
            </w:r>
            <w:r w:rsidRPr="0006066A">
              <w:rPr>
                <w:i/>
                <w:szCs w:val="22"/>
                <w:lang w:val="en-US"/>
              </w:rPr>
              <w:t>et al</w:t>
            </w:r>
            <w:r w:rsidRPr="0021277B">
              <w:rPr>
                <w:i/>
                <w:szCs w:val="22"/>
                <w:lang w:val="en-US"/>
              </w:rPr>
              <w:t>.</w:t>
            </w:r>
            <w:r w:rsidRPr="0021277B">
              <w:rPr>
                <w:szCs w:val="22"/>
                <w:lang w:val="en-US"/>
              </w:rPr>
              <w:t xml:space="preserve">, 2010). </w:t>
            </w:r>
          </w:p>
          <w:p w14:paraId="46765025"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sidRPr="0021277B">
              <w:rPr>
                <w:szCs w:val="22"/>
                <w:lang w:val="en-US"/>
              </w:rPr>
              <w:t>Galician waters ha</w:t>
            </w:r>
            <w:r>
              <w:rPr>
                <w:szCs w:val="22"/>
                <w:lang w:val="en-US"/>
              </w:rPr>
              <w:t>ve</w:t>
            </w:r>
            <w:r w:rsidRPr="0021277B">
              <w:rPr>
                <w:szCs w:val="22"/>
                <w:lang w:val="en-US"/>
              </w:rPr>
              <w:t xml:space="preserve"> been suffering for many years </w:t>
            </w:r>
            <w:r>
              <w:rPr>
                <w:szCs w:val="22"/>
                <w:lang w:val="en-US"/>
              </w:rPr>
              <w:t>from</w:t>
            </w:r>
            <w:r w:rsidRPr="0021277B">
              <w:rPr>
                <w:szCs w:val="22"/>
                <w:lang w:val="en-US"/>
              </w:rPr>
              <w:t xml:space="preserve"> overfishing, illegal fisheries and the consequences of the Prestige oil spill</w:t>
            </w:r>
            <w:r>
              <w:rPr>
                <w:szCs w:val="22"/>
                <w:lang w:val="en-US"/>
              </w:rPr>
              <w:t xml:space="preserve"> in 2002</w:t>
            </w:r>
            <w:r w:rsidRPr="0021277B">
              <w:rPr>
                <w:szCs w:val="22"/>
                <w:lang w:val="en-US"/>
              </w:rPr>
              <w:t>.</w:t>
            </w:r>
          </w:p>
          <w:p w14:paraId="43ED87B6"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sidRPr="0021277B">
              <w:rPr>
                <w:szCs w:val="22"/>
                <w:lang w:val="en-US"/>
              </w:rPr>
              <w:t xml:space="preserve">Fishing activities: </w:t>
            </w:r>
            <w:r>
              <w:rPr>
                <w:szCs w:val="22"/>
                <w:lang w:val="en-US"/>
              </w:rPr>
              <w:t xml:space="preserve">The region of </w:t>
            </w:r>
            <w:r w:rsidRPr="0021277B">
              <w:rPr>
                <w:szCs w:val="22"/>
                <w:lang w:val="en-US"/>
              </w:rPr>
              <w:t xml:space="preserve">Galicia (NW Spain) </w:t>
            </w:r>
            <w:r>
              <w:rPr>
                <w:szCs w:val="22"/>
                <w:lang w:val="en-US"/>
              </w:rPr>
              <w:t>has one of</w:t>
            </w:r>
            <w:r w:rsidRPr="0021277B">
              <w:rPr>
                <w:szCs w:val="22"/>
                <w:lang w:val="en-US"/>
              </w:rPr>
              <w:t xml:space="preserve"> the highest level</w:t>
            </w:r>
            <w:r>
              <w:rPr>
                <w:szCs w:val="22"/>
                <w:lang w:val="en-US"/>
              </w:rPr>
              <w:t>s</w:t>
            </w:r>
            <w:r w:rsidRPr="0021277B">
              <w:rPr>
                <w:szCs w:val="22"/>
                <w:lang w:val="en-US"/>
              </w:rPr>
              <w:t xml:space="preserve"> of dependence on fishing activities</w:t>
            </w:r>
            <w:r>
              <w:rPr>
                <w:szCs w:val="22"/>
                <w:lang w:val="en-US"/>
              </w:rPr>
              <w:t xml:space="preserve"> in the EU</w:t>
            </w:r>
            <w:r w:rsidRPr="0021277B">
              <w:rPr>
                <w:szCs w:val="22"/>
                <w:lang w:val="en-US"/>
              </w:rPr>
              <w:t xml:space="preserve"> (EC, 2004). The main fishing gears used in the area are bottom trawling, fishing lines and gill nets. Trawlers operate on the muddy bottoms of the shelf and produce serious negative impacts over certain habitat types. Long-liners also operate mainly at the bottom but </w:t>
            </w:r>
            <w:r>
              <w:rPr>
                <w:szCs w:val="22"/>
                <w:lang w:val="en-US"/>
              </w:rPr>
              <w:t>on</w:t>
            </w:r>
            <w:r w:rsidRPr="0021277B">
              <w:rPr>
                <w:szCs w:val="22"/>
                <w:lang w:val="en-US"/>
              </w:rPr>
              <w:t xml:space="preserve"> the shelf-break</w:t>
            </w:r>
            <w:r>
              <w:rPr>
                <w:szCs w:val="22"/>
                <w:lang w:val="en-US"/>
              </w:rPr>
              <w:t>,</w:t>
            </w:r>
            <w:r w:rsidRPr="0021277B">
              <w:rPr>
                <w:szCs w:val="22"/>
                <w:lang w:val="en-US"/>
              </w:rPr>
              <w:t xml:space="preserve"> whereas gill nets are used on rocky grounds near the coast and shelf-break. Additionally, fishing activities have an impact on a great diversity of species</w:t>
            </w:r>
            <w:r>
              <w:rPr>
                <w:szCs w:val="22"/>
                <w:lang w:val="en-US"/>
              </w:rPr>
              <w:t>,</w:t>
            </w:r>
            <w:r w:rsidRPr="0021277B">
              <w:rPr>
                <w:szCs w:val="22"/>
                <w:lang w:val="en-US"/>
              </w:rPr>
              <w:t xml:space="preserve"> such as sea</w:t>
            </w:r>
            <w:r>
              <w:rPr>
                <w:szCs w:val="22"/>
                <w:lang w:val="en-US"/>
              </w:rPr>
              <w:t xml:space="preserve"> </w:t>
            </w:r>
            <w:r w:rsidRPr="0021277B">
              <w:rPr>
                <w:szCs w:val="22"/>
                <w:lang w:val="en-US"/>
              </w:rPr>
              <w:t xml:space="preserve">turtles, cetaceans and seabirds (longline bycatch). </w:t>
            </w:r>
          </w:p>
          <w:p w14:paraId="0A7C3D04" w14:textId="77777777" w:rsidR="006B3F46" w:rsidRPr="0021277B" w:rsidRDefault="006B3F46" w:rsidP="006B3F46">
            <w:pPr>
              <w:pStyle w:val="ListParagraph"/>
              <w:widowControl w:val="0"/>
              <w:numPr>
                <w:ilvl w:val="0"/>
                <w:numId w:val="30"/>
              </w:numPr>
              <w:autoSpaceDE w:val="0"/>
              <w:autoSpaceDN w:val="0"/>
              <w:adjustRightInd w:val="0"/>
              <w:ind w:leftChars="0" w:left="319"/>
              <w:contextualSpacing/>
              <w:rPr>
                <w:szCs w:val="22"/>
                <w:lang w:val="en-US"/>
              </w:rPr>
            </w:pPr>
            <w:r w:rsidRPr="0021277B">
              <w:rPr>
                <w:szCs w:val="22"/>
                <w:lang w:val="en-US"/>
              </w:rPr>
              <w:t xml:space="preserve">Galician fisheries have had a </w:t>
            </w:r>
            <w:r>
              <w:rPr>
                <w:szCs w:val="22"/>
                <w:lang w:val="en-US"/>
              </w:rPr>
              <w:t>very negative</w:t>
            </w:r>
            <w:r w:rsidRPr="0021277B">
              <w:rPr>
                <w:szCs w:val="22"/>
                <w:lang w:val="en-US"/>
              </w:rPr>
              <w:t xml:space="preserve"> impact on the bottom communities and have induced changes in their structure. This impact has been mainly direct (fishing mortality on target species and bycatch) and indirect by means of modifications to the habitat through erosion of the sediment and damage to the benthos by different elements of the gears.</w:t>
            </w:r>
          </w:p>
          <w:p w14:paraId="631DD7E3" w14:textId="37F8B397" w:rsidR="006B3F46" w:rsidRPr="002E4B39" w:rsidRDefault="006B3F46" w:rsidP="002E4B39">
            <w:pPr>
              <w:pStyle w:val="ListParagraph"/>
              <w:widowControl w:val="0"/>
              <w:numPr>
                <w:ilvl w:val="0"/>
                <w:numId w:val="30"/>
              </w:numPr>
              <w:autoSpaceDE w:val="0"/>
              <w:autoSpaceDN w:val="0"/>
              <w:adjustRightInd w:val="0"/>
              <w:ind w:leftChars="0" w:left="319"/>
              <w:contextualSpacing/>
              <w:rPr>
                <w:color w:val="000000"/>
                <w:szCs w:val="22"/>
                <w:lang w:val="en-US"/>
              </w:rPr>
            </w:pPr>
            <w:r w:rsidRPr="0021277B">
              <w:rPr>
                <w:szCs w:val="22"/>
                <w:lang w:val="en-US"/>
              </w:rPr>
              <w:t xml:space="preserve">there is no information on historic or current fishing effort in </w:t>
            </w:r>
            <w:r w:rsidRPr="00EE5D5A">
              <w:rPr>
                <w:szCs w:val="22"/>
                <w:lang w:val="en-US"/>
              </w:rPr>
              <w:t>seamount areas</w:t>
            </w:r>
            <w:r w:rsidRPr="0021277B">
              <w:rPr>
                <w:szCs w:val="22"/>
                <w:lang w:val="en-US"/>
              </w:rPr>
              <w:t xml:space="preserve">, although there are reports of illegal/unreported fishing by vessels using unmarked monofilament gill nets and small drift nets, which are abandoned when they are detected (Morato </w:t>
            </w:r>
            <w:r w:rsidRPr="0006066A">
              <w:rPr>
                <w:i/>
                <w:szCs w:val="22"/>
                <w:lang w:val="en-US"/>
              </w:rPr>
              <w:t>et al</w:t>
            </w:r>
            <w:r w:rsidRPr="0021277B">
              <w:rPr>
                <w:i/>
                <w:szCs w:val="22"/>
                <w:lang w:val="en-US"/>
              </w:rPr>
              <w:t xml:space="preserve">., </w:t>
            </w:r>
            <w:r w:rsidRPr="0021277B">
              <w:rPr>
                <w:szCs w:val="22"/>
                <w:lang w:val="en-US"/>
              </w:rPr>
              <w:t xml:space="preserve">2013). </w:t>
            </w:r>
            <w:r w:rsidRPr="0021277B">
              <w:rPr>
                <w:color w:val="000000"/>
                <w:szCs w:val="22"/>
                <w:lang w:val="en-US"/>
              </w:rPr>
              <w:t xml:space="preserve">Seamount fisheries have typically proven difficult to research and manage sustainably. Many deep-sea commercial species have characteristics that generally make them more vulnerable to fishing pressure than shallower shelf species. They can form large and stable aggregations over seamounts for spawning or feeding, which enables very large catches and rapid depletion of stock size (Clark </w:t>
            </w:r>
            <w:r w:rsidRPr="0006066A">
              <w:rPr>
                <w:i/>
                <w:color w:val="000000"/>
                <w:szCs w:val="22"/>
                <w:lang w:val="en-US"/>
              </w:rPr>
              <w:t>et al</w:t>
            </w:r>
            <w:r w:rsidRPr="0021277B">
              <w:rPr>
                <w:i/>
                <w:color w:val="000000"/>
                <w:szCs w:val="22"/>
                <w:lang w:val="en-US"/>
              </w:rPr>
              <w:t xml:space="preserve">., </w:t>
            </w:r>
            <w:r w:rsidRPr="0021277B">
              <w:rPr>
                <w:color w:val="000000"/>
                <w:szCs w:val="22"/>
                <w:lang w:val="en-US"/>
              </w:rPr>
              <w:t xml:space="preserve">2010a), b)). </w:t>
            </w:r>
          </w:p>
        </w:tc>
      </w:tr>
    </w:tbl>
    <w:p w14:paraId="3386B3A5" w14:textId="77777777" w:rsidR="006B3F46" w:rsidRPr="00F66EF7" w:rsidRDefault="006B3F46" w:rsidP="00907941">
      <w:pPr>
        <w:jc w:val="both"/>
        <w:rPr>
          <w:rFonts w:eastAsia="MS Mincho"/>
          <w:b/>
          <w:sz w:val="22"/>
          <w:szCs w:val="22"/>
          <w:lang w:val="en-US"/>
        </w:rPr>
      </w:pPr>
    </w:p>
    <w:p w14:paraId="00AC2F66" w14:textId="77777777" w:rsidR="006B3F46" w:rsidRPr="009978E3" w:rsidRDefault="006B3F46" w:rsidP="00907941">
      <w:pPr>
        <w:jc w:val="both"/>
        <w:rPr>
          <w:rFonts w:eastAsia="MS Mincho"/>
          <w:b/>
          <w:sz w:val="22"/>
          <w:szCs w:val="22"/>
          <w:lang w:val="pt-PT"/>
        </w:rPr>
      </w:pPr>
      <w:r w:rsidRPr="009978E3">
        <w:rPr>
          <w:rFonts w:eastAsia="MS Mincho"/>
          <w:b/>
          <w:sz w:val="22"/>
          <w:szCs w:val="22"/>
          <w:lang w:val="pt-PT"/>
        </w:rPr>
        <w:t>References</w:t>
      </w:r>
    </w:p>
    <w:p w14:paraId="68A318F8"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Abelló, P., Arcos, J. &amp; Sola, L. (2003). </w:t>
      </w:r>
      <w:r w:rsidRPr="009978E3">
        <w:rPr>
          <w:rFonts w:eastAsia="MS Mincho"/>
          <w:sz w:val="22"/>
          <w:szCs w:val="22"/>
          <w:lang w:val="en-US"/>
        </w:rPr>
        <w:t xml:space="preserve">Geographical patterns of seabird attendance to a research trawler along the Iberian Mediterranean coast. </w:t>
      </w:r>
      <w:r w:rsidRPr="009978E3">
        <w:rPr>
          <w:rFonts w:eastAsia="MS Mincho"/>
          <w:i/>
          <w:sz w:val="22"/>
          <w:szCs w:val="22"/>
          <w:lang w:val="pt-PT"/>
        </w:rPr>
        <w:t>Scientia Marina</w:t>
      </w:r>
      <w:r w:rsidRPr="009978E3">
        <w:rPr>
          <w:rFonts w:eastAsia="MS Mincho"/>
          <w:sz w:val="22"/>
          <w:szCs w:val="22"/>
          <w:lang w:val="pt-PT"/>
        </w:rPr>
        <w:t xml:space="preserve"> 67: 69–75. </w:t>
      </w:r>
    </w:p>
    <w:p w14:paraId="5401D5C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Abrantes, I., &amp; Rocha, F. (2007). Sedimentary dynamics of the Aveiro shelf (Portugal). </w:t>
      </w:r>
      <w:r w:rsidRPr="009978E3">
        <w:rPr>
          <w:rFonts w:eastAsia="MS Mincho"/>
          <w:i/>
          <w:sz w:val="22"/>
          <w:szCs w:val="22"/>
          <w:lang w:val="en-US"/>
        </w:rPr>
        <w:t>Journal of Coastal Research</w:t>
      </w:r>
      <w:r w:rsidRPr="009978E3">
        <w:rPr>
          <w:rFonts w:eastAsia="MS Mincho"/>
          <w:sz w:val="22"/>
          <w:szCs w:val="22"/>
          <w:lang w:val="en-US"/>
        </w:rPr>
        <w:t xml:space="preserve"> 50: 1005-1009.</w:t>
      </w:r>
    </w:p>
    <w:p w14:paraId="65735057" w14:textId="77777777" w:rsidR="006B3F46" w:rsidRPr="009978E3" w:rsidRDefault="006B3F46" w:rsidP="00907941">
      <w:pPr>
        <w:ind w:left="567" w:hanging="567"/>
        <w:jc w:val="both"/>
        <w:rPr>
          <w:rFonts w:eastAsia="MS Mincho"/>
          <w:sz w:val="22"/>
          <w:szCs w:val="22"/>
        </w:rPr>
      </w:pPr>
      <w:r w:rsidRPr="009978E3">
        <w:rPr>
          <w:rFonts w:eastAsia="MS Mincho"/>
          <w:sz w:val="22"/>
          <w:szCs w:val="22"/>
          <w:lang w:val="pt-PT"/>
        </w:rPr>
        <w:t xml:space="preserve">Abrantes, I., Dias, J. &amp; Rocha, F. (2004). </w:t>
      </w:r>
      <w:r w:rsidRPr="009978E3">
        <w:rPr>
          <w:rFonts w:eastAsia="MS Mincho"/>
          <w:sz w:val="22"/>
          <w:szCs w:val="22"/>
          <w:lang w:val="en-US"/>
        </w:rPr>
        <w:t xml:space="preserve">Spatial and Temporal Variability of Suspended Sediments Concentration in Ria de Aveiro Lagoon and Fluxes between the Lagoon and the Ocean. </w:t>
      </w:r>
      <w:r w:rsidRPr="009978E3">
        <w:rPr>
          <w:rFonts w:eastAsia="MS Mincho"/>
          <w:i/>
          <w:sz w:val="22"/>
          <w:szCs w:val="22"/>
          <w:lang w:val="en-US"/>
        </w:rPr>
        <w:t>Journal of Coastal Research</w:t>
      </w:r>
      <w:r w:rsidRPr="009978E3">
        <w:rPr>
          <w:rFonts w:eastAsia="MS Mincho"/>
          <w:sz w:val="22"/>
          <w:szCs w:val="22"/>
          <w:lang w:val="en-US"/>
        </w:rPr>
        <w:t xml:space="preserve">, SI 39 (Proc. 8th Intern. Coastal Symp.), 718 - 723. </w:t>
      </w:r>
      <w:r w:rsidRPr="009978E3">
        <w:rPr>
          <w:rFonts w:eastAsia="MS Mincho"/>
          <w:sz w:val="22"/>
          <w:szCs w:val="22"/>
          <w:lang w:val="nl-NL"/>
        </w:rPr>
        <w:t>Itajai, SC, Brazil, ISSN 0749-0208.</w:t>
      </w:r>
      <w:r w:rsidRPr="009978E3">
        <w:rPr>
          <w:rFonts w:eastAsia="MS Mincho"/>
          <w:sz w:val="22"/>
          <w:szCs w:val="22"/>
        </w:rPr>
        <w:t xml:space="preserve"> </w:t>
      </w:r>
    </w:p>
    <w:p w14:paraId="13DE0F05" w14:textId="77777777" w:rsidR="006B3F46" w:rsidRPr="009978E3" w:rsidRDefault="006B3F46" w:rsidP="00907941">
      <w:pPr>
        <w:autoSpaceDE w:val="0"/>
        <w:autoSpaceDN w:val="0"/>
        <w:adjustRightInd w:val="0"/>
        <w:ind w:left="720" w:hanging="720"/>
        <w:jc w:val="both"/>
        <w:rPr>
          <w:sz w:val="22"/>
          <w:szCs w:val="22"/>
          <w:lang w:eastAsia="en-GB"/>
        </w:rPr>
      </w:pPr>
      <w:r w:rsidRPr="009978E3">
        <w:rPr>
          <w:sz w:val="22"/>
          <w:szCs w:val="22"/>
          <w:lang w:eastAsia="en-GB"/>
        </w:rPr>
        <w:t xml:space="preserve">Aguilar, J.S. (1999). </w:t>
      </w:r>
      <w:r w:rsidRPr="009978E3">
        <w:rPr>
          <w:i/>
          <w:iCs/>
          <w:sz w:val="22"/>
          <w:szCs w:val="22"/>
          <w:lang w:eastAsia="en-GB"/>
        </w:rPr>
        <w:t xml:space="preserve">Species Action Plan for the Balearic Shearwater Puffinus mauretanicus in Europe. </w:t>
      </w:r>
      <w:r w:rsidRPr="009978E3">
        <w:rPr>
          <w:sz w:val="22"/>
          <w:szCs w:val="22"/>
          <w:lang w:eastAsia="en-GB"/>
        </w:rPr>
        <w:t>BirdLife International on behalf of the European Commission.</w:t>
      </w:r>
    </w:p>
    <w:p w14:paraId="48F2FE7E"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Aguilar, R., De la Torriente, A., García, A., 2009. </w:t>
      </w:r>
      <w:r w:rsidRPr="009978E3">
        <w:rPr>
          <w:rFonts w:eastAsia="MS Mincho"/>
          <w:sz w:val="22"/>
          <w:szCs w:val="22"/>
          <w:lang w:val="pt-PT"/>
        </w:rPr>
        <w:t xml:space="preserve">Propuesta de Áreas Marinas de Importancia Ecológica; Zona galaico- cantábrica. </w:t>
      </w:r>
      <w:r w:rsidRPr="009978E3">
        <w:rPr>
          <w:rFonts w:eastAsia="MS Mincho"/>
          <w:sz w:val="22"/>
          <w:szCs w:val="22"/>
          <w:lang w:val="fr-CA"/>
        </w:rPr>
        <w:t>OCEANA</w:t>
      </w:r>
    </w:p>
    <w:p w14:paraId="2D1A1326"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Aguilar, R., García S., De la Torriente A., Peñalver, J., 2009. Cetáceos del área galaico-cantábrica. Zonas de importancia para su conservación. Oceana - Obra Social Caja Madrid, 82 pág.</w:t>
      </w:r>
    </w:p>
    <w:p w14:paraId="5C5D5771"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nl-NL"/>
        </w:rPr>
        <w:t xml:space="preserve">Allen, S. &amp; Durrieu de Madron, X. (2009). </w:t>
      </w:r>
      <w:r w:rsidRPr="009978E3">
        <w:rPr>
          <w:rFonts w:eastAsia="MS Mincho"/>
          <w:sz w:val="22"/>
          <w:szCs w:val="22"/>
          <w:lang w:val="en-US"/>
        </w:rPr>
        <w:t xml:space="preserve">A review of the role of submarine canyons in deep-ocean exchange with the shelf. </w:t>
      </w:r>
      <w:r w:rsidRPr="009978E3">
        <w:rPr>
          <w:rFonts w:eastAsia="MS Mincho"/>
          <w:i/>
          <w:sz w:val="22"/>
          <w:szCs w:val="22"/>
          <w:lang w:val="pt-PT"/>
        </w:rPr>
        <w:t>Ocean Science</w:t>
      </w:r>
      <w:r w:rsidRPr="009978E3">
        <w:rPr>
          <w:rFonts w:eastAsia="MS Mincho"/>
          <w:sz w:val="22"/>
          <w:szCs w:val="22"/>
          <w:lang w:val="pt-PT"/>
        </w:rPr>
        <w:t xml:space="preserve"> 5: 607-20.</w:t>
      </w:r>
    </w:p>
    <w:p w14:paraId="03F0849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Alvarez, I., Gomez-Gesteira, M., deCastro, M. &amp; Dias, J. (2008). </w:t>
      </w:r>
      <w:r w:rsidRPr="009978E3">
        <w:rPr>
          <w:rFonts w:eastAsia="MS Mincho"/>
          <w:sz w:val="22"/>
          <w:szCs w:val="22"/>
          <w:lang w:val="en-US"/>
        </w:rPr>
        <w:t>Spatiotemporal evolution of upwelling regime along the western coast of the Iberian Peninsula</w:t>
      </w:r>
      <w:r w:rsidRPr="009978E3">
        <w:rPr>
          <w:rFonts w:eastAsia="MS Mincho"/>
          <w:i/>
          <w:sz w:val="22"/>
          <w:szCs w:val="22"/>
          <w:lang w:val="en-US"/>
        </w:rPr>
        <w:t>. Journal of Geophysical Research: Oceans</w:t>
      </w:r>
      <w:r w:rsidRPr="009978E3">
        <w:rPr>
          <w:rFonts w:eastAsia="MS Mincho"/>
          <w:sz w:val="22"/>
          <w:szCs w:val="22"/>
          <w:lang w:val="en-US"/>
        </w:rPr>
        <w:t xml:space="preserve"> 113:C07020.</w:t>
      </w:r>
    </w:p>
    <w:p w14:paraId="3D1A3B1D"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Álvarez-Salgado XA, Beloso S, Joint I, Nogueira E and others (2002) New production of the NW Iberian shelf during the upwelling season over the period 1982-1999. Deep-Sea Res I 49:1725 – 739.</w:t>
      </w:r>
    </w:p>
    <w:p w14:paraId="325AA738" w14:textId="77777777" w:rsidR="006B3F46" w:rsidRPr="009978E3" w:rsidDel="005310FD" w:rsidRDefault="006B3F46" w:rsidP="00907941">
      <w:pPr>
        <w:ind w:left="567" w:hanging="567"/>
        <w:jc w:val="both"/>
        <w:rPr>
          <w:rFonts w:eastAsia="MS Mincho"/>
          <w:sz w:val="22"/>
          <w:szCs w:val="22"/>
          <w:lang w:val="pt-PT"/>
        </w:rPr>
      </w:pPr>
      <w:r w:rsidRPr="009978E3">
        <w:rPr>
          <w:rFonts w:eastAsia="MS Mincho"/>
          <w:sz w:val="22"/>
          <w:szCs w:val="22"/>
          <w:lang w:val="en-US"/>
        </w:rPr>
        <w:t>Álvarez-Salgado, X., Figueiras, F., Pérez, F.</w:t>
      </w:r>
      <w:r w:rsidRPr="009978E3" w:rsidDel="005310FD">
        <w:rPr>
          <w:rFonts w:eastAsia="MS Mincho"/>
          <w:sz w:val="22"/>
          <w:szCs w:val="22"/>
          <w:lang w:val="en-US"/>
        </w:rPr>
        <w:t>, Groom,</w:t>
      </w:r>
      <w:r w:rsidRPr="009978E3">
        <w:rPr>
          <w:rFonts w:eastAsia="MS Mincho"/>
          <w:sz w:val="22"/>
          <w:szCs w:val="22"/>
          <w:lang w:val="en-US"/>
        </w:rPr>
        <w:t xml:space="preserve"> S., Nogueira, E., Borges, A., Chou, L., Castro, C.</w:t>
      </w:r>
      <w:r w:rsidRPr="009978E3" w:rsidDel="005310FD">
        <w:rPr>
          <w:rFonts w:eastAsia="MS Mincho"/>
          <w:sz w:val="22"/>
          <w:szCs w:val="22"/>
          <w:lang w:val="en-US"/>
        </w:rPr>
        <w:t>, Mo</w:t>
      </w:r>
      <w:r w:rsidRPr="009978E3">
        <w:rPr>
          <w:rFonts w:eastAsia="MS Mincho"/>
          <w:sz w:val="22"/>
          <w:szCs w:val="22"/>
          <w:lang w:val="en-US"/>
        </w:rPr>
        <w:t>ncoiffé, G., Ríos, A., Miller, A.</w:t>
      </w:r>
      <w:r w:rsidRPr="009978E3" w:rsidDel="005310FD">
        <w:rPr>
          <w:rFonts w:eastAsia="MS Mincho"/>
          <w:sz w:val="22"/>
          <w:szCs w:val="22"/>
          <w:lang w:val="en-US"/>
        </w:rPr>
        <w:t xml:space="preserve">, Frankignoulle, M., Savidge, G. </w:t>
      </w:r>
      <w:r w:rsidRPr="009978E3">
        <w:rPr>
          <w:rFonts w:eastAsia="MS Mincho"/>
          <w:sz w:val="22"/>
          <w:szCs w:val="22"/>
          <w:lang w:val="en-US"/>
        </w:rPr>
        <w:t>&amp; Wollast, R. (</w:t>
      </w:r>
      <w:r w:rsidRPr="009978E3" w:rsidDel="005310FD">
        <w:rPr>
          <w:rFonts w:eastAsia="MS Mincho"/>
          <w:sz w:val="22"/>
          <w:szCs w:val="22"/>
          <w:lang w:val="en-US"/>
        </w:rPr>
        <w:t xml:space="preserve">2003) The Portugal coastal counter current off NW Spain: new insights on its biogeochemical variability. </w:t>
      </w:r>
      <w:r w:rsidRPr="009978E3" w:rsidDel="005310FD">
        <w:rPr>
          <w:rFonts w:eastAsia="MS Mincho"/>
          <w:i/>
          <w:sz w:val="22"/>
          <w:szCs w:val="22"/>
          <w:lang w:val="pt-PT"/>
        </w:rPr>
        <w:t>Progress in Oceanography</w:t>
      </w:r>
      <w:r w:rsidRPr="009978E3">
        <w:rPr>
          <w:rFonts w:eastAsia="MS Mincho"/>
          <w:sz w:val="22"/>
          <w:szCs w:val="22"/>
          <w:lang w:val="pt-PT"/>
        </w:rPr>
        <w:t xml:space="preserve"> 56:</w:t>
      </w:r>
      <w:r w:rsidRPr="009978E3" w:rsidDel="005310FD">
        <w:rPr>
          <w:rFonts w:eastAsia="MS Mincho"/>
          <w:sz w:val="22"/>
          <w:szCs w:val="22"/>
          <w:lang w:val="pt-PT"/>
        </w:rPr>
        <w:t xml:space="preserve"> 281-321.</w:t>
      </w:r>
    </w:p>
    <w:p w14:paraId="5ACDE77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Álvarez-Salgado, X.A., beloso, S., Joint, I., Nogueira, E., Chou, L., Pérez, F.F., Groom, S., Cabanas, J.M., Rees, A.P., Elskens, M., 2002. </w:t>
      </w:r>
      <w:r w:rsidRPr="009978E3">
        <w:rPr>
          <w:rFonts w:eastAsia="MS Mincho"/>
          <w:sz w:val="22"/>
          <w:szCs w:val="22"/>
          <w:lang w:val="en-US"/>
        </w:rPr>
        <w:t>New production of the NW Iberian shelf during the upwelling season over the period 1982- 1999.</w:t>
      </w:r>
    </w:p>
    <w:p w14:paraId="283564B9"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Alves, T., Gawthorpe, R., Hunt, D. &amp; Monteiro, J. (2003). Cenozoic Tectono-Sedimentary Evolution of the Western Iberian Margin. </w:t>
      </w:r>
      <w:r w:rsidRPr="009978E3">
        <w:rPr>
          <w:rFonts w:eastAsia="MS Mincho"/>
          <w:i/>
          <w:sz w:val="22"/>
          <w:szCs w:val="22"/>
          <w:lang w:val="pt-PT"/>
        </w:rPr>
        <w:t>Marine Geology</w:t>
      </w:r>
      <w:r w:rsidRPr="009978E3">
        <w:rPr>
          <w:rFonts w:eastAsia="MS Mincho"/>
          <w:sz w:val="22"/>
          <w:szCs w:val="22"/>
          <w:lang w:val="pt-PT"/>
        </w:rPr>
        <w:t xml:space="preserve"> 195(1–4): 75–108.</w:t>
      </w:r>
    </w:p>
    <w:p w14:paraId="2365D24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Alves, T., Moita, C., Sandnes, F., Cunha, T., Monteiro, J. &amp; Pinheiro, L. (2006). </w:t>
      </w:r>
      <w:r w:rsidRPr="009978E3">
        <w:rPr>
          <w:rFonts w:eastAsia="MS Mincho"/>
          <w:sz w:val="22"/>
          <w:szCs w:val="22"/>
          <w:lang w:val="en-US"/>
        </w:rPr>
        <w:t xml:space="preserve">Mesozoic-Cenozoic evolution of North Atlantic continental-slope basins: The Peniche basin, western Iberian margin. </w:t>
      </w:r>
      <w:r w:rsidRPr="009978E3">
        <w:rPr>
          <w:rFonts w:eastAsia="MS Mincho"/>
          <w:i/>
          <w:sz w:val="22"/>
          <w:szCs w:val="22"/>
          <w:lang w:val="en-US"/>
        </w:rPr>
        <w:t>AAPG Bulletin</w:t>
      </w:r>
      <w:r w:rsidRPr="009978E3">
        <w:rPr>
          <w:rFonts w:eastAsia="MS Mincho"/>
          <w:sz w:val="22"/>
          <w:szCs w:val="22"/>
          <w:lang w:val="en-US"/>
        </w:rPr>
        <w:t xml:space="preserve"> 90(1): 31–60.</w:t>
      </w:r>
    </w:p>
    <w:p w14:paraId="14414CD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Amaro, T., Huvenne, V., Allcock, A., Aslam, T., Davies, J., Danovaro, R., De Stigter, H., Duineveld, G., Gambi, C., Gooday, A., Gunton, L., Hall, R., Howell, K., Ingels, J., Kiriakoulakis, K., Kershaw, C., Lavaleye, M., Robert, K., Stewart, H., Van Rooij, D., White, M. &amp; Wilson, A. (2016). The Whittard Canyon– A case study of submarine canyon processes. </w:t>
      </w:r>
      <w:r w:rsidRPr="009978E3">
        <w:rPr>
          <w:rFonts w:eastAsia="MS Mincho"/>
          <w:i/>
          <w:sz w:val="22"/>
          <w:szCs w:val="22"/>
          <w:lang w:val="en-US"/>
        </w:rPr>
        <w:t>Progress in Oceanography</w:t>
      </w:r>
      <w:r w:rsidRPr="009978E3">
        <w:rPr>
          <w:rFonts w:eastAsia="MS Mincho"/>
          <w:sz w:val="22"/>
          <w:szCs w:val="22"/>
          <w:lang w:val="en-US"/>
        </w:rPr>
        <w:t xml:space="preserve"> 146: 38–57.</w:t>
      </w:r>
    </w:p>
    <w:p w14:paraId="282E3D9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Amaro, T., Witte, H., Herndl, G. J., Cunha, M. R., &amp; Billett, D. S. M. (2009). Deep-sea bacterial communities in sediments and guts of deposit-feeding holothurians in Portuguese canyons (NE Atlantic). </w:t>
      </w:r>
      <w:r w:rsidRPr="009978E3">
        <w:rPr>
          <w:rFonts w:eastAsia="MS Mincho"/>
          <w:i/>
          <w:sz w:val="22"/>
          <w:szCs w:val="22"/>
          <w:lang w:val="en-US"/>
        </w:rPr>
        <w:t>Deep-Sea Research Part I: Oceanographic Research Papers</w:t>
      </w:r>
      <w:r w:rsidRPr="009978E3">
        <w:rPr>
          <w:rFonts w:eastAsia="MS Mincho"/>
          <w:sz w:val="22"/>
          <w:szCs w:val="22"/>
          <w:lang w:val="en-US"/>
        </w:rPr>
        <w:t xml:space="preserve"> 56(10): 1834–1843.</w:t>
      </w:r>
    </w:p>
    <w:p w14:paraId="10FD56A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Ambar, I., Armi, L., Bower, A., &amp; Ferreira, T. (1999). Some aspects of time variability of the Mediterranean Water off south Portugal. </w:t>
      </w:r>
      <w:r w:rsidRPr="009978E3">
        <w:rPr>
          <w:rFonts w:eastAsia="MS Mincho"/>
          <w:i/>
          <w:sz w:val="22"/>
          <w:szCs w:val="22"/>
          <w:lang w:val="en-US"/>
        </w:rPr>
        <w:t>Deep Sea Research Part I: Oceanographic Research Papers</w:t>
      </w:r>
      <w:r w:rsidRPr="009978E3">
        <w:rPr>
          <w:rFonts w:eastAsia="MS Mincho"/>
          <w:sz w:val="22"/>
          <w:szCs w:val="22"/>
          <w:lang w:val="en-US"/>
        </w:rPr>
        <w:t xml:space="preserve"> 46(7): 1109-1136.</w:t>
      </w:r>
    </w:p>
    <w:p w14:paraId="61F2BA4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Ambar, I., Serra, N., Neves, F. &amp; Ferreira, T. (2008). Observations of the Mediterranean Undercurrent and eddies in the Gulf of Cadiz during 2001</w:t>
      </w:r>
      <w:r w:rsidRPr="009978E3">
        <w:rPr>
          <w:rFonts w:eastAsia="MS Mincho"/>
          <w:i/>
          <w:sz w:val="22"/>
          <w:szCs w:val="22"/>
          <w:lang w:val="en-US"/>
        </w:rPr>
        <w:t>. Journal of Marine Systems</w:t>
      </w:r>
      <w:r w:rsidRPr="009978E3">
        <w:rPr>
          <w:rFonts w:eastAsia="MS Mincho"/>
          <w:sz w:val="22"/>
          <w:szCs w:val="22"/>
          <w:lang w:val="en-US"/>
        </w:rPr>
        <w:t xml:space="preserve"> 71(1–2): 195–220.</w:t>
      </w:r>
    </w:p>
    <w:p w14:paraId="37E14608" w14:textId="77777777" w:rsidR="006B3F46" w:rsidRPr="009978E3" w:rsidRDefault="006B3F46" w:rsidP="00907941">
      <w:pPr>
        <w:autoSpaceDE w:val="0"/>
        <w:autoSpaceDN w:val="0"/>
        <w:adjustRightInd w:val="0"/>
        <w:ind w:left="720" w:hanging="720"/>
        <w:jc w:val="both"/>
        <w:rPr>
          <w:sz w:val="22"/>
          <w:szCs w:val="22"/>
          <w:lang w:val="pt-PT" w:eastAsia="en-GB"/>
        </w:rPr>
      </w:pPr>
      <w:r w:rsidRPr="009978E3">
        <w:rPr>
          <w:sz w:val="22"/>
          <w:szCs w:val="22"/>
          <w:lang w:val="en-US" w:eastAsia="en-GB"/>
        </w:rPr>
        <w:t xml:space="preserve">Arcos, J.M. and Oro, D. (2004) Pardela Balear </w:t>
      </w:r>
      <w:r w:rsidRPr="009978E3">
        <w:rPr>
          <w:i/>
          <w:iCs/>
          <w:sz w:val="22"/>
          <w:szCs w:val="22"/>
          <w:lang w:val="en-US" w:eastAsia="en-GB"/>
        </w:rPr>
        <w:t>Puffinus mauretanicus</w:t>
      </w:r>
      <w:r w:rsidRPr="009978E3">
        <w:rPr>
          <w:sz w:val="22"/>
          <w:szCs w:val="22"/>
          <w:lang w:val="en-US" w:eastAsia="en-GB"/>
        </w:rPr>
        <w:t xml:space="preserve">. </w:t>
      </w:r>
      <w:r w:rsidRPr="009978E3">
        <w:rPr>
          <w:sz w:val="22"/>
          <w:szCs w:val="22"/>
          <w:lang w:eastAsia="en-GB"/>
        </w:rPr>
        <w:t xml:space="preserve">Pp. 46–50 </w:t>
      </w:r>
      <w:r w:rsidRPr="009978E3">
        <w:rPr>
          <w:i/>
          <w:iCs/>
          <w:sz w:val="22"/>
          <w:szCs w:val="22"/>
          <w:lang w:eastAsia="en-GB"/>
        </w:rPr>
        <w:t xml:space="preserve">in: </w:t>
      </w:r>
      <w:r w:rsidRPr="009978E3">
        <w:rPr>
          <w:sz w:val="22"/>
          <w:szCs w:val="22"/>
          <w:lang w:eastAsia="en-GB"/>
        </w:rPr>
        <w:t xml:space="preserve">Madroño, A., González, C., and Atienza, J.C. (eds.) </w:t>
      </w:r>
      <w:r w:rsidRPr="009978E3">
        <w:rPr>
          <w:i/>
          <w:iCs/>
          <w:sz w:val="22"/>
          <w:szCs w:val="22"/>
          <w:lang w:val="pt-PT" w:eastAsia="en-GB"/>
        </w:rPr>
        <w:t xml:space="preserve">Libro Rojo de las Aves de España. </w:t>
      </w:r>
      <w:r w:rsidRPr="009978E3">
        <w:rPr>
          <w:sz w:val="22"/>
          <w:szCs w:val="22"/>
          <w:lang w:val="pt-PT" w:eastAsia="en-GB"/>
        </w:rPr>
        <w:t>Madrid, Spain: Dirección General para la Biodiversidad – SEO/BirdLife.</w:t>
      </w:r>
    </w:p>
    <w:p w14:paraId="58486DA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Arzola, R., Wynn, R., Lastras, G., Masson, D. &amp; Weaver, P. (2008). Sedimentary features and processes in the Nazaré and Setúbal submarine canyons, west Iberian margin. </w:t>
      </w:r>
      <w:r w:rsidRPr="009978E3">
        <w:rPr>
          <w:rFonts w:eastAsia="MS Mincho"/>
          <w:i/>
          <w:sz w:val="22"/>
          <w:szCs w:val="22"/>
          <w:lang w:val="en-US"/>
        </w:rPr>
        <w:t>Marine Geology</w:t>
      </w:r>
      <w:r w:rsidRPr="009978E3">
        <w:rPr>
          <w:rFonts w:eastAsia="MS Mincho"/>
          <w:sz w:val="22"/>
          <w:szCs w:val="22"/>
          <w:lang w:val="en-US"/>
        </w:rPr>
        <w:t xml:space="preserve"> 250: 64–88.</w:t>
      </w:r>
    </w:p>
    <w:p w14:paraId="6DA2B9B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Azevêdo, T. &amp; Nunes, E. (2010). The Evolution of the Coastline at Peniche and the Berlengas Islands (Portugal) - State of the Art. </w:t>
      </w:r>
      <w:r w:rsidRPr="009978E3">
        <w:rPr>
          <w:rFonts w:eastAsia="MS Mincho"/>
          <w:i/>
          <w:sz w:val="22"/>
          <w:szCs w:val="22"/>
          <w:lang w:val="en-US"/>
        </w:rPr>
        <w:t>The Egyptian Journal of Environmental Change</w:t>
      </w:r>
      <w:r w:rsidRPr="009978E3">
        <w:rPr>
          <w:rFonts w:eastAsia="MS Mincho"/>
          <w:sz w:val="22"/>
          <w:szCs w:val="22"/>
          <w:lang w:val="en-US"/>
        </w:rPr>
        <w:t xml:space="preserve"> 2(1): 13–23.</w:t>
      </w:r>
    </w:p>
    <w:p w14:paraId="16BA8CF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Baker, E. (1976). Distribution, composition, and transport of suspended particulate matter in the vicinity of Willapa submarine canyon, Washington. </w:t>
      </w:r>
      <w:r w:rsidRPr="009978E3">
        <w:rPr>
          <w:rFonts w:eastAsia="MS Mincho"/>
          <w:i/>
          <w:sz w:val="22"/>
          <w:szCs w:val="22"/>
          <w:lang w:val="en-US"/>
        </w:rPr>
        <w:t>Geological Society of America Bulletin</w:t>
      </w:r>
      <w:r w:rsidRPr="009978E3">
        <w:rPr>
          <w:rFonts w:eastAsia="MS Mincho"/>
          <w:sz w:val="22"/>
          <w:szCs w:val="22"/>
          <w:lang w:val="en-US"/>
        </w:rPr>
        <w:t xml:space="preserve"> 87(4): 625-632.</w:t>
      </w:r>
    </w:p>
    <w:p w14:paraId="0DBF060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Baker, K., Wareham, V., Snelgrove, P., Haedrich, R., Fifield, D., Edinger, E. &amp; Gilkinson, K. (2011). Distributional patterns of deep-sea coral assemblages in three submarine canyons off Newfoundland, Canada. </w:t>
      </w:r>
      <w:r w:rsidRPr="009978E3">
        <w:rPr>
          <w:rFonts w:eastAsia="MS Mincho"/>
          <w:i/>
          <w:sz w:val="22"/>
          <w:szCs w:val="22"/>
          <w:lang w:val="en-US"/>
        </w:rPr>
        <w:t>Marine Ecology Progress Series</w:t>
      </w:r>
      <w:r w:rsidRPr="009978E3">
        <w:rPr>
          <w:rFonts w:eastAsia="MS Mincho"/>
          <w:sz w:val="22"/>
          <w:szCs w:val="22"/>
          <w:lang w:val="en-US"/>
        </w:rPr>
        <w:t xml:space="preserve"> 445: 235–249. </w:t>
      </w:r>
    </w:p>
    <w:p w14:paraId="7455E3CC"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Bakun, A., Nelson, C.S., 1991. The seasonal cycle of wind-stress curl in subtropical eastern boundary current regions. </w:t>
      </w:r>
      <w:r w:rsidRPr="009978E3">
        <w:rPr>
          <w:rFonts w:eastAsia="MS Mincho"/>
          <w:sz w:val="22"/>
          <w:szCs w:val="22"/>
          <w:lang w:val="pt-PT"/>
        </w:rPr>
        <w:t>Journal of Physical Oceanography, 21, 1815- 1834.</w:t>
      </w:r>
    </w:p>
    <w:p w14:paraId="1E10F2FC"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Balseiro, C.F., Carracedo, P., Gómez, B., Leita˜oP.C., Montero, P., Naranjo, L., Penabad, E., Pérez-Mun˜uzuri, V., 2003. Tracking the Prestige oil spill: An operational experience in simulation at MeteoGalicia. Weather Vol. 58.</w:t>
      </w:r>
    </w:p>
    <w:p w14:paraId="0B467A5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Bañón R., J.C. Arronte, A. Serrano &amp; F. Sánchez, 2011. First records of Purplemouthed conger Pseudophichthys splendens (Anguilliformes: Congridae) from the Galicia Bank (NW Spain). A northward range extension of their distribution in the eastern Atlantic. Cybium, 35(3): 262-264.</w:t>
      </w:r>
    </w:p>
    <w:p w14:paraId="29D0892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Barberá C</w:t>
      </w:r>
      <w:r>
        <w:rPr>
          <w:rFonts w:eastAsia="MS Mincho"/>
          <w:sz w:val="22"/>
          <w:szCs w:val="22"/>
          <w:lang w:val="en-US"/>
        </w:rPr>
        <w:t>.</w:t>
      </w:r>
      <w:r w:rsidRPr="009978E3">
        <w:rPr>
          <w:rFonts w:eastAsia="MS Mincho"/>
          <w:sz w:val="22"/>
          <w:szCs w:val="22"/>
          <w:lang w:val="en-US"/>
        </w:rPr>
        <w:t>, Bordehore C</w:t>
      </w:r>
      <w:r>
        <w:rPr>
          <w:rFonts w:eastAsia="MS Mincho"/>
          <w:sz w:val="22"/>
          <w:szCs w:val="22"/>
          <w:lang w:val="en-US"/>
        </w:rPr>
        <w:t>.</w:t>
      </w:r>
      <w:r w:rsidRPr="009978E3">
        <w:rPr>
          <w:rFonts w:eastAsia="MS Mincho"/>
          <w:sz w:val="22"/>
          <w:szCs w:val="22"/>
          <w:lang w:val="en-US"/>
        </w:rPr>
        <w:t>, Borg J</w:t>
      </w:r>
      <w:r>
        <w:rPr>
          <w:rFonts w:eastAsia="MS Mincho"/>
          <w:sz w:val="22"/>
          <w:szCs w:val="22"/>
          <w:lang w:val="en-US"/>
        </w:rPr>
        <w:t>.</w:t>
      </w:r>
      <w:r w:rsidRPr="009978E3">
        <w:rPr>
          <w:rFonts w:eastAsia="MS Mincho"/>
          <w:sz w:val="22"/>
          <w:szCs w:val="22"/>
          <w:lang w:val="en-US"/>
        </w:rPr>
        <w:t>A</w:t>
      </w:r>
      <w:r>
        <w:rPr>
          <w:rFonts w:eastAsia="MS Mincho"/>
          <w:sz w:val="22"/>
          <w:szCs w:val="22"/>
          <w:lang w:val="en-US"/>
        </w:rPr>
        <w:t>.</w:t>
      </w:r>
      <w:r w:rsidRPr="009978E3">
        <w:rPr>
          <w:rFonts w:eastAsia="MS Mincho"/>
          <w:sz w:val="22"/>
          <w:szCs w:val="22"/>
          <w:lang w:val="en-US"/>
        </w:rPr>
        <w:t>, Glémarec M,, Grall J,, Hall-Spencer J.M., De la Huz C.H., Lanfranco E., Lastra M., Moore P.G., Mora J., Pita M.E., Ramos-Esplá A.A., Rizzo M., Sánchez-Mata A., Seva A., Schembri P.J. &amp; C. Valle (2003).  Conservation and management of northeast Atlantic and Mediterranean maërl beds. Aquatic Conservation: Marine and Freshwater Ecosystems 13: 65-76.</w:t>
      </w:r>
    </w:p>
    <w:p w14:paraId="4029F7A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Berner, R. (1982). Burial of organic carbon and pyrite Sulphur in the modern ocean; its geological and environmental significance. </w:t>
      </w:r>
      <w:r w:rsidRPr="009978E3">
        <w:rPr>
          <w:rFonts w:eastAsia="MS Mincho"/>
          <w:i/>
          <w:sz w:val="22"/>
          <w:szCs w:val="22"/>
          <w:lang w:val="en-US"/>
        </w:rPr>
        <w:t>American Journal of Science</w:t>
      </w:r>
      <w:r w:rsidRPr="009978E3">
        <w:rPr>
          <w:rFonts w:eastAsia="MS Mincho"/>
          <w:sz w:val="22"/>
          <w:szCs w:val="22"/>
          <w:lang w:val="en-US"/>
        </w:rPr>
        <w:t xml:space="preserve"> 282: 451–473.</w:t>
      </w:r>
    </w:p>
    <w:p w14:paraId="250DB54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Bianchelli, S., Gambi, C., Zeppilli, D., Danovaro, R., 2010. Metazoan meiofauna in deep-sea canyons and adjacent open slopes: A large-scale comparison with focus on the rare taxa. </w:t>
      </w:r>
      <w:r w:rsidRPr="009978E3">
        <w:rPr>
          <w:rFonts w:eastAsia="MS Mincho"/>
          <w:i/>
          <w:sz w:val="22"/>
          <w:szCs w:val="22"/>
          <w:lang w:val="en-US"/>
        </w:rPr>
        <w:t>Deep-Sea Research Part I: Oceanographic Research Papers</w:t>
      </w:r>
      <w:r w:rsidRPr="009978E3">
        <w:rPr>
          <w:rFonts w:eastAsia="MS Mincho"/>
          <w:sz w:val="22"/>
          <w:szCs w:val="22"/>
          <w:lang w:val="en-US"/>
        </w:rPr>
        <w:t xml:space="preserve"> 57: 420-433.</w:t>
      </w:r>
    </w:p>
    <w:p w14:paraId="19EF4952" w14:textId="77777777" w:rsidR="006B3F46" w:rsidRPr="009978E3" w:rsidRDefault="006B3F46" w:rsidP="00907941">
      <w:pPr>
        <w:ind w:left="567" w:hanging="567"/>
        <w:jc w:val="both"/>
        <w:rPr>
          <w:color w:val="333333"/>
          <w:sz w:val="22"/>
          <w:szCs w:val="22"/>
          <w:shd w:val="clear" w:color="auto" w:fill="FFFFFF"/>
        </w:rPr>
      </w:pPr>
      <w:r w:rsidRPr="009978E3">
        <w:rPr>
          <w:color w:val="333333"/>
          <w:sz w:val="22"/>
          <w:szCs w:val="22"/>
          <w:shd w:val="clear" w:color="auto" w:fill="FFFFFF"/>
        </w:rPr>
        <w:t>BirdLife International (2019) Important Bird Areas factsheet: Berlengas. Downloaded from http://www.birdlife.org on 25/09/2019</w:t>
      </w:r>
    </w:p>
    <w:p w14:paraId="0BDC85F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Boavida, J., Assis, J., Silva, I. &amp; Serrão, E. (2016). Overlooked habitat of a vulnerable gorgonian revealed in the Mediterranean and Eastern Atlantic by ecological niche modelling. </w:t>
      </w:r>
      <w:r w:rsidRPr="009978E3">
        <w:rPr>
          <w:rFonts w:eastAsia="MS Mincho"/>
          <w:i/>
          <w:sz w:val="22"/>
          <w:szCs w:val="22"/>
          <w:lang w:val="en-US"/>
        </w:rPr>
        <w:t>Scientific reports</w:t>
      </w:r>
      <w:r w:rsidRPr="009978E3">
        <w:rPr>
          <w:rFonts w:eastAsia="MS Mincho"/>
          <w:sz w:val="22"/>
          <w:szCs w:val="22"/>
          <w:lang w:val="en-US"/>
        </w:rPr>
        <w:t xml:space="preserve"> 6: 36460.</w:t>
      </w:r>
    </w:p>
    <w:p w14:paraId="260B160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Boehlert, G. &amp; Mundy, B. (1993). Ichthyoplankton assemblages at seamounts and oceanic islands. </w:t>
      </w:r>
      <w:r w:rsidRPr="009978E3">
        <w:rPr>
          <w:rFonts w:eastAsia="MS Mincho"/>
          <w:i/>
          <w:sz w:val="22"/>
          <w:szCs w:val="22"/>
          <w:lang w:val="en-US"/>
        </w:rPr>
        <w:t>Bulletin of Marine Science</w:t>
      </w:r>
      <w:r w:rsidRPr="009978E3">
        <w:rPr>
          <w:rFonts w:eastAsia="MS Mincho"/>
          <w:sz w:val="22"/>
          <w:szCs w:val="22"/>
          <w:lang w:val="en-US"/>
        </w:rPr>
        <w:t xml:space="preserve"> 53(2): 336-361.</w:t>
      </w:r>
    </w:p>
    <w:p w14:paraId="12594CE9"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Boehlert, G. &amp; Sasaki, T. (1988) Pelagic biogeography of the armourhead, Pseudopentaceros wheeleri, and recruitment to isolated seamounts in the North Pacific Ocean. </w:t>
      </w:r>
      <w:r w:rsidRPr="009978E3">
        <w:rPr>
          <w:rFonts w:eastAsia="MS Mincho"/>
          <w:i/>
          <w:sz w:val="22"/>
          <w:szCs w:val="22"/>
          <w:lang w:val="pt-PT"/>
        </w:rPr>
        <w:t>Fishery Bulletin US</w:t>
      </w:r>
      <w:r w:rsidRPr="009978E3">
        <w:rPr>
          <w:rFonts w:eastAsia="MS Mincho"/>
          <w:sz w:val="22"/>
          <w:szCs w:val="22"/>
          <w:lang w:val="pt-PT"/>
        </w:rPr>
        <w:t xml:space="preserve"> 86: 453-465.</w:t>
      </w:r>
    </w:p>
    <w:p w14:paraId="06E840DE"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Borges T., Costa M., Erzini K., Gonçalves I., Malaquias M., Olim S., Pais C., Ramos J, Santos J. &amp; Sendão J. (2001) </w:t>
      </w:r>
      <w:r w:rsidRPr="009978E3">
        <w:rPr>
          <w:rFonts w:eastAsia="MS Mincho"/>
          <w:i/>
          <w:sz w:val="22"/>
          <w:szCs w:val="22"/>
          <w:lang w:val="pt-PT"/>
        </w:rPr>
        <w:t>Análise e avaliação do efeito do arrasto nas espécies demersais da costa do Algarve: quantificação e estudos bioecológicos</w:t>
      </w:r>
      <w:r w:rsidRPr="009978E3">
        <w:rPr>
          <w:rFonts w:eastAsia="MS Mincho"/>
          <w:sz w:val="22"/>
          <w:szCs w:val="22"/>
          <w:lang w:val="pt-PT"/>
        </w:rPr>
        <w:t xml:space="preserve"> (REG 21). Relatório final: INTERREGII. Project No. 21/REG II/6/96. Fundação para a Ciência e Tecnologia, Portugal 325 pp.</w:t>
      </w:r>
    </w:p>
    <w:p w14:paraId="170D3D4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Bosley, K., Lavelle, J., Brodeur, R., Wakefield, W., Emmett, R., Baker, E. &amp; Rehmke, K. (2004). Biological and physical processes in and around Astoria submarine Canyon, Oregort, USA. </w:t>
      </w:r>
      <w:r w:rsidRPr="009978E3">
        <w:rPr>
          <w:rFonts w:eastAsia="MS Mincho"/>
          <w:i/>
          <w:sz w:val="22"/>
          <w:szCs w:val="22"/>
          <w:lang w:val="en-US"/>
        </w:rPr>
        <w:t>Journal of Marine Systems</w:t>
      </w:r>
      <w:r w:rsidRPr="009978E3">
        <w:rPr>
          <w:rFonts w:eastAsia="MS Mincho"/>
          <w:sz w:val="22"/>
          <w:szCs w:val="22"/>
          <w:lang w:val="en-US"/>
        </w:rPr>
        <w:t xml:space="preserve"> 50: 21-37.</w:t>
      </w:r>
    </w:p>
    <w:p w14:paraId="71F54C5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Bourillet, J., Zaragosi, S. &amp; Mulder, T. (2006). The French Atlantic margin and deep-sea submarine systems. </w:t>
      </w:r>
      <w:r w:rsidRPr="009978E3">
        <w:rPr>
          <w:rFonts w:eastAsia="MS Mincho"/>
          <w:i/>
          <w:sz w:val="22"/>
          <w:szCs w:val="22"/>
          <w:lang w:val="en-US"/>
        </w:rPr>
        <w:t>Geo-Marine Letters</w:t>
      </w:r>
      <w:r w:rsidRPr="009978E3">
        <w:rPr>
          <w:rFonts w:eastAsia="MS Mincho"/>
          <w:sz w:val="22"/>
          <w:szCs w:val="22"/>
          <w:lang w:val="en-US"/>
        </w:rPr>
        <w:t xml:space="preserve"> 26(6): 311-315.</w:t>
      </w:r>
    </w:p>
    <w:p w14:paraId="6A7FC87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Bower, A., Le Cann, B., Rossby, T., Zenk, W., Gould, J., Speer, K., Richardson, P., Prater, M. &amp; Zhang, H. (2002). Directly measured mid-depth circulation in the northeastern North Atlantic Ocean. </w:t>
      </w:r>
      <w:r w:rsidRPr="009978E3">
        <w:rPr>
          <w:rFonts w:eastAsia="MS Mincho"/>
          <w:i/>
          <w:sz w:val="22"/>
          <w:szCs w:val="22"/>
          <w:lang w:val="en-US"/>
        </w:rPr>
        <w:t>Nature</w:t>
      </w:r>
      <w:r w:rsidRPr="009978E3">
        <w:rPr>
          <w:rFonts w:eastAsia="MS Mincho"/>
          <w:sz w:val="22"/>
          <w:szCs w:val="22"/>
          <w:lang w:val="en-US"/>
        </w:rPr>
        <w:t xml:space="preserve"> 419: 603 – 607.</w:t>
      </w:r>
    </w:p>
    <w:p w14:paraId="4339F25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Brandt, A., Gooday, A., Brandão, S., Brix, S., Brökeland, W., Cedhagen, T., Choudhury, M., Cornelius, N., Danis, B., Mesel, I., Diaz, R., Gillan, D., Ebbe, B., Howe, J., Janussen, D., Kaiser, S., Linse, K., Malyutina, M., Pawlowski, J., Raupach M. &amp; Vanreusel A. (2007) First insights into the biodiversity and biogeography of the Southern Ocean deep sea. </w:t>
      </w:r>
      <w:r w:rsidRPr="009978E3">
        <w:rPr>
          <w:rFonts w:eastAsia="MS Mincho"/>
          <w:i/>
          <w:sz w:val="22"/>
          <w:szCs w:val="22"/>
          <w:lang w:val="en-US"/>
        </w:rPr>
        <w:t>Nature</w:t>
      </w:r>
      <w:r w:rsidRPr="009978E3">
        <w:rPr>
          <w:rFonts w:eastAsia="MS Mincho"/>
          <w:sz w:val="22"/>
          <w:szCs w:val="22"/>
          <w:lang w:val="en-US"/>
        </w:rPr>
        <w:t xml:space="preserve"> 447: 307–311.</w:t>
      </w:r>
    </w:p>
    <w:p w14:paraId="2113CD07"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Brodeur, R. (2001). Habitat-specific distribution of Pacific ocean perch (Sebastes alutus) in Pribilof Canyon, Bering Sea</w:t>
      </w:r>
      <w:r w:rsidRPr="009978E3">
        <w:rPr>
          <w:rFonts w:eastAsia="MS Mincho"/>
          <w:i/>
          <w:sz w:val="22"/>
          <w:szCs w:val="22"/>
          <w:lang w:val="en-US"/>
        </w:rPr>
        <w:t xml:space="preserve">. </w:t>
      </w:r>
      <w:r w:rsidRPr="009978E3">
        <w:rPr>
          <w:rFonts w:eastAsia="MS Mincho"/>
          <w:i/>
          <w:sz w:val="22"/>
          <w:szCs w:val="22"/>
          <w:lang w:val="pt-PT"/>
        </w:rPr>
        <w:t>Continental Shelf Research</w:t>
      </w:r>
      <w:r w:rsidRPr="009978E3">
        <w:rPr>
          <w:rFonts w:eastAsia="MS Mincho"/>
          <w:sz w:val="22"/>
          <w:szCs w:val="22"/>
          <w:lang w:val="pt-PT"/>
        </w:rPr>
        <w:t xml:space="preserve"> 21: 207–224.</w:t>
      </w:r>
    </w:p>
    <w:p w14:paraId="0FAD46F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Bruno, M., Vazquez, A., Gomez-Enri, J., Vargas, J., Garcia Lafuente, J., Ruiz-Canavate, A., Mariscal, L. &amp; Vidal, J. (2006). </w:t>
      </w:r>
      <w:r w:rsidRPr="009978E3">
        <w:rPr>
          <w:rFonts w:eastAsia="MS Mincho"/>
          <w:sz w:val="22"/>
          <w:szCs w:val="22"/>
          <w:lang w:val="en-US"/>
        </w:rPr>
        <w:t xml:space="preserve">Observations of internal waves and associated mixing phenomena in the Portimão Canyon area.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53(11-13): 1219–1240.</w:t>
      </w:r>
    </w:p>
    <w:p w14:paraId="0587EE7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Buhl-Mortensen, L., Vanreusel, A., Gooday, A., Levin, L., Priede, I., Buhl-Mortensen, P., Gheerardyn, H., King, N. &amp; Raes, M. (2010). Biological structures as a source of habitat heterogeneity and biodiversity on the deep ocean margins. </w:t>
      </w:r>
      <w:r w:rsidRPr="009978E3">
        <w:rPr>
          <w:rFonts w:eastAsia="MS Mincho"/>
          <w:i/>
          <w:sz w:val="22"/>
          <w:szCs w:val="22"/>
          <w:lang w:val="en-US"/>
        </w:rPr>
        <w:t>Marine Ecology</w:t>
      </w:r>
      <w:r w:rsidRPr="009978E3">
        <w:rPr>
          <w:rFonts w:eastAsia="MS Mincho"/>
          <w:sz w:val="22"/>
          <w:szCs w:val="22"/>
          <w:lang w:val="en-US"/>
        </w:rPr>
        <w:t xml:space="preserve"> 31(1): 21-50.</w:t>
      </w:r>
    </w:p>
    <w:p w14:paraId="4AD2F276"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Campos, M. J., and N. Gonzales, Phytoplankton in relation with nutrient concentrations in the ria de Arosa, in Proceedings of the 10th European Symposium on Marine Biology, Ostende, Belgium, Sept. 17-23, vol. 2, pp. 111-125, 1975.</w:t>
      </w:r>
    </w:p>
    <w:p w14:paraId="19AC866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Cañadas, A., Sagarminaga, R. &amp; Garcıa-Tiscar, S. (2002) Cetacean distribution related with depth and slope in the Mediterranean waters off southern Spain. </w:t>
      </w:r>
      <w:r w:rsidRPr="009978E3">
        <w:rPr>
          <w:rFonts w:eastAsia="MS Mincho"/>
          <w:i/>
          <w:sz w:val="22"/>
          <w:szCs w:val="22"/>
          <w:lang w:val="en-US"/>
        </w:rPr>
        <w:t>Deep Sea Research Part I: Oceanographic Research Papers</w:t>
      </w:r>
      <w:r w:rsidRPr="009978E3">
        <w:rPr>
          <w:rFonts w:eastAsia="MS Mincho"/>
          <w:sz w:val="22"/>
          <w:szCs w:val="22"/>
          <w:lang w:val="en-US"/>
        </w:rPr>
        <w:t xml:space="preserve"> 49(11): 2053-2073.</w:t>
      </w:r>
    </w:p>
    <w:p w14:paraId="0AAD596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Canals, M., Danovaro, R., Heussner, S., Lykousis, V., Puig, P., Trincardi, F., Calafat, A., Durrieu de Madron, X., Palanques, A. &amp; Sanchez-Vidal, A. (2009). Cascades in Mediterranean Submarine Grand Canyons</w:t>
      </w:r>
      <w:r w:rsidRPr="009978E3">
        <w:rPr>
          <w:rFonts w:eastAsia="MS Mincho"/>
          <w:i/>
          <w:sz w:val="22"/>
          <w:szCs w:val="22"/>
          <w:lang w:val="en-US"/>
        </w:rPr>
        <w:t>. Oceanography</w:t>
      </w:r>
      <w:r w:rsidRPr="009978E3">
        <w:rPr>
          <w:rFonts w:eastAsia="MS Mincho"/>
          <w:sz w:val="22"/>
          <w:szCs w:val="22"/>
          <w:lang w:val="en-US"/>
        </w:rPr>
        <w:t>, 22. 26-43.</w:t>
      </w:r>
    </w:p>
    <w:p w14:paraId="374C073B"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Canals, M., Lastras, G., Urgeles, R., Casamor, J., Mienert, J., Cattaneo, A., Batist, M., Haflidason, H., Imbo, Y., Laberg, J., Locat, J., Long, D., Longva, O., Masson, D., Sultan, N., Trincardi, F. &amp; Bryn, P. (2004). Slope failure dynamics and impacts from sea floor and shallow sub-seafloor geophysical data: case studies from the COSTA project. </w:t>
      </w:r>
      <w:r w:rsidRPr="009978E3">
        <w:rPr>
          <w:rFonts w:eastAsia="MS Mincho"/>
          <w:i/>
          <w:sz w:val="22"/>
          <w:szCs w:val="22"/>
          <w:lang w:val="fr-CA"/>
        </w:rPr>
        <w:t>Marine Geology</w:t>
      </w:r>
      <w:r w:rsidRPr="009978E3">
        <w:rPr>
          <w:rFonts w:eastAsia="MS Mincho"/>
          <w:sz w:val="22"/>
          <w:szCs w:val="22"/>
          <w:lang w:val="fr-CA"/>
        </w:rPr>
        <w:t xml:space="preserve"> 213(1–4): 9–72.</w:t>
      </w:r>
    </w:p>
    <w:p w14:paraId="7ABE4676"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fr-CA"/>
        </w:rPr>
        <w:t xml:space="preserve">Canals, M., Puig, P., de Madron, X., Heussner, S., Palanques, A. &amp; Fabres, J. (2006). </w:t>
      </w:r>
      <w:r w:rsidRPr="009978E3">
        <w:rPr>
          <w:rFonts w:eastAsia="MS Mincho"/>
          <w:sz w:val="22"/>
          <w:szCs w:val="22"/>
          <w:lang w:val="en-US"/>
        </w:rPr>
        <w:t xml:space="preserve">Flushing submarine canyons. </w:t>
      </w:r>
      <w:r w:rsidRPr="009978E3">
        <w:rPr>
          <w:rFonts w:eastAsia="MS Mincho"/>
          <w:i/>
          <w:sz w:val="22"/>
          <w:szCs w:val="22"/>
          <w:lang w:val="pt-PT"/>
        </w:rPr>
        <w:t>Nature</w:t>
      </w:r>
      <w:r w:rsidRPr="009978E3">
        <w:rPr>
          <w:rFonts w:eastAsia="MS Mincho"/>
          <w:sz w:val="22"/>
          <w:szCs w:val="22"/>
          <w:lang w:val="pt-PT"/>
        </w:rPr>
        <w:t xml:space="preserve"> 444: 354–357.</w:t>
      </w:r>
    </w:p>
    <w:p w14:paraId="70A2098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Cardador,  F., Sanchéz, F., Pereiro, F.J., Borges, M.F., Caramelo, A.M., Azevedo, M., Silva, A., Pérez, N., Martins, M.M., Olaso, I., Pestana, G., Trujillo, V., Fernandez, A., 1997. </w:t>
      </w:r>
      <w:r w:rsidRPr="009978E3">
        <w:rPr>
          <w:rFonts w:eastAsia="MS Mincho"/>
          <w:sz w:val="22"/>
          <w:szCs w:val="22"/>
          <w:lang w:val="en-US"/>
        </w:rPr>
        <w:t>Groundfish surveys in the Atlantic Iberian waters (Ices Divisions VIIIc and IXa): history and perspectives. ICES, Council Meeting 1997/Y:08, 30 pp.;</w:t>
      </w:r>
    </w:p>
    <w:p w14:paraId="1353CF1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Cartes, J., Huguet, C., Parra, S. &amp; Sanchez, F. (2007 a)) Trophic relationships in deep-water decapods of Le Danois bank (Cantabrian Sea, NE Atlantic): Trends related with depth and seasonal changes in food quality and availability. </w:t>
      </w:r>
      <w:r w:rsidRPr="009978E3">
        <w:rPr>
          <w:rFonts w:eastAsia="MS Mincho"/>
          <w:i/>
          <w:sz w:val="22"/>
          <w:szCs w:val="22"/>
          <w:lang w:val="en-US"/>
        </w:rPr>
        <w:t>Deep Sea Research Part I: Oceanographic Research Papers</w:t>
      </w:r>
      <w:r w:rsidRPr="009978E3">
        <w:rPr>
          <w:rFonts w:eastAsia="MS Mincho"/>
          <w:sz w:val="22"/>
          <w:szCs w:val="22"/>
          <w:lang w:val="en-US"/>
        </w:rPr>
        <w:t xml:space="preserve"> 54: 1091–1110.</w:t>
      </w:r>
    </w:p>
    <w:p w14:paraId="113D745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Cartes, J., Serrano, A., Velasco, F., Parra, S., &amp; Sanchez, F. (2007 b)) Community structure and dynamics of deep-water decapod assemblages from Le Danois Bank (Cantabrian Sea, NE Atlantic): Influence of environmental variables and food availability. </w:t>
      </w:r>
      <w:r w:rsidRPr="009978E3">
        <w:rPr>
          <w:rFonts w:eastAsia="MS Mincho"/>
          <w:i/>
          <w:sz w:val="22"/>
          <w:szCs w:val="22"/>
          <w:lang w:val="en-US"/>
        </w:rPr>
        <w:t>Progress in Oceanography</w:t>
      </w:r>
      <w:r w:rsidRPr="009978E3">
        <w:rPr>
          <w:rFonts w:eastAsia="MS Mincho"/>
          <w:sz w:val="22"/>
          <w:szCs w:val="22"/>
          <w:lang w:val="en-US"/>
        </w:rPr>
        <w:t xml:space="preserve"> 75: 797–816.</w:t>
      </w:r>
    </w:p>
    <w:p w14:paraId="7DA5CBA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Cascalho, J., &amp; Fradique, C. (2007). The Sources and Hydraulic Sorting of Heavy Minerals on the Northern Portuguese Continental Margin. </w:t>
      </w:r>
      <w:r w:rsidRPr="009978E3">
        <w:rPr>
          <w:rFonts w:eastAsia="MS Mincho"/>
          <w:i/>
          <w:sz w:val="22"/>
          <w:szCs w:val="22"/>
          <w:lang w:val="en-US"/>
        </w:rPr>
        <w:t>Developments in Sedimentology</w:t>
      </w:r>
      <w:r w:rsidRPr="009978E3">
        <w:rPr>
          <w:rFonts w:eastAsia="MS Mincho"/>
          <w:sz w:val="22"/>
          <w:szCs w:val="22"/>
          <w:lang w:val="en-US"/>
        </w:rPr>
        <w:t>, 58(7): 75–110.</w:t>
      </w:r>
    </w:p>
    <w:p w14:paraId="5C83BF6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CBD - Convention on Biological Diversity (2008). </w:t>
      </w:r>
      <w:r w:rsidRPr="009978E3">
        <w:rPr>
          <w:rFonts w:eastAsia="MS Mincho"/>
          <w:i/>
          <w:sz w:val="22"/>
          <w:szCs w:val="22"/>
          <w:lang w:val="en-US"/>
        </w:rPr>
        <w:t>Report of the Conference of the Parties to the Convention on Biological Diversity on the Work of its Ninth Meeting in Bonn (Germany)</w:t>
      </w:r>
      <w:r w:rsidRPr="009978E3">
        <w:rPr>
          <w:rFonts w:eastAsia="MS Mincho"/>
          <w:sz w:val="22"/>
          <w:szCs w:val="22"/>
          <w:lang w:val="en-US"/>
        </w:rPr>
        <w:t>, 19–30 May 2008. UNEP/CBD/COP/9/29, 20 June 2008. Available online at: http://www.cbd.int/doc/meetings/cop/cop-09/official/cop-09-29-en.doc (14.09.2008)</w:t>
      </w:r>
    </w:p>
    <w:p w14:paraId="4551DF1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Cherubin, L., Carton, X., Paillet, J., Morel, Y. &amp; Serpette, A. (2000). </w:t>
      </w:r>
      <w:r w:rsidRPr="009978E3">
        <w:rPr>
          <w:rFonts w:eastAsia="MS Mincho"/>
          <w:sz w:val="22"/>
          <w:szCs w:val="22"/>
          <w:lang w:val="en-US"/>
        </w:rPr>
        <w:t xml:space="preserve">Instability of the Mediterranean Water undercurrents southwest of Portugal: effects of baroclinicity and of topography. </w:t>
      </w:r>
      <w:r w:rsidRPr="009978E3">
        <w:rPr>
          <w:rFonts w:eastAsia="MS Mincho"/>
          <w:i/>
          <w:sz w:val="22"/>
          <w:szCs w:val="22"/>
          <w:lang w:val="en-US"/>
        </w:rPr>
        <w:t>Oceanologica Acta</w:t>
      </w:r>
      <w:r w:rsidRPr="009978E3">
        <w:rPr>
          <w:rFonts w:eastAsia="MS Mincho"/>
          <w:sz w:val="22"/>
          <w:szCs w:val="22"/>
          <w:lang w:val="en-US"/>
        </w:rPr>
        <w:t xml:space="preserve"> 23: 551–573.</w:t>
      </w:r>
    </w:p>
    <w:p w14:paraId="70E8D3B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Clark, M. (2001) Are deepwater fisheries sustainable? The example of orange roughy. </w:t>
      </w:r>
      <w:r w:rsidRPr="009978E3">
        <w:rPr>
          <w:rFonts w:eastAsia="MS Mincho"/>
          <w:i/>
          <w:sz w:val="22"/>
          <w:szCs w:val="22"/>
          <w:lang w:val="en-US"/>
        </w:rPr>
        <w:t>Fisheries Research</w:t>
      </w:r>
      <w:r w:rsidRPr="009978E3">
        <w:rPr>
          <w:rFonts w:eastAsia="MS Mincho"/>
          <w:sz w:val="22"/>
          <w:szCs w:val="22"/>
          <w:lang w:val="en-US"/>
        </w:rPr>
        <w:t xml:space="preserve"> 51: 123–35.</w:t>
      </w:r>
    </w:p>
    <w:p w14:paraId="2F0FFE0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Clark, M., Rowden, A., Schlacher, T., Williams, A., Consalvey, M., Stocks, K., Rogers, A., O’Hara, T., White, M., Shank, T. &amp; Hall-Spencer, J. (2010 a)). The ecology of seamounts: structure, function, and human impacts. </w:t>
      </w:r>
      <w:r w:rsidRPr="009978E3">
        <w:rPr>
          <w:rFonts w:eastAsia="MS Mincho"/>
          <w:i/>
          <w:sz w:val="22"/>
          <w:szCs w:val="22"/>
          <w:lang w:val="en-US"/>
        </w:rPr>
        <w:t>Annual Review of Marine Science</w:t>
      </w:r>
      <w:r w:rsidRPr="009978E3">
        <w:rPr>
          <w:rFonts w:eastAsia="MS Mincho"/>
          <w:sz w:val="22"/>
          <w:szCs w:val="22"/>
          <w:lang w:val="en-US"/>
        </w:rPr>
        <w:t xml:space="preserve"> 2: 253-278.</w:t>
      </w:r>
    </w:p>
    <w:p w14:paraId="13925DC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Clark, M., Williams, A., Schlacher, T., Rowden, A., Althaus, F., Bowden, D. &amp; Kloser, R. (2010 b)) Seamount megabenthic assemblages fail to recover from trawling impacts. </w:t>
      </w:r>
      <w:r w:rsidRPr="009978E3">
        <w:rPr>
          <w:rFonts w:eastAsia="MS Mincho"/>
          <w:i/>
          <w:sz w:val="22"/>
          <w:szCs w:val="22"/>
          <w:lang w:val="en-US"/>
        </w:rPr>
        <w:t>Marine Ecology</w:t>
      </w:r>
      <w:r w:rsidRPr="009978E3">
        <w:rPr>
          <w:rFonts w:eastAsia="MS Mincho"/>
          <w:sz w:val="22"/>
          <w:szCs w:val="22"/>
          <w:lang w:val="en-US"/>
        </w:rPr>
        <w:t xml:space="preserve"> 31(1): 183-199.</w:t>
      </w:r>
    </w:p>
    <w:p w14:paraId="7124EE2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Clarke, K., Somerfield, P. &amp; Chapman, M. (2006). On resemblance measures for ecological studies, including taxonomic dissimilarities and a zero-adjusted Bray-Curtis coefficient for denuded assemblages</w:t>
      </w:r>
      <w:r w:rsidRPr="009978E3">
        <w:rPr>
          <w:rFonts w:eastAsia="MS Mincho"/>
          <w:i/>
          <w:sz w:val="22"/>
          <w:szCs w:val="22"/>
          <w:lang w:val="en-US"/>
        </w:rPr>
        <w:t>. Journal of Experimental Marine Biology and Ecology</w:t>
      </w:r>
      <w:r w:rsidRPr="009978E3">
        <w:rPr>
          <w:rFonts w:eastAsia="MS Mincho"/>
          <w:sz w:val="22"/>
          <w:szCs w:val="22"/>
          <w:lang w:val="en-US"/>
        </w:rPr>
        <w:t xml:space="preserve"> 330: 55–80.</w:t>
      </w:r>
    </w:p>
    <w:p w14:paraId="30D0BA2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CODA, 2009. Cetacean Offshore Distribution and Abundance in the European Atlantic (CODA), 43pp.</w:t>
      </w:r>
    </w:p>
    <w:p w14:paraId="5282A410"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Coelho, H. &amp; Santos, R. (2003) Enhanced primary production over seamounts: a numerical study. </w:t>
      </w:r>
      <w:r w:rsidRPr="009978E3">
        <w:rPr>
          <w:rFonts w:eastAsia="MS Mincho"/>
          <w:i/>
          <w:sz w:val="22"/>
          <w:szCs w:val="22"/>
          <w:lang w:val="pt-PT"/>
        </w:rPr>
        <w:t>Thalassas</w:t>
      </w:r>
      <w:r w:rsidRPr="009978E3">
        <w:rPr>
          <w:rFonts w:eastAsia="MS Mincho"/>
          <w:sz w:val="22"/>
          <w:szCs w:val="22"/>
          <w:lang w:val="pt-PT"/>
        </w:rPr>
        <w:t xml:space="preserve"> 19: 144-145.</w:t>
      </w:r>
    </w:p>
    <w:p w14:paraId="78DCEC9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Company, J. B., Puig, P., Sarda, F., Palanques, A., Latasa, M. &amp; Scharek, R. (2008). </w:t>
      </w:r>
      <w:r w:rsidRPr="009978E3">
        <w:rPr>
          <w:rFonts w:eastAsia="MS Mincho"/>
          <w:sz w:val="22"/>
          <w:szCs w:val="22"/>
          <w:lang w:val="en-US"/>
        </w:rPr>
        <w:t xml:space="preserve">Climate influence on deep sea populations. </w:t>
      </w:r>
      <w:r w:rsidRPr="009978E3">
        <w:rPr>
          <w:rFonts w:eastAsia="MS Mincho"/>
          <w:i/>
          <w:sz w:val="22"/>
          <w:szCs w:val="22"/>
          <w:lang w:val="en-US"/>
        </w:rPr>
        <w:t>PLoSONE</w:t>
      </w:r>
      <w:r w:rsidRPr="009978E3">
        <w:rPr>
          <w:rFonts w:eastAsia="MS Mincho"/>
          <w:sz w:val="22"/>
          <w:szCs w:val="22"/>
          <w:lang w:val="en-US"/>
        </w:rPr>
        <w:t xml:space="preserve"> 3(1), e1431.</w:t>
      </w:r>
    </w:p>
    <w:p w14:paraId="4E6DB44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Company, J. B., Ramirez-Llodra, E., Sardà, F., Puig, P., Canals, M., Calafat, A. (2012). “</w:t>
      </w:r>
      <w:r w:rsidRPr="009978E3">
        <w:rPr>
          <w:rFonts w:eastAsia="MS Mincho"/>
          <w:i/>
          <w:sz w:val="22"/>
          <w:szCs w:val="22"/>
          <w:lang w:val="en-US"/>
        </w:rPr>
        <w:t>Submarine canyons in the Catalan Sea (NW Mediterranean): megafaunal biodiversity patterns and anthropogenic threats Mediterranean Submarine Canyons: Ecology and Governance</w:t>
      </w:r>
      <w:r w:rsidRPr="009978E3">
        <w:rPr>
          <w:rFonts w:eastAsia="MS Mincho"/>
          <w:sz w:val="22"/>
          <w:szCs w:val="22"/>
          <w:lang w:val="en-US"/>
        </w:rPr>
        <w:t>,” ed W. M. (Ed.). Gland (Switzerland) and Malaga (Spain): IUCN), 133–144.</w:t>
      </w:r>
    </w:p>
    <w:p w14:paraId="61A9C3A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Connell, J. (1978). Diversity in tropical rain forests and coral reefs.</w:t>
      </w:r>
      <w:r w:rsidRPr="009978E3">
        <w:rPr>
          <w:rFonts w:eastAsia="MS Mincho"/>
          <w:i/>
          <w:sz w:val="22"/>
          <w:szCs w:val="22"/>
          <w:lang w:val="en-US"/>
        </w:rPr>
        <w:t xml:space="preserve"> Science</w:t>
      </w:r>
      <w:r w:rsidRPr="009978E3">
        <w:rPr>
          <w:rFonts w:eastAsia="MS Mincho"/>
          <w:sz w:val="22"/>
          <w:szCs w:val="22"/>
          <w:lang w:val="en-US"/>
        </w:rPr>
        <w:t xml:space="preserve"> 199: 1302–1310.</w:t>
      </w:r>
    </w:p>
    <w:p w14:paraId="48C4094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Cooke, J.G. (2018) </w:t>
      </w:r>
      <w:r w:rsidRPr="009978E3">
        <w:rPr>
          <w:rFonts w:eastAsia="MS Mincho"/>
          <w:i/>
          <w:sz w:val="22"/>
          <w:szCs w:val="22"/>
          <w:lang w:val="en-US"/>
        </w:rPr>
        <w:t>Balaenoptera physalus</w:t>
      </w:r>
      <w:r w:rsidRPr="009978E3">
        <w:rPr>
          <w:rFonts w:eastAsia="MS Mincho"/>
          <w:sz w:val="22"/>
          <w:szCs w:val="22"/>
          <w:lang w:val="en-US"/>
        </w:rPr>
        <w:t>. The IUCN Red List of Threatened Species 2018: e.T2478A50349982. http://dx.doi.org/10.2305/IUCN.UK.2018-2.RLTS.T2478A50349982.en.</w:t>
      </w:r>
    </w:p>
    <w:p w14:paraId="23A3DACE"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fr-CA"/>
        </w:rPr>
        <w:t xml:space="preserve">Coppier, G. &amp; Mougenot, D. (1982). Stratigraphie sismique et evolution geologique des formations neogenes et quaternaires de la plate-forme continentale portugaise au Sud de Lisbonne. </w:t>
      </w:r>
      <w:r w:rsidRPr="009978E3">
        <w:rPr>
          <w:rFonts w:eastAsia="MS Mincho"/>
          <w:i/>
          <w:sz w:val="22"/>
          <w:szCs w:val="22"/>
          <w:lang w:val="fr-CA"/>
        </w:rPr>
        <w:t>Bulletin de la Société géologique de France</w:t>
      </w:r>
      <w:r w:rsidRPr="009978E3">
        <w:rPr>
          <w:rFonts w:eastAsia="MS Mincho"/>
          <w:sz w:val="22"/>
          <w:szCs w:val="22"/>
          <w:lang w:val="fr-CA"/>
        </w:rPr>
        <w:t xml:space="preserve"> 24: 421-431.</w:t>
      </w:r>
    </w:p>
    <w:p w14:paraId="600DE2A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Correia, A., Tepsich, M., Rosso P., Caldeira M., &amp; Sousa-Pinto, I. (2015) Cetacean occurrence and spatial distribution: Habitat modelling for offshore waters in the Portuguese EEZ (NE Atlantic). </w:t>
      </w:r>
      <w:r w:rsidRPr="009978E3">
        <w:rPr>
          <w:rFonts w:eastAsia="MS Mincho"/>
          <w:i/>
          <w:sz w:val="22"/>
          <w:szCs w:val="22"/>
          <w:lang w:val="en-US"/>
        </w:rPr>
        <w:t>Journal of Marine Systems</w:t>
      </w:r>
      <w:r w:rsidRPr="009978E3">
        <w:rPr>
          <w:rFonts w:eastAsia="MS Mincho"/>
          <w:sz w:val="22"/>
          <w:szCs w:val="22"/>
          <w:lang w:val="en-US"/>
        </w:rPr>
        <w:t xml:space="preserve"> 143: 73– 85.</w:t>
      </w:r>
    </w:p>
    <w:p w14:paraId="0FBD2E5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Cruz, T., Castro, J. &amp; Hawkins, S. (2010). Recruitment, growth and population size structure of Pollicipes pollicipes in SW Portugal. </w:t>
      </w:r>
      <w:r w:rsidRPr="009978E3">
        <w:rPr>
          <w:rFonts w:eastAsia="MS Mincho"/>
          <w:i/>
          <w:sz w:val="22"/>
          <w:szCs w:val="22"/>
          <w:lang w:val="en-US"/>
        </w:rPr>
        <w:t xml:space="preserve">Journal of Experimental Marine Biology and Ecology </w:t>
      </w:r>
      <w:r w:rsidRPr="009978E3">
        <w:rPr>
          <w:rFonts w:eastAsia="MS Mincho"/>
          <w:sz w:val="22"/>
          <w:szCs w:val="22"/>
          <w:lang w:val="en-US"/>
        </w:rPr>
        <w:t>392(1–2): 200–209.</w:t>
      </w:r>
    </w:p>
    <w:p w14:paraId="67A8456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Cunha, M., Paterson, G., Amaro, T., Blackbird, S., de Stigter, H., Ferreira, C., Glover, A., Hilário, A., Kiriakoulakis, K., Neal, L., Ravara, A., Rodrigues, C., Tiago, A. &amp; Billett, D. (2011). Biodiversity of macrofaunal assemblages from three Portuguese submarine canyons (NE Atlantic).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58(23–24): 2433–2447.</w:t>
      </w:r>
    </w:p>
    <w:p w14:paraId="3D7B734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Curdia, J., Carvalho, S., Ravara, A., Gage, J., Rodrigues, A. &amp; Quintino, V. (2004). Deep macro benthic communities from Nazare submarine canyon (NW Portugal). </w:t>
      </w:r>
      <w:r w:rsidRPr="009978E3">
        <w:rPr>
          <w:rFonts w:eastAsia="MS Mincho"/>
          <w:i/>
          <w:sz w:val="22"/>
          <w:szCs w:val="22"/>
          <w:lang w:val="en-US"/>
        </w:rPr>
        <w:t>Scientia Marina</w:t>
      </w:r>
      <w:r w:rsidRPr="009978E3">
        <w:rPr>
          <w:rFonts w:eastAsia="MS Mincho"/>
          <w:sz w:val="22"/>
          <w:szCs w:val="22"/>
          <w:lang w:val="en-US"/>
        </w:rPr>
        <w:t xml:space="preserve"> 68, 171-180.</w:t>
      </w:r>
    </w:p>
    <w:p w14:paraId="44027C7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Davies, J., Howell, K., Stewart, H., Guinan, J. &amp; Golding, N. (2014). Defining biological assemblages (biotopes) of conservation interest in the submarine canyons of the South West Approaches (offshore United Kingdom) for use in marine habitat mapping.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104: 208–229. </w:t>
      </w:r>
    </w:p>
    <w:p w14:paraId="2E6D4C2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Day, K. (2002). “</w:t>
      </w:r>
      <w:r w:rsidRPr="009978E3">
        <w:rPr>
          <w:rFonts w:eastAsia="MS Mincho"/>
          <w:i/>
          <w:sz w:val="22"/>
          <w:szCs w:val="22"/>
          <w:lang w:val="en-US"/>
        </w:rPr>
        <w:t>Deepwater Canyon slope stability</w:t>
      </w:r>
      <w:r w:rsidRPr="009978E3">
        <w:rPr>
          <w:rFonts w:eastAsia="MS Mincho"/>
          <w:sz w:val="22"/>
          <w:szCs w:val="22"/>
          <w:lang w:val="en-US"/>
        </w:rPr>
        <w:t>,” in Offshore Site Investigation and Geotechnics' Diversity and Sustainability'; Proceedings of an International Conference (London: Society of Underwater Technology).</w:t>
      </w:r>
    </w:p>
    <w:p w14:paraId="3210329D"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en-US"/>
        </w:rPr>
        <w:t>D</w:t>
      </w:r>
      <w:r w:rsidRPr="009978E3" w:rsidDel="001767B9">
        <w:rPr>
          <w:rFonts w:eastAsia="MS Mincho"/>
          <w:sz w:val="22"/>
          <w:szCs w:val="22"/>
          <w:lang w:val="en-US"/>
        </w:rPr>
        <w:t>d</w:t>
      </w:r>
      <w:r w:rsidRPr="009978E3">
        <w:rPr>
          <w:rFonts w:eastAsia="MS Mincho"/>
          <w:sz w:val="22"/>
          <w:szCs w:val="22"/>
          <w:lang w:val="en-US"/>
        </w:rPr>
        <w:t xml:space="preserve">e Forges de, B., Koslow, J. &amp; Poore, G. (2000) Diversity and endemism of the benthic seamount fauna in the south-west Pacific. </w:t>
      </w:r>
      <w:r w:rsidRPr="009978E3">
        <w:rPr>
          <w:rFonts w:eastAsia="MS Mincho"/>
          <w:i/>
          <w:sz w:val="22"/>
          <w:szCs w:val="22"/>
          <w:lang w:val="nl-NL"/>
        </w:rPr>
        <w:t>Nature</w:t>
      </w:r>
      <w:r w:rsidRPr="009978E3">
        <w:rPr>
          <w:rFonts w:eastAsia="MS Mincho"/>
          <w:sz w:val="22"/>
          <w:szCs w:val="22"/>
          <w:lang w:val="nl-NL"/>
        </w:rPr>
        <w:t xml:space="preserve"> 405: 944–47.</w:t>
      </w:r>
    </w:p>
    <w:p w14:paraId="327289D4"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nl-NL"/>
        </w:rPr>
        <w:t>D</w:t>
      </w:r>
      <w:r w:rsidRPr="009978E3" w:rsidDel="001767B9">
        <w:rPr>
          <w:rFonts w:eastAsia="MS Mincho"/>
          <w:sz w:val="22"/>
          <w:szCs w:val="22"/>
          <w:lang w:val="nl-NL"/>
        </w:rPr>
        <w:t>d</w:t>
      </w:r>
      <w:r w:rsidRPr="009978E3">
        <w:rPr>
          <w:rFonts w:eastAsia="MS Mincho"/>
          <w:sz w:val="22"/>
          <w:szCs w:val="22"/>
          <w:lang w:val="nl-NL"/>
        </w:rPr>
        <w:t xml:space="preserve">e Stigter, H., Boera, W., Mendesb, P., Jesusc, C., Thomsenb, L., van den Bergha, G. &amp; van Weeringa, T. (2007). </w:t>
      </w:r>
      <w:r w:rsidRPr="009978E3">
        <w:rPr>
          <w:rFonts w:eastAsia="MS Mincho"/>
          <w:sz w:val="22"/>
          <w:szCs w:val="22"/>
          <w:lang w:val="en-US"/>
        </w:rPr>
        <w:t xml:space="preserve">Recent sediment transport and deposition in the Nazaré Canyon, Portuguese continental margin. </w:t>
      </w:r>
      <w:r w:rsidRPr="009978E3">
        <w:rPr>
          <w:rFonts w:eastAsia="MS Mincho"/>
          <w:i/>
          <w:sz w:val="22"/>
          <w:szCs w:val="22"/>
          <w:lang w:val="nl-NL"/>
        </w:rPr>
        <w:t>Marine Geology</w:t>
      </w:r>
      <w:r w:rsidRPr="009978E3">
        <w:rPr>
          <w:rFonts w:eastAsia="MS Mincho"/>
          <w:sz w:val="22"/>
          <w:szCs w:val="22"/>
          <w:lang w:val="nl-NL"/>
        </w:rPr>
        <w:t xml:space="preserve"> 246(2-4): 144-164.</w:t>
      </w:r>
    </w:p>
    <w:p w14:paraId="6F1E46D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D</w:t>
      </w:r>
      <w:r w:rsidRPr="009978E3" w:rsidDel="001767B9">
        <w:rPr>
          <w:rFonts w:eastAsia="MS Mincho"/>
          <w:sz w:val="22"/>
          <w:szCs w:val="22"/>
          <w:lang w:val="nl-NL"/>
        </w:rPr>
        <w:t>d</w:t>
      </w:r>
      <w:r w:rsidRPr="009978E3">
        <w:rPr>
          <w:rFonts w:eastAsia="MS Mincho"/>
          <w:sz w:val="22"/>
          <w:szCs w:val="22"/>
          <w:lang w:val="nl-NL"/>
        </w:rPr>
        <w:t xml:space="preserve">e Stigter, H., Jesus, C., Boer, W., Richter, T., Costa, A., &amp; van Weering, T. (2011). </w:t>
      </w:r>
      <w:r w:rsidRPr="009978E3">
        <w:rPr>
          <w:rFonts w:eastAsia="MS Mincho"/>
          <w:sz w:val="22"/>
          <w:szCs w:val="22"/>
          <w:lang w:val="en-US"/>
        </w:rPr>
        <w:t xml:space="preserve">Recent sediment transport and deposition in the Lisbon-Setúbal and Cascais submarine canyons, Portuguese continental margin.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58(23–24): 2321–2344. </w:t>
      </w:r>
    </w:p>
    <w:p w14:paraId="77912C4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D</w:t>
      </w:r>
      <w:r w:rsidRPr="009978E3" w:rsidDel="001767B9">
        <w:rPr>
          <w:rFonts w:eastAsia="MS Mincho"/>
          <w:sz w:val="22"/>
          <w:szCs w:val="22"/>
          <w:lang w:val="en-US"/>
        </w:rPr>
        <w:t>d</w:t>
      </w:r>
      <w:r w:rsidRPr="009978E3">
        <w:rPr>
          <w:rFonts w:eastAsia="MS Mincho"/>
          <w:sz w:val="22"/>
          <w:szCs w:val="22"/>
          <w:lang w:val="en-US"/>
        </w:rPr>
        <w:t xml:space="preserve">e Stigter, H., shipboard party (2004). </w:t>
      </w:r>
      <w:r w:rsidRPr="009978E3">
        <w:rPr>
          <w:rFonts w:eastAsia="MS Mincho"/>
          <w:i/>
          <w:sz w:val="22"/>
          <w:szCs w:val="22"/>
          <w:lang w:val="en-US"/>
        </w:rPr>
        <w:t>Report of cruise 64 PE 218 with R. V. “Pelagia”</w:t>
      </w:r>
      <w:r w:rsidRPr="009978E3">
        <w:rPr>
          <w:rFonts w:eastAsia="MS Mincho"/>
          <w:sz w:val="22"/>
          <w:szCs w:val="22"/>
          <w:lang w:val="en-US"/>
        </w:rPr>
        <w:t>, Valencia-Lisbon, 11–31 October, 2003. Sediment Dispersal in Submarine Canyons of the Portuguese Atlantic Margin, 43pp.</w:t>
      </w:r>
    </w:p>
    <w:p w14:paraId="175C8F37"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De la Torriente, A., Serrano, Alberto; Druet, María; Gómez- Ballesteros, María; Acosta, Juan; Parra, Santiago; </w:t>
      </w:r>
      <w:r w:rsidRPr="0006066A">
        <w:rPr>
          <w:rFonts w:eastAsia="MS Mincho"/>
          <w:i/>
          <w:sz w:val="22"/>
          <w:szCs w:val="22"/>
          <w:lang w:val="pt-PT"/>
        </w:rPr>
        <w:t>et al</w:t>
      </w:r>
      <w:r w:rsidRPr="009978E3">
        <w:rPr>
          <w:rFonts w:eastAsia="MS Mincho"/>
          <w:sz w:val="22"/>
          <w:szCs w:val="22"/>
          <w:lang w:val="pt-PT"/>
        </w:rPr>
        <w:t>, Banco de Galicia. Áreas de estudio del proyecto LIFE+ INDEMARES. Proyecto LIFE+ INDEMARES. Ed. Fundación Biodiversidad del Ministerio de Agricultura, Alimentación y Medio Ambiente. 2014.</w:t>
      </w:r>
    </w:p>
    <w:p w14:paraId="54EEE85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De Leo, F., Drazen, J., Vetter, E., Rowden, A. &amp; Smith, C. (2012). </w:t>
      </w:r>
      <w:r w:rsidRPr="009978E3">
        <w:rPr>
          <w:rFonts w:eastAsia="MS Mincho"/>
          <w:sz w:val="22"/>
          <w:szCs w:val="22"/>
          <w:lang w:val="en-US"/>
        </w:rPr>
        <w:t xml:space="preserve">The effects of submarine canyons and the oxygen minimum zone on deep-sea fish assemblages off Hawai'i. </w:t>
      </w:r>
      <w:r w:rsidRPr="009978E3">
        <w:rPr>
          <w:rFonts w:eastAsia="MS Mincho"/>
          <w:i/>
          <w:sz w:val="22"/>
          <w:szCs w:val="22"/>
          <w:lang w:val="en-US"/>
        </w:rPr>
        <w:t>Deep-Sea Research Part I: Oceanographic Research Papers</w:t>
      </w:r>
      <w:r w:rsidRPr="009978E3">
        <w:rPr>
          <w:rFonts w:eastAsia="MS Mincho"/>
          <w:sz w:val="22"/>
          <w:szCs w:val="22"/>
          <w:lang w:val="en-US"/>
        </w:rPr>
        <w:t xml:space="preserve"> 64: 54–70. </w:t>
      </w:r>
    </w:p>
    <w:p w14:paraId="6C54A77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De Leo, F., Smith, C., Rowden, A., Bowden, D. &amp; Clark, M. (2010). Submarine canyons: hotspots of benthic biomass and productivity in the deep sea. </w:t>
      </w:r>
      <w:r w:rsidRPr="009978E3">
        <w:rPr>
          <w:rFonts w:eastAsia="MS Mincho"/>
          <w:i/>
          <w:sz w:val="22"/>
          <w:szCs w:val="22"/>
          <w:lang w:val="en-US"/>
        </w:rPr>
        <w:t>Proceedings of the Royal Society B: Biological Sciences</w:t>
      </w:r>
      <w:r w:rsidRPr="009978E3">
        <w:rPr>
          <w:rFonts w:eastAsia="MS Mincho"/>
          <w:sz w:val="22"/>
          <w:szCs w:val="22"/>
          <w:lang w:val="en-US"/>
        </w:rPr>
        <w:t xml:space="preserve"> 277(1695): 2783–2792. </w:t>
      </w:r>
    </w:p>
    <w:p w14:paraId="06A8D00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De Leo, F., Vetter, E., Smith, C., Rowden, A. &amp; McGranaghan, M. (2014). Spatial scale-dependent habitat heterogeneity influences submarine canyon macrofaunal abundance and diversity off the Main and Northwest Hawaiian Islands.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104: 267–290. </w:t>
      </w:r>
    </w:p>
    <w:p w14:paraId="1542648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Díez, I., A. Secilla, A. Santolaria and J.M. Gorostiaga, 2000. The north coast of Spain. In Seas at the Millennium. An environmental evaluation. C. Sheppard (Ed.). Pergamon, Amsterdam, Volume I, 135–150. </w:t>
      </w:r>
    </w:p>
    <w:p w14:paraId="2F168447"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Drago, T., Araujo, F., Valerio, P., Weber, O. &amp; Jouanneau, J. (1999). Geomorphological control of fine sedimentation on the northern Portuguese shelf. </w:t>
      </w:r>
      <w:r w:rsidRPr="009978E3">
        <w:rPr>
          <w:rFonts w:eastAsia="MS Mincho"/>
          <w:i/>
          <w:sz w:val="22"/>
          <w:szCs w:val="22"/>
          <w:lang w:val="pt-PT"/>
        </w:rPr>
        <w:t>Boletin del Instituto Espanol de Oceanografia.</w:t>
      </w:r>
      <w:r w:rsidRPr="009978E3">
        <w:rPr>
          <w:rFonts w:eastAsia="MS Mincho"/>
          <w:sz w:val="22"/>
          <w:szCs w:val="22"/>
          <w:lang w:val="pt-PT"/>
        </w:rPr>
        <w:t xml:space="preserve"> 15(14): 111-122.</w:t>
      </w:r>
    </w:p>
    <w:p w14:paraId="0DDD625A"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Duarte, F. (2002) </w:t>
      </w:r>
      <w:r w:rsidRPr="009978E3">
        <w:rPr>
          <w:rFonts w:eastAsia="MS Mincho"/>
          <w:i/>
          <w:sz w:val="22"/>
          <w:szCs w:val="22"/>
          <w:lang w:val="pt-PT"/>
        </w:rPr>
        <w:t>Distribuição espacial dos sedimentos da Nazaré e plataforma adjacente</w:t>
      </w:r>
      <w:r w:rsidRPr="009978E3">
        <w:rPr>
          <w:rFonts w:eastAsia="MS Mincho"/>
          <w:sz w:val="22"/>
          <w:szCs w:val="22"/>
          <w:lang w:val="pt-PT"/>
        </w:rPr>
        <w:t>. Proceedings of the 3.ª Asamblea Hispano-Portuguesa de Geodesia y Geofísica, Espanha, 477 pp.</w:t>
      </w:r>
    </w:p>
    <w:p w14:paraId="0112BFE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Duarte, J. &amp; Taborda, R. (2003) </w:t>
      </w:r>
      <w:r w:rsidRPr="009978E3">
        <w:rPr>
          <w:rFonts w:eastAsia="MS Mincho"/>
          <w:i/>
          <w:sz w:val="22"/>
          <w:szCs w:val="22"/>
          <w:lang w:val="en-US"/>
        </w:rPr>
        <w:t>Multibeam analysis of Nazaré Canyon Head</w:t>
      </w:r>
      <w:r w:rsidRPr="009978E3">
        <w:rPr>
          <w:rFonts w:eastAsia="MS Mincho"/>
          <w:sz w:val="22"/>
          <w:szCs w:val="22"/>
          <w:lang w:val="en-US"/>
        </w:rPr>
        <w:t>. 4th Symposium on the Iberian Atlantic Margin, Vigo, pp. 45 – 46.</w:t>
      </w:r>
    </w:p>
    <w:p w14:paraId="4758FD60"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Duarte, J., Dias, J. &amp; Taborda, R. (2000) </w:t>
      </w:r>
      <w:r w:rsidRPr="009978E3">
        <w:rPr>
          <w:rFonts w:eastAsia="MS Mincho"/>
          <w:i/>
          <w:sz w:val="22"/>
          <w:szCs w:val="22"/>
          <w:lang w:val="pt-PT"/>
        </w:rPr>
        <w:t>Cabeceira do canhão da Nazaré: erosão versus sedimentação</w:t>
      </w:r>
      <w:r w:rsidRPr="009978E3">
        <w:rPr>
          <w:rFonts w:eastAsia="MS Mincho"/>
          <w:sz w:val="22"/>
          <w:szCs w:val="22"/>
          <w:lang w:val="pt-PT"/>
        </w:rPr>
        <w:t>. In: Dias, J., Ferreira, O. (eds) 3º Simpósio sobra a Margem Ibérica Atlântica, Faro, pp. 227 – 228.</w:t>
      </w:r>
    </w:p>
    <w:p w14:paraId="3BFD1A67"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nl-NL"/>
        </w:rPr>
        <w:t xml:space="preserve">Duineveld, G., Lavaleye, M., Berghuis, E. &amp; Wilde, P. (2001). </w:t>
      </w:r>
      <w:r w:rsidRPr="009978E3">
        <w:rPr>
          <w:rFonts w:eastAsia="MS Mincho"/>
          <w:sz w:val="22"/>
          <w:szCs w:val="22"/>
          <w:lang w:val="en-US"/>
        </w:rPr>
        <w:t xml:space="preserve">Activity and composition of the benthic fauna in the Whittard Canyon and the adjacent continental slope (NE Atlantic). </w:t>
      </w:r>
      <w:r w:rsidRPr="009978E3">
        <w:rPr>
          <w:rFonts w:eastAsia="MS Mincho"/>
          <w:i/>
          <w:sz w:val="22"/>
          <w:szCs w:val="22"/>
          <w:lang w:val="pt-PT"/>
        </w:rPr>
        <w:t>Oceanologia Acta</w:t>
      </w:r>
      <w:r w:rsidRPr="009978E3">
        <w:rPr>
          <w:rFonts w:eastAsia="MS Mincho"/>
          <w:sz w:val="22"/>
          <w:szCs w:val="22"/>
          <w:lang w:val="pt-PT"/>
        </w:rPr>
        <w:t xml:space="preserve"> 24: 69–83.</w:t>
      </w:r>
    </w:p>
    <w:p w14:paraId="77EAAE24"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pt-PT"/>
        </w:rPr>
        <w:t xml:space="preserve">Durrieu de Madron, X., Abassi, A., Heussner, S., Aloisi, J., Radakovitch, O., Giresse, P., Buscáil, R. &amp; Kerherve, P. (2000). </w:t>
      </w:r>
      <w:r w:rsidRPr="009978E3">
        <w:rPr>
          <w:rFonts w:eastAsia="MS Mincho"/>
          <w:sz w:val="22"/>
          <w:szCs w:val="22"/>
          <w:lang w:val="en-US"/>
        </w:rPr>
        <w:t xml:space="preserve">Particulate matter and organic carbon budgets for the Gulf of Lions (NW Mediterranean). </w:t>
      </w:r>
      <w:r w:rsidRPr="009978E3">
        <w:rPr>
          <w:rFonts w:eastAsia="MS Mincho"/>
          <w:i/>
          <w:sz w:val="22"/>
          <w:szCs w:val="22"/>
          <w:lang w:val="nl-NL"/>
        </w:rPr>
        <w:t>Oceanologia Acta</w:t>
      </w:r>
      <w:r w:rsidRPr="009978E3">
        <w:rPr>
          <w:rFonts w:eastAsia="MS Mincho"/>
          <w:sz w:val="22"/>
          <w:szCs w:val="22"/>
          <w:lang w:val="nl-NL"/>
        </w:rPr>
        <w:t xml:space="preserve"> 23: 717–730.</w:t>
      </w:r>
    </w:p>
    <w:p w14:paraId="01279B4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Epping, E., van der Zee, C., Soetaert, K. &amp; Helder, W. (2002). </w:t>
      </w:r>
      <w:r w:rsidRPr="009978E3">
        <w:rPr>
          <w:rFonts w:eastAsia="MS Mincho"/>
          <w:sz w:val="22"/>
          <w:szCs w:val="22"/>
          <w:lang w:val="en-US"/>
        </w:rPr>
        <w:t xml:space="preserve">On the oxidation and burial of organic carbon in sediments of the Iberian margin and Nazaré Canyon (NE Atlantic). </w:t>
      </w:r>
      <w:r w:rsidRPr="009978E3">
        <w:rPr>
          <w:rFonts w:eastAsia="MS Mincho"/>
          <w:i/>
          <w:sz w:val="22"/>
          <w:szCs w:val="22"/>
          <w:lang w:val="en-US"/>
        </w:rPr>
        <w:t>Progress in Oceanography</w:t>
      </w:r>
      <w:r w:rsidRPr="009978E3">
        <w:rPr>
          <w:rFonts w:eastAsia="MS Mincho"/>
          <w:sz w:val="22"/>
          <w:szCs w:val="22"/>
          <w:lang w:val="en-US"/>
        </w:rPr>
        <w:t xml:space="preserve"> 52: 399–431.</w:t>
      </w:r>
    </w:p>
    <w:p w14:paraId="677CEAE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Etnoyer, P. &amp; Warrenchuk, J. (2007) A catshark nursery in a deep gorgonian field in the Mississipi Canyon, Gulf of Mexico. Bulletin of Marine Science 81: 553−559.</w:t>
      </w:r>
    </w:p>
    <w:p w14:paraId="3E4C804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FAO (2007) State of the World’s Forests 2007. Rome. www.fao.org/docrep/009/a0773e/a0773e00.htm.</w:t>
      </w:r>
    </w:p>
    <w:p w14:paraId="17E1F95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Faria, J. (2014). </w:t>
      </w:r>
      <w:r w:rsidRPr="009978E3">
        <w:rPr>
          <w:rFonts w:eastAsia="MS Mincho"/>
          <w:i/>
          <w:sz w:val="22"/>
          <w:szCs w:val="22"/>
          <w:lang w:val="en-US"/>
        </w:rPr>
        <w:t>Using a seabird top predator to assess the adequacy of the Berlengas Marine Protected Area</w:t>
      </w:r>
      <w:r w:rsidRPr="009978E3">
        <w:rPr>
          <w:rFonts w:eastAsia="MS Mincho"/>
          <w:sz w:val="22"/>
          <w:szCs w:val="22"/>
          <w:lang w:val="en-US"/>
        </w:rPr>
        <w:t xml:space="preserve"> (Master's thesis). </w:t>
      </w:r>
    </w:p>
    <w:p w14:paraId="532828E5"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Fariña A.C., Freire J. &amp; E. González-Gurriarán (1997). </w:t>
      </w:r>
      <w:r w:rsidRPr="009978E3">
        <w:rPr>
          <w:rFonts w:eastAsia="MS Mincho"/>
          <w:sz w:val="22"/>
          <w:szCs w:val="22"/>
          <w:lang w:val="en-US"/>
        </w:rPr>
        <w:t xml:space="preserve">Demersal Fish Assemblages in the Galician Continental Shelf and Upper Slope (NW Spain): Spatial Structure and Long-term Changes. </w:t>
      </w:r>
      <w:r w:rsidRPr="009978E3">
        <w:rPr>
          <w:rFonts w:eastAsia="MS Mincho"/>
          <w:sz w:val="22"/>
          <w:szCs w:val="22"/>
          <w:lang w:val="pt-PT"/>
        </w:rPr>
        <w:t>Est., Coast. Shelf Sci. 44, 435–454.</w:t>
      </w:r>
    </w:p>
    <w:p w14:paraId="46B5B74D"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 xml:space="preserve">Farina, A. c., F. 1. Pereiro and A. Fernandez. 1983. Peces de los fondos de arrastre de la plataforma continental de Galicia. Actas II Jornadas Ictiologia Iberica, Barcelona, Mayo 1983. </w:t>
      </w:r>
    </w:p>
    <w:p w14:paraId="4445E43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Faris, J. &amp; Hart, K. (1994). </w:t>
      </w:r>
      <w:r w:rsidRPr="009978E3">
        <w:rPr>
          <w:rFonts w:eastAsia="MS Mincho"/>
          <w:i/>
          <w:sz w:val="22"/>
          <w:szCs w:val="22"/>
          <w:lang w:val="en-US"/>
        </w:rPr>
        <w:t>Seas of Debris: A Summary of the Third International Conference on Marine Debris</w:t>
      </w:r>
      <w:r w:rsidRPr="009978E3">
        <w:rPr>
          <w:rFonts w:eastAsia="MS Mincho"/>
          <w:sz w:val="22"/>
          <w:szCs w:val="22"/>
          <w:lang w:val="en-US"/>
        </w:rPr>
        <w:t>. Alaska Fisheries Science Center, Seattle.</w:t>
      </w:r>
    </w:p>
    <w:p w14:paraId="485099E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Farrugio, H. (2012). “</w:t>
      </w:r>
      <w:r w:rsidRPr="009978E3">
        <w:rPr>
          <w:rFonts w:eastAsia="MS Mincho"/>
          <w:i/>
          <w:sz w:val="22"/>
          <w:szCs w:val="22"/>
          <w:lang w:val="en-US"/>
        </w:rPr>
        <w:t>A refugium for the spawners of exploited Mediterranean marine species: the canyons of the continental slope of the Gulf of Lion</w:t>
      </w:r>
      <w:r w:rsidRPr="009978E3">
        <w:rPr>
          <w:rFonts w:eastAsia="MS Mincho"/>
          <w:sz w:val="22"/>
          <w:szCs w:val="22"/>
          <w:lang w:val="en-US"/>
        </w:rPr>
        <w:t>,” in Mediterranean Submarine Canyons: Ecology and Governance, ed M. Würtz (Gland; Málaga: IUCN), 45.</w:t>
      </w:r>
    </w:p>
    <w:p w14:paraId="572DD65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Fernandez-Arcaya, U., Ramirez-Llodra, E., Aguzzi, J., Allcock, A., Davies, J., Dissanayake, A. &amp; Martín, J. (2017). </w:t>
      </w:r>
      <w:r w:rsidRPr="009978E3">
        <w:rPr>
          <w:rFonts w:eastAsia="MS Mincho"/>
          <w:sz w:val="22"/>
          <w:szCs w:val="22"/>
          <w:lang w:val="en-US"/>
        </w:rPr>
        <w:t xml:space="preserve">Ecological role of submarine canyons and need for canyon conservation: a review. </w:t>
      </w:r>
      <w:r w:rsidRPr="009978E3">
        <w:rPr>
          <w:rFonts w:eastAsia="MS Mincho"/>
          <w:i/>
          <w:sz w:val="22"/>
          <w:szCs w:val="22"/>
          <w:lang w:val="en-US"/>
        </w:rPr>
        <w:t>Frontiers in Marine Science</w:t>
      </w:r>
      <w:r w:rsidRPr="009978E3">
        <w:rPr>
          <w:rFonts w:eastAsia="MS Mincho"/>
          <w:sz w:val="22"/>
          <w:szCs w:val="22"/>
          <w:lang w:val="en-US"/>
        </w:rPr>
        <w:t>, 4, 5.</w:t>
      </w:r>
    </w:p>
    <w:p w14:paraId="1483A44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Fernandez-Arcaya, U., Rotllant, G., Ramirez-Llodra, E., Recasens, L., Aguzzi, J., Flexas, M.,</w:t>
      </w:r>
      <w:bookmarkStart w:id="26" w:name="bau040"/>
      <w:r w:rsidRPr="009978E3">
        <w:rPr>
          <w:rFonts w:eastAsia="MS Mincho"/>
          <w:sz w:val="22"/>
          <w:szCs w:val="22"/>
          <w:lang w:val="en-US"/>
        </w:rPr>
        <w:t xml:space="preserve"> </w:t>
      </w:r>
      <w:bookmarkStart w:id="27" w:name="bau045"/>
      <w:bookmarkEnd w:id="26"/>
      <w:r w:rsidRPr="009978E3">
        <w:rPr>
          <w:rFonts w:eastAsia="MS Mincho"/>
          <w:sz w:val="22"/>
          <w:szCs w:val="22"/>
          <w:lang w:val="en-US"/>
        </w:rPr>
        <w:t xml:space="preserve">Vidal, A., López-Fernández, P., </w:t>
      </w:r>
      <w:bookmarkStart w:id="28" w:name="bau050"/>
      <w:bookmarkEnd w:id="27"/>
      <w:r w:rsidRPr="009978E3">
        <w:rPr>
          <w:rFonts w:eastAsia="MS Mincho"/>
          <w:sz w:val="22"/>
          <w:szCs w:val="22"/>
          <w:lang w:val="en-US"/>
        </w:rPr>
        <w:t>García, J.</w:t>
      </w:r>
      <w:bookmarkStart w:id="29" w:name="bau055"/>
      <w:bookmarkEnd w:id="28"/>
      <w:r w:rsidRPr="009978E3">
        <w:rPr>
          <w:rFonts w:eastAsia="MS Mincho"/>
          <w:sz w:val="22"/>
          <w:szCs w:val="22"/>
          <w:lang w:val="en-US"/>
        </w:rPr>
        <w:t xml:space="preserve"> &amp; Company, J. </w:t>
      </w:r>
      <w:bookmarkEnd w:id="29"/>
      <w:r w:rsidRPr="009978E3">
        <w:rPr>
          <w:rFonts w:eastAsia="MS Mincho"/>
          <w:sz w:val="22"/>
          <w:szCs w:val="22"/>
          <w:lang w:val="en-US"/>
        </w:rPr>
        <w:t xml:space="preserve">(2013). Reproductive biology and recruitment of the deep-sea fish community from the NW Mediterranean continental margin. </w:t>
      </w:r>
      <w:r w:rsidRPr="009978E3">
        <w:rPr>
          <w:rFonts w:eastAsia="MS Mincho"/>
          <w:i/>
          <w:sz w:val="22"/>
          <w:szCs w:val="22"/>
          <w:lang w:val="en-US"/>
        </w:rPr>
        <w:t>Progress in Oceanography</w:t>
      </w:r>
      <w:r w:rsidRPr="009978E3">
        <w:rPr>
          <w:rFonts w:eastAsia="MS Mincho"/>
          <w:sz w:val="22"/>
          <w:szCs w:val="22"/>
          <w:lang w:val="en-US"/>
        </w:rPr>
        <w:t xml:space="preserve"> 118: 222–234. </w:t>
      </w:r>
    </w:p>
    <w:p w14:paraId="1941791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Fohrmann, H., Backhaus, J., Blaume, F. &amp; Rumohr, J. (1998). Sediments in bottom-arrested gravity plumes: Numerical case studies. </w:t>
      </w:r>
      <w:r w:rsidRPr="009978E3">
        <w:rPr>
          <w:rFonts w:eastAsia="MS Mincho"/>
          <w:i/>
          <w:sz w:val="22"/>
          <w:szCs w:val="22"/>
          <w:lang w:val="en-US"/>
        </w:rPr>
        <w:t>Journal of Physical Oceanography</w:t>
      </w:r>
      <w:r w:rsidRPr="009978E3">
        <w:rPr>
          <w:rFonts w:eastAsia="MS Mincho"/>
          <w:sz w:val="22"/>
          <w:szCs w:val="22"/>
          <w:lang w:val="en-US"/>
        </w:rPr>
        <w:t xml:space="preserve"> 28: 2250-2274.</w:t>
      </w:r>
    </w:p>
    <w:p w14:paraId="7FCECCD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Font, J., Salat, J. &amp; Tintoré, J. (1988). </w:t>
      </w:r>
      <w:r w:rsidRPr="009978E3">
        <w:rPr>
          <w:rFonts w:eastAsia="MS Mincho"/>
          <w:sz w:val="22"/>
          <w:szCs w:val="22"/>
          <w:lang w:val="en-US"/>
        </w:rPr>
        <w:t>“</w:t>
      </w:r>
      <w:r w:rsidRPr="009978E3">
        <w:rPr>
          <w:rFonts w:eastAsia="MS Mincho"/>
          <w:i/>
          <w:sz w:val="22"/>
          <w:szCs w:val="22"/>
          <w:lang w:val="en-US"/>
        </w:rPr>
        <w:t>Permanent features of the circulation in the Catalan Sea</w:t>
      </w:r>
      <w:r w:rsidRPr="009978E3">
        <w:rPr>
          <w:rFonts w:eastAsia="MS Mincho"/>
          <w:sz w:val="22"/>
          <w:szCs w:val="22"/>
          <w:lang w:val="en-US"/>
        </w:rPr>
        <w:t>,” in Océanographie Pélagique Méditerranéenne, eds H. J. Minas and P. Nival (Montrouge: Gauthier-Villars), 51–57.</w:t>
      </w:r>
    </w:p>
    <w:p w14:paraId="3B94D5A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Fraga, S., Anderson, D., Bravo, I., Reguera, B., Steidinger, K. &amp; Yentsch, C. (1988). Influence of upwelling relaxation on dinoflagellates and shellfish toxicity in Ria de Vigo, Spain. </w:t>
      </w:r>
      <w:r w:rsidRPr="009978E3">
        <w:rPr>
          <w:rFonts w:eastAsia="MS Mincho"/>
          <w:i/>
          <w:sz w:val="22"/>
          <w:szCs w:val="22"/>
          <w:lang w:val="en-US"/>
        </w:rPr>
        <w:t>Estuarine, Coastal and Shelf Science</w:t>
      </w:r>
      <w:r w:rsidRPr="009978E3">
        <w:rPr>
          <w:rFonts w:eastAsia="MS Mincho"/>
          <w:sz w:val="22"/>
          <w:szCs w:val="22"/>
          <w:lang w:val="en-US"/>
        </w:rPr>
        <w:t xml:space="preserve"> 27: 349-361.</w:t>
      </w:r>
    </w:p>
    <w:p w14:paraId="57D6470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Frouin R., Fiúza A.F.G., Ambar I. &amp; T.J. Boyd (1990). Observations of a Poleward Surface Current off the coasts of Portugal and Spain during winter. J. Geophys. Res., 5: 679–691.</w:t>
      </w:r>
    </w:p>
    <w:p w14:paraId="526EE68D"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Fusco, G., V. Artale, Y. Cotroneo, and G. Sannino, 2008: Thermohaline variability of Mediterranean Water in the Gulf of Cadiz, 1948–1999. Deep-Sea Res. I, 55, 1624–1638, doi:10.1016/ j.dsr.2008.07.009</w:t>
      </w:r>
    </w:p>
    <w:p w14:paraId="038F8C5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Gage, J. &amp; Tyler, P. (1991) </w:t>
      </w:r>
      <w:r w:rsidRPr="009978E3">
        <w:rPr>
          <w:rFonts w:eastAsia="MS Mincho"/>
          <w:i/>
          <w:sz w:val="22"/>
          <w:szCs w:val="22"/>
          <w:lang w:val="en-US"/>
        </w:rPr>
        <w:t>Deep-sea biology: a natural history of organisms at the deep-sea floor</w:t>
      </w:r>
      <w:r w:rsidRPr="009978E3">
        <w:rPr>
          <w:rFonts w:eastAsia="MS Mincho"/>
          <w:sz w:val="22"/>
          <w:szCs w:val="22"/>
          <w:lang w:val="en-US"/>
        </w:rPr>
        <w:t>. Cambridge University Press.</w:t>
      </w:r>
    </w:p>
    <w:p w14:paraId="350876C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Galgani, F., Leaute, J., Moguedet, P., Souplet, A., Verin, Y., Carpentier, A., Goraguer, H., Latrouite, D., Andral, B., Cadiou, Y., Mahe, J., Poulard, J., Nerisson, P. (2000). Litter on the sea floor along European coasts. </w:t>
      </w:r>
      <w:r w:rsidRPr="009978E3">
        <w:rPr>
          <w:rFonts w:eastAsia="MS Mincho"/>
          <w:i/>
          <w:sz w:val="22"/>
          <w:szCs w:val="22"/>
          <w:lang w:val="en-US"/>
        </w:rPr>
        <w:t>Marine Pollution Bulletin</w:t>
      </w:r>
      <w:r w:rsidRPr="009978E3">
        <w:rPr>
          <w:rFonts w:eastAsia="MS Mincho"/>
          <w:sz w:val="22"/>
          <w:szCs w:val="22"/>
          <w:lang w:val="en-US"/>
        </w:rPr>
        <w:t xml:space="preserve"> 40: 516–527.</w:t>
      </w:r>
    </w:p>
    <w:p w14:paraId="20C22DA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Galgani, F., Souplet, A. &amp; Cadiou, Y. (1996). </w:t>
      </w:r>
      <w:r w:rsidRPr="009978E3">
        <w:rPr>
          <w:rFonts w:eastAsia="MS Mincho"/>
          <w:sz w:val="22"/>
          <w:szCs w:val="22"/>
          <w:lang w:val="en-US"/>
        </w:rPr>
        <w:t xml:space="preserve">Accumulation of debris on the deep sea floor off the French Mediterranean coast. </w:t>
      </w:r>
      <w:r w:rsidRPr="009978E3">
        <w:rPr>
          <w:rFonts w:eastAsia="MS Mincho"/>
          <w:i/>
          <w:sz w:val="22"/>
          <w:szCs w:val="22"/>
          <w:lang w:val="en-US"/>
        </w:rPr>
        <w:t>Marine Ecology Progress Series</w:t>
      </w:r>
      <w:r w:rsidRPr="009978E3">
        <w:rPr>
          <w:rFonts w:eastAsia="MS Mincho"/>
          <w:sz w:val="22"/>
          <w:szCs w:val="22"/>
          <w:lang w:val="en-US"/>
        </w:rPr>
        <w:t xml:space="preserve"> 142: 225–234. </w:t>
      </w:r>
    </w:p>
    <w:p w14:paraId="545D31D5"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en-US"/>
        </w:rPr>
        <w:t xml:space="preserve">Garcia, A. C. M. (2008). Fine Sediments resuspension processes and transport in Nazaré Submarine Canyon (Doctoral dissertation, Dissertation presented to the Instituto Superior Técnico of the Universidade Técnica de Lisboa, for the PhD degree in Environmental Engineering. </w:t>
      </w:r>
      <w:r w:rsidRPr="009978E3">
        <w:rPr>
          <w:rFonts w:eastAsia="MS Mincho"/>
          <w:sz w:val="22"/>
          <w:szCs w:val="22"/>
          <w:lang w:val="nl-NL"/>
        </w:rPr>
        <w:t>150 pp.</w:t>
      </w:r>
    </w:p>
    <w:p w14:paraId="164DA900"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nl-NL"/>
        </w:rPr>
        <w:t xml:space="preserve">Garcia, K., Koho, H., de Stigter, H., Epping, E., Koning, L. &amp; Thomsen, L. (2007). </w:t>
      </w:r>
      <w:r w:rsidRPr="009978E3">
        <w:rPr>
          <w:rFonts w:eastAsia="MS Mincho"/>
          <w:sz w:val="22"/>
          <w:szCs w:val="22"/>
          <w:lang w:val="en-US"/>
        </w:rPr>
        <w:t xml:space="preserve">Distribution of meiobenthos in the Nazare canyon and adjacent slope (western Iberian Margin) in relation to sedimentary composition. </w:t>
      </w:r>
      <w:r w:rsidRPr="009978E3">
        <w:rPr>
          <w:rFonts w:eastAsia="MS Mincho"/>
          <w:i/>
          <w:sz w:val="22"/>
          <w:szCs w:val="22"/>
          <w:lang w:val="pt-PT"/>
        </w:rPr>
        <w:t>Marine Ecology Progress Series</w:t>
      </w:r>
      <w:r w:rsidRPr="009978E3">
        <w:rPr>
          <w:rFonts w:eastAsia="MS Mincho"/>
          <w:sz w:val="22"/>
          <w:szCs w:val="22"/>
          <w:lang w:val="pt-PT"/>
        </w:rPr>
        <w:t xml:space="preserve"> 340: 207–220.</w:t>
      </w:r>
    </w:p>
    <w:p w14:paraId="3C5918B3"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Garcia, M., Ercilla, G., Alonso, B., Estrada, F., Jane, G., Mena, A. &amp; Juan, C. (2015). </w:t>
      </w:r>
      <w:r w:rsidRPr="009978E3">
        <w:rPr>
          <w:rFonts w:eastAsia="MS Mincho"/>
          <w:sz w:val="22"/>
          <w:szCs w:val="22"/>
          <w:lang w:val="en-US"/>
        </w:rPr>
        <w:t xml:space="preserve">Deep-water turbidite systems: a review of their elements, sedimentary processes and depositional models. </w:t>
      </w:r>
      <w:r w:rsidRPr="009978E3">
        <w:rPr>
          <w:rFonts w:eastAsia="MS Mincho"/>
          <w:sz w:val="22"/>
          <w:szCs w:val="22"/>
          <w:lang w:val="pt-PT"/>
        </w:rPr>
        <w:t xml:space="preserve">Their characteristics on the Iberian margins-Sistemas turbidíticos de aguas profundas: revisión de sus elementos, procesos sedimentarios y modelos deposicionales. Sus características en los márgenes Ibéricos. </w:t>
      </w:r>
      <w:r w:rsidRPr="009978E3">
        <w:rPr>
          <w:rFonts w:eastAsia="MS Mincho"/>
          <w:i/>
          <w:sz w:val="22"/>
          <w:szCs w:val="22"/>
          <w:lang w:val="pt-PT"/>
        </w:rPr>
        <w:t>Boletín Geológico y Minero</w:t>
      </w:r>
      <w:r w:rsidRPr="009978E3">
        <w:rPr>
          <w:rFonts w:eastAsia="MS Mincho"/>
          <w:sz w:val="22"/>
          <w:szCs w:val="22"/>
          <w:lang w:val="pt-PT"/>
        </w:rPr>
        <w:t xml:space="preserve"> 126(2-3): 189-218.</w:t>
      </w:r>
    </w:p>
    <w:p w14:paraId="4115719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Garcia, R. &amp; Thomsen, L. (2008). Bioavailable organic matter in surface sediments of the Nazare canyon and adjacent slope (Western Iberian Margin). Journal of Marine Systems 74, 44–59. </w:t>
      </w:r>
    </w:p>
    <w:p w14:paraId="6EB4145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García-Lafuente, J., Delgado, J., Criado-Aldeanueva, F., Bruno, M., del Río, J. &amp; Vargas, J. (2006). </w:t>
      </w:r>
      <w:r w:rsidRPr="009978E3">
        <w:rPr>
          <w:rFonts w:eastAsia="MS Mincho"/>
          <w:sz w:val="22"/>
          <w:szCs w:val="22"/>
          <w:lang w:val="en-US"/>
        </w:rPr>
        <w:t xml:space="preserve">Water mass circulation on the continental shelf of the Gulf of Cadiz.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53(11-13): 1182-1197.</w:t>
      </w:r>
    </w:p>
    <w:p w14:paraId="0D7CF69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Gardner, W. (1989). Periodic resuspension in Baltimore Canyon by focusing of internal waves. </w:t>
      </w:r>
      <w:r w:rsidRPr="009978E3">
        <w:rPr>
          <w:rFonts w:eastAsia="MS Mincho"/>
          <w:i/>
          <w:sz w:val="22"/>
          <w:szCs w:val="22"/>
          <w:lang w:val="en-US"/>
        </w:rPr>
        <w:t>Journal of Geophysical Research</w:t>
      </w:r>
      <w:r w:rsidRPr="009978E3">
        <w:rPr>
          <w:rFonts w:eastAsia="MS Mincho"/>
          <w:sz w:val="22"/>
          <w:szCs w:val="22"/>
          <w:lang w:val="en-US"/>
        </w:rPr>
        <w:t xml:space="preserve"> 94: 18185–18194.</w:t>
      </w:r>
    </w:p>
    <w:p w14:paraId="0E0CE67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Garrett, C. (2003). Internal tides and ocean mixing. </w:t>
      </w:r>
      <w:r w:rsidRPr="009978E3">
        <w:rPr>
          <w:rFonts w:eastAsia="MS Mincho"/>
          <w:i/>
          <w:sz w:val="22"/>
          <w:szCs w:val="22"/>
          <w:lang w:val="en-US"/>
        </w:rPr>
        <w:t>Science</w:t>
      </w:r>
      <w:r w:rsidRPr="009978E3">
        <w:rPr>
          <w:rFonts w:eastAsia="MS Mincho"/>
          <w:sz w:val="22"/>
          <w:szCs w:val="22"/>
          <w:lang w:val="en-US"/>
        </w:rPr>
        <w:t xml:space="preserve"> 301: 1858-1859.</w:t>
      </w:r>
    </w:p>
    <w:p w14:paraId="1FF2DE8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Genin, A. &amp; Dower, J. (2007) </w:t>
      </w:r>
      <w:r w:rsidRPr="009978E3">
        <w:rPr>
          <w:rFonts w:eastAsia="MS Mincho"/>
          <w:i/>
          <w:sz w:val="22"/>
          <w:szCs w:val="22"/>
          <w:lang w:val="en-US"/>
        </w:rPr>
        <w:t>Seamount plankton dynamics</w:t>
      </w:r>
      <w:r w:rsidRPr="009978E3">
        <w:rPr>
          <w:rFonts w:eastAsia="MS Mincho"/>
          <w:sz w:val="22"/>
          <w:szCs w:val="22"/>
          <w:lang w:val="en-US"/>
        </w:rPr>
        <w:t>. In: Pitcher, T.J., T. Morato, P.J.B. Hart, M.R. Clark, N. Haggan and R.S. Santos (Eds) Seamounts: Ecology, Fisheries &amp; Conservation. Fish and Aquatic Resources Series 12, Blackwell Publishing, Oxford, United Kingdom, pp 85-100.</w:t>
      </w:r>
    </w:p>
    <w:p w14:paraId="43503684"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Genin, A. (2004). Bio-physical coupling in the formation of zooplankton and fish aggregations over abrupt topographies. </w:t>
      </w:r>
      <w:r w:rsidRPr="009978E3">
        <w:rPr>
          <w:rFonts w:eastAsia="MS Mincho"/>
          <w:i/>
          <w:sz w:val="22"/>
          <w:szCs w:val="22"/>
          <w:lang w:val="fr-CA"/>
        </w:rPr>
        <w:t>Journal of Marine Systems</w:t>
      </w:r>
      <w:r w:rsidRPr="009978E3">
        <w:rPr>
          <w:rFonts w:eastAsia="MS Mincho"/>
          <w:sz w:val="22"/>
          <w:szCs w:val="22"/>
          <w:lang w:val="fr-CA"/>
        </w:rPr>
        <w:t xml:space="preserve"> 50: 3–20.</w:t>
      </w:r>
    </w:p>
    <w:p w14:paraId="77482C62" w14:textId="77777777" w:rsidR="006B3F46" w:rsidRPr="009978E3" w:rsidDel="001767B9" w:rsidRDefault="006B3F46" w:rsidP="00907941">
      <w:pPr>
        <w:ind w:left="567" w:hanging="567"/>
        <w:jc w:val="both"/>
        <w:rPr>
          <w:rFonts w:eastAsia="MS Mincho"/>
          <w:sz w:val="22"/>
          <w:szCs w:val="22"/>
          <w:lang w:val="en-US"/>
        </w:rPr>
      </w:pPr>
      <w:r w:rsidRPr="009978E3">
        <w:rPr>
          <w:rFonts w:eastAsia="MS Mincho"/>
          <w:sz w:val="22"/>
          <w:szCs w:val="22"/>
          <w:lang w:val="fr-CA"/>
        </w:rPr>
        <w:t xml:space="preserve">Gili, J. M., Pagès, F., Bouillon, J., Palanques, A., Puig, P., Heussner, S. &amp; Monaco, A. (2000). </w:t>
      </w:r>
      <w:r w:rsidRPr="009978E3">
        <w:rPr>
          <w:rFonts w:eastAsia="MS Mincho"/>
          <w:sz w:val="22"/>
          <w:szCs w:val="22"/>
          <w:lang w:val="en-US"/>
        </w:rPr>
        <w:t xml:space="preserve">A multidisciplinary approach to the understanding of hydromedusan populations inhabiting Mediterranean submarine canyons. </w:t>
      </w:r>
      <w:r w:rsidRPr="009978E3">
        <w:rPr>
          <w:rFonts w:eastAsia="MS Mincho"/>
          <w:i/>
          <w:sz w:val="22"/>
          <w:szCs w:val="22"/>
          <w:lang w:val="en-US"/>
        </w:rPr>
        <w:t>Deep Sea Research Part I: Oceanographic Research Papers</w:t>
      </w:r>
      <w:r w:rsidRPr="009978E3">
        <w:rPr>
          <w:rFonts w:eastAsia="MS Mincho"/>
          <w:sz w:val="22"/>
          <w:szCs w:val="22"/>
          <w:lang w:val="en-US"/>
        </w:rPr>
        <w:t xml:space="preserve"> 47(8): 1513-1533. </w:t>
      </w:r>
    </w:p>
    <w:p w14:paraId="26DBA1E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Gili, J., Bouillon, J., Pages, E., Palanques, A. &amp; Puig, P. (1999). Submarine canyons as habitats of prolific plankton populations: three new deep-sea Hydroido-medusae in the western Mediterranean</w:t>
      </w:r>
      <w:r w:rsidRPr="009978E3">
        <w:rPr>
          <w:rFonts w:eastAsia="MS Mincho"/>
          <w:i/>
          <w:sz w:val="22"/>
          <w:szCs w:val="22"/>
          <w:lang w:val="en-US"/>
        </w:rPr>
        <w:t>. Journal of the Linnean Society</w:t>
      </w:r>
      <w:r w:rsidRPr="009978E3">
        <w:rPr>
          <w:rFonts w:eastAsia="MS Mincho"/>
          <w:sz w:val="22"/>
          <w:szCs w:val="22"/>
          <w:lang w:val="en-US"/>
        </w:rPr>
        <w:t xml:space="preserve"> 225: 313–329.</w:t>
      </w:r>
    </w:p>
    <w:p w14:paraId="52DF60A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Goetz, S., Read, F.L., Ferreira, M., Martínez-Portela, J., Santos, M.B., Vingada, J., Siebert, U., Marcalo, A., Santos, J., Araújo, H., Monteiro, S., Caldas, M., Riera, M., Pierce, G.J., Aquatic Conservation: Marine and Freshwater Ecosystems, 25: 138-154.</w:t>
      </w:r>
    </w:p>
    <w:p w14:paraId="5E8BCDEB"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 xml:space="preserve">Goezt </w:t>
      </w:r>
      <w:r w:rsidRPr="0006066A">
        <w:rPr>
          <w:rFonts w:eastAsia="MS Mincho"/>
          <w:i/>
          <w:sz w:val="22"/>
          <w:szCs w:val="22"/>
          <w:lang w:val="es-ES"/>
        </w:rPr>
        <w:t>et al</w:t>
      </w:r>
      <w:r w:rsidRPr="009978E3">
        <w:rPr>
          <w:rFonts w:eastAsia="MS Mincho"/>
          <w:sz w:val="22"/>
          <w:szCs w:val="22"/>
          <w:lang w:val="es-ES"/>
        </w:rPr>
        <w:t>., S, Read, F.L., Ferreira, M., Martínez Portela, J., Santos, M.B., Vingada, J., Siebert, U., Marcalo, A., Santos, J., Araújo, H., Monteiro, S., Caldas, M., Riera, M., Pierce, G.J., 2015. Cetacean occurrence, habitat preferences and potential for cetacean–fishery interactions in Iberian Atlantic waters: results from cooperative research involving local stakeholders. Aquatic Conservation: Marine and Freshwater Ecosystems, 25(1): 138-154</w:t>
      </w:r>
    </w:p>
    <w:p w14:paraId="346795C0" w14:textId="77777777" w:rsidR="006B3F46" w:rsidRPr="009978E3" w:rsidRDefault="006B3F46" w:rsidP="00907941">
      <w:pPr>
        <w:ind w:left="567" w:hanging="567"/>
        <w:jc w:val="both"/>
        <w:rPr>
          <w:rFonts w:eastAsia="MS Mincho"/>
          <w:sz w:val="22"/>
          <w:szCs w:val="22"/>
          <w:lang w:val="pt-PT"/>
        </w:rPr>
      </w:pPr>
      <w:r w:rsidRPr="009978E3">
        <w:rPr>
          <w:color w:val="222222"/>
          <w:sz w:val="22"/>
          <w:szCs w:val="22"/>
          <w:shd w:val="clear" w:color="auto" w:fill="FFFFFF"/>
          <w:lang w:val="en-US"/>
        </w:rPr>
        <w:t>Gofas S., Kantor Y. &amp; Luque Á. A. (2014). </w:t>
      </w:r>
      <w:r w:rsidRPr="009978E3">
        <w:rPr>
          <w:i/>
          <w:iCs/>
          <w:color w:val="222222"/>
          <w:sz w:val="22"/>
          <w:szCs w:val="22"/>
          <w:shd w:val="clear" w:color="auto" w:fill="FFFFFF"/>
          <w:lang w:val="pt-PT"/>
        </w:rPr>
        <w:t>A new Aforia (Gastropoda: Conoidea: Cochlespiridae) from Galicia Bank (NW Iberian Peninsula)</w:t>
      </w:r>
      <w:r w:rsidRPr="009978E3">
        <w:rPr>
          <w:color w:val="222222"/>
          <w:sz w:val="22"/>
          <w:szCs w:val="22"/>
          <w:shd w:val="clear" w:color="auto" w:fill="FFFFFF"/>
          <w:lang w:val="pt-PT"/>
        </w:rPr>
        <w:t>. Iberus. 32(1): 45-51</w:t>
      </w:r>
    </w:p>
    <w:p w14:paraId="04E8B76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Gómez-Ballesteros, M., Druet, M., Muñoz, A., Arrese, B., Rivera, J., Sánchez, F., Cristobo, J., Parra, S., García- Alegre, A., González-Pola, C., Gallastegui, J. &amp; Acosta, J. (2014). </w:t>
      </w:r>
      <w:r w:rsidRPr="009978E3">
        <w:rPr>
          <w:rFonts w:eastAsia="MS Mincho"/>
          <w:sz w:val="22"/>
          <w:szCs w:val="22"/>
          <w:lang w:val="en-US"/>
        </w:rPr>
        <w:t xml:space="preserve">Geomorphology of the Avilés Canyon System, Cantabrian Sea (Bay of Biscay). </w:t>
      </w:r>
      <w:r w:rsidRPr="009978E3">
        <w:rPr>
          <w:rFonts w:eastAsia="MS Mincho"/>
          <w:i/>
          <w:sz w:val="22"/>
          <w:szCs w:val="22"/>
          <w:lang w:val="en-US"/>
        </w:rPr>
        <w:t>Deep-Sea Research II</w:t>
      </w:r>
      <w:r w:rsidRPr="009978E3">
        <w:rPr>
          <w:rFonts w:eastAsia="MS Mincho"/>
          <w:sz w:val="22"/>
          <w:szCs w:val="22"/>
          <w:lang w:val="en-US"/>
        </w:rPr>
        <w:t xml:space="preserve"> 106: 99-117.</w:t>
      </w:r>
    </w:p>
    <w:p w14:paraId="6ECFA26F"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nl-NL"/>
        </w:rPr>
        <w:t xml:space="preserve">Gong, C., Wang Y., Zhu, W., Li, W. &amp; Xu, Q. (2013). </w:t>
      </w:r>
      <w:r w:rsidRPr="009978E3">
        <w:rPr>
          <w:rFonts w:eastAsia="MS Mincho"/>
          <w:sz w:val="22"/>
          <w:szCs w:val="22"/>
          <w:lang w:val="en-US"/>
        </w:rPr>
        <w:t xml:space="preserve">Upper Miocene to Quaternary unidirectionally migrating deepwater channels in the Pearl River Mouth Basin, northern South China Sea. </w:t>
      </w:r>
      <w:r w:rsidRPr="009978E3">
        <w:rPr>
          <w:rFonts w:eastAsia="MS Mincho"/>
          <w:i/>
          <w:sz w:val="22"/>
          <w:szCs w:val="22"/>
          <w:lang w:val="pt-PT"/>
        </w:rPr>
        <w:t>AAPG Bulletin</w:t>
      </w:r>
      <w:r w:rsidRPr="009978E3">
        <w:rPr>
          <w:rFonts w:eastAsia="MS Mincho"/>
          <w:sz w:val="22"/>
          <w:szCs w:val="22"/>
          <w:lang w:val="pt-PT"/>
        </w:rPr>
        <w:t xml:space="preserve"> 97: 285-308.</w:t>
      </w:r>
    </w:p>
    <w:p w14:paraId="2E975DE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González-Irusta, J.M., De la Torriente, A., Punzón, A., Blanco, M., Serrano, A., 2018. </w:t>
      </w:r>
      <w:r w:rsidRPr="009978E3">
        <w:rPr>
          <w:rFonts w:eastAsia="MS Mincho"/>
          <w:sz w:val="22"/>
          <w:szCs w:val="22"/>
          <w:lang w:val="en-US"/>
        </w:rPr>
        <w:t>Determining and mapping species sensitivity to trawling impacts: the BEnthos Sensitivity Index to Trawling Operations (BESITO). ICES Journal of Marine Science, 75(5), 1710–1721. doi:10.1093/icesjms/fsy030</w:t>
      </w:r>
    </w:p>
    <w:p w14:paraId="7FF96DC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González-Pola, C., del Río, G., Ruiz-Villarreal, M., Sánchez, R. &amp; Mohn, C. (2012) Circulation patterns at Le Danois Bank, an elongated shelf-adjacent seamount in the Bay of Biscay. </w:t>
      </w:r>
      <w:r w:rsidRPr="009978E3">
        <w:rPr>
          <w:rFonts w:eastAsia="MS Mincho"/>
          <w:i/>
          <w:sz w:val="22"/>
          <w:szCs w:val="22"/>
          <w:lang w:val="en-US"/>
        </w:rPr>
        <w:t>Deep Sea Research Part I: Oceanographic Research Papers</w:t>
      </w:r>
      <w:r w:rsidRPr="009978E3">
        <w:rPr>
          <w:rFonts w:eastAsia="MS Mincho"/>
          <w:sz w:val="22"/>
          <w:szCs w:val="22"/>
          <w:lang w:val="en-US"/>
        </w:rPr>
        <w:t xml:space="preserve"> 60: 7-21.</w:t>
      </w:r>
    </w:p>
    <w:p w14:paraId="1EF4905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Greene, C., Wiebe, P., Burczynski, J. &amp; Youngbluth, M. (1988). Acoustical detection of high-density krill demersal layers in the submarine canyons off Georges Bank. </w:t>
      </w:r>
      <w:r w:rsidRPr="009978E3">
        <w:rPr>
          <w:rFonts w:eastAsia="MS Mincho"/>
          <w:i/>
          <w:sz w:val="22"/>
          <w:szCs w:val="22"/>
          <w:lang w:val="en-US"/>
        </w:rPr>
        <w:t>Science</w:t>
      </w:r>
      <w:r w:rsidRPr="009978E3">
        <w:rPr>
          <w:rFonts w:eastAsia="MS Mincho"/>
          <w:sz w:val="22"/>
          <w:szCs w:val="22"/>
          <w:lang w:val="en-US"/>
        </w:rPr>
        <w:t xml:space="preserve"> 241: 359–361.</w:t>
      </w:r>
    </w:p>
    <w:p w14:paraId="2751D33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Grime, J. (1973). Competitive exclusion in herbaceous vegetation. </w:t>
      </w:r>
      <w:r w:rsidRPr="009978E3">
        <w:rPr>
          <w:rFonts w:eastAsia="MS Mincho"/>
          <w:i/>
          <w:sz w:val="22"/>
          <w:szCs w:val="22"/>
          <w:lang w:val="en-US"/>
        </w:rPr>
        <w:t>Nature</w:t>
      </w:r>
      <w:r w:rsidRPr="009978E3">
        <w:rPr>
          <w:rFonts w:eastAsia="MS Mincho"/>
          <w:sz w:val="22"/>
          <w:szCs w:val="22"/>
          <w:lang w:val="en-US"/>
        </w:rPr>
        <w:t xml:space="preserve"> 242: 344–347.</w:t>
      </w:r>
    </w:p>
    <w:p w14:paraId="0921942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Gruetzner, J., Uenzelmann-Neben, G. &amp; Franke, D. (2016). </w:t>
      </w:r>
      <w:r w:rsidRPr="009978E3">
        <w:rPr>
          <w:rFonts w:eastAsia="MS Mincho"/>
          <w:sz w:val="22"/>
          <w:szCs w:val="22"/>
          <w:lang w:val="en-US"/>
        </w:rPr>
        <w:t xml:space="preserve">Evolution of the northern Argentine margin during the Cenozoic controlled by bottom current dynamics and gravitational processes. </w:t>
      </w:r>
      <w:r w:rsidRPr="009978E3">
        <w:rPr>
          <w:rFonts w:eastAsia="MS Mincho"/>
          <w:i/>
          <w:sz w:val="22"/>
          <w:szCs w:val="22"/>
          <w:lang w:val="en-US"/>
        </w:rPr>
        <w:t>Geochemistry, Geophysics, Geosystems</w:t>
      </w:r>
      <w:r w:rsidRPr="009978E3">
        <w:rPr>
          <w:rFonts w:eastAsia="MS Mincho"/>
          <w:sz w:val="22"/>
          <w:szCs w:val="22"/>
          <w:lang w:val="en-US"/>
        </w:rPr>
        <w:t xml:space="preserve"> 17(8): 3131-3149.</w:t>
      </w:r>
    </w:p>
    <w:p w14:paraId="683CFFC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Gubbay, S. (2003) </w:t>
      </w:r>
      <w:r w:rsidRPr="009978E3">
        <w:rPr>
          <w:rFonts w:eastAsia="MS Mincho"/>
          <w:i/>
          <w:sz w:val="22"/>
          <w:szCs w:val="22"/>
          <w:lang w:val="en-US"/>
        </w:rPr>
        <w:t>Seamounts of the North-East Atlantic</w:t>
      </w:r>
      <w:r w:rsidRPr="009978E3">
        <w:rPr>
          <w:rFonts w:eastAsia="MS Mincho"/>
          <w:sz w:val="22"/>
          <w:szCs w:val="22"/>
          <w:lang w:val="en-US"/>
        </w:rPr>
        <w:t>. WWF Germany, Frankfurtam Main, Germany.</w:t>
      </w:r>
    </w:p>
    <w:p w14:paraId="072D087A"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Guerreiro, C., Oliveira, A. &amp; Rodrigues, A. (2009) Shelfbreak canyons versus “Gouf” canyons: A comparative study based on the silt-clay mineralogy of bottom sediments from Oporto, Aveiro and Nazaré Submarine Canyons. </w:t>
      </w:r>
      <w:r w:rsidRPr="009978E3">
        <w:rPr>
          <w:rFonts w:eastAsia="MS Mincho"/>
          <w:i/>
          <w:sz w:val="22"/>
          <w:szCs w:val="22"/>
          <w:lang w:val="pt-PT"/>
        </w:rPr>
        <w:t>Journal of Coastal Research</w:t>
      </w:r>
      <w:r w:rsidRPr="009978E3">
        <w:rPr>
          <w:rFonts w:eastAsia="MS Mincho"/>
          <w:sz w:val="22"/>
          <w:szCs w:val="22"/>
          <w:lang w:val="pt-PT"/>
        </w:rPr>
        <w:t xml:space="preserve"> 56: 722–726.</w:t>
      </w:r>
    </w:p>
    <w:p w14:paraId="65AAF6F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Guerreiro, C., Rodrigues, A., Duarte, J., Oliveira, A. &amp; Taborda, R. (2007). </w:t>
      </w:r>
      <w:r w:rsidRPr="009978E3">
        <w:rPr>
          <w:rFonts w:eastAsia="MS Mincho"/>
          <w:sz w:val="22"/>
          <w:szCs w:val="22"/>
          <w:lang w:val="en-US"/>
        </w:rPr>
        <w:t xml:space="preserve">Bottom sediment signature associated with the Oporto, Aveiro and Nazaré Submarine Canyons (NW off Portugal): </w:t>
      </w:r>
      <w:r w:rsidRPr="009978E3">
        <w:rPr>
          <w:rFonts w:eastAsia="MS Mincho"/>
          <w:i/>
          <w:sz w:val="22"/>
          <w:szCs w:val="22"/>
          <w:lang w:val="en-US"/>
        </w:rPr>
        <w:t>Thalassas</w:t>
      </w:r>
      <w:r w:rsidRPr="009978E3">
        <w:rPr>
          <w:rFonts w:eastAsia="MS Mincho"/>
          <w:sz w:val="22"/>
          <w:szCs w:val="22"/>
          <w:lang w:val="en-US"/>
        </w:rPr>
        <w:t xml:space="preserve"> 23: 9–18.</w:t>
      </w:r>
    </w:p>
    <w:p w14:paraId="6AD1B9AC" w14:textId="77777777" w:rsidR="006B3F46" w:rsidRPr="009978E3" w:rsidDel="001767B9" w:rsidRDefault="006B3F46" w:rsidP="00907941">
      <w:pPr>
        <w:ind w:left="567" w:hanging="567"/>
        <w:jc w:val="both"/>
        <w:rPr>
          <w:rFonts w:eastAsia="MS Mincho"/>
          <w:sz w:val="22"/>
          <w:szCs w:val="22"/>
          <w:lang w:val="en-US"/>
        </w:rPr>
      </w:pPr>
      <w:r w:rsidRPr="009978E3">
        <w:rPr>
          <w:rFonts w:eastAsia="MS Mincho"/>
          <w:sz w:val="22"/>
          <w:szCs w:val="22"/>
          <w:lang w:val="pt-PT"/>
        </w:rPr>
        <w:t xml:space="preserve">Guerreiro, C., Sá, C., de Stigter, H., Oliveira, A., Cachão, M., Cros, L. &amp; Rodrigues, A. (2014). </w:t>
      </w:r>
      <w:r w:rsidRPr="009978E3">
        <w:rPr>
          <w:rFonts w:eastAsia="MS Mincho"/>
          <w:sz w:val="22"/>
          <w:szCs w:val="22"/>
          <w:lang w:val="en-US"/>
        </w:rPr>
        <w:t xml:space="preserve">Influence of the Nazaré Canyon, central Portuguese margin, on late winter coccolithophore assemblages.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104: 335-358.</w:t>
      </w:r>
    </w:p>
    <w:p w14:paraId="0ACCE80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Hall, R. &amp; Carter, G. (2011). Internal tides in Monterey submarine canyon. </w:t>
      </w:r>
      <w:r w:rsidRPr="009978E3">
        <w:rPr>
          <w:rFonts w:eastAsia="MS Mincho"/>
          <w:i/>
          <w:sz w:val="22"/>
          <w:szCs w:val="22"/>
          <w:lang w:val="en-US"/>
        </w:rPr>
        <w:t>Journal of Physical Oceanography</w:t>
      </w:r>
      <w:r w:rsidRPr="009978E3">
        <w:rPr>
          <w:rFonts w:eastAsia="MS Mincho"/>
          <w:sz w:val="22"/>
          <w:szCs w:val="22"/>
          <w:lang w:val="en-US"/>
        </w:rPr>
        <w:t xml:space="preserve"> 41: 186–204.</w:t>
      </w:r>
    </w:p>
    <w:p w14:paraId="71EF429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Hammond, P.S., C. Lacey, A. Gilles, S. Viquerat, P. Börjesson, H. Herr, K. Macleod, V. Ridoux, M.B.</w:t>
      </w:r>
    </w:p>
    <w:p w14:paraId="02D99A9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Hargrave, B., Kostylev, V. &amp; Hawkins, C. (2004). Benthic epifauna assemblages, biomass and respiration in The Gully region on the Scotian Shelf, NW Atlantic Ocean. </w:t>
      </w:r>
      <w:r w:rsidRPr="009978E3">
        <w:rPr>
          <w:rFonts w:eastAsia="MS Mincho"/>
          <w:i/>
          <w:sz w:val="22"/>
          <w:szCs w:val="22"/>
          <w:lang w:val="en-US"/>
        </w:rPr>
        <w:t>Marine Ecology Progress Series</w:t>
      </w:r>
      <w:r w:rsidRPr="009978E3">
        <w:rPr>
          <w:rFonts w:eastAsia="MS Mincho"/>
          <w:sz w:val="22"/>
          <w:szCs w:val="22"/>
          <w:lang w:val="en-US"/>
        </w:rPr>
        <w:t xml:space="preserve"> 270: 55–70. </w:t>
      </w:r>
    </w:p>
    <w:p w14:paraId="710BFAC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Harris, P. &amp; Whiteway, T. (2011). Global distribution of large submarine canyons: Geomorphic differences between active and passive continental margins. </w:t>
      </w:r>
      <w:r w:rsidRPr="009978E3">
        <w:rPr>
          <w:rFonts w:eastAsia="MS Mincho"/>
          <w:i/>
          <w:sz w:val="22"/>
          <w:szCs w:val="22"/>
          <w:lang w:val="en-US"/>
        </w:rPr>
        <w:t>Marine Geology</w:t>
      </w:r>
      <w:r w:rsidRPr="009978E3">
        <w:rPr>
          <w:rFonts w:eastAsia="MS Mincho"/>
          <w:sz w:val="22"/>
          <w:szCs w:val="22"/>
          <w:lang w:val="en-US"/>
        </w:rPr>
        <w:t xml:space="preserve"> 285: 69–86. </w:t>
      </w:r>
    </w:p>
    <w:p w14:paraId="73A17EE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Harris, P., Macmillan-Lawler, M., Rupp, J. &amp; Baker, E. (2014). Geomorphology of the oceans. </w:t>
      </w:r>
      <w:r w:rsidRPr="009978E3">
        <w:rPr>
          <w:rFonts w:eastAsia="MS Mincho"/>
          <w:i/>
          <w:sz w:val="22"/>
          <w:szCs w:val="22"/>
          <w:lang w:val="en-US"/>
        </w:rPr>
        <w:t>Marine Geology</w:t>
      </w:r>
      <w:r w:rsidRPr="009978E3">
        <w:rPr>
          <w:rFonts w:eastAsia="MS Mincho"/>
          <w:sz w:val="22"/>
          <w:szCs w:val="22"/>
          <w:lang w:val="en-US"/>
        </w:rPr>
        <w:t xml:space="preserve"> 352: 4–24.</w:t>
      </w:r>
    </w:p>
    <w:p w14:paraId="158EABE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Harrold, C., Light, K. &amp; Lisin, S. (1998). Organic enrichment of continental shelf and deep-sea benthic communities by macroalgal drift imported from nearshore kelp forests. </w:t>
      </w:r>
      <w:r w:rsidRPr="009978E3">
        <w:rPr>
          <w:rFonts w:eastAsia="MS Mincho"/>
          <w:i/>
          <w:sz w:val="22"/>
          <w:szCs w:val="22"/>
          <w:lang w:val="en-US"/>
        </w:rPr>
        <w:t>Limnology and Oceanography</w:t>
      </w:r>
      <w:r w:rsidRPr="009978E3">
        <w:rPr>
          <w:rFonts w:eastAsia="MS Mincho"/>
          <w:sz w:val="22"/>
          <w:szCs w:val="22"/>
          <w:lang w:val="en-US"/>
        </w:rPr>
        <w:t xml:space="preserve"> 43: 669–678.</w:t>
      </w:r>
    </w:p>
    <w:p w14:paraId="1D658F1E"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Harvey, J., 1982. Theta-S relationships and water masses in the eastern North Atlantic. Deep Sea Res., 29 (8A), 1021–1033.</w:t>
      </w:r>
    </w:p>
    <w:p w14:paraId="5C302F5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Haynes, R. &amp; Barton, E. (1991) Lagrangian observations in the Iberian Coastal Transition Zone. </w:t>
      </w:r>
      <w:r w:rsidRPr="009978E3">
        <w:rPr>
          <w:rFonts w:eastAsia="MS Mincho"/>
          <w:i/>
          <w:sz w:val="22"/>
          <w:szCs w:val="22"/>
          <w:lang w:val="en-US"/>
        </w:rPr>
        <w:t>Journal of Geophysical Research-Oceans</w:t>
      </w:r>
      <w:r w:rsidRPr="009978E3">
        <w:rPr>
          <w:rFonts w:eastAsia="MS Mincho"/>
          <w:sz w:val="22"/>
          <w:szCs w:val="22"/>
          <w:lang w:val="en-US"/>
        </w:rPr>
        <w:t xml:space="preserve"> 96: 14731-14741.</w:t>
      </w:r>
    </w:p>
    <w:p w14:paraId="3F94F45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Haynes, R., Barton, E. &amp; Pilling, I. (1993). Development, persistence and variability of upwelling filaments off the Atlantic coast of the Iberian peninsula. </w:t>
      </w:r>
      <w:r w:rsidRPr="009978E3">
        <w:rPr>
          <w:rFonts w:eastAsia="MS Mincho"/>
          <w:i/>
          <w:sz w:val="22"/>
          <w:szCs w:val="22"/>
          <w:lang w:val="en-US"/>
        </w:rPr>
        <w:t>Journal of Geophysical Research</w:t>
      </w:r>
      <w:r w:rsidRPr="009978E3">
        <w:rPr>
          <w:rFonts w:eastAsia="MS Mincho"/>
          <w:sz w:val="22"/>
          <w:szCs w:val="22"/>
          <w:lang w:val="en-US"/>
        </w:rPr>
        <w:t xml:space="preserve"> 98: 22681- 22692.</w:t>
      </w:r>
    </w:p>
    <w:p w14:paraId="506EC8B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Hernández-Molina, F., Llave, E., Stow, D., García, M., Somoza, L., Vázquez, J. &amp; Medialdea, T. (2006). The contourite depositional system of the Gulf of Cadiz: a sedimentary model related to the bottom current activity of the Mediterranean outflow water and its interaction with the continental margin.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53(11-13): 1420-1463.</w:t>
      </w:r>
    </w:p>
    <w:p w14:paraId="4516A17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Hernández-Molina, F., Wåhlin, A., Bruno, M., Ercilla, G., Llave, E., Serra, N. &amp; Sánchez-González, J. (2015). Oceanographic processes and morphosedimentary products along the Iberian margins: A new multidisciplinary approach. </w:t>
      </w:r>
      <w:r w:rsidRPr="009978E3">
        <w:rPr>
          <w:rFonts w:eastAsia="MS Mincho"/>
          <w:i/>
          <w:sz w:val="22"/>
          <w:szCs w:val="22"/>
          <w:lang w:val="en-US"/>
        </w:rPr>
        <w:t>Marine Geology</w:t>
      </w:r>
      <w:r w:rsidRPr="009978E3">
        <w:rPr>
          <w:rFonts w:eastAsia="MS Mincho"/>
          <w:sz w:val="22"/>
          <w:szCs w:val="22"/>
          <w:lang w:val="en-US"/>
        </w:rPr>
        <w:t xml:space="preserve"> </w:t>
      </w:r>
      <w:r w:rsidRPr="009978E3">
        <w:rPr>
          <w:iCs/>
          <w:sz w:val="22"/>
          <w:szCs w:val="22"/>
        </w:rPr>
        <w:t>378</w:t>
      </w:r>
      <w:r w:rsidRPr="009978E3">
        <w:rPr>
          <w:sz w:val="22"/>
          <w:szCs w:val="22"/>
        </w:rPr>
        <w:t>: 127-156</w:t>
      </w:r>
    </w:p>
    <w:p w14:paraId="103C562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Heussner, S., Calafat, A. &amp; Palanques, A. (1996). </w:t>
      </w:r>
      <w:r w:rsidRPr="009978E3">
        <w:rPr>
          <w:rFonts w:eastAsia="MS Mincho"/>
          <w:i/>
          <w:sz w:val="22"/>
          <w:szCs w:val="22"/>
          <w:lang w:val="en-US"/>
        </w:rPr>
        <w:t>Quantitative and qualitative features of particle fluxes in the North-Balearic Basin</w:t>
      </w:r>
      <w:r w:rsidRPr="009978E3">
        <w:rPr>
          <w:rFonts w:eastAsia="MS Mincho"/>
          <w:sz w:val="22"/>
          <w:szCs w:val="22"/>
          <w:lang w:val="en-US"/>
        </w:rPr>
        <w:t>. In: Canals, M., Casamor, J.L., Cacho, I., Calafat, A.M., Monaco, A. (Eds.), EUROMARGE-NB Final Report. MAST II Programme, EC, vol. 2, 41–66 p.</w:t>
      </w:r>
    </w:p>
    <w:p w14:paraId="75C1D16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Hickey, B. (1997). The response of a steep-sided, narrow canyon to time variable wind forcing. </w:t>
      </w:r>
      <w:r w:rsidRPr="009978E3">
        <w:rPr>
          <w:rFonts w:eastAsia="MS Mincho"/>
          <w:i/>
          <w:sz w:val="22"/>
          <w:szCs w:val="22"/>
          <w:lang w:val="en-US"/>
        </w:rPr>
        <w:t>Journal of Physical Oceanography</w:t>
      </w:r>
      <w:r w:rsidRPr="009978E3">
        <w:rPr>
          <w:rFonts w:eastAsia="MS Mincho"/>
          <w:sz w:val="22"/>
          <w:szCs w:val="22"/>
          <w:lang w:val="en-US"/>
        </w:rPr>
        <w:t xml:space="preserve"> 27: 697–726.</w:t>
      </w:r>
    </w:p>
    <w:p w14:paraId="278C832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Hickey, B.M. 1995. </w:t>
      </w:r>
      <w:r w:rsidRPr="009978E3">
        <w:rPr>
          <w:rFonts w:eastAsia="MS Mincho"/>
          <w:i/>
          <w:sz w:val="22"/>
          <w:szCs w:val="22"/>
          <w:lang w:val="en-US"/>
        </w:rPr>
        <w:t>Coastal Submarine Canyons</w:t>
      </w:r>
      <w:r w:rsidRPr="009978E3">
        <w:rPr>
          <w:rFonts w:eastAsia="MS Mincho"/>
          <w:sz w:val="22"/>
          <w:szCs w:val="22"/>
          <w:lang w:val="en-US"/>
        </w:rPr>
        <w:t>. In: Proceedings Aha Huliko'a Hawaiian Winter Workshop 1995, Topographic Effects in the Ocean, pp. 95-110.</w:t>
      </w:r>
    </w:p>
    <w:p w14:paraId="5490B53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Hill, A., Souza, A., Jones, K., Simpson, J., Shapiro, G., McCandliss, R., Wilson, H. and Leftley, J. (1998). The Malin cascade in winter 1996. </w:t>
      </w:r>
      <w:r w:rsidRPr="009978E3">
        <w:rPr>
          <w:rFonts w:eastAsia="MS Mincho"/>
          <w:i/>
          <w:sz w:val="22"/>
          <w:szCs w:val="22"/>
          <w:lang w:val="en-US"/>
        </w:rPr>
        <w:t>Journal of Marine Research</w:t>
      </w:r>
      <w:r w:rsidRPr="009978E3">
        <w:rPr>
          <w:rFonts w:eastAsia="MS Mincho"/>
          <w:sz w:val="22"/>
          <w:szCs w:val="22"/>
          <w:lang w:val="en-US"/>
        </w:rPr>
        <w:t xml:space="preserve"> 56: 87-106.</w:t>
      </w:r>
    </w:p>
    <w:p w14:paraId="4E8468A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Hoff, G. (2010). Identification of skate nursery habitat in the eastern Bering Sea. </w:t>
      </w:r>
      <w:r w:rsidRPr="009978E3">
        <w:rPr>
          <w:rFonts w:eastAsia="MS Mincho"/>
          <w:i/>
          <w:sz w:val="22"/>
          <w:szCs w:val="22"/>
          <w:lang w:val="en-US"/>
        </w:rPr>
        <w:t>Marine Ecology Progress Series</w:t>
      </w:r>
      <w:r w:rsidRPr="009978E3">
        <w:rPr>
          <w:rFonts w:eastAsia="MS Mincho"/>
          <w:sz w:val="22"/>
          <w:szCs w:val="22"/>
          <w:lang w:val="en-US"/>
        </w:rPr>
        <w:t xml:space="preserve"> 403, 243–254. </w:t>
      </w:r>
    </w:p>
    <w:p w14:paraId="48AFA39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Holland, K. &amp; Grubbs, R. (2007) </w:t>
      </w:r>
      <w:r w:rsidRPr="009978E3">
        <w:rPr>
          <w:rFonts w:eastAsia="MS Mincho"/>
          <w:i/>
          <w:sz w:val="22"/>
          <w:szCs w:val="22"/>
          <w:lang w:val="en-US"/>
        </w:rPr>
        <w:t>Fish Visitors to Seamounts: Tunas and Billfish at Seamounts</w:t>
      </w:r>
      <w:r w:rsidRPr="009978E3">
        <w:rPr>
          <w:rFonts w:eastAsia="MS Mincho"/>
          <w:sz w:val="22"/>
          <w:szCs w:val="22"/>
          <w:lang w:val="en-US"/>
        </w:rPr>
        <w:t>. Chapter 10 Section A. in Pitcher, T.J., Morato, T., Hart, P.J.B., Clark, M.R., Haggan, N. and Santos, R.S. (eds) Seamounts: Ecology, Conservation and Management. Fish and Aquatic Resources Series, Blackwell, Oxford, UK. pp. 189-201.</w:t>
      </w:r>
    </w:p>
    <w:p w14:paraId="15229D7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Huang, Z., Nichol, S., Harris, P. &amp; Caley, M. (2014). Classification of submarine canyons of the Australian continental margin. </w:t>
      </w:r>
      <w:r w:rsidRPr="009978E3">
        <w:rPr>
          <w:rFonts w:eastAsia="MS Mincho"/>
          <w:i/>
          <w:sz w:val="22"/>
          <w:szCs w:val="22"/>
          <w:lang w:val="en-US"/>
        </w:rPr>
        <w:t>Marine Geology</w:t>
      </w:r>
      <w:r w:rsidRPr="009978E3">
        <w:rPr>
          <w:rFonts w:eastAsia="MS Mincho"/>
          <w:sz w:val="22"/>
          <w:szCs w:val="22"/>
          <w:lang w:val="en-US"/>
        </w:rPr>
        <w:t xml:space="preserve">. 357, </w:t>
      </w:r>
    </w:p>
    <w:p w14:paraId="6BFE882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Hughes, D., Shimmield, T., Black, K. &amp; Howe, J. (2015). Ecological impacts of large-scale disposal of mining waste in the deep sea</w:t>
      </w:r>
      <w:r w:rsidRPr="009978E3">
        <w:rPr>
          <w:rFonts w:eastAsia="MS Mincho"/>
          <w:i/>
          <w:sz w:val="22"/>
          <w:szCs w:val="22"/>
          <w:lang w:val="en-US"/>
        </w:rPr>
        <w:t>. Scientific Reports</w:t>
      </w:r>
      <w:r w:rsidRPr="009978E3">
        <w:rPr>
          <w:rFonts w:eastAsia="MS Mincho"/>
          <w:sz w:val="22"/>
          <w:szCs w:val="22"/>
          <w:lang w:val="en-US"/>
        </w:rPr>
        <w:t xml:space="preserve"> 5:9985.</w:t>
      </w:r>
    </w:p>
    <w:p w14:paraId="1EBA68C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Huston, M., 1994. Biological Diversity</w:t>
      </w:r>
      <w:r w:rsidRPr="009978E3" w:rsidDel="001767B9">
        <w:rPr>
          <w:rFonts w:eastAsia="MS Mincho"/>
          <w:sz w:val="22"/>
          <w:szCs w:val="22"/>
          <w:lang w:val="en-US"/>
        </w:rPr>
        <w:t>—</w:t>
      </w:r>
      <w:r w:rsidRPr="009978E3">
        <w:rPr>
          <w:rFonts w:eastAsia="MS Mincho"/>
          <w:sz w:val="22"/>
          <w:szCs w:val="22"/>
          <w:lang w:val="en-US"/>
        </w:rPr>
        <w:t xml:space="preserve"> - The Coexistence of Species on Changing Landscapes. Cambridge University Press, Cambridge</w:t>
      </w:r>
    </w:p>
    <w:p w14:paraId="7051A8A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Huthnance, J. (1995). Circulation, exchange and water masses at the ocean margin: the role of physical processes at the shelf edge. </w:t>
      </w:r>
      <w:r w:rsidRPr="009978E3">
        <w:rPr>
          <w:rFonts w:eastAsia="MS Mincho"/>
          <w:i/>
          <w:sz w:val="22"/>
          <w:szCs w:val="22"/>
          <w:lang w:val="en-US"/>
        </w:rPr>
        <w:t>Progress in Oceanography</w:t>
      </w:r>
      <w:r w:rsidRPr="009978E3">
        <w:rPr>
          <w:rFonts w:eastAsia="MS Mincho"/>
          <w:sz w:val="22"/>
          <w:szCs w:val="22"/>
          <w:lang w:val="en-US"/>
        </w:rPr>
        <w:t xml:space="preserve">. 35, 353–431. </w:t>
      </w:r>
    </w:p>
    <w:p w14:paraId="07BEED47"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en-US"/>
        </w:rPr>
        <w:t xml:space="preserve">Huvenne, V., Tyler, P., Masson, D., Fisher, E., Hauton, C., Hühnerbach, V. (2011). A picture on the wall: innovative mapping reveals cold-water coral refuge in submarine canyon. </w:t>
      </w:r>
      <w:r w:rsidRPr="009978E3">
        <w:rPr>
          <w:rFonts w:eastAsia="MS Mincho"/>
          <w:i/>
          <w:sz w:val="22"/>
          <w:szCs w:val="22"/>
          <w:lang w:val="nl-NL"/>
        </w:rPr>
        <w:t xml:space="preserve">PLoS ONE </w:t>
      </w:r>
      <w:r w:rsidRPr="009978E3">
        <w:rPr>
          <w:rFonts w:eastAsia="MS Mincho"/>
          <w:sz w:val="22"/>
          <w:szCs w:val="22"/>
          <w:lang w:val="nl-NL"/>
        </w:rPr>
        <w:t>6:e28755.</w:t>
      </w:r>
    </w:p>
    <w:p w14:paraId="42A166A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ICES, 2016.   Bay of Biscay and the Iberian Coast Ecoregion – Ecosystem overview.  ICES Ecosystem Overviews.   Published 04 March 2016 Version 2; 13 May 2016</w:t>
      </w:r>
    </w:p>
    <w:p w14:paraId="44ECE94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ICES, 2019.  Nephrops in Division 8c. WGBIE</w:t>
      </w:r>
    </w:p>
    <w:p w14:paraId="4FBEB20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Ingels, J., Kiriakoulakis, K., Wolff, G. &amp; Vanreusel, A. (2009). </w:t>
      </w:r>
      <w:r w:rsidRPr="009978E3">
        <w:rPr>
          <w:rFonts w:eastAsia="MS Mincho"/>
          <w:sz w:val="22"/>
          <w:szCs w:val="22"/>
          <w:lang w:val="en-US"/>
        </w:rPr>
        <w:t xml:space="preserve">Nematode diversity and its relation to the quantity and quality of sedimentary organic matter in the deep Nazaré Canyon, Western Iberian Margin. </w:t>
      </w:r>
      <w:r w:rsidRPr="009978E3">
        <w:rPr>
          <w:rFonts w:eastAsia="MS Mincho"/>
          <w:i/>
          <w:sz w:val="22"/>
          <w:szCs w:val="22"/>
          <w:lang w:val="en-US"/>
        </w:rPr>
        <w:t xml:space="preserve">Deep-Sea Research I </w:t>
      </w:r>
      <w:r w:rsidRPr="009978E3">
        <w:rPr>
          <w:rFonts w:eastAsia="MS Mincho"/>
          <w:sz w:val="22"/>
          <w:szCs w:val="22"/>
          <w:lang w:val="en-US"/>
        </w:rPr>
        <w:t>56: 1521–1539.</w:t>
      </w:r>
    </w:p>
    <w:p w14:paraId="61C13AF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IUCN, 2019. IUCN Red List of Threatened Species</w:t>
      </w:r>
    </w:p>
    <w:p w14:paraId="4D010AC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Ivanov, M., Akhmetzhanov, A. &amp; Akhmanov, G. (2000). Multidisciplinary Study of Geological Processes on the North East Atlantic and Western Mediterranean Margins. </w:t>
      </w:r>
      <w:r w:rsidRPr="009978E3">
        <w:rPr>
          <w:rFonts w:eastAsia="MS Mincho"/>
          <w:i/>
          <w:sz w:val="22"/>
          <w:szCs w:val="22"/>
          <w:lang w:val="en-US"/>
        </w:rPr>
        <w:t>Intergovernmental Oceanographic Commission technical series</w:t>
      </w:r>
      <w:r w:rsidRPr="009978E3">
        <w:rPr>
          <w:rFonts w:eastAsia="MS Mincho"/>
          <w:sz w:val="22"/>
          <w:szCs w:val="22"/>
          <w:lang w:val="en-US"/>
        </w:rPr>
        <w:t xml:space="preserve"> - UNESCO 56: 136.</w:t>
      </w:r>
    </w:p>
    <w:p w14:paraId="3C081CD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Ivanov, V., Shapiro, G., Huthnance, J., Aleynik, D. &amp; Golovin, P. (2004). Cascades of dense water around the world ocean. </w:t>
      </w:r>
      <w:r w:rsidRPr="009978E3">
        <w:rPr>
          <w:rFonts w:eastAsia="MS Mincho"/>
          <w:i/>
          <w:sz w:val="22"/>
          <w:szCs w:val="22"/>
          <w:lang w:val="en-US"/>
        </w:rPr>
        <w:t>Progress in Oceanography</w:t>
      </w:r>
      <w:r w:rsidRPr="009978E3">
        <w:rPr>
          <w:rFonts w:eastAsia="MS Mincho"/>
          <w:sz w:val="22"/>
          <w:szCs w:val="22"/>
          <w:lang w:val="en-US"/>
        </w:rPr>
        <w:t xml:space="preserve"> 60: 47–98.</w:t>
      </w:r>
    </w:p>
    <w:p w14:paraId="1E47FB3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Jesus, C., Stigter, H., Oliveira, A. &amp; Rocha, F. (2012). </w:t>
      </w:r>
      <w:r w:rsidRPr="009978E3">
        <w:rPr>
          <w:rFonts w:eastAsia="MS Mincho"/>
          <w:i/>
          <w:sz w:val="22"/>
          <w:szCs w:val="22"/>
          <w:lang w:val="en-US"/>
        </w:rPr>
        <w:t>Fine-Fraction mineralogy of Setubal canyon and adjacent continental margim and slope (SW Portugal).</w:t>
      </w:r>
      <w:r w:rsidRPr="009978E3">
        <w:rPr>
          <w:rFonts w:eastAsia="MS Mincho"/>
          <w:sz w:val="22"/>
          <w:szCs w:val="22"/>
          <w:lang w:val="en-US"/>
        </w:rPr>
        <w:t xml:space="preserve"> 5th Symposium on the Iberian Atlantic Margin, 103–105.</w:t>
      </w:r>
    </w:p>
    <w:p w14:paraId="4A7D37E9" w14:textId="77777777" w:rsidR="006B3F46" w:rsidRPr="009978E3" w:rsidDel="001767B9" w:rsidRDefault="006B3F46" w:rsidP="00907941">
      <w:pPr>
        <w:ind w:left="567" w:hanging="567"/>
        <w:jc w:val="both"/>
        <w:rPr>
          <w:rFonts w:eastAsia="MS Mincho"/>
          <w:sz w:val="22"/>
          <w:szCs w:val="22"/>
          <w:lang w:val="en-US"/>
        </w:rPr>
      </w:pPr>
      <w:r w:rsidRPr="009978E3">
        <w:rPr>
          <w:rFonts w:eastAsia="MS Mincho"/>
          <w:sz w:val="22"/>
          <w:szCs w:val="22"/>
          <w:lang w:val="en-US"/>
        </w:rPr>
        <w:t xml:space="preserve">Jouanneau, J. M., Garcia, C., Oliveira, A., Rodrigues, A., Dias, J. A., &amp; Weber, O. (1998). Dispersal and deposition of suspended sediment on the shelf off the Tagus and Sado estuaries, SW Portugal. </w:t>
      </w:r>
      <w:r w:rsidRPr="009978E3">
        <w:rPr>
          <w:rFonts w:eastAsia="MS Mincho"/>
          <w:i/>
          <w:sz w:val="22"/>
          <w:szCs w:val="22"/>
          <w:lang w:val="en-US"/>
        </w:rPr>
        <w:t>Progress in Oceanography</w:t>
      </w:r>
      <w:r w:rsidRPr="009978E3">
        <w:rPr>
          <w:rFonts w:eastAsia="MS Mincho"/>
          <w:sz w:val="22"/>
          <w:szCs w:val="22"/>
          <w:lang w:val="en-US"/>
        </w:rPr>
        <w:t xml:space="preserve"> 42(1-4): 233-257.</w:t>
      </w:r>
    </w:p>
    <w:p w14:paraId="40D6B1B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June, J. (1990). Type, source, and abundance of trawl-caught marine litter off Oregon, in the Eastern Bering Sea, and in Norton Sound in 1988.In: Shomura, R., Godfrey, M. (Eds.), Proceedings of the Second International Conference on Marine Debris, April 2–7, 1989. US Dept. Commerce, NOAA Technical Memo, NMFS-SWF-SC-154, Honolulu, Hawaii, pp. 279–301.</w:t>
      </w:r>
    </w:p>
    <w:p w14:paraId="076BE18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Kaschner, K. (2007) </w:t>
      </w:r>
      <w:r w:rsidRPr="009978E3">
        <w:rPr>
          <w:rFonts w:eastAsia="MS Mincho"/>
          <w:i/>
          <w:sz w:val="22"/>
          <w:szCs w:val="22"/>
          <w:lang w:val="en-US"/>
        </w:rPr>
        <w:t>Air-breathing visitors to seamounts</w:t>
      </w:r>
      <w:r w:rsidRPr="009978E3">
        <w:rPr>
          <w:rFonts w:eastAsia="MS Mincho"/>
          <w:sz w:val="22"/>
          <w:szCs w:val="22"/>
          <w:lang w:val="en-US"/>
        </w:rPr>
        <w:t>: Marine Mammals. A. in Pitcher, T.J., Morato, T., Hart, P.J.B., Clark, M.R., Haggan, N. and Santos, R.S. (eds) Seamounts: Ecology, Conservation and Management. Fish and Aquatic Resources Series, Blackwell, Oxford, UK. pp. 230-238.</w:t>
      </w:r>
    </w:p>
    <w:p w14:paraId="50B7555A" w14:textId="77777777" w:rsidR="006B3F46" w:rsidRPr="009978E3" w:rsidDel="001767B9" w:rsidRDefault="006B3F46" w:rsidP="00907941">
      <w:pPr>
        <w:ind w:left="567" w:hanging="567"/>
        <w:jc w:val="both"/>
        <w:rPr>
          <w:rFonts w:eastAsia="MS Mincho"/>
          <w:sz w:val="22"/>
          <w:szCs w:val="22"/>
          <w:lang w:val="en-US"/>
        </w:rPr>
      </w:pPr>
      <w:r w:rsidRPr="009978E3">
        <w:rPr>
          <w:rFonts w:eastAsia="MS Mincho"/>
          <w:sz w:val="22"/>
          <w:szCs w:val="22"/>
          <w:lang w:val="en-US"/>
        </w:rPr>
        <w:t xml:space="preserve">Katsanevakis, S. &amp; Katsarou, A. (2004). Influences on the distribution of marine debris on the seafloor of shallow coastal areas in Greece (Eastern Mediterranean). </w:t>
      </w:r>
      <w:r w:rsidRPr="009978E3">
        <w:rPr>
          <w:rFonts w:eastAsia="MS Mincho"/>
          <w:i/>
          <w:sz w:val="22"/>
          <w:szCs w:val="22"/>
          <w:lang w:val="en-US"/>
        </w:rPr>
        <w:t>Water, Air, and Soil Pollution</w:t>
      </w:r>
      <w:r w:rsidRPr="009978E3">
        <w:rPr>
          <w:rFonts w:eastAsia="MS Mincho"/>
          <w:sz w:val="22"/>
          <w:szCs w:val="22"/>
          <w:lang w:val="en-US"/>
        </w:rPr>
        <w:t xml:space="preserve"> 159(1): 325-337. </w:t>
      </w:r>
    </w:p>
    <w:p w14:paraId="245233B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Keijzer, G. &amp; Boer, P. (2010). </w:t>
      </w:r>
      <w:r w:rsidRPr="009978E3">
        <w:rPr>
          <w:rFonts w:eastAsia="MS Mincho"/>
          <w:i/>
          <w:sz w:val="22"/>
          <w:szCs w:val="22"/>
          <w:lang w:val="en-US"/>
        </w:rPr>
        <w:t>Influence of climate and oceanography on Cretaceous sedimentation in the North Atlantic</w:t>
      </w:r>
      <w:r w:rsidRPr="009978E3">
        <w:rPr>
          <w:rFonts w:eastAsia="MS Mincho"/>
          <w:sz w:val="22"/>
          <w:szCs w:val="22"/>
          <w:lang w:val="en-US"/>
        </w:rPr>
        <w:t>. Geowetenschappen, MSc. Retrieved from http://igitur-archive.library.uu.nl/student-theses/2010-0223-200211/UUindex.html</w:t>
      </w:r>
    </w:p>
    <w:p w14:paraId="0096BB0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Keller, A., Fruh, E., Johnson, M., Simon, V. &amp; Mc Gourty, C. (2010). Distribution and abundance of anthropogenic marine debris along the shelf and slope of the US West Coast. </w:t>
      </w:r>
      <w:r w:rsidRPr="009978E3">
        <w:rPr>
          <w:rFonts w:eastAsia="MS Mincho"/>
          <w:i/>
          <w:sz w:val="22"/>
          <w:szCs w:val="22"/>
          <w:lang w:val="en-US"/>
        </w:rPr>
        <w:t>Marine Pollution Bulletin</w:t>
      </w:r>
      <w:r w:rsidRPr="009978E3">
        <w:rPr>
          <w:rFonts w:eastAsia="MS Mincho"/>
          <w:sz w:val="22"/>
          <w:szCs w:val="22"/>
          <w:lang w:val="en-US"/>
        </w:rPr>
        <w:t xml:space="preserve"> 60: 692–700.</w:t>
      </w:r>
    </w:p>
    <w:p w14:paraId="3192340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Kennett, J.P. 1982. </w:t>
      </w:r>
      <w:r w:rsidRPr="009978E3">
        <w:rPr>
          <w:rFonts w:eastAsia="MS Mincho"/>
          <w:i/>
          <w:sz w:val="22"/>
          <w:szCs w:val="22"/>
          <w:lang w:val="en-US"/>
        </w:rPr>
        <w:t>Marine Geology</w:t>
      </w:r>
      <w:r w:rsidRPr="009978E3">
        <w:rPr>
          <w:rFonts w:eastAsia="MS Mincho"/>
          <w:sz w:val="22"/>
          <w:szCs w:val="22"/>
          <w:lang w:val="en-US"/>
        </w:rPr>
        <w:t>. Prentice-Hall, Englewood.</w:t>
      </w:r>
    </w:p>
    <w:p w14:paraId="50E25EE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Kenyon, N., Klaucke, I., Millington, J., Ivanov, M. (2002). Sandy submarine canyon mouth lobes on the western margin of Corsica and Sardinia, Mediterranean Sea. </w:t>
      </w:r>
      <w:r w:rsidRPr="009978E3">
        <w:rPr>
          <w:rFonts w:eastAsia="MS Mincho"/>
          <w:i/>
          <w:sz w:val="22"/>
          <w:szCs w:val="22"/>
          <w:lang w:val="en-US"/>
        </w:rPr>
        <w:t>Marine Geology</w:t>
      </w:r>
      <w:r w:rsidRPr="009978E3">
        <w:rPr>
          <w:rFonts w:eastAsia="MS Mincho"/>
          <w:sz w:val="22"/>
          <w:szCs w:val="22"/>
          <w:lang w:val="en-US"/>
        </w:rPr>
        <w:t xml:space="preserve"> 184: 69–84.</w:t>
      </w:r>
    </w:p>
    <w:p w14:paraId="1760E83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Kenyon, N., Lvanov, M., Akhmetzhanov, A. &amp; Akhmanov, G. (2001). </w:t>
      </w:r>
      <w:r w:rsidRPr="009978E3">
        <w:rPr>
          <w:rFonts w:eastAsia="MS Mincho"/>
          <w:i/>
          <w:sz w:val="22"/>
          <w:szCs w:val="22"/>
          <w:lang w:val="en-US"/>
        </w:rPr>
        <w:t>Interdisciplinary Approaches to Geoscience on the North East Atlantic Margin and Mid-Atlantic Ridge</w:t>
      </w:r>
      <w:r w:rsidRPr="009978E3">
        <w:rPr>
          <w:rFonts w:eastAsia="MS Mincho"/>
          <w:sz w:val="22"/>
          <w:szCs w:val="22"/>
          <w:lang w:val="en-US"/>
        </w:rPr>
        <w:t>. Unesco.</w:t>
      </w:r>
    </w:p>
    <w:p w14:paraId="7BB9E2B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Keppel, G., Lowe, A. &amp; Possingham, H. (2009). Changing perspectives on the biogeography of the tropical South Pacific: influences of dispersal, vicariance and extinction. </w:t>
      </w:r>
      <w:r w:rsidRPr="009978E3">
        <w:rPr>
          <w:rFonts w:eastAsia="MS Mincho"/>
          <w:i/>
          <w:sz w:val="22"/>
          <w:szCs w:val="22"/>
          <w:lang w:val="en-US"/>
        </w:rPr>
        <w:t>Journal of Biogeography</w:t>
      </w:r>
      <w:r w:rsidRPr="009978E3">
        <w:rPr>
          <w:rFonts w:eastAsia="MS Mincho"/>
          <w:sz w:val="22"/>
          <w:szCs w:val="22"/>
          <w:lang w:val="en-US"/>
        </w:rPr>
        <w:t xml:space="preserve"> 36(6): 1035-1054.</w:t>
      </w:r>
    </w:p>
    <w:p w14:paraId="253B8B0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King, M. (1987). Distribution and ecology of deep-water caridean shrimps (Crustacea: Natantia) near tropical Pacific Islands. </w:t>
      </w:r>
      <w:r w:rsidRPr="009978E3">
        <w:rPr>
          <w:rFonts w:eastAsia="MS Mincho"/>
          <w:i/>
          <w:sz w:val="22"/>
          <w:szCs w:val="22"/>
          <w:lang w:val="en-US"/>
        </w:rPr>
        <w:t>Bulletin of Marine Science</w:t>
      </w:r>
      <w:r w:rsidRPr="009978E3">
        <w:rPr>
          <w:rFonts w:eastAsia="MS Mincho"/>
          <w:sz w:val="22"/>
          <w:szCs w:val="22"/>
          <w:lang w:val="en-US"/>
        </w:rPr>
        <w:t xml:space="preserve"> 41: 192–203.</w:t>
      </w:r>
    </w:p>
    <w:p w14:paraId="785171D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Klinck, J. (1996).</w:t>
      </w:r>
      <w:r>
        <w:rPr>
          <w:rFonts w:eastAsia="MS Mincho"/>
          <w:sz w:val="22"/>
          <w:szCs w:val="22"/>
          <w:lang w:val="en-US"/>
        </w:rPr>
        <w:t xml:space="preserve"> </w:t>
      </w:r>
      <w:r w:rsidRPr="009978E3">
        <w:rPr>
          <w:rFonts w:eastAsia="MS Mincho"/>
          <w:sz w:val="22"/>
          <w:szCs w:val="22"/>
          <w:lang w:val="en-US"/>
        </w:rPr>
        <w:t>Circulation near submarine canyons: a modeling study. J. Geophys. Res.: Oceans 101, 1211–1223.</w:t>
      </w:r>
    </w:p>
    <w:p w14:paraId="67885CC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Koenig, S., Fernández, P., Company, J., Huertas, D. &amp; Solé, M. (2013). Are deep-sea organisms dwelling within a submarine canyon more at risk from anthropogenic contamination than those from the adjacent open slope? A case study of Blanes canyon (NW Mediterranean). </w:t>
      </w:r>
      <w:r w:rsidRPr="009978E3">
        <w:rPr>
          <w:rFonts w:eastAsia="MS Mincho"/>
          <w:i/>
          <w:sz w:val="22"/>
          <w:szCs w:val="22"/>
          <w:lang w:val="en-US"/>
        </w:rPr>
        <w:t>Progress in Oceanography</w:t>
      </w:r>
      <w:r w:rsidRPr="009978E3">
        <w:rPr>
          <w:rFonts w:eastAsia="MS Mincho"/>
          <w:sz w:val="22"/>
          <w:szCs w:val="22"/>
          <w:lang w:val="en-US"/>
        </w:rPr>
        <w:t xml:space="preserve"> 118: 249–259.</w:t>
      </w:r>
    </w:p>
    <w:p w14:paraId="755D2AA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Koslow, J. (1997). Seamounts and the ecology of deep-sea fisheries. </w:t>
      </w:r>
      <w:r w:rsidRPr="009978E3">
        <w:rPr>
          <w:rFonts w:eastAsia="MS Mincho"/>
          <w:i/>
          <w:sz w:val="22"/>
          <w:szCs w:val="22"/>
          <w:lang w:val="en-US"/>
        </w:rPr>
        <w:t>Americam Scientist</w:t>
      </w:r>
      <w:r w:rsidRPr="009978E3">
        <w:rPr>
          <w:rFonts w:eastAsia="MS Mincho"/>
          <w:sz w:val="22"/>
          <w:szCs w:val="22"/>
          <w:lang w:val="en-US"/>
        </w:rPr>
        <w:t xml:space="preserve"> 85: 168-176.</w:t>
      </w:r>
    </w:p>
    <w:p w14:paraId="123AC82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Koslow, J. A., Auster, P., Bergstad, O. A., Roberts, J. M., Rogers, A., Vecchione, M. &amp; Bernal, P. (2016). Biological communities on seamounts and other submarine features potentially threatened by disturbance. </w:t>
      </w:r>
      <w:r w:rsidRPr="009978E3">
        <w:rPr>
          <w:rFonts w:eastAsia="MS Mincho"/>
          <w:i/>
          <w:sz w:val="22"/>
          <w:szCs w:val="22"/>
          <w:lang w:val="en-US"/>
        </w:rPr>
        <w:t>Chapter</w:t>
      </w:r>
      <w:r w:rsidRPr="009978E3">
        <w:rPr>
          <w:rFonts w:eastAsia="MS Mincho"/>
          <w:sz w:val="22"/>
          <w:szCs w:val="22"/>
          <w:lang w:val="en-US"/>
        </w:rPr>
        <w:t>, 51: 1-26.</w:t>
      </w:r>
    </w:p>
    <w:p w14:paraId="741E291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Koslow, J., Gowlett-Holmes, K., Lowry, J., O’Hara, T., Poore, G. &amp; Williams, A. (2001). Seamount benthic macrofauna off southern Tasmania: community structure and impacts of trawling. </w:t>
      </w:r>
      <w:r w:rsidRPr="009978E3">
        <w:rPr>
          <w:rFonts w:eastAsia="MS Mincho"/>
          <w:i/>
          <w:sz w:val="22"/>
          <w:szCs w:val="22"/>
          <w:lang w:val="en-US"/>
        </w:rPr>
        <w:t>Marine Ecology Progress Series</w:t>
      </w:r>
      <w:r w:rsidRPr="009978E3">
        <w:rPr>
          <w:rFonts w:eastAsia="MS Mincho"/>
          <w:sz w:val="22"/>
          <w:szCs w:val="22"/>
          <w:lang w:val="en-US"/>
        </w:rPr>
        <w:t xml:space="preserve"> 213: 111-125.</w:t>
      </w:r>
    </w:p>
    <w:p w14:paraId="441BEAF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Kunze, E. &amp; Llewellyn Smith, S. (2004). The role of small-scale topography in turbulent mixing of the global ocean. </w:t>
      </w:r>
      <w:r w:rsidRPr="009978E3">
        <w:rPr>
          <w:rFonts w:eastAsia="MS Mincho"/>
          <w:i/>
          <w:sz w:val="22"/>
          <w:szCs w:val="22"/>
          <w:lang w:val="en-US"/>
        </w:rPr>
        <w:t>Oceanography</w:t>
      </w:r>
      <w:r w:rsidRPr="009978E3">
        <w:rPr>
          <w:rFonts w:eastAsia="MS Mincho"/>
          <w:sz w:val="22"/>
          <w:szCs w:val="22"/>
          <w:lang w:val="en-US"/>
        </w:rPr>
        <w:t xml:space="preserve"> 17(1): 55–64.</w:t>
      </w:r>
    </w:p>
    <w:p w14:paraId="7E10FC6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Kunze, K., Rosenfeld, L., Carter, G. &amp; Gregg, M. (2002). Internal waves in Monterey submarine canyon. </w:t>
      </w:r>
      <w:r w:rsidRPr="009978E3">
        <w:rPr>
          <w:rFonts w:eastAsia="MS Mincho"/>
          <w:i/>
          <w:sz w:val="22"/>
          <w:szCs w:val="22"/>
          <w:lang w:val="en-US"/>
        </w:rPr>
        <w:t>Journal of Physical Oceanography</w:t>
      </w:r>
      <w:r w:rsidRPr="009978E3">
        <w:rPr>
          <w:rFonts w:eastAsia="MS Mincho"/>
          <w:sz w:val="22"/>
          <w:szCs w:val="22"/>
          <w:lang w:val="en-US"/>
        </w:rPr>
        <w:t xml:space="preserve"> 32: 1890-1913.</w:t>
      </w:r>
    </w:p>
    <w:p w14:paraId="6CAF3DD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Lack, M., Short, K. &amp; Willock, A (2003) </w:t>
      </w:r>
      <w:r w:rsidRPr="009978E3">
        <w:rPr>
          <w:rFonts w:eastAsia="MS Mincho"/>
          <w:i/>
          <w:sz w:val="22"/>
          <w:szCs w:val="22"/>
          <w:lang w:val="en-US"/>
        </w:rPr>
        <w:t>Managing risk and uncertainty in deep-sea fisheries: lessons from orange roughy</w:t>
      </w:r>
      <w:r w:rsidRPr="009978E3">
        <w:rPr>
          <w:rFonts w:eastAsia="MS Mincho"/>
          <w:sz w:val="22"/>
          <w:szCs w:val="22"/>
          <w:lang w:val="en-US"/>
        </w:rPr>
        <w:t>. Traffic Oceania and WWF Endangered Seas Programme.</w:t>
      </w:r>
    </w:p>
    <w:p w14:paraId="19E3BC2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Lam, F.P.A., T. Gerkema and L.R.M. Maas, 2003. Preliminary results from observations of internal tides and solitary waves in the Bay of Biscay. http://www.whoi.edu/ science/AOPE/people/tduda/isww/text/lam/ </w:t>
      </w:r>
    </w:p>
    <w:p w14:paraId="50B6827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Lastras, G., Arzola, R., Masson, D., Wynn, R., Huvenne, V., Hühnerbach, V. &amp; Canals, M. (2009) Geomorphology and sedimentary features in the central Portuguese submarine canyons. </w:t>
      </w:r>
      <w:r w:rsidRPr="009978E3">
        <w:rPr>
          <w:rFonts w:eastAsia="MS Mincho"/>
          <w:i/>
          <w:sz w:val="22"/>
          <w:szCs w:val="22"/>
          <w:lang w:val="en-US"/>
        </w:rPr>
        <w:t>Western Iberian margin: Geomorphology</w:t>
      </w:r>
      <w:r w:rsidRPr="009978E3">
        <w:rPr>
          <w:rFonts w:eastAsia="MS Mincho"/>
          <w:sz w:val="22"/>
          <w:szCs w:val="22"/>
          <w:lang w:val="en-US"/>
        </w:rPr>
        <w:t xml:space="preserve"> 103: 310–329.</w:t>
      </w:r>
    </w:p>
    <w:p w14:paraId="04B87FC1"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Lastras, G., Canals, M., Urgeles, R., Amblas, D., Ivanov, M., Droz, L., Dennielou, B., Fabrés, J., Schoolmeester, T., Akhmetzhanov, A., Orange, D. &amp; García-García, A. (2007). A walk down the Cap de Creus canyon, northwestern Mediterranean Sea: recent processes inferred from morphology and sediment bedforms. </w:t>
      </w:r>
      <w:r w:rsidRPr="009978E3">
        <w:rPr>
          <w:rFonts w:eastAsia="MS Mincho"/>
          <w:i/>
          <w:sz w:val="22"/>
          <w:szCs w:val="22"/>
          <w:lang w:val="fr-CA"/>
        </w:rPr>
        <w:t>Marine Geology</w:t>
      </w:r>
      <w:r w:rsidRPr="009978E3">
        <w:rPr>
          <w:rFonts w:eastAsia="MS Mincho"/>
          <w:sz w:val="22"/>
          <w:szCs w:val="22"/>
          <w:lang w:val="fr-CA"/>
        </w:rPr>
        <w:t xml:space="preserve"> 246: 176–192.</w:t>
      </w:r>
    </w:p>
    <w:p w14:paraId="3509C52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Lavín, A., Valdés, L., Sánchez, F., Abaunza, P., 2004. </w:t>
      </w:r>
      <w:r w:rsidRPr="009978E3">
        <w:rPr>
          <w:rFonts w:eastAsia="MS Mincho"/>
          <w:sz w:val="22"/>
          <w:szCs w:val="22"/>
          <w:lang w:val="en-US"/>
        </w:rPr>
        <w:t>The Bay of Biscay: the encountering of the ocean and the shelf. Chapter 24, In book: The Sea, Volume 14, edited by Allan R. Robinson and Kenneth H. Brink ISBN 0–674– ©2004 by the President and Fellows of Harvard College 933</w:t>
      </w:r>
    </w:p>
    <w:p w14:paraId="52DCA82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Lavoie, D., Simard, Y. &amp; Saucier, F. (2000). </w:t>
      </w:r>
      <w:r w:rsidRPr="009978E3">
        <w:rPr>
          <w:rFonts w:eastAsia="MS Mincho"/>
          <w:sz w:val="22"/>
          <w:szCs w:val="22"/>
          <w:lang w:val="en-US"/>
        </w:rPr>
        <w:t xml:space="preserve">Aggregation and dispersion of krill at channel heads and shelf edges: the dynamics in the Saguenay-St.Lawrence Marine Park. </w:t>
      </w:r>
      <w:r w:rsidRPr="009978E3">
        <w:rPr>
          <w:rFonts w:eastAsia="MS Mincho"/>
          <w:i/>
          <w:sz w:val="22"/>
          <w:szCs w:val="22"/>
          <w:lang w:val="en-US"/>
        </w:rPr>
        <w:t>Canadian Journal of Fisheries and Aquatic Sciences</w:t>
      </w:r>
      <w:r w:rsidRPr="009978E3">
        <w:rPr>
          <w:rFonts w:eastAsia="MS Mincho"/>
          <w:sz w:val="22"/>
          <w:szCs w:val="22"/>
          <w:lang w:val="en-US"/>
        </w:rPr>
        <w:t>. 57: 1853–1869.</w:t>
      </w:r>
    </w:p>
    <w:p w14:paraId="762AE0B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Leal, J. &amp; Bouchet, P. (1991) Distribution patterns and dispersal of prosobranch gastropods along a seamount chain in the Atlantic Ocean. </w:t>
      </w:r>
      <w:r w:rsidRPr="009978E3">
        <w:rPr>
          <w:rFonts w:eastAsia="MS Mincho"/>
          <w:i/>
          <w:sz w:val="22"/>
          <w:szCs w:val="22"/>
          <w:lang w:val="en-US"/>
        </w:rPr>
        <w:t>Journal of the Marine Biological Association of the UK</w:t>
      </w:r>
      <w:r w:rsidRPr="009978E3">
        <w:rPr>
          <w:rFonts w:eastAsia="MS Mincho"/>
          <w:sz w:val="22"/>
          <w:szCs w:val="22"/>
          <w:lang w:val="en-US"/>
        </w:rPr>
        <w:t xml:space="preserve"> 71: 11-25.</w:t>
      </w:r>
    </w:p>
    <w:p w14:paraId="65FBA77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Lebreiro, S., McCave, N. &amp; Weaver, P. (1997). Late Quaternary turbidite emplacement on the Horseshoe abyssal plain (Iberian margin). </w:t>
      </w:r>
      <w:r w:rsidRPr="009978E3">
        <w:rPr>
          <w:rFonts w:eastAsia="MS Mincho"/>
          <w:i/>
          <w:sz w:val="22"/>
          <w:szCs w:val="22"/>
          <w:lang w:val="en-US"/>
        </w:rPr>
        <w:t>Journal of Sedimentary Research</w:t>
      </w:r>
      <w:r w:rsidRPr="009978E3">
        <w:rPr>
          <w:rFonts w:eastAsia="MS Mincho"/>
          <w:sz w:val="22"/>
          <w:szCs w:val="22"/>
          <w:lang w:val="en-US"/>
        </w:rPr>
        <w:t xml:space="preserve"> 67: 856-870.</w:t>
      </w:r>
    </w:p>
    <w:p w14:paraId="025387A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Lecoq, M., Andrade, J., Geraldes, P. &amp; Ramírez, I. (2011) First complete census of Cory’s Shearwaters Calonectris diomedea borealis breeding at Berlengas Islands (Portugal), including the small islets of the archipelago. </w:t>
      </w:r>
      <w:r w:rsidRPr="009978E3">
        <w:rPr>
          <w:rFonts w:eastAsia="MS Mincho"/>
          <w:i/>
          <w:sz w:val="22"/>
          <w:szCs w:val="22"/>
          <w:lang w:val="en-US"/>
        </w:rPr>
        <w:t>Airo</w:t>
      </w:r>
      <w:r w:rsidRPr="009978E3">
        <w:rPr>
          <w:rFonts w:eastAsia="MS Mincho"/>
          <w:sz w:val="22"/>
          <w:szCs w:val="22"/>
          <w:lang w:val="en-US"/>
        </w:rPr>
        <w:t xml:space="preserve"> 21: 31-34.</w:t>
      </w:r>
    </w:p>
    <w:p w14:paraId="5988A15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Leduc, D., Rowden, A., Nodder, S., Berkenbusch, K., Probert, P. &amp; Hadfield, M. (2014). </w:t>
      </w:r>
      <w:r w:rsidRPr="009978E3">
        <w:rPr>
          <w:rFonts w:eastAsia="MS Mincho"/>
          <w:sz w:val="22"/>
          <w:szCs w:val="22"/>
          <w:lang w:val="en-US"/>
        </w:rPr>
        <w:t xml:space="preserve">Unusually high food availability in Kaikoura Canyon linked to distinct deep-sea nematode community.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104: 310–318. </w:t>
      </w:r>
    </w:p>
    <w:p w14:paraId="69A3120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Lee, D., Cho, H. &amp; Jeong, S. (2006). Distribution characteristics of marine litter on the sea bed of the East China and the South Sea of Korea. </w:t>
      </w:r>
      <w:r w:rsidRPr="009978E3">
        <w:rPr>
          <w:rFonts w:eastAsia="MS Mincho"/>
          <w:i/>
          <w:sz w:val="22"/>
          <w:szCs w:val="22"/>
          <w:lang w:val="en-US"/>
        </w:rPr>
        <w:t>Estuarine, Coastal and Shelf Science</w:t>
      </w:r>
      <w:r w:rsidRPr="009978E3">
        <w:rPr>
          <w:rFonts w:eastAsia="MS Mincho"/>
          <w:sz w:val="22"/>
          <w:szCs w:val="22"/>
          <w:lang w:val="en-US"/>
        </w:rPr>
        <w:t xml:space="preserve"> 70: 187–194.</w:t>
      </w:r>
    </w:p>
    <w:p w14:paraId="2FF76B9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Levin, L. A., and Le Bris, N. (2015). The deep ocean under climate change. </w:t>
      </w:r>
      <w:r w:rsidRPr="009978E3">
        <w:rPr>
          <w:rFonts w:eastAsia="MS Mincho"/>
          <w:i/>
          <w:sz w:val="22"/>
          <w:szCs w:val="22"/>
          <w:lang w:val="en-US"/>
        </w:rPr>
        <w:t>Science</w:t>
      </w:r>
      <w:r w:rsidRPr="009978E3">
        <w:rPr>
          <w:rFonts w:eastAsia="MS Mincho"/>
          <w:sz w:val="22"/>
          <w:szCs w:val="22"/>
          <w:lang w:val="en-US"/>
        </w:rPr>
        <w:t xml:space="preserve"> 350: 766–768. </w:t>
      </w:r>
    </w:p>
    <w:p w14:paraId="41E7398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Levin, L., Etter, R., Rex, M., Gooday, A., Smith, C., Pineda, J., Stuart, C., Hessler, R. &amp; Pawson, D. (2001) Environmental influences on regional deep-sea species diversity. </w:t>
      </w:r>
      <w:r w:rsidRPr="009978E3">
        <w:rPr>
          <w:rFonts w:eastAsia="MS Mincho"/>
          <w:i/>
          <w:sz w:val="22"/>
          <w:szCs w:val="22"/>
          <w:lang w:val="en-US"/>
        </w:rPr>
        <w:t>Annual Review of Ecology, Evolution, and Systematics</w:t>
      </w:r>
      <w:r w:rsidRPr="009978E3">
        <w:rPr>
          <w:rFonts w:eastAsia="MS Mincho"/>
          <w:sz w:val="22"/>
          <w:szCs w:val="22"/>
          <w:lang w:val="en-US"/>
        </w:rPr>
        <w:t xml:space="preserve"> 32: 51–93.</w:t>
      </w:r>
    </w:p>
    <w:p w14:paraId="5E97AAD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Leynaud, D., Mulder, T., Hanquiez, V., Gonthier, E. &amp; Régert, A. (2017). Sediment failure types, preconditions and triggering factors in the Gulf of Cadiz. </w:t>
      </w:r>
      <w:r w:rsidRPr="009978E3">
        <w:rPr>
          <w:rFonts w:eastAsia="MS Mincho"/>
          <w:i/>
          <w:sz w:val="22"/>
          <w:szCs w:val="22"/>
          <w:lang w:val="en-US"/>
        </w:rPr>
        <w:t>Landslides</w:t>
      </w:r>
      <w:r w:rsidRPr="009978E3">
        <w:rPr>
          <w:rFonts w:eastAsia="MS Mincho"/>
          <w:sz w:val="22"/>
          <w:szCs w:val="22"/>
          <w:lang w:val="en-US"/>
        </w:rPr>
        <w:t xml:space="preserve"> 14(1): 233-248.</w:t>
      </w:r>
    </w:p>
    <w:p w14:paraId="7B80F08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Lopes, J., Ferreira, J., Cardoso, A. &amp; Rocha, A. (2014). Variability of Temperature and Chlorophyll of the Iberian Peninsula near Costal Ecosystem during an Upwelling Event for the Present Climate and a Future Climate Scenario. </w:t>
      </w:r>
      <w:r w:rsidRPr="009978E3">
        <w:rPr>
          <w:rFonts w:eastAsia="MS Mincho"/>
          <w:i/>
          <w:sz w:val="22"/>
          <w:szCs w:val="22"/>
          <w:lang w:val="en-US"/>
        </w:rPr>
        <w:t xml:space="preserve">Journal of Marine Systems </w:t>
      </w:r>
      <w:r w:rsidRPr="009978E3">
        <w:rPr>
          <w:rFonts w:eastAsia="MS Mincho"/>
          <w:sz w:val="22"/>
          <w:szCs w:val="22"/>
          <w:lang w:val="en-US"/>
        </w:rPr>
        <w:t xml:space="preserve">129: 271–88. </w:t>
      </w:r>
    </w:p>
    <w:p w14:paraId="1C98A518" w14:textId="77777777" w:rsidR="006B3F46" w:rsidRPr="009978E3" w:rsidRDefault="006B3F46" w:rsidP="00907941">
      <w:pPr>
        <w:autoSpaceDE w:val="0"/>
        <w:autoSpaceDN w:val="0"/>
        <w:adjustRightInd w:val="0"/>
        <w:ind w:left="720" w:hanging="720"/>
        <w:jc w:val="both"/>
        <w:rPr>
          <w:sz w:val="22"/>
          <w:szCs w:val="22"/>
          <w:lang w:eastAsia="en-GB"/>
        </w:rPr>
      </w:pPr>
      <w:r w:rsidRPr="009978E3">
        <w:rPr>
          <w:sz w:val="22"/>
          <w:szCs w:val="22"/>
          <w:lang w:eastAsia="en-GB"/>
        </w:rPr>
        <w:t>Louzao, M., Hyrenbach, K.D., Arcos, J.M., Abelló, P., Gil de Sola, L. and Oro, D. (2006). Oceanographic habitat of a critically endangered Mediterranean Procellariiform: implications for Marine Protected Areas. Ecological Applications 16: 1683–1695.</w:t>
      </w:r>
    </w:p>
    <w:p w14:paraId="27023DC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Mackas, D., Kieser, R., Saunders, M., Yelland, D., Brown, R. &amp; Moore, D. (1997). Aggregation of euphausiids and Pacific hake (Merluccius productus) along the outer continental shelf off Vancouver Island. </w:t>
      </w:r>
      <w:r w:rsidRPr="009978E3">
        <w:rPr>
          <w:rFonts w:eastAsia="MS Mincho"/>
          <w:i/>
          <w:sz w:val="22"/>
          <w:szCs w:val="22"/>
          <w:lang w:val="en-US"/>
        </w:rPr>
        <w:t>Canadian Journal of Fisheries and Aquatic Sciences</w:t>
      </w:r>
      <w:r w:rsidRPr="009978E3">
        <w:rPr>
          <w:rFonts w:eastAsia="MS Mincho"/>
          <w:sz w:val="22"/>
          <w:szCs w:val="22"/>
          <w:lang w:val="en-US"/>
        </w:rPr>
        <w:t xml:space="preserve"> 54(9): 2080-2096..</w:t>
      </w:r>
    </w:p>
    <w:p w14:paraId="1C0977C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Maestro, A., Bohoyo, F., López-Martínez, J., Acosta, J., Gómez-Ballesteros, M., Llave, E. &amp; Fernández-Sáez, F. (2015). </w:t>
      </w:r>
      <w:r w:rsidRPr="009978E3">
        <w:rPr>
          <w:rFonts w:eastAsia="MS Mincho"/>
          <w:sz w:val="22"/>
          <w:szCs w:val="22"/>
          <w:lang w:val="pt-PT"/>
        </w:rPr>
        <w:t xml:space="preserve">Influência de los procesos tectónicos y volcánicos en la morfología de los márgenes continentales ibéricos. </w:t>
      </w:r>
      <w:r w:rsidRPr="009978E3">
        <w:rPr>
          <w:rFonts w:eastAsia="MS Mincho"/>
          <w:i/>
          <w:sz w:val="22"/>
          <w:szCs w:val="22"/>
          <w:lang w:val="en-US"/>
        </w:rPr>
        <w:t>Boletín Geológico y Minero</w:t>
      </w:r>
      <w:r w:rsidRPr="009978E3">
        <w:rPr>
          <w:rFonts w:eastAsia="MS Mincho"/>
          <w:sz w:val="22"/>
          <w:szCs w:val="22"/>
          <w:lang w:val="en-US"/>
        </w:rPr>
        <w:t xml:space="preserve"> 126(2-3): 427-482.</w:t>
      </w:r>
    </w:p>
    <w:p w14:paraId="3245D24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Magalhães, M., Santos, R. &amp; Hamer, K. (2008) Dual-foraging of Cory’s shearwaters in the Azores: feeding locations, behaviour at sea and implications for food provisioning of chicks. </w:t>
      </w:r>
      <w:r w:rsidRPr="009978E3">
        <w:rPr>
          <w:rFonts w:eastAsia="MS Mincho"/>
          <w:i/>
          <w:sz w:val="22"/>
          <w:szCs w:val="22"/>
          <w:lang w:val="en-US"/>
        </w:rPr>
        <w:t>Marine Ecology Progress Series</w:t>
      </w:r>
      <w:r w:rsidRPr="009978E3">
        <w:rPr>
          <w:rFonts w:eastAsia="MS Mincho"/>
          <w:sz w:val="22"/>
          <w:szCs w:val="22"/>
          <w:lang w:val="en-US"/>
        </w:rPr>
        <w:t xml:space="preserve"> 359: 283-293.</w:t>
      </w:r>
    </w:p>
    <w:p w14:paraId="3B9FFF3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Marchès, E., Mulder, T., Cremer, M., Bonnel, C., Hanquiez, V., Gonthier, E. &amp; Lecroart, P. (2007). Contourite drift construction influenced by capture of Mediterranean Outflow Water deep-sea current by the Portimão submarine canyon (Gulf of Cadiz, South Portugal). </w:t>
      </w:r>
      <w:r w:rsidRPr="009978E3">
        <w:rPr>
          <w:rFonts w:eastAsia="MS Mincho"/>
          <w:i/>
          <w:sz w:val="22"/>
          <w:szCs w:val="22"/>
          <w:lang w:val="en-US"/>
        </w:rPr>
        <w:t>Marine Geology</w:t>
      </w:r>
      <w:r w:rsidRPr="009978E3">
        <w:rPr>
          <w:rFonts w:eastAsia="MS Mincho"/>
          <w:sz w:val="22"/>
          <w:szCs w:val="22"/>
          <w:lang w:val="en-US"/>
        </w:rPr>
        <w:t xml:space="preserve"> 242(4): 247–260. </w:t>
      </w:r>
    </w:p>
    <w:p w14:paraId="040E1D79"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Marchès, E., Mulder, T., Gonthier, E., Cremer, M., Hanquiez, V., Garlan, T. &amp; Lecroart, P. (2010). Perched lobe formation in the Gulf of Cadiz: Interactions between gravity processes and contour currents (Algarve Margin, Southern Portugal). </w:t>
      </w:r>
      <w:r w:rsidRPr="009978E3">
        <w:rPr>
          <w:rFonts w:eastAsia="MS Mincho"/>
          <w:i/>
          <w:sz w:val="22"/>
          <w:szCs w:val="22"/>
          <w:lang w:val="pt-PT"/>
        </w:rPr>
        <w:t>Sedimentary Geology</w:t>
      </w:r>
      <w:r w:rsidRPr="009978E3">
        <w:rPr>
          <w:rFonts w:eastAsia="MS Mincho"/>
          <w:sz w:val="22"/>
          <w:szCs w:val="22"/>
          <w:lang w:val="pt-PT"/>
        </w:rPr>
        <w:t xml:space="preserve"> 229(3): 81-94.</w:t>
      </w:r>
    </w:p>
    <w:p w14:paraId="2C8D6B8C"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Martín, J., Puig, P., Masqué, P., Palanques, A. &amp; Sánchez-Gómez, A. (2014). </w:t>
      </w:r>
      <w:r w:rsidRPr="009978E3">
        <w:rPr>
          <w:rFonts w:eastAsia="MS Mincho"/>
          <w:sz w:val="22"/>
          <w:szCs w:val="22"/>
          <w:lang w:val="en-US"/>
        </w:rPr>
        <w:t xml:space="preserve">Impact of bottom trawling on deep-sea sediment properties along the flanks of a submarine canyon. </w:t>
      </w:r>
      <w:r w:rsidRPr="009978E3">
        <w:rPr>
          <w:rFonts w:eastAsia="MS Mincho"/>
          <w:i/>
          <w:sz w:val="22"/>
          <w:szCs w:val="22"/>
          <w:lang w:val="pt-PT"/>
        </w:rPr>
        <w:t>PLoS ONE</w:t>
      </w:r>
      <w:r w:rsidRPr="009978E3">
        <w:rPr>
          <w:rFonts w:eastAsia="MS Mincho"/>
          <w:sz w:val="22"/>
          <w:szCs w:val="22"/>
          <w:lang w:val="pt-PT"/>
        </w:rPr>
        <w:t xml:space="preserve"> 9:e104536.</w:t>
      </w:r>
    </w:p>
    <w:p w14:paraId="4863A35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Martín, J., Puig, P., Palanques, A., Masqué, P. &amp; García-Orellana, J. (2008). </w:t>
      </w:r>
      <w:r w:rsidRPr="009978E3">
        <w:rPr>
          <w:rFonts w:eastAsia="MS Mincho"/>
          <w:sz w:val="22"/>
          <w:szCs w:val="22"/>
          <w:lang w:val="en-US"/>
        </w:rPr>
        <w:t xml:space="preserve">Effect of comercial trawling on the Deep sedimentation in a Mediterranean submarine canyon. </w:t>
      </w:r>
      <w:r w:rsidRPr="009978E3">
        <w:rPr>
          <w:rFonts w:eastAsia="MS Mincho"/>
          <w:i/>
          <w:sz w:val="22"/>
          <w:szCs w:val="22"/>
          <w:lang w:val="en-US"/>
        </w:rPr>
        <w:t>Marine Geology</w:t>
      </w:r>
      <w:r w:rsidRPr="009978E3">
        <w:rPr>
          <w:rFonts w:eastAsia="MS Mincho"/>
          <w:sz w:val="22"/>
          <w:szCs w:val="22"/>
          <w:lang w:val="en-US"/>
        </w:rPr>
        <w:t xml:space="preserve"> 252(3–4): 150–155.</w:t>
      </w:r>
    </w:p>
    <w:p w14:paraId="317F07E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Martins, I., Vitorino, J., &amp; Almeida, S. (2010, May). </w:t>
      </w:r>
      <w:r w:rsidRPr="009978E3">
        <w:rPr>
          <w:rFonts w:eastAsia="MS Mincho"/>
          <w:i/>
          <w:sz w:val="22"/>
          <w:szCs w:val="22"/>
          <w:lang w:val="en-US"/>
        </w:rPr>
        <w:t>The Nazare Canyon observatory (W Portugal) real-time monitoring of a large submarine canyon</w:t>
      </w:r>
      <w:r w:rsidRPr="009978E3">
        <w:rPr>
          <w:rFonts w:eastAsia="MS Mincho"/>
          <w:sz w:val="22"/>
          <w:szCs w:val="22"/>
          <w:lang w:val="en-US"/>
        </w:rPr>
        <w:t xml:space="preserve">. In OCEANS'10 IEEE SYDNEY (pp. 1-7). IEEE. </w:t>
      </w:r>
    </w:p>
    <w:p w14:paraId="715E9F4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Masson, D., Huvenne, V., de Stigter, H., Arzola, R. &amp; LeBas, T. (2011). Sedimentary processes in the middle Nazaré Canyon.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58(23–24): 2369–2387. </w:t>
      </w:r>
    </w:p>
    <w:p w14:paraId="561049E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Masson, D., Huvenne, V., De Stigter, H., Wolff, G., Kiriakoulakis, K., Arzola, R. &amp; Blackbird, S. (2010). Efficient burial of carbon in a submarine canyon</w:t>
      </w:r>
      <w:r w:rsidRPr="009978E3">
        <w:rPr>
          <w:rFonts w:eastAsia="MS Mincho"/>
          <w:i/>
          <w:sz w:val="22"/>
          <w:szCs w:val="22"/>
          <w:lang w:val="en-US"/>
        </w:rPr>
        <w:t>. Geology</w:t>
      </w:r>
      <w:r w:rsidRPr="009978E3">
        <w:rPr>
          <w:rFonts w:eastAsia="MS Mincho"/>
          <w:sz w:val="22"/>
          <w:szCs w:val="22"/>
          <w:lang w:val="en-US"/>
        </w:rPr>
        <w:t xml:space="preserve"> 38(9): 831-834.</w:t>
      </w:r>
    </w:p>
    <w:p w14:paraId="49EFA28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Matabos, M., Best, M., Blandin, J., Hoeberechts, M., Juniper, S. K., Pirenne, B., Robert, K., Ruhl, H., Sarrazin, J. &amp; Vardaro, M. (2016). Seafloor observatories</w:t>
      </w:r>
      <w:r w:rsidRPr="009978E3">
        <w:rPr>
          <w:rFonts w:eastAsia="MS Mincho"/>
          <w:i/>
          <w:sz w:val="22"/>
          <w:szCs w:val="22"/>
          <w:lang w:val="en-US"/>
        </w:rPr>
        <w:t>. Biological Sampling in the deep sea</w:t>
      </w:r>
      <w:r w:rsidRPr="009978E3">
        <w:rPr>
          <w:rFonts w:eastAsia="MS Mincho"/>
          <w:sz w:val="22"/>
          <w:szCs w:val="22"/>
          <w:lang w:val="en-US"/>
        </w:rPr>
        <w:t xml:space="preserve"> 306-337.</w:t>
      </w:r>
    </w:p>
    <w:p w14:paraId="093B8BD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Matabos, M., Bui, A., Mihály, S., Aguzzi, J., Juniper, S. &amp; Ajayamohan, R. (2014). High-frequency study of epibenthic megafaunal community dynamics in Barkley Canyon: a multi-disciplinary approach using the NEPTUNE Canada network. </w:t>
      </w:r>
      <w:r w:rsidRPr="009978E3">
        <w:rPr>
          <w:rFonts w:eastAsia="MS Mincho"/>
          <w:i/>
          <w:sz w:val="22"/>
          <w:szCs w:val="22"/>
          <w:lang w:val="en-US"/>
        </w:rPr>
        <w:t>Journal of Marine Systems</w:t>
      </w:r>
      <w:r w:rsidRPr="009978E3">
        <w:rPr>
          <w:rFonts w:eastAsia="MS Mincho"/>
          <w:sz w:val="22"/>
          <w:szCs w:val="22"/>
          <w:lang w:val="en-US"/>
        </w:rPr>
        <w:t xml:space="preserve"> 130, 56–68. </w:t>
      </w:r>
    </w:p>
    <w:p w14:paraId="4C7136D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Mayol-Serra, J., Aguilar, J.S. and Yésou, P. (2000). The Balearic Shearwater Puffinus mauretanicus: status and threats. Pp. 24–37 in Yésou, P. and Sultana, J. (eds.) Monitoring and conservation of birds, mammals and sea turtles of the Mediterranean and Black Seas. Proceedings of the 5th Medmaravis Symposium. Malta: Environment Protection Department.</w:t>
      </w:r>
    </w:p>
    <w:p w14:paraId="2E51874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McClain, C. &amp; Barry, J. (2010). Habitat heterogeneity, disturbance, and productivity work in concert to regulate biodiversity in deep submarine canyons. </w:t>
      </w:r>
      <w:r w:rsidRPr="009978E3">
        <w:rPr>
          <w:rFonts w:eastAsia="MS Mincho"/>
          <w:i/>
          <w:sz w:val="22"/>
          <w:szCs w:val="22"/>
          <w:lang w:val="en-US"/>
        </w:rPr>
        <w:t>Ecology</w:t>
      </w:r>
      <w:r w:rsidRPr="009978E3">
        <w:rPr>
          <w:rFonts w:eastAsia="MS Mincho"/>
          <w:sz w:val="22"/>
          <w:szCs w:val="22"/>
          <w:lang w:val="en-US"/>
        </w:rPr>
        <w:t xml:space="preserve"> 91: 964–976. </w:t>
      </w:r>
    </w:p>
    <w:p w14:paraId="08BECED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Menard, H. (1964) </w:t>
      </w:r>
      <w:r w:rsidRPr="009978E3">
        <w:rPr>
          <w:rFonts w:eastAsia="MS Mincho"/>
          <w:i/>
          <w:sz w:val="22"/>
          <w:szCs w:val="22"/>
          <w:lang w:val="en-US"/>
        </w:rPr>
        <w:t>Marine Geology of the Pacific</w:t>
      </w:r>
      <w:r w:rsidRPr="009978E3">
        <w:rPr>
          <w:rFonts w:eastAsia="MS Mincho"/>
          <w:sz w:val="22"/>
          <w:szCs w:val="22"/>
          <w:lang w:val="en-US"/>
        </w:rPr>
        <w:t>, 271 pp., McGraw-Hill, New York.</w:t>
      </w:r>
    </w:p>
    <w:p w14:paraId="1B10C141"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Mendonça, A., Arístegui, J., Vilas, J., Montero, M., Ojeda, A., Espino, M. &amp; Martins, A. (2012). </w:t>
      </w:r>
      <w:r w:rsidRPr="009978E3">
        <w:rPr>
          <w:rFonts w:eastAsia="MS Mincho"/>
          <w:sz w:val="22"/>
          <w:szCs w:val="22"/>
          <w:lang w:val="en-US"/>
        </w:rPr>
        <w:t xml:space="preserve">Is there a seamount effect on microbial community structure and biomass? The case study of Seine and Sedlo Seamounts (Northeast Atlantic). </w:t>
      </w:r>
      <w:r w:rsidRPr="009978E3">
        <w:rPr>
          <w:rFonts w:eastAsia="MS Mincho"/>
          <w:i/>
          <w:sz w:val="22"/>
          <w:szCs w:val="22"/>
          <w:lang w:val="pt-PT"/>
        </w:rPr>
        <w:t>PLoS ONE</w:t>
      </w:r>
      <w:r w:rsidRPr="009978E3">
        <w:rPr>
          <w:rFonts w:eastAsia="MS Mincho"/>
          <w:sz w:val="22"/>
          <w:szCs w:val="22"/>
          <w:lang w:val="pt-PT"/>
        </w:rPr>
        <w:t xml:space="preserve"> 7(1).</w:t>
      </w:r>
    </w:p>
    <w:p w14:paraId="6CD29D3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Mil-Homens, M., Branco, V., Vale, C., Boer, W., Alt-Epping, U., Abrantes, F. &amp; Vicente, M. (2009). </w:t>
      </w:r>
      <w:r w:rsidRPr="009978E3">
        <w:rPr>
          <w:rFonts w:eastAsia="MS Mincho"/>
          <w:sz w:val="22"/>
          <w:szCs w:val="22"/>
          <w:lang w:val="en-US"/>
        </w:rPr>
        <w:t xml:space="preserve">Sedimentary record of anthropogenic metal inputs in the Tagus Prodelta (Portugal). </w:t>
      </w:r>
      <w:r w:rsidRPr="009978E3">
        <w:rPr>
          <w:rFonts w:eastAsia="MS Mincho"/>
          <w:i/>
          <w:sz w:val="22"/>
          <w:szCs w:val="22"/>
          <w:lang w:val="en-US"/>
        </w:rPr>
        <w:t xml:space="preserve">Continental Shelf Research </w:t>
      </w:r>
      <w:r w:rsidRPr="009978E3">
        <w:rPr>
          <w:rFonts w:eastAsia="MS Mincho"/>
          <w:sz w:val="22"/>
          <w:szCs w:val="22"/>
          <w:lang w:val="en-US"/>
        </w:rPr>
        <w:t>29: 381-392.</w:t>
      </w:r>
    </w:p>
    <w:p w14:paraId="66E67FE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Milkert, D., Weaver, P. P. E., &amp; Liu, L. (1996). </w:t>
      </w:r>
      <w:r w:rsidRPr="009978E3">
        <w:rPr>
          <w:rFonts w:eastAsia="MS Mincho"/>
          <w:i/>
          <w:sz w:val="22"/>
          <w:szCs w:val="22"/>
          <w:lang w:val="en-US"/>
        </w:rPr>
        <w:t>Pleistocene and Pliocene Turbidites from the Iberia Abyssal Plain</w:t>
      </w:r>
      <w:r w:rsidRPr="009978E3">
        <w:rPr>
          <w:rFonts w:eastAsia="MS Mincho"/>
          <w:sz w:val="22"/>
          <w:szCs w:val="22"/>
          <w:lang w:val="en-US"/>
        </w:rPr>
        <w:t>. Proceedings of the Ocean Drilling Program, Scientific Results, 149(May), 281–294.</w:t>
      </w:r>
    </w:p>
    <w:p w14:paraId="33C5A5D9"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Miranda, R. (2010). Petrogenesis and geochronology of late Cretaceous Alkaline magnetism in the West Iberian margin.</w:t>
      </w:r>
      <w:r w:rsidRPr="009978E3">
        <w:rPr>
          <w:i/>
          <w:iCs/>
          <w:sz w:val="22"/>
          <w:szCs w:val="22"/>
        </w:rPr>
        <w:t xml:space="preserve"> </w:t>
      </w:r>
      <w:r w:rsidRPr="009978E3">
        <w:rPr>
          <w:i/>
          <w:iCs/>
          <w:sz w:val="22"/>
          <w:szCs w:val="22"/>
          <w:lang w:val="pt-PT"/>
        </w:rPr>
        <w:t>Tectonics</w:t>
      </w:r>
      <w:r w:rsidRPr="009978E3">
        <w:rPr>
          <w:sz w:val="22"/>
          <w:szCs w:val="22"/>
          <w:lang w:val="pt-PT"/>
        </w:rPr>
        <w:t xml:space="preserve"> </w:t>
      </w:r>
      <w:r w:rsidRPr="009978E3">
        <w:rPr>
          <w:iCs/>
          <w:sz w:val="22"/>
          <w:szCs w:val="22"/>
          <w:lang w:val="pt-PT"/>
        </w:rPr>
        <w:t>19</w:t>
      </w:r>
      <w:r w:rsidRPr="009978E3">
        <w:rPr>
          <w:sz w:val="22"/>
          <w:szCs w:val="22"/>
          <w:lang w:val="pt-PT"/>
        </w:rPr>
        <w:t>(6), 1095-1106</w:t>
      </w:r>
      <w:r w:rsidRPr="009978E3">
        <w:rPr>
          <w:rFonts w:eastAsia="MS Mincho"/>
          <w:sz w:val="22"/>
          <w:szCs w:val="22"/>
          <w:lang w:val="pt-PT"/>
        </w:rPr>
        <w:t>.</w:t>
      </w:r>
    </w:p>
    <w:p w14:paraId="40784302"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Moita, I. (1986) </w:t>
      </w:r>
      <w:r w:rsidRPr="009978E3">
        <w:rPr>
          <w:rFonts w:eastAsia="MS Mincho"/>
          <w:i/>
          <w:sz w:val="22"/>
          <w:szCs w:val="22"/>
          <w:lang w:val="pt-PT"/>
        </w:rPr>
        <w:t>Notıcia explicativa da carta de sedimentos superficiais da plataforma continental</w:t>
      </w:r>
      <w:r w:rsidRPr="009978E3">
        <w:rPr>
          <w:rFonts w:eastAsia="MS Mincho"/>
          <w:sz w:val="22"/>
          <w:szCs w:val="22"/>
          <w:lang w:val="pt-PT"/>
        </w:rPr>
        <w:t>. Folha SED 7 e 8: Cabo de S. Vicente ao Rio Guadiana, Instituto Hidrográfico: 18 pp.</w:t>
      </w:r>
    </w:p>
    <w:p w14:paraId="60AF810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Moore, S. &amp; Allen, M. (2000). Distribution of anthropogenic and natural debris on the mainland shelf of the Southern California Bight. </w:t>
      </w:r>
      <w:r w:rsidRPr="009978E3">
        <w:rPr>
          <w:rFonts w:eastAsia="MS Mincho"/>
          <w:i/>
          <w:sz w:val="22"/>
          <w:szCs w:val="22"/>
          <w:lang w:val="en-US"/>
        </w:rPr>
        <w:t>Marine Pollution Bulletin</w:t>
      </w:r>
      <w:r w:rsidRPr="009978E3">
        <w:rPr>
          <w:rFonts w:eastAsia="MS Mincho"/>
          <w:sz w:val="22"/>
          <w:szCs w:val="22"/>
          <w:lang w:val="en-US"/>
        </w:rPr>
        <w:t xml:space="preserve"> 40: 83–88.</w:t>
      </w:r>
    </w:p>
    <w:p w14:paraId="47F52F6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Moors-Murphy, H. (2014). Submarine canyons as important habitat for cetaceans, with special reference to the Gully: a review.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104: 6–19.</w:t>
      </w:r>
    </w:p>
    <w:p w14:paraId="242837B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Morais, P., Borges, T., Carnall, V., Terrinha, P. &amp; Cooper, R. (2007). </w:t>
      </w:r>
      <w:r w:rsidRPr="009978E3">
        <w:rPr>
          <w:rFonts w:eastAsia="MS Mincho"/>
          <w:sz w:val="22"/>
          <w:szCs w:val="22"/>
          <w:lang w:val="en-US"/>
        </w:rPr>
        <w:t>Trawl-induced bottom disturbances off the south coast of portugal: direct observations by the “delta” manned-submersible on the submarine canyon of portimão.</w:t>
      </w:r>
      <w:r w:rsidRPr="009978E3">
        <w:rPr>
          <w:sz w:val="22"/>
          <w:szCs w:val="22"/>
        </w:rPr>
        <w:t xml:space="preserve"> </w:t>
      </w:r>
      <w:r w:rsidRPr="009978E3">
        <w:rPr>
          <w:rFonts w:eastAsia="MS Mincho"/>
          <w:sz w:val="22"/>
          <w:szCs w:val="22"/>
          <w:lang w:val="en-US"/>
        </w:rPr>
        <w:t>M</w:t>
      </w:r>
      <w:r w:rsidRPr="009978E3">
        <w:rPr>
          <w:rFonts w:eastAsia="MS Mincho"/>
          <w:i/>
          <w:sz w:val="22"/>
          <w:szCs w:val="22"/>
          <w:lang w:val="en-US"/>
        </w:rPr>
        <w:t>arine Ecology</w:t>
      </w:r>
      <w:r w:rsidRPr="009978E3">
        <w:rPr>
          <w:rFonts w:eastAsia="MS Mincho"/>
          <w:sz w:val="22"/>
          <w:szCs w:val="22"/>
          <w:lang w:val="en-US"/>
        </w:rPr>
        <w:t xml:space="preserve"> 28, 112–122.</w:t>
      </w:r>
    </w:p>
    <w:p w14:paraId="35ED60C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Morato, T, Kvile, K., Taranto, G., Tempera, F., Narayanaswamy, B., Hebbeln, D., Menezes, G., Wienberg, C., Santos, R. &amp; Pitcher, T. (2013) Seamount physiography and biology in The North-East Atlantic and Mediterranean Sea. </w:t>
      </w:r>
      <w:r w:rsidRPr="009978E3">
        <w:rPr>
          <w:rFonts w:eastAsia="MS Mincho"/>
          <w:i/>
          <w:sz w:val="22"/>
          <w:szCs w:val="22"/>
          <w:lang w:val="en-US"/>
        </w:rPr>
        <w:t>Biogeosciences</w:t>
      </w:r>
      <w:r w:rsidRPr="009978E3">
        <w:rPr>
          <w:rFonts w:eastAsia="MS Mincho"/>
          <w:sz w:val="22"/>
          <w:szCs w:val="22"/>
          <w:lang w:val="en-US"/>
        </w:rPr>
        <w:t xml:space="preserve"> 10(5): 3039–3054. </w:t>
      </w:r>
    </w:p>
    <w:p w14:paraId="6EA5DC0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Morato, T. &amp; Clark, M. (2007</w:t>
      </w:r>
      <w:r w:rsidRPr="009978E3">
        <w:rPr>
          <w:rFonts w:eastAsia="MS Mincho"/>
          <w:i/>
          <w:sz w:val="22"/>
          <w:szCs w:val="22"/>
          <w:lang w:val="en-US"/>
        </w:rPr>
        <w:t>). Seamount fishes: ecology and life histories</w:t>
      </w:r>
      <w:r w:rsidRPr="009978E3">
        <w:rPr>
          <w:rFonts w:eastAsia="MS Mincho"/>
          <w:sz w:val="22"/>
          <w:szCs w:val="22"/>
          <w:lang w:val="en-US"/>
        </w:rPr>
        <w:t>. Chapter 9 In:Pitcher, T.J., Morato, T., Hart, P.J.B., Clark, M.R., Haggan, N. &amp; Santos, R.S. (eds) Seamounts: ecology, fisheries &amp; conservation. Fish and Aquatic Resources Series, Blackwell, Oxford, UK. pp. 170 -188.</w:t>
      </w:r>
    </w:p>
    <w:p w14:paraId="6BF7B5F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Morato, T. &amp; Pauly, D. (2004). </w:t>
      </w:r>
      <w:r w:rsidRPr="009978E3">
        <w:rPr>
          <w:rFonts w:eastAsia="MS Mincho"/>
          <w:i/>
          <w:sz w:val="22"/>
          <w:szCs w:val="22"/>
          <w:lang w:val="en-US"/>
        </w:rPr>
        <w:t>Seamounts: Biodiversity and fisheries</w:t>
      </w:r>
      <w:r w:rsidRPr="009978E3">
        <w:rPr>
          <w:rFonts w:eastAsia="MS Mincho"/>
          <w:sz w:val="22"/>
          <w:szCs w:val="22"/>
          <w:lang w:val="en-US"/>
        </w:rPr>
        <w:t>. Fisheries Centre, University of British Columbia.</w:t>
      </w:r>
    </w:p>
    <w:p w14:paraId="190BA28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Morato, T., Allain, V., Hoyle, S. &amp; Nicol, S. (2009</w:t>
      </w:r>
      <w:r w:rsidRPr="009978E3">
        <w:rPr>
          <w:rFonts w:eastAsia="MS Mincho"/>
          <w:i/>
          <w:sz w:val="22"/>
          <w:szCs w:val="22"/>
          <w:lang w:val="en-US"/>
        </w:rPr>
        <w:t>) Tuna Longline Fishing around West and Central Pacific Seamounts</w:t>
      </w:r>
      <w:r w:rsidRPr="009978E3">
        <w:rPr>
          <w:rFonts w:eastAsia="MS Mincho"/>
          <w:sz w:val="22"/>
          <w:szCs w:val="22"/>
          <w:lang w:val="en-US"/>
        </w:rPr>
        <w:t>. Information Paper. Scientific Committee, Fifth Regular Session, 10-21 August 2009, Port Vila, Vanuatu. WCPFC-SC5-2009/EB-IP-04. Western and Central Pacific Fisheries Commission, Palikir, Pohnpei.</w:t>
      </w:r>
    </w:p>
    <w:p w14:paraId="6E664BD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Morato, T., Hoyle, S., Allain, V. &amp; Nicol, S. (2010) Seamounts are hotspots of pelagic biodiversity in the open ocean. </w:t>
      </w:r>
      <w:r w:rsidRPr="009978E3">
        <w:rPr>
          <w:rFonts w:eastAsia="MS Mincho"/>
          <w:i/>
          <w:sz w:val="22"/>
          <w:szCs w:val="22"/>
          <w:lang w:val="en-US"/>
        </w:rPr>
        <w:t>Proceedings of the National Academy of Sciences of the United States of America</w:t>
      </w:r>
      <w:r w:rsidRPr="009978E3">
        <w:rPr>
          <w:rFonts w:eastAsia="MS Mincho"/>
          <w:sz w:val="22"/>
          <w:szCs w:val="22"/>
          <w:lang w:val="en-US"/>
        </w:rPr>
        <w:t xml:space="preserve"> 107(21): 9707–9711. </w:t>
      </w:r>
    </w:p>
    <w:p w14:paraId="65783F2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Morato, T., Varkey, D., Damaso, C., Machete, M., Santos, M., Prieto, R., Santos, R. &amp; Pitcher, T. (2008) Evidence of a seamount effect on aggregating visitors. </w:t>
      </w:r>
      <w:r w:rsidRPr="009978E3">
        <w:rPr>
          <w:rFonts w:eastAsia="MS Mincho"/>
          <w:i/>
          <w:sz w:val="22"/>
          <w:szCs w:val="22"/>
          <w:lang w:val="en-US"/>
        </w:rPr>
        <w:t>Marine Ecology Progress Series</w:t>
      </w:r>
      <w:r w:rsidRPr="009978E3">
        <w:rPr>
          <w:rFonts w:eastAsia="MS Mincho"/>
          <w:sz w:val="22"/>
          <w:szCs w:val="22"/>
          <w:lang w:val="en-US"/>
        </w:rPr>
        <w:t xml:space="preserve"> 357: 23-32.</w:t>
      </w:r>
    </w:p>
    <w:p w14:paraId="511CE46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Mordecai, G., Tyler, P., Masson, D. &amp; Huvenne, V. (2011). </w:t>
      </w:r>
      <w:r w:rsidRPr="009978E3">
        <w:rPr>
          <w:rFonts w:eastAsia="MS Mincho"/>
          <w:sz w:val="22"/>
          <w:szCs w:val="22"/>
          <w:lang w:val="en-US"/>
        </w:rPr>
        <w:t xml:space="preserve">Litter in submarine canyons off the west coast of Portugal.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58: 2489–2496.</w:t>
      </w:r>
    </w:p>
    <w:p w14:paraId="5C727C89"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Moreira, V.S., 1985. Seismotectonics of Portugal and its adjacent area in the Atlantic. </w:t>
      </w:r>
      <w:r w:rsidRPr="009978E3">
        <w:rPr>
          <w:rFonts w:eastAsia="MS Mincho"/>
          <w:i/>
          <w:sz w:val="22"/>
          <w:szCs w:val="22"/>
          <w:lang w:val="fr-CA"/>
        </w:rPr>
        <w:t xml:space="preserve">Tectonophysics </w:t>
      </w:r>
      <w:r w:rsidRPr="009978E3">
        <w:rPr>
          <w:rFonts w:eastAsia="MS Mincho"/>
          <w:sz w:val="22"/>
          <w:szCs w:val="22"/>
          <w:lang w:val="fr-CA"/>
        </w:rPr>
        <w:t>117: 85–96.</w:t>
      </w:r>
    </w:p>
    <w:p w14:paraId="2F20740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Morris, K., Tyler, P., Masson, D., Huvenne, V. &amp; Rogers, A. (2013). </w:t>
      </w:r>
      <w:r w:rsidRPr="009978E3">
        <w:rPr>
          <w:rFonts w:eastAsia="MS Mincho"/>
          <w:sz w:val="22"/>
          <w:szCs w:val="22"/>
          <w:lang w:val="en-US"/>
        </w:rPr>
        <w:t xml:space="preserve">Distribution of cold-water corals in the Whittard Canyon, NE Atlantic Ocean.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92: 136–144.</w:t>
      </w:r>
    </w:p>
    <w:p w14:paraId="0B11003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Mortensen, P., Buhl-Mortensen, L., Gebruk, A. &amp; Krylova, E. (2008) Occurrence of deep-water corals on the Mid-Atlantic Ridge based on MAR-ECO data.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55(1-2): 142–152. </w:t>
      </w:r>
    </w:p>
    <w:p w14:paraId="26425AF5"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rPr>
        <w:t>Mougenot, D. (1988</w:t>
      </w:r>
      <w:r w:rsidRPr="009978E3">
        <w:rPr>
          <w:rFonts w:eastAsia="MS Mincho"/>
          <w:i/>
          <w:sz w:val="22"/>
          <w:szCs w:val="22"/>
        </w:rPr>
        <w:t xml:space="preserve">). </w:t>
      </w:r>
      <w:r w:rsidRPr="009978E3">
        <w:rPr>
          <w:rFonts w:eastAsia="MS Mincho"/>
          <w:i/>
          <w:sz w:val="22"/>
          <w:szCs w:val="22"/>
          <w:lang w:val="pt-PT"/>
        </w:rPr>
        <w:t>Geologie de la marge Portugaise</w:t>
      </w:r>
      <w:r w:rsidRPr="009978E3">
        <w:rPr>
          <w:rFonts w:eastAsia="MS Mincho"/>
          <w:sz w:val="22"/>
          <w:szCs w:val="22"/>
          <w:lang w:val="pt-PT"/>
        </w:rPr>
        <w:t xml:space="preserve">. </w:t>
      </w:r>
      <w:r w:rsidRPr="009978E3">
        <w:rPr>
          <w:rFonts w:eastAsia="MS Mincho"/>
          <w:sz w:val="22"/>
          <w:szCs w:val="22"/>
          <w:lang w:val="fr-CA"/>
        </w:rPr>
        <w:t>These de Doctorat D’Etat des Sciences Naturelles, Universite Pierre et Marie Curie, Paris, 155 pp.</w:t>
      </w:r>
    </w:p>
    <w:p w14:paraId="5AA83115"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Mougenot, D., Kidd, R., Mauffret, A., Regnauld, H., Rothwell, R. &amp; Vanney, J. (1984). Geological interpretation of combined SEABEAM, GLORIA and seismic data from Porto and Vigo Seamounts, Iberian continental margin. </w:t>
      </w:r>
      <w:r w:rsidRPr="009978E3">
        <w:rPr>
          <w:rFonts w:eastAsia="MS Mincho"/>
          <w:i/>
          <w:sz w:val="22"/>
          <w:szCs w:val="22"/>
          <w:lang w:val="pt-PT"/>
        </w:rPr>
        <w:t>Marine Geophysical Researches</w:t>
      </w:r>
      <w:r w:rsidRPr="009978E3">
        <w:rPr>
          <w:rFonts w:eastAsia="MS Mincho"/>
          <w:sz w:val="22"/>
          <w:szCs w:val="22"/>
          <w:lang w:val="pt-PT"/>
        </w:rPr>
        <w:t>, 6(4): 329–363.</w:t>
      </w:r>
    </w:p>
    <w:p w14:paraId="016FE8CC"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Mouguenot, D. (1989) </w:t>
      </w:r>
      <w:r w:rsidRPr="009978E3">
        <w:rPr>
          <w:rFonts w:eastAsia="MS Mincho"/>
          <w:i/>
          <w:sz w:val="22"/>
          <w:szCs w:val="22"/>
          <w:lang w:val="pt-PT"/>
        </w:rPr>
        <w:t>Geologia da margem Portuguesa</w:t>
      </w:r>
      <w:r w:rsidRPr="009978E3">
        <w:rPr>
          <w:rFonts w:eastAsia="MS Mincho"/>
          <w:sz w:val="22"/>
          <w:szCs w:val="22"/>
          <w:lang w:val="pt-PT"/>
        </w:rPr>
        <w:t>. Documentos Técnicos do Instituto Hidrográfico, Vol. 32, Lisboa: 259 pp.</w:t>
      </w:r>
    </w:p>
    <w:p w14:paraId="3D42786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Moura, D., Gomes, A., &amp; Horta, J. (2017). </w:t>
      </w:r>
      <w:r w:rsidRPr="009978E3">
        <w:rPr>
          <w:rFonts w:eastAsia="MS Mincho"/>
          <w:i/>
          <w:sz w:val="22"/>
          <w:szCs w:val="22"/>
          <w:lang w:val="en-US"/>
        </w:rPr>
        <w:t>The Iberian Atlantic Margin</w:t>
      </w:r>
      <w:r w:rsidRPr="009978E3">
        <w:rPr>
          <w:rFonts w:eastAsia="MS Mincho"/>
          <w:sz w:val="22"/>
          <w:szCs w:val="22"/>
          <w:lang w:val="en-US"/>
        </w:rPr>
        <w:t>. Submerged Landscapes of the European Continental Shelf: Quaternary Paleoenvironments, 281-300.</w:t>
      </w:r>
    </w:p>
    <w:p w14:paraId="3A1109C4"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Mouriño, B., Fernández, E., Serret, P., Harbour, D., Sinha, B. &amp; Pingree, R. (2001) Variability and seasonality of physical and biological fields at the Great Meteor Tablemount (subtropical NE Atlantic). </w:t>
      </w:r>
      <w:r w:rsidRPr="009978E3">
        <w:rPr>
          <w:rFonts w:eastAsia="MS Mincho"/>
          <w:i/>
          <w:sz w:val="22"/>
          <w:szCs w:val="22"/>
          <w:lang w:val="pt-PT"/>
        </w:rPr>
        <w:t>Oceanologica Acta</w:t>
      </w:r>
      <w:r w:rsidRPr="009978E3">
        <w:rPr>
          <w:rFonts w:eastAsia="MS Mincho"/>
          <w:sz w:val="22"/>
          <w:szCs w:val="22"/>
          <w:lang w:val="pt-PT"/>
        </w:rPr>
        <w:t xml:space="preserve"> 24(2): 167–185.</w:t>
      </w:r>
    </w:p>
    <w:p w14:paraId="3AB0720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Muacho, S., Da Silva, J., Brotas, V. &amp; Oliveira, P. (2013). </w:t>
      </w:r>
      <w:r w:rsidRPr="009978E3">
        <w:rPr>
          <w:rFonts w:eastAsia="MS Mincho"/>
          <w:sz w:val="22"/>
          <w:szCs w:val="22"/>
          <w:lang w:val="en-US"/>
        </w:rPr>
        <w:t xml:space="preserve">Effect of internal waves on near-surface chlorophyll concentration and primary production in the Nazaré Canyon (west of the Iberian Peninsula). </w:t>
      </w:r>
      <w:r w:rsidRPr="009978E3">
        <w:rPr>
          <w:rFonts w:eastAsia="MS Mincho"/>
          <w:i/>
          <w:sz w:val="22"/>
          <w:szCs w:val="22"/>
          <w:lang w:val="en-US"/>
        </w:rPr>
        <w:t>Deep-Sea Research Part I: Oceanographic Research Papers</w:t>
      </w:r>
      <w:r w:rsidRPr="009978E3">
        <w:rPr>
          <w:rFonts w:eastAsia="MS Mincho"/>
          <w:sz w:val="22"/>
          <w:szCs w:val="22"/>
          <w:lang w:val="en-US"/>
        </w:rPr>
        <w:t>, 81: 89–96.</w:t>
      </w:r>
    </w:p>
    <w:p w14:paraId="1E14525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Mulder T, Gonthier E, Lecroart P, Hanquiez V, Marchès E. &amp; Voisset M (2009) Sediment failures and flows in the Gulf of Cadiz (eastern Atlantic). </w:t>
      </w:r>
      <w:r w:rsidRPr="009978E3">
        <w:rPr>
          <w:rFonts w:eastAsia="MS Mincho"/>
          <w:i/>
          <w:sz w:val="22"/>
          <w:szCs w:val="22"/>
          <w:lang w:val="en-US"/>
        </w:rPr>
        <w:t>Marine and Petroleum Geology</w:t>
      </w:r>
      <w:r w:rsidRPr="009978E3">
        <w:rPr>
          <w:rFonts w:eastAsia="MS Mincho"/>
          <w:sz w:val="22"/>
          <w:szCs w:val="22"/>
          <w:lang w:val="en-US"/>
        </w:rPr>
        <w:t xml:space="preserve"> 26: 660–672.</w:t>
      </w:r>
    </w:p>
    <w:p w14:paraId="0CA87402"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Mulder, T., Lecroart, P., Hanquiez, V., Marches, E., Gonthier, E., Guedes, J. &amp; Perez, C. (2006). The western part of the Gulf of Cadiz: contour currents and turbidity currents interactions. </w:t>
      </w:r>
      <w:r w:rsidRPr="009978E3">
        <w:rPr>
          <w:rFonts w:eastAsia="MS Mincho"/>
          <w:i/>
          <w:sz w:val="22"/>
          <w:szCs w:val="22"/>
          <w:lang w:val="fr-CA"/>
        </w:rPr>
        <w:t>Geo-Marine Letters</w:t>
      </w:r>
      <w:r w:rsidRPr="009978E3">
        <w:rPr>
          <w:rFonts w:eastAsia="MS Mincho"/>
          <w:sz w:val="22"/>
          <w:szCs w:val="22"/>
          <w:lang w:val="fr-CA"/>
        </w:rPr>
        <w:t>, 26(1): 31-41.</w:t>
      </w:r>
    </w:p>
    <w:p w14:paraId="3577296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Muñoz, A., Acosta, J., Cristobo, J., Druet, M., Uchupi, E., Iglesias, S. &amp; López, V. (2013). </w:t>
      </w:r>
      <w:r w:rsidRPr="009978E3">
        <w:rPr>
          <w:rFonts w:eastAsia="MS Mincho"/>
          <w:sz w:val="22"/>
          <w:szCs w:val="22"/>
          <w:lang w:val="en-US"/>
        </w:rPr>
        <w:t xml:space="preserve">Geomorphology and shallow structure of a segment of the Atlantic Patagonian margin. </w:t>
      </w:r>
      <w:r w:rsidRPr="009978E3">
        <w:rPr>
          <w:rFonts w:eastAsia="MS Mincho"/>
          <w:i/>
          <w:sz w:val="22"/>
          <w:szCs w:val="22"/>
          <w:lang w:val="en-US"/>
        </w:rPr>
        <w:t>Earth-Science Reviews</w:t>
      </w:r>
      <w:r w:rsidRPr="009978E3">
        <w:rPr>
          <w:rFonts w:eastAsia="MS Mincho"/>
          <w:sz w:val="22"/>
          <w:szCs w:val="22"/>
          <w:lang w:val="en-US"/>
        </w:rPr>
        <w:t xml:space="preserve"> 121:73–95.</w:t>
      </w:r>
    </w:p>
    <w:p w14:paraId="377B07A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Neres, M., Bouchez, J., Terrinha, P., Font, E., Moreira, M., Miranda, R. &amp; Carvallo, C. (2014). </w:t>
      </w:r>
      <w:r w:rsidRPr="009978E3">
        <w:rPr>
          <w:rFonts w:eastAsia="MS Mincho"/>
          <w:sz w:val="22"/>
          <w:szCs w:val="22"/>
          <w:lang w:val="en-US"/>
        </w:rPr>
        <w:t xml:space="preserve">Magnetic fabric in a Cretaceous sill (Foz da Fonte, Portugal): Flow model and implications for regional magmatism. </w:t>
      </w:r>
      <w:r w:rsidRPr="009978E3">
        <w:rPr>
          <w:rFonts w:eastAsia="MS Mincho"/>
          <w:i/>
          <w:sz w:val="22"/>
          <w:szCs w:val="22"/>
          <w:lang w:val="en-US"/>
        </w:rPr>
        <w:t>Geophysical Journal International</w:t>
      </w:r>
      <w:r w:rsidRPr="009978E3">
        <w:rPr>
          <w:rFonts w:eastAsia="MS Mincho"/>
          <w:sz w:val="22"/>
          <w:szCs w:val="22"/>
          <w:lang w:val="en-US"/>
        </w:rPr>
        <w:t xml:space="preserve"> 199(1): 78–101. </w:t>
      </w:r>
    </w:p>
    <w:p w14:paraId="05E0E82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Nittrouer, C. &amp; Wright, L. (1994). Transport of particles across continental shelves. </w:t>
      </w:r>
      <w:r w:rsidRPr="009978E3">
        <w:rPr>
          <w:rFonts w:eastAsia="MS Mincho"/>
          <w:i/>
          <w:sz w:val="22"/>
          <w:szCs w:val="22"/>
          <w:lang w:val="en-US"/>
        </w:rPr>
        <w:t>Reviews of Geophysics</w:t>
      </w:r>
      <w:r w:rsidRPr="009978E3">
        <w:rPr>
          <w:rFonts w:eastAsia="MS Mincho"/>
          <w:sz w:val="22"/>
          <w:szCs w:val="22"/>
          <w:lang w:val="en-US"/>
        </w:rPr>
        <w:t xml:space="preserve"> 32: 85–113. </w:t>
      </w:r>
    </w:p>
    <w:p w14:paraId="20372E9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Normark, W. &amp; Carlson, P., 2003. Giant submarine canyons: Is size any clue to their importance in the rock record? </w:t>
      </w:r>
      <w:r w:rsidRPr="009978E3">
        <w:rPr>
          <w:rFonts w:eastAsia="MS Mincho"/>
          <w:i/>
          <w:sz w:val="22"/>
          <w:szCs w:val="22"/>
          <w:lang w:val="en-US"/>
        </w:rPr>
        <w:t>Geological Society of America Special Paper</w:t>
      </w:r>
      <w:r w:rsidRPr="009978E3">
        <w:rPr>
          <w:rFonts w:eastAsia="MS Mincho"/>
          <w:sz w:val="22"/>
          <w:szCs w:val="22"/>
          <w:lang w:val="en-US"/>
        </w:rPr>
        <w:t xml:space="preserve"> 370: 175–</w:t>
      </w:r>
      <w:r w:rsidRPr="009978E3" w:rsidDel="001767B9">
        <w:rPr>
          <w:rFonts w:eastAsia="MS Mincho"/>
          <w:sz w:val="22"/>
          <w:szCs w:val="22"/>
          <w:lang w:val="en-US"/>
        </w:rPr>
        <w:t xml:space="preserve"> </w:t>
      </w:r>
      <w:r w:rsidRPr="009978E3">
        <w:rPr>
          <w:rFonts w:eastAsia="MS Mincho"/>
          <w:sz w:val="22"/>
          <w:szCs w:val="22"/>
          <w:lang w:val="en-US"/>
        </w:rPr>
        <w:t xml:space="preserve">190. </w:t>
      </w:r>
    </w:p>
    <w:p w14:paraId="0003D59E"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O’Neill-Baringer MO, Price JF. 1999. A review of the physical oceanography of the Mediterranean outflow. Marine Geology 155: 63–82. Sardina pilchardus, typically yields ca. 80,000 metric tons annually along the Galician coast.</w:t>
      </w:r>
    </w:p>
    <w:p w14:paraId="2E26B1B1"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Okey, T. (1997). Sediment flushing observations, earthquake slumping, and benthic community changes in Monterey Canyon head. </w:t>
      </w:r>
      <w:r w:rsidRPr="009978E3">
        <w:rPr>
          <w:rFonts w:eastAsia="MS Mincho"/>
          <w:i/>
          <w:sz w:val="22"/>
          <w:szCs w:val="22"/>
          <w:lang w:val="pt-PT"/>
        </w:rPr>
        <w:t>Continental Shelf Research</w:t>
      </w:r>
      <w:r w:rsidRPr="009978E3">
        <w:rPr>
          <w:rFonts w:eastAsia="MS Mincho"/>
          <w:sz w:val="22"/>
          <w:szCs w:val="22"/>
          <w:lang w:val="pt-PT"/>
        </w:rPr>
        <w:t xml:space="preserve"> 17: 877–897.</w:t>
      </w:r>
    </w:p>
    <w:p w14:paraId="1D7B9BFC"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Oliveira, A., Rocha, F., Rodrigues, A., Jouanneau, Dias, J., Weber, O. &amp; Gomes, C. (2002). </w:t>
      </w:r>
      <w:r w:rsidRPr="009978E3">
        <w:rPr>
          <w:rFonts w:eastAsia="MS Mincho"/>
          <w:sz w:val="22"/>
          <w:szCs w:val="22"/>
          <w:lang w:val="en-US"/>
        </w:rPr>
        <w:t xml:space="preserve">Clay minerals from the sedimentary cover from the Northwest Iberian shelf. </w:t>
      </w:r>
      <w:r w:rsidRPr="009978E3">
        <w:rPr>
          <w:rFonts w:eastAsia="MS Mincho"/>
          <w:i/>
          <w:sz w:val="22"/>
          <w:szCs w:val="22"/>
          <w:lang w:val="pt-PT"/>
        </w:rPr>
        <w:t>Progress in Oceanography</w:t>
      </w:r>
      <w:r w:rsidRPr="009978E3">
        <w:rPr>
          <w:rFonts w:eastAsia="MS Mincho"/>
          <w:sz w:val="22"/>
          <w:szCs w:val="22"/>
          <w:lang w:val="pt-PT"/>
        </w:rPr>
        <w:t xml:space="preserve"> 52: 233-247.</w:t>
      </w:r>
    </w:p>
    <w:p w14:paraId="2A1BDB31"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Oliveira, A., Santos, A., Rodrigues, A. &amp; Vitorino, J. (2007). </w:t>
      </w:r>
      <w:r w:rsidRPr="009978E3">
        <w:rPr>
          <w:rFonts w:eastAsia="MS Mincho"/>
          <w:sz w:val="22"/>
          <w:szCs w:val="22"/>
          <w:lang w:val="en-US"/>
        </w:rPr>
        <w:t xml:space="preserve">Sedimentary particle distribution and dynamics on the Nazaré canyon system and adjacent shelf (Portugal). </w:t>
      </w:r>
      <w:r w:rsidRPr="009978E3">
        <w:rPr>
          <w:rFonts w:eastAsia="MS Mincho"/>
          <w:i/>
          <w:sz w:val="22"/>
          <w:szCs w:val="22"/>
          <w:lang w:val="pt-PT"/>
        </w:rPr>
        <w:t>Marine Geology</w:t>
      </w:r>
      <w:r w:rsidRPr="009978E3">
        <w:rPr>
          <w:rFonts w:eastAsia="MS Mincho"/>
          <w:sz w:val="22"/>
          <w:szCs w:val="22"/>
          <w:lang w:val="pt-PT"/>
        </w:rPr>
        <w:t xml:space="preserve"> 246(2–4): 105–122.</w:t>
      </w:r>
    </w:p>
    <w:p w14:paraId="09B4B15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Orejas, C., Gori, A., Lo Iacono, C., Puig, P., Gili, J. &amp; Dale, M. (2009). </w:t>
      </w:r>
      <w:r w:rsidRPr="009978E3">
        <w:rPr>
          <w:rFonts w:eastAsia="MS Mincho"/>
          <w:sz w:val="22"/>
          <w:szCs w:val="22"/>
          <w:lang w:val="en-US"/>
        </w:rPr>
        <w:t xml:space="preserve">Cold-water corals in the Cap de Creus canyon, northwestern Mediterranean: spatial distribution, density and anthropogenic impact. </w:t>
      </w:r>
      <w:r w:rsidRPr="009978E3">
        <w:rPr>
          <w:rFonts w:eastAsia="MS Mincho"/>
          <w:i/>
          <w:sz w:val="22"/>
          <w:szCs w:val="22"/>
          <w:lang w:val="en-US"/>
        </w:rPr>
        <w:t>Marine Ecology Progress Series</w:t>
      </w:r>
      <w:r w:rsidRPr="009978E3">
        <w:rPr>
          <w:rFonts w:eastAsia="MS Mincho"/>
          <w:sz w:val="22"/>
          <w:szCs w:val="22"/>
          <w:lang w:val="en-US"/>
        </w:rPr>
        <w:t xml:space="preserve"> 397: 37–51.</w:t>
      </w:r>
    </w:p>
    <w:p w14:paraId="74034FB2" w14:textId="77777777" w:rsidR="006B3F46" w:rsidRPr="009978E3" w:rsidRDefault="006B3F46" w:rsidP="00907941">
      <w:pPr>
        <w:autoSpaceDE w:val="0"/>
        <w:autoSpaceDN w:val="0"/>
        <w:adjustRightInd w:val="0"/>
        <w:ind w:left="720" w:hanging="720"/>
        <w:jc w:val="both"/>
        <w:rPr>
          <w:sz w:val="22"/>
          <w:szCs w:val="22"/>
          <w:lang w:val="en-US" w:eastAsia="en-GB"/>
        </w:rPr>
      </w:pPr>
      <w:r w:rsidRPr="009978E3">
        <w:rPr>
          <w:sz w:val="22"/>
          <w:szCs w:val="22"/>
          <w:lang w:eastAsia="en-GB"/>
        </w:rPr>
        <w:t>Oro, D., Aguilar, J.S., Igual, J.M. and Louzao, M. (2004). Modelling demography and extinction risk in the endangered Balearic shearwater. Biological Conservation 116: 93–102.</w:t>
      </w:r>
    </w:p>
    <w:p w14:paraId="3E154B0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Orsi, W., Biddle, J. &amp; Edgcomb, V. (2013). Deep sequencing of subseafloor eukaryotic rRNA reveals active fungi across marine subsurface provinces. </w:t>
      </w:r>
      <w:r w:rsidRPr="009978E3">
        <w:rPr>
          <w:rFonts w:eastAsia="MS Mincho"/>
          <w:i/>
          <w:sz w:val="22"/>
          <w:szCs w:val="22"/>
          <w:lang w:val="en-US"/>
        </w:rPr>
        <w:t>PLoS One</w:t>
      </w:r>
      <w:r w:rsidRPr="009978E3">
        <w:rPr>
          <w:rFonts w:eastAsia="MS Mincho"/>
          <w:sz w:val="22"/>
          <w:szCs w:val="22"/>
          <w:lang w:val="en-US"/>
        </w:rPr>
        <w:t xml:space="preserve"> 8(2):e56335.</w:t>
      </w:r>
    </w:p>
    <w:p w14:paraId="51EB0D7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OSPAR (2008). OSPAR List of Threatened and/or Declining Species and Habitats. OSPAR Convention for the Protection of the Marine environment of the North-East Atlantic. (Reference Number: 2008-6).</w:t>
      </w:r>
    </w:p>
    <w:p w14:paraId="416FD56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OSPAR (2010) </w:t>
      </w:r>
      <w:r w:rsidRPr="009978E3">
        <w:rPr>
          <w:rFonts w:eastAsia="MS Mincho"/>
          <w:i/>
          <w:sz w:val="22"/>
          <w:szCs w:val="22"/>
          <w:lang w:val="en-US"/>
        </w:rPr>
        <w:t>Quality Status Report 2010</w:t>
      </w:r>
      <w:r w:rsidRPr="009978E3">
        <w:rPr>
          <w:rFonts w:eastAsia="MS Mincho"/>
          <w:sz w:val="22"/>
          <w:szCs w:val="22"/>
          <w:lang w:val="en-US"/>
        </w:rPr>
        <w:t>. OSPAR Commission. London. 176 pp.</w:t>
      </w:r>
    </w:p>
    <w:p w14:paraId="7A5BE94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OSPAR Commission, 2000. Quality Status Report 2000: Region IV - Bay of Biscay and Iberian Coast. Ospar Commission. London. 134 + xiii pp.</w:t>
      </w:r>
    </w:p>
    <w:p w14:paraId="331210FB"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Paiva V., Geraldes P., Ramírez I., Meirinho A., Garthe S. &amp; Ramos J. (2010). Oceanographic characteristics of areas used by Cory’s shearwaters during short and long foraging trips in the North Atlantic. </w:t>
      </w:r>
      <w:r w:rsidRPr="009978E3">
        <w:rPr>
          <w:rFonts w:eastAsia="MS Mincho"/>
          <w:i/>
          <w:sz w:val="22"/>
          <w:szCs w:val="22"/>
          <w:lang w:val="pt-PT"/>
        </w:rPr>
        <w:t>Marine Biology</w:t>
      </w:r>
      <w:r w:rsidRPr="009978E3">
        <w:rPr>
          <w:rFonts w:eastAsia="MS Mincho"/>
          <w:sz w:val="22"/>
          <w:szCs w:val="22"/>
          <w:lang w:val="pt-PT"/>
        </w:rPr>
        <w:t xml:space="preserve"> 157: 1385-1399.</w:t>
      </w:r>
    </w:p>
    <w:p w14:paraId="5722372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Paiva, P., Jouanneau, J., Araújo, F., Weber, O., Rodrigues, A. &amp; Dias, J. (1997). </w:t>
      </w:r>
      <w:r w:rsidRPr="009978E3">
        <w:rPr>
          <w:rFonts w:eastAsia="MS Mincho"/>
          <w:sz w:val="22"/>
          <w:szCs w:val="22"/>
          <w:lang w:val="en-US"/>
        </w:rPr>
        <w:t xml:space="preserve">Elemental distribution in a sedimentary deposit on the shelf off the Tagus Estuary (Portugal). </w:t>
      </w:r>
      <w:r w:rsidRPr="009978E3">
        <w:rPr>
          <w:rFonts w:eastAsia="MS Mincho"/>
          <w:i/>
          <w:sz w:val="22"/>
          <w:szCs w:val="22"/>
          <w:lang w:val="en-US"/>
        </w:rPr>
        <w:t>Water, Air and Soil Pollution</w:t>
      </w:r>
      <w:r w:rsidRPr="009978E3">
        <w:rPr>
          <w:rFonts w:eastAsia="MS Mincho"/>
          <w:sz w:val="22"/>
          <w:szCs w:val="22"/>
          <w:lang w:val="en-US"/>
        </w:rPr>
        <w:t>, 99: 507-514.</w:t>
      </w:r>
    </w:p>
    <w:p w14:paraId="56AA1E4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Pakhorukov, N. (2008) Visual observations of fish from seamounts of the Southern Azores Region (the Atlantic Ocean). </w:t>
      </w:r>
      <w:r w:rsidRPr="009978E3">
        <w:rPr>
          <w:rFonts w:eastAsia="MS Mincho"/>
          <w:i/>
          <w:sz w:val="22"/>
          <w:szCs w:val="22"/>
          <w:lang w:val="en-US"/>
        </w:rPr>
        <w:t>Journal of Ichthyology</w:t>
      </w:r>
      <w:r w:rsidRPr="009978E3">
        <w:rPr>
          <w:rFonts w:eastAsia="MS Mincho"/>
          <w:sz w:val="22"/>
          <w:szCs w:val="22"/>
          <w:lang w:val="en-US"/>
        </w:rPr>
        <w:t xml:space="preserve"> 48: 114–123.</w:t>
      </w:r>
    </w:p>
    <w:p w14:paraId="57580DC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Palanques, A., García-Ladona, E., Gomis, D., Martín, J., Marcos, M., Pascual, A. &amp; Guillén, J. (2005). </w:t>
      </w:r>
      <w:r w:rsidRPr="009978E3">
        <w:rPr>
          <w:rFonts w:eastAsia="MS Mincho"/>
          <w:sz w:val="22"/>
          <w:szCs w:val="22"/>
          <w:lang w:val="en-US"/>
        </w:rPr>
        <w:t xml:space="preserve">General patterns of circulation, sediment fluxes and ecology of the Palamós (La Fonera) submarine canyon, northwestern Mediterranean. </w:t>
      </w:r>
      <w:r w:rsidRPr="009978E3">
        <w:rPr>
          <w:rFonts w:eastAsia="MS Mincho"/>
          <w:i/>
          <w:sz w:val="22"/>
          <w:szCs w:val="22"/>
          <w:lang w:val="en-US"/>
        </w:rPr>
        <w:t>Progress in Oceanography</w:t>
      </w:r>
      <w:r w:rsidRPr="009978E3">
        <w:rPr>
          <w:rFonts w:eastAsia="MS Mincho"/>
          <w:sz w:val="22"/>
          <w:szCs w:val="22"/>
          <w:lang w:val="en-US"/>
        </w:rPr>
        <w:t xml:space="preserve"> 66(2-4): 89-119.</w:t>
      </w:r>
    </w:p>
    <w:p w14:paraId="6814E3B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Palanques, A., Martín, J., Puig, P., Guillén, J., Company, J. &amp; Sardà, F. (2006). </w:t>
      </w:r>
      <w:r w:rsidRPr="009978E3">
        <w:rPr>
          <w:rFonts w:eastAsia="MS Mincho"/>
          <w:sz w:val="22"/>
          <w:szCs w:val="22"/>
          <w:lang w:val="en-US"/>
        </w:rPr>
        <w:t xml:space="preserve">Evidence of sediment gravity flows induced by trawling in the Palamós (Fonera) submarine canyon (northwestern Mediterranean). </w:t>
      </w:r>
      <w:r w:rsidRPr="009978E3">
        <w:rPr>
          <w:rFonts w:eastAsia="MS Mincho"/>
          <w:i/>
          <w:sz w:val="22"/>
          <w:szCs w:val="22"/>
          <w:lang w:val="en-US"/>
        </w:rPr>
        <w:t>Deep-Sea Research Part I: Oceanographic Research Papers</w:t>
      </w:r>
      <w:r w:rsidRPr="009978E3">
        <w:rPr>
          <w:rFonts w:eastAsia="MS Mincho"/>
          <w:sz w:val="22"/>
          <w:szCs w:val="22"/>
          <w:lang w:val="en-US"/>
        </w:rPr>
        <w:t xml:space="preserve"> 53: 201–214.</w:t>
      </w:r>
    </w:p>
    <w:p w14:paraId="04715A6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Palanques, A., Masqué, P., Puig, P., Sanchez-Cabeza, J. A., Frignani, M. &amp; Alvisi, F. (2008). </w:t>
      </w:r>
      <w:r w:rsidRPr="009978E3">
        <w:rPr>
          <w:rFonts w:eastAsia="MS Mincho"/>
          <w:sz w:val="22"/>
          <w:szCs w:val="22"/>
          <w:lang w:val="en-US"/>
        </w:rPr>
        <w:t xml:space="preserve">Anthropogenic trace metals in the sedimentary record of the Llobregat continental shelf and adjacent Foix Submarine Canyon (northwestern Mediterranean). </w:t>
      </w:r>
      <w:r w:rsidRPr="009978E3">
        <w:rPr>
          <w:rFonts w:eastAsia="MS Mincho"/>
          <w:i/>
          <w:sz w:val="22"/>
          <w:szCs w:val="22"/>
          <w:lang w:val="en-US"/>
        </w:rPr>
        <w:t>Marine Geology</w:t>
      </w:r>
      <w:r w:rsidRPr="009978E3">
        <w:rPr>
          <w:rFonts w:eastAsia="MS Mincho"/>
          <w:sz w:val="22"/>
          <w:szCs w:val="22"/>
          <w:lang w:val="en-US"/>
        </w:rPr>
        <w:t>. 248: 213–227.</w:t>
      </w:r>
    </w:p>
    <w:p w14:paraId="0BA4B56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Palanques, A., Puig, P., Latasa, M. &amp; Scharek, R. (2009). </w:t>
      </w:r>
      <w:r w:rsidRPr="009978E3">
        <w:rPr>
          <w:rFonts w:eastAsia="MS Mincho"/>
          <w:sz w:val="22"/>
          <w:szCs w:val="22"/>
          <w:lang w:val="en-US"/>
        </w:rPr>
        <w:t xml:space="preserve">Deep sediment transport induced by storms and dense shelf-water cascading in the northwestern Mediterranean basin. </w:t>
      </w:r>
      <w:r w:rsidRPr="009978E3">
        <w:rPr>
          <w:rFonts w:eastAsia="MS Mincho"/>
          <w:i/>
          <w:sz w:val="22"/>
          <w:szCs w:val="22"/>
          <w:lang w:val="en-US"/>
        </w:rPr>
        <w:t>Deep-Sea Research Part I: Oceanographic Research Papers</w:t>
      </w:r>
      <w:r w:rsidRPr="009978E3">
        <w:rPr>
          <w:rFonts w:eastAsia="MS Mincho"/>
          <w:sz w:val="22"/>
          <w:szCs w:val="22"/>
          <w:lang w:val="en-US"/>
        </w:rPr>
        <w:t xml:space="preserve"> 56(3): 425-434.</w:t>
      </w:r>
    </w:p>
    <w:p w14:paraId="48CFB71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Pardal, M. &amp; Azeiteiro, U. (2001) Zooplankton biomass, abundance and diversity in a shelf area of Portugal (the Berlenga Marine Natural Reserve). </w:t>
      </w:r>
      <w:r w:rsidRPr="009978E3">
        <w:rPr>
          <w:rFonts w:eastAsia="MS Mincho"/>
          <w:i/>
          <w:sz w:val="22"/>
          <w:szCs w:val="22"/>
          <w:lang w:val="en-US"/>
        </w:rPr>
        <w:t>Arquipélago Life and Marine Sciences</w:t>
      </w:r>
      <w:r w:rsidRPr="009978E3">
        <w:rPr>
          <w:rFonts w:eastAsia="MS Mincho"/>
          <w:sz w:val="22"/>
          <w:szCs w:val="22"/>
          <w:lang w:val="en-US"/>
        </w:rPr>
        <w:t xml:space="preserve"> 18A, 25-33.</w:t>
      </w:r>
    </w:p>
    <w:p w14:paraId="63AFA73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Pasqual, C., Sànchez Vidal, A., Zúñiga, D., Calafat Frau, A., Canals Artigas, M., Durrieu de Madron, X. &amp; Delsaut, N. (2010). Flux and composition of settling particles across the continental margin of the Gulf of Lion: the role of dense shelf water cascading. </w:t>
      </w:r>
      <w:r w:rsidRPr="009978E3">
        <w:rPr>
          <w:rFonts w:eastAsia="MS Mincho"/>
          <w:i/>
          <w:sz w:val="22"/>
          <w:szCs w:val="22"/>
          <w:lang w:val="en-US"/>
        </w:rPr>
        <w:t>Biogeosciences</w:t>
      </w:r>
      <w:r w:rsidRPr="009978E3">
        <w:rPr>
          <w:rFonts w:eastAsia="MS Mincho"/>
          <w:sz w:val="22"/>
          <w:szCs w:val="22"/>
          <w:lang w:val="en-US"/>
        </w:rPr>
        <w:t xml:space="preserve"> 7(1): 217-231.</w:t>
      </w:r>
    </w:p>
    <w:p w14:paraId="64AE320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Paterson, G., Glover, A., Cunha, M., Neal, L., de Stiger, H., Kiriakoulakis, K., Billet, D., Wolff, G., Tiago, A., Ravara, A., Lamont, P. &amp; Tyler, P., (2011). Disturbance, productivity and diversity in deep-sea canyons: A worm's eye view.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58(23-24): 2448-2460.</w:t>
      </w:r>
    </w:p>
    <w:p w14:paraId="09C33DD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Peffley, M. &amp; O'Brien, J. (1975). A Three-Dimensional simulation of coastal upwelling off Oregon. </w:t>
      </w:r>
      <w:r w:rsidRPr="009978E3">
        <w:rPr>
          <w:rFonts w:eastAsia="MS Mincho"/>
          <w:i/>
          <w:sz w:val="22"/>
          <w:szCs w:val="22"/>
          <w:lang w:val="en-US"/>
        </w:rPr>
        <w:t>Journal of Physical Oceanography</w:t>
      </w:r>
      <w:r w:rsidRPr="009978E3">
        <w:rPr>
          <w:rFonts w:eastAsia="MS Mincho"/>
          <w:sz w:val="22"/>
          <w:szCs w:val="22"/>
          <w:lang w:val="en-US"/>
        </w:rPr>
        <w:t xml:space="preserve"> 6: 164 – 180.</w:t>
      </w:r>
    </w:p>
    <w:p w14:paraId="222768F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Peliz, A., Dubert, J., Santos, A., Oliveira, P. &amp; Le Cann, B. (2005). </w:t>
      </w:r>
      <w:r w:rsidRPr="009978E3">
        <w:rPr>
          <w:rFonts w:eastAsia="MS Mincho"/>
          <w:sz w:val="22"/>
          <w:szCs w:val="22"/>
          <w:lang w:val="en-US"/>
        </w:rPr>
        <w:t xml:space="preserve">Winter upper ocean circulation in the Western Iberian Basin—Fronts, Eddies and Poleward Flows: an overview. </w:t>
      </w:r>
      <w:r w:rsidRPr="009978E3">
        <w:rPr>
          <w:rFonts w:eastAsia="MS Mincho"/>
          <w:i/>
          <w:sz w:val="22"/>
          <w:szCs w:val="22"/>
          <w:lang w:val="en-US"/>
        </w:rPr>
        <w:t>Deep sea research Part I: Oceanographic research papers</w:t>
      </w:r>
      <w:r w:rsidRPr="009978E3">
        <w:rPr>
          <w:rFonts w:eastAsia="MS Mincho"/>
          <w:sz w:val="22"/>
          <w:szCs w:val="22"/>
          <w:lang w:val="en-US"/>
        </w:rPr>
        <w:t xml:space="preserve"> 52(4): 621-646.</w:t>
      </w:r>
    </w:p>
    <w:p w14:paraId="5CF3D1F5" w14:textId="77777777" w:rsidR="006B3F46" w:rsidRPr="009978E3" w:rsidDel="005310FD" w:rsidRDefault="006B3F46" w:rsidP="00907941">
      <w:pPr>
        <w:ind w:left="567" w:hanging="567"/>
        <w:jc w:val="both"/>
        <w:rPr>
          <w:rFonts w:eastAsia="MS Mincho"/>
          <w:sz w:val="22"/>
          <w:szCs w:val="22"/>
          <w:lang w:val="en-US"/>
        </w:rPr>
      </w:pPr>
      <w:r w:rsidRPr="009978E3" w:rsidDel="005310FD">
        <w:rPr>
          <w:rFonts w:eastAsia="MS Mincho"/>
          <w:sz w:val="22"/>
          <w:szCs w:val="22"/>
          <w:lang w:val="en-US"/>
        </w:rPr>
        <w:t>Pel</w:t>
      </w:r>
      <w:r w:rsidRPr="009978E3">
        <w:rPr>
          <w:rFonts w:eastAsia="MS Mincho"/>
          <w:sz w:val="22"/>
          <w:szCs w:val="22"/>
          <w:lang w:val="en-US"/>
        </w:rPr>
        <w:t xml:space="preserve">iz, A., Rosa, T., Santos, A. &amp; </w:t>
      </w:r>
      <w:r w:rsidRPr="009978E3" w:rsidDel="005310FD">
        <w:rPr>
          <w:rFonts w:eastAsia="MS Mincho"/>
          <w:sz w:val="22"/>
          <w:szCs w:val="22"/>
          <w:lang w:val="en-US"/>
        </w:rPr>
        <w:t xml:space="preserve">Pissarra, J. (2002) Fronts, jets, eddies and counterflows in the western Iberia upwelling system. </w:t>
      </w:r>
      <w:r w:rsidRPr="009978E3" w:rsidDel="005310FD">
        <w:rPr>
          <w:rFonts w:eastAsia="MS Mincho"/>
          <w:i/>
          <w:sz w:val="22"/>
          <w:szCs w:val="22"/>
          <w:lang w:val="en-US"/>
        </w:rPr>
        <w:t>Journal of Marine Systems</w:t>
      </w:r>
      <w:r w:rsidRPr="009978E3">
        <w:rPr>
          <w:rFonts w:eastAsia="MS Mincho"/>
          <w:sz w:val="22"/>
          <w:szCs w:val="22"/>
          <w:lang w:val="en-US"/>
        </w:rPr>
        <w:t xml:space="preserve"> 35:</w:t>
      </w:r>
      <w:r w:rsidRPr="009978E3" w:rsidDel="005310FD">
        <w:rPr>
          <w:rFonts w:eastAsia="MS Mincho"/>
          <w:sz w:val="22"/>
          <w:szCs w:val="22"/>
          <w:lang w:val="en-US"/>
        </w:rPr>
        <w:t xml:space="preserve"> 61-77.</w:t>
      </w:r>
    </w:p>
    <w:p w14:paraId="10CA7D3F"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Peña V. &amp; I. Bárbara (2008). Biological importance of an Atlantic European maërl bed off Benencia Island (northwest Iberian Peninsula). </w:t>
      </w:r>
      <w:r w:rsidRPr="009978E3">
        <w:rPr>
          <w:rFonts w:eastAsia="MS Mincho"/>
          <w:sz w:val="22"/>
          <w:szCs w:val="22"/>
          <w:lang w:val="pt-PT"/>
        </w:rPr>
        <w:t>Bot. Mar.</w:t>
      </w:r>
    </w:p>
    <w:p w14:paraId="43339A2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Pereira, T., Manique, J., Quintella, B., Castro, N., de Almeida, P. &amp; Costa, J. (2017). </w:t>
      </w:r>
      <w:r w:rsidRPr="009978E3">
        <w:rPr>
          <w:rFonts w:eastAsia="MS Mincho"/>
          <w:sz w:val="22"/>
          <w:szCs w:val="22"/>
          <w:lang w:val="en-US"/>
        </w:rPr>
        <w:t xml:space="preserve">Changes in fish assemblage structure after implementation of Marine Protected Areas in the south western coast of Portugal. </w:t>
      </w:r>
      <w:r w:rsidRPr="009978E3">
        <w:rPr>
          <w:rFonts w:eastAsia="MS Mincho"/>
          <w:i/>
          <w:sz w:val="22"/>
          <w:szCs w:val="22"/>
          <w:lang w:val="en-US"/>
        </w:rPr>
        <w:t>Ocean &amp; Coastal Management</w:t>
      </w:r>
      <w:r w:rsidRPr="009978E3">
        <w:rPr>
          <w:rFonts w:eastAsia="MS Mincho"/>
          <w:sz w:val="22"/>
          <w:szCs w:val="22"/>
          <w:lang w:val="en-US"/>
        </w:rPr>
        <w:t xml:space="preserve"> 135: 103-112.</w:t>
      </w:r>
    </w:p>
    <w:p w14:paraId="2DAE845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Pham, C., Ramirez-Llodra, E., Alt, C., Amaro, T., Bergmann, M., Canals, M., Company, J., Davies, J., Duineveld, G. Galgani, F., Howell, K., Huvenne, V., Isidro, E., Jones, D., Lastras, G., Morato, T., Gomes-Pereira, J., Purser, A., Stewart, H., Tojeira, I., Tubau, X., Rooij, D. &amp; Tyler, P. (2014). Marine litter distribution and density in european seas, from the shelves to deep basins. </w:t>
      </w:r>
      <w:r w:rsidRPr="009978E3">
        <w:rPr>
          <w:rFonts w:eastAsia="MS Mincho"/>
          <w:i/>
          <w:sz w:val="22"/>
          <w:szCs w:val="22"/>
          <w:lang w:val="en-US"/>
        </w:rPr>
        <w:t>PLoS ONE</w:t>
      </w:r>
      <w:r w:rsidRPr="009978E3">
        <w:rPr>
          <w:rFonts w:eastAsia="MS Mincho"/>
          <w:sz w:val="22"/>
          <w:szCs w:val="22"/>
          <w:lang w:val="en-US"/>
        </w:rPr>
        <w:t xml:space="preserve"> 9:e95839.</w:t>
      </w:r>
    </w:p>
    <w:p w14:paraId="1B17EF3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Picket, S. &amp; White, P. (Eds.), (1985). </w:t>
      </w:r>
      <w:r w:rsidRPr="009978E3">
        <w:rPr>
          <w:rFonts w:eastAsia="MS Mincho"/>
          <w:i/>
          <w:sz w:val="22"/>
          <w:szCs w:val="22"/>
          <w:lang w:val="en-US"/>
        </w:rPr>
        <w:t>The Ecology of Natural Disturbance and Patch Dynamics</w:t>
      </w:r>
      <w:r w:rsidRPr="009978E3">
        <w:rPr>
          <w:rFonts w:eastAsia="MS Mincho"/>
          <w:sz w:val="22"/>
          <w:szCs w:val="22"/>
          <w:lang w:val="en-US"/>
        </w:rPr>
        <w:t>. Academic Press, New York.</w:t>
      </w:r>
    </w:p>
    <w:p w14:paraId="0040391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Pitcher, T. &amp; Bulman, C. (2007) </w:t>
      </w:r>
      <w:r w:rsidRPr="009978E3">
        <w:rPr>
          <w:rFonts w:eastAsia="MS Mincho"/>
          <w:i/>
          <w:sz w:val="22"/>
          <w:szCs w:val="22"/>
          <w:lang w:val="en-US"/>
        </w:rPr>
        <w:t>Raiding the larder: a quantitative evaluation framework and trophic signature for seamount food webs</w:t>
      </w:r>
      <w:r w:rsidRPr="009978E3">
        <w:rPr>
          <w:rFonts w:eastAsia="MS Mincho"/>
          <w:sz w:val="22"/>
          <w:szCs w:val="22"/>
          <w:lang w:val="en-US"/>
        </w:rPr>
        <w:t>. In: Pitcher TJ, Morato T, Hart PJB, Clark MR, Haggen N, Santos R (eds) Seamounts: ecology, fisheries and conservation. Wiley-Blackwell, Oxford, p 282–295.</w:t>
      </w:r>
    </w:p>
    <w:p w14:paraId="3ADAFEB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Pitcher, T., Clark, M., Morato, T. &amp; Watson, R. (2010) Seamount fisheries: Do they have a future? </w:t>
      </w:r>
      <w:r w:rsidRPr="009978E3">
        <w:rPr>
          <w:rFonts w:eastAsia="MS Mincho"/>
          <w:i/>
          <w:sz w:val="22"/>
          <w:szCs w:val="22"/>
          <w:lang w:val="en-US"/>
        </w:rPr>
        <w:t>Oceanography</w:t>
      </w:r>
      <w:r w:rsidRPr="009978E3">
        <w:rPr>
          <w:rFonts w:eastAsia="MS Mincho"/>
          <w:sz w:val="22"/>
          <w:szCs w:val="22"/>
          <w:lang w:val="en-US"/>
        </w:rPr>
        <w:t xml:space="preserve"> 23: 134–144.</w:t>
      </w:r>
    </w:p>
    <w:p w14:paraId="7E6AD11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Pitcher, T., Morato, T., Hart, P., Clark, M., Haggan, N. &amp; Santos, R. (2007) </w:t>
      </w:r>
      <w:r w:rsidRPr="009978E3">
        <w:rPr>
          <w:rFonts w:eastAsia="MS Mincho"/>
          <w:i/>
          <w:sz w:val="22"/>
          <w:szCs w:val="22"/>
          <w:lang w:val="en-US"/>
        </w:rPr>
        <w:t>Seamounts: Ecology, Fisheries, and Conservation</w:t>
      </w:r>
      <w:r w:rsidRPr="009978E3">
        <w:rPr>
          <w:rFonts w:eastAsia="MS Mincho"/>
          <w:sz w:val="22"/>
          <w:szCs w:val="22"/>
          <w:lang w:val="en-US"/>
        </w:rPr>
        <w:t>. Blackwell Fisheries and Aquatic Resources Series, Vol. 12, Blackwell Publishing, Oxford, 527 pp.</w:t>
      </w:r>
    </w:p>
    <w:p w14:paraId="62E4CF2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Porteiro, F. &amp; Sutton, T. (2007) </w:t>
      </w:r>
      <w:r w:rsidRPr="009978E3">
        <w:rPr>
          <w:rFonts w:eastAsia="MS Mincho"/>
          <w:i/>
          <w:sz w:val="22"/>
          <w:szCs w:val="22"/>
          <w:lang w:val="en-US"/>
        </w:rPr>
        <w:t>Midwater fish assemblages and seamounts</w:t>
      </w:r>
      <w:r w:rsidRPr="009978E3">
        <w:rPr>
          <w:rFonts w:eastAsia="MS Mincho"/>
          <w:sz w:val="22"/>
          <w:szCs w:val="22"/>
          <w:lang w:val="en-US"/>
        </w:rPr>
        <w:t>. In: Pitcher, T.J., T. Morato, P.J.B. Hart, M.R. Clark, N. Haggan and R.S. Santos (Eds) Seamounts: Ecology, Fisheries &amp; Conservation. Fish and Aquatic Resources Series 12, Blackwell Publishing, Oxford, United Kingdom. pp. 101–16.</w:t>
      </w:r>
    </w:p>
    <w:p w14:paraId="7EEAE20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Prego, R., Guzmán-Zuñiga, D., Varela, M. &amp; Gómez-Gesteira, M. (2007). </w:t>
      </w:r>
      <w:r w:rsidRPr="009978E3">
        <w:rPr>
          <w:rFonts w:eastAsia="MS Mincho"/>
          <w:sz w:val="22"/>
          <w:szCs w:val="22"/>
          <w:lang w:val="en-US"/>
        </w:rPr>
        <w:t xml:space="preserve">Consequences of winter upwelling events on biogeochemical and phytoplankton patterns in a western Galician ria (NW Iberian peninsula). </w:t>
      </w:r>
      <w:r w:rsidRPr="009978E3">
        <w:rPr>
          <w:rFonts w:eastAsia="MS Mincho"/>
          <w:i/>
          <w:sz w:val="22"/>
          <w:szCs w:val="22"/>
          <w:lang w:val="en-US"/>
        </w:rPr>
        <w:t>Estuarine, Coastal and Shelf Science</w:t>
      </w:r>
      <w:r w:rsidRPr="009978E3">
        <w:rPr>
          <w:rFonts w:eastAsia="MS Mincho"/>
          <w:sz w:val="22"/>
          <w:szCs w:val="22"/>
          <w:lang w:val="en-US"/>
        </w:rPr>
        <w:t xml:space="preserve"> 73(3-4): 409-422.</w:t>
      </w:r>
    </w:p>
    <w:p w14:paraId="13EF0E5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Probert P. (1999) Seamounts, sanctuaries and sustainability: moving towards deep-sea conservation. </w:t>
      </w:r>
      <w:r w:rsidRPr="009978E3">
        <w:rPr>
          <w:rFonts w:eastAsia="MS Mincho"/>
          <w:i/>
          <w:sz w:val="22"/>
          <w:szCs w:val="22"/>
          <w:lang w:val="en-US"/>
        </w:rPr>
        <w:t>Aquatic Conservation</w:t>
      </w:r>
      <w:r w:rsidRPr="009978E3">
        <w:rPr>
          <w:rFonts w:eastAsia="MS Mincho"/>
          <w:sz w:val="22"/>
          <w:szCs w:val="22"/>
          <w:lang w:val="en-US"/>
        </w:rPr>
        <w:t xml:space="preserve"> 9: 601-605.</w:t>
      </w:r>
    </w:p>
    <w:p w14:paraId="55064F7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Probert, P., Christiansen, S., Gjerde, K., Gubbay, S. &amp; Santos R. (2007) </w:t>
      </w:r>
      <w:r w:rsidRPr="009978E3">
        <w:rPr>
          <w:rFonts w:eastAsia="MS Mincho"/>
          <w:i/>
          <w:sz w:val="22"/>
          <w:szCs w:val="22"/>
          <w:lang w:val="en-US"/>
        </w:rPr>
        <w:t>Management and conservation of seamounts</w:t>
      </w:r>
      <w:r w:rsidRPr="009978E3">
        <w:rPr>
          <w:rFonts w:eastAsia="MS Mincho"/>
          <w:sz w:val="22"/>
          <w:szCs w:val="22"/>
          <w:lang w:val="en-US"/>
        </w:rPr>
        <w:t>. In: Pitcher TJ, Morato T, Hart PJB, Clark MR, Haggan N, Santos RS, eds. Seamounts: ecology, fisheries, and conservation. Blackwell Fisheries and Aquatic Resources Series 12. Oxford, UK: Blackwell Publishing. pp 442–475.</w:t>
      </w:r>
    </w:p>
    <w:p w14:paraId="6E23479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Puig, P., Canals, M., Company, J.B., Martín, J., Amblas, D., Lastras, G., Palanques, A., Calafat, A.M. (2012). The ploughing of the deep seafloor. </w:t>
      </w:r>
      <w:r w:rsidRPr="009978E3">
        <w:rPr>
          <w:rFonts w:eastAsia="MS Mincho"/>
          <w:i/>
          <w:sz w:val="22"/>
          <w:szCs w:val="22"/>
          <w:lang w:val="en-US"/>
        </w:rPr>
        <w:t>Nature</w:t>
      </w:r>
      <w:r w:rsidRPr="009978E3">
        <w:rPr>
          <w:rFonts w:eastAsia="MS Mincho"/>
          <w:sz w:val="22"/>
          <w:szCs w:val="22"/>
          <w:lang w:val="en-US"/>
        </w:rPr>
        <w:t xml:space="preserve"> 489: 286–290.</w:t>
      </w:r>
    </w:p>
    <w:p w14:paraId="5A7F6BD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Puig, P., Durrieu de Madron, X., Salat, J., Schroeder, K., Martín, J., Karageorgis, A.P., Palanques, A., Roullier, F., Lopez-Jurado, J.L., Emelianov, M., Moutin, T. and Houpert, L. 2013. Thick bottom nepheloid layers in the western Mediterranean generated by deep dense shelf water cascading. </w:t>
      </w:r>
      <w:r w:rsidRPr="009978E3">
        <w:rPr>
          <w:rFonts w:eastAsia="MS Mincho"/>
          <w:i/>
          <w:sz w:val="22"/>
          <w:szCs w:val="22"/>
          <w:lang w:val="en-US"/>
        </w:rPr>
        <w:t>Progress in Oceanography</w:t>
      </w:r>
      <w:r w:rsidRPr="009978E3">
        <w:rPr>
          <w:rFonts w:eastAsia="MS Mincho"/>
          <w:sz w:val="22"/>
          <w:szCs w:val="22"/>
          <w:lang w:val="en-US"/>
        </w:rPr>
        <w:t xml:space="preserve"> 111: 1-23.</w:t>
      </w:r>
    </w:p>
    <w:p w14:paraId="6559D3A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Puig, P., Martín, J., Masqué, P. &amp; Palanques, A. (2015 a)). </w:t>
      </w:r>
      <w:r w:rsidRPr="009978E3">
        <w:rPr>
          <w:rFonts w:eastAsia="MS Mincho"/>
          <w:sz w:val="22"/>
          <w:szCs w:val="22"/>
          <w:lang w:val="en-US"/>
        </w:rPr>
        <w:t xml:space="preserve">Increasing sediment accumulation rates in La Fonera (Palamós) submarine canyon axis and their relationship with bottom trawling activities. </w:t>
      </w:r>
      <w:r w:rsidRPr="009978E3">
        <w:rPr>
          <w:rFonts w:eastAsia="MS Mincho"/>
          <w:i/>
          <w:sz w:val="22"/>
          <w:szCs w:val="22"/>
          <w:lang w:val="en-US"/>
        </w:rPr>
        <w:t>Geophysical Research Letters</w:t>
      </w:r>
      <w:r w:rsidRPr="009978E3">
        <w:rPr>
          <w:rFonts w:eastAsia="MS Mincho"/>
          <w:sz w:val="22"/>
          <w:szCs w:val="22"/>
          <w:lang w:val="en-US"/>
        </w:rPr>
        <w:t xml:space="preserve"> 42(19): 8106-8113.</w:t>
      </w:r>
    </w:p>
    <w:p w14:paraId="421A7E3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Puig, P., Masqué, P., Martín, J., Paradis, S., Juan-Díaz, X., Toro, M. &amp; Palanques, A. (2015b)). </w:t>
      </w:r>
      <w:r w:rsidRPr="009978E3">
        <w:rPr>
          <w:rFonts w:eastAsia="MS Mincho"/>
          <w:i/>
          <w:sz w:val="22"/>
          <w:szCs w:val="22"/>
          <w:lang w:val="en-US"/>
        </w:rPr>
        <w:t>Changes on sediment accumulation rates within NW Mediterranean submarine canyons caused by bottom trawling activities</w:t>
      </w:r>
      <w:r w:rsidRPr="009978E3">
        <w:rPr>
          <w:rFonts w:eastAsia="MS Mincho"/>
          <w:sz w:val="22"/>
          <w:szCs w:val="22"/>
          <w:lang w:val="en-US"/>
        </w:rPr>
        <w:t>. In: Briand, F. (Ed.), CIESM Workshop Monographs N° 47 “Submarine canyon dynamics in the Mediterranean and tributary seas - An integrated geological, oceanographic and biological perspective”. CIESM Publisher, Monaco, 71–78.</w:t>
      </w:r>
    </w:p>
    <w:p w14:paraId="0D6A0E0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Puig, P., Ogston, A., Mullenbach, B., Nittrouer, C. &amp; Sternberg, R. (2003). </w:t>
      </w:r>
      <w:r w:rsidRPr="009978E3">
        <w:rPr>
          <w:rFonts w:eastAsia="MS Mincho"/>
          <w:sz w:val="22"/>
          <w:szCs w:val="22"/>
          <w:lang w:val="en-US"/>
        </w:rPr>
        <w:t xml:space="preserve">Shelf to canyon sediment-transport processes on the Eel continental margin (northern California). </w:t>
      </w:r>
      <w:r w:rsidRPr="009978E3">
        <w:rPr>
          <w:rFonts w:eastAsia="MS Mincho"/>
          <w:i/>
          <w:sz w:val="22"/>
          <w:szCs w:val="22"/>
          <w:lang w:val="en-US"/>
        </w:rPr>
        <w:t>Marine Geology</w:t>
      </w:r>
      <w:r w:rsidRPr="009978E3">
        <w:rPr>
          <w:rFonts w:eastAsia="MS Mincho"/>
          <w:sz w:val="22"/>
          <w:szCs w:val="22"/>
          <w:lang w:val="en-US"/>
        </w:rPr>
        <w:t xml:space="preserve"> 193: 129-149.</w:t>
      </w:r>
    </w:p>
    <w:p w14:paraId="38A905E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Puig, P., Palanques, A. &amp; Martín, J. (2014). </w:t>
      </w:r>
      <w:r w:rsidRPr="009978E3">
        <w:rPr>
          <w:rFonts w:eastAsia="MS Mincho"/>
          <w:sz w:val="22"/>
          <w:szCs w:val="22"/>
          <w:lang w:val="en-US"/>
        </w:rPr>
        <w:t xml:space="preserve">Contemporary sediment-transport processes in submarine canyons. </w:t>
      </w:r>
      <w:r w:rsidRPr="009978E3">
        <w:rPr>
          <w:i/>
          <w:iCs/>
          <w:sz w:val="22"/>
          <w:szCs w:val="22"/>
        </w:rPr>
        <w:t>Annual review of marine science</w:t>
      </w:r>
      <w:r w:rsidRPr="009978E3">
        <w:rPr>
          <w:sz w:val="22"/>
          <w:szCs w:val="22"/>
        </w:rPr>
        <w:t xml:space="preserve"> </w:t>
      </w:r>
      <w:r w:rsidRPr="009978E3">
        <w:rPr>
          <w:iCs/>
          <w:sz w:val="22"/>
          <w:szCs w:val="22"/>
        </w:rPr>
        <w:t>6</w:t>
      </w:r>
      <w:r w:rsidRPr="009978E3">
        <w:rPr>
          <w:sz w:val="22"/>
          <w:szCs w:val="22"/>
        </w:rPr>
        <w:t>: 53-77.</w:t>
      </w:r>
    </w:p>
    <w:p w14:paraId="47541CD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Puig, P., Palanques, A., Guillén, J. &amp; Garcıa-Ladona, E. (2000). </w:t>
      </w:r>
      <w:r w:rsidRPr="009978E3">
        <w:rPr>
          <w:rFonts w:eastAsia="MS Mincho"/>
          <w:sz w:val="22"/>
          <w:szCs w:val="22"/>
          <w:lang w:val="en-US"/>
        </w:rPr>
        <w:t xml:space="preserve">Deep slope currents and suspended particle fluxes in and around the Foix submarine canyon (NW Mediterranean). </w:t>
      </w:r>
      <w:r w:rsidRPr="009978E3">
        <w:rPr>
          <w:rFonts w:eastAsia="MS Mincho"/>
          <w:i/>
          <w:sz w:val="22"/>
          <w:szCs w:val="22"/>
          <w:lang w:val="en-US"/>
        </w:rPr>
        <w:t>Deep-Sea Research Part I: Oceanographic Research Papers</w:t>
      </w:r>
      <w:r w:rsidRPr="009978E3">
        <w:rPr>
          <w:rFonts w:eastAsia="MS Mincho"/>
          <w:sz w:val="22"/>
          <w:szCs w:val="22"/>
          <w:lang w:val="en-US"/>
        </w:rPr>
        <w:t xml:space="preserve"> 47: 343–366.</w:t>
      </w:r>
    </w:p>
    <w:p w14:paraId="00E397F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Pusceddu, A., Bianchelli, S., Canals, M., Sanchez-Vidal, A., De-Madron, X., Heussner, S., Lykousis, V., de-Stigter, H., Trincardi, F. &amp; Danovaro, R. (2010). Organic matter in sediments of canyons and open slopes of the Portuguese, Catalan, Southern Adriatic and Cretan Sea margins. </w:t>
      </w:r>
      <w:r w:rsidRPr="009978E3">
        <w:rPr>
          <w:rFonts w:eastAsia="MS Mincho"/>
          <w:i/>
          <w:sz w:val="22"/>
          <w:szCs w:val="22"/>
          <w:lang w:val="en-US"/>
        </w:rPr>
        <w:t>Deep-Sea Research I</w:t>
      </w:r>
      <w:r w:rsidRPr="009978E3">
        <w:rPr>
          <w:rFonts w:eastAsia="MS Mincho"/>
          <w:sz w:val="22"/>
          <w:szCs w:val="22"/>
          <w:lang w:val="en-US"/>
        </w:rPr>
        <w:t xml:space="preserve"> 57: 441–457.</w:t>
      </w:r>
    </w:p>
    <w:p w14:paraId="3648834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rPr>
        <w:t xml:space="preserve">Pusceddu, A., Bianchelli, S., Martín, J., Puig, P., Palanques, A., Masqué, P. &amp; Danovaro, R. (2014). </w:t>
      </w:r>
      <w:r w:rsidRPr="009978E3">
        <w:rPr>
          <w:rFonts w:eastAsia="MS Mincho"/>
          <w:sz w:val="22"/>
          <w:szCs w:val="22"/>
          <w:lang w:val="en-US"/>
        </w:rPr>
        <w:t xml:space="preserve">Chronic and intensive bottom trawling impairs deep-sea biodiversity and ecosystem functioning. </w:t>
      </w:r>
      <w:r w:rsidRPr="009978E3">
        <w:rPr>
          <w:rFonts w:eastAsia="MS Mincho"/>
          <w:i/>
          <w:sz w:val="22"/>
          <w:szCs w:val="22"/>
          <w:lang w:val="en-US"/>
        </w:rPr>
        <w:t>Proceedings of the National Academy of Sciences</w:t>
      </w:r>
      <w:r w:rsidRPr="009978E3">
        <w:rPr>
          <w:rFonts w:eastAsia="MS Mincho"/>
          <w:sz w:val="22"/>
          <w:szCs w:val="22"/>
          <w:lang w:val="en-US"/>
        </w:rPr>
        <w:t xml:space="preserve"> 111(24): 8861-8866. </w:t>
      </w:r>
    </w:p>
    <w:p w14:paraId="16E0A092"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rPr>
        <w:t xml:space="preserve">Quattrini, A., Nizinski, M., Chaytor, J., Demopoulos, A., Roark, E., France, S. &amp; Ruppel, C. (2015). </w:t>
      </w:r>
      <w:r w:rsidRPr="009978E3">
        <w:rPr>
          <w:rFonts w:eastAsia="MS Mincho"/>
          <w:sz w:val="22"/>
          <w:szCs w:val="22"/>
          <w:lang w:val="en-US"/>
        </w:rPr>
        <w:t xml:space="preserve">Exploration of the canyon-incised continental margin of the northeastern United States reveals dynamic habitats and diverse communities. </w:t>
      </w:r>
      <w:r w:rsidRPr="009978E3">
        <w:rPr>
          <w:rFonts w:eastAsia="MS Mincho"/>
          <w:i/>
          <w:sz w:val="22"/>
          <w:szCs w:val="22"/>
          <w:lang w:val="pt-PT"/>
        </w:rPr>
        <w:t>PLoS One</w:t>
      </w:r>
      <w:r w:rsidRPr="009978E3">
        <w:rPr>
          <w:rFonts w:eastAsia="MS Mincho"/>
          <w:sz w:val="22"/>
          <w:szCs w:val="22"/>
          <w:lang w:val="pt-PT"/>
        </w:rPr>
        <w:t xml:space="preserve">, 10(10): e0139904. </w:t>
      </w:r>
    </w:p>
    <w:p w14:paraId="427CD05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Queiroga, H., Cruz, T., Santos, A., Dubert, J.,González-Gordillo, J., Paula, J., Peliz, Á. &amp; Santos, A. (2007). </w:t>
      </w:r>
      <w:r w:rsidRPr="009978E3">
        <w:rPr>
          <w:rFonts w:eastAsia="MS Mincho"/>
          <w:sz w:val="22"/>
          <w:szCs w:val="22"/>
          <w:lang w:val="en-US"/>
        </w:rPr>
        <w:t xml:space="preserve">Oceanographic and behavioural processes affecting invertebrate larval dispersal and supply in the western Iberia upwelling ecosystem. </w:t>
      </w:r>
      <w:r w:rsidRPr="009978E3">
        <w:rPr>
          <w:rFonts w:eastAsia="MS Mincho"/>
          <w:i/>
          <w:sz w:val="22"/>
          <w:szCs w:val="22"/>
          <w:lang w:val="en-US"/>
        </w:rPr>
        <w:t>Progress in Oceanography</w:t>
      </w:r>
      <w:r w:rsidRPr="009978E3">
        <w:rPr>
          <w:rFonts w:eastAsia="MS Mincho"/>
          <w:sz w:val="22"/>
          <w:szCs w:val="22"/>
          <w:lang w:val="en-US"/>
        </w:rPr>
        <w:t xml:space="preserve"> 74: 174-191.</w:t>
      </w:r>
    </w:p>
    <w:p w14:paraId="49506DA5"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rPr>
        <w:t xml:space="preserve">Queiroga, H., Leão, F. &amp; Coutinho, M. (2009). </w:t>
      </w:r>
      <w:r w:rsidRPr="009978E3">
        <w:rPr>
          <w:rFonts w:eastAsia="MS Mincho"/>
          <w:i/>
          <w:sz w:val="22"/>
          <w:szCs w:val="22"/>
          <w:lang w:val="en-US"/>
        </w:rPr>
        <w:t xml:space="preserve">Nomination of the Berlengas Islands as a UNESCO </w:t>
      </w:r>
      <w:r w:rsidRPr="009978E3" w:rsidDel="001767B9">
        <w:rPr>
          <w:rFonts w:eastAsia="MS Mincho"/>
          <w:i/>
          <w:sz w:val="22"/>
          <w:szCs w:val="22"/>
          <w:lang w:val="en-US"/>
        </w:rPr>
        <w:t>Biosphere</w:t>
      </w:r>
      <w:r w:rsidRPr="009978E3">
        <w:rPr>
          <w:rFonts w:eastAsia="MS Mincho"/>
          <w:i/>
          <w:sz w:val="22"/>
          <w:szCs w:val="22"/>
          <w:lang w:val="en-US"/>
        </w:rPr>
        <w:t xml:space="preserve"> Reserve.</w:t>
      </w:r>
      <w:r w:rsidRPr="009978E3">
        <w:rPr>
          <w:rFonts w:eastAsia="MS Mincho"/>
          <w:sz w:val="22"/>
          <w:szCs w:val="22"/>
          <w:lang w:val="en-US"/>
        </w:rPr>
        <w:t xml:space="preserve"> </w:t>
      </w:r>
      <w:r w:rsidRPr="009978E3">
        <w:rPr>
          <w:rFonts w:eastAsia="MS Mincho"/>
          <w:sz w:val="22"/>
          <w:szCs w:val="22"/>
          <w:lang w:val="pt-PT"/>
        </w:rPr>
        <w:t>Câmara Municipal de Peniche, Portugal.</w:t>
      </w:r>
    </w:p>
    <w:p w14:paraId="2D8B31F4"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Queiroga, H., Leão, F., &amp; Coutinho, M., (2008). </w:t>
      </w:r>
      <w:r w:rsidRPr="009978E3">
        <w:rPr>
          <w:rFonts w:eastAsia="MS Mincho"/>
          <w:i/>
          <w:sz w:val="22"/>
          <w:szCs w:val="22"/>
          <w:lang w:val="pt-PT"/>
        </w:rPr>
        <w:t>Candidatura das Berlengas a Reserva da Biosfera da UNESCO</w:t>
      </w:r>
      <w:r w:rsidRPr="009978E3">
        <w:rPr>
          <w:rFonts w:eastAsia="MS Mincho"/>
          <w:sz w:val="22"/>
          <w:szCs w:val="22"/>
          <w:lang w:val="pt-PT"/>
        </w:rPr>
        <w:t>, Versão para Consulta Pública, Instituto do Ambiente e Desenvolvimento, 38-83.</w:t>
      </w:r>
    </w:p>
    <w:p w14:paraId="50081D67"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Quéro, J., M.H. Du Buit and J.J. Vayne, 1998. Les observations de poissons tropicaux et le réchauffement des eaux dans l’Atlantique européen. Oceanol. Acta, 21 (2), 345–351.</w:t>
      </w:r>
    </w:p>
    <w:p w14:paraId="625CE85C"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Radhouani, H., Poeta, P., Pinto, L., Miranda, J., Coelho, C., Carvalho, C. &amp; Domingues, P. (2010). </w:t>
      </w:r>
      <w:r w:rsidRPr="009978E3">
        <w:rPr>
          <w:rFonts w:eastAsia="MS Mincho"/>
          <w:sz w:val="22"/>
          <w:szCs w:val="22"/>
          <w:lang w:val="en-US"/>
        </w:rPr>
        <w:t xml:space="preserve">Proteomic characterization of van A-containing Enterococcu s recovered from Seagulls at the Berlengas Natural Reserve, W Portugal. </w:t>
      </w:r>
      <w:r w:rsidRPr="009978E3">
        <w:rPr>
          <w:rFonts w:eastAsia="MS Mincho"/>
          <w:i/>
          <w:sz w:val="22"/>
          <w:szCs w:val="22"/>
          <w:lang w:val="pt-PT"/>
        </w:rPr>
        <w:t>Proteome science</w:t>
      </w:r>
      <w:r w:rsidRPr="009978E3">
        <w:rPr>
          <w:rFonts w:eastAsia="MS Mincho"/>
          <w:sz w:val="22"/>
          <w:szCs w:val="22"/>
          <w:lang w:val="pt-PT"/>
        </w:rPr>
        <w:t xml:space="preserve"> 8(1): 48.</w:t>
      </w:r>
    </w:p>
    <w:p w14:paraId="214AF980"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Ramirez, I., Geraldes, P., Meirinho, A., Amorim, P. &amp; Paiva, V. (2008) </w:t>
      </w:r>
      <w:r w:rsidRPr="009978E3">
        <w:rPr>
          <w:rFonts w:eastAsia="MS Mincho"/>
          <w:i/>
          <w:sz w:val="22"/>
          <w:szCs w:val="22"/>
          <w:lang w:val="pt-PT"/>
        </w:rPr>
        <w:t>Áreas Marinhas Importantes para as Aves em Portugal.</w:t>
      </w:r>
      <w:r w:rsidRPr="009978E3">
        <w:rPr>
          <w:rFonts w:eastAsia="MS Mincho"/>
          <w:sz w:val="22"/>
          <w:szCs w:val="22"/>
          <w:lang w:val="pt-PT"/>
        </w:rPr>
        <w:t xml:space="preserve"> Projecto LIFE 04NAT/PT/000213 – Sociedade Portuguesa para o Estudo das Aves. Lisboa, Portugal.</w:t>
      </w:r>
    </w:p>
    <w:p w14:paraId="5452627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Ramirez-Llodra, E., Ballesteros, M., Company, J., Dantart, L. &amp; Sardà, F. (2008). </w:t>
      </w:r>
      <w:r w:rsidRPr="009978E3">
        <w:rPr>
          <w:rFonts w:eastAsia="MS Mincho"/>
          <w:sz w:val="22"/>
          <w:szCs w:val="22"/>
          <w:lang w:val="en-US"/>
        </w:rPr>
        <w:t xml:space="preserve">Spatio-temporal variations of biomass and abundance in bathyal non-crustacean megafauna in the Catalan Sea (North-western Mediterranean). </w:t>
      </w:r>
      <w:r w:rsidRPr="009978E3">
        <w:rPr>
          <w:rFonts w:eastAsia="MS Mincho"/>
          <w:i/>
          <w:sz w:val="22"/>
          <w:szCs w:val="22"/>
          <w:lang w:val="en-US"/>
        </w:rPr>
        <w:t>Marine Biology</w:t>
      </w:r>
      <w:r w:rsidRPr="009978E3">
        <w:rPr>
          <w:rFonts w:eastAsia="MS Mincho"/>
          <w:sz w:val="22"/>
          <w:szCs w:val="22"/>
          <w:lang w:val="en-US"/>
        </w:rPr>
        <w:t xml:space="preserve"> 153: 297-309.</w:t>
      </w:r>
    </w:p>
    <w:p w14:paraId="779752B4"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Ramirez-Llodra, E., Brandt, A., Danovaro, R., De Mol, B., Escobar, E., German, C., Levin, L., Martinez Arbizu, P., Menot, L., Buhl-Mortensen, P., Narayanaswamy, B., Smith, C., Tittensor, D., Tyler, P., Vanreusel, A. &amp; Vecchione, M. (2010) Deep, Diverse and Definitely Different: Unique Attributes of the World’s Largest Ecosystem. </w:t>
      </w:r>
      <w:r w:rsidRPr="009978E3">
        <w:rPr>
          <w:rFonts w:eastAsia="MS Mincho"/>
          <w:i/>
          <w:sz w:val="22"/>
          <w:szCs w:val="22"/>
          <w:lang w:val="pt-PT"/>
        </w:rPr>
        <w:t>Biogeosciences</w:t>
      </w:r>
      <w:r w:rsidRPr="009978E3">
        <w:rPr>
          <w:rFonts w:eastAsia="MS Mincho"/>
          <w:sz w:val="22"/>
          <w:szCs w:val="22"/>
          <w:lang w:val="pt-PT"/>
        </w:rPr>
        <w:t xml:space="preserve"> 7: 2851–2899.</w:t>
      </w:r>
    </w:p>
    <w:p w14:paraId="034CB27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Ramirez-Llodra, E., De Mol, B., Company, J., Coll, M. &amp; Sardà, F. (2013). </w:t>
      </w:r>
      <w:r w:rsidRPr="009978E3">
        <w:rPr>
          <w:rFonts w:eastAsia="MS Mincho"/>
          <w:sz w:val="22"/>
          <w:szCs w:val="22"/>
          <w:lang w:val="en-US"/>
        </w:rPr>
        <w:t xml:space="preserve">Effects of natural and anthropogenic processes in the distribution of marine litter in the deep Mediterranean Sea. </w:t>
      </w:r>
      <w:r w:rsidRPr="009978E3">
        <w:rPr>
          <w:rFonts w:eastAsia="MS Mincho"/>
          <w:i/>
          <w:sz w:val="22"/>
          <w:szCs w:val="22"/>
          <w:lang w:val="en-US"/>
        </w:rPr>
        <w:t>Progress in Oceanography</w:t>
      </w:r>
      <w:r w:rsidRPr="009978E3">
        <w:rPr>
          <w:rFonts w:eastAsia="MS Mincho"/>
          <w:sz w:val="22"/>
          <w:szCs w:val="22"/>
          <w:lang w:val="en-US"/>
        </w:rPr>
        <w:t xml:space="preserve"> 118: 273–287.</w:t>
      </w:r>
    </w:p>
    <w:p w14:paraId="30662DA8"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nl-NL"/>
        </w:rPr>
        <w:t xml:space="preserve">Ramirez-Llodra, E., Trannum, H., Evenset, A., Levin, L., Andersson, M., Finne, T. &amp; Vanreusel, A. (2015). </w:t>
      </w:r>
      <w:r w:rsidRPr="009978E3">
        <w:rPr>
          <w:rFonts w:eastAsia="MS Mincho"/>
          <w:sz w:val="22"/>
          <w:szCs w:val="22"/>
          <w:lang w:val="en-US"/>
        </w:rPr>
        <w:t xml:space="preserve">Submarine and deep-sea mine tailing placements: a review of current practices, environmental issues, natural analogs and knowledge gaps in Norway and internationally. </w:t>
      </w:r>
      <w:r w:rsidRPr="009978E3">
        <w:rPr>
          <w:rFonts w:eastAsia="MS Mincho"/>
          <w:i/>
          <w:sz w:val="22"/>
          <w:szCs w:val="22"/>
          <w:lang w:val="pt-PT"/>
        </w:rPr>
        <w:t xml:space="preserve">Marine Pollution Bulletin </w:t>
      </w:r>
      <w:r w:rsidRPr="009978E3">
        <w:rPr>
          <w:rFonts w:eastAsia="MS Mincho"/>
          <w:sz w:val="22"/>
          <w:szCs w:val="22"/>
          <w:lang w:val="pt-PT"/>
        </w:rPr>
        <w:t>97(1-2): 13-35.</w:t>
      </w:r>
    </w:p>
    <w:p w14:paraId="5AF25E00"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Reis, R. &amp; Gonçalves, M. (1988). </w:t>
      </w:r>
      <w:r w:rsidRPr="009978E3">
        <w:rPr>
          <w:rFonts w:eastAsia="MS Mincho"/>
          <w:i/>
          <w:sz w:val="22"/>
          <w:szCs w:val="22"/>
          <w:lang w:val="pt-PT"/>
        </w:rPr>
        <w:t>O clima de Portugal</w:t>
      </w:r>
      <w:r w:rsidRPr="009978E3">
        <w:rPr>
          <w:rFonts w:eastAsia="MS Mincho"/>
          <w:sz w:val="22"/>
          <w:szCs w:val="22"/>
          <w:lang w:val="pt-PT"/>
        </w:rPr>
        <w:t>, WLI. Instituto Nacional de Meteorologia e Geofísica, Lisboa, p. 160.</w:t>
      </w:r>
    </w:p>
    <w:p w14:paraId="1F0CF9E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Relvas, P., Barton, E., Dubert, J., Oliveira, P., Peliz, Á., da Silva, J. &amp; Santos, A. (2007). </w:t>
      </w:r>
      <w:r w:rsidRPr="009978E3">
        <w:rPr>
          <w:rFonts w:eastAsia="MS Mincho"/>
          <w:sz w:val="22"/>
          <w:szCs w:val="22"/>
          <w:lang w:val="en-US"/>
        </w:rPr>
        <w:t xml:space="preserve">Physical oceanography of the western Iberia ecosystem: Latest views and challenges. </w:t>
      </w:r>
      <w:r w:rsidRPr="009978E3">
        <w:rPr>
          <w:rFonts w:eastAsia="MS Mincho"/>
          <w:i/>
          <w:sz w:val="22"/>
          <w:szCs w:val="22"/>
          <w:lang w:val="en-US"/>
        </w:rPr>
        <w:t>Progress in Oceanography</w:t>
      </w:r>
      <w:r w:rsidRPr="009978E3">
        <w:rPr>
          <w:rFonts w:eastAsia="MS Mincho"/>
          <w:sz w:val="22"/>
          <w:szCs w:val="22"/>
          <w:lang w:val="en-US"/>
        </w:rPr>
        <w:t xml:space="preserve"> 74(2–3): 149–173. </w:t>
      </w:r>
    </w:p>
    <w:p w14:paraId="4FDC96F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Ressurreição, A. &amp; Giacomello, E. (2013) Quantifying the direct use value of Condor seamount. </w:t>
      </w:r>
      <w:r w:rsidRPr="009978E3">
        <w:rPr>
          <w:rFonts w:eastAsia="MS Mincho"/>
          <w:i/>
          <w:sz w:val="22"/>
          <w:szCs w:val="22"/>
          <w:lang w:val="en-US"/>
        </w:rPr>
        <w:t>Deep-Sea Research Part II: Topical Studies in Oceanography</w:t>
      </w:r>
      <w:r w:rsidRPr="009978E3">
        <w:rPr>
          <w:rFonts w:eastAsia="MS Mincho"/>
          <w:sz w:val="22"/>
          <w:szCs w:val="22"/>
          <w:lang w:val="en-US"/>
        </w:rPr>
        <w:t xml:space="preserve"> 98: 209–217. </w:t>
      </w:r>
    </w:p>
    <w:p w14:paraId="5C997A5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Rex, M. (1983). Geographic patterns of species diversity in deep-sea benthos. </w:t>
      </w:r>
      <w:r w:rsidRPr="009978E3">
        <w:rPr>
          <w:rFonts w:eastAsia="MS Mincho"/>
          <w:i/>
          <w:sz w:val="22"/>
          <w:szCs w:val="22"/>
          <w:lang w:val="en-US"/>
        </w:rPr>
        <w:t>Seas</w:t>
      </w:r>
      <w:r w:rsidRPr="009978E3">
        <w:rPr>
          <w:rFonts w:eastAsia="MS Mincho"/>
          <w:sz w:val="22"/>
          <w:szCs w:val="22"/>
          <w:lang w:val="en-US"/>
        </w:rPr>
        <w:t xml:space="preserve"> 8: 453–472.</w:t>
      </w:r>
    </w:p>
    <w:p w14:paraId="06F672C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Ribeiro, A., Kullberg, M., Kullberg, J., Manupella, A., Phipps, S. (1990). A review of Alpine Tectonics in Portugal: foreland detachment in basement and cover rocks. </w:t>
      </w:r>
      <w:r w:rsidRPr="009978E3">
        <w:rPr>
          <w:rFonts w:eastAsia="MS Mincho"/>
          <w:i/>
          <w:sz w:val="22"/>
          <w:szCs w:val="22"/>
          <w:lang w:val="en-US"/>
        </w:rPr>
        <w:t>Tectonophysics</w:t>
      </w:r>
      <w:r w:rsidRPr="009978E3">
        <w:rPr>
          <w:rFonts w:eastAsia="MS Mincho"/>
          <w:sz w:val="22"/>
          <w:szCs w:val="22"/>
          <w:lang w:val="en-US"/>
        </w:rPr>
        <w:t xml:space="preserve"> 184: 357–366.</w:t>
      </w:r>
    </w:p>
    <w:p w14:paraId="379E3813"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en-US"/>
        </w:rPr>
        <w:t xml:space="preserve">Richardson, P., Bower, A. &amp; Zenk, W. (2000). A census of Meddies tracked by floats. </w:t>
      </w:r>
      <w:r w:rsidRPr="009978E3">
        <w:rPr>
          <w:rFonts w:eastAsia="MS Mincho"/>
          <w:i/>
          <w:sz w:val="22"/>
          <w:szCs w:val="22"/>
          <w:lang w:val="nl-NL"/>
        </w:rPr>
        <w:t>Progress in Oceanography</w:t>
      </w:r>
      <w:r w:rsidRPr="009978E3">
        <w:rPr>
          <w:rFonts w:eastAsia="MS Mincho"/>
          <w:sz w:val="22"/>
          <w:szCs w:val="22"/>
          <w:lang w:val="nl-NL"/>
        </w:rPr>
        <w:t xml:space="preserve"> 45: 209–250.</w:t>
      </w:r>
    </w:p>
    <w:p w14:paraId="4BDA0D7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Richter, T., de Stigter, H., Boer, W., Jesús, C. &amp; van Weering, T. (2009). </w:t>
      </w:r>
      <w:r w:rsidRPr="009978E3">
        <w:rPr>
          <w:rFonts w:eastAsia="MS Mincho"/>
          <w:sz w:val="22"/>
          <w:szCs w:val="22"/>
          <w:lang w:val="en-US"/>
        </w:rPr>
        <w:t xml:space="preserve">Dispersal of natural and anthropogenic lead through submarine canyons at the Portuguese Margin. </w:t>
      </w:r>
      <w:r w:rsidRPr="009978E3">
        <w:rPr>
          <w:rFonts w:eastAsia="MS Mincho"/>
          <w:i/>
          <w:sz w:val="22"/>
          <w:szCs w:val="22"/>
          <w:lang w:val="en-US"/>
        </w:rPr>
        <w:t>Deep-Sea Research I</w:t>
      </w:r>
      <w:r w:rsidRPr="009978E3">
        <w:rPr>
          <w:rFonts w:eastAsia="MS Mincho"/>
          <w:sz w:val="22"/>
          <w:szCs w:val="22"/>
          <w:lang w:val="en-US"/>
        </w:rPr>
        <w:t xml:space="preserve"> 56: 267-282.</w:t>
      </w:r>
    </w:p>
    <w:p w14:paraId="0742680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Roark, E., Guilderson, T., Dunbar, R. &amp; Ingram, B. (2006) Radiocarbon-based ages and growth rates of Hawaiian deep-sea corals. </w:t>
      </w:r>
      <w:r w:rsidRPr="009978E3">
        <w:rPr>
          <w:rFonts w:eastAsia="MS Mincho"/>
          <w:i/>
          <w:sz w:val="22"/>
          <w:szCs w:val="22"/>
          <w:lang w:val="en-US"/>
        </w:rPr>
        <w:t>Marine Ecology Progress Series</w:t>
      </w:r>
      <w:r w:rsidRPr="009978E3">
        <w:rPr>
          <w:rFonts w:eastAsia="MS Mincho"/>
          <w:sz w:val="22"/>
          <w:szCs w:val="22"/>
          <w:lang w:val="en-US"/>
        </w:rPr>
        <w:t xml:space="preserve"> 327: 1–14.</w:t>
      </w:r>
    </w:p>
    <w:p w14:paraId="199E261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Robert, K., Jones, D., Tyler, P., Van Rooij, D. &amp; Huvenne, V. (2014). </w:t>
      </w:r>
      <w:r w:rsidRPr="009978E3">
        <w:rPr>
          <w:rFonts w:eastAsia="MS Mincho"/>
          <w:sz w:val="22"/>
          <w:szCs w:val="22"/>
          <w:lang w:val="en-US"/>
        </w:rPr>
        <w:t xml:space="preserve">Finding the hotspots within a biodiversity hotspot: fine-scale biological predictions within a submarine canyon using high-resolution acoustic mapping techniques. </w:t>
      </w:r>
      <w:r w:rsidRPr="009978E3">
        <w:rPr>
          <w:rFonts w:eastAsia="MS Mincho"/>
          <w:i/>
          <w:sz w:val="22"/>
          <w:szCs w:val="22"/>
          <w:lang w:val="en-US"/>
        </w:rPr>
        <w:t xml:space="preserve">Marine Ecology </w:t>
      </w:r>
      <w:r w:rsidRPr="009978E3">
        <w:rPr>
          <w:rFonts w:eastAsia="MS Mincho"/>
          <w:sz w:val="22"/>
          <w:szCs w:val="22"/>
          <w:lang w:val="en-US"/>
        </w:rPr>
        <w:t>36: 1256–1276.</w:t>
      </w:r>
    </w:p>
    <w:p w14:paraId="6329289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Roberts, J., Wheeler, A. &amp; Freiwald, A. (2006) Reefs of the deep: The biology and geology of cold-water coral ecosystems. </w:t>
      </w:r>
      <w:r w:rsidRPr="009978E3">
        <w:rPr>
          <w:rFonts w:eastAsia="MS Mincho"/>
          <w:i/>
          <w:sz w:val="22"/>
          <w:szCs w:val="22"/>
          <w:lang w:val="en-US"/>
        </w:rPr>
        <w:t>Science</w:t>
      </w:r>
      <w:r w:rsidRPr="009978E3">
        <w:rPr>
          <w:rFonts w:eastAsia="MS Mincho"/>
          <w:sz w:val="22"/>
          <w:szCs w:val="22"/>
          <w:lang w:val="en-US"/>
        </w:rPr>
        <w:t xml:space="preserve"> 213: 543–547.</w:t>
      </w:r>
    </w:p>
    <w:p w14:paraId="3D07CF1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Robison, B. (2004). Deep pelagic biology. </w:t>
      </w:r>
      <w:r w:rsidRPr="009978E3">
        <w:rPr>
          <w:rFonts w:eastAsia="MS Mincho"/>
          <w:i/>
          <w:sz w:val="22"/>
          <w:szCs w:val="22"/>
          <w:lang w:val="en-US"/>
        </w:rPr>
        <w:t>Journal of Experimental Marine Biology and Ecology</w:t>
      </w:r>
      <w:r w:rsidRPr="009978E3">
        <w:rPr>
          <w:rFonts w:eastAsia="MS Mincho"/>
          <w:sz w:val="22"/>
          <w:szCs w:val="22"/>
          <w:lang w:val="en-US"/>
        </w:rPr>
        <w:t xml:space="preserve"> 300(1): 253-272.</w:t>
      </w:r>
    </w:p>
    <w:p w14:paraId="6FA0D78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Robison, B. (2009) Conservation of deep pelagic biodiversity. </w:t>
      </w:r>
      <w:r w:rsidRPr="009978E3">
        <w:rPr>
          <w:rFonts w:eastAsia="MS Mincho"/>
          <w:i/>
          <w:sz w:val="22"/>
          <w:szCs w:val="22"/>
          <w:lang w:val="en-US"/>
        </w:rPr>
        <w:t>Conservation Biology</w:t>
      </w:r>
      <w:r w:rsidRPr="009978E3">
        <w:rPr>
          <w:rFonts w:eastAsia="MS Mincho"/>
          <w:sz w:val="22"/>
          <w:szCs w:val="22"/>
          <w:lang w:val="en-US"/>
        </w:rPr>
        <w:t xml:space="preserve"> 23: 847–858.</w:t>
      </w:r>
    </w:p>
    <w:p w14:paraId="08797A5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Roditi-Elasar, M., Kerem, D., Angel, D., Steindler, L., Herut, B. &amp; Shoham-Frider, E. (2013). “</w:t>
      </w:r>
      <w:r w:rsidRPr="009978E3">
        <w:rPr>
          <w:rFonts w:eastAsia="MS Mincho"/>
          <w:i/>
          <w:sz w:val="22"/>
          <w:szCs w:val="22"/>
          <w:lang w:val="en-US"/>
        </w:rPr>
        <w:t>Akhziv Submarine Canyon: an oasis in the warming oligotrophic Levantine Basin?</w:t>
      </w:r>
      <w:r w:rsidRPr="009978E3">
        <w:rPr>
          <w:rFonts w:eastAsia="MS Mincho"/>
          <w:sz w:val="22"/>
          <w:szCs w:val="22"/>
          <w:lang w:val="en-US"/>
        </w:rPr>
        <w:t>” in C40th CIESM, Congress Communications Webpages (Marsiglia).</w:t>
      </w:r>
    </w:p>
    <w:p w14:paraId="3758024D"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Rodrigues, A. (2001) – </w:t>
      </w:r>
      <w:r w:rsidRPr="009978E3">
        <w:rPr>
          <w:rFonts w:eastAsia="MS Mincho"/>
          <w:i/>
          <w:sz w:val="22"/>
          <w:szCs w:val="22"/>
          <w:lang w:val="pt-PT"/>
        </w:rPr>
        <w:t>Tectono-Estratigrafia da Plataforma Continental Setentrional Portuguesa</w:t>
      </w:r>
      <w:r w:rsidRPr="009978E3">
        <w:rPr>
          <w:rFonts w:eastAsia="MS Mincho"/>
          <w:sz w:val="22"/>
          <w:szCs w:val="22"/>
          <w:lang w:val="pt-PT"/>
        </w:rPr>
        <w:t>. Tese de Doutoramento, Faculdade de Ciências da Univ. Lisboa, 244 pp.</w:t>
      </w:r>
    </w:p>
    <w:p w14:paraId="465D068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Rodrigues, A. 2004. </w:t>
      </w:r>
      <w:r w:rsidRPr="009978E3">
        <w:rPr>
          <w:rFonts w:eastAsia="MS Mincho"/>
          <w:i/>
          <w:sz w:val="22"/>
          <w:szCs w:val="22"/>
          <w:lang w:val="pt-PT"/>
        </w:rPr>
        <w:t>Tectono-Estratigrafia da Plataforma Continental Setentrional Portuguesa</w:t>
      </w:r>
      <w:r w:rsidRPr="009978E3">
        <w:rPr>
          <w:rFonts w:eastAsia="MS Mincho"/>
          <w:sz w:val="22"/>
          <w:szCs w:val="22"/>
          <w:lang w:val="pt-PT"/>
        </w:rPr>
        <w:t xml:space="preserve">. </w:t>
      </w:r>
      <w:r w:rsidRPr="009978E3">
        <w:rPr>
          <w:rFonts w:eastAsia="MS Mincho"/>
          <w:sz w:val="22"/>
          <w:szCs w:val="22"/>
          <w:lang w:val="en-US"/>
        </w:rPr>
        <w:t>Doc. Tec. 111(35): 227pp.</w:t>
      </w:r>
    </w:p>
    <w:p w14:paraId="79CF8E74"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Rodrigues, A., Magalhaes, F. &amp; Dias, J. (1991). Evolution of the north Portuguese coast in the last 18000 years. </w:t>
      </w:r>
      <w:r w:rsidRPr="009978E3">
        <w:rPr>
          <w:rFonts w:eastAsia="MS Mincho"/>
          <w:sz w:val="22"/>
          <w:szCs w:val="22"/>
          <w:lang w:val="pt-PT"/>
        </w:rPr>
        <w:t>Quaternary International (9): pp. 67-74.</w:t>
      </w:r>
    </w:p>
    <w:p w14:paraId="2A98E131"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Rodrigues, N., Maranhão, P., Oliveira, P. &amp; Alberto, J. (2008). </w:t>
      </w:r>
      <w:r w:rsidRPr="009978E3">
        <w:rPr>
          <w:rFonts w:eastAsia="MS Mincho"/>
          <w:i/>
          <w:sz w:val="22"/>
          <w:szCs w:val="22"/>
          <w:lang w:val="pt-PT"/>
        </w:rPr>
        <w:t>Guia de espécies submarinas, Portugal–Berlengas</w:t>
      </w:r>
      <w:r w:rsidRPr="009978E3">
        <w:rPr>
          <w:rFonts w:eastAsia="MS Mincho"/>
          <w:sz w:val="22"/>
          <w:szCs w:val="22"/>
          <w:lang w:val="pt-PT"/>
        </w:rPr>
        <w:t>. Instituto Politécnico de Leiria. Leiria, Portugal. 231 pp.</w:t>
      </w:r>
    </w:p>
    <w:p w14:paraId="4603E1C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Rogers, A. (1994). The biology of seamounts. </w:t>
      </w:r>
      <w:r w:rsidRPr="009978E3">
        <w:rPr>
          <w:rFonts w:eastAsia="MS Mincho"/>
          <w:i/>
          <w:sz w:val="22"/>
          <w:szCs w:val="22"/>
          <w:lang w:val="en-US"/>
        </w:rPr>
        <w:t>Advances in marine biology</w:t>
      </w:r>
      <w:r w:rsidRPr="009978E3">
        <w:rPr>
          <w:rFonts w:eastAsia="MS Mincho"/>
          <w:sz w:val="22"/>
          <w:szCs w:val="22"/>
          <w:lang w:val="en-US"/>
        </w:rPr>
        <w:t xml:space="preserve"> 30: 305-305.</w:t>
      </w:r>
    </w:p>
    <w:p w14:paraId="1DF8717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Rogers, A., Baco, A., Griffiths, H., Hart, T. &amp; Hall-Spencer, J. (2007) </w:t>
      </w:r>
      <w:r w:rsidRPr="009978E3">
        <w:rPr>
          <w:rFonts w:eastAsia="MS Mincho"/>
          <w:i/>
          <w:sz w:val="22"/>
          <w:szCs w:val="22"/>
          <w:lang w:val="en-US"/>
        </w:rPr>
        <w:t>Corals on seamounts</w:t>
      </w:r>
      <w:r w:rsidRPr="009978E3">
        <w:rPr>
          <w:rFonts w:eastAsia="MS Mincho"/>
          <w:sz w:val="22"/>
          <w:szCs w:val="22"/>
          <w:lang w:val="en-US"/>
        </w:rPr>
        <w:t>. In: Pitcher, T., Morato, T., Hart, P., Clark, M., Haggan, N. &amp; Santos, R. eds. Seamounts: ecology, fisheries, and conservation. Blackwell Fisheries and Aquatic Resources Series 12. Oxford, UK: Blackwell Publishing. pp 141–169.</w:t>
      </w:r>
    </w:p>
    <w:p w14:paraId="5F26DA7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Rogers, A., Clark, M., Hall-Spencer, J. &amp; Gjerde, K. (2008) </w:t>
      </w:r>
      <w:r w:rsidRPr="009978E3">
        <w:rPr>
          <w:rFonts w:eastAsia="MS Mincho"/>
          <w:i/>
          <w:sz w:val="22"/>
          <w:szCs w:val="22"/>
          <w:lang w:val="en-US"/>
        </w:rPr>
        <w:t>The Science behind the Guidelines: A Scientific Guide to the FAO Draft International Guidelines</w:t>
      </w:r>
      <w:r w:rsidRPr="009978E3">
        <w:rPr>
          <w:rFonts w:eastAsia="MS Mincho"/>
          <w:sz w:val="22"/>
          <w:szCs w:val="22"/>
          <w:lang w:val="en-US"/>
        </w:rPr>
        <w:t xml:space="preserve"> (December 2007) for the Management of Deep-sea Fisheries in the High Seas and Examples of How the Guidelines May Be Practically Implemented. IUCN, Switzerland.</w:t>
      </w:r>
    </w:p>
    <w:p w14:paraId="709721E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Rowe, G. (1971). Observations on bottom currents and epibenthic populations in Hatteras Submarine canyon. </w:t>
      </w:r>
      <w:r w:rsidRPr="009978E3">
        <w:rPr>
          <w:rFonts w:eastAsia="MS Mincho"/>
          <w:i/>
          <w:sz w:val="22"/>
          <w:szCs w:val="22"/>
          <w:lang w:val="en-US"/>
        </w:rPr>
        <w:t>Deep-Sea Research</w:t>
      </w:r>
      <w:r w:rsidRPr="009978E3">
        <w:rPr>
          <w:rFonts w:eastAsia="MS Mincho"/>
          <w:sz w:val="22"/>
          <w:szCs w:val="22"/>
          <w:lang w:val="en-US"/>
        </w:rPr>
        <w:t xml:space="preserve"> 18: 569–581.</w:t>
      </w:r>
    </w:p>
    <w:p w14:paraId="70FD6B1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Rowe, G. (1972). The Exploration of Submarine Canyons and their Benthic Faunal Assemblages. </w:t>
      </w:r>
      <w:r w:rsidRPr="009978E3">
        <w:rPr>
          <w:rFonts w:eastAsia="MS Mincho"/>
          <w:i/>
          <w:sz w:val="22"/>
          <w:szCs w:val="22"/>
          <w:lang w:val="en-US"/>
        </w:rPr>
        <w:t>Proceedings of the Royal Society of Edinburgh, Section B: Biological Sciences</w:t>
      </w:r>
      <w:r w:rsidRPr="009978E3">
        <w:rPr>
          <w:rFonts w:eastAsia="MS Mincho"/>
          <w:sz w:val="22"/>
          <w:szCs w:val="22"/>
          <w:lang w:val="en-US"/>
        </w:rPr>
        <w:t xml:space="preserve"> 73: 159-169.</w:t>
      </w:r>
    </w:p>
    <w:p w14:paraId="45035F0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Rowe, G., Morse, J., Nunnally, C. &amp; Boland, G. (2008). Sediment community oxygen consumption in the deep Gulf of Mexico.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55(24-26): 2686-2691.</w:t>
      </w:r>
    </w:p>
    <w:p w14:paraId="2D605BA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Rowe, G., Polloni, P. &amp; Haedrich, R. (1982). The deep-sea macrobenthos on the continental margin of the northwest Atlantic Ocean. </w:t>
      </w:r>
      <w:r w:rsidRPr="009978E3">
        <w:rPr>
          <w:rFonts w:eastAsia="MS Mincho"/>
          <w:i/>
          <w:sz w:val="22"/>
          <w:szCs w:val="22"/>
          <w:lang w:val="en-US"/>
        </w:rPr>
        <w:t>Deep Sea Research Part A. Oceanographic Research Papers</w:t>
      </w:r>
      <w:r w:rsidRPr="009978E3">
        <w:rPr>
          <w:rFonts w:eastAsia="MS Mincho"/>
          <w:sz w:val="22"/>
          <w:szCs w:val="22"/>
          <w:lang w:val="en-US"/>
        </w:rPr>
        <w:t xml:space="preserve"> 29(2): 257-278. </w:t>
      </w:r>
    </w:p>
    <w:p w14:paraId="64A877D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Ryan, J., Chave, F. &amp; Bellingham, J. (2005). Physical-biological coupling in Monterey Bay, California: topographic influences on phytoplankton ecology. </w:t>
      </w:r>
      <w:r w:rsidRPr="009978E3">
        <w:rPr>
          <w:rFonts w:eastAsia="MS Mincho"/>
          <w:i/>
          <w:sz w:val="22"/>
          <w:szCs w:val="22"/>
          <w:lang w:val="en-US"/>
        </w:rPr>
        <w:t>Marine Ecology Progress Series</w:t>
      </w:r>
      <w:r w:rsidRPr="009978E3">
        <w:rPr>
          <w:rFonts w:eastAsia="MS Mincho"/>
          <w:sz w:val="22"/>
          <w:szCs w:val="22"/>
          <w:lang w:val="en-US"/>
        </w:rPr>
        <w:t xml:space="preserve"> 287: 23-32.</w:t>
      </w:r>
    </w:p>
    <w:p w14:paraId="2E0A8E6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Saavedra, C., 2017. Multispecies population modelling of the common dolphin (Delphinus delphis), the bottlenose dolphin (Tursiops truncatus) and the southern stock of European hake (Merluccius merluccius), in Atlantic waters of the Iberian Peninsula. Dosctotal Dissertation, Universidad de Vigo.</w:t>
      </w:r>
    </w:p>
    <w:p w14:paraId="6607008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Samadi, S., Bottan, L., Macpherson, E., Richer de Forges, B. &amp; Boisselier, M. (2006) Seamount endemism questioned by the geographical distribution and population genetic structure of marine invertebrates. </w:t>
      </w:r>
      <w:r w:rsidRPr="009978E3">
        <w:rPr>
          <w:rFonts w:eastAsia="MS Mincho"/>
          <w:i/>
          <w:sz w:val="22"/>
          <w:szCs w:val="22"/>
          <w:lang w:val="en-US"/>
        </w:rPr>
        <w:t>Marine Biology</w:t>
      </w:r>
      <w:r w:rsidRPr="009978E3">
        <w:rPr>
          <w:rFonts w:eastAsia="MS Mincho"/>
          <w:sz w:val="22"/>
          <w:szCs w:val="22"/>
          <w:lang w:val="en-US"/>
        </w:rPr>
        <w:t xml:space="preserve"> 149: 1463–75.</w:t>
      </w:r>
    </w:p>
    <w:p w14:paraId="35AD255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Samadi, S., Schlacher, T. &amp; de Forges, B. (2007) </w:t>
      </w:r>
      <w:r w:rsidRPr="009978E3">
        <w:rPr>
          <w:rFonts w:eastAsia="MS Mincho"/>
          <w:i/>
          <w:sz w:val="22"/>
          <w:szCs w:val="22"/>
          <w:lang w:val="en-US"/>
        </w:rPr>
        <w:t>Seamount benthos</w:t>
      </w:r>
      <w:r w:rsidRPr="009978E3">
        <w:rPr>
          <w:rFonts w:eastAsia="MS Mincho"/>
          <w:sz w:val="22"/>
          <w:szCs w:val="22"/>
          <w:lang w:val="en-US"/>
        </w:rPr>
        <w:t>. In: Pitcher, T.J., T. Morato, P.J.B. Hart, M.R. Clark, N. Haggan and R.S. Santos (Eds) Seamounts: Ecology, Fisheries &amp; Conservation. Fish and Aquatic Resources Series 12, Blackwell Publishing, Oxford, United Kingdom, pp 119-140.</w:t>
      </w:r>
    </w:p>
    <w:p w14:paraId="4E7D9D8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Sánchez F., Blanc M., Gancedo, R., 2002. Atlas de los peces demersales y de los invertebrados de interés comercial de Galicia y el Cantábrico. </w:t>
      </w:r>
      <w:r w:rsidRPr="009978E3">
        <w:rPr>
          <w:rFonts w:eastAsia="MS Mincho"/>
          <w:sz w:val="22"/>
          <w:szCs w:val="22"/>
          <w:lang w:val="en-US"/>
        </w:rPr>
        <w:t xml:space="preserve">Otoño 1997–1999. Ed. CYAN (Inst. Esp.Oceanogr.) 158 p.; </w:t>
      </w:r>
    </w:p>
    <w:p w14:paraId="4411C6C5"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Sanchez F., Olaso, I., 2004. Effects of fisheries on the Cantabrian Sea shelf ecosystem. </w:t>
      </w:r>
      <w:r w:rsidRPr="009978E3">
        <w:rPr>
          <w:rFonts w:eastAsia="MS Mincho"/>
          <w:sz w:val="22"/>
          <w:szCs w:val="22"/>
          <w:lang w:val="pt-PT"/>
        </w:rPr>
        <w:t xml:space="preserve">Ecol. Model. 172, 151–-174; </w:t>
      </w:r>
    </w:p>
    <w:p w14:paraId="7903554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Sánchez, F., de la Gándara, F., Gancedo, R., 1995. Atlas de los peces demersales de Galicia y el Cantábrico, Otoño 1991–1993. </w:t>
      </w:r>
      <w:r w:rsidRPr="009978E3">
        <w:rPr>
          <w:rFonts w:eastAsia="MS Mincho"/>
          <w:sz w:val="22"/>
          <w:szCs w:val="22"/>
          <w:lang w:val="en-US"/>
        </w:rPr>
        <w:t>Publ. Esp. Inst. Esp. Oceanogr. 20, 99.</w:t>
      </w:r>
    </w:p>
    <w:p w14:paraId="0FEB32E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Sánchez, F., Gil, J., 2000. Hydrographic mesoscale structures and Poleward Current as a</w:t>
      </w:r>
    </w:p>
    <w:p w14:paraId="4D0B8A2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Sánchez, F., Serrano, A., Parra, S., Ballesteros, M. &amp; Cartes, J. (2008) Habitat characteristics as determinant of the structure and spatial distribution of epibenthic and demersal communities of Le Danois Bank (Cantabrian Sea, N. Spain). </w:t>
      </w:r>
      <w:r w:rsidRPr="009978E3">
        <w:rPr>
          <w:rFonts w:eastAsia="MS Mincho"/>
          <w:i/>
          <w:sz w:val="22"/>
          <w:szCs w:val="22"/>
          <w:lang w:val="en-US"/>
        </w:rPr>
        <w:t>Journal of Marine Systems</w:t>
      </w:r>
      <w:r w:rsidRPr="009978E3">
        <w:rPr>
          <w:rFonts w:eastAsia="MS Mincho"/>
          <w:sz w:val="22"/>
          <w:szCs w:val="22"/>
          <w:lang w:val="en-US"/>
        </w:rPr>
        <w:t xml:space="preserve"> 72: 64–86.</w:t>
      </w:r>
    </w:p>
    <w:p w14:paraId="4EBEC3C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Sanchez-Vidal, A., Pasqual, C., Kerhervé, P., Calafat, A., Heussner, S., Palanques, A., Durrieu de Madron, X., Canals, M. &amp; Puig, P. (2008). Impact of dense shelf water cascading on the transfer of organic matter to the deep western Mediterranean basin. </w:t>
      </w:r>
      <w:r w:rsidRPr="009978E3">
        <w:rPr>
          <w:rFonts w:eastAsia="MS Mincho"/>
          <w:i/>
          <w:sz w:val="22"/>
          <w:szCs w:val="22"/>
          <w:lang w:val="en-US"/>
        </w:rPr>
        <w:t>Geophysical Research Letters</w:t>
      </w:r>
      <w:r w:rsidRPr="009978E3">
        <w:rPr>
          <w:rFonts w:eastAsia="MS Mincho"/>
          <w:sz w:val="22"/>
          <w:szCs w:val="22"/>
          <w:lang w:val="en-US"/>
        </w:rPr>
        <w:t xml:space="preserve"> 35: L05605.</w:t>
      </w:r>
    </w:p>
    <w:p w14:paraId="076A183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Sanders, H. &amp; Hessler, R. (1969). Ecology of the deep-sea benthos. </w:t>
      </w:r>
      <w:r w:rsidRPr="009978E3">
        <w:rPr>
          <w:rFonts w:eastAsia="MS Mincho"/>
          <w:i/>
          <w:sz w:val="22"/>
          <w:szCs w:val="22"/>
          <w:lang w:val="en-US"/>
        </w:rPr>
        <w:t xml:space="preserve">Science </w:t>
      </w:r>
      <w:r w:rsidRPr="009978E3">
        <w:rPr>
          <w:rFonts w:eastAsia="MS Mincho"/>
          <w:sz w:val="22"/>
          <w:szCs w:val="22"/>
          <w:lang w:val="en-US"/>
        </w:rPr>
        <w:t>163: 1419–1424.</w:t>
      </w:r>
    </w:p>
    <w:p w14:paraId="0C30BFA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Santos, A., Azeiteiro, U., Sousa, F. &amp; Alves, F. (2012). The role of knowledge and the way of life of local inhabitants in sustainable development: an exploratory study on the impact of the Natural Reserve of the Berlengas Islands (Portugal) on the life of its local fishing community. </w:t>
      </w:r>
      <w:r w:rsidRPr="009978E3">
        <w:rPr>
          <w:rFonts w:eastAsia="MS Mincho"/>
          <w:i/>
          <w:sz w:val="22"/>
          <w:szCs w:val="22"/>
          <w:lang w:val="en-US"/>
        </w:rPr>
        <w:t>Journal of Integrated Coastal Zone Management</w:t>
      </w:r>
      <w:r w:rsidRPr="009978E3">
        <w:rPr>
          <w:rFonts w:eastAsia="MS Mincho"/>
          <w:sz w:val="22"/>
          <w:szCs w:val="22"/>
          <w:lang w:val="en-US"/>
        </w:rPr>
        <w:t xml:space="preserve"> 12(4): 429-436.</w:t>
      </w:r>
    </w:p>
    <w:p w14:paraId="4535BEF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Santos, A., Peliz, A., Ré, P., Dubert, J., Oliveira, P. &amp; Angélico, M. (2004) Impact of a winter upwelling event on the distribution and transport of sardine eggs and larvae off western Iberia: A retention mechanism. </w:t>
      </w:r>
      <w:r w:rsidRPr="009978E3">
        <w:rPr>
          <w:rFonts w:eastAsia="MS Mincho"/>
          <w:i/>
          <w:sz w:val="22"/>
          <w:szCs w:val="22"/>
          <w:lang w:val="en-US"/>
        </w:rPr>
        <w:t>Continental Shelf Reseach</w:t>
      </w:r>
      <w:r w:rsidRPr="009978E3">
        <w:rPr>
          <w:rFonts w:eastAsia="MS Mincho"/>
          <w:sz w:val="22"/>
          <w:szCs w:val="22"/>
          <w:lang w:val="en-US"/>
        </w:rPr>
        <w:t xml:space="preserve"> 24: 149-165.</w:t>
      </w:r>
    </w:p>
    <w:p w14:paraId="39ECCEC5" w14:textId="77777777" w:rsidR="006B3F46" w:rsidRPr="009978E3" w:rsidRDefault="006B3F46" w:rsidP="00907941">
      <w:pPr>
        <w:ind w:left="567"/>
        <w:jc w:val="both"/>
        <w:rPr>
          <w:rFonts w:eastAsia="MS Mincho"/>
          <w:sz w:val="22"/>
          <w:szCs w:val="22"/>
          <w:lang w:val="en-US"/>
        </w:rPr>
      </w:pPr>
      <w:r w:rsidRPr="009978E3">
        <w:rPr>
          <w:rFonts w:eastAsia="MS Mincho"/>
          <w:sz w:val="22"/>
          <w:szCs w:val="22"/>
          <w:lang w:val="en-US"/>
        </w:rPr>
        <w:t>Santos, M. Scheidat, J. Teilmann, J. Vingada &amp; N. Øien (2017) Estimates of cetacean abundance in European Atlantic waters in summer 2016 from the SCANS-III aerial and shipboard surveys.</w:t>
      </w:r>
    </w:p>
    <w:p w14:paraId="4CC533C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Santos, M., Bolten, A., Martins, H., Riewald, B. &amp; Bjorndal, K. (2007). </w:t>
      </w:r>
      <w:r w:rsidRPr="009978E3">
        <w:rPr>
          <w:rFonts w:eastAsia="MS Mincho"/>
          <w:i/>
          <w:sz w:val="22"/>
          <w:szCs w:val="22"/>
          <w:lang w:val="en-US"/>
        </w:rPr>
        <w:t>Air-breathing Visitors to Seamounts: Sea Turtles.</w:t>
      </w:r>
      <w:r w:rsidRPr="009978E3">
        <w:rPr>
          <w:rFonts w:eastAsia="MS Mincho"/>
          <w:sz w:val="22"/>
          <w:szCs w:val="22"/>
          <w:lang w:val="en-US"/>
        </w:rPr>
        <w:t xml:space="preserve"> Chapter 12 Section B. in Pitcher, T.J., Morato, T., Hart, P.J.B., Clark, M.R., Haggan, N. and Santos, R.S. (eds) Seamounts: Ecology, Conservation and Management. Fish and Aquatic Resources Series, Blackwell, Oxford, UK. pp. 239-244.</w:t>
      </w:r>
    </w:p>
    <w:p w14:paraId="445F6B4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Sardà, F. &amp; Cartes, J. (1994). Spatio-temporal variations in megabenthos abundance in three different habitats of the Catalan deep-sea (Western Mediterranean). </w:t>
      </w:r>
      <w:r w:rsidRPr="009978E3">
        <w:rPr>
          <w:rFonts w:eastAsia="MS Mincho"/>
          <w:i/>
          <w:sz w:val="22"/>
          <w:szCs w:val="22"/>
          <w:lang w:val="en-US"/>
        </w:rPr>
        <w:t>Marine Biology</w:t>
      </w:r>
      <w:r w:rsidRPr="009978E3">
        <w:rPr>
          <w:rFonts w:eastAsia="MS Mincho"/>
          <w:sz w:val="22"/>
          <w:szCs w:val="22"/>
          <w:lang w:val="en-US"/>
        </w:rPr>
        <w:t xml:space="preserve"> 120: 211–219.</w:t>
      </w:r>
    </w:p>
    <w:p w14:paraId="1BA429F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Sardà, F., Company, J.B., Bahamon, N., Rotllant, G., Flexas, M.M., Sánchez, J.D., Zúñiga, D., Coenjaerts, J., Orellana, D., Jorda, G., Puigde fabregas, J., Sánchez-Vidal, A., Calafat, A., Martín, D. &amp; Espino, M. (2009). Relationship between environmental and occurrence of the deep-water rose shrimp Aristeus antennatus (Risso, 1826) in Blanes submarine canyon (Northwestern Mediterranean). </w:t>
      </w:r>
      <w:r w:rsidRPr="009978E3">
        <w:rPr>
          <w:rFonts w:eastAsia="MS Mincho"/>
          <w:i/>
          <w:sz w:val="22"/>
          <w:szCs w:val="22"/>
          <w:lang w:val="en-US"/>
        </w:rPr>
        <w:t>Progress in Oceanography</w:t>
      </w:r>
      <w:r w:rsidRPr="009978E3">
        <w:rPr>
          <w:rFonts w:eastAsia="MS Mincho"/>
          <w:sz w:val="22"/>
          <w:szCs w:val="22"/>
          <w:lang w:val="en-US"/>
        </w:rPr>
        <w:t xml:space="preserve"> 82(4): 227–238.</w:t>
      </w:r>
    </w:p>
    <w:p w14:paraId="03E9A22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Saunders, P. (1982) Circulation in the eastern North Atlantic. </w:t>
      </w:r>
      <w:r w:rsidRPr="009978E3">
        <w:rPr>
          <w:rFonts w:eastAsia="MS Mincho"/>
          <w:i/>
          <w:sz w:val="22"/>
          <w:szCs w:val="22"/>
          <w:lang w:val="en-US"/>
        </w:rPr>
        <w:t>Journal of Marine Research</w:t>
      </w:r>
      <w:r w:rsidRPr="009978E3">
        <w:rPr>
          <w:rFonts w:eastAsia="MS Mincho"/>
          <w:sz w:val="22"/>
          <w:szCs w:val="22"/>
          <w:lang w:val="en-US"/>
        </w:rPr>
        <w:t xml:space="preserve"> 40: 641-657.</w:t>
      </w:r>
    </w:p>
    <w:p w14:paraId="34FF3E7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Sauvaget, P., David, E. &amp; Soares, C. (2000). Modelling tidal currents on the coast of Portugal. </w:t>
      </w:r>
      <w:r w:rsidRPr="009978E3">
        <w:rPr>
          <w:rFonts w:eastAsia="MS Mincho"/>
          <w:i/>
          <w:sz w:val="22"/>
          <w:szCs w:val="22"/>
          <w:lang w:val="en-US"/>
        </w:rPr>
        <w:t>Coastal Engineering</w:t>
      </w:r>
      <w:r w:rsidRPr="009978E3">
        <w:rPr>
          <w:rFonts w:eastAsia="MS Mincho"/>
          <w:sz w:val="22"/>
          <w:szCs w:val="22"/>
          <w:lang w:val="en-US"/>
        </w:rPr>
        <w:t xml:space="preserve"> 40(4): 393-409.</w:t>
      </w:r>
    </w:p>
    <w:p w14:paraId="3F0D065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Schlacher, T., Schlacher-Hoenlinger, M., Williams, A., Althaus, F., Hooper, J. &amp; Kloser, R. (2007). Richness and distribution of sponge megabenthos in continental margin canyons off southeastern Australia. </w:t>
      </w:r>
      <w:r w:rsidRPr="009978E3">
        <w:rPr>
          <w:rFonts w:eastAsia="MS Mincho"/>
          <w:i/>
          <w:sz w:val="22"/>
          <w:szCs w:val="22"/>
          <w:lang w:val="en-US"/>
        </w:rPr>
        <w:t>Marine Ecology Progress Series</w:t>
      </w:r>
      <w:r w:rsidRPr="009978E3">
        <w:rPr>
          <w:rFonts w:eastAsia="MS Mincho"/>
          <w:sz w:val="22"/>
          <w:szCs w:val="22"/>
          <w:lang w:val="en-US"/>
        </w:rPr>
        <w:t xml:space="preserve"> 340: 73–88.</w:t>
      </w:r>
    </w:p>
    <w:p w14:paraId="71B93C0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Schlacher, T., Williams, A., Althaus, F. &amp; Schlacher-Hoenlinger, M. (2010). High-resolution seabed imagery as a tool for biodiversity conservation planning on continental margins. </w:t>
      </w:r>
      <w:r w:rsidRPr="009978E3">
        <w:rPr>
          <w:rFonts w:eastAsia="MS Mincho"/>
          <w:i/>
          <w:sz w:val="22"/>
          <w:szCs w:val="22"/>
          <w:lang w:val="en-US"/>
        </w:rPr>
        <w:t>Marine Ecology</w:t>
      </w:r>
      <w:r w:rsidRPr="009978E3">
        <w:rPr>
          <w:rFonts w:eastAsia="MS Mincho"/>
          <w:sz w:val="22"/>
          <w:szCs w:val="22"/>
          <w:lang w:val="en-US"/>
        </w:rPr>
        <w:t xml:space="preserve"> 31: 200-221.</w:t>
      </w:r>
    </w:p>
    <w:p w14:paraId="6A3FCAA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Schmidt, S., Stigter, H. &amp; Weering, T. (2001). </w:t>
      </w:r>
      <w:r w:rsidRPr="009978E3">
        <w:rPr>
          <w:rFonts w:eastAsia="MS Mincho"/>
          <w:sz w:val="22"/>
          <w:szCs w:val="22"/>
          <w:lang w:val="en-US"/>
        </w:rPr>
        <w:t xml:space="preserve">Enhanced short-term sediment deposition within the Nazare Canyon, North-East Atlantic. </w:t>
      </w:r>
      <w:r w:rsidRPr="009978E3">
        <w:rPr>
          <w:rFonts w:eastAsia="MS Mincho"/>
          <w:i/>
          <w:sz w:val="22"/>
          <w:szCs w:val="22"/>
          <w:lang w:val="en-US"/>
        </w:rPr>
        <w:t>Marine Geology</w:t>
      </w:r>
      <w:r w:rsidRPr="009978E3">
        <w:rPr>
          <w:rFonts w:eastAsia="MS Mincho"/>
          <w:sz w:val="22"/>
          <w:szCs w:val="22"/>
          <w:lang w:val="en-US"/>
        </w:rPr>
        <w:t xml:space="preserve"> 173: 55–67.</w:t>
      </w:r>
    </w:p>
    <w:p w14:paraId="2C4D5B6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Serra, N. &amp; Ambar, I. (2002). Eddy generation in the Mediterranean undercurrent.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49(19): 4225-4243.</w:t>
      </w:r>
    </w:p>
    <w:p w14:paraId="2EB955B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Serra, N., Ambar, I. &amp; Kase, R. (2005). Observations and numerical modelling of the Mediterranean outflow splitting and eddy generation.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52 (3-4): 383–408.</w:t>
      </w:r>
    </w:p>
    <w:p w14:paraId="171B1824"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Serrano A., Preciado I., Abad E., Sánchez F., Parra S. &amp; I. Frutos (2008). Spatial distribution patterns of demersal and epibenthic communities on the Galician continental shelf (NW Spain). </w:t>
      </w:r>
      <w:r w:rsidRPr="009978E3">
        <w:rPr>
          <w:rFonts w:eastAsia="MS Mincho"/>
          <w:sz w:val="22"/>
          <w:szCs w:val="22"/>
          <w:lang w:val="pt-PT"/>
        </w:rPr>
        <w:t>J. Mar. Syst., Vol. 72(1-4): 87-100;</w:t>
      </w:r>
    </w:p>
    <w:p w14:paraId="0579E6D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Serrano A., Sanchez F., Garcia-Castrillo, G., 2006. </w:t>
      </w:r>
      <w:r w:rsidRPr="009978E3">
        <w:rPr>
          <w:rFonts w:eastAsia="MS Mincho"/>
          <w:sz w:val="22"/>
          <w:szCs w:val="22"/>
          <w:lang w:val="en-US"/>
        </w:rPr>
        <w:t>Epibenthic communities of trawlable grounds of the Cantabrian Sea. Sci. Mar., 70, 149–159.</w:t>
      </w:r>
    </w:p>
    <w:p w14:paraId="309862D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Serrano, A., A. Punzón, P. Ríos, J. Cartes, X. Valeiras, A. Lourido, J..C. Arronte, J. Cristobo, R. Bañón, V. Papiol, S. Parra, F, Sánchez, I. Frutos, A. García-Alegre, I. Preciado, M. Blanco, A, Luque, S. Gofas, C. Orejas, M. Druet, M. Gómez-Ballesteros and M. Ruiz-Villarreal, 2012. </w:t>
      </w:r>
      <w:r w:rsidRPr="009978E3">
        <w:rPr>
          <w:rFonts w:eastAsia="MS Mincho"/>
          <w:sz w:val="22"/>
          <w:szCs w:val="22"/>
          <w:lang w:val="en-US"/>
        </w:rPr>
        <w:t xml:space="preserve">Deep sea benthic assemblages of the Galicia Bank: effects of seamount environmental variables. XIII International Symposium on Oceanography of the Bay of Biscay, ISOBAY13 (Santander, Abril 2012). </w:t>
      </w:r>
    </w:p>
    <w:p w14:paraId="6114FBE4"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pt-PT"/>
        </w:rPr>
        <w:t xml:space="preserve">Serrano, A., Sánchez, F., Preciado, I., Parra, S., Frutos, I., 2006. </w:t>
      </w:r>
      <w:r w:rsidRPr="009978E3">
        <w:rPr>
          <w:rFonts w:eastAsia="MS Mincho"/>
          <w:sz w:val="22"/>
          <w:szCs w:val="22"/>
          <w:lang w:val="en-US"/>
        </w:rPr>
        <w:t xml:space="preserve">Spatial and temporal changes in benthic communities of the Galician continental shelf after the Prestige oil spill. </w:t>
      </w:r>
      <w:r w:rsidRPr="009978E3">
        <w:rPr>
          <w:rFonts w:eastAsia="MS Mincho"/>
          <w:sz w:val="22"/>
          <w:szCs w:val="22"/>
          <w:lang w:val="fr-CA"/>
        </w:rPr>
        <w:t>Marine Pollution Bulletin, 53: 315–331</w:t>
      </w:r>
    </w:p>
    <w:p w14:paraId="7D104A9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Serrano, S., González-Irusta. J.M., Punzón, A., García-Alegre, A., Lourido, A., Ríos, P., Blanco, M., Gómez-Ballesteros, M, Druet, M., Cristobo, J., Cartes, J.E., 2017. </w:t>
      </w:r>
      <w:r w:rsidRPr="009978E3">
        <w:rPr>
          <w:rFonts w:eastAsia="MS Mincho"/>
          <w:sz w:val="22"/>
          <w:szCs w:val="22"/>
          <w:lang w:val="en-US"/>
        </w:rPr>
        <w:t>Deep-sea benthic habitats modeling and mapping in a NE Atlantic seamount (Galicia Bank). Deep Sea Research Part I: Oceanographic Research Papers, 136: 115-127.</w:t>
      </w:r>
    </w:p>
    <w:p w14:paraId="750A913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Serra-Pereira, B., Erzini, K., Maia, C. &amp; Figueiredo, I. (2014). </w:t>
      </w:r>
      <w:r w:rsidRPr="009978E3">
        <w:rPr>
          <w:rFonts w:eastAsia="MS Mincho"/>
          <w:sz w:val="22"/>
          <w:szCs w:val="22"/>
          <w:lang w:val="en-US"/>
        </w:rPr>
        <w:t xml:space="preserve">Identification of potential essential fish habitats for skates based on fisher’s knowledge. </w:t>
      </w:r>
      <w:r w:rsidRPr="009978E3">
        <w:rPr>
          <w:rFonts w:eastAsia="MS Mincho"/>
          <w:i/>
          <w:sz w:val="22"/>
          <w:szCs w:val="22"/>
          <w:lang w:val="en-US"/>
        </w:rPr>
        <w:t>Environmental management</w:t>
      </w:r>
      <w:r w:rsidRPr="009978E3">
        <w:rPr>
          <w:rFonts w:eastAsia="MS Mincho"/>
          <w:sz w:val="22"/>
          <w:szCs w:val="22"/>
          <w:lang w:val="en-US"/>
        </w:rPr>
        <w:t xml:space="preserve"> 53(5): 985-998..</w:t>
      </w:r>
    </w:p>
    <w:p w14:paraId="3171EFA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Shank, T. (2010) Deep-ocean laboratories of faunal connectivity, evolution, and endemism. </w:t>
      </w:r>
      <w:r w:rsidRPr="009978E3">
        <w:rPr>
          <w:rFonts w:eastAsia="MS Mincho"/>
          <w:i/>
          <w:sz w:val="22"/>
          <w:szCs w:val="22"/>
          <w:lang w:val="en-US"/>
        </w:rPr>
        <w:t>Oceanography</w:t>
      </w:r>
      <w:r w:rsidRPr="009978E3">
        <w:rPr>
          <w:rFonts w:eastAsia="MS Mincho"/>
          <w:sz w:val="22"/>
          <w:szCs w:val="22"/>
          <w:lang w:val="en-US"/>
        </w:rPr>
        <w:t xml:space="preserve"> 23: 108–122.</w:t>
      </w:r>
    </w:p>
    <w:p w14:paraId="7B04B40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Shanmugam, G. (2012). </w:t>
      </w:r>
      <w:r w:rsidRPr="009978E3">
        <w:rPr>
          <w:rFonts w:eastAsia="MS Mincho"/>
          <w:i/>
          <w:sz w:val="22"/>
          <w:szCs w:val="22"/>
          <w:lang w:val="en-US"/>
        </w:rPr>
        <w:t>New perspectives on deep-water sandstones: origin, recognition, initiation, and reservoir quality</w:t>
      </w:r>
      <w:r w:rsidRPr="009978E3">
        <w:rPr>
          <w:rFonts w:eastAsia="MS Mincho"/>
          <w:sz w:val="22"/>
          <w:szCs w:val="22"/>
          <w:lang w:val="en-US"/>
        </w:rPr>
        <w:t>. Handbook of Petroleum Exploration and Production, 9, Elsevier, Amsterdam, 524 pp.</w:t>
      </w:r>
    </w:p>
    <w:p w14:paraId="7E7C991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Shepard, F. &amp; Drill, R. (1966). </w:t>
      </w:r>
      <w:r w:rsidRPr="009978E3">
        <w:rPr>
          <w:rFonts w:eastAsia="MS Mincho"/>
          <w:i/>
          <w:sz w:val="22"/>
          <w:szCs w:val="22"/>
          <w:lang w:val="en-US"/>
        </w:rPr>
        <w:t>Submarine canyons and other sea valleys</w:t>
      </w:r>
      <w:r w:rsidRPr="009978E3">
        <w:rPr>
          <w:rFonts w:eastAsia="MS Mincho"/>
          <w:sz w:val="22"/>
          <w:szCs w:val="22"/>
          <w:lang w:val="en-US"/>
        </w:rPr>
        <w:t>. Rand McNally, Chicago, 381pp.</w:t>
      </w:r>
    </w:p>
    <w:p w14:paraId="0D09C1B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Shepard, F. (1976). </w:t>
      </w:r>
      <w:r w:rsidRPr="009978E3">
        <w:rPr>
          <w:rFonts w:eastAsia="MS Mincho"/>
          <w:i/>
          <w:sz w:val="22"/>
          <w:szCs w:val="22"/>
          <w:lang w:val="en-US"/>
        </w:rPr>
        <w:t>Tidal components of currents in submarine canyons</w:t>
      </w:r>
      <w:r w:rsidRPr="009978E3">
        <w:rPr>
          <w:rFonts w:eastAsia="MS Mincho"/>
          <w:sz w:val="22"/>
          <w:szCs w:val="22"/>
          <w:lang w:val="en-US"/>
        </w:rPr>
        <w:t>. Journal of Geology, 84, 343-350.</w:t>
      </w:r>
    </w:p>
    <w:p w14:paraId="4A59C33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Shepard, F., Marshall, N., McLoughlin, P. &amp; Sullivan, G. (1979). </w:t>
      </w:r>
      <w:r w:rsidRPr="009978E3">
        <w:rPr>
          <w:rFonts w:eastAsia="MS Mincho"/>
          <w:i/>
          <w:sz w:val="22"/>
          <w:szCs w:val="22"/>
          <w:lang w:val="en-US"/>
        </w:rPr>
        <w:t>Currents in submarine canyons and other sea valleys</w:t>
      </w:r>
      <w:r w:rsidRPr="009978E3">
        <w:rPr>
          <w:rFonts w:eastAsia="MS Mincho"/>
          <w:sz w:val="22"/>
          <w:szCs w:val="22"/>
          <w:lang w:val="en-US"/>
        </w:rPr>
        <w:t>. AAPG, Tulsa, Studies in Geology, 8.</w:t>
      </w:r>
    </w:p>
    <w:p w14:paraId="70A36CE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Shepard, R. (1981). Submarine Canyons: Multiple Causes and Long-Time Persistence. </w:t>
      </w:r>
      <w:r w:rsidRPr="009978E3">
        <w:rPr>
          <w:rFonts w:eastAsia="MS Mincho"/>
          <w:i/>
          <w:sz w:val="22"/>
          <w:szCs w:val="22"/>
          <w:lang w:val="en-US"/>
        </w:rPr>
        <w:t>American Association of Petroleum Geologists Bulletin</w:t>
      </w:r>
      <w:r w:rsidRPr="009978E3">
        <w:rPr>
          <w:rFonts w:eastAsia="MS Mincho"/>
          <w:sz w:val="22"/>
          <w:szCs w:val="22"/>
          <w:lang w:val="en-US"/>
        </w:rPr>
        <w:t xml:space="preserve"> 65: 1062–1077.</w:t>
      </w:r>
    </w:p>
    <w:p w14:paraId="4896864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SIMNORAT, 2019. Marine Protected Areas in the Bay of Biscay and Iberian Coasts Database Completion and Analysis. European Commission; Directorate-General for Maritime Affairs and Fisheries</w:t>
      </w:r>
    </w:p>
    <w:p w14:paraId="51AB3FD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Snelgrove, P., Grassle J. &amp; Petrecca R. (1992). </w:t>
      </w:r>
      <w:r w:rsidRPr="009978E3">
        <w:rPr>
          <w:rFonts w:eastAsia="MS Mincho"/>
          <w:sz w:val="22"/>
          <w:szCs w:val="22"/>
          <w:lang w:val="en-US"/>
        </w:rPr>
        <w:t xml:space="preserve">The role of food patches in maintaining high deep-sea diversity: field experiments with hydrodynamically unbiased colonization trays. </w:t>
      </w:r>
      <w:r w:rsidRPr="009978E3">
        <w:rPr>
          <w:rFonts w:eastAsia="MS Mincho"/>
          <w:i/>
          <w:sz w:val="22"/>
          <w:szCs w:val="22"/>
          <w:lang w:val="en-US"/>
        </w:rPr>
        <w:t>Limnology and Oceanography</w:t>
      </w:r>
      <w:r w:rsidRPr="009978E3">
        <w:rPr>
          <w:rFonts w:eastAsia="MS Mincho"/>
          <w:sz w:val="22"/>
          <w:szCs w:val="22"/>
          <w:lang w:val="en-US"/>
        </w:rPr>
        <w:t xml:space="preserve"> 37: 1543–1550.</w:t>
      </w:r>
    </w:p>
    <w:p w14:paraId="31BC1AD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Sobarzo, M., Figueroa, M. &amp; Djurfeldt, L. (2001). Upwelling of subsurface water into the rim of the Biobio submarine canyon as a response to surface winds. </w:t>
      </w:r>
      <w:r w:rsidRPr="009978E3">
        <w:rPr>
          <w:rFonts w:eastAsia="MS Mincho"/>
          <w:i/>
          <w:sz w:val="22"/>
          <w:szCs w:val="22"/>
          <w:lang w:val="en-US"/>
        </w:rPr>
        <w:t>Continental Shelf Research</w:t>
      </w:r>
      <w:r w:rsidRPr="009978E3">
        <w:rPr>
          <w:rFonts w:eastAsia="MS Mincho"/>
          <w:sz w:val="22"/>
          <w:szCs w:val="22"/>
          <w:lang w:val="en-US"/>
        </w:rPr>
        <w:t xml:space="preserve"> 21: 279-299.</w:t>
      </w:r>
    </w:p>
    <w:p w14:paraId="185E120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Solomon, S. (2007). </w:t>
      </w:r>
      <w:r w:rsidRPr="009978E3">
        <w:rPr>
          <w:rFonts w:eastAsia="MS Mincho"/>
          <w:i/>
          <w:sz w:val="22"/>
          <w:szCs w:val="22"/>
          <w:lang w:val="en-US"/>
        </w:rPr>
        <w:t>Climate change 2007-the physical science basis</w:t>
      </w:r>
      <w:r w:rsidRPr="009978E3">
        <w:rPr>
          <w:rFonts w:eastAsia="MS Mincho"/>
          <w:sz w:val="22"/>
          <w:szCs w:val="22"/>
          <w:lang w:val="en-US"/>
        </w:rPr>
        <w:t>, In Working Group I Contribution to the Fourth Assessment Report of the IPCC (Cambridge University Press).</w:t>
      </w:r>
    </w:p>
    <w:p w14:paraId="6BE7712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Sousa, W. (1984). The role of disturbance in natural communities. </w:t>
      </w:r>
      <w:r w:rsidRPr="009978E3">
        <w:rPr>
          <w:rFonts w:eastAsia="MS Mincho"/>
          <w:i/>
          <w:sz w:val="22"/>
          <w:szCs w:val="22"/>
          <w:lang w:val="en-US"/>
        </w:rPr>
        <w:t>Annual Review of Ecology of Ecology and Systematics</w:t>
      </w:r>
      <w:r w:rsidRPr="009978E3">
        <w:rPr>
          <w:rFonts w:eastAsia="MS Mincho"/>
          <w:sz w:val="22"/>
          <w:szCs w:val="22"/>
          <w:lang w:val="en-US"/>
        </w:rPr>
        <w:t xml:space="preserve"> 15: 353–391.</w:t>
      </w:r>
    </w:p>
    <w:p w14:paraId="28ED1613"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pt-PT"/>
        </w:rPr>
        <w:t xml:space="preserve">Souto, J., Reverter-Gil, O., De Blauwe, H. &amp; Fernández-Pulpeiro, E. (2014). </w:t>
      </w:r>
      <w:r w:rsidRPr="009978E3">
        <w:rPr>
          <w:rFonts w:eastAsia="MS Mincho"/>
          <w:sz w:val="22"/>
          <w:szCs w:val="22"/>
          <w:lang w:val="fr-CA"/>
        </w:rPr>
        <w:t xml:space="preserve">New records of bryozoans from Portugal. </w:t>
      </w:r>
      <w:r w:rsidRPr="009978E3">
        <w:rPr>
          <w:rFonts w:eastAsia="MS Mincho"/>
          <w:i/>
          <w:sz w:val="22"/>
          <w:szCs w:val="22"/>
          <w:lang w:val="fr-CA"/>
        </w:rPr>
        <w:t>Cahiers de Biologie Marine</w:t>
      </w:r>
      <w:r w:rsidRPr="009978E3">
        <w:rPr>
          <w:rFonts w:eastAsia="MS Mincho"/>
          <w:sz w:val="22"/>
          <w:szCs w:val="22"/>
          <w:lang w:val="fr-CA"/>
        </w:rPr>
        <w:t xml:space="preserve"> 55(1): 129–150.</w:t>
      </w:r>
    </w:p>
    <w:p w14:paraId="2A74AB3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Spyrakos, E., Santos-Diniz, T.C., Martínez-Iglesias, G., Torres-Palenzuela, J.M., Pierce, G.J., 2011. </w:t>
      </w:r>
      <w:r w:rsidRPr="009978E3">
        <w:rPr>
          <w:rFonts w:eastAsia="MS Mincho"/>
          <w:sz w:val="22"/>
          <w:szCs w:val="22"/>
          <w:lang w:val="en-US"/>
        </w:rPr>
        <w:t>Spatiotemporal patterns of marine mammal distribution in coastal waters of Galicia, NW Spain. Hydrobiologia, 670: 87-109.</w:t>
      </w:r>
    </w:p>
    <w:p w14:paraId="58D8844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Staudigel, H. &amp; Clague, D. (2010). The geological history of deep-sea volcanoes: Biosphere, hydrosphere, and lithosphere interactions</w:t>
      </w:r>
      <w:r w:rsidRPr="009978E3">
        <w:rPr>
          <w:rFonts w:eastAsia="MS Mincho"/>
          <w:i/>
          <w:sz w:val="22"/>
          <w:szCs w:val="22"/>
          <w:lang w:val="en-US"/>
        </w:rPr>
        <w:t>. Oceanography</w:t>
      </w:r>
      <w:r w:rsidRPr="009978E3">
        <w:rPr>
          <w:rFonts w:eastAsia="MS Mincho"/>
          <w:sz w:val="22"/>
          <w:szCs w:val="22"/>
          <w:lang w:val="en-US"/>
        </w:rPr>
        <w:t xml:space="preserve"> 23(1): 58–71.</w:t>
      </w:r>
    </w:p>
    <w:p w14:paraId="0556FC2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Stebbing, A. R. D., S. M. T. Turk, A. Wheeler and K. R. Clarke, 2002. Immigration of southern fish species to south-west England linked to warming of the North Atlantic (1960–2000). J. Mar. Biol. Ass. U.K., 82, 177–180. </w:t>
      </w:r>
    </w:p>
    <w:p w14:paraId="7513F04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Stow, D. &amp; Mayall, M. (2000). Deep-water sedimentary systems: new models for the 21st century. </w:t>
      </w:r>
      <w:r w:rsidRPr="009978E3">
        <w:rPr>
          <w:rFonts w:eastAsia="MS Mincho"/>
          <w:i/>
          <w:sz w:val="22"/>
          <w:szCs w:val="22"/>
          <w:lang w:val="en-US"/>
        </w:rPr>
        <w:t>Marine and Petroleum Geology</w:t>
      </w:r>
      <w:r w:rsidRPr="009978E3">
        <w:rPr>
          <w:rFonts w:eastAsia="MS Mincho"/>
          <w:sz w:val="22"/>
          <w:szCs w:val="22"/>
          <w:lang w:val="en-US"/>
        </w:rPr>
        <w:t xml:space="preserve"> 17(2): 125-135.</w:t>
      </w:r>
    </w:p>
    <w:p w14:paraId="18F6CA8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Stow, D., Hernández-Molina, F., Llave, E., Bruno, M., García, M., Díaz del Río, V., Somoza, L. &amp; Brackenridge, R. (2013). </w:t>
      </w:r>
      <w:r w:rsidRPr="009978E3">
        <w:rPr>
          <w:rFonts w:eastAsia="MS Mincho"/>
          <w:sz w:val="22"/>
          <w:szCs w:val="22"/>
          <w:lang w:val="en-US"/>
        </w:rPr>
        <w:t xml:space="preserve">The Cádiz Contourite Channel: Sandy contourites, bedforms and dynamic current interaction. </w:t>
      </w:r>
      <w:r w:rsidRPr="009978E3">
        <w:rPr>
          <w:rFonts w:eastAsia="MS Mincho"/>
          <w:i/>
          <w:sz w:val="22"/>
          <w:szCs w:val="22"/>
          <w:lang w:val="en-US"/>
        </w:rPr>
        <w:t>Marine Geology</w:t>
      </w:r>
      <w:r w:rsidRPr="009978E3">
        <w:rPr>
          <w:rFonts w:eastAsia="MS Mincho"/>
          <w:sz w:val="22"/>
          <w:szCs w:val="22"/>
          <w:lang w:val="en-US"/>
        </w:rPr>
        <w:t xml:space="preserve"> 343: 99-114.</w:t>
      </w:r>
    </w:p>
    <w:p w14:paraId="4EC3C5E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Tabachnick, K. &amp; Menchenina, L. (2007). Revision of the genus Asconema (Porifera: Hexactinellida: Rossellidae</w:t>
      </w:r>
      <w:r w:rsidRPr="009978E3">
        <w:rPr>
          <w:rFonts w:eastAsia="MS Mincho"/>
          <w:i/>
          <w:sz w:val="22"/>
          <w:szCs w:val="22"/>
          <w:lang w:val="en-US"/>
        </w:rPr>
        <w:t>). Journal of the Marine Biological Association of the UK</w:t>
      </w:r>
      <w:r w:rsidRPr="009978E3">
        <w:rPr>
          <w:rFonts w:eastAsia="MS Mincho"/>
          <w:sz w:val="22"/>
          <w:szCs w:val="22"/>
          <w:lang w:val="en-US"/>
        </w:rPr>
        <w:t xml:space="preserve"> 87: 1403–1429.</w:t>
      </w:r>
    </w:p>
    <w:p w14:paraId="478BFF3E" w14:textId="77777777" w:rsidR="006B3F46" w:rsidRPr="009978E3" w:rsidRDefault="006B3F46" w:rsidP="00907941">
      <w:pPr>
        <w:ind w:left="567" w:hanging="567"/>
        <w:jc w:val="both"/>
        <w:rPr>
          <w:rFonts w:eastAsia="MS Mincho"/>
          <w:sz w:val="22"/>
          <w:szCs w:val="22"/>
          <w:lang w:val="es-ES"/>
        </w:rPr>
      </w:pPr>
      <w:r w:rsidRPr="009978E3">
        <w:rPr>
          <w:rFonts w:eastAsia="MS Mincho"/>
          <w:sz w:val="22"/>
          <w:szCs w:val="22"/>
          <w:lang w:val="es-ES"/>
        </w:rPr>
        <w:t>Tenore, K. R., M. T. Alvarez-Ossorio, L. P. Atkinson, J. M. Cabanas, R. M. Cal, M. J. Campos, F. Castillejo, E. J. Chesney, N. Gonzalez, R. B. Hanson, C. R. McLain, A. Miranda, M. Noval, M. R. Roman, J. Sanchez, G. Santiago, L. Valdes, M. Varela and J. Yoder. 1995. Fisheries and oceanography off Galicia, NW Spain: Mesoscale spatial and temporal changes in physical processes and resultant patterns of biological productivity. Journal of Geophysical Research, Vol 100: 10,943-10,966</w:t>
      </w:r>
    </w:p>
    <w:p w14:paraId="60CBBC92"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pt-PT"/>
        </w:rPr>
        <w:t xml:space="preserve">Terrinha, P., Matias, L., Vicente, J., Duarte, J., Luís, J., Pinheiro, L., Víctor, L. (2009). </w:t>
      </w:r>
      <w:r w:rsidRPr="009978E3">
        <w:rPr>
          <w:rFonts w:eastAsia="MS Mincho"/>
          <w:sz w:val="22"/>
          <w:szCs w:val="22"/>
          <w:lang w:val="en-US"/>
        </w:rPr>
        <w:t xml:space="preserve">Morphotectonics and strain partitioning at the Iberia-Africa plate boundary from multibeam and seismic reflection data. </w:t>
      </w:r>
      <w:r w:rsidRPr="009978E3">
        <w:rPr>
          <w:rFonts w:eastAsia="MS Mincho"/>
          <w:i/>
          <w:sz w:val="22"/>
          <w:szCs w:val="22"/>
          <w:lang w:val="pt-PT"/>
        </w:rPr>
        <w:t>Marine Geology</w:t>
      </w:r>
      <w:r w:rsidRPr="009978E3">
        <w:rPr>
          <w:rFonts w:eastAsia="MS Mincho"/>
          <w:sz w:val="22"/>
          <w:szCs w:val="22"/>
          <w:lang w:val="pt-PT"/>
        </w:rPr>
        <w:t xml:space="preserve"> 267(3–4): 156–174. </w:t>
      </w:r>
    </w:p>
    <w:p w14:paraId="030E1F15"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Terrinha, P., Pinheiro, L, Henriet, J., Matias, L., Ivanov, M., Monteiro, J., Akhmetzhanov, A., Volkonskaya, A., Cunha, T., Shaskin, P. &amp; Rovere, M. (2003). </w:t>
      </w:r>
      <w:r w:rsidRPr="009978E3">
        <w:rPr>
          <w:rFonts w:eastAsia="MS Mincho"/>
          <w:sz w:val="22"/>
          <w:szCs w:val="22"/>
          <w:lang w:val="en-US"/>
        </w:rPr>
        <w:t xml:space="preserve">Tsunamigenic-seismogenic structures, neotectonics, sedimentary processes and slope instability on the southwest Portuguese margin. </w:t>
      </w:r>
      <w:r w:rsidRPr="009978E3">
        <w:rPr>
          <w:rFonts w:eastAsia="MS Mincho"/>
          <w:i/>
          <w:sz w:val="22"/>
          <w:szCs w:val="22"/>
          <w:lang w:val="en-US"/>
        </w:rPr>
        <w:t>Marine Geology</w:t>
      </w:r>
      <w:r w:rsidRPr="009978E3">
        <w:rPr>
          <w:rFonts w:eastAsia="MS Mincho"/>
          <w:sz w:val="22"/>
          <w:szCs w:val="22"/>
          <w:lang w:val="en-US"/>
        </w:rPr>
        <w:t xml:space="preserve"> 195: 55–73.</w:t>
      </w:r>
    </w:p>
    <w:p w14:paraId="4FCB2DA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Thurber, A., Sweetman, A., Narayanaswamy, B., Jones, D., Ingels, J. &amp; Hansman, R. (2014). Ecosystem function and services provided by the deep sea. </w:t>
      </w:r>
      <w:r w:rsidRPr="009978E3">
        <w:rPr>
          <w:rFonts w:eastAsia="MS Mincho"/>
          <w:i/>
          <w:sz w:val="22"/>
          <w:szCs w:val="22"/>
          <w:lang w:val="en-US"/>
        </w:rPr>
        <w:t>Biogeosciences</w:t>
      </w:r>
      <w:r w:rsidRPr="009978E3">
        <w:rPr>
          <w:rFonts w:eastAsia="MS Mincho"/>
          <w:sz w:val="22"/>
          <w:szCs w:val="22"/>
          <w:lang w:val="en-US"/>
        </w:rPr>
        <w:t xml:space="preserve"> 11(14): 3941-3963.</w:t>
      </w:r>
    </w:p>
    <w:p w14:paraId="40A2AB39"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Thurnherr, A. (2006). Diapycnal mixing associated with an overflow in a deep submarine canyon. </w:t>
      </w:r>
      <w:r w:rsidRPr="009978E3">
        <w:rPr>
          <w:rFonts w:eastAsia="MS Mincho"/>
          <w:i/>
          <w:sz w:val="22"/>
          <w:szCs w:val="22"/>
          <w:lang w:val="en-US"/>
        </w:rPr>
        <w:t>Deep-Sea Research II</w:t>
      </w:r>
      <w:r w:rsidRPr="009978E3">
        <w:rPr>
          <w:rFonts w:eastAsia="MS Mincho"/>
          <w:sz w:val="22"/>
          <w:szCs w:val="22"/>
          <w:lang w:val="en-US"/>
        </w:rPr>
        <w:t xml:space="preserve"> 53: 194-206.</w:t>
      </w:r>
    </w:p>
    <w:p w14:paraId="3B8F6E7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Toucanne, S., Zaragosi, S., Bourillet, J., Cremer, M., Eynaud, F., Van Vliet-Lanoë, B., Penaud, A., Fontanier, C., Turon, J., Cortijo, E. &amp; Gibbard, P. (2009). Timing of massive 'Fleuve Manche' discharges over the last 350 kyr: insights into the European ice-sheet oscillations and the European drainage network from MIS 10 to 2. </w:t>
      </w:r>
      <w:r w:rsidRPr="009978E3">
        <w:rPr>
          <w:rFonts w:eastAsia="MS Mincho"/>
          <w:i/>
          <w:sz w:val="22"/>
          <w:szCs w:val="22"/>
          <w:lang w:val="en-US"/>
        </w:rPr>
        <w:t>Quaternary Science Reviews</w:t>
      </w:r>
      <w:r w:rsidRPr="009978E3">
        <w:rPr>
          <w:rFonts w:eastAsia="MS Mincho"/>
          <w:sz w:val="22"/>
          <w:szCs w:val="22"/>
          <w:lang w:val="en-US"/>
        </w:rPr>
        <w:t>, 28(13-14): 1238-1256.</w:t>
      </w:r>
    </w:p>
    <w:p w14:paraId="088EA7E0"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Tubau, X., Canals, M., Lastras, G., Rayo, X., Rivera, J. &amp; Amblas, D. (2015). Marine litter on the floor of deep submarine canyons of the Northwestern Mediterranean Sea: the role of hydrodynamic processes. </w:t>
      </w:r>
      <w:r w:rsidRPr="009978E3">
        <w:rPr>
          <w:rFonts w:eastAsia="MS Mincho"/>
          <w:i/>
          <w:sz w:val="22"/>
          <w:szCs w:val="22"/>
          <w:lang w:val="en-US"/>
        </w:rPr>
        <w:t>Progress in Oceanography</w:t>
      </w:r>
      <w:r w:rsidRPr="009978E3">
        <w:rPr>
          <w:rFonts w:eastAsia="MS Mincho"/>
          <w:sz w:val="22"/>
          <w:szCs w:val="22"/>
          <w:lang w:val="en-US"/>
        </w:rPr>
        <w:t xml:space="preserve"> 134: 379–403.</w:t>
      </w:r>
    </w:p>
    <w:p w14:paraId="63CAF68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Tuya, F., Cacabelos, E., Duarte, P., Jacinto, D., Castro, J., Silva, T. &amp; Wernberg, T. (2012). Patterns of landscape and assemblage structure along a latitudinal gradient in ocean climate. </w:t>
      </w:r>
      <w:r w:rsidRPr="009978E3">
        <w:rPr>
          <w:rFonts w:eastAsia="MS Mincho"/>
          <w:i/>
          <w:sz w:val="22"/>
          <w:szCs w:val="22"/>
          <w:lang w:val="en-US"/>
        </w:rPr>
        <w:t>Marine Ecology Progress Series</w:t>
      </w:r>
      <w:r w:rsidRPr="009978E3">
        <w:rPr>
          <w:rFonts w:eastAsia="MS Mincho"/>
          <w:sz w:val="22"/>
          <w:szCs w:val="22"/>
          <w:lang w:val="en-US"/>
        </w:rPr>
        <w:t>, 466: 9–19.</w:t>
      </w:r>
    </w:p>
    <w:p w14:paraId="7C60245B"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Tyler ,P., Amaro, T., Arzola, R., Cunha, M., deStigter, H., Gooday, A., Huvenne, V., Ingels, J., Kiriakoulakis, K., Lastras, G., Masson, D., Oliveira, A., Pattenden, A., Vanreusel, A., VanWeering, T., Vitorino, J., Witte, U. &amp; Wolff, G. (2009). </w:t>
      </w:r>
      <w:r w:rsidRPr="009978E3">
        <w:rPr>
          <w:rFonts w:eastAsia="MS Mincho"/>
          <w:sz w:val="22"/>
          <w:szCs w:val="22"/>
          <w:lang w:val="fr-CA"/>
        </w:rPr>
        <w:t xml:space="preserve">Europe’s Grand Canyon: Nazaré submarine canyon. </w:t>
      </w:r>
      <w:r w:rsidRPr="009978E3">
        <w:rPr>
          <w:rFonts w:eastAsia="MS Mincho"/>
          <w:i/>
          <w:sz w:val="22"/>
          <w:szCs w:val="22"/>
          <w:lang w:val="fr-CA"/>
        </w:rPr>
        <w:t>Oceanography</w:t>
      </w:r>
      <w:r w:rsidRPr="009978E3">
        <w:rPr>
          <w:rFonts w:eastAsia="MS Mincho"/>
          <w:sz w:val="22"/>
          <w:szCs w:val="22"/>
          <w:lang w:val="fr-CA"/>
        </w:rPr>
        <w:t xml:space="preserve"> 22: 46–57.</w:t>
      </w:r>
    </w:p>
    <w:p w14:paraId="0F5FA14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Uiblein, F., Lorance, P. &amp; Latroite, D. (2003). </w:t>
      </w:r>
      <w:r w:rsidRPr="009978E3">
        <w:rPr>
          <w:rFonts w:eastAsia="MS Mincho"/>
          <w:sz w:val="22"/>
          <w:szCs w:val="22"/>
          <w:lang w:val="en-US"/>
        </w:rPr>
        <w:t xml:space="preserve">Behaviour and habitat utilization of seven demersal fish species on the Bay of Biscay continental slope, NE Atlantic. </w:t>
      </w:r>
      <w:r w:rsidRPr="009978E3">
        <w:rPr>
          <w:rFonts w:eastAsia="MS Mincho"/>
          <w:i/>
          <w:sz w:val="22"/>
          <w:szCs w:val="22"/>
          <w:lang w:val="en-US"/>
        </w:rPr>
        <w:t>Marine Ecology Progress Series</w:t>
      </w:r>
      <w:r w:rsidRPr="009978E3">
        <w:rPr>
          <w:rFonts w:eastAsia="MS Mincho"/>
          <w:sz w:val="22"/>
          <w:szCs w:val="22"/>
          <w:lang w:val="en-US"/>
        </w:rPr>
        <w:t xml:space="preserve"> 257: 223–232.</w:t>
      </w:r>
    </w:p>
    <w:p w14:paraId="62BC1D0D"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Valadares, V. (2012) – </w:t>
      </w:r>
      <w:r w:rsidRPr="009978E3">
        <w:rPr>
          <w:rFonts w:eastAsia="MS Mincho"/>
          <w:i/>
          <w:sz w:val="22"/>
          <w:szCs w:val="22"/>
          <w:lang w:val="en-US"/>
        </w:rPr>
        <w:t>The morphotectonics offshore Southwest Iberia and the origin of the South Portuguese submarine canyons</w:t>
      </w:r>
      <w:r w:rsidRPr="009978E3">
        <w:rPr>
          <w:rFonts w:eastAsia="MS Mincho"/>
          <w:sz w:val="22"/>
          <w:szCs w:val="22"/>
          <w:lang w:val="en-US"/>
        </w:rPr>
        <w:t xml:space="preserve">. </w:t>
      </w:r>
      <w:r w:rsidRPr="009978E3">
        <w:rPr>
          <w:rFonts w:eastAsia="MS Mincho"/>
          <w:sz w:val="22"/>
          <w:szCs w:val="22"/>
          <w:lang w:val="pt-PT"/>
        </w:rPr>
        <w:t>PhD thesis, Universidade de Lisboa, Lisboa, 346 pp.</w:t>
      </w:r>
    </w:p>
    <w:p w14:paraId="65B3754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Valadares, V., Roque C. &amp; Terrinha P. (2009). </w:t>
      </w:r>
      <w:r w:rsidRPr="009978E3">
        <w:rPr>
          <w:rFonts w:eastAsia="MS Mincho"/>
          <w:sz w:val="22"/>
          <w:szCs w:val="22"/>
          <w:lang w:val="en-US"/>
        </w:rPr>
        <w:t xml:space="preserve">Tectonic control and mass-wasting processes along S. Vicente Canyon (SW Iberia): evidences from multibeam bathymetry and seismic reflection data. </w:t>
      </w:r>
      <w:r w:rsidRPr="009978E3">
        <w:rPr>
          <w:rFonts w:eastAsia="MS Mincho"/>
          <w:i/>
          <w:sz w:val="22"/>
          <w:szCs w:val="22"/>
          <w:lang w:val="en-US"/>
        </w:rPr>
        <w:t>Geophysical Research Abstracts</w:t>
      </w:r>
      <w:r w:rsidRPr="009978E3">
        <w:rPr>
          <w:rFonts w:eastAsia="MS Mincho"/>
          <w:sz w:val="22"/>
          <w:szCs w:val="22"/>
          <w:lang w:val="en-US"/>
        </w:rPr>
        <w:t>, 11: 12685-12685.</w:t>
      </w:r>
    </w:p>
    <w:p w14:paraId="30A6304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Valdés, L. and A. Lavín, 2002. Dynamics and human impact in the Bay of Biscay: An ecological perspective. In Large Marine Ecosystems of the North Atlantic: Changing States and Sustainability. K. Shermann and H.R. Skjoldal (ed.). Elsevier Science B.V., Amsterdam, 293–320.</w:t>
      </w:r>
    </w:p>
    <w:p w14:paraId="729702AF"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en-US"/>
        </w:rPr>
        <w:t xml:space="preserve">Van den Hove, S. &amp; Moreau, V. (2007) </w:t>
      </w:r>
      <w:r w:rsidRPr="009978E3">
        <w:rPr>
          <w:rFonts w:eastAsia="MS Mincho"/>
          <w:i/>
          <w:sz w:val="22"/>
          <w:szCs w:val="22"/>
          <w:lang w:val="en-US"/>
        </w:rPr>
        <w:t>Ecosystems and Biodiversity in Deep Waters and High Seas: A scoping report on their socio-economy, management and governance</w:t>
      </w:r>
      <w:r w:rsidRPr="009978E3">
        <w:rPr>
          <w:rFonts w:eastAsia="MS Mincho"/>
          <w:sz w:val="22"/>
          <w:szCs w:val="22"/>
          <w:lang w:val="en-US"/>
        </w:rPr>
        <w:t xml:space="preserve">. </w:t>
      </w:r>
      <w:r w:rsidRPr="009978E3">
        <w:rPr>
          <w:rFonts w:eastAsia="MS Mincho"/>
          <w:sz w:val="22"/>
          <w:szCs w:val="22"/>
          <w:lang w:val="nl-NL"/>
        </w:rPr>
        <w:t>Switzerland: UNEP-WCMC. 84 pp.</w:t>
      </w:r>
    </w:p>
    <w:p w14:paraId="264EED2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Van Rooij, D., De Mol, L., Le Guilloux, E., Wisshak, M., Huvenne, V., Moeremans, R. &amp; Henriet, J. (2010). </w:t>
      </w:r>
      <w:r w:rsidRPr="009978E3">
        <w:rPr>
          <w:rFonts w:eastAsia="MS Mincho"/>
          <w:sz w:val="22"/>
          <w:szCs w:val="22"/>
          <w:lang w:val="en-US"/>
        </w:rPr>
        <w:t xml:space="preserve">Environmental setting of deep-water oysters in the Bay of Biscay. </w:t>
      </w:r>
      <w:r w:rsidRPr="009978E3">
        <w:rPr>
          <w:rFonts w:eastAsia="MS Mincho"/>
          <w:i/>
          <w:sz w:val="22"/>
          <w:szCs w:val="22"/>
          <w:lang w:val="en-US"/>
        </w:rPr>
        <w:t>Deep-Sea Research Part I: Oceanographic Research Papers</w:t>
      </w:r>
      <w:r w:rsidRPr="009978E3">
        <w:rPr>
          <w:rFonts w:eastAsia="MS Mincho"/>
          <w:sz w:val="22"/>
          <w:szCs w:val="22"/>
          <w:lang w:val="en-US"/>
        </w:rPr>
        <w:t xml:space="preserve"> 57(12): 1561–1572. </w:t>
      </w:r>
    </w:p>
    <w:p w14:paraId="3CEDF66C"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Van Weering, T., de Stigter, H., Balzer, W., Epping, E., Graf, G., Hall, I., Helder, W., Khripounoff, A., Lohse, L., McCave, I., Thomsen, L. &amp; Vangriesheim, A. (2001). </w:t>
      </w:r>
      <w:r w:rsidRPr="009978E3">
        <w:rPr>
          <w:rFonts w:eastAsia="MS Mincho"/>
          <w:sz w:val="22"/>
          <w:szCs w:val="22"/>
          <w:lang w:val="en-US"/>
        </w:rPr>
        <w:t xml:space="preserve">Benthic dynamics and carbon fluxes on the NW European continental margin. </w:t>
      </w:r>
      <w:r w:rsidRPr="009978E3">
        <w:rPr>
          <w:rFonts w:eastAsia="MS Mincho"/>
          <w:i/>
          <w:sz w:val="22"/>
          <w:szCs w:val="22"/>
          <w:lang w:val="en-US"/>
        </w:rPr>
        <w:t>Deep Sea Research Part II: Topical Studies in Oceanography</w:t>
      </w:r>
      <w:r w:rsidRPr="009978E3">
        <w:rPr>
          <w:rFonts w:eastAsia="MS Mincho"/>
          <w:sz w:val="22"/>
          <w:szCs w:val="22"/>
          <w:lang w:val="en-US"/>
        </w:rPr>
        <w:t xml:space="preserve"> 48(14-15): 3191-3221.</w:t>
      </w:r>
    </w:p>
    <w:p w14:paraId="1013589E" w14:textId="77777777" w:rsidR="006B3F46" w:rsidRPr="009978E3" w:rsidRDefault="006B3F46" w:rsidP="00907941">
      <w:pPr>
        <w:ind w:left="567" w:hanging="567"/>
        <w:jc w:val="both"/>
        <w:rPr>
          <w:rFonts w:eastAsia="MS Mincho"/>
          <w:sz w:val="22"/>
          <w:szCs w:val="22"/>
          <w:lang w:val="nl-NL"/>
        </w:rPr>
      </w:pPr>
      <w:r w:rsidRPr="009978E3">
        <w:rPr>
          <w:rFonts w:eastAsia="MS Mincho"/>
          <w:sz w:val="22"/>
          <w:szCs w:val="22"/>
          <w:lang w:val="nl-NL"/>
        </w:rPr>
        <w:t xml:space="preserve">Van Weering, T., de Stigter, H., Boer W. &amp; de Haas H. (2002). </w:t>
      </w:r>
      <w:r w:rsidRPr="009978E3">
        <w:rPr>
          <w:rFonts w:eastAsia="MS Mincho"/>
          <w:sz w:val="22"/>
          <w:szCs w:val="22"/>
          <w:lang w:val="en-US"/>
        </w:rPr>
        <w:t xml:space="preserve">Recent sediment transport and accumulation on the NW Iberian margin. </w:t>
      </w:r>
      <w:r w:rsidRPr="009978E3">
        <w:rPr>
          <w:rFonts w:eastAsia="MS Mincho"/>
          <w:i/>
          <w:sz w:val="22"/>
          <w:szCs w:val="22"/>
          <w:lang w:val="nl-NL"/>
        </w:rPr>
        <w:t>Progress in Oceanography</w:t>
      </w:r>
      <w:r w:rsidRPr="009978E3">
        <w:rPr>
          <w:rFonts w:eastAsia="MS Mincho"/>
          <w:sz w:val="22"/>
          <w:szCs w:val="22"/>
          <w:lang w:val="nl-NL"/>
        </w:rPr>
        <w:t xml:space="preserve"> 52(2-4): 349-371.</w:t>
      </w:r>
    </w:p>
    <w:p w14:paraId="513B4E89"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fr-CA"/>
        </w:rPr>
        <w:t xml:space="preserve">Vanney, J. &amp; Mougenot, D. (1981). La plate-forme continentale du Portugal et les provinces adjacentes: Analyse Geomorphologique. </w:t>
      </w:r>
      <w:r w:rsidRPr="009978E3">
        <w:rPr>
          <w:rFonts w:eastAsia="MS Mincho"/>
          <w:i/>
          <w:sz w:val="22"/>
          <w:szCs w:val="22"/>
          <w:lang w:val="pt-PT"/>
        </w:rPr>
        <w:t>Serviços Geologicos Portugal</w:t>
      </w:r>
      <w:r w:rsidRPr="009978E3">
        <w:rPr>
          <w:rFonts w:eastAsia="MS Mincho"/>
          <w:sz w:val="22"/>
          <w:szCs w:val="22"/>
          <w:lang w:val="pt-PT"/>
        </w:rPr>
        <w:t xml:space="preserve"> 28: 145 pp.</w:t>
      </w:r>
    </w:p>
    <w:p w14:paraId="6B40ACE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Vanney, J. &amp; Mougenot, D. (1990). Un canyon sous-marin du type “gouf”: le Canhão da Nazaré (Portugal). </w:t>
      </w:r>
      <w:r w:rsidRPr="009978E3">
        <w:rPr>
          <w:rFonts w:eastAsia="MS Mincho"/>
          <w:i/>
          <w:sz w:val="22"/>
          <w:szCs w:val="22"/>
          <w:lang w:val="en-US"/>
        </w:rPr>
        <w:t>Oceanologica Acta</w:t>
      </w:r>
      <w:r w:rsidRPr="009978E3">
        <w:rPr>
          <w:rFonts w:eastAsia="MS Mincho"/>
          <w:sz w:val="22"/>
          <w:szCs w:val="22"/>
          <w:lang w:val="en-US"/>
        </w:rPr>
        <w:t xml:space="preserve"> 13: 13 – 14.</w:t>
      </w:r>
    </w:p>
    <w:p w14:paraId="2B359FD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Varela M. (1992). Upwelling and phytoplankton ecology in Galician (NW Spain) rías and shelf waters. Bol. Inst. Esp. Oceanogr, 8, 57–74.</w:t>
      </w:r>
    </w:p>
    <w:p w14:paraId="4341BC12"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Vetter, E. &amp; Dayton, P. (1998). Macrofaunal communities within and adjacent to a detritus-rich submarine canyon system. </w:t>
      </w:r>
      <w:r w:rsidRPr="009978E3">
        <w:rPr>
          <w:rFonts w:eastAsia="MS Mincho"/>
          <w:i/>
          <w:sz w:val="22"/>
          <w:szCs w:val="22"/>
          <w:lang w:val="en-US"/>
        </w:rPr>
        <w:t>Deep-Sea Research</w:t>
      </w:r>
      <w:r w:rsidRPr="009978E3">
        <w:rPr>
          <w:rFonts w:eastAsia="MS Mincho"/>
          <w:sz w:val="22"/>
          <w:szCs w:val="22"/>
          <w:lang w:val="en-US"/>
        </w:rPr>
        <w:t xml:space="preserve"> 45: 25–54.</w:t>
      </w:r>
    </w:p>
    <w:p w14:paraId="4BD8C486"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Vetter, E. &amp; Dayton, P. (1998). Macrofaunal communities within and adjacent to a detritus-rich submarine canyon system. </w:t>
      </w:r>
      <w:r w:rsidRPr="009978E3">
        <w:rPr>
          <w:rFonts w:eastAsia="MS Mincho"/>
          <w:i/>
          <w:sz w:val="22"/>
          <w:szCs w:val="22"/>
          <w:lang w:val="en-US"/>
        </w:rPr>
        <w:t>Deep Sea Res. II</w:t>
      </w:r>
      <w:r w:rsidRPr="009978E3">
        <w:rPr>
          <w:rFonts w:eastAsia="MS Mincho"/>
          <w:sz w:val="22"/>
          <w:szCs w:val="22"/>
          <w:lang w:val="en-US"/>
        </w:rPr>
        <w:t xml:space="preserve"> 45: 25–54. </w:t>
      </w:r>
    </w:p>
    <w:p w14:paraId="55F8152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Vetter, E. &amp; Dayton, P. (1999). Organic enrichment by macrophyte detritus, and abundance patterns of megafaunal populations in submarine canyons. </w:t>
      </w:r>
      <w:r w:rsidRPr="009978E3">
        <w:rPr>
          <w:rFonts w:eastAsia="MS Mincho"/>
          <w:i/>
          <w:sz w:val="22"/>
          <w:szCs w:val="22"/>
          <w:lang w:val="en-US"/>
        </w:rPr>
        <w:t>Marine Ecology Progress Series</w:t>
      </w:r>
      <w:r w:rsidRPr="009978E3">
        <w:rPr>
          <w:rFonts w:eastAsia="MS Mincho"/>
          <w:sz w:val="22"/>
          <w:szCs w:val="22"/>
          <w:lang w:val="en-US"/>
        </w:rPr>
        <w:t xml:space="preserve"> 186: 137-148.</w:t>
      </w:r>
    </w:p>
    <w:p w14:paraId="2951710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Vetter, E. (1994). Hot spots of benthic production. </w:t>
      </w:r>
      <w:r w:rsidRPr="009978E3">
        <w:rPr>
          <w:rFonts w:eastAsia="MS Mincho"/>
          <w:i/>
          <w:sz w:val="22"/>
          <w:szCs w:val="22"/>
          <w:lang w:val="en-US"/>
        </w:rPr>
        <w:t>Nature</w:t>
      </w:r>
      <w:r w:rsidRPr="009978E3">
        <w:rPr>
          <w:rFonts w:eastAsia="MS Mincho"/>
          <w:sz w:val="22"/>
          <w:szCs w:val="22"/>
          <w:lang w:val="en-US"/>
        </w:rPr>
        <w:t xml:space="preserve"> 372, 47.</w:t>
      </w:r>
    </w:p>
    <w:p w14:paraId="346937C3"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Vetter, E. (1995). Detritus-based patches of high secondary production in the nearshore benthos. </w:t>
      </w:r>
      <w:r w:rsidRPr="009978E3">
        <w:rPr>
          <w:rFonts w:eastAsia="MS Mincho"/>
          <w:i/>
          <w:sz w:val="22"/>
          <w:szCs w:val="22"/>
          <w:lang w:val="en-US"/>
        </w:rPr>
        <w:t>Marine Ecology Progress Series</w:t>
      </w:r>
      <w:r w:rsidRPr="009978E3">
        <w:rPr>
          <w:rFonts w:eastAsia="MS Mincho"/>
          <w:sz w:val="22"/>
          <w:szCs w:val="22"/>
          <w:lang w:val="en-US"/>
        </w:rPr>
        <w:t xml:space="preserve"> 120: 251–262. </w:t>
      </w:r>
    </w:p>
    <w:p w14:paraId="438D0C1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Vetter, E., Smith, C. &amp; De Leo, F. (2010). Hawaiian hotspots: enhanced mega-faunal abundance and diversity in submarine canyons on the oceanic islands of Hawaii. </w:t>
      </w:r>
      <w:r w:rsidRPr="009978E3">
        <w:rPr>
          <w:rFonts w:eastAsia="MS Mincho"/>
          <w:i/>
          <w:sz w:val="22"/>
          <w:szCs w:val="22"/>
          <w:lang w:val="en-US"/>
        </w:rPr>
        <w:t>Marine Ecology</w:t>
      </w:r>
      <w:r w:rsidRPr="009978E3">
        <w:rPr>
          <w:rFonts w:eastAsia="MS Mincho"/>
          <w:sz w:val="22"/>
          <w:szCs w:val="22"/>
          <w:lang w:val="en-US"/>
        </w:rPr>
        <w:t xml:space="preserve"> 31: 183–199.</w:t>
      </w:r>
    </w:p>
    <w:p w14:paraId="1516409A" w14:textId="77777777" w:rsidR="006B3F46" w:rsidRPr="009978E3" w:rsidRDefault="006B3F46" w:rsidP="00907941">
      <w:pPr>
        <w:ind w:left="567" w:hanging="567"/>
        <w:jc w:val="both"/>
        <w:rPr>
          <w:rFonts w:eastAsia="MS Mincho"/>
          <w:sz w:val="22"/>
          <w:szCs w:val="22"/>
          <w:lang w:val="pt-PT"/>
        </w:rPr>
      </w:pPr>
      <w:r w:rsidRPr="009978E3">
        <w:rPr>
          <w:rFonts w:eastAsia="MS Mincho"/>
          <w:sz w:val="22"/>
          <w:szCs w:val="22"/>
          <w:lang w:val="en-US"/>
        </w:rPr>
        <w:t xml:space="preserve">Viana, A., Faugères, J. &amp; Stow, D. (1998). Bottom current controlled sand deposits: A review from modern shallow to deep water environments. </w:t>
      </w:r>
      <w:r w:rsidRPr="009978E3">
        <w:rPr>
          <w:rFonts w:eastAsia="MS Mincho"/>
          <w:i/>
          <w:sz w:val="22"/>
          <w:szCs w:val="22"/>
          <w:lang w:val="pt-PT"/>
        </w:rPr>
        <w:t>Sedimentary Geology</w:t>
      </w:r>
      <w:r w:rsidRPr="009978E3">
        <w:rPr>
          <w:rFonts w:eastAsia="MS Mincho"/>
          <w:sz w:val="22"/>
          <w:szCs w:val="22"/>
          <w:lang w:val="pt-PT"/>
        </w:rPr>
        <w:t>, 115: 53-80.</w:t>
      </w:r>
    </w:p>
    <w:p w14:paraId="11B910C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pt-PT"/>
        </w:rPr>
        <w:t xml:space="preserve">Vitorino, J., Oliveira, A., Jouanneau, J. &amp; Drago, T. (2002). </w:t>
      </w:r>
      <w:r w:rsidRPr="009978E3">
        <w:rPr>
          <w:rFonts w:eastAsia="MS Mincho"/>
          <w:sz w:val="22"/>
          <w:szCs w:val="22"/>
          <w:lang w:val="en-US"/>
        </w:rPr>
        <w:t xml:space="preserve">Winter dynamics on the northern Portuguese shelf. Part 2: bottom boundary layers and sediment dispersal. </w:t>
      </w:r>
      <w:r w:rsidRPr="009978E3">
        <w:rPr>
          <w:rFonts w:eastAsia="MS Mincho"/>
          <w:i/>
          <w:sz w:val="22"/>
          <w:szCs w:val="22"/>
          <w:lang w:val="en-US"/>
        </w:rPr>
        <w:t>Progress in Oceanography</w:t>
      </w:r>
      <w:r w:rsidRPr="009978E3">
        <w:rPr>
          <w:rFonts w:eastAsia="MS Mincho"/>
          <w:sz w:val="22"/>
          <w:szCs w:val="22"/>
          <w:lang w:val="en-US"/>
        </w:rPr>
        <w:t xml:space="preserve"> 52: 155 – 170.</w:t>
      </w:r>
    </w:p>
    <w:p w14:paraId="03C5DBB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Watters, D., Yoklavich, M., Love, M. &amp; Schrodeder, D. (2010). Assessing marine debris in deep seafloor habitats off California. </w:t>
      </w:r>
      <w:r w:rsidRPr="009978E3">
        <w:rPr>
          <w:rFonts w:eastAsia="MS Mincho"/>
          <w:i/>
          <w:sz w:val="22"/>
          <w:szCs w:val="22"/>
          <w:lang w:val="en-US"/>
        </w:rPr>
        <w:t>Marine Pollution Bulletin</w:t>
      </w:r>
      <w:r w:rsidRPr="009978E3">
        <w:rPr>
          <w:rFonts w:eastAsia="MS Mincho"/>
          <w:sz w:val="22"/>
          <w:szCs w:val="22"/>
          <w:lang w:val="en-US"/>
        </w:rPr>
        <w:t xml:space="preserve"> 60. 131–139.</w:t>
      </w:r>
    </w:p>
    <w:p w14:paraId="588BD10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Weaver, P., Billett, D., Boetius, A., Danovaro, R., Freiwald, A, Sibuet, M., (2004). Hotspot ecosystems research on Europes deep-ocean margins</w:t>
      </w:r>
      <w:r w:rsidRPr="009978E3">
        <w:rPr>
          <w:rFonts w:eastAsia="MS Mincho"/>
          <w:i/>
          <w:sz w:val="22"/>
          <w:szCs w:val="22"/>
          <w:lang w:val="en-US"/>
        </w:rPr>
        <w:t>. Oceanography</w:t>
      </w:r>
      <w:r w:rsidRPr="009978E3">
        <w:rPr>
          <w:rFonts w:eastAsia="MS Mincho"/>
          <w:sz w:val="22"/>
          <w:szCs w:val="22"/>
          <w:lang w:val="en-US"/>
        </w:rPr>
        <w:t xml:space="preserve"> 17: 132–143.</w:t>
      </w:r>
    </w:p>
    <w:p w14:paraId="06DDEA0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Weaver, P., Wynn, R., Kenyon, N., Evans, J. (2000). Continental margin sedimentation, with special reference to the north-east Atlantic margin. </w:t>
      </w:r>
      <w:r w:rsidRPr="009978E3">
        <w:rPr>
          <w:rFonts w:eastAsia="MS Mincho"/>
          <w:i/>
          <w:sz w:val="22"/>
          <w:szCs w:val="22"/>
          <w:lang w:val="en-US"/>
        </w:rPr>
        <w:t>Sedimentology</w:t>
      </w:r>
      <w:r w:rsidRPr="009978E3">
        <w:rPr>
          <w:rFonts w:eastAsia="MS Mincho"/>
          <w:sz w:val="22"/>
          <w:szCs w:val="22"/>
          <w:lang w:val="en-US"/>
        </w:rPr>
        <w:t xml:space="preserve"> 47: 239–256.</w:t>
      </w:r>
    </w:p>
    <w:p w14:paraId="0A68FAF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Webb, T., Vanden Berghe, E. &amp; O’Dor, R. (2010) Biodiversity’s big wet secret: the global distribution of marine biological records reveals chronic underexploration of the deep pelagic ocean. </w:t>
      </w:r>
      <w:r w:rsidRPr="009978E3">
        <w:rPr>
          <w:rFonts w:eastAsia="MS Mincho"/>
          <w:i/>
          <w:sz w:val="22"/>
          <w:szCs w:val="22"/>
          <w:lang w:val="en-US"/>
        </w:rPr>
        <w:t>PLoS ONE</w:t>
      </w:r>
      <w:r w:rsidRPr="009978E3">
        <w:rPr>
          <w:rFonts w:eastAsia="MS Mincho"/>
          <w:sz w:val="22"/>
          <w:szCs w:val="22"/>
          <w:lang w:val="en-US"/>
        </w:rPr>
        <w:t xml:space="preserve"> 5(8): e10223.</w:t>
      </w:r>
    </w:p>
    <w:p w14:paraId="7871CF4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Werner A. (2010). </w:t>
      </w:r>
      <w:r w:rsidRPr="009978E3">
        <w:rPr>
          <w:rFonts w:eastAsia="MS Mincho"/>
          <w:i/>
          <w:sz w:val="22"/>
          <w:szCs w:val="22"/>
          <w:lang w:val="en-US"/>
        </w:rPr>
        <w:t>Pre-breeding period in Cory’s shearwater: bird quality and foraging behavior</w:t>
      </w:r>
      <w:r w:rsidRPr="009978E3">
        <w:rPr>
          <w:rFonts w:eastAsia="MS Mincho"/>
          <w:sz w:val="22"/>
          <w:szCs w:val="22"/>
          <w:lang w:val="en-US"/>
        </w:rPr>
        <w:t xml:space="preserve"> (unpublished Master’s thesis, Universidade de Coimbra, Portugal). 82 p.</w:t>
      </w:r>
    </w:p>
    <w:p w14:paraId="412A551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White, M., Bashmachnikov, I., Aristegui, J. &amp; Martins, A. (2007) </w:t>
      </w:r>
      <w:r w:rsidRPr="009978E3">
        <w:rPr>
          <w:rFonts w:eastAsia="MS Mincho"/>
          <w:i/>
          <w:sz w:val="22"/>
          <w:szCs w:val="22"/>
          <w:lang w:val="en-US"/>
        </w:rPr>
        <w:t>Physical processes and seamount productivity</w:t>
      </w:r>
      <w:r w:rsidRPr="009978E3">
        <w:rPr>
          <w:rFonts w:eastAsia="MS Mincho"/>
          <w:sz w:val="22"/>
          <w:szCs w:val="22"/>
          <w:lang w:val="en-US"/>
        </w:rPr>
        <w:t>. In: Pitcher, T., Morato T., Hart, P., Clark, M., Haggan, N. &amp; Santos, R. (Eds) Seamounts: Ecology, Fisheries &amp; Conservation. Fish and Aquatic Resources Series 12, Blackwell Publishing, Oxford, United Kingdom, pp 65-84.</w:t>
      </w:r>
    </w:p>
    <w:p w14:paraId="100F8CC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Whitmarsh, R. &amp; Sawyer, D. (1996). </w:t>
      </w:r>
      <w:r w:rsidRPr="009978E3">
        <w:rPr>
          <w:rFonts w:eastAsia="MS Mincho"/>
          <w:i/>
          <w:sz w:val="22"/>
          <w:szCs w:val="22"/>
          <w:lang w:val="en-US"/>
        </w:rPr>
        <w:t>The ocean/continent transition beneath the Iberia Abyssal Plain and continental-rifting to seafloor-spreading processes</w:t>
      </w:r>
      <w:r w:rsidRPr="009978E3">
        <w:rPr>
          <w:rFonts w:eastAsia="MS Mincho"/>
          <w:sz w:val="22"/>
          <w:szCs w:val="22"/>
          <w:lang w:val="en-US"/>
        </w:rPr>
        <w:t>. Proceedings of the Ocean Drilling Program, 149(September), 713–736. https://doi.org/10.2973/odp.proc.sr.149.249.1996</w:t>
      </w:r>
    </w:p>
    <w:p w14:paraId="3F9983D1"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Whitmarsh, R., Beslier, M., &amp; Wallace, P. (1998). </w:t>
      </w:r>
      <w:r w:rsidRPr="009978E3">
        <w:rPr>
          <w:rFonts w:eastAsia="MS Mincho"/>
          <w:i/>
          <w:sz w:val="22"/>
          <w:szCs w:val="22"/>
          <w:lang w:val="en-US"/>
        </w:rPr>
        <w:t>Leg 173 introduction</w:t>
      </w:r>
      <w:r w:rsidRPr="009978E3">
        <w:rPr>
          <w:rFonts w:eastAsia="MS Mincho"/>
          <w:sz w:val="22"/>
          <w:szCs w:val="22"/>
          <w:lang w:val="en-US"/>
        </w:rPr>
        <w:t xml:space="preserve">. Proceedings of the Ocean Drilling Program, Initial Reports, Vol. 173, 173, 7–23. </w:t>
      </w:r>
    </w:p>
    <w:p w14:paraId="7F62BF9D"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Wilson, A., Kiriakoulakis, K., Raine, R., Gerritsen, H., Blackbird, S., Allcock, A. &amp; White, M. (2015). Anthropogenic influence on sediment transport in the Whittard Canyon, NE Atlantic. </w:t>
      </w:r>
      <w:r w:rsidRPr="009978E3">
        <w:rPr>
          <w:rFonts w:eastAsia="MS Mincho"/>
          <w:i/>
          <w:sz w:val="22"/>
          <w:szCs w:val="22"/>
          <w:lang w:val="en-US"/>
        </w:rPr>
        <w:t>Marine pollution bulletin</w:t>
      </w:r>
      <w:r w:rsidRPr="009978E3">
        <w:rPr>
          <w:rFonts w:eastAsia="MS Mincho"/>
          <w:sz w:val="22"/>
          <w:szCs w:val="22"/>
          <w:lang w:val="en-US"/>
        </w:rPr>
        <w:t xml:space="preserve"> 101(1): 320–329.</w:t>
      </w:r>
    </w:p>
    <w:p w14:paraId="0A5DF04F"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Wilson, R., Manatschal, G. &amp; Wise, S. (2001). </w:t>
      </w:r>
      <w:r w:rsidRPr="009978E3">
        <w:rPr>
          <w:rFonts w:eastAsia="MS Mincho"/>
          <w:i/>
          <w:sz w:val="22"/>
          <w:szCs w:val="22"/>
          <w:lang w:val="en-US"/>
        </w:rPr>
        <w:t>Rifting along non-volcanic passive margins: stratigraphic and seismic evidence from the Mesozoic successions of the Alps and western Iberia</w:t>
      </w:r>
      <w:r w:rsidRPr="009978E3">
        <w:rPr>
          <w:rFonts w:eastAsia="MS Mincho"/>
          <w:sz w:val="22"/>
          <w:szCs w:val="22"/>
          <w:lang w:val="en-US"/>
        </w:rPr>
        <w:t>. Geological Society, London, Special Publications, 187(1), 429-452.</w:t>
      </w:r>
    </w:p>
    <w:p w14:paraId="50D8CD5B"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nl-NL"/>
        </w:rPr>
        <w:t xml:space="preserve">Wooster, W., Bakun, A. &amp; McClain, D. (1976). </w:t>
      </w:r>
      <w:r w:rsidRPr="009978E3">
        <w:rPr>
          <w:rFonts w:eastAsia="MS Mincho"/>
          <w:sz w:val="22"/>
          <w:szCs w:val="22"/>
          <w:lang w:val="en-US"/>
        </w:rPr>
        <w:t xml:space="preserve">The seasonal upwelling cycle along the eastern boundary of the north Atlantic. </w:t>
      </w:r>
      <w:r w:rsidRPr="009978E3">
        <w:rPr>
          <w:rFonts w:eastAsia="MS Mincho"/>
          <w:i/>
          <w:sz w:val="22"/>
          <w:szCs w:val="22"/>
          <w:lang w:val="en-US"/>
        </w:rPr>
        <w:t>Journal of Marine Research</w:t>
      </w:r>
      <w:r w:rsidRPr="009978E3">
        <w:rPr>
          <w:rFonts w:eastAsia="MS Mincho"/>
          <w:sz w:val="22"/>
          <w:szCs w:val="22"/>
          <w:lang w:val="en-US"/>
        </w:rPr>
        <w:t xml:space="preserve"> 34: 131–141.</w:t>
      </w:r>
    </w:p>
    <w:p w14:paraId="284B00E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Worm, B., Hilborn, R., Baum, J., Branch, T., Collie, J., Costello, C., Fogarty, M., Fulton, E., Hutchings, J., Jennings, S., Jensen, O., Lotze, H., Mace, P., McClanahan, T., Minto, C., Palumbi, S., Parma, A., Ricard, D., Rosenberg, A., Watson, R. &amp; Zeller, D. (2009) Rebuilding Global Fisheries. </w:t>
      </w:r>
      <w:r w:rsidRPr="009978E3">
        <w:rPr>
          <w:rFonts w:eastAsia="MS Mincho"/>
          <w:i/>
          <w:sz w:val="22"/>
          <w:szCs w:val="22"/>
          <w:lang w:val="en-US"/>
        </w:rPr>
        <w:t>Science</w:t>
      </w:r>
      <w:r w:rsidRPr="009978E3">
        <w:rPr>
          <w:rFonts w:eastAsia="MS Mincho"/>
          <w:sz w:val="22"/>
          <w:szCs w:val="22"/>
          <w:lang w:val="en-US"/>
        </w:rPr>
        <w:t xml:space="preserve"> 325(5940): 578–585.</w:t>
      </w:r>
    </w:p>
    <w:p w14:paraId="606ED73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Würtz, M. (2012). </w:t>
      </w:r>
      <w:r w:rsidRPr="009978E3">
        <w:rPr>
          <w:rFonts w:eastAsia="MS Mincho"/>
          <w:i/>
          <w:sz w:val="22"/>
          <w:szCs w:val="22"/>
          <w:lang w:val="en-US"/>
        </w:rPr>
        <w:t>Mediterranean Submarine Canyons: Ecology and Governance</w:t>
      </w:r>
      <w:r w:rsidRPr="009978E3">
        <w:rPr>
          <w:rFonts w:eastAsia="MS Mincho"/>
          <w:sz w:val="22"/>
          <w:szCs w:val="22"/>
          <w:lang w:val="en-US"/>
        </w:rPr>
        <w:t>. Gland; Málaga: IUCN.</w:t>
      </w:r>
    </w:p>
    <w:p w14:paraId="17433A64"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WWF (2001) </w:t>
      </w:r>
      <w:r w:rsidRPr="009978E3">
        <w:rPr>
          <w:rFonts w:eastAsia="MS Mincho"/>
          <w:i/>
          <w:sz w:val="22"/>
          <w:szCs w:val="22"/>
          <w:lang w:val="en-US"/>
        </w:rPr>
        <w:t>Implementation of the EU Habitats Directive Offshore: Natura 2000 sites for reefs and submerged seabanks</w:t>
      </w:r>
      <w:r w:rsidRPr="009978E3">
        <w:rPr>
          <w:rFonts w:eastAsia="MS Mincho"/>
          <w:sz w:val="22"/>
          <w:szCs w:val="22"/>
          <w:lang w:val="en-US"/>
        </w:rPr>
        <w:t>. Vol. II. Northeast Atlantic and North Sea, 87pp. World Wildlife Fund.</w:t>
      </w:r>
    </w:p>
    <w:p w14:paraId="0923C6E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Wynn, R., Kenyon, N., Masson, D., Stow, D., Weaver, P. (2002). Characterization and recognition of deep-water channel-lobe transition zones. </w:t>
      </w:r>
      <w:r w:rsidRPr="009978E3">
        <w:rPr>
          <w:rFonts w:eastAsia="MS Mincho"/>
          <w:i/>
          <w:sz w:val="22"/>
          <w:szCs w:val="22"/>
          <w:lang w:val="en-US"/>
        </w:rPr>
        <w:t xml:space="preserve">American Association of Petroleum Geologists Bulletin </w:t>
      </w:r>
      <w:r w:rsidRPr="009978E3">
        <w:rPr>
          <w:rFonts w:eastAsia="MS Mincho"/>
          <w:sz w:val="22"/>
          <w:szCs w:val="22"/>
          <w:lang w:val="en-US"/>
        </w:rPr>
        <w:t>86: 1441–1462.</w:t>
      </w:r>
    </w:p>
    <w:p w14:paraId="3C9244B7"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Wynn, R., Masson, D., Stow, D. &amp; Weaver, P. (2000). The Northwest African slope apron: a modern analogue for deep-water systems with complex seafloor topography. </w:t>
      </w:r>
      <w:r w:rsidRPr="009978E3">
        <w:rPr>
          <w:rFonts w:eastAsia="MS Mincho"/>
          <w:i/>
          <w:sz w:val="22"/>
          <w:szCs w:val="22"/>
          <w:lang w:val="en-US"/>
        </w:rPr>
        <w:t>Marine and Petroleum Geology</w:t>
      </w:r>
      <w:r w:rsidRPr="009978E3">
        <w:rPr>
          <w:rFonts w:eastAsia="MS Mincho"/>
          <w:sz w:val="22"/>
          <w:szCs w:val="22"/>
          <w:lang w:val="en-US"/>
        </w:rPr>
        <w:t xml:space="preserve"> 17(2): 253-265.</w:t>
      </w:r>
    </w:p>
    <w:p w14:paraId="5262EE2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Xu, J. (2011). Measuring currents in submarine canyons: technological and scientific progress in the past 30 years. </w:t>
      </w:r>
      <w:r w:rsidRPr="009978E3">
        <w:rPr>
          <w:rFonts w:eastAsia="MS Mincho"/>
          <w:i/>
          <w:sz w:val="22"/>
          <w:szCs w:val="22"/>
          <w:lang w:val="en-US"/>
        </w:rPr>
        <w:t>Geosphere</w:t>
      </w:r>
      <w:r w:rsidRPr="009978E3">
        <w:rPr>
          <w:rFonts w:eastAsia="MS Mincho"/>
          <w:sz w:val="22"/>
          <w:szCs w:val="22"/>
          <w:lang w:val="en-US"/>
        </w:rPr>
        <w:t xml:space="preserve"> 7: 868–876.</w:t>
      </w:r>
    </w:p>
    <w:p w14:paraId="3858426A"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Xu, J., Noble, M., Eittreim, S., Rosenfeld, L., Schwing, F. &amp; Pilskaln, C. (2002). Distribution and transport of suspended particulate matter in Monterey Canyon, California. </w:t>
      </w:r>
      <w:r w:rsidRPr="009978E3">
        <w:rPr>
          <w:rFonts w:eastAsia="MS Mincho"/>
          <w:i/>
          <w:sz w:val="22"/>
          <w:szCs w:val="22"/>
          <w:lang w:val="en-US"/>
        </w:rPr>
        <w:t>Marine Geology</w:t>
      </w:r>
      <w:r w:rsidRPr="009978E3">
        <w:rPr>
          <w:rFonts w:eastAsia="MS Mincho"/>
          <w:sz w:val="22"/>
          <w:szCs w:val="22"/>
          <w:lang w:val="en-US"/>
        </w:rPr>
        <w:t xml:space="preserve"> 193: 129–149.</w:t>
      </w:r>
    </w:p>
    <w:p w14:paraId="2CF89EF8"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en-US"/>
        </w:rPr>
        <w:t xml:space="preserve">Yasui, M. (1986). </w:t>
      </w:r>
      <w:r w:rsidRPr="009978E3">
        <w:rPr>
          <w:rFonts w:eastAsia="MS Mincho"/>
          <w:i/>
          <w:sz w:val="22"/>
          <w:szCs w:val="22"/>
          <w:lang w:val="en-US"/>
        </w:rPr>
        <w:t>Albacore, Thunnus alalunga, pole-and-line fishery around the Emperor Seamounts. From Environment and Resources of Seamounts in the North Pacific</w:t>
      </w:r>
      <w:r w:rsidRPr="009978E3">
        <w:rPr>
          <w:rFonts w:eastAsia="MS Mincho"/>
          <w:sz w:val="22"/>
          <w:szCs w:val="22"/>
          <w:lang w:val="en-US"/>
        </w:rPr>
        <w:t>. R. Uchida, S. Hayashi, and G. Boehlert [eds]. NOAA Technical Report NMFS 43. September. pp 37 – 40.</w:t>
      </w:r>
    </w:p>
    <w:p w14:paraId="58F76E5A" w14:textId="77777777" w:rsidR="006B3F46" w:rsidRPr="009978E3" w:rsidRDefault="006B3F46" w:rsidP="00907941">
      <w:pPr>
        <w:ind w:left="567" w:hanging="567"/>
        <w:jc w:val="both"/>
        <w:rPr>
          <w:rFonts w:eastAsia="MS Mincho"/>
          <w:sz w:val="22"/>
          <w:szCs w:val="22"/>
          <w:lang w:val="fr-CA"/>
        </w:rPr>
      </w:pPr>
      <w:r w:rsidRPr="009978E3">
        <w:rPr>
          <w:rFonts w:eastAsia="MS Mincho"/>
          <w:sz w:val="22"/>
          <w:szCs w:val="22"/>
          <w:lang w:val="en-US"/>
        </w:rPr>
        <w:t xml:space="preserve">Yoklavich, M., Greene, H., Cailliet, G., Sullivan, D., Lea, R. &amp; Love, M. (2000). Habitat associations of deep-water rockfishes in a submarine canyon: an example of a natural refuge. </w:t>
      </w:r>
      <w:r w:rsidRPr="009978E3">
        <w:rPr>
          <w:i/>
          <w:iCs/>
          <w:sz w:val="22"/>
          <w:szCs w:val="22"/>
          <w:lang w:val="fr-CA"/>
        </w:rPr>
        <w:t>Fishery Bulletin</w:t>
      </w:r>
      <w:r w:rsidRPr="009978E3">
        <w:rPr>
          <w:rFonts w:eastAsia="MS Mincho"/>
          <w:sz w:val="22"/>
          <w:szCs w:val="22"/>
          <w:lang w:val="fr-CA"/>
        </w:rPr>
        <w:t xml:space="preserve"> 98(3), 625–641.</w:t>
      </w:r>
    </w:p>
    <w:p w14:paraId="27515FDE" w14:textId="77777777" w:rsidR="006B3F46" w:rsidRPr="009978E3" w:rsidRDefault="006B3F46" w:rsidP="00907941">
      <w:pPr>
        <w:ind w:left="567" w:hanging="567"/>
        <w:jc w:val="both"/>
        <w:rPr>
          <w:rFonts w:eastAsia="MS Mincho"/>
          <w:sz w:val="22"/>
          <w:szCs w:val="22"/>
          <w:lang w:val="en-US"/>
        </w:rPr>
      </w:pPr>
      <w:r w:rsidRPr="009978E3">
        <w:rPr>
          <w:rFonts w:eastAsia="MS Mincho"/>
          <w:sz w:val="22"/>
          <w:szCs w:val="22"/>
          <w:lang w:val="fr-CA"/>
        </w:rPr>
        <w:t xml:space="preserve">Zaragosi, S., Auffret, G., Faugeres, J., Garlan, T., Pujol, C., Cortijo, E. (2000). </w:t>
      </w:r>
      <w:r w:rsidRPr="009978E3">
        <w:rPr>
          <w:rFonts w:eastAsia="MS Mincho"/>
          <w:sz w:val="22"/>
          <w:szCs w:val="22"/>
          <w:lang w:val="en-US"/>
        </w:rPr>
        <w:t xml:space="preserve">Physiography and recent sediment distribution of the Celtic Deep-sea Fan, Bay of Biscay. </w:t>
      </w:r>
      <w:r w:rsidRPr="009978E3">
        <w:rPr>
          <w:rFonts w:eastAsia="MS Mincho"/>
          <w:i/>
          <w:sz w:val="22"/>
          <w:szCs w:val="22"/>
          <w:lang w:val="en-US"/>
        </w:rPr>
        <w:t>Marine Geology</w:t>
      </w:r>
      <w:r w:rsidRPr="009978E3">
        <w:rPr>
          <w:rFonts w:eastAsia="MS Mincho"/>
          <w:sz w:val="22"/>
          <w:szCs w:val="22"/>
          <w:lang w:val="en-US"/>
        </w:rPr>
        <w:t xml:space="preserve"> 169: 207–237.</w:t>
      </w:r>
    </w:p>
    <w:p w14:paraId="77D79412" w14:textId="77777777" w:rsidR="006B3F46" w:rsidRPr="009978E3" w:rsidRDefault="006B3F46" w:rsidP="00907941">
      <w:pPr>
        <w:ind w:left="720" w:hanging="720"/>
        <w:rPr>
          <w:rFonts w:eastAsia="MS Mincho"/>
          <w:sz w:val="22"/>
          <w:szCs w:val="22"/>
          <w:lang w:val="en-US"/>
        </w:rPr>
      </w:pPr>
    </w:p>
    <w:p w14:paraId="2458813C" w14:textId="77777777" w:rsidR="006B3F46" w:rsidRDefault="006B3F46" w:rsidP="00907941">
      <w:pPr>
        <w:rPr>
          <w:rFonts w:eastAsia="MS Mincho"/>
          <w:b/>
          <w:sz w:val="22"/>
          <w:szCs w:val="22"/>
          <w:lang w:val="en-US"/>
        </w:rPr>
      </w:pPr>
      <w:r>
        <w:rPr>
          <w:rFonts w:eastAsia="MS Mincho"/>
          <w:b/>
          <w:sz w:val="22"/>
          <w:szCs w:val="22"/>
          <w:lang w:val="en-US"/>
        </w:rPr>
        <w:br w:type="page"/>
      </w:r>
      <w:r w:rsidRPr="009978E3">
        <w:rPr>
          <w:rFonts w:eastAsia="MS Mincho"/>
          <w:b/>
          <w:sz w:val="22"/>
          <w:szCs w:val="22"/>
          <w:lang w:val="en-US"/>
        </w:rPr>
        <w:t>Maps and Figures</w:t>
      </w:r>
    </w:p>
    <w:p w14:paraId="726296A9" w14:textId="77777777" w:rsidR="006B3F46" w:rsidRDefault="006B3F46" w:rsidP="00907941">
      <w:pPr>
        <w:rPr>
          <w:rFonts w:eastAsia="MS Mincho"/>
          <w:b/>
          <w:sz w:val="22"/>
          <w:szCs w:val="22"/>
          <w:lang w:val="en-US"/>
        </w:rPr>
      </w:pPr>
    </w:p>
    <w:p w14:paraId="4B3AD69E" w14:textId="77777777" w:rsidR="006B3F46" w:rsidRDefault="009E53BE" w:rsidP="00907941">
      <w:r>
        <w:rPr>
          <w:rFonts w:eastAsia="MS Mincho"/>
          <w:b/>
          <w:sz w:val="22"/>
          <w:szCs w:val="22"/>
          <w:lang w:val="en-US"/>
        </w:rPr>
        <w:pict w14:anchorId="0E0D7F4F">
          <v:shape id="_x0000_i1079" type="#_x0000_t75" style="width:6in;height:6in">
            <v:imagedata r:id="rId153" o:title="4-revised"/>
          </v:shape>
        </w:pict>
      </w:r>
    </w:p>
    <w:p w14:paraId="2B4843BE" w14:textId="77777777" w:rsidR="006B3F46" w:rsidRDefault="006B3F46" w:rsidP="00907941">
      <w:pPr>
        <w:jc w:val="center"/>
      </w:pPr>
    </w:p>
    <w:p w14:paraId="0E5B896C" w14:textId="77777777" w:rsidR="006B3F46" w:rsidRPr="0021277B" w:rsidRDefault="006B3F46" w:rsidP="00907941">
      <w:pPr>
        <w:suppressLineNumbers/>
        <w:jc w:val="center"/>
        <w:rPr>
          <w:b/>
          <w:bCs/>
          <w:color w:val="000000"/>
          <w:sz w:val="22"/>
          <w:szCs w:val="22"/>
          <w:shd w:val="clear" w:color="auto" w:fill="FFFFFF"/>
        </w:rPr>
      </w:pPr>
      <w:r w:rsidRPr="0021277B">
        <w:rPr>
          <w:b/>
          <w:bCs/>
          <w:sz w:val="22"/>
          <w:szCs w:val="22"/>
        </w:rPr>
        <w:t xml:space="preserve">Location of area no. 4: </w:t>
      </w:r>
      <w:r w:rsidRPr="0021277B">
        <w:rPr>
          <w:b/>
          <w:bCs/>
          <w:color w:val="000000"/>
          <w:sz w:val="22"/>
          <w:szCs w:val="22"/>
          <w:shd w:val="clear" w:color="auto" w:fill="FFFFFF"/>
        </w:rPr>
        <w:t>West Iberian Canyons and Banks</w:t>
      </w:r>
    </w:p>
    <w:p w14:paraId="68B3ACF4" w14:textId="77777777" w:rsidR="006B3F46" w:rsidRPr="00F66EF7" w:rsidRDefault="006B3F46" w:rsidP="00907941">
      <w:pPr>
        <w:suppressLineNumbers/>
        <w:spacing w:before="100" w:beforeAutospacing="1" w:after="100" w:afterAutospacing="1"/>
        <w:jc w:val="both"/>
        <w:rPr>
          <w:sz w:val="22"/>
          <w:szCs w:val="22"/>
        </w:rPr>
      </w:pPr>
      <w:r>
        <w:rPr>
          <w:b/>
          <w:color w:val="000000"/>
          <w:sz w:val="22"/>
          <w:szCs w:val="22"/>
          <w:shd w:val="clear" w:color="auto" w:fill="FFFFFF"/>
        </w:rPr>
        <w:t xml:space="preserve"> </w:t>
      </w:r>
      <w:r w:rsidR="009E53BE">
        <w:rPr>
          <w:noProof/>
          <w:sz w:val="22"/>
          <w:szCs w:val="22"/>
          <w:lang w:val="fr-CA" w:eastAsia="fr-CA"/>
        </w:rPr>
        <w:pict w14:anchorId="36D9AEF9">
          <v:shape id="_x0000_i1080" type="#_x0000_t75" style="width:3in;height:309pt;visibility:visible">
            <v:imagedata r:id="rId154" o:title=""/>
          </v:shape>
        </w:pict>
      </w:r>
      <w:r w:rsidRPr="00F66EF7">
        <w:rPr>
          <w:sz w:val="22"/>
          <w:szCs w:val="22"/>
        </w:rPr>
        <w:t xml:space="preserve"> </w:t>
      </w:r>
      <w:r w:rsidR="009E53BE">
        <w:rPr>
          <w:noProof/>
          <w:sz w:val="22"/>
          <w:szCs w:val="22"/>
          <w:lang w:val="fr-CA" w:eastAsia="fr-CA"/>
        </w:rPr>
        <w:pict w14:anchorId="581A65EA">
          <v:shape id="_x0000_i1081" type="#_x0000_t75" style="width:214.5pt;height:306.75pt;visibility:visible">
            <v:imagedata r:id="rId155" o:title=""/>
          </v:shape>
        </w:pict>
      </w:r>
    </w:p>
    <w:p w14:paraId="4FFEF9BC" w14:textId="77777777" w:rsidR="006B3F46" w:rsidRPr="009978E3" w:rsidRDefault="006B3F46" w:rsidP="00907941">
      <w:pPr>
        <w:suppressLineNumbers/>
        <w:spacing w:before="100" w:beforeAutospacing="1" w:after="100" w:afterAutospacing="1"/>
        <w:jc w:val="both"/>
        <w:rPr>
          <w:sz w:val="22"/>
          <w:szCs w:val="22"/>
        </w:rPr>
      </w:pPr>
      <w:r w:rsidRPr="009978E3">
        <w:rPr>
          <w:sz w:val="22"/>
          <w:szCs w:val="22"/>
        </w:rPr>
        <w:t>Figure 1</w:t>
      </w:r>
      <w:r>
        <w:rPr>
          <w:sz w:val="22"/>
          <w:szCs w:val="22"/>
        </w:rPr>
        <w:t>.</w:t>
      </w:r>
      <w:r w:rsidRPr="009978E3">
        <w:rPr>
          <w:sz w:val="22"/>
          <w:szCs w:val="22"/>
        </w:rPr>
        <w:t xml:space="preserve"> Modelled density estimates of sperm and fin whales in the European Atlantic from the </w:t>
      </w:r>
      <w:r w:rsidRPr="009978E3">
        <w:rPr>
          <w:rFonts w:eastAsia="MS Mincho"/>
          <w:bCs/>
          <w:sz w:val="22"/>
          <w:szCs w:val="22"/>
          <w:lang w:val="en-US"/>
        </w:rPr>
        <w:t xml:space="preserve">2007 </w:t>
      </w:r>
      <w:r w:rsidRPr="009978E3">
        <w:rPr>
          <w:sz w:val="22"/>
          <w:szCs w:val="22"/>
        </w:rPr>
        <w:t>Cetacean Offshore Distribution and Abundance surveys (CODA, 2008).</w:t>
      </w:r>
    </w:p>
    <w:p w14:paraId="03BF8D1F" w14:textId="77777777" w:rsidR="006B3F46" w:rsidRPr="00F66EF7" w:rsidRDefault="009E53BE" w:rsidP="00907941">
      <w:pPr>
        <w:rPr>
          <w:rFonts w:eastAsia="MS Mincho"/>
          <w:bCs/>
          <w:sz w:val="22"/>
          <w:szCs w:val="22"/>
          <w:lang w:val="en-US"/>
        </w:rPr>
      </w:pPr>
      <w:r>
        <w:rPr>
          <w:rFonts w:eastAsia="MS Mincho"/>
          <w:noProof/>
          <w:sz w:val="22"/>
          <w:szCs w:val="22"/>
          <w:lang w:val="fr-CA" w:eastAsia="fr-CA"/>
        </w:rPr>
        <w:pict w14:anchorId="07C4AB96">
          <v:shape id="_x0000_i1082" type="#_x0000_t75" style="width:212.25pt;height:258pt;visibility:visible">
            <v:imagedata r:id="rId156" o:title="" croptop="6860f" cropbottom="478f" cropleft="2882f" cropright="2419f"/>
          </v:shape>
        </w:pict>
      </w:r>
      <w:r w:rsidR="006B3F46" w:rsidRPr="00F66EF7">
        <w:rPr>
          <w:rFonts w:eastAsia="MS Mincho"/>
          <w:bCs/>
          <w:sz w:val="22"/>
          <w:szCs w:val="22"/>
          <w:lang w:val="en-US"/>
        </w:rPr>
        <w:t xml:space="preserve"> </w:t>
      </w:r>
      <w:r>
        <w:rPr>
          <w:rFonts w:eastAsia="MS Mincho"/>
          <w:noProof/>
          <w:sz w:val="22"/>
          <w:szCs w:val="22"/>
          <w:lang w:val="fr-CA" w:eastAsia="fr-CA"/>
        </w:rPr>
        <w:pict w14:anchorId="1EF74A59">
          <v:shape id="_x0000_i1083" type="#_x0000_t75" style="width:196.5pt;height:262.5pt;visibility:visible">
            <v:imagedata r:id="rId157" o:title="" croptop="11428f" cropbottom="3360f" cropleft="4969f" cropright="5567f"/>
          </v:shape>
        </w:pict>
      </w:r>
    </w:p>
    <w:p w14:paraId="6695A059"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Figure 2</w:t>
      </w:r>
      <w:r>
        <w:rPr>
          <w:rFonts w:eastAsia="MS Mincho"/>
          <w:sz w:val="22"/>
          <w:szCs w:val="22"/>
          <w:lang w:val="en-US"/>
        </w:rPr>
        <w:t>.</w:t>
      </w:r>
      <w:r w:rsidRPr="009978E3">
        <w:rPr>
          <w:rFonts w:eastAsia="MS Mincho"/>
          <w:sz w:val="22"/>
          <w:szCs w:val="22"/>
          <w:lang w:val="en-US"/>
        </w:rPr>
        <w:t xml:space="preserve"> Sighting locations and coarse density estimates of common dolphins (</w:t>
      </w:r>
      <w:r w:rsidRPr="009978E3">
        <w:rPr>
          <w:rFonts w:eastAsia="MS Mincho"/>
          <w:i/>
          <w:sz w:val="22"/>
          <w:szCs w:val="22"/>
          <w:lang w:val="en-US"/>
        </w:rPr>
        <w:t>Delphinus delphis</w:t>
      </w:r>
      <w:r w:rsidRPr="009978E3">
        <w:rPr>
          <w:rFonts w:eastAsia="MS Mincho"/>
          <w:sz w:val="22"/>
          <w:szCs w:val="22"/>
          <w:lang w:val="en-US"/>
        </w:rPr>
        <w:t xml:space="preserve">) in the waters of the European Atlantic from the 2016 SCANS-III aerial and shipboard surveys (Hammond </w:t>
      </w:r>
      <w:r w:rsidRPr="0006066A">
        <w:rPr>
          <w:rFonts w:eastAsia="MS Mincho"/>
          <w:i/>
          <w:sz w:val="22"/>
          <w:szCs w:val="22"/>
          <w:lang w:val="en-US"/>
        </w:rPr>
        <w:t>et al</w:t>
      </w:r>
      <w:r w:rsidRPr="009978E3">
        <w:rPr>
          <w:rFonts w:eastAsia="MS Mincho"/>
          <w:sz w:val="22"/>
          <w:szCs w:val="22"/>
          <w:lang w:val="en-US"/>
        </w:rPr>
        <w:t>., 2017).</w:t>
      </w:r>
    </w:p>
    <w:p w14:paraId="1535581E" w14:textId="77777777" w:rsidR="006B3F46" w:rsidRPr="009978E3" w:rsidRDefault="006B3F46" w:rsidP="00907941">
      <w:pPr>
        <w:jc w:val="both"/>
        <w:rPr>
          <w:rFonts w:eastAsia="MS Mincho"/>
          <w:sz w:val="22"/>
          <w:szCs w:val="22"/>
          <w:lang w:val="en-US"/>
        </w:rPr>
      </w:pPr>
    </w:p>
    <w:p w14:paraId="3A822BF3" w14:textId="77777777" w:rsidR="006B3F46" w:rsidRPr="009978E3" w:rsidRDefault="006B3F46" w:rsidP="00907941">
      <w:pPr>
        <w:jc w:val="both"/>
        <w:rPr>
          <w:rFonts w:eastAsia="MS Mincho"/>
          <w:sz w:val="22"/>
          <w:szCs w:val="22"/>
          <w:lang w:val="en-US"/>
        </w:rPr>
      </w:pPr>
      <w:r w:rsidRPr="009978E3">
        <w:rPr>
          <w:noProof/>
          <w:sz w:val="22"/>
          <w:szCs w:val="22"/>
          <w:lang w:val="fr-CA" w:eastAsia="fr-CA"/>
        </w:rPr>
        <w:object w:dxaOrig="9450" w:dyaOrig="6180" w14:anchorId="0FEBFC4C">
          <v:shape id="Gráfico 11" o:spid="_x0000_i1084" type="#_x0000_t75" style="width:453.75pt;height:297pt;visibility:visible" o:ole="">
            <v:imagedata r:id="rId158" o:title=""/>
            <o:lock v:ext="edit" aspectratio="f"/>
          </v:shape>
          <o:OLEObject Type="Embed" ProgID="Excel.Sheet.8" ShapeID="Gráfico 11" DrawAspect="Content" ObjectID="_1639044468" r:id="rId159">
            <o:FieldCodes>\s</o:FieldCodes>
          </o:OLEObject>
        </w:object>
      </w:r>
      <w:r w:rsidRPr="009978E3">
        <w:rPr>
          <w:rFonts w:eastAsia="MS Mincho"/>
          <w:sz w:val="22"/>
          <w:szCs w:val="22"/>
          <w:lang w:val="en-US"/>
        </w:rPr>
        <w:t>Figure 3</w:t>
      </w:r>
      <w:r>
        <w:rPr>
          <w:rFonts w:eastAsia="MS Mincho"/>
          <w:sz w:val="22"/>
          <w:szCs w:val="22"/>
          <w:lang w:val="en-US"/>
        </w:rPr>
        <w:t>.</w:t>
      </w:r>
      <w:r w:rsidRPr="009978E3">
        <w:rPr>
          <w:rFonts w:eastAsia="MS Mincho"/>
          <w:sz w:val="22"/>
          <w:szCs w:val="22"/>
          <w:lang w:val="en-US"/>
        </w:rPr>
        <w:t xml:space="preserve"> Relative frequency (</w:t>
      </w:r>
      <w:r>
        <w:rPr>
          <w:rFonts w:eastAsia="MS Mincho"/>
          <w:sz w:val="22"/>
          <w:szCs w:val="22"/>
          <w:lang w:val="en-US"/>
        </w:rPr>
        <w:t>per cent</w:t>
      </w:r>
      <w:r w:rsidRPr="009978E3">
        <w:rPr>
          <w:rFonts w:eastAsia="MS Mincho"/>
          <w:sz w:val="22"/>
          <w:szCs w:val="22"/>
          <w:lang w:val="en-US"/>
        </w:rPr>
        <w:t>) of the species identified in the area described belonging to different taxa in the phylum Mollusca.</w:t>
      </w:r>
    </w:p>
    <w:p w14:paraId="2EDCD3D5" w14:textId="77777777" w:rsidR="006B3F46" w:rsidRPr="009978E3" w:rsidRDefault="006B3F46" w:rsidP="00907941">
      <w:pPr>
        <w:jc w:val="both"/>
        <w:rPr>
          <w:rFonts w:eastAsia="MS Mincho"/>
          <w:sz w:val="22"/>
          <w:szCs w:val="22"/>
          <w:lang w:val="en-US"/>
        </w:rPr>
      </w:pPr>
    </w:p>
    <w:p w14:paraId="68B761F3" w14:textId="77777777" w:rsidR="006B3F46" w:rsidRPr="009978E3" w:rsidRDefault="006B3F46" w:rsidP="00907941">
      <w:pPr>
        <w:jc w:val="both"/>
        <w:rPr>
          <w:rFonts w:eastAsia="MS Mincho"/>
          <w:sz w:val="22"/>
          <w:szCs w:val="22"/>
          <w:lang w:val="en-US"/>
        </w:rPr>
      </w:pPr>
      <w:r w:rsidRPr="009978E3">
        <w:rPr>
          <w:noProof/>
          <w:sz w:val="22"/>
          <w:szCs w:val="22"/>
          <w:lang w:val="fr-CA" w:eastAsia="fr-CA"/>
        </w:rPr>
        <w:object w:dxaOrig="9450" w:dyaOrig="6180" w14:anchorId="6B3A996B">
          <v:shape id="Gráfico 10" o:spid="_x0000_i1085" type="#_x0000_t75" style="width:453.75pt;height:297pt;visibility:visible" o:ole="">
            <v:imagedata r:id="rId160" o:title=""/>
            <o:lock v:ext="edit" aspectratio="f"/>
          </v:shape>
          <o:OLEObject Type="Embed" ProgID="Excel.Sheet.8" ShapeID="Gráfico 10" DrawAspect="Content" ObjectID="_1639044469" r:id="rId161">
            <o:FieldCodes>\s</o:FieldCodes>
          </o:OLEObject>
        </w:object>
      </w:r>
      <w:r w:rsidRPr="009978E3">
        <w:rPr>
          <w:rFonts w:eastAsia="MS Mincho"/>
          <w:sz w:val="22"/>
          <w:szCs w:val="22"/>
          <w:lang w:val="en-US"/>
        </w:rPr>
        <w:t>Figure 4</w:t>
      </w:r>
      <w:r>
        <w:rPr>
          <w:rFonts w:eastAsia="MS Mincho"/>
          <w:sz w:val="22"/>
          <w:szCs w:val="22"/>
          <w:lang w:val="en-US"/>
        </w:rPr>
        <w:t>.</w:t>
      </w:r>
      <w:r w:rsidRPr="009978E3">
        <w:rPr>
          <w:rFonts w:eastAsia="MS Mincho"/>
          <w:sz w:val="22"/>
          <w:szCs w:val="22"/>
          <w:lang w:val="en-US"/>
        </w:rPr>
        <w:t xml:space="preserve"> Relative frequency (</w:t>
      </w:r>
      <w:r>
        <w:rPr>
          <w:rFonts w:eastAsia="MS Mincho"/>
          <w:sz w:val="22"/>
          <w:szCs w:val="22"/>
          <w:lang w:val="en-US"/>
        </w:rPr>
        <w:t>per cent</w:t>
      </w:r>
      <w:r w:rsidRPr="009978E3">
        <w:rPr>
          <w:rFonts w:eastAsia="MS Mincho"/>
          <w:sz w:val="22"/>
          <w:szCs w:val="22"/>
          <w:lang w:val="en-US"/>
        </w:rPr>
        <w:t>) of the species identified in the area described belonging to different taxa in the subphylum crustacea.</w:t>
      </w:r>
    </w:p>
    <w:p w14:paraId="5E35A3BB" w14:textId="77777777" w:rsidR="006B3F46" w:rsidRPr="009978E3" w:rsidRDefault="006B3F46" w:rsidP="00907941">
      <w:pPr>
        <w:jc w:val="both"/>
        <w:rPr>
          <w:rFonts w:eastAsia="MS Mincho"/>
          <w:b/>
          <w:sz w:val="22"/>
          <w:szCs w:val="22"/>
          <w:lang w:val="en-US"/>
        </w:rPr>
      </w:pPr>
    </w:p>
    <w:p w14:paraId="4AD731D2"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Rights and permissions </w:t>
      </w:r>
    </w:p>
    <w:p w14:paraId="3C9F2CEA" w14:textId="77777777" w:rsidR="006B3F46" w:rsidRPr="009978E3" w:rsidRDefault="006B3F46" w:rsidP="00907941">
      <w:pPr>
        <w:jc w:val="both"/>
        <w:rPr>
          <w:sz w:val="22"/>
          <w:szCs w:val="22"/>
        </w:rPr>
      </w:pPr>
      <w:r w:rsidRPr="009978E3">
        <w:rPr>
          <w:sz w:val="22"/>
          <w:szCs w:val="22"/>
        </w:rPr>
        <w:t>Only processed and analysed information is included here</w:t>
      </w:r>
      <w:r>
        <w:rPr>
          <w:sz w:val="22"/>
          <w:szCs w:val="22"/>
        </w:rPr>
        <w:t>,</w:t>
      </w:r>
      <w:r w:rsidRPr="009978E3">
        <w:rPr>
          <w:sz w:val="22"/>
          <w:szCs w:val="22"/>
        </w:rPr>
        <w:t xml:space="preserve"> and the results from these analyses are publicly available.</w:t>
      </w:r>
    </w:p>
    <w:p w14:paraId="418AEEDD" w14:textId="77777777" w:rsidR="006B3F46" w:rsidRPr="009978E3" w:rsidRDefault="006B3F46" w:rsidP="00907941">
      <w:pPr>
        <w:jc w:val="center"/>
        <w:rPr>
          <w:b/>
          <w:sz w:val="22"/>
          <w:szCs w:val="22"/>
        </w:rPr>
      </w:pPr>
      <w:r w:rsidRPr="009978E3">
        <w:rPr>
          <w:sz w:val="22"/>
          <w:szCs w:val="22"/>
        </w:rPr>
        <w:br w:type="page"/>
      </w:r>
      <w:r w:rsidRPr="009978E3">
        <w:rPr>
          <w:b/>
          <w:sz w:val="22"/>
          <w:szCs w:val="22"/>
        </w:rPr>
        <w:t>Area no. 5:  Gulf of C</w:t>
      </w:r>
      <w:r w:rsidRPr="0021277B">
        <w:rPr>
          <w:b/>
          <w:bCs/>
          <w:sz w:val="22"/>
          <w:szCs w:val="22"/>
        </w:rPr>
        <w:t>á</w:t>
      </w:r>
      <w:r w:rsidRPr="009978E3">
        <w:rPr>
          <w:b/>
          <w:sz w:val="22"/>
          <w:szCs w:val="22"/>
        </w:rPr>
        <w:t>diz</w:t>
      </w:r>
    </w:p>
    <w:p w14:paraId="68A7448D" w14:textId="77777777" w:rsidR="006B3F46" w:rsidRPr="009978E3" w:rsidRDefault="006B3F46" w:rsidP="00907941">
      <w:pPr>
        <w:jc w:val="both"/>
        <w:rPr>
          <w:sz w:val="22"/>
          <w:szCs w:val="22"/>
        </w:rPr>
      </w:pPr>
      <w:r w:rsidRPr="009978E3">
        <w:rPr>
          <w:b/>
          <w:sz w:val="22"/>
          <w:szCs w:val="22"/>
        </w:rPr>
        <w:t>Abstract</w:t>
      </w:r>
    </w:p>
    <w:p w14:paraId="73FDCB88" w14:textId="77777777" w:rsidR="006B3F46" w:rsidRPr="009978E3" w:rsidRDefault="006B3F46" w:rsidP="002E4B39">
      <w:pPr>
        <w:suppressLineNumbers/>
        <w:spacing w:after="120"/>
        <w:jc w:val="both"/>
        <w:rPr>
          <w:sz w:val="22"/>
          <w:szCs w:val="22"/>
        </w:rPr>
      </w:pPr>
      <w:r w:rsidRPr="009978E3">
        <w:rPr>
          <w:sz w:val="22"/>
          <w:szCs w:val="22"/>
        </w:rPr>
        <w:t xml:space="preserve">The Gulf of Cádiz is a </w:t>
      </w:r>
      <w:r w:rsidRPr="002E4B39">
        <w:rPr>
          <w:rFonts w:eastAsia="MS Mincho"/>
          <w:sz w:val="22"/>
          <w:szCs w:val="22"/>
          <w:lang w:val="en-US"/>
        </w:rPr>
        <w:t>very</w:t>
      </w:r>
      <w:r>
        <w:rPr>
          <w:sz w:val="22"/>
          <w:szCs w:val="22"/>
        </w:rPr>
        <w:t xml:space="preserve"> structurally</w:t>
      </w:r>
      <w:r w:rsidRPr="009978E3">
        <w:rPr>
          <w:sz w:val="22"/>
          <w:szCs w:val="22"/>
        </w:rPr>
        <w:t xml:space="preserve"> complex area, containing important geomorphological elements, such as large submarine canyons and seamounts. The hydrology is also complex due to the interaction between waters formed in the Atlantic and waters of Mediterranean origin. This area includes a variety of benthic habitats, both on soft and rocky bottoms, that are considered hotspots of biodiversity and which serve as various habitats for endangered, threatened and declining species. It is also a seasonal migratory pathway for large migratory pelagic species and is an important area for cetacean species</w:t>
      </w:r>
      <w:r>
        <w:rPr>
          <w:sz w:val="22"/>
          <w:szCs w:val="22"/>
        </w:rPr>
        <w:t>, in particular</w:t>
      </w:r>
      <w:r w:rsidRPr="009978E3">
        <w:rPr>
          <w:sz w:val="22"/>
          <w:szCs w:val="22"/>
        </w:rPr>
        <w:t>.</w:t>
      </w:r>
    </w:p>
    <w:p w14:paraId="4FB6FF0A" w14:textId="77777777" w:rsidR="006B3F46" w:rsidRPr="009978E3" w:rsidRDefault="006B3F46" w:rsidP="00907941">
      <w:pPr>
        <w:jc w:val="both"/>
        <w:rPr>
          <w:sz w:val="22"/>
          <w:szCs w:val="22"/>
        </w:rPr>
      </w:pPr>
      <w:r w:rsidRPr="009978E3">
        <w:rPr>
          <w:b/>
          <w:sz w:val="22"/>
          <w:szCs w:val="22"/>
        </w:rPr>
        <w:t>Introduction</w:t>
      </w:r>
    </w:p>
    <w:p w14:paraId="3A62F3B5" w14:textId="77777777" w:rsidR="006B3F46" w:rsidRPr="009978E3" w:rsidRDefault="006B3F46" w:rsidP="002E4B39">
      <w:pPr>
        <w:suppressLineNumbers/>
        <w:spacing w:after="120"/>
        <w:jc w:val="both"/>
        <w:rPr>
          <w:sz w:val="22"/>
          <w:szCs w:val="22"/>
        </w:rPr>
      </w:pPr>
      <w:r w:rsidRPr="009978E3">
        <w:rPr>
          <w:sz w:val="22"/>
          <w:szCs w:val="22"/>
        </w:rPr>
        <w:t>The Gulf of Cadiz is located in the North</w:t>
      </w:r>
      <w:r>
        <w:rPr>
          <w:sz w:val="22"/>
          <w:szCs w:val="22"/>
        </w:rPr>
        <w:t>-East</w:t>
      </w:r>
      <w:r w:rsidRPr="009978E3">
        <w:rPr>
          <w:sz w:val="22"/>
          <w:szCs w:val="22"/>
        </w:rPr>
        <w:t xml:space="preserve"> Atlantic Ocean, to the southwest of the Iberian Peninsula. Its eastern boundary is the Strait of Gibraltar, at the western border of the Mediterranean Sea. Its complex physiographic is characterized by irregular reliefs and a diversity of geomorphological features, including the continental shelf of the Spanish coast, channels, numerous mud volcanoes and the deep </w:t>
      </w:r>
      <w:r w:rsidRPr="002E4B39">
        <w:rPr>
          <w:rFonts w:eastAsia="MS Mincho"/>
          <w:sz w:val="22"/>
          <w:szCs w:val="22"/>
          <w:lang w:val="en-US"/>
        </w:rPr>
        <w:t>basin</w:t>
      </w:r>
      <w:r w:rsidRPr="009978E3">
        <w:rPr>
          <w:sz w:val="22"/>
          <w:szCs w:val="22"/>
        </w:rPr>
        <w:t xml:space="preserve">. </w:t>
      </w:r>
    </w:p>
    <w:p w14:paraId="170AB7AC" w14:textId="77777777" w:rsidR="006B3F46" w:rsidRPr="009978E3" w:rsidRDefault="006B3F46" w:rsidP="002E4B39">
      <w:pPr>
        <w:suppressLineNumbers/>
        <w:spacing w:after="120"/>
        <w:jc w:val="both"/>
        <w:rPr>
          <w:sz w:val="22"/>
          <w:szCs w:val="22"/>
        </w:rPr>
      </w:pPr>
      <w:r w:rsidRPr="009978E3">
        <w:rPr>
          <w:sz w:val="22"/>
          <w:szCs w:val="22"/>
        </w:rPr>
        <w:t xml:space="preserve">In the </w:t>
      </w:r>
      <w:r w:rsidRPr="002E4B39">
        <w:rPr>
          <w:rFonts w:eastAsia="MS Mincho"/>
          <w:sz w:val="22"/>
          <w:szCs w:val="22"/>
          <w:lang w:val="en-US"/>
        </w:rPr>
        <w:t>Gulf</w:t>
      </w:r>
      <w:r w:rsidRPr="009978E3">
        <w:rPr>
          <w:sz w:val="22"/>
          <w:szCs w:val="22"/>
        </w:rPr>
        <w:t xml:space="preserve"> of Cádiz, oceanographic circulation follows an anti-cyclonic gyre (Pelegrí </w:t>
      </w:r>
      <w:r w:rsidRPr="0006066A">
        <w:rPr>
          <w:i/>
          <w:sz w:val="22"/>
          <w:szCs w:val="22"/>
        </w:rPr>
        <w:t>et al</w:t>
      </w:r>
      <w:r w:rsidRPr="009978E3">
        <w:rPr>
          <w:sz w:val="22"/>
          <w:szCs w:val="22"/>
        </w:rPr>
        <w:t xml:space="preserve">. 2005) and is controlled by the exchange of water masses through the Strait of Gibraltar: a surface flow of Atlantic origin enters the Mediterranean Sea, while another deep flow of Mediterranean origin circulates under the former towards the Atlantic Ocean. </w:t>
      </w:r>
    </w:p>
    <w:p w14:paraId="3AD6B9D0" w14:textId="77777777" w:rsidR="006B3F46" w:rsidRPr="009978E3" w:rsidRDefault="006B3F46" w:rsidP="00907941">
      <w:pPr>
        <w:jc w:val="both"/>
        <w:rPr>
          <w:sz w:val="22"/>
          <w:szCs w:val="22"/>
        </w:rPr>
      </w:pPr>
      <w:r w:rsidRPr="009978E3">
        <w:rPr>
          <w:sz w:val="22"/>
          <w:szCs w:val="22"/>
        </w:rPr>
        <w:t>The upper thermocline water mass is the North Atlantic Central Water (NACW)</w:t>
      </w:r>
      <w:r>
        <w:rPr>
          <w:sz w:val="22"/>
          <w:szCs w:val="22"/>
        </w:rPr>
        <w:t>,</w:t>
      </w:r>
      <w:r w:rsidRPr="009978E3">
        <w:rPr>
          <w:sz w:val="22"/>
          <w:szCs w:val="22"/>
        </w:rPr>
        <w:t xml:space="preserve"> located at 300–600m water depth (Machín </w:t>
      </w:r>
      <w:r w:rsidRPr="0006066A">
        <w:rPr>
          <w:i/>
          <w:sz w:val="22"/>
          <w:szCs w:val="22"/>
        </w:rPr>
        <w:t>et al</w:t>
      </w:r>
      <w:r w:rsidRPr="009978E3">
        <w:rPr>
          <w:sz w:val="22"/>
          <w:szCs w:val="22"/>
        </w:rPr>
        <w:t xml:space="preserve">. 2006). Two intermediate water masses are found between 600 and 1,500 m: the low-salinity Antarctic Intermediate Water (AAIW) and the Mediterranean water mass out into the Atlantic (Mediterranean Outflow Water, MOW). Below 1,500 m occurs the North Atlantic Deep Water (NADW). MOW circulation is poorly constrained and flows in three main branches: an intermediate branch towards the northwest, a principal branch towards the west, and a southern branch that plunges as far as the Canary Islands. The latter has been reported at 800 m along the Moroccan margin (Pelegrí </w:t>
      </w:r>
      <w:r w:rsidRPr="0006066A">
        <w:rPr>
          <w:i/>
          <w:sz w:val="22"/>
          <w:szCs w:val="22"/>
        </w:rPr>
        <w:t>et al</w:t>
      </w:r>
      <w:r w:rsidRPr="009978E3">
        <w:rPr>
          <w:sz w:val="22"/>
          <w:szCs w:val="22"/>
        </w:rPr>
        <w:t xml:space="preserve">. 2005), possibly transported through eddies (Ambar </w:t>
      </w:r>
      <w:r w:rsidRPr="0006066A">
        <w:rPr>
          <w:i/>
          <w:sz w:val="22"/>
          <w:szCs w:val="22"/>
        </w:rPr>
        <w:t>et al</w:t>
      </w:r>
      <w:r w:rsidRPr="009978E3">
        <w:rPr>
          <w:sz w:val="22"/>
          <w:szCs w:val="22"/>
        </w:rPr>
        <w:t>. 1999).</w:t>
      </w:r>
    </w:p>
    <w:p w14:paraId="5AA3351E" w14:textId="77777777" w:rsidR="006B3F46" w:rsidRPr="009978E3" w:rsidRDefault="006B3F46" w:rsidP="00907941">
      <w:pPr>
        <w:jc w:val="both"/>
        <w:rPr>
          <w:sz w:val="22"/>
          <w:szCs w:val="22"/>
        </w:rPr>
      </w:pPr>
    </w:p>
    <w:p w14:paraId="4239AC3F" w14:textId="77777777" w:rsidR="006B3F46" w:rsidRPr="009978E3" w:rsidRDefault="006B3F46" w:rsidP="00907941">
      <w:pPr>
        <w:jc w:val="both"/>
        <w:rPr>
          <w:sz w:val="22"/>
          <w:szCs w:val="22"/>
        </w:rPr>
      </w:pPr>
      <w:r w:rsidRPr="009978E3">
        <w:rPr>
          <w:sz w:val="22"/>
          <w:szCs w:val="22"/>
        </w:rPr>
        <w:t>The MOW exerts a greater influence on the bottom of the area as it circulates in contact with the friction surface of the seabed. This interaction with the seabed causes very particular small-scale hydrodynamics, producing subdivisions of the main flow as current energy is dissipated at greater depths.</w:t>
      </w:r>
    </w:p>
    <w:p w14:paraId="3991B964" w14:textId="77777777" w:rsidR="006B3F46" w:rsidRPr="009978E3" w:rsidRDefault="006B3F46" w:rsidP="00907941">
      <w:pPr>
        <w:jc w:val="both"/>
        <w:rPr>
          <w:sz w:val="22"/>
          <w:szCs w:val="22"/>
        </w:rPr>
      </w:pPr>
    </w:p>
    <w:p w14:paraId="2681F644" w14:textId="77777777" w:rsidR="006B3F46" w:rsidRPr="009978E3" w:rsidRDefault="006B3F46" w:rsidP="00907941">
      <w:pPr>
        <w:jc w:val="both"/>
        <w:rPr>
          <w:b/>
          <w:sz w:val="22"/>
          <w:szCs w:val="22"/>
        </w:rPr>
      </w:pPr>
      <w:r w:rsidRPr="009978E3">
        <w:rPr>
          <w:b/>
          <w:sz w:val="22"/>
          <w:szCs w:val="22"/>
        </w:rPr>
        <w:t>Location</w:t>
      </w:r>
    </w:p>
    <w:p w14:paraId="62D14660" w14:textId="77777777" w:rsidR="006B3F46" w:rsidRPr="009978E3" w:rsidRDefault="006B3F46" w:rsidP="00907941">
      <w:pPr>
        <w:jc w:val="both"/>
        <w:rPr>
          <w:sz w:val="22"/>
          <w:szCs w:val="22"/>
        </w:rPr>
      </w:pPr>
      <w:r w:rsidRPr="009978E3">
        <w:rPr>
          <w:sz w:val="22"/>
          <w:szCs w:val="22"/>
        </w:rPr>
        <w:t xml:space="preserve">The </w:t>
      </w:r>
      <w:r>
        <w:rPr>
          <w:sz w:val="22"/>
          <w:szCs w:val="22"/>
        </w:rPr>
        <w:t xml:space="preserve">area </w:t>
      </w:r>
      <w:r w:rsidRPr="009978E3">
        <w:rPr>
          <w:sz w:val="22"/>
          <w:szCs w:val="22"/>
        </w:rPr>
        <w:t>is located to the southwest of the Iberian Peninsula. Its eastern boundary is the Strait of Gibraltar, on the western border of the Mediterranean Sea. It</w:t>
      </w:r>
      <w:r w:rsidRPr="00F27AD3">
        <w:rPr>
          <w:sz w:val="22"/>
          <w:szCs w:val="22"/>
        </w:rPr>
        <w:t xml:space="preserve"> </w:t>
      </w:r>
      <w:r>
        <w:rPr>
          <w:sz w:val="22"/>
          <w:szCs w:val="22"/>
        </w:rPr>
        <w:t xml:space="preserve">is </w:t>
      </w:r>
      <w:r w:rsidRPr="009978E3">
        <w:rPr>
          <w:sz w:val="22"/>
          <w:szCs w:val="22"/>
        </w:rPr>
        <w:t>bounded by the parallels (37º 00'N and 35º 56'N) and meridians (6º 00'W and 7º 24'W).</w:t>
      </w:r>
    </w:p>
    <w:p w14:paraId="1185A925" w14:textId="77777777" w:rsidR="006B3F46" w:rsidRPr="009978E3" w:rsidRDefault="006B3F46" w:rsidP="00907941">
      <w:pPr>
        <w:jc w:val="both"/>
        <w:rPr>
          <w:rFonts w:eastAsia="Andalus"/>
          <w:b/>
          <w:sz w:val="22"/>
          <w:szCs w:val="22"/>
        </w:rPr>
      </w:pPr>
    </w:p>
    <w:p w14:paraId="4FB6A2DE" w14:textId="77777777" w:rsidR="006B3F46" w:rsidRPr="009978E3" w:rsidRDefault="006B3F46" w:rsidP="00907941">
      <w:pPr>
        <w:jc w:val="both"/>
        <w:rPr>
          <w:b/>
          <w:sz w:val="22"/>
          <w:szCs w:val="22"/>
        </w:rPr>
      </w:pPr>
      <w:r w:rsidRPr="009978E3">
        <w:rPr>
          <w:b/>
          <w:sz w:val="22"/>
          <w:szCs w:val="22"/>
        </w:rPr>
        <w:t>Feature description of the area</w:t>
      </w:r>
    </w:p>
    <w:p w14:paraId="2C9301DB" w14:textId="77777777" w:rsidR="006B3F46" w:rsidRPr="009978E3" w:rsidRDefault="006B3F46" w:rsidP="006B3F46">
      <w:pPr>
        <w:numPr>
          <w:ilvl w:val="0"/>
          <w:numId w:val="34"/>
        </w:numPr>
        <w:ind w:left="720" w:hanging="360"/>
        <w:jc w:val="both"/>
        <w:rPr>
          <w:i/>
          <w:sz w:val="22"/>
          <w:szCs w:val="22"/>
        </w:rPr>
      </w:pPr>
      <w:r w:rsidRPr="009978E3">
        <w:rPr>
          <w:i/>
          <w:sz w:val="22"/>
          <w:szCs w:val="22"/>
        </w:rPr>
        <w:t xml:space="preserve">The area includes a variety of benthic habitats that are considered hotspots of biodiversity, including mud volcanoes. </w:t>
      </w:r>
    </w:p>
    <w:p w14:paraId="0552A45B" w14:textId="77777777" w:rsidR="006B3F46" w:rsidRPr="009978E3" w:rsidRDefault="006B3F46" w:rsidP="002E4B39">
      <w:pPr>
        <w:suppressLineNumbers/>
        <w:spacing w:after="120"/>
        <w:jc w:val="both"/>
        <w:rPr>
          <w:sz w:val="22"/>
          <w:szCs w:val="22"/>
        </w:rPr>
      </w:pPr>
      <w:r w:rsidRPr="002E4B39">
        <w:rPr>
          <w:rFonts w:eastAsia="MS Mincho"/>
          <w:sz w:val="22"/>
          <w:szCs w:val="22"/>
          <w:lang w:val="en-US"/>
        </w:rPr>
        <w:t>Unique</w:t>
      </w:r>
      <w:r w:rsidRPr="009978E3">
        <w:rPr>
          <w:sz w:val="22"/>
          <w:szCs w:val="22"/>
        </w:rPr>
        <w:t xml:space="preserve"> and significant geomorphological features are present in the continental margins, and they are known as mud volcanoes (León </w:t>
      </w:r>
      <w:r w:rsidRPr="0006066A">
        <w:rPr>
          <w:i/>
          <w:sz w:val="22"/>
          <w:szCs w:val="22"/>
        </w:rPr>
        <w:t>et al</w:t>
      </w:r>
      <w:r w:rsidRPr="009978E3">
        <w:rPr>
          <w:sz w:val="22"/>
          <w:szCs w:val="22"/>
        </w:rPr>
        <w:t xml:space="preserve">., 2012; Díaz del Río </w:t>
      </w:r>
      <w:r w:rsidRPr="0006066A">
        <w:rPr>
          <w:i/>
          <w:sz w:val="22"/>
          <w:szCs w:val="22"/>
        </w:rPr>
        <w:t>et al</w:t>
      </w:r>
      <w:r w:rsidRPr="009978E3">
        <w:rPr>
          <w:sz w:val="22"/>
          <w:szCs w:val="22"/>
        </w:rPr>
        <w:t xml:space="preserve">., 2014; Mascle </w:t>
      </w:r>
      <w:r w:rsidRPr="0006066A">
        <w:rPr>
          <w:i/>
          <w:sz w:val="22"/>
          <w:szCs w:val="22"/>
        </w:rPr>
        <w:t>et al</w:t>
      </w:r>
      <w:r w:rsidRPr="009978E3">
        <w:rPr>
          <w:sz w:val="22"/>
          <w:szCs w:val="22"/>
        </w:rPr>
        <w:t>., 2014). Mud volcanoes (MVs) are defined as conic edifices constructed by surface extrusion of cold fluids containing mud, saline water and/or gases expelled from a pressurized deep source upwards through structurally controlled conduits (</w:t>
      </w:r>
      <w:r>
        <w:rPr>
          <w:sz w:val="22"/>
          <w:szCs w:val="22"/>
        </w:rPr>
        <w:t>e.g.,</w:t>
      </w:r>
      <w:r w:rsidRPr="009978E3">
        <w:rPr>
          <w:sz w:val="22"/>
          <w:szCs w:val="22"/>
        </w:rPr>
        <w:t xml:space="preserve"> Brown, 1990; Milkov, 2000; Dimitrov, 2002; Kopf 2002). This process causes substantial changes to the surface of deposits, significantly changing the existing reliefs and generating new carbonated structures. In this way, these bottoms become consolidated surfaces or surfaces of a mixed nature, composed of fragments of new carbonate rock created by the bacterial consumption of methane. The active process of the expulsion of fluid saturated gas through them causes high levels of biological diversity in the benthic ecosystems, which in turn determine</w:t>
      </w:r>
      <w:r>
        <w:rPr>
          <w:sz w:val="22"/>
          <w:szCs w:val="22"/>
        </w:rPr>
        <w:t>s</w:t>
      </w:r>
      <w:r w:rsidRPr="009978E3">
        <w:rPr>
          <w:sz w:val="22"/>
          <w:szCs w:val="22"/>
        </w:rPr>
        <w:t xml:space="preserve"> the development of important deep-water habitats. The community associated with these bottoms is composed of symbiont species, such as polychaetes, bivalves and decapods, that excavate galleries, but also of other species not strictly linked to the emissions, and which are characteristic of the bathyal sludge, such as molluscs, sea pens, polychaetes and echinoderms. The communities of sea pens and excavator megafauna are widely distributed across different areas adjacent to the mud volcanoes, presenting high densities (as in the case of Tarshish and Pipoca volcanoes) and low densities (Anastasya) of sea pens (</w:t>
      </w:r>
      <w:r w:rsidRPr="009978E3">
        <w:rPr>
          <w:i/>
          <w:sz w:val="22"/>
          <w:szCs w:val="22"/>
        </w:rPr>
        <w:t>Funiculina quadrangularis</w:t>
      </w:r>
      <w:r w:rsidRPr="009978E3">
        <w:rPr>
          <w:sz w:val="22"/>
          <w:szCs w:val="22"/>
        </w:rPr>
        <w:t xml:space="preserve">, </w:t>
      </w:r>
      <w:r w:rsidRPr="009978E3">
        <w:rPr>
          <w:i/>
          <w:sz w:val="22"/>
          <w:szCs w:val="22"/>
        </w:rPr>
        <w:t>Kophobelemnon stelliferum</w:t>
      </w:r>
      <w:r w:rsidRPr="009978E3">
        <w:rPr>
          <w:sz w:val="22"/>
          <w:szCs w:val="22"/>
        </w:rPr>
        <w:t xml:space="preserve">, </w:t>
      </w:r>
      <w:r w:rsidRPr="009978E3">
        <w:rPr>
          <w:i/>
          <w:sz w:val="22"/>
          <w:szCs w:val="22"/>
        </w:rPr>
        <w:t>Pennatula</w:t>
      </w:r>
      <w:r w:rsidRPr="009978E3">
        <w:rPr>
          <w:sz w:val="22"/>
          <w:szCs w:val="22"/>
        </w:rPr>
        <w:t xml:space="preserve"> cf. </w:t>
      </w:r>
      <w:r w:rsidRPr="009978E3">
        <w:rPr>
          <w:i/>
          <w:sz w:val="22"/>
          <w:szCs w:val="22"/>
        </w:rPr>
        <w:t>aculeata</w:t>
      </w:r>
      <w:r w:rsidRPr="009978E3">
        <w:rPr>
          <w:sz w:val="22"/>
          <w:szCs w:val="22"/>
        </w:rPr>
        <w:t xml:space="preserve">). Other species that are part of this community are the sponge </w:t>
      </w:r>
      <w:r w:rsidRPr="009978E3">
        <w:rPr>
          <w:i/>
          <w:sz w:val="22"/>
          <w:szCs w:val="22"/>
        </w:rPr>
        <w:t>Thenea muricata</w:t>
      </w:r>
      <w:r w:rsidRPr="009978E3">
        <w:rPr>
          <w:sz w:val="22"/>
          <w:szCs w:val="22"/>
        </w:rPr>
        <w:t>, molluscs, decapods, echinoderms and fish (Díaz del Río, 2014, ATLAS, 2019).</w:t>
      </w:r>
    </w:p>
    <w:p w14:paraId="68F4A0DF" w14:textId="77777777" w:rsidR="006B3F46" w:rsidRPr="009978E3" w:rsidRDefault="006B3F46" w:rsidP="002E4B39">
      <w:pPr>
        <w:suppressLineNumbers/>
        <w:spacing w:after="120"/>
        <w:jc w:val="both"/>
        <w:rPr>
          <w:sz w:val="22"/>
          <w:szCs w:val="22"/>
        </w:rPr>
      </w:pPr>
      <w:r w:rsidRPr="002E4B39">
        <w:rPr>
          <w:rFonts w:eastAsia="MS Mincho"/>
          <w:sz w:val="22"/>
          <w:szCs w:val="22"/>
          <w:lang w:val="en-US"/>
        </w:rPr>
        <w:t>Many</w:t>
      </w:r>
      <w:r w:rsidRPr="009978E3">
        <w:rPr>
          <w:sz w:val="22"/>
          <w:szCs w:val="22"/>
        </w:rPr>
        <w:t xml:space="preserve"> other benthic habitats occur in this area, both on soft and rocky bottoms. Among them, there are mud with mixed communities such as bamboo corals </w:t>
      </w:r>
      <w:r>
        <w:rPr>
          <w:sz w:val="22"/>
          <w:szCs w:val="22"/>
        </w:rPr>
        <w:t>(</w:t>
      </w:r>
      <w:r w:rsidRPr="009978E3">
        <w:rPr>
          <w:i/>
          <w:sz w:val="22"/>
          <w:szCs w:val="22"/>
        </w:rPr>
        <w:t xml:space="preserve">Isidella </w:t>
      </w:r>
      <w:r>
        <w:rPr>
          <w:i/>
          <w:sz w:val="22"/>
          <w:szCs w:val="22"/>
        </w:rPr>
        <w:t>elongate)</w:t>
      </w:r>
      <w:r w:rsidRPr="009978E3">
        <w:rPr>
          <w:sz w:val="22"/>
          <w:szCs w:val="22"/>
        </w:rPr>
        <w:t xml:space="preserve">, gorgonian </w:t>
      </w:r>
      <w:r>
        <w:rPr>
          <w:sz w:val="22"/>
          <w:szCs w:val="22"/>
        </w:rPr>
        <w:t>(</w:t>
      </w:r>
      <w:r w:rsidRPr="009978E3">
        <w:rPr>
          <w:i/>
          <w:sz w:val="22"/>
          <w:szCs w:val="22"/>
        </w:rPr>
        <w:t>Radicipes fragilis</w:t>
      </w:r>
      <w:r>
        <w:rPr>
          <w:i/>
          <w:sz w:val="22"/>
          <w:szCs w:val="22"/>
        </w:rPr>
        <w:t>)</w:t>
      </w:r>
      <w:r w:rsidRPr="009978E3">
        <w:rPr>
          <w:sz w:val="22"/>
          <w:szCs w:val="22"/>
        </w:rPr>
        <w:t xml:space="preserve">,  hexactinellid sponges </w:t>
      </w:r>
      <w:r>
        <w:rPr>
          <w:sz w:val="22"/>
          <w:szCs w:val="22"/>
        </w:rPr>
        <w:t>(</w:t>
      </w:r>
      <w:r w:rsidRPr="009978E3">
        <w:rPr>
          <w:i/>
          <w:sz w:val="22"/>
          <w:szCs w:val="22"/>
        </w:rPr>
        <w:t>Pheronema</w:t>
      </w:r>
      <w:r w:rsidRPr="009978E3">
        <w:rPr>
          <w:sz w:val="22"/>
          <w:szCs w:val="22"/>
        </w:rPr>
        <w:t xml:space="preserve"> </w:t>
      </w:r>
      <w:r>
        <w:rPr>
          <w:i/>
          <w:sz w:val="22"/>
          <w:szCs w:val="22"/>
        </w:rPr>
        <w:t>carpenter)</w:t>
      </w:r>
      <w:r w:rsidRPr="009978E3">
        <w:rPr>
          <w:sz w:val="22"/>
          <w:szCs w:val="22"/>
        </w:rPr>
        <w:t xml:space="preserve">, crinoids of the genus </w:t>
      </w:r>
      <w:r w:rsidRPr="009978E3">
        <w:rPr>
          <w:i/>
          <w:sz w:val="22"/>
          <w:szCs w:val="22"/>
        </w:rPr>
        <w:t>Leptometra</w:t>
      </w:r>
      <w:r w:rsidRPr="009978E3">
        <w:rPr>
          <w:sz w:val="22"/>
          <w:szCs w:val="22"/>
        </w:rPr>
        <w:t xml:space="preserve">, cnidarians </w:t>
      </w:r>
      <w:r>
        <w:rPr>
          <w:sz w:val="22"/>
          <w:szCs w:val="22"/>
        </w:rPr>
        <w:t>(</w:t>
      </w:r>
      <w:r w:rsidRPr="009978E3">
        <w:rPr>
          <w:i/>
          <w:sz w:val="22"/>
          <w:szCs w:val="22"/>
        </w:rPr>
        <w:t>Flabellum chunii</w:t>
      </w:r>
      <w:r>
        <w:rPr>
          <w:i/>
          <w:sz w:val="22"/>
          <w:szCs w:val="22"/>
        </w:rPr>
        <w:t>)</w:t>
      </w:r>
      <w:r w:rsidRPr="009978E3">
        <w:rPr>
          <w:sz w:val="22"/>
          <w:szCs w:val="22"/>
        </w:rPr>
        <w:t>; and rocky bottoms with aggregations of gorgonians (</w:t>
      </w:r>
      <w:r w:rsidRPr="009978E3">
        <w:rPr>
          <w:i/>
          <w:sz w:val="22"/>
          <w:szCs w:val="22"/>
        </w:rPr>
        <w:t>Acanthogorgia</w:t>
      </w:r>
      <w:r w:rsidRPr="009978E3">
        <w:rPr>
          <w:sz w:val="22"/>
          <w:szCs w:val="22"/>
        </w:rPr>
        <w:t xml:space="preserve">, </w:t>
      </w:r>
      <w:r w:rsidRPr="009978E3">
        <w:rPr>
          <w:i/>
          <w:sz w:val="22"/>
          <w:szCs w:val="22"/>
        </w:rPr>
        <w:t>Swiftia</w:t>
      </w:r>
      <w:r w:rsidRPr="009978E3">
        <w:rPr>
          <w:sz w:val="22"/>
          <w:szCs w:val="22"/>
        </w:rPr>
        <w:t xml:space="preserve">, </w:t>
      </w:r>
      <w:r w:rsidRPr="009978E3">
        <w:rPr>
          <w:i/>
          <w:sz w:val="22"/>
          <w:szCs w:val="22"/>
        </w:rPr>
        <w:t>Gymnosarca bathybius</w:t>
      </w:r>
      <w:r w:rsidRPr="009978E3">
        <w:rPr>
          <w:sz w:val="22"/>
          <w:szCs w:val="22"/>
        </w:rPr>
        <w:t xml:space="preserve">, </w:t>
      </w:r>
      <w:r w:rsidRPr="009978E3">
        <w:rPr>
          <w:i/>
          <w:sz w:val="22"/>
          <w:szCs w:val="22"/>
        </w:rPr>
        <w:t>Placogorgia</w:t>
      </w:r>
      <w:r w:rsidRPr="009978E3">
        <w:rPr>
          <w:sz w:val="22"/>
          <w:szCs w:val="22"/>
        </w:rPr>
        <w:t xml:space="preserve"> spp., </w:t>
      </w:r>
      <w:r w:rsidRPr="009978E3">
        <w:rPr>
          <w:i/>
          <w:sz w:val="22"/>
          <w:szCs w:val="22"/>
        </w:rPr>
        <w:t>Callogorgia verticillata</w:t>
      </w:r>
      <w:r w:rsidRPr="009978E3">
        <w:rPr>
          <w:sz w:val="22"/>
          <w:szCs w:val="22"/>
        </w:rPr>
        <w:t xml:space="preserve">, </w:t>
      </w:r>
      <w:r w:rsidRPr="009978E3">
        <w:rPr>
          <w:i/>
          <w:sz w:val="22"/>
          <w:szCs w:val="22"/>
        </w:rPr>
        <w:t>Viminella</w:t>
      </w:r>
      <w:r w:rsidRPr="009978E3">
        <w:rPr>
          <w:sz w:val="22"/>
          <w:szCs w:val="22"/>
        </w:rPr>
        <w:t xml:space="preserve"> </w:t>
      </w:r>
      <w:r w:rsidRPr="009978E3">
        <w:rPr>
          <w:i/>
          <w:sz w:val="22"/>
          <w:szCs w:val="22"/>
        </w:rPr>
        <w:t>flagellum, Paramuricea clavata</w:t>
      </w:r>
      <w:r w:rsidRPr="009978E3">
        <w:rPr>
          <w:sz w:val="22"/>
          <w:szCs w:val="22"/>
        </w:rPr>
        <w:t>), black corals (</w:t>
      </w:r>
      <w:r w:rsidRPr="009978E3">
        <w:rPr>
          <w:i/>
          <w:sz w:val="22"/>
          <w:szCs w:val="22"/>
        </w:rPr>
        <w:t>Leiopathes</w:t>
      </w:r>
      <w:r w:rsidRPr="009978E3">
        <w:rPr>
          <w:sz w:val="22"/>
          <w:szCs w:val="22"/>
        </w:rPr>
        <w:t xml:space="preserve">, </w:t>
      </w:r>
      <w:r w:rsidRPr="009978E3">
        <w:rPr>
          <w:i/>
          <w:sz w:val="22"/>
          <w:szCs w:val="22"/>
        </w:rPr>
        <w:t>Stichopathes</w:t>
      </w:r>
      <w:r w:rsidRPr="009978E3">
        <w:rPr>
          <w:sz w:val="22"/>
          <w:szCs w:val="22"/>
        </w:rPr>
        <w:t xml:space="preserve">, </w:t>
      </w:r>
      <w:r w:rsidRPr="009978E3">
        <w:rPr>
          <w:i/>
          <w:sz w:val="22"/>
          <w:szCs w:val="22"/>
        </w:rPr>
        <w:t>Anthipathella</w:t>
      </w:r>
      <w:r w:rsidRPr="009978E3">
        <w:rPr>
          <w:sz w:val="22"/>
          <w:szCs w:val="22"/>
        </w:rPr>
        <w:t>) and scleratinians (</w:t>
      </w:r>
      <w:r w:rsidRPr="009978E3">
        <w:rPr>
          <w:i/>
          <w:sz w:val="22"/>
          <w:szCs w:val="22"/>
        </w:rPr>
        <w:t>Madrepora</w:t>
      </w:r>
      <w:r w:rsidRPr="009978E3">
        <w:rPr>
          <w:sz w:val="22"/>
          <w:szCs w:val="22"/>
        </w:rPr>
        <w:t xml:space="preserve"> </w:t>
      </w:r>
      <w:r w:rsidRPr="009978E3">
        <w:rPr>
          <w:i/>
          <w:sz w:val="22"/>
          <w:szCs w:val="22"/>
        </w:rPr>
        <w:t>oculata</w:t>
      </w:r>
      <w:r w:rsidRPr="009978E3">
        <w:rPr>
          <w:sz w:val="22"/>
          <w:szCs w:val="22"/>
        </w:rPr>
        <w:t xml:space="preserve"> dominates, </w:t>
      </w:r>
      <w:r w:rsidRPr="009978E3">
        <w:rPr>
          <w:i/>
          <w:sz w:val="22"/>
          <w:szCs w:val="22"/>
        </w:rPr>
        <w:t>Lophelia pertusa</w:t>
      </w:r>
      <w:r w:rsidRPr="009978E3">
        <w:rPr>
          <w:sz w:val="22"/>
          <w:szCs w:val="22"/>
        </w:rPr>
        <w:t xml:space="preserve"> and </w:t>
      </w:r>
      <w:r w:rsidRPr="009978E3">
        <w:rPr>
          <w:i/>
          <w:sz w:val="22"/>
          <w:szCs w:val="22"/>
        </w:rPr>
        <w:t>Dendrophyllia cornigera</w:t>
      </w:r>
      <w:r w:rsidRPr="009978E3">
        <w:rPr>
          <w:sz w:val="22"/>
          <w:szCs w:val="22"/>
        </w:rPr>
        <w:t>) (</w:t>
      </w:r>
      <w:r>
        <w:rPr>
          <w:sz w:val="22"/>
          <w:szCs w:val="22"/>
        </w:rPr>
        <w:t>e.g.,</w:t>
      </w:r>
      <w:r w:rsidRPr="009978E3">
        <w:rPr>
          <w:sz w:val="22"/>
          <w:szCs w:val="22"/>
        </w:rPr>
        <w:t xml:space="preserve"> Aguilar </w:t>
      </w:r>
      <w:r w:rsidRPr="0006066A">
        <w:rPr>
          <w:i/>
          <w:sz w:val="22"/>
          <w:szCs w:val="22"/>
        </w:rPr>
        <w:t>et al</w:t>
      </w:r>
      <w:r w:rsidRPr="009978E3">
        <w:rPr>
          <w:sz w:val="22"/>
          <w:szCs w:val="22"/>
        </w:rPr>
        <w:t xml:space="preserve">., 2010; Cúrdia </w:t>
      </w:r>
      <w:r w:rsidRPr="0006066A">
        <w:rPr>
          <w:i/>
          <w:sz w:val="22"/>
          <w:szCs w:val="22"/>
        </w:rPr>
        <w:t>et al</w:t>
      </w:r>
      <w:r w:rsidRPr="009978E3">
        <w:rPr>
          <w:sz w:val="22"/>
          <w:szCs w:val="22"/>
        </w:rPr>
        <w:t xml:space="preserve">., 2012; Fonseca et a., 2013; Díaz del Río, 2014; Boavida </w:t>
      </w:r>
      <w:r w:rsidRPr="0006066A">
        <w:rPr>
          <w:i/>
          <w:sz w:val="22"/>
          <w:szCs w:val="22"/>
        </w:rPr>
        <w:t>et al</w:t>
      </w:r>
      <w:r w:rsidRPr="009978E3">
        <w:rPr>
          <w:sz w:val="22"/>
          <w:szCs w:val="22"/>
        </w:rPr>
        <w:t>., 2016) as well as assemblages of the red coral (</w:t>
      </w:r>
      <w:r w:rsidRPr="009978E3">
        <w:rPr>
          <w:i/>
          <w:sz w:val="22"/>
          <w:szCs w:val="22"/>
        </w:rPr>
        <w:t>Corallium rubrum</w:t>
      </w:r>
      <w:r w:rsidRPr="009978E3">
        <w:rPr>
          <w:sz w:val="22"/>
          <w:szCs w:val="22"/>
        </w:rPr>
        <w:t xml:space="preserve">) deep reefs (Boavida </w:t>
      </w:r>
      <w:r w:rsidRPr="0006066A">
        <w:rPr>
          <w:i/>
          <w:sz w:val="22"/>
          <w:szCs w:val="22"/>
        </w:rPr>
        <w:t>et al</w:t>
      </w:r>
      <w:r w:rsidRPr="009978E3">
        <w:rPr>
          <w:sz w:val="22"/>
          <w:szCs w:val="22"/>
        </w:rPr>
        <w:t>., 2016).</w:t>
      </w:r>
    </w:p>
    <w:p w14:paraId="3E25AFC3" w14:textId="77777777" w:rsidR="006B3F46" w:rsidRPr="009978E3" w:rsidRDefault="006B3F46" w:rsidP="006B3F46">
      <w:pPr>
        <w:numPr>
          <w:ilvl w:val="0"/>
          <w:numId w:val="35"/>
        </w:numPr>
        <w:ind w:left="720" w:hanging="360"/>
        <w:jc w:val="both"/>
        <w:rPr>
          <w:i/>
          <w:sz w:val="22"/>
          <w:szCs w:val="22"/>
        </w:rPr>
      </w:pPr>
      <w:r w:rsidRPr="009978E3">
        <w:rPr>
          <w:i/>
          <w:sz w:val="22"/>
          <w:szCs w:val="22"/>
        </w:rPr>
        <w:t>The area includes habitats for endangered, threatened and declining species.</w:t>
      </w:r>
    </w:p>
    <w:p w14:paraId="63F3B7C4" w14:textId="77777777" w:rsidR="006B3F46" w:rsidRPr="009978E3" w:rsidRDefault="006B3F46" w:rsidP="002E4B39">
      <w:pPr>
        <w:suppressLineNumbers/>
        <w:spacing w:after="120"/>
        <w:jc w:val="both"/>
        <w:rPr>
          <w:sz w:val="22"/>
          <w:szCs w:val="22"/>
        </w:rPr>
      </w:pPr>
      <w:r w:rsidRPr="009978E3">
        <w:rPr>
          <w:sz w:val="22"/>
          <w:szCs w:val="22"/>
        </w:rPr>
        <w:t>Many species recorded in the area are considered endangered, threatened and/or declining species, according to</w:t>
      </w:r>
      <w:r>
        <w:rPr>
          <w:sz w:val="22"/>
          <w:szCs w:val="22"/>
        </w:rPr>
        <w:t>, for example,</w:t>
      </w:r>
      <w:r w:rsidRPr="009978E3">
        <w:rPr>
          <w:sz w:val="22"/>
          <w:szCs w:val="22"/>
        </w:rPr>
        <w:t xml:space="preserve"> the IUCN, OSPAR, ICES</w:t>
      </w:r>
      <w:r>
        <w:rPr>
          <w:sz w:val="22"/>
          <w:szCs w:val="22"/>
        </w:rPr>
        <w:t xml:space="preserve"> and the</w:t>
      </w:r>
      <w:r w:rsidRPr="009978E3">
        <w:rPr>
          <w:sz w:val="22"/>
          <w:szCs w:val="22"/>
        </w:rPr>
        <w:t xml:space="preserve"> </w:t>
      </w:r>
      <w:r>
        <w:rPr>
          <w:sz w:val="22"/>
          <w:szCs w:val="22"/>
        </w:rPr>
        <w:t xml:space="preserve">EU </w:t>
      </w:r>
      <w:r w:rsidRPr="009978E3">
        <w:rPr>
          <w:sz w:val="22"/>
          <w:szCs w:val="22"/>
        </w:rPr>
        <w:t>HABITAT DIRECTIVE.</w:t>
      </w:r>
    </w:p>
    <w:p w14:paraId="301452E0" w14:textId="77777777" w:rsidR="006B3F46" w:rsidRPr="009978E3" w:rsidRDefault="006B3F46" w:rsidP="00907941">
      <w:pPr>
        <w:jc w:val="both"/>
        <w:rPr>
          <w:sz w:val="22"/>
          <w:szCs w:val="22"/>
        </w:rPr>
      </w:pPr>
      <w:r w:rsidRPr="009978E3">
        <w:rPr>
          <w:sz w:val="22"/>
          <w:szCs w:val="22"/>
        </w:rPr>
        <w:t xml:space="preserve">Table 1, below, shows a list of species that are considered endangered, threatened and/or declining by different laws and conventions. Additionally, some species that are not currently protected have been proposed for inclusion (Aguilar </w:t>
      </w:r>
      <w:r w:rsidRPr="0006066A">
        <w:rPr>
          <w:i/>
          <w:sz w:val="22"/>
          <w:szCs w:val="22"/>
        </w:rPr>
        <w:t>et al</w:t>
      </w:r>
      <w:r w:rsidRPr="009978E3">
        <w:rPr>
          <w:sz w:val="22"/>
          <w:szCs w:val="22"/>
        </w:rPr>
        <w:t>., 2010):</w:t>
      </w:r>
    </w:p>
    <w:p w14:paraId="16BC2914" w14:textId="77777777" w:rsidR="006B3F46" w:rsidRPr="009978E3" w:rsidRDefault="006B3F46" w:rsidP="00907941">
      <w:pPr>
        <w:jc w:val="both"/>
        <w:rPr>
          <w:sz w:val="22"/>
          <w:szCs w:val="22"/>
        </w:rPr>
      </w:pPr>
    </w:p>
    <w:tbl>
      <w:tblPr>
        <w:tblW w:w="0" w:type="auto"/>
        <w:tblInd w:w="98" w:type="dxa"/>
        <w:tblBorders>
          <w:insideH w:val="single" w:sz="2" w:space="0" w:color="000000"/>
        </w:tblBorders>
        <w:tblCellMar>
          <w:left w:w="10" w:type="dxa"/>
          <w:right w:w="10" w:type="dxa"/>
        </w:tblCellMar>
        <w:tblLook w:val="0000" w:firstRow="0" w:lastRow="0" w:firstColumn="0" w:lastColumn="0" w:noHBand="0" w:noVBand="0"/>
      </w:tblPr>
      <w:tblGrid>
        <w:gridCol w:w="4273"/>
        <w:gridCol w:w="5014"/>
      </w:tblGrid>
      <w:tr w:rsidR="006B3F46" w:rsidRPr="0021277B" w14:paraId="2B777CD4" w14:textId="77777777" w:rsidTr="00907941">
        <w:trPr>
          <w:trHeight w:val="1"/>
        </w:trPr>
        <w:tc>
          <w:tcPr>
            <w:tcW w:w="4273" w:type="dxa"/>
            <w:shd w:val="clear" w:color="000000" w:fill="FFFFFF"/>
            <w:tcMar>
              <w:left w:w="108" w:type="dxa"/>
              <w:right w:w="108" w:type="dxa"/>
            </w:tcMar>
          </w:tcPr>
          <w:p w14:paraId="4B80A59A" w14:textId="77777777" w:rsidR="006B3F46" w:rsidRPr="00F66EF7" w:rsidRDefault="006B3F46" w:rsidP="00907941">
            <w:pPr>
              <w:jc w:val="both"/>
              <w:rPr>
                <w:rFonts w:eastAsia="Calibri"/>
                <w:sz w:val="22"/>
                <w:szCs w:val="22"/>
              </w:rPr>
            </w:pPr>
            <w:r w:rsidRPr="009978E3">
              <w:rPr>
                <w:noProof/>
                <w:sz w:val="22"/>
                <w:szCs w:val="22"/>
              </w:rPr>
              <w:object w:dxaOrig="5520" w:dyaOrig="7521" w14:anchorId="421C8559">
                <v:rect id="rectole0000000010" o:spid="_x0000_i1086" style="width:195.75pt;height:265.5pt;mso-position-horizontal-relative:char;mso-position-vertical-relative:line" o:ole="" o:preferrelative="t" stroked="f">
                  <v:imagedata r:id="rId162" o:title=""/>
                </v:rect>
                <o:OLEObject Type="Embed" ProgID="StaticMetafile" ShapeID="rectole0000000010" DrawAspect="Content" ObjectID="_1639044470" r:id="rId163"/>
              </w:object>
            </w:r>
          </w:p>
        </w:tc>
        <w:tc>
          <w:tcPr>
            <w:tcW w:w="5014" w:type="dxa"/>
            <w:shd w:val="clear" w:color="000000" w:fill="FFFFFF"/>
            <w:tcMar>
              <w:left w:w="108" w:type="dxa"/>
              <w:right w:w="108" w:type="dxa"/>
            </w:tcMar>
          </w:tcPr>
          <w:p w14:paraId="215DEDC6" w14:textId="77777777" w:rsidR="006B3F46" w:rsidRPr="00F66EF7" w:rsidRDefault="006B3F46" w:rsidP="00907941">
            <w:pPr>
              <w:jc w:val="both"/>
              <w:rPr>
                <w:rFonts w:eastAsia="Calibri"/>
                <w:sz w:val="22"/>
                <w:szCs w:val="22"/>
              </w:rPr>
            </w:pPr>
            <w:r w:rsidRPr="009978E3">
              <w:rPr>
                <w:noProof/>
                <w:sz w:val="22"/>
                <w:szCs w:val="22"/>
              </w:rPr>
              <w:object w:dxaOrig="5520" w:dyaOrig="10359" w14:anchorId="5B347B53">
                <v:rect id="rectole0000000011" o:spid="_x0000_i1087" style="width:231pt;height:434.25pt;mso-position-horizontal-relative:char;mso-position-vertical-relative:line" o:ole="" o:preferrelative="t" stroked="f">
                  <v:imagedata r:id="rId164" o:title=""/>
                </v:rect>
                <o:OLEObject Type="Embed" ProgID="StaticMetafile" ShapeID="rectole0000000011" DrawAspect="Content" ObjectID="_1639044471" r:id="rId165"/>
              </w:object>
            </w:r>
          </w:p>
        </w:tc>
      </w:tr>
    </w:tbl>
    <w:p w14:paraId="72594614" w14:textId="5B0E8A16" w:rsidR="006B3F46" w:rsidRPr="009978E3" w:rsidRDefault="006B3F46" w:rsidP="00907941">
      <w:pPr>
        <w:jc w:val="both"/>
        <w:rPr>
          <w:sz w:val="22"/>
          <w:szCs w:val="22"/>
        </w:rPr>
      </w:pPr>
    </w:p>
    <w:tbl>
      <w:tblPr>
        <w:tblW w:w="0" w:type="auto"/>
        <w:tblInd w:w="98" w:type="dxa"/>
        <w:tblBorders>
          <w:insideH w:val="single" w:sz="2" w:space="0" w:color="000000"/>
          <w:insideV w:val="single" w:sz="2" w:space="0" w:color="000000"/>
        </w:tblBorders>
        <w:tblCellMar>
          <w:left w:w="10" w:type="dxa"/>
          <w:right w:w="10" w:type="dxa"/>
        </w:tblCellMar>
        <w:tblLook w:val="0000" w:firstRow="0" w:lastRow="0" w:firstColumn="0" w:lastColumn="0" w:noHBand="0" w:noVBand="0"/>
      </w:tblPr>
      <w:tblGrid>
        <w:gridCol w:w="9211"/>
      </w:tblGrid>
      <w:tr w:rsidR="006B3F46" w:rsidRPr="0021277B" w14:paraId="36611673" w14:textId="77777777" w:rsidTr="00907941">
        <w:trPr>
          <w:trHeight w:val="1"/>
        </w:trPr>
        <w:tc>
          <w:tcPr>
            <w:tcW w:w="9211" w:type="dxa"/>
            <w:shd w:val="clear" w:color="000000" w:fill="FFFFFF"/>
            <w:tcMar>
              <w:left w:w="108" w:type="dxa"/>
              <w:right w:w="108" w:type="dxa"/>
            </w:tcMar>
          </w:tcPr>
          <w:p w14:paraId="65E25198" w14:textId="77777777" w:rsidR="006B3F46" w:rsidRPr="00F66EF7" w:rsidRDefault="006B3F46" w:rsidP="00907941">
            <w:pPr>
              <w:jc w:val="both"/>
              <w:rPr>
                <w:rFonts w:eastAsia="Calibri"/>
                <w:sz w:val="22"/>
                <w:szCs w:val="22"/>
              </w:rPr>
            </w:pPr>
            <w:r w:rsidRPr="009978E3">
              <w:rPr>
                <w:noProof/>
                <w:sz w:val="22"/>
                <w:szCs w:val="22"/>
              </w:rPr>
              <w:object w:dxaOrig="5519" w:dyaOrig="10460" w14:anchorId="076C10BF">
                <v:rect id="rectole0000000012" o:spid="_x0000_i1088" style="width:240.75pt;height:456pt;mso-position-horizontal-relative:char;mso-position-vertical-relative:line" o:ole="" o:preferrelative="t" stroked="f">
                  <v:imagedata r:id="rId166" o:title=""/>
                </v:rect>
                <o:OLEObject Type="Embed" ProgID="StaticMetafile" ShapeID="rectole0000000012" DrawAspect="Content" ObjectID="_1639044472" r:id="rId167"/>
              </w:object>
            </w:r>
          </w:p>
        </w:tc>
      </w:tr>
    </w:tbl>
    <w:p w14:paraId="45A718A3" w14:textId="77777777" w:rsidR="006B3F46" w:rsidRPr="009978E3" w:rsidRDefault="006B3F46" w:rsidP="00907941">
      <w:pPr>
        <w:jc w:val="both"/>
        <w:rPr>
          <w:b/>
          <w:sz w:val="22"/>
          <w:szCs w:val="22"/>
        </w:rPr>
      </w:pPr>
      <w:r w:rsidRPr="0021277B">
        <w:rPr>
          <w:bCs/>
          <w:sz w:val="22"/>
          <w:szCs w:val="22"/>
        </w:rPr>
        <w:t>Table 1:</w:t>
      </w:r>
      <w:r w:rsidRPr="00F66EF7">
        <w:rPr>
          <w:b/>
          <w:sz w:val="22"/>
          <w:szCs w:val="22"/>
        </w:rPr>
        <w:t xml:space="preserve"> </w:t>
      </w:r>
      <w:r w:rsidRPr="009978E3">
        <w:rPr>
          <w:sz w:val="22"/>
          <w:szCs w:val="22"/>
        </w:rPr>
        <w:t>Endangered, threatened and/or declining species in the area</w:t>
      </w:r>
      <w:r>
        <w:rPr>
          <w:sz w:val="22"/>
          <w:szCs w:val="22"/>
        </w:rPr>
        <w:t xml:space="preserve"> </w:t>
      </w:r>
    </w:p>
    <w:p w14:paraId="3668FD68" w14:textId="77777777" w:rsidR="006B3F46" w:rsidRPr="009978E3" w:rsidRDefault="006B3F46" w:rsidP="00907941">
      <w:pPr>
        <w:jc w:val="both"/>
        <w:rPr>
          <w:sz w:val="22"/>
          <w:szCs w:val="22"/>
        </w:rPr>
      </w:pPr>
    </w:p>
    <w:p w14:paraId="74CE509A" w14:textId="77777777" w:rsidR="006B3F46" w:rsidRPr="009978E3" w:rsidRDefault="006B3F46" w:rsidP="00907941">
      <w:pPr>
        <w:jc w:val="both"/>
        <w:rPr>
          <w:sz w:val="22"/>
          <w:szCs w:val="22"/>
        </w:rPr>
      </w:pPr>
      <w:r>
        <w:rPr>
          <w:sz w:val="22"/>
          <w:szCs w:val="22"/>
        </w:rPr>
        <w:t>T</w:t>
      </w:r>
      <w:r w:rsidRPr="009978E3">
        <w:rPr>
          <w:sz w:val="22"/>
          <w:szCs w:val="22"/>
        </w:rPr>
        <w:t>he following habitats are also endangered or threatened and are considered by different laws and conventions:</w:t>
      </w:r>
    </w:p>
    <w:p w14:paraId="29F70B46" w14:textId="77777777" w:rsidR="006B3F46" w:rsidRPr="009978E3" w:rsidRDefault="006B3F46" w:rsidP="00907941">
      <w:pPr>
        <w:jc w:val="both"/>
        <w:rPr>
          <w:sz w:val="22"/>
          <w:szCs w:val="22"/>
        </w:rPr>
      </w:pPr>
    </w:p>
    <w:p w14:paraId="0578427E" w14:textId="77777777" w:rsidR="006B3F46" w:rsidRPr="009978E3" w:rsidRDefault="006B3F46" w:rsidP="00907941">
      <w:pPr>
        <w:jc w:val="both"/>
        <w:rPr>
          <w:sz w:val="22"/>
          <w:szCs w:val="22"/>
          <w:u w:val="single"/>
        </w:rPr>
      </w:pPr>
      <w:r w:rsidRPr="009978E3">
        <w:rPr>
          <w:sz w:val="22"/>
          <w:szCs w:val="22"/>
          <w:u w:val="single"/>
        </w:rPr>
        <w:t>OSPAR Habitats</w:t>
      </w:r>
    </w:p>
    <w:p w14:paraId="719B88E1" w14:textId="77777777" w:rsidR="006B3F46" w:rsidRPr="009978E3" w:rsidRDefault="006B3F46" w:rsidP="00907941">
      <w:pPr>
        <w:jc w:val="both"/>
        <w:rPr>
          <w:sz w:val="22"/>
          <w:szCs w:val="22"/>
          <w:shd w:val="clear" w:color="auto" w:fill="FFFFFF"/>
        </w:rPr>
      </w:pPr>
      <w:r w:rsidRPr="009978E3">
        <w:rPr>
          <w:sz w:val="22"/>
          <w:szCs w:val="22"/>
          <w:shd w:val="clear" w:color="auto" w:fill="FFFFFF"/>
        </w:rPr>
        <w:t>Coral gardens</w:t>
      </w:r>
    </w:p>
    <w:p w14:paraId="76DF06E9" w14:textId="77777777" w:rsidR="006B3F46" w:rsidRPr="009978E3" w:rsidRDefault="006B3F46" w:rsidP="00907941">
      <w:pPr>
        <w:jc w:val="both"/>
        <w:rPr>
          <w:sz w:val="22"/>
          <w:szCs w:val="22"/>
          <w:shd w:val="clear" w:color="auto" w:fill="FFFFFF"/>
        </w:rPr>
      </w:pPr>
      <w:r w:rsidRPr="009978E3">
        <w:rPr>
          <w:sz w:val="22"/>
          <w:szCs w:val="22"/>
          <w:shd w:val="clear" w:color="auto" w:fill="FFFFFF"/>
        </w:rPr>
        <w:t>Deep-sea sponge aggregations</w:t>
      </w:r>
    </w:p>
    <w:p w14:paraId="65191D7E" w14:textId="77777777" w:rsidR="006B3F46" w:rsidRPr="009978E3" w:rsidRDefault="006B3F46" w:rsidP="00907941">
      <w:pPr>
        <w:jc w:val="both"/>
        <w:rPr>
          <w:sz w:val="22"/>
          <w:szCs w:val="22"/>
          <w:shd w:val="clear" w:color="auto" w:fill="FFFFFF"/>
        </w:rPr>
      </w:pPr>
      <w:r w:rsidRPr="009978E3">
        <w:rPr>
          <w:sz w:val="22"/>
          <w:szCs w:val="22"/>
          <w:shd w:val="clear" w:color="auto" w:fill="FFFFFF"/>
        </w:rPr>
        <w:t>Seamounts</w:t>
      </w:r>
    </w:p>
    <w:p w14:paraId="0F8D4690" w14:textId="77777777" w:rsidR="006B3F46" w:rsidRPr="009978E3" w:rsidRDefault="006B3F46" w:rsidP="00907941">
      <w:pPr>
        <w:jc w:val="both"/>
        <w:rPr>
          <w:sz w:val="22"/>
          <w:szCs w:val="22"/>
          <w:shd w:val="clear" w:color="auto" w:fill="FFFFFF"/>
        </w:rPr>
      </w:pPr>
      <w:r w:rsidRPr="009978E3">
        <w:rPr>
          <w:sz w:val="22"/>
          <w:szCs w:val="22"/>
          <w:shd w:val="clear" w:color="auto" w:fill="FFFFFF"/>
        </w:rPr>
        <w:t>Sea-Pen &amp; Burrowing Megafauna Communities</w:t>
      </w:r>
    </w:p>
    <w:p w14:paraId="39D8C958" w14:textId="77777777" w:rsidR="006B3F46" w:rsidRPr="009978E3" w:rsidRDefault="006B3F46" w:rsidP="00907941">
      <w:pPr>
        <w:jc w:val="both"/>
        <w:rPr>
          <w:i/>
          <w:sz w:val="22"/>
          <w:szCs w:val="22"/>
          <w:u w:val="single"/>
          <w:shd w:val="clear" w:color="auto" w:fill="FFFFFF"/>
        </w:rPr>
      </w:pPr>
    </w:p>
    <w:p w14:paraId="4CB1164D" w14:textId="77777777" w:rsidR="006B3F46" w:rsidRPr="009978E3" w:rsidRDefault="006B3F46" w:rsidP="00907941">
      <w:pPr>
        <w:jc w:val="both"/>
        <w:rPr>
          <w:sz w:val="22"/>
          <w:szCs w:val="22"/>
          <w:u w:val="single"/>
        </w:rPr>
      </w:pPr>
      <w:r w:rsidRPr="009978E3">
        <w:rPr>
          <w:sz w:val="22"/>
          <w:szCs w:val="22"/>
          <w:u w:val="single"/>
        </w:rPr>
        <w:t>Habitat Directive Habitats</w:t>
      </w:r>
    </w:p>
    <w:p w14:paraId="40B15FF0" w14:textId="77777777" w:rsidR="006B3F46" w:rsidRPr="009978E3" w:rsidRDefault="006B3F46" w:rsidP="00907941">
      <w:pPr>
        <w:jc w:val="both"/>
        <w:rPr>
          <w:sz w:val="22"/>
          <w:szCs w:val="22"/>
          <w:shd w:val="clear" w:color="auto" w:fill="FFFFFF"/>
        </w:rPr>
      </w:pPr>
      <w:r w:rsidRPr="009978E3">
        <w:rPr>
          <w:sz w:val="22"/>
          <w:szCs w:val="22"/>
          <w:shd w:val="clear" w:color="auto" w:fill="FFFFFF"/>
        </w:rPr>
        <w:t>1170 Reefs</w:t>
      </w:r>
    </w:p>
    <w:p w14:paraId="6FBA5D77" w14:textId="77777777" w:rsidR="006B3F46" w:rsidRPr="009978E3" w:rsidRDefault="006B3F46" w:rsidP="002E4B39">
      <w:pPr>
        <w:suppressLineNumbers/>
        <w:spacing w:after="120"/>
        <w:jc w:val="both"/>
        <w:rPr>
          <w:sz w:val="22"/>
          <w:szCs w:val="22"/>
          <w:shd w:val="clear" w:color="auto" w:fill="FFFFFF"/>
        </w:rPr>
      </w:pPr>
      <w:r w:rsidRPr="009978E3">
        <w:rPr>
          <w:sz w:val="22"/>
          <w:szCs w:val="22"/>
          <w:shd w:val="clear" w:color="auto" w:fill="FFFFFF"/>
        </w:rPr>
        <w:t>1180 Submarine structures made by leaking gases</w:t>
      </w:r>
    </w:p>
    <w:p w14:paraId="4BCAD149" w14:textId="77777777" w:rsidR="006B3F46" w:rsidRPr="009978E3" w:rsidRDefault="006B3F46" w:rsidP="002E4B39">
      <w:pPr>
        <w:numPr>
          <w:ilvl w:val="0"/>
          <w:numId w:val="36"/>
        </w:numPr>
        <w:spacing w:after="120"/>
        <w:ind w:left="714" w:hanging="357"/>
        <w:jc w:val="both"/>
        <w:rPr>
          <w:i/>
          <w:sz w:val="22"/>
          <w:szCs w:val="22"/>
        </w:rPr>
      </w:pPr>
      <w:r w:rsidRPr="009978E3">
        <w:rPr>
          <w:i/>
          <w:sz w:val="22"/>
          <w:szCs w:val="22"/>
        </w:rPr>
        <w:t xml:space="preserve">The area is important for cetaceans. </w:t>
      </w:r>
    </w:p>
    <w:p w14:paraId="28A7D1B3" w14:textId="77777777" w:rsidR="006B3F46" w:rsidRPr="009978E3" w:rsidRDefault="006B3F46" w:rsidP="002E4B39">
      <w:pPr>
        <w:suppressLineNumbers/>
        <w:spacing w:after="120"/>
        <w:jc w:val="both"/>
        <w:rPr>
          <w:sz w:val="22"/>
          <w:szCs w:val="22"/>
        </w:rPr>
      </w:pPr>
      <w:r w:rsidRPr="009978E3">
        <w:rPr>
          <w:sz w:val="22"/>
          <w:szCs w:val="22"/>
        </w:rPr>
        <w:t>This Atlantic–</w:t>
      </w:r>
      <w:r w:rsidRPr="002E4B39">
        <w:rPr>
          <w:rFonts w:eastAsia="MS Mincho"/>
          <w:sz w:val="22"/>
          <w:szCs w:val="22"/>
          <w:lang w:val="en-US"/>
        </w:rPr>
        <w:t>Mediterranean</w:t>
      </w:r>
      <w:r w:rsidRPr="009978E3">
        <w:rPr>
          <w:sz w:val="22"/>
          <w:szCs w:val="22"/>
        </w:rPr>
        <w:t xml:space="preserve"> water interface is considered a biogeographic boundary (Sanjuán </w:t>
      </w:r>
      <w:r w:rsidRPr="0006066A">
        <w:rPr>
          <w:i/>
          <w:sz w:val="22"/>
          <w:szCs w:val="22"/>
        </w:rPr>
        <w:t>et al</w:t>
      </w:r>
      <w:r w:rsidRPr="009978E3">
        <w:rPr>
          <w:sz w:val="22"/>
          <w:szCs w:val="22"/>
        </w:rPr>
        <w:t xml:space="preserve">. 1994).  Nevertheless, there is substantial transport of organisms across this ecotone, and different cetaceans species are present in </w:t>
      </w:r>
      <w:r>
        <w:rPr>
          <w:sz w:val="22"/>
          <w:szCs w:val="22"/>
        </w:rPr>
        <w:t xml:space="preserve">the </w:t>
      </w:r>
      <w:r w:rsidRPr="009978E3">
        <w:rPr>
          <w:sz w:val="22"/>
          <w:szCs w:val="22"/>
        </w:rPr>
        <w:t>waters of the Gulf of Cádiz and Strait of Gibraltar: short-beaked common dolphins (</w:t>
      </w:r>
      <w:r w:rsidRPr="009978E3">
        <w:rPr>
          <w:i/>
          <w:sz w:val="22"/>
          <w:szCs w:val="22"/>
        </w:rPr>
        <w:t>Delphinus delphis</w:t>
      </w:r>
      <w:r w:rsidRPr="009978E3">
        <w:rPr>
          <w:sz w:val="22"/>
          <w:szCs w:val="22"/>
        </w:rPr>
        <w:t>), striped dolphins (</w:t>
      </w:r>
      <w:r w:rsidRPr="009978E3">
        <w:rPr>
          <w:i/>
          <w:sz w:val="22"/>
          <w:szCs w:val="22"/>
        </w:rPr>
        <w:t>Stenella coeruleoalba</w:t>
      </w:r>
      <w:r w:rsidRPr="009978E3">
        <w:rPr>
          <w:sz w:val="22"/>
          <w:szCs w:val="22"/>
        </w:rPr>
        <w:t>), bottlenose dolphins (</w:t>
      </w:r>
      <w:r w:rsidRPr="009978E3">
        <w:rPr>
          <w:i/>
          <w:sz w:val="22"/>
          <w:szCs w:val="22"/>
        </w:rPr>
        <w:t>Tursiops truncatus</w:t>
      </w:r>
      <w:r w:rsidRPr="009978E3">
        <w:rPr>
          <w:sz w:val="22"/>
          <w:szCs w:val="22"/>
        </w:rPr>
        <w:t>), long-finned pilot whales (</w:t>
      </w:r>
      <w:r w:rsidRPr="009978E3">
        <w:rPr>
          <w:i/>
          <w:sz w:val="22"/>
          <w:szCs w:val="22"/>
        </w:rPr>
        <w:t>Globicephala melas</w:t>
      </w:r>
      <w:r w:rsidRPr="009978E3">
        <w:rPr>
          <w:sz w:val="22"/>
          <w:szCs w:val="22"/>
        </w:rPr>
        <w:t>), sperm whales (</w:t>
      </w:r>
      <w:r w:rsidRPr="009978E3">
        <w:rPr>
          <w:i/>
          <w:sz w:val="22"/>
          <w:szCs w:val="22"/>
        </w:rPr>
        <w:t>Physeter macrocephalus</w:t>
      </w:r>
      <w:r w:rsidRPr="009978E3">
        <w:rPr>
          <w:sz w:val="22"/>
          <w:szCs w:val="22"/>
        </w:rPr>
        <w:t>) and killer whales (</w:t>
      </w:r>
      <w:r w:rsidRPr="009978E3">
        <w:rPr>
          <w:i/>
          <w:sz w:val="22"/>
          <w:szCs w:val="22"/>
        </w:rPr>
        <w:t>Orcinus orca</w:t>
      </w:r>
      <w:r w:rsidRPr="009978E3">
        <w:rPr>
          <w:sz w:val="22"/>
          <w:szCs w:val="22"/>
        </w:rPr>
        <w:t xml:space="preserve">) (De Stephanis </w:t>
      </w:r>
      <w:r w:rsidRPr="0006066A">
        <w:rPr>
          <w:i/>
          <w:sz w:val="22"/>
          <w:szCs w:val="22"/>
        </w:rPr>
        <w:t>et al</w:t>
      </w:r>
      <w:r w:rsidRPr="009978E3">
        <w:rPr>
          <w:sz w:val="22"/>
          <w:szCs w:val="22"/>
        </w:rPr>
        <w:t xml:space="preserve">., 2008). </w:t>
      </w:r>
    </w:p>
    <w:p w14:paraId="185E574B" w14:textId="77777777" w:rsidR="006B3F46" w:rsidRPr="009978E3" w:rsidRDefault="006B3F46" w:rsidP="002E4B39">
      <w:pPr>
        <w:suppressLineNumbers/>
        <w:spacing w:after="120"/>
        <w:jc w:val="both"/>
        <w:rPr>
          <w:sz w:val="22"/>
          <w:szCs w:val="22"/>
        </w:rPr>
      </w:pPr>
      <w:r>
        <w:rPr>
          <w:sz w:val="22"/>
          <w:szCs w:val="22"/>
        </w:rPr>
        <w:t>D</w:t>
      </w:r>
      <w:r w:rsidRPr="009978E3">
        <w:rPr>
          <w:sz w:val="22"/>
          <w:szCs w:val="22"/>
        </w:rPr>
        <w:t>uring spring and summer this area provides essential feeding and nursing habitat for killer whales (</w:t>
      </w:r>
      <w:r w:rsidRPr="009978E3">
        <w:rPr>
          <w:i/>
          <w:sz w:val="22"/>
          <w:szCs w:val="22"/>
        </w:rPr>
        <w:t>Orcinus orca</w:t>
      </w:r>
      <w:r w:rsidRPr="009978E3">
        <w:rPr>
          <w:sz w:val="22"/>
          <w:szCs w:val="22"/>
        </w:rPr>
        <w:t xml:space="preserve">). The small seasonal resident population of 39 killer whales, which are genetically and ecologically distinct from killer whales in the Atlantic Ocean, use the area, and the same individuals have been re-sighted annually from 1999 to 2016. They belong to five social pods, which were stable over the study period (Esteban </w:t>
      </w:r>
      <w:r w:rsidRPr="0006066A">
        <w:rPr>
          <w:i/>
          <w:sz w:val="22"/>
          <w:szCs w:val="22"/>
        </w:rPr>
        <w:t>et al</w:t>
      </w:r>
      <w:r w:rsidRPr="009978E3">
        <w:rPr>
          <w:sz w:val="22"/>
          <w:szCs w:val="22"/>
        </w:rPr>
        <w:t xml:space="preserve">., 2014; 2016). Esteban </w:t>
      </w:r>
      <w:r w:rsidRPr="0006066A">
        <w:rPr>
          <w:i/>
          <w:sz w:val="22"/>
          <w:szCs w:val="22"/>
        </w:rPr>
        <w:t>et al</w:t>
      </w:r>
      <w:r w:rsidRPr="009978E3">
        <w:rPr>
          <w:sz w:val="22"/>
          <w:szCs w:val="22"/>
        </w:rPr>
        <w:t>. (2014) showed, using model predictions, that killer whale occurrence in the Strait is related to the migration of their main prey, Atlantic bluefin tuna (</w:t>
      </w:r>
      <w:r w:rsidRPr="009978E3">
        <w:rPr>
          <w:i/>
          <w:sz w:val="22"/>
          <w:szCs w:val="22"/>
        </w:rPr>
        <w:t>Thunnus thynnus</w:t>
      </w:r>
      <w:r w:rsidRPr="009978E3">
        <w:rPr>
          <w:sz w:val="22"/>
          <w:szCs w:val="22"/>
        </w:rPr>
        <w:t>)</w:t>
      </w:r>
      <w:r w:rsidRPr="009978E3">
        <w:rPr>
          <w:i/>
          <w:sz w:val="22"/>
          <w:szCs w:val="22"/>
        </w:rPr>
        <w:t xml:space="preserve">. </w:t>
      </w:r>
      <w:r w:rsidRPr="009978E3">
        <w:rPr>
          <w:sz w:val="22"/>
          <w:szCs w:val="22"/>
        </w:rPr>
        <w:t xml:space="preserve">In spring, whale distribution was restricted to shallow waters off the western coast of the Strait, where all pods were observed actively hunting tuna. In summer, the whales were observed towards the shallow central waters of the Strait. A relatively new feeding strategy has been observed among two of the five pods. These two pods interact with an artisanal drop-line fishery. Pods predating the fishery had access to larger tuna in comparison with pods that were actively hunting. The Strait of Gibraltar killer whales are socially and ecologically different from individuals in the Canary Islands, where genetic research has indicated that there is little or no female-mediated gene </w:t>
      </w:r>
      <w:r w:rsidRPr="002E4B39">
        <w:rPr>
          <w:rFonts w:eastAsia="MS Mincho"/>
          <w:sz w:val="22"/>
          <w:szCs w:val="22"/>
          <w:lang w:val="en-US"/>
        </w:rPr>
        <w:t>migration</w:t>
      </w:r>
      <w:r w:rsidRPr="009978E3">
        <w:rPr>
          <w:sz w:val="22"/>
          <w:szCs w:val="22"/>
        </w:rPr>
        <w:t xml:space="preserve"> between these areas (Esteban </w:t>
      </w:r>
      <w:r w:rsidRPr="0006066A">
        <w:rPr>
          <w:i/>
          <w:sz w:val="22"/>
          <w:szCs w:val="22"/>
        </w:rPr>
        <w:t>et al</w:t>
      </w:r>
      <w:r w:rsidRPr="009978E3">
        <w:rPr>
          <w:sz w:val="22"/>
          <w:szCs w:val="22"/>
        </w:rPr>
        <w:t xml:space="preserve">., 2016). </w:t>
      </w:r>
    </w:p>
    <w:p w14:paraId="34B927FF" w14:textId="77777777" w:rsidR="006B3F46" w:rsidRPr="009978E3" w:rsidRDefault="006B3F46" w:rsidP="002E4B39">
      <w:pPr>
        <w:suppressLineNumbers/>
        <w:spacing w:after="120"/>
        <w:jc w:val="both"/>
        <w:rPr>
          <w:sz w:val="22"/>
          <w:szCs w:val="22"/>
        </w:rPr>
      </w:pPr>
      <w:r w:rsidRPr="009978E3">
        <w:rPr>
          <w:sz w:val="22"/>
          <w:szCs w:val="22"/>
        </w:rPr>
        <w:t>The Strait of Gibraltar subpopulation of killer whales is considered vulnerable in the Spanish National Catalogue of Endangered Species but may be considered endangered based upon other monitoring studies. In 2016 the area of the Strait of Gibraltar and Gulf of C</w:t>
      </w:r>
      <w:r>
        <w:rPr>
          <w:sz w:val="22"/>
          <w:szCs w:val="22"/>
        </w:rPr>
        <w:t>á</w:t>
      </w:r>
      <w:r w:rsidRPr="009978E3">
        <w:rPr>
          <w:sz w:val="22"/>
          <w:szCs w:val="22"/>
        </w:rPr>
        <w:t>diz was classified as an Important Marine Mammal Area (IMMA) resulting from the assessment of experts within the IUCN joint SSC/WCPA Marine Mammals Taskforce (IUCN MMPATF, 2017</w:t>
      </w:r>
      <w:r>
        <w:rPr>
          <w:sz w:val="22"/>
          <w:szCs w:val="22"/>
        </w:rPr>
        <w:t>;</w:t>
      </w:r>
      <w:r w:rsidRPr="009978E3">
        <w:rPr>
          <w:sz w:val="22"/>
          <w:szCs w:val="22"/>
        </w:rPr>
        <w:t xml:space="preserve"> IUCN MMPATF, 2019).</w:t>
      </w:r>
    </w:p>
    <w:p w14:paraId="40509357" w14:textId="77777777" w:rsidR="006B3F46" w:rsidRPr="0021277B" w:rsidRDefault="006B3F46" w:rsidP="006B3F46">
      <w:pPr>
        <w:numPr>
          <w:ilvl w:val="0"/>
          <w:numId w:val="37"/>
        </w:numPr>
        <w:spacing w:after="23"/>
        <w:ind w:left="720" w:hanging="360"/>
        <w:jc w:val="both"/>
        <w:rPr>
          <w:sz w:val="22"/>
          <w:szCs w:val="22"/>
        </w:rPr>
      </w:pPr>
      <w:r w:rsidRPr="009978E3">
        <w:rPr>
          <w:i/>
          <w:sz w:val="22"/>
          <w:szCs w:val="22"/>
        </w:rPr>
        <w:t xml:space="preserve">The area is also a seasonal migratory pathway for a large migratory pelagic species: Atlantic bluefin tuna </w:t>
      </w:r>
      <w:r w:rsidRPr="0021277B">
        <w:rPr>
          <w:sz w:val="22"/>
          <w:szCs w:val="22"/>
        </w:rPr>
        <w:t>(</w:t>
      </w:r>
      <w:r w:rsidRPr="0021277B">
        <w:rPr>
          <w:iCs/>
          <w:sz w:val="22"/>
          <w:szCs w:val="22"/>
        </w:rPr>
        <w:t>Thunnus thynnus</w:t>
      </w:r>
      <w:r w:rsidRPr="0021277B">
        <w:rPr>
          <w:sz w:val="22"/>
          <w:szCs w:val="22"/>
        </w:rPr>
        <w:t>).</w:t>
      </w:r>
    </w:p>
    <w:p w14:paraId="6E313A68" w14:textId="77777777" w:rsidR="006B3F46" w:rsidRPr="009978E3" w:rsidRDefault="006B3F46" w:rsidP="00907941">
      <w:pPr>
        <w:jc w:val="both"/>
        <w:rPr>
          <w:b/>
          <w:sz w:val="22"/>
          <w:szCs w:val="22"/>
        </w:rPr>
      </w:pPr>
    </w:p>
    <w:p w14:paraId="719AA4C2" w14:textId="77777777" w:rsidR="006B3F46" w:rsidRPr="009978E3" w:rsidRDefault="006B3F46" w:rsidP="002E4B39">
      <w:pPr>
        <w:suppressLineNumbers/>
        <w:spacing w:after="120"/>
        <w:jc w:val="both"/>
        <w:rPr>
          <w:sz w:val="22"/>
          <w:szCs w:val="22"/>
        </w:rPr>
      </w:pPr>
      <w:r w:rsidRPr="009978E3">
        <w:rPr>
          <w:sz w:val="22"/>
          <w:szCs w:val="22"/>
        </w:rPr>
        <w:t>The Atlantic bluefin tuna (</w:t>
      </w:r>
      <w:r w:rsidRPr="009978E3">
        <w:rPr>
          <w:i/>
          <w:sz w:val="22"/>
          <w:szCs w:val="22"/>
        </w:rPr>
        <w:t>Thunnus thynnus)</w:t>
      </w:r>
      <w:r w:rsidRPr="009978E3">
        <w:rPr>
          <w:sz w:val="22"/>
          <w:szCs w:val="22"/>
        </w:rPr>
        <w:t xml:space="preserve"> (Linnaeus, 1758) is the largest of all tunas (ICCAT 2006–2014) and one of the most highly prized fish species in the world (Ottolenghi </w:t>
      </w:r>
      <w:r w:rsidRPr="0006066A">
        <w:rPr>
          <w:i/>
          <w:sz w:val="22"/>
          <w:szCs w:val="22"/>
        </w:rPr>
        <w:t>et al</w:t>
      </w:r>
      <w:r w:rsidRPr="009978E3">
        <w:rPr>
          <w:sz w:val="22"/>
          <w:szCs w:val="22"/>
        </w:rPr>
        <w:t>., 2004). In spring, Atlantic bluefin tuna perform long seasonal reproductive migrations between feeding areas in the Atlantic Ocean and spawning grounds, either in the Gulf of Mexico (western stock) or the Mediterranean Sea (eastern stock). Like all bluefin tuna stocks, both stocks of the Atlantic bluefin tuna are threatened by overfishing.</w:t>
      </w:r>
    </w:p>
    <w:p w14:paraId="7177B482" w14:textId="77777777" w:rsidR="006B3F46" w:rsidRPr="009978E3" w:rsidRDefault="006B3F46" w:rsidP="002E4B39">
      <w:pPr>
        <w:suppressLineNumbers/>
        <w:spacing w:after="120"/>
        <w:jc w:val="both"/>
        <w:rPr>
          <w:sz w:val="22"/>
          <w:szCs w:val="22"/>
        </w:rPr>
      </w:pPr>
      <w:r w:rsidRPr="009978E3">
        <w:rPr>
          <w:sz w:val="22"/>
          <w:szCs w:val="22"/>
        </w:rPr>
        <w:t xml:space="preserve">The </w:t>
      </w:r>
      <w:r w:rsidRPr="002E4B39">
        <w:rPr>
          <w:rFonts w:eastAsia="MS Mincho"/>
          <w:sz w:val="22"/>
          <w:szCs w:val="22"/>
          <w:lang w:val="en-US"/>
        </w:rPr>
        <w:t>bluefin</w:t>
      </w:r>
      <w:r w:rsidRPr="009978E3">
        <w:rPr>
          <w:sz w:val="22"/>
          <w:szCs w:val="22"/>
        </w:rPr>
        <w:t xml:space="preserve"> tuna reproductive season in the Mediterranean Sea extends from May to July. In correlation with a progressive east-to-west increase of the sea surface temperature, the spawning process begins in the Levantine Sea, shifts to the southern Tyrrhenian-Malta region and eventually to the Balearic Sea (Heinisch </w:t>
      </w:r>
      <w:r w:rsidRPr="0006066A">
        <w:rPr>
          <w:i/>
          <w:sz w:val="22"/>
          <w:szCs w:val="22"/>
        </w:rPr>
        <w:t>et al</w:t>
      </w:r>
      <w:r w:rsidRPr="009978E3">
        <w:rPr>
          <w:sz w:val="22"/>
          <w:szCs w:val="22"/>
        </w:rPr>
        <w:t xml:space="preserve">., 2008). </w:t>
      </w:r>
      <w:r>
        <w:rPr>
          <w:sz w:val="22"/>
          <w:szCs w:val="22"/>
        </w:rPr>
        <w:t xml:space="preserve">Like </w:t>
      </w:r>
      <w:r w:rsidRPr="009978E3">
        <w:rPr>
          <w:sz w:val="22"/>
          <w:szCs w:val="22"/>
        </w:rPr>
        <w:t>the eastern spawning area, the reproductive season is known to last approximately three months (April-June) in the Gulf of Mexico (</w:t>
      </w:r>
      <w:hyperlink r:id="rId168">
        <w:r w:rsidRPr="009978E3">
          <w:rPr>
            <w:sz w:val="22"/>
            <w:szCs w:val="22"/>
            <w:u w:val="single"/>
          </w:rPr>
          <w:t>Baglin</w:t>
        </w:r>
      </w:hyperlink>
      <w:r w:rsidRPr="00F66EF7">
        <w:rPr>
          <w:sz w:val="22"/>
          <w:szCs w:val="22"/>
        </w:rPr>
        <w:t xml:space="preserve"> </w:t>
      </w:r>
      <w:r w:rsidRPr="0006066A">
        <w:rPr>
          <w:i/>
          <w:sz w:val="22"/>
          <w:szCs w:val="22"/>
        </w:rPr>
        <w:t>et al</w:t>
      </w:r>
      <w:r w:rsidRPr="00F66EF7">
        <w:rPr>
          <w:sz w:val="22"/>
          <w:szCs w:val="22"/>
        </w:rPr>
        <w:t>., 1982). </w:t>
      </w:r>
    </w:p>
    <w:p w14:paraId="07F0149C" w14:textId="77777777" w:rsidR="006B3F46" w:rsidRPr="009978E3" w:rsidRDefault="006B3F46" w:rsidP="002E4B39">
      <w:pPr>
        <w:suppressLineNumbers/>
        <w:spacing w:after="120"/>
        <w:jc w:val="both"/>
        <w:rPr>
          <w:sz w:val="22"/>
          <w:szCs w:val="22"/>
        </w:rPr>
      </w:pPr>
      <w:r w:rsidRPr="009978E3">
        <w:rPr>
          <w:sz w:val="22"/>
          <w:szCs w:val="22"/>
        </w:rPr>
        <w:t xml:space="preserve">In </w:t>
      </w:r>
      <w:r w:rsidRPr="002E4B39">
        <w:rPr>
          <w:rFonts w:eastAsia="MS Mincho"/>
          <w:sz w:val="22"/>
          <w:szCs w:val="22"/>
          <w:lang w:val="en-US"/>
        </w:rPr>
        <w:t>addition</w:t>
      </w:r>
      <w:r w:rsidRPr="009978E3">
        <w:rPr>
          <w:sz w:val="22"/>
          <w:szCs w:val="22"/>
        </w:rPr>
        <w:t>, the Strait of Gibraltar ha</w:t>
      </w:r>
      <w:r>
        <w:rPr>
          <w:sz w:val="22"/>
          <w:szCs w:val="22"/>
        </w:rPr>
        <w:t>s</w:t>
      </w:r>
      <w:r w:rsidRPr="009978E3">
        <w:rPr>
          <w:sz w:val="22"/>
          <w:szCs w:val="22"/>
        </w:rPr>
        <w:t xml:space="preserve"> been identified as a transiting area for satellite-tagged fin whales (</w:t>
      </w:r>
      <w:r w:rsidRPr="009978E3">
        <w:rPr>
          <w:i/>
          <w:sz w:val="22"/>
          <w:szCs w:val="22"/>
        </w:rPr>
        <w:t>Balaenoptera physalus</w:t>
      </w:r>
      <w:r w:rsidRPr="009978E3">
        <w:rPr>
          <w:sz w:val="22"/>
          <w:szCs w:val="22"/>
        </w:rPr>
        <w:t xml:space="preserve">) moving between the Gulf of Cádiz and the Ligurian Sea area of the northern Mediterranean (Gauffier </w:t>
      </w:r>
      <w:r w:rsidRPr="0006066A">
        <w:rPr>
          <w:i/>
          <w:sz w:val="22"/>
          <w:szCs w:val="22"/>
        </w:rPr>
        <w:t>et al</w:t>
      </w:r>
      <w:r w:rsidRPr="009978E3">
        <w:rPr>
          <w:sz w:val="22"/>
          <w:szCs w:val="22"/>
        </w:rPr>
        <w:t xml:space="preserve">. 2009,2018; Cotte </w:t>
      </w:r>
      <w:r w:rsidRPr="0006066A">
        <w:rPr>
          <w:i/>
          <w:sz w:val="22"/>
          <w:szCs w:val="22"/>
        </w:rPr>
        <w:t>et al</w:t>
      </w:r>
      <w:r w:rsidRPr="009978E3">
        <w:rPr>
          <w:sz w:val="22"/>
          <w:szCs w:val="22"/>
        </w:rPr>
        <w:t xml:space="preserve">., 2011; Notarbartolo di Sciara </w:t>
      </w:r>
      <w:r w:rsidRPr="0006066A">
        <w:rPr>
          <w:i/>
          <w:sz w:val="22"/>
          <w:szCs w:val="22"/>
        </w:rPr>
        <w:t>et al</w:t>
      </w:r>
      <w:r w:rsidRPr="009978E3">
        <w:rPr>
          <w:sz w:val="22"/>
          <w:szCs w:val="22"/>
        </w:rPr>
        <w:t>.</w:t>
      </w:r>
      <w:r>
        <w:rPr>
          <w:sz w:val="22"/>
          <w:szCs w:val="22"/>
        </w:rPr>
        <w:t>,</w:t>
      </w:r>
      <w:r w:rsidRPr="009978E3">
        <w:rPr>
          <w:sz w:val="22"/>
          <w:szCs w:val="22"/>
        </w:rPr>
        <w:t xml:space="preserve"> 2016).</w:t>
      </w:r>
    </w:p>
    <w:p w14:paraId="20535C45" w14:textId="77777777" w:rsidR="006B3F46" w:rsidRPr="009978E3" w:rsidRDefault="006B3F46" w:rsidP="00907941">
      <w:pPr>
        <w:jc w:val="both"/>
        <w:rPr>
          <w:sz w:val="22"/>
          <w:szCs w:val="22"/>
        </w:rPr>
      </w:pPr>
    </w:p>
    <w:p w14:paraId="3907945D" w14:textId="77777777" w:rsidR="006B3F46" w:rsidRPr="009978E3" w:rsidRDefault="006B3F46" w:rsidP="00907941">
      <w:pPr>
        <w:jc w:val="both"/>
        <w:rPr>
          <w:b/>
          <w:sz w:val="22"/>
          <w:szCs w:val="22"/>
        </w:rPr>
      </w:pPr>
      <w:r w:rsidRPr="009978E3">
        <w:rPr>
          <w:b/>
          <w:sz w:val="22"/>
          <w:szCs w:val="22"/>
        </w:rPr>
        <w:t>Feature condition and future outlook of the area</w:t>
      </w:r>
    </w:p>
    <w:p w14:paraId="72D390B2" w14:textId="77777777" w:rsidR="006B3F46" w:rsidRPr="009978E3" w:rsidRDefault="006B3F46" w:rsidP="002E4B39">
      <w:pPr>
        <w:suppressLineNumbers/>
        <w:spacing w:after="120"/>
        <w:jc w:val="both"/>
        <w:rPr>
          <w:sz w:val="22"/>
          <w:szCs w:val="22"/>
        </w:rPr>
      </w:pPr>
      <w:r w:rsidRPr="009978E3">
        <w:rPr>
          <w:sz w:val="22"/>
          <w:szCs w:val="22"/>
        </w:rPr>
        <w:t xml:space="preserve">The waters </w:t>
      </w:r>
      <w:r>
        <w:rPr>
          <w:sz w:val="22"/>
          <w:szCs w:val="22"/>
        </w:rPr>
        <w:t xml:space="preserve">of the </w:t>
      </w:r>
      <w:r w:rsidRPr="009978E3">
        <w:rPr>
          <w:sz w:val="22"/>
          <w:szCs w:val="22"/>
        </w:rPr>
        <w:t>Gulf of Cádiz are impacted by fishing, shipping and pollution.</w:t>
      </w:r>
    </w:p>
    <w:p w14:paraId="2124D518" w14:textId="77777777" w:rsidR="006B3F46" w:rsidRPr="009978E3" w:rsidRDefault="006B3F46" w:rsidP="002E4B39">
      <w:pPr>
        <w:suppressLineNumbers/>
        <w:spacing w:after="120"/>
        <w:jc w:val="both"/>
        <w:rPr>
          <w:sz w:val="22"/>
          <w:szCs w:val="22"/>
        </w:rPr>
      </w:pPr>
      <w:r w:rsidRPr="002E4B39">
        <w:rPr>
          <w:rFonts w:eastAsia="MS Mincho"/>
          <w:sz w:val="22"/>
          <w:szCs w:val="22"/>
          <w:lang w:val="en-US"/>
        </w:rPr>
        <w:t>Fishing</w:t>
      </w:r>
      <w:r w:rsidRPr="009978E3">
        <w:rPr>
          <w:sz w:val="22"/>
          <w:szCs w:val="22"/>
        </w:rPr>
        <w:t xml:space="preserve"> activities: probably the fishing activity that has the greatest impact is bottom trawling, which is responsible for the destruction of some ecosystems. This type of non-selective fishing causes changes in the composition of ecosystems, affecting the long-term productivity of the fishery. The physical consequences of bottom trawling are the alteration and/or direct destruction of habitat and the re-suspension of sediment, increasing turbidity and changing the geochemical composition of the deposits.</w:t>
      </w:r>
    </w:p>
    <w:p w14:paraId="7F0F3657" w14:textId="77777777" w:rsidR="006B3F46" w:rsidRPr="009978E3" w:rsidRDefault="006B3F46" w:rsidP="002E4B39">
      <w:pPr>
        <w:suppressLineNumbers/>
        <w:spacing w:after="120"/>
        <w:jc w:val="both"/>
        <w:rPr>
          <w:sz w:val="22"/>
          <w:szCs w:val="22"/>
        </w:rPr>
      </w:pPr>
      <w:r w:rsidRPr="002E4B39">
        <w:rPr>
          <w:rFonts w:eastAsia="MS Mincho"/>
          <w:sz w:val="22"/>
          <w:szCs w:val="22"/>
          <w:lang w:val="en-US"/>
        </w:rPr>
        <w:t>Shipping</w:t>
      </w:r>
      <w:r w:rsidRPr="009978E3">
        <w:rPr>
          <w:sz w:val="22"/>
          <w:szCs w:val="22"/>
        </w:rPr>
        <w:t xml:space="preserve">: due to its proximity to the Strait of Gibraltar and the Cape of San Vicente there are important </w:t>
      </w:r>
      <w:hyperlink r:id="rId169">
        <w:r w:rsidRPr="009978E3">
          <w:rPr>
            <w:sz w:val="22"/>
            <w:szCs w:val="22"/>
            <w:u w:val="single"/>
          </w:rPr>
          <w:t>navigation routes</w:t>
        </w:r>
      </w:hyperlink>
      <w:r w:rsidRPr="00F66EF7">
        <w:rPr>
          <w:sz w:val="22"/>
          <w:szCs w:val="22"/>
        </w:rPr>
        <w:t xml:space="preserve"> that pass </w:t>
      </w:r>
      <w:r w:rsidRPr="009978E3">
        <w:rPr>
          <w:sz w:val="22"/>
          <w:szCs w:val="22"/>
        </w:rPr>
        <w:t>over this area, with a high intensity of large-tonnage vessels that mainly transport oil and containers. Maritime traffic is an important source of pollution both because of the potential risk of accidental spillage and because of the intense noise that it generates.</w:t>
      </w:r>
    </w:p>
    <w:p w14:paraId="16A17A93" w14:textId="77777777" w:rsidR="006B3F46" w:rsidRPr="009978E3" w:rsidRDefault="006B3F46" w:rsidP="002E4B39">
      <w:pPr>
        <w:suppressLineNumbers/>
        <w:spacing w:after="120"/>
        <w:jc w:val="both"/>
        <w:rPr>
          <w:sz w:val="22"/>
          <w:szCs w:val="22"/>
        </w:rPr>
      </w:pPr>
      <w:r w:rsidRPr="009978E3">
        <w:rPr>
          <w:sz w:val="22"/>
          <w:szCs w:val="22"/>
        </w:rPr>
        <w:t xml:space="preserve">- Water pollution: the main sources of pollution are ships and cities located on the coast (mostly in </w:t>
      </w:r>
      <w:r w:rsidRPr="002E4B39">
        <w:rPr>
          <w:rFonts w:eastAsia="MS Mincho"/>
          <w:sz w:val="22"/>
          <w:szCs w:val="22"/>
          <w:lang w:val="en-US"/>
        </w:rPr>
        <w:t>summer</w:t>
      </w:r>
      <w:r w:rsidRPr="009978E3">
        <w:rPr>
          <w:sz w:val="22"/>
          <w:szCs w:val="22"/>
        </w:rPr>
        <w:t xml:space="preserve"> when the intensity of tourism in some coastal </w:t>
      </w:r>
      <w:r>
        <w:rPr>
          <w:sz w:val="22"/>
          <w:szCs w:val="22"/>
        </w:rPr>
        <w:t xml:space="preserve">areas </w:t>
      </w:r>
      <w:r w:rsidRPr="009978E3">
        <w:rPr>
          <w:sz w:val="22"/>
          <w:szCs w:val="22"/>
        </w:rPr>
        <w:t>increases).</w:t>
      </w:r>
    </w:p>
    <w:p w14:paraId="232B63EB" w14:textId="77777777" w:rsidR="006B3F46" w:rsidRPr="009978E3" w:rsidRDefault="006B3F46" w:rsidP="002E4B39">
      <w:pPr>
        <w:suppressLineNumbers/>
        <w:spacing w:after="120"/>
        <w:jc w:val="both"/>
        <w:rPr>
          <w:sz w:val="22"/>
          <w:szCs w:val="22"/>
        </w:rPr>
      </w:pPr>
      <w:r w:rsidRPr="002E4B39">
        <w:rPr>
          <w:rFonts w:eastAsia="MS Mincho"/>
          <w:sz w:val="22"/>
          <w:szCs w:val="22"/>
          <w:lang w:val="en-US"/>
        </w:rPr>
        <w:t>Conversely</w:t>
      </w:r>
      <w:r w:rsidRPr="009978E3">
        <w:rPr>
          <w:sz w:val="22"/>
          <w:szCs w:val="22"/>
        </w:rPr>
        <w:t>, some actions to protect the area and to ensure the conservation of its biodiversity are being carried out, and one specific area has been protected in accordance with international and Spanish regulations and conventions: "The Gulf of C</w:t>
      </w:r>
      <w:r>
        <w:rPr>
          <w:sz w:val="22"/>
          <w:szCs w:val="22"/>
        </w:rPr>
        <w:t>á</w:t>
      </w:r>
      <w:r w:rsidRPr="009978E3">
        <w:rPr>
          <w:sz w:val="22"/>
          <w:szCs w:val="22"/>
        </w:rPr>
        <w:t xml:space="preserve">diz mud volcanoes" is located in the bathymetric range between 300 and 1,200 m, placing it on the upper middle part of the continental slope and the southern Iberian continental margin. </w:t>
      </w:r>
    </w:p>
    <w:p w14:paraId="1B6D6884" w14:textId="77777777" w:rsidR="006B3F46" w:rsidRPr="009978E3" w:rsidRDefault="006B3F46" w:rsidP="002E4B39">
      <w:pPr>
        <w:suppressLineNumbers/>
        <w:spacing w:after="120"/>
        <w:jc w:val="both"/>
        <w:rPr>
          <w:sz w:val="22"/>
          <w:szCs w:val="22"/>
        </w:rPr>
      </w:pPr>
      <w:r w:rsidRPr="009978E3">
        <w:rPr>
          <w:sz w:val="22"/>
          <w:szCs w:val="22"/>
        </w:rPr>
        <w:t xml:space="preserve">Three </w:t>
      </w:r>
      <w:r w:rsidRPr="002E4B39">
        <w:rPr>
          <w:rFonts w:eastAsia="MS Mincho"/>
          <w:sz w:val="22"/>
          <w:szCs w:val="22"/>
          <w:lang w:val="en-US"/>
        </w:rPr>
        <w:t>basic</w:t>
      </w:r>
      <w:r w:rsidRPr="009978E3">
        <w:rPr>
          <w:sz w:val="22"/>
          <w:szCs w:val="22"/>
        </w:rPr>
        <w:t xml:space="preserve"> types of habitats have been identified, catalogued and described within the generic Habitats Directive habitat type 1180: (1) the "Mud volcanoes" subtype, which is widespread in the area; (2) the subtype "Collapsed depressions", located next to the volcanoes Anastasya, Pipoca, Hesperides, Almazan, Aveiro and San Petersburg, and (3) the "Pockmarks" subtype, which is widespread throughout the area, especially in the south, being a very diffuse phenomenon in the more distal areas of the slope (112 locations have been mapped). Other habitats at different levels, within the generic 1180 habitat type, include the "Structures produced by leaking gases with carbonate substrates of chemosynthetic origin", which is extensive in the area of gas emission, as well as the designation "Structures produced by leaking gases with chemosynthetic species", which has been identified in the volcanoes Albolote, Gazul, Anastasya, Pipoca, Tarsis, Hesperides, Almazan, Aveiro and St. Petersburg.</w:t>
      </w:r>
    </w:p>
    <w:p w14:paraId="2E08CE13" w14:textId="77777777" w:rsidR="006B3F46" w:rsidRPr="009978E3" w:rsidRDefault="006B3F46" w:rsidP="002E4B39">
      <w:pPr>
        <w:suppressLineNumbers/>
        <w:spacing w:after="120"/>
        <w:jc w:val="both"/>
        <w:rPr>
          <w:sz w:val="22"/>
          <w:szCs w:val="22"/>
        </w:rPr>
      </w:pPr>
      <w:r w:rsidRPr="009978E3">
        <w:rPr>
          <w:sz w:val="22"/>
          <w:szCs w:val="22"/>
        </w:rPr>
        <w:t xml:space="preserve">In </w:t>
      </w:r>
      <w:r w:rsidRPr="002E4B39">
        <w:rPr>
          <w:rFonts w:eastAsia="MS Mincho"/>
          <w:sz w:val="22"/>
          <w:szCs w:val="22"/>
          <w:lang w:val="en-US"/>
        </w:rPr>
        <w:t>addition</w:t>
      </w:r>
      <w:r w:rsidRPr="009978E3">
        <w:rPr>
          <w:sz w:val="22"/>
          <w:szCs w:val="22"/>
        </w:rPr>
        <w:t xml:space="preserve">, and of equal importance, nine subtypes of habitats linked to the habitat type 1170 "Reefs" have been identified. These are: (1) Bathyal rock with </w:t>
      </w:r>
      <w:r w:rsidRPr="009978E3">
        <w:rPr>
          <w:i/>
          <w:sz w:val="22"/>
          <w:szCs w:val="22"/>
        </w:rPr>
        <w:t>Acanthogorgia hirsuta</w:t>
      </w:r>
      <w:r w:rsidRPr="009978E3">
        <w:rPr>
          <w:sz w:val="22"/>
          <w:szCs w:val="22"/>
        </w:rPr>
        <w:t xml:space="preserve">, on Pipoca; (2) reef of deep coral </w:t>
      </w:r>
      <w:r w:rsidRPr="009978E3">
        <w:rPr>
          <w:i/>
          <w:sz w:val="22"/>
          <w:szCs w:val="22"/>
        </w:rPr>
        <w:t>Lophelia pertusa</w:t>
      </w:r>
      <w:r w:rsidRPr="009978E3">
        <w:rPr>
          <w:sz w:val="22"/>
          <w:szCs w:val="22"/>
        </w:rPr>
        <w:t xml:space="preserve"> and/or </w:t>
      </w:r>
      <w:r w:rsidRPr="009978E3">
        <w:rPr>
          <w:i/>
          <w:sz w:val="22"/>
          <w:szCs w:val="22"/>
        </w:rPr>
        <w:t>Madrepora oculata</w:t>
      </w:r>
      <w:r w:rsidRPr="009978E3">
        <w:rPr>
          <w:sz w:val="22"/>
          <w:szCs w:val="22"/>
        </w:rPr>
        <w:t xml:space="preserve">, on bottoms of carbonate rocks and accumulations of compressed dead coral on the slopes of the Gazul mud volcano, which presents significantly more active hydrodynamics than in other areas of the SCI, as well as a low level of dragnet fishing activity; (3) deep rocky bottoms with antipataria, of the genus </w:t>
      </w:r>
      <w:r w:rsidRPr="009978E3">
        <w:rPr>
          <w:i/>
          <w:sz w:val="22"/>
          <w:szCs w:val="22"/>
        </w:rPr>
        <w:t>Leiopathes</w:t>
      </w:r>
      <w:r w:rsidRPr="009978E3">
        <w:rPr>
          <w:sz w:val="22"/>
          <w:szCs w:val="22"/>
        </w:rPr>
        <w:t xml:space="preserve">, </w:t>
      </w:r>
      <w:r w:rsidRPr="009978E3">
        <w:rPr>
          <w:i/>
          <w:sz w:val="22"/>
          <w:szCs w:val="22"/>
        </w:rPr>
        <w:t>Antipathes</w:t>
      </w:r>
      <w:r w:rsidRPr="009978E3">
        <w:rPr>
          <w:sz w:val="22"/>
          <w:szCs w:val="22"/>
        </w:rPr>
        <w:t xml:space="preserve"> and </w:t>
      </w:r>
      <w:r w:rsidRPr="009978E3">
        <w:rPr>
          <w:i/>
          <w:sz w:val="22"/>
          <w:szCs w:val="22"/>
        </w:rPr>
        <w:t>Stichopathes</w:t>
      </w:r>
      <w:r w:rsidRPr="009978E3">
        <w:rPr>
          <w:sz w:val="22"/>
          <w:szCs w:val="22"/>
        </w:rPr>
        <w:t>, have been found in the environment of the volcanoes Gazul, Hesperides and Almazan; (4) bathyal rock with large hexactinellid sponges (</w:t>
      </w:r>
      <w:r w:rsidRPr="009978E3">
        <w:rPr>
          <w:i/>
          <w:sz w:val="22"/>
          <w:szCs w:val="22"/>
        </w:rPr>
        <w:t>Asconema setubalense</w:t>
      </w:r>
      <w:r w:rsidRPr="009978E3">
        <w:rPr>
          <w:sz w:val="22"/>
          <w:szCs w:val="22"/>
        </w:rPr>
        <w:t xml:space="preserve">), in the surroundings of Chica and Enmedio; (5) bathyal sedimentary rock with </w:t>
      </w:r>
      <w:r w:rsidRPr="009978E3">
        <w:rPr>
          <w:i/>
          <w:sz w:val="22"/>
          <w:szCs w:val="22"/>
        </w:rPr>
        <w:t>Bebryce mollis</w:t>
      </w:r>
      <w:r w:rsidRPr="009978E3">
        <w:rPr>
          <w:sz w:val="22"/>
          <w:szCs w:val="22"/>
        </w:rPr>
        <w:t xml:space="preserve">, found only on Gazul; (6) bathyal rock with </w:t>
      </w:r>
      <w:r w:rsidRPr="009978E3">
        <w:rPr>
          <w:i/>
          <w:sz w:val="22"/>
          <w:szCs w:val="22"/>
        </w:rPr>
        <w:t>Callogorgia</w:t>
      </w:r>
      <w:r w:rsidRPr="009978E3">
        <w:rPr>
          <w:sz w:val="22"/>
          <w:szCs w:val="22"/>
        </w:rPr>
        <w:t xml:space="preserve"> </w:t>
      </w:r>
      <w:r w:rsidRPr="009978E3">
        <w:rPr>
          <w:i/>
          <w:sz w:val="22"/>
          <w:szCs w:val="22"/>
        </w:rPr>
        <w:t>verticillata</w:t>
      </w:r>
      <w:r w:rsidRPr="009978E3">
        <w:rPr>
          <w:sz w:val="22"/>
          <w:szCs w:val="22"/>
        </w:rPr>
        <w:t xml:space="preserve"> in specific areas of the Chica complex; (7) bathyal rock with </w:t>
      </w:r>
      <w:r w:rsidRPr="009978E3">
        <w:rPr>
          <w:i/>
          <w:sz w:val="22"/>
          <w:szCs w:val="22"/>
        </w:rPr>
        <w:t>Callogorgia</w:t>
      </w:r>
      <w:r w:rsidRPr="009978E3">
        <w:rPr>
          <w:sz w:val="22"/>
          <w:szCs w:val="22"/>
        </w:rPr>
        <w:t xml:space="preserve"> and Demospongiae, in the area around Enmedio; (8) deep rocky bottoms with aggregations of Demospongiae, identified in Gazul, Magallanes, Enano, Enmedio and Chica, and (9) deposits of dead coral with remains of escleractinias (</w:t>
      </w:r>
      <w:r>
        <w:rPr>
          <w:sz w:val="22"/>
          <w:szCs w:val="22"/>
        </w:rPr>
        <w:t>e.g.,</w:t>
      </w:r>
      <w:r w:rsidRPr="009978E3">
        <w:rPr>
          <w:sz w:val="22"/>
          <w:szCs w:val="22"/>
        </w:rPr>
        <w:t xml:space="preserve"> </w:t>
      </w:r>
      <w:r w:rsidRPr="009978E3">
        <w:rPr>
          <w:i/>
          <w:sz w:val="22"/>
          <w:szCs w:val="22"/>
        </w:rPr>
        <w:t>Lophelia pertusa</w:t>
      </w:r>
      <w:r w:rsidRPr="009978E3">
        <w:rPr>
          <w:sz w:val="22"/>
          <w:szCs w:val="22"/>
        </w:rPr>
        <w:t xml:space="preserve">, </w:t>
      </w:r>
      <w:r w:rsidRPr="009978E3">
        <w:rPr>
          <w:i/>
          <w:sz w:val="22"/>
          <w:szCs w:val="22"/>
        </w:rPr>
        <w:t>Madrepora oculata</w:t>
      </w:r>
      <w:r w:rsidRPr="009978E3">
        <w:rPr>
          <w:sz w:val="22"/>
          <w:szCs w:val="22"/>
        </w:rPr>
        <w:t xml:space="preserve">, </w:t>
      </w:r>
      <w:r w:rsidRPr="009978E3">
        <w:rPr>
          <w:i/>
          <w:sz w:val="22"/>
          <w:szCs w:val="22"/>
        </w:rPr>
        <w:t>Dendrophyllia alternata</w:t>
      </w:r>
      <w:r w:rsidRPr="009978E3">
        <w:rPr>
          <w:sz w:val="22"/>
          <w:szCs w:val="22"/>
        </w:rPr>
        <w:t>), colonized by small octocorals (</w:t>
      </w:r>
      <w:r>
        <w:rPr>
          <w:sz w:val="22"/>
          <w:szCs w:val="22"/>
        </w:rPr>
        <w:t>e.g.</w:t>
      </w:r>
      <w:r w:rsidRPr="009978E3">
        <w:rPr>
          <w:sz w:val="22"/>
          <w:szCs w:val="22"/>
        </w:rPr>
        <w:t xml:space="preserve">, </w:t>
      </w:r>
      <w:r w:rsidRPr="009978E3">
        <w:rPr>
          <w:i/>
          <w:sz w:val="22"/>
          <w:szCs w:val="22"/>
        </w:rPr>
        <w:t>Swiftia, Bebryce, Placogorgia</w:t>
      </w:r>
      <w:r w:rsidRPr="009978E3">
        <w:rPr>
          <w:sz w:val="22"/>
          <w:szCs w:val="22"/>
        </w:rPr>
        <w:t>) scattered around the volcanoes Albolote, Gazul, Hesperides, Almazan and Aveiro. Between them, these reef habitats occupy a surface area of approximately 2,063 hectares.</w:t>
      </w:r>
    </w:p>
    <w:p w14:paraId="1A4E9DF3" w14:textId="77777777" w:rsidR="006B3F46" w:rsidRPr="009978E3" w:rsidRDefault="006B3F46" w:rsidP="002E4B39">
      <w:pPr>
        <w:suppressLineNumbers/>
        <w:spacing w:after="120"/>
        <w:jc w:val="both"/>
        <w:rPr>
          <w:sz w:val="22"/>
          <w:szCs w:val="22"/>
        </w:rPr>
      </w:pPr>
      <w:r w:rsidRPr="002E4B39">
        <w:rPr>
          <w:rFonts w:eastAsia="MS Mincho"/>
          <w:sz w:val="22"/>
          <w:szCs w:val="22"/>
          <w:lang w:val="en-US"/>
        </w:rPr>
        <w:t>The</w:t>
      </w:r>
      <w:r w:rsidRPr="009978E3">
        <w:rPr>
          <w:sz w:val="22"/>
          <w:szCs w:val="22"/>
        </w:rPr>
        <w:t xml:space="preserve"> management plan </w:t>
      </w:r>
      <w:r>
        <w:rPr>
          <w:sz w:val="22"/>
          <w:szCs w:val="22"/>
        </w:rPr>
        <w:t>for</w:t>
      </w:r>
      <w:r w:rsidRPr="009978E3">
        <w:rPr>
          <w:sz w:val="22"/>
          <w:szCs w:val="22"/>
        </w:rPr>
        <w:t xml:space="preserve"> the area is being develop</w:t>
      </w:r>
      <w:r>
        <w:rPr>
          <w:sz w:val="22"/>
          <w:szCs w:val="22"/>
        </w:rPr>
        <w:t>ed</w:t>
      </w:r>
      <w:r w:rsidRPr="009978E3">
        <w:rPr>
          <w:sz w:val="22"/>
          <w:szCs w:val="22"/>
        </w:rPr>
        <w:t xml:space="preserve"> in the framework of the INTEMARES project.</w:t>
      </w:r>
    </w:p>
    <w:p w14:paraId="689532B6" w14:textId="06951F64" w:rsidR="006B3F46" w:rsidRPr="009978E3" w:rsidRDefault="006B3F46" w:rsidP="002E4B39">
      <w:pPr>
        <w:jc w:val="both"/>
        <w:rPr>
          <w:b/>
          <w:sz w:val="22"/>
          <w:szCs w:val="22"/>
        </w:rPr>
      </w:pPr>
      <w:r w:rsidRPr="009978E3">
        <w:rPr>
          <w:sz w:val="22"/>
          <w:szCs w:val="22"/>
        </w:rPr>
        <w:t>Apart from conservation projects, every year the Instituto Español de Oceanografía (IEO) carries out a bottom</w:t>
      </w:r>
      <w:r w:rsidRPr="009978E3">
        <w:rPr>
          <w:rFonts w:eastAsia="AdvP3E76B0"/>
          <w:sz w:val="22"/>
          <w:szCs w:val="22"/>
        </w:rPr>
        <w:t xml:space="preserve"> </w:t>
      </w:r>
      <w:r w:rsidRPr="009978E3">
        <w:rPr>
          <w:sz w:val="22"/>
          <w:szCs w:val="22"/>
        </w:rPr>
        <w:t>trawling survey on the Gulf of C</w:t>
      </w:r>
      <w:r>
        <w:rPr>
          <w:sz w:val="22"/>
          <w:szCs w:val="22"/>
        </w:rPr>
        <w:t>á</w:t>
      </w:r>
      <w:r w:rsidRPr="009978E3">
        <w:rPr>
          <w:sz w:val="22"/>
          <w:szCs w:val="22"/>
        </w:rPr>
        <w:t>diz named ARSA. This survey aims to provide data for the assessment of demersal commercial fish species and benthic ecosystems on the area. This survey is part of an international effort to monitor marine ecosystems and is coordinated by the International Bottom Trawling Surveys (IBTS) working group of the International Council for the Exploration of the Sea (ICES).</w:t>
      </w:r>
    </w:p>
    <w:p w14:paraId="3EC7580B" w14:textId="77777777" w:rsidR="006B3F46" w:rsidRPr="009978E3" w:rsidRDefault="006B3F46" w:rsidP="00907941">
      <w:pPr>
        <w:rPr>
          <w:b/>
          <w:sz w:val="22"/>
          <w:szCs w:val="22"/>
        </w:rPr>
      </w:pPr>
    </w:p>
    <w:p w14:paraId="0089755E" w14:textId="77777777" w:rsidR="006B3F46" w:rsidRPr="009978E3" w:rsidRDefault="006B3F46" w:rsidP="00907941">
      <w:pPr>
        <w:rPr>
          <w:b/>
          <w:sz w:val="22"/>
          <w:szCs w:val="22"/>
        </w:rPr>
      </w:pPr>
      <w:r w:rsidRPr="009978E3">
        <w:rPr>
          <w:b/>
          <w:sz w:val="22"/>
          <w:szCs w:val="22"/>
        </w:rPr>
        <w:t xml:space="preserve">Assessment of </w:t>
      </w:r>
      <w:r>
        <w:rPr>
          <w:b/>
          <w:sz w:val="22"/>
          <w:szCs w:val="22"/>
        </w:rPr>
        <w:t>a</w:t>
      </w:r>
      <w:r w:rsidRPr="009978E3">
        <w:rPr>
          <w:b/>
          <w:sz w:val="22"/>
          <w:szCs w:val="22"/>
        </w:rPr>
        <w:t>rea no. 5</w:t>
      </w:r>
      <w:r>
        <w:rPr>
          <w:b/>
          <w:sz w:val="22"/>
          <w:szCs w:val="22"/>
        </w:rPr>
        <w:t>,</w:t>
      </w:r>
      <w:r w:rsidRPr="009978E3">
        <w:rPr>
          <w:b/>
          <w:sz w:val="22"/>
          <w:szCs w:val="22"/>
        </w:rPr>
        <w:t xml:space="preserve"> Gulf of C</w:t>
      </w:r>
      <w:r w:rsidRPr="0021277B">
        <w:rPr>
          <w:b/>
          <w:bCs/>
          <w:sz w:val="22"/>
          <w:szCs w:val="22"/>
        </w:rPr>
        <w:t>á</w:t>
      </w:r>
      <w:r w:rsidRPr="009978E3">
        <w:rPr>
          <w:b/>
          <w:sz w:val="22"/>
          <w:szCs w:val="22"/>
        </w:rPr>
        <w:t>diz</w:t>
      </w:r>
      <w:r>
        <w:rPr>
          <w:b/>
          <w:sz w:val="22"/>
          <w:szCs w:val="22"/>
        </w:rPr>
        <w:t>,</w:t>
      </w:r>
      <w:r w:rsidRPr="009978E3">
        <w:rPr>
          <w:b/>
          <w:sz w:val="22"/>
          <w:szCs w:val="22"/>
        </w:rPr>
        <w:t xml:space="preserve"> against CBD EBSA Criteria </w:t>
      </w:r>
    </w:p>
    <w:p w14:paraId="346842AF" w14:textId="77777777" w:rsidR="006B3F46" w:rsidRPr="009978E3" w:rsidRDefault="006B3F46" w:rsidP="00907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color w:val="000000"/>
          <w:sz w:val="22"/>
          <w:szCs w:val="22"/>
        </w:rPr>
      </w:pPr>
    </w:p>
    <w:tbl>
      <w:tblPr>
        <w:tblW w:w="0" w:type="auto"/>
        <w:tblInd w:w="98" w:type="dxa"/>
        <w:tblCellMar>
          <w:left w:w="10" w:type="dxa"/>
          <w:right w:w="10" w:type="dxa"/>
        </w:tblCellMar>
        <w:tblLook w:val="0000" w:firstRow="0" w:lastRow="0" w:firstColumn="0" w:lastColumn="0" w:noHBand="0" w:noVBand="0"/>
      </w:tblPr>
      <w:tblGrid>
        <w:gridCol w:w="1531"/>
        <w:gridCol w:w="2747"/>
        <w:gridCol w:w="795"/>
        <w:gridCol w:w="735"/>
        <w:gridCol w:w="188"/>
        <w:gridCol w:w="536"/>
        <w:gridCol w:w="399"/>
        <w:gridCol w:w="817"/>
        <w:gridCol w:w="441"/>
        <w:gridCol w:w="591"/>
        <w:gridCol w:w="518"/>
      </w:tblGrid>
      <w:tr w:rsidR="006B3F46" w:rsidRPr="0021277B" w14:paraId="3FC2CFA8" w14:textId="77777777" w:rsidTr="00907941">
        <w:trPr>
          <w:trHeight w:val="1"/>
        </w:trPr>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D2FB82" w14:textId="77777777" w:rsidR="006B3F46" w:rsidRPr="0021277B" w:rsidRDefault="006B3F46" w:rsidP="00907941">
            <w:pPr>
              <w:rPr>
                <w:b/>
                <w:color w:val="000000"/>
                <w:sz w:val="22"/>
                <w:szCs w:val="22"/>
              </w:rPr>
            </w:pPr>
            <w:r w:rsidRPr="0021277B">
              <w:rPr>
                <w:b/>
                <w:color w:val="000000"/>
                <w:sz w:val="22"/>
                <w:szCs w:val="22"/>
              </w:rPr>
              <w:t>CBD EBSA Criteria</w:t>
            </w:r>
          </w:p>
          <w:p w14:paraId="1F077798" w14:textId="77777777" w:rsidR="006B3F46" w:rsidRPr="0021277B" w:rsidRDefault="006B3F46" w:rsidP="00907941">
            <w:pPr>
              <w:rPr>
                <w:sz w:val="22"/>
                <w:szCs w:val="22"/>
              </w:rPr>
            </w:pPr>
            <w:r w:rsidRPr="0021277B">
              <w:rPr>
                <w:color w:val="000000"/>
                <w:sz w:val="22"/>
                <w:szCs w:val="22"/>
              </w:rPr>
              <w:t>(Annex I to decision IX/20)</w:t>
            </w:r>
          </w:p>
        </w:tc>
        <w:tc>
          <w:tcPr>
            <w:tcW w:w="4235"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83B761" w14:textId="77777777" w:rsidR="006B3F46" w:rsidRPr="0021277B" w:rsidRDefault="006B3F46" w:rsidP="00907941">
            <w:pPr>
              <w:rPr>
                <w:b/>
                <w:sz w:val="22"/>
                <w:szCs w:val="22"/>
              </w:rPr>
            </w:pPr>
            <w:r w:rsidRPr="0021277B">
              <w:rPr>
                <w:b/>
                <w:sz w:val="22"/>
                <w:szCs w:val="22"/>
              </w:rPr>
              <w:t>Description</w:t>
            </w:r>
          </w:p>
          <w:p w14:paraId="641EEC6D" w14:textId="77777777" w:rsidR="006B3F46" w:rsidRPr="0021277B" w:rsidRDefault="006B3F46" w:rsidP="00907941">
            <w:pPr>
              <w:rPr>
                <w:sz w:val="22"/>
                <w:szCs w:val="22"/>
              </w:rPr>
            </w:pPr>
            <w:r w:rsidRPr="0021277B">
              <w:rPr>
                <w:color w:val="000000"/>
                <w:sz w:val="22"/>
                <w:szCs w:val="22"/>
              </w:rPr>
              <w:t>(Annex I to decision IX/20)</w:t>
            </w:r>
          </w:p>
        </w:tc>
        <w:tc>
          <w:tcPr>
            <w:tcW w:w="7188" w:type="dxa"/>
            <w:gridSpan w:val="9"/>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60EE4A" w14:textId="77777777" w:rsidR="006B3F46" w:rsidRPr="0021277B" w:rsidRDefault="006B3F46" w:rsidP="00907941">
            <w:pPr>
              <w:rPr>
                <w:b/>
                <w:color w:val="000000"/>
                <w:sz w:val="22"/>
                <w:szCs w:val="22"/>
              </w:rPr>
            </w:pPr>
            <w:r w:rsidRPr="0021277B">
              <w:rPr>
                <w:b/>
                <w:color w:val="000000"/>
                <w:sz w:val="22"/>
                <w:szCs w:val="22"/>
              </w:rPr>
              <w:t xml:space="preserve">Ranking of criterion relevance </w:t>
            </w:r>
          </w:p>
          <w:p w14:paraId="4EA23472" w14:textId="77777777" w:rsidR="006B3F46" w:rsidRPr="0021277B" w:rsidRDefault="006B3F46" w:rsidP="00907941">
            <w:pPr>
              <w:rPr>
                <w:sz w:val="22"/>
                <w:szCs w:val="22"/>
              </w:rPr>
            </w:pPr>
            <w:r w:rsidRPr="0021277B">
              <w:rPr>
                <w:color w:val="000000"/>
                <w:sz w:val="22"/>
                <w:szCs w:val="22"/>
              </w:rPr>
              <w:t>(please mark one column with an X)</w:t>
            </w:r>
          </w:p>
        </w:tc>
      </w:tr>
      <w:tr w:rsidR="006B3F46" w:rsidRPr="0021277B" w14:paraId="2AB1E43F" w14:textId="77777777" w:rsidTr="00907941">
        <w:trPr>
          <w:trHeight w:val="1"/>
        </w:trPr>
        <w:tc>
          <w:tcPr>
            <w:tcW w:w="1454"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A53C7E" w14:textId="77777777" w:rsidR="006B3F46" w:rsidRPr="0021277B" w:rsidRDefault="006B3F46" w:rsidP="00907941">
            <w:pPr>
              <w:spacing w:after="200" w:line="276" w:lineRule="auto"/>
              <w:rPr>
                <w:rFonts w:eastAsia="Calibri"/>
                <w:sz w:val="22"/>
                <w:szCs w:val="22"/>
              </w:rPr>
            </w:pPr>
          </w:p>
        </w:tc>
        <w:tc>
          <w:tcPr>
            <w:tcW w:w="4235"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0E8D28" w14:textId="77777777" w:rsidR="006B3F46" w:rsidRPr="0021277B" w:rsidRDefault="006B3F46" w:rsidP="00907941">
            <w:pPr>
              <w:spacing w:after="200" w:line="276" w:lineRule="auto"/>
              <w:rPr>
                <w:rFonts w:eastAsia="Calibri"/>
                <w:sz w:val="22"/>
                <w:szCs w:val="22"/>
              </w:rPr>
            </w:pPr>
          </w:p>
        </w:tc>
        <w:tc>
          <w:tcPr>
            <w:tcW w:w="183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4A1A23" w14:textId="77777777" w:rsidR="006B3F46" w:rsidRPr="0021277B" w:rsidRDefault="006B3F46" w:rsidP="00907941">
            <w:pPr>
              <w:rPr>
                <w:sz w:val="22"/>
                <w:szCs w:val="22"/>
              </w:rPr>
            </w:pPr>
            <w:r w:rsidRPr="0021277B">
              <w:rPr>
                <w:b/>
                <w:color w:val="000000"/>
                <w:sz w:val="22"/>
                <w:szCs w:val="22"/>
              </w:rPr>
              <w:t>No information</w:t>
            </w:r>
          </w:p>
        </w:tc>
        <w:tc>
          <w:tcPr>
            <w:tcW w:w="190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3D98C0D" w14:textId="77777777" w:rsidR="006B3F46" w:rsidRPr="0021277B" w:rsidRDefault="006B3F46" w:rsidP="00907941">
            <w:pPr>
              <w:rPr>
                <w:sz w:val="22"/>
                <w:szCs w:val="22"/>
              </w:rPr>
            </w:pPr>
            <w:r w:rsidRPr="0021277B">
              <w:rPr>
                <w:b/>
                <w:color w:val="000000"/>
                <w:sz w:val="22"/>
                <w:szCs w:val="22"/>
              </w:rPr>
              <w:t>Low</w:t>
            </w:r>
          </w:p>
        </w:tc>
        <w:tc>
          <w:tcPr>
            <w:tcW w:w="16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DEB8AB" w14:textId="77777777" w:rsidR="006B3F46" w:rsidRPr="0021277B" w:rsidRDefault="006B3F46" w:rsidP="00907941">
            <w:pPr>
              <w:rPr>
                <w:sz w:val="22"/>
                <w:szCs w:val="22"/>
              </w:rPr>
            </w:pPr>
            <w:r w:rsidRPr="0021277B">
              <w:rPr>
                <w:b/>
                <w:color w:val="000000"/>
                <w:sz w:val="22"/>
                <w:szCs w:val="22"/>
              </w:rPr>
              <w:t>Medium</w:t>
            </w:r>
          </w:p>
        </w:tc>
        <w:tc>
          <w:tcPr>
            <w:tcW w:w="179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5F7255" w14:textId="77777777" w:rsidR="006B3F46" w:rsidRPr="0021277B" w:rsidRDefault="006B3F46" w:rsidP="00907941">
            <w:pPr>
              <w:rPr>
                <w:sz w:val="22"/>
                <w:szCs w:val="22"/>
              </w:rPr>
            </w:pPr>
            <w:r w:rsidRPr="0021277B">
              <w:rPr>
                <w:b/>
                <w:color w:val="000000"/>
                <w:sz w:val="22"/>
                <w:szCs w:val="22"/>
              </w:rPr>
              <w:t>High</w:t>
            </w:r>
          </w:p>
        </w:tc>
      </w:tr>
      <w:tr w:rsidR="006B3F46" w:rsidRPr="0021277B" w14:paraId="6809908C" w14:textId="77777777" w:rsidTr="00907941">
        <w:trPr>
          <w:trHeight w:val="1"/>
        </w:trPr>
        <w:tc>
          <w:tcPr>
            <w:tcW w:w="14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8E15AA" w14:textId="77777777" w:rsidR="006B3F46" w:rsidRPr="0021277B" w:rsidRDefault="006B3F46" w:rsidP="00907941">
            <w:pPr>
              <w:rPr>
                <w:sz w:val="22"/>
                <w:szCs w:val="22"/>
              </w:rPr>
            </w:pPr>
            <w:r w:rsidRPr="0021277B">
              <w:rPr>
                <w:b/>
                <w:sz w:val="22"/>
                <w:szCs w:val="22"/>
              </w:rPr>
              <w:t>Uniqueness or rarity</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E1C6E4" w14:textId="77777777" w:rsidR="006B3F46" w:rsidRPr="0021277B" w:rsidRDefault="006B3F46" w:rsidP="00907941">
            <w:pPr>
              <w:rPr>
                <w:sz w:val="22"/>
                <w:szCs w:val="22"/>
              </w:rPr>
            </w:pPr>
            <w:r w:rsidRPr="0021277B">
              <w:rPr>
                <w:sz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183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97F225" w14:textId="77777777" w:rsidR="006B3F46" w:rsidRPr="0021277B" w:rsidRDefault="006B3F46" w:rsidP="00907941">
            <w:pPr>
              <w:rPr>
                <w:sz w:val="22"/>
                <w:szCs w:val="22"/>
              </w:rPr>
            </w:pPr>
          </w:p>
          <w:p w14:paraId="76313CB2" w14:textId="77777777" w:rsidR="006B3F46" w:rsidRPr="0021277B" w:rsidRDefault="006B3F46" w:rsidP="00907941">
            <w:pPr>
              <w:rPr>
                <w:sz w:val="22"/>
                <w:szCs w:val="22"/>
              </w:rPr>
            </w:pPr>
          </w:p>
          <w:p w14:paraId="59F26EE6" w14:textId="77777777" w:rsidR="006B3F46" w:rsidRPr="0021277B" w:rsidRDefault="006B3F46" w:rsidP="00907941">
            <w:pPr>
              <w:rPr>
                <w:sz w:val="22"/>
                <w:szCs w:val="22"/>
              </w:rPr>
            </w:pPr>
            <w:r w:rsidRPr="0021277B">
              <w:rPr>
                <w:sz w:val="22"/>
                <w:szCs w:val="22"/>
              </w:rPr>
              <w:t xml:space="preserve">     </w:t>
            </w:r>
          </w:p>
        </w:tc>
        <w:tc>
          <w:tcPr>
            <w:tcW w:w="190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955FAC" w14:textId="77777777" w:rsidR="006B3F46" w:rsidRPr="0021277B" w:rsidRDefault="006B3F46" w:rsidP="00907941">
            <w:pPr>
              <w:jc w:val="center"/>
              <w:rPr>
                <w:sz w:val="22"/>
                <w:szCs w:val="22"/>
              </w:rPr>
            </w:pPr>
          </w:p>
          <w:p w14:paraId="31841576" w14:textId="77777777" w:rsidR="006B3F46" w:rsidRPr="0021277B" w:rsidRDefault="006B3F46" w:rsidP="00907941">
            <w:pPr>
              <w:jc w:val="center"/>
              <w:rPr>
                <w:sz w:val="22"/>
                <w:szCs w:val="22"/>
              </w:rPr>
            </w:pPr>
          </w:p>
          <w:p w14:paraId="333830C0" w14:textId="77777777" w:rsidR="006B3F46" w:rsidRPr="0021277B" w:rsidRDefault="006B3F46" w:rsidP="00907941">
            <w:pPr>
              <w:jc w:val="center"/>
              <w:rPr>
                <w:sz w:val="22"/>
                <w:szCs w:val="22"/>
              </w:rPr>
            </w:pPr>
          </w:p>
          <w:p w14:paraId="0DB30A46" w14:textId="77777777" w:rsidR="006B3F46" w:rsidRPr="0021277B" w:rsidRDefault="006B3F46" w:rsidP="00907941">
            <w:pPr>
              <w:jc w:val="center"/>
              <w:rPr>
                <w:sz w:val="22"/>
                <w:szCs w:val="22"/>
              </w:rPr>
            </w:pPr>
          </w:p>
        </w:tc>
        <w:tc>
          <w:tcPr>
            <w:tcW w:w="16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9DCEB6" w14:textId="77777777" w:rsidR="006B3F46" w:rsidRPr="0021277B" w:rsidRDefault="006B3F46" w:rsidP="00907941">
            <w:pPr>
              <w:jc w:val="center"/>
              <w:rPr>
                <w:sz w:val="22"/>
                <w:szCs w:val="22"/>
              </w:rPr>
            </w:pPr>
          </w:p>
          <w:p w14:paraId="490FE732" w14:textId="77777777" w:rsidR="006B3F46" w:rsidRPr="0021277B" w:rsidRDefault="006B3F46" w:rsidP="00907941">
            <w:pPr>
              <w:jc w:val="center"/>
              <w:rPr>
                <w:sz w:val="22"/>
                <w:szCs w:val="22"/>
              </w:rPr>
            </w:pPr>
          </w:p>
          <w:p w14:paraId="02254328" w14:textId="77777777" w:rsidR="006B3F46" w:rsidRPr="0021277B" w:rsidRDefault="006B3F46" w:rsidP="00907941">
            <w:pPr>
              <w:jc w:val="center"/>
              <w:rPr>
                <w:sz w:val="22"/>
                <w:szCs w:val="22"/>
              </w:rPr>
            </w:pPr>
          </w:p>
        </w:tc>
        <w:tc>
          <w:tcPr>
            <w:tcW w:w="179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8E0EC6" w14:textId="77777777" w:rsidR="006B3F46" w:rsidRPr="0021277B" w:rsidRDefault="006B3F46" w:rsidP="00907941">
            <w:pPr>
              <w:jc w:val="center"/>
              <w:rPr>
                <w:sz w:val="22"/>
                <w:szCs w:val="22"/>
              </w:rPr>
            </w:pPr>
          </w:p>
          <w:p w14:paraId="66D9B971" w14:textId="77777777" w:rsidR="006B3F46" w:rsidRPr="0021277B" w:rsidRDefault="006B3F46" w:rsidP="00907941">
            <w:pPr>
              <w:jc w:val="center"/>
              <w:rPr>
                <w:sz w:val="22"/>
                <w:szCs w:val="22"/>
              </w:rPr>
            </w:pPr>
          </w:p>
          <w:p w14:paraId="49AC0A07" w14:textId="77777777" w:rsidR="006B3F46" w:rsidRPr="0021277B" w:rsidRDefault="006B3F46" w:rsidP="00907941">
            <w:pPr>
              <w:jc w:val="center"/>
              <w:rPr>
                <w:sz w:val="22"/>
                <w:szCs w:val="22"/>
              </w:rPr>
            </w:pPr>
            <w:r w:rsidRPr="0021277B">
              <w:rPr>
                <w:sz w:val="22"/>
                <w:szCs w:val="22"/>
              </w:rPr>
              <w:t>X</w:t>
            </w:r>
          </w:p>
        </w:tc>
      </w:tr>
      <w:tr w:rsidR="006B3F46" w:rsidRPr="0021277B" w14:paraId="25B7C7EE" w14:textId="77777777" w:rsidTr="00907941">
        <w:trPr>
          <w:trHeight w:val="1"/>
        </w:trPr>
        <w:tc>
          <w:tcPr>
            <w:tcW w:w="12877" w:type="dxa"/>
            <w:gridSpan w:val="11"/>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FB3B2D" w14:textId="77777777" w:rsidR="006B3F46" w:rsidRPr="0021277B" w:rsidRDefault="006B3F46" w:rsidP="00907941">
            <w:pPr>
              <w:rPr>
                <w:sz w:val="22"/>
                <w:szCs w:val="22"/>
              </w:rPr>
            </w:pPr>
            <w:r w:rsidRPr="0021277B">
              <w:rPr>
                <w:i/>
                <w:sz w:val="22"/>
                <w:szCs w:val="22"/>
              </w:rPr>
              <w:t xml:space="preserve">Explanation for ranking </w:t>
            </w:r>
          </w:p>
          <w:p w14:paraId="2E1A11E7" w14:textId="77777777" w:rsidR="006B3F46" w:rsidRPr="0021277B" w:rsidRDefault="006B3F46" w:rsidP="00907941">
            <w:pPr>
              <w:autoSpaceDE w:val="0"/>
              <w:autoSpaceDN w:val="0"/>
              <w:adjustRightInd w:val="0"/>
              <w:jc w:val="both"/>
              <w:rPr>
                <w:sz w:val="22"/>
                <w:szCs w:val="22"/>
              </w:rPr>
            </w:pPr>
            <w:r w:rsidRPr="0021277B">
              <w:rPr>
                <w:sz w:val="22"/>
                <w:szCs w:val="22"/>
              </w:rPr>
              <w:t>Existence of unusual and restricted geomorphological structures (pockmarks and mud volcanoes), and the presence of chemosynthetic processes and rare species (such as molluscs and polychaetes associated with the fluid emissions and with submarine structures made by leaking gases) characterize the area (Díaz del Río, 2014, ATLAS, 2019)</w:t>
            </w:r>
            <w:r>
              <w:rPr>
                <w:sz w:val="22"/>
                <w:szCs w:val="22"/>
              </w:rPr>
              <w:t>. A</w:t>
            </w:r>
            <w:r w:rsidRPr="0021277B">
              <w:rPr>
                <w:sz w:val="22"/>
                <w:szCs w:val="22"/>
              </w:rPr>
              <w:t xml:space="preserve"> rare eucalliacid crustacean, belonging to the genus Calliax, and other species, such as the polychaete </w:t>
            </w:r>
            <w:r w:rsidRPr="0021277B">
              <w:rPr>
                <w:i/>
                <w:iCs/>
                <w:sz w:val="22"/>
                <w:szCs w:val="22"/>
              </w:rPr>
              <w:t>Siboglinum</w:t>
            </w:r>
            <w:r w:rsidRPr="0021277B">
              <w:rPr>
                <w:sz w:val="22"/>
                <w:szCs w:val="22"/>
              </w:rPr>
              <w:t xml:space="preserve"> sp., the molluscs </w:t>
            </w:r>
            <w:r w:rsidRPr="0021277B">
              <w:rPr>
                <w:i/>
                <w:iCs/>
                <w:sz w:val="22"/>
                <w:szCs w:val="22"/>
              </w:rPr>
              <w:t>Solemya elarraichensis, Lucinoma asapheus</w:t>
            </w:r>
            <w:r w:rsidRPr="0021277B">
              <w:rPr>
                <w:sz w:val="22"/>
                <w:szCs w:val="22"/>
              </w:rPr>
              <w:t xml:space="preserve"> and</w:t>
            </w:r>
            <w:r w:rsidRPr="0021277B">
              <w:rPr>
                <w:i/>
                <w:iCs/>
                <w:sz w:val="22"/>
                <w:szCs w:val="22"/>
              </w:rPr>
              <w:t xml:space="preserve"> Acharax gadirae</w:t>
            </w:r>
            <w:r w:rsidRPr="0021277B">
              <w:rPr>
                <w:sz w:val="22"/>
                <w:szCs w:val="22"/>
              </w:rPr>
              <w:t xml:space="preserve"> are typical of these anoxic muddy substrates with low potential redox and living in symbiosis with chemotrophic bacteria (Rueda </w:t>
            </w:r>
            <w:r w:rsidRPr="0006066A">
              <w:rPr>
                <w:i/>
                <w:sz w:val="22"/>
                <w:szCs w:val="22"/>
              </w:rPr>
              <w:t>et al</w:t>
            </w:r>
            <w:r w:rsidRPr="0021277B">
              <w:rPr>
                <w:sz w:val="22"/>
                <w:szCs w:val="22"/>
              </w:rPr>
              <w:t xml:space="preserve">., 2012; García Raso </w:t>
            </w:r>
            <w:r w:rsidRPr="0006066A">
              <w:rPr>
                <w:i/>
                <w:sz w:val="22"/>
                <w:szCs w:val="22"/>
              </w:rPr>
              <w:t>et al</w:t>
            </w:r>
            <w:r w:rsidRPr="0021277B">
              <w:rPr>
                <w:sz w:val="22"/>
                <w:szCs w:val="22"/>
              </w:rPr>
              <w:t>., 2018).</w:t>
            </w:r>
          </w:p>
          <w:p w14:paraId="392D9B9E" w14:textId="77777777" w:rsidR="006B3F46" w:rsidRPr="0021277B" w:rsidRDefault="006B3F46" w:rsidP="00907941">
            <w:pPr>
              <w:autoSpaceDE w:val="0"/>
              <w:autoSpaceDN w:val="0"/>
              <w:adjustRightInd w:val="0"/>
              <w:jc w:val="both"/>
              <w:rPr>
                <w:sz w:val="22"/>
                <w:szCs w:val="22"/>
              </w:rPr>
            </w:pPr>
          </w:p>
        </w:tc>
      </w:tr>
      <w:tr w:rsidR="006B3F46" w:rsidRPr="0021277B" w14:paraId="74EF8432" w14:textId="77777777" w:rsidTr="00907941">
        <w:trPr>
          <w:trHeight w:val="1"/>
        </w:trPr>
        <w:tc>
          <w:tcPr>
            <w:tcW w:w="14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67DAC89" w14:textId="77777777" w:rsidR="006B3F46" w:rsidRPr="0021277B" w:rsidRDefault="006B3F46" w:rsidP="00907941">
            <w:pPr>
              <w:rPr>
                <w:sz w:val="22"/>
                <w:szCs w:val="22"/>
              </w:rPr>
            </w:pPr>
            <w:r w:rsidRPr="0021277B">
              <w:rPr>
                <w:b/>
                <w:sz w:val="22"/>
                <w:szCs w:val="22"/>
              </w:rPr>
              <w:t>Special importance for life-history stages of species</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50CAA6" w14:textId="77777777" w:rsidR="006B3F46" w:rsidRPr="0021277B" w:rsidRDefault="006B3F46" w:rsidP="00907941">
            <w:pPr>
              <w:rPr>
                <w:sz w:val="22"/>
                <w:szCs w:val="22"/>
              </w:rPr>
            </w:pPr>
            <w:r w:rsidRPr="0021277B">
              <w:rPr>
                <w:sz w:val="22"/>
                <w:szCs w:val="22"/>
              </w:rPr>
              <w:t>Areas that are required for a population to survive and thrive.</w:t>
            </w:r>
          </w:p>
        </w:tc>
        <w:tc>
          <w:tcPr>
            <w:tcW w:w="208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7B3C11" w14:textId="77777777" w:rsidR="006B3F46" w:rsidRPr="0021277B" w:rsidRDefault="006B3F46" w:rsidP="00907941">
            <w:pPr>
              <w:rPr>
                <w:sz w:val="22"/>
                <w:szCs w:val="22"/>
              </w:rPr>
            </w:pPr>
          </w:p>
          <w:p w14:paraId="0EBC1219" w14:textId="77777777" w:rsidR="006B3F46" w:rsidRPr="0021277B" w:rsidRDefault="006B3F46" w:rsidP="00907941">
            <w:pPr>
              <w:rPr>
                <w:sz w:val="22"/>
                <w:szCs w:val="22"/>
              </w:rPr>
            </w:pPr>
          </w:p>
          <w:p w14:paraId="600F0C37" w14:textId="77777777" w:rsidR="006B3F46" w:rsidRPr="0021277B" w:rsidRDefault="006B3F46" w:rsidP="00907941">
            <w:pPr>
              <w:rPr>
                <w:sz w:val="22"/>
                <w:szCs w:val="22"/>
              </w:rPr>
            </w:pPr>
          </w:p>
        </w:tc>
        <w:tc>
          <w:tcPr>
            <w:tcW w:w="165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C549098" w14:textId="77777777" w:rsidR="006B3F46" w:rsidRPr="0021277B" w:rsidRDefault="006B3F46" w:rsidP="00907941">
            <w:pPr>
              <w:jc w:val="center"/>
              <w:rPr>
                <w:sz w:val="22"/>
                <w:szCs w:val="22"/>
              </w:rPr>
            </w:pPr>
          </w:p>
          <w:p w14:paraId="133BDF4E" w14:textId="77777777" w:rsidR="006B3F46" w:rsidRPr="0021277B" w:rsidRDefault="006B3F46" w:rsidP="00907941">
            <w:pPr>
              <w:jc w:val="center"/>
              <w:rPr>
                <w:sz w:val="22"/>
                <w:szCs w:val="22"/>
              </w:rPr>
            </w:pPr>
          </w:p>
          <w:p w14:paraId="7AF25CC5" w14:textId="77777777" w:rsidR="006B3F46" w:rsidRPr="0021277B" w:rsidRDefault="006B3F46" w:rsidP="00907941">
            <w:pPr>
              <w:jc w:val="center"/>
              <w:rPr>
                <w:sz w:val="22"/>
                <w:szCs w:val="22"/>
              </w:rPr>
            </w:pPr>
          </w:p>
          <w:p w14:paraId="3EDDDC90" w14:textId="77777777" w:rsidR="006B3F46" w:rsidRPr="0021277B" w:rsidRDefault="006B3F46" w:rsidP="00907941">
            <w:pPr>
              <w:jc w:val="center"/>
              <w:rPr>
                <w:sz w:val="22"/>
                <w:szCs w:val="22"/>
              </w:rPr>
            </w:pPr>
          </w:p>
        </w:tc>
        <w:tc>
          <w:tcPr>
            <w:tcW w:w="16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6368D6" w14:textId="77777777" w:rsidR="006B3F46" w:rsidRPr="0021277B" w:rsidRDefault="006B3F46" w:rsidP="00907941">
            <w:pPr>
              <w:jc w:val="center"/>
              <w:rPr>
                <w:sz w:val="22"/>
                <w:szCs w:val="22"/>
              </w:rPr>
            </w:pPr>
          </w:p>
          <w:p w14:paraId="60B9C27E" w14:textId="77777777" w:rsidR="006B3F46" w:rsidRPr="0021277B" w:rsidRDefault="006B3F46" w:rsidP="00907941">
            <w:pPr>
              <w:jc w:val="center"/>
              <w:rPr>
                <w:sz w:val="22"/>
                <w:szCs w:val="22"/>
              </w:rPr>
            </w:pPr>
          </w:p>
          <w:p w14:paraId="51673310" w14:textId="77777777" w:rsidR="006B3F46" w:rsidRPr="0021277B" w:rsidRDefault="006B3F46" w:rsidP="00907941">
            <w:pPr>
              <w:jc w:val="center"/>
              <w:rPr>
                <w:sz w:val="22"/>
                <w:szCs w:val="22"/>
              </w:rPr>
            </w:pPr>
          </w:p>
        </w:tc>
        <w:tc>
          <w:tcPr>
            <w:tcW w:w="179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1EDE1A" w14:textId="77777777" w:rsidR="006B3F46" w:rsidRPr="0021277B" w:rsidRDefault="006B3F46" w:rsidP="00907941">
            <w:pPr>
              <w:jc w:val="center"/>
              <w:rPr>
                <w:sz w:val="22"/>
                <w:szCs w:val="22"/>
              </w:rPr>
            </w:pPr>
          </w:p>
          <w:p w14:paraId="5E3B7DDC" w14:textId="77777777" w:rsidR="006B3F46" w:rsidRPr="0021277B" w:rsidRDefault="006B3F46" w:rsidP="00907941">
            <w:pPr>
              <w:jc w:val="center"/>
              <w:rPr>
                <w:sz w:val="22"/>
                <w:szCs w:val="22"/>
              </w:rPr>
            </w:pPr>
          </w:p>
          <w:p w14:paraId="2B5848D9" w14:textId="77777777" w:rsidR="006B3F46" w:rsidRPr="0021277B" w:rsidRDefault="006B3F46" w:rsidP="00907941">
            <w:pPr>
              <w:jc w:val="center"/>
              <w:rPr>
                <w:sz w:val="22"/>
                <w:szCs w:val="22"/>
              </w:rPr>
            </w:pPr>
            <w:r w:rsidRPr="0021277B">
              <w:rPr>
                <w:sz w:val="22"/>
                <w:szCs w:val="22"/>
              </w:rPr>
              <w:t>X</w:t>
            </w:r>
          </w:p>
        </w:tc>
      </w:tr>
      <w:tr w:rsidR="006B3F46" w:rsidRPr="0021277B" w14:paraId="249537FB" w14:textId="77777777" w:rsidTr="00907941">
        <w:trPr>
          <w:trHeight w:val="1"/>
        </w:trPr>
        <w:tc>
          <w:tcPr>
            <w:tcW w:w="12877" w:type="dxa"/>
            <w:gridSpan w:val="11"/>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AF6A6D" w14:textId="77777777" w:rsidR="006B3F46" w:rsidRPr="0021277B" w:rsidRDefault="006B3F46" w:rsidP="00907941">
            <w:pPr>
              <w:rPr>
                <w:sz w:val="22"/>
                <w:szCs w:val="22"/>
              </w:rPr>
            </w:pPr>
            <w:r w:rsidRPr="0021277B">
              <w:rPr>
                <w:i/>
                <w:sz w:val="22"/>
                <w:szCs w:val="22"/>
              </w:rPr>
              <w:t xml:space="preserve">Explanation for ranking </w:t>
            </w:r>
          </w:p>
          <w:p w14:paraId="1B929F9B" w14:textId="77777777" w:rsidR="006B3F46" w:rsidRPr="0021277B" w:rsidRDefault="006B3F46" w:rsidP="002E4B39">
            <w:pPr>
              <w:suppressLineNumbers/>
              <w:spacing w:after="120"/>
              <w:jc w:val="both"/>
              <w:rPr>
                <w:sz w:val="22"/>
                <w:szCs w:val="22"/>
              </w:rPr>
            </w:pPr>
            <w:r w:rsidRPr="0021277B">
              <w:rPr>
                <w:sz w:val="22"/>
                <w:szCs w:val="22"/>
              </w:rPr>
              <w:t>An important area for cetaceans and a seasonal migratory pathway for large migratory pelagic species: short-beaked common dolphins (</w:t>
            </w:r>
            <w:r w:rsidRPr="0021277B">
              <w:rPr>
                <w:i/>
                <w:sz w:val="22"/>
                <w:szCs w:val="22"/>
              </w:rPr>
              <w:t>Delphinus delphis</w:t>
            </w:r>
            <w:r w:rsidRPr="0021277B">
              <w:rPr>
                <w:sz w:val="22"/>
                <w:szCs w:val="22"/>
              </w:rPr>
              <w:t>), striped dolphins (</w:t>
            </w:r>
            <w:r w:rsidRPr="0021277B">
              <w:rPr>
                <w:i/>
                <w:sz w:val="22"/>
                <w:szCs w:val="22"/>
              </w:rPr>
              <w:t>Stenella coeruleoalba</w:t>
            </w:r>
            <w:r w:rsidRPr="0021277B">
              <w:rPr>
                <w:sz w:val="22"/>
                <w:szCs w:val="22"/>
              </w:rPr>
              <w:t>), bottlenose dolphins (</w:t>
            </w:r>
            <w:r w:rsidRPr="0021277B">
              <w:rPr>
                <w:i/>
                <w:sz w:val="22"/>
                <w:szCs w:val="22"/>
              </w:rPr>
              <w:t>Tursiops truncatus</w:t>
            </w:r>
            <w:r w:rsidRPr="0021277B">
              <w:rPr>
                <w:sz w:val="22"/>
                <w:szCs w:val="22"/>
              </w:rPr>
              <w:t>), long-finned pilot whales (</w:t>
            </w:r>
            <w:r w:rsidRPr="0021277B">
              <w:rPr>
                <w:i/>
                <w:sz w:val="22"/>
                <w:szCs w:val="22"/>
              </w:rPr>
              <w:t>Globicephala melas</w:t>
            </w:r>
            <w:r w:rsidRPr="0021277B">
              <w:rPr>
                <w:sz w:val="22"/>
                <w:szCs w:val="22"/>
              </w:rPr>
              <w:t>), sperm whales (</w:t>
            </w:r>
            <w:r w:rsidRPr="0021277B">
              <w:rPr>
                <w:i/>
                <w:sz w:val="22"/>
                <w:szCs w:val="22"/>
              </w:rPr>
              <w:t>Physeter macrocephalus</w:t>
            </w:r>
            <w:r w:rsidRPr="0021277B">
              <w:rPr>
                <w:sz w:val="22"/>
                <w:szCs w:val="22"/>
              </w:rPr>
              <w:t>) and killer whales (</w:t>
            </w:r>
            <w:r w:rsidRPr="0021277B">
              <w:rPr>
                <w:i/>
                <w:sz w:val="22"/>
                <w:szCs w:val="22"/>
              </w:rPr>
              <w:t>Orcinus orca</w:t>
            </w:r>
            <w:r w:rsidRPr="0021277B">
              <w:rPr>
                <w:sz w:val="22"/>
                <w:szCs w:val="22"/>
              </w:rPr>
              <w:t xml:space="preserve">) (De Stephanis </w:t>
            </w:r>
            <w:r w:rsidRPr="0006066A">
              <w:rPr>
                <w:i/>
                <w:sz w:val="22"/>
                <w:szCs w:val="22"/>
              </w:rPr>
              <w:t>et al</w:t>
            </w:r>
            <w:r w:rsidRPr="0021277B">
              <w:rPr>
                <w:sz w:val="22"/>
                <w:szCs w:val="22"/>
              </w:rPr>
              <w:t xml:space="preserve">., 2008). </w:t>
            </w:r>
          </w:p>
          <w:p w14:paraId="561B1BD5" w14:textId="77777777" w:rsidR="006B3F46" w:rsidRPr="0021277B" w:rsidRDefault="006B3F46" w:rsidP="002E4B39">
            <w:pPr>
              <w:suppressLineNumbers/>
              <w:spacing w:after="120"/>
              <w:jc w:val="both"/>
              <w:rPr>
                <w:sz w:val="22"/>
                <w:szCs w:val="22"/>
              </w:rPr>
            </w:pPr>
            <w:r w:rsidRPr="002E4B39">
              <w:rPr>
                <w:rFonts w:eastAsia="MS Mincho"/>
                <w:sz w:val="22"/>
                <w:szCs w:val="22"/>
                <w:lang w:val="en-US"/>
              </w:rPr>
              <w:t>Specifically</w:t>
            </w:r>
            <w:r w:rsidRPr="0021277B">
              <w:rPr>
                <w:sz w:val="22"/>
                <w:szCs w:val="22"/>
              </w:rPr>
              <w:t>, during spring and summer this area provides essential feeding and nursing habitat for killer whales (</w:t>
            </w:r>
            <w:r w:rsidRPr="0021277B">
              <w:rPr>
                <w:i/>
                <w:sz w:val="22"/>
                <w:szCs w:val="22"/>
              </w:rPr>
              <w:t>Orcinus orca</w:t>
            </w:r>
            <w:r w:rsidRPr="0021277B">
              <w:rPr>
                <w:sz w:val="22"/>
                <w:szCs w:val="22"/>
              </w:rPr>
              <w:t xml:space="preserve">). The small seasonal resident population of 39 killer whales, which are genetically and ecologically distinct from killer whales in the Atlantic Ocean, use the area, and the same individuals have been re-sighted annually from 1999 to 2016. They belong to five social pods (Esteban </w:t>
            </w:r>
            <w:r w:rsidRPr="0006066A">
              <w:rPr>
                <w:i/>
                <w:sz w:val="22"/>
                <w:szCs w:val="22"/>
              </w:rPr>
              <w:t>et al</w:t>
            </w:r>
            <w:r w:rsidRPr="0021277B">
              <w:rPr>
                <w:sz w:val="22"/>
                <w:szCs w:val="22"/>
              </w:rPr>
              <w:t>., 2014; 2016).</w:t>
            </w:r>
          </w:p>
          <w:p w14:paraId="64F30150" w14:textId="77777777" w:rsidR="006B3F46" w:rsidRPr="0021277B" w:rsidRDefault="006B3F46" w:rsidP="002E4B39">
            <w:pPr>
              <w:suppressLineNumbers/>
              <w:spacing w:after="120"/>
              <w:jc w:val="both"/>
              <w:rPr>
                <w:sz w:val="22"/>
                <w:szCs w:val="22"/>
              </w:rPr>
            </w:pPr>
            <w:r w:rsidRPr="002E4B39">
              <w:rPr>
                <w:rFonts w:eastAsia="MS Mincho"/>
                <w:sz w:val="22"/>
                <w:szCs w:val="22"/>
                <w:lang w:val="en-US"/>
              </w:rPr>
              <w:t>Moreover</w:t>
            </w:r>
            <w:r w:rsidRPr="0021277B">
              <w:rPr>
                <w:sz w:val="22"/>
                <w:szCs w:val="22"/>
              </w:rPr>
              <w:t xml:space="preserve">, in spring Atlantic bluefin tuna, </w:t>
            </w:r>
            <w:r w:rsidRPr="0021277B">
              <w:rPr>
                <w:i/>
                <w:sz w:val="22"/>
                <w:szCs w:val="22"/>
              </w:rPr>
              <w:t>Thunnus thynnus</w:t>
            </w:r>
            <w:r w:rsidRPr="0021277B">
              <w:rPr>
                <w:sz w:val="22"/>
                <w:szCs w:val="22"/>
              </w:rPr>
              <w:t xml:space="preserve"> (Linnaeus, 1758), perform long seasonal reproductive migrations between feeding areas in the Atlantic Ocean and spawning grounds, either in the Gulf of Mexico (western stock) or the Mediterranean Sea (eastern stock). The Gulf of Cádiz is one of the regions located on the migratory pathway between the western Mediterranean and the North Atlantic Ocean (Aranda </w:t>
            </w:r>
            <w:r w:rsidRPr="0006066A">
              <w:rPr>
                <w:i/>
                <w:sz w:val="22"/>
                <w:szCs w:val="22"/>
              </w:rPr>
              <w:t>et al</w:t>
            </w:r>
            <w:r w:rsidRPr="0021277B">
              <w:rPr>
                <w:sz w:val="22"/>
                <w:szCs w:val="22"/>
              </w:rPr>
              <w:t>., 2013).</w:t>
            </w:r>
          </w:p>
          <w:p w14:paraId="0F36B76D" w14:textId="77777777" w:rsidR="006B3F46" w:rsidRPr="0021277B" w:rsidRDefault="006B3F46" w:rsidP="00907941">
            <w:pPr>
              <w:jc w:val="both"/>
              <w:rPr>
                <w:sz w:val="22"/>
                <w:szCs w:val="22"/>
              </w:rPr>
            </w:pPr>
            <w:r w:rsidRPr="0021277B">
              <w:rPr>
                <w:sz w:val="22"/>
                <w:szCs w:val="22"/>
              </w:rPr>
              <w:t>In addition, the Strait of Gibraltar has been identified as a transiting area for satellite tagged fin whales (</w:t>
            </w:r>
            <w:r w:rsidRPr="0021277B">
              <w:rPr>
                <w:i/>
                <w:sz w:val="22"/>
                <w:szCs w:val="22"/>
              </w:rPr>
              <w:t>Balaenoptera physalus</w:t>
            </w:r>
            <w:r w:rsidRPr="0021277B">
              <w:rPr>
                <w:sz w:val="22"/>
                <w:szCs w:val="22"/>
              </w:rPr>
              <w:t xml:space="preserve">) moving between the Gulf of Cádiz and the Ligurian Sea area of the northern Mediterranean (Gauffier </w:t>
            </w:r>
            <w:r w:rsidRPr="0006066A">
              <w:rPr>
                <w:i/>
                <w:sz w:val="22"/>
                <w:szCs w:val="22"/>
              </w:rPr>
              <w:t>et al</w:t>
            </w:r>
            <w:r w:rsidRPr="0021277B">
              <w:rPr>
                <w:sz w:val="22"/>
                <w:szCs w:val="22"/>
              </w:rPr>
              <w:t xml:space="preserve">. 2009, Cotte </w:t>
            </w:r>
            <w:r w:rsidRPr="0006066A">
              <w:rPr>
                <w:i/>
                <w:sz w:val="22"/>
                <w:szCs w:val="22"/>
              </w:rPr>
              <w:t>et al</w:t>
            </w:r>
            <w:r w:rsidRPr="0021277B">
              <w:rPr>
                <w:sz w:val="22"/>
                <w:szCs w:val="22"/>
              </w:rPr>
              <w:t xml:space="preserve">., 2011, Notarbartolo di Sciara </w:t>
            </w:r>
            <w:r w:rsidRPr="0006066A">
              <w:rPr>
                <w:i/>
                <w:sz w:val="22"/>
                <w:szCs w:val="22"/>
              </w:rPr>
              <w:t>et al</w:t>
            </w:r>
            <w:r w:rsidRPr="0021277B">
              <w:rPr>
                <w:sz w:val="22"/>
                <w:szCs w:val="22"/>
              </w:rPr>
              <w:t xml:space="preserve">. 2016, Gauffier </w:t>
            </w:r>
            <w:r w:rsidRPr="0006066A">
              <w:rPr>
                <w:i/>
                <w:sz w:val="22"/>
                <w:szCs w:val="22"/>
              </w:rPr>
              <w:t>et al</w:t>
            </w:r>
            <w:r w:rsidRPr="0021277B">
              <w:rPr>
                <w:sz w:val="22"/>
                <w:szCs w:val="22"/>
              </w:rPr>
              <w:t>. 2018).</w:t>
            </w:r>
          </w:p>
          <w:p w14:paraId="412787E5" w14:textId="77777777" w:rsidR="006B3F46" w:rsidRPr="0021277B" w:rsidRDefault="006B3F46" w:rsidP="00907941">
            <w:pPr>
              <w:jc w:val="both"/>
              <w:rPr>
                <w:sz w:val="22"/>
                <w:szCs w:val="22"/>
              </w:rPr>
            </w:pPr>
          </w:p>
        </w:tc>
      </w:tr>
      <w:tr w:rsidR="006B3F46" w:rsidRPr="0021277B" w14:paraId="560284B4" w14:textId="77777777" w:rsidTr="00907941">
        <w:trPr>
          <w:trHeight w:val="1"/>
        </w:trPr>
        <w:tc>
          <w:tcPr>
            <w:tcW w:w="14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915F38" w14:textId="77777777" w:rsidR="006B3F46" w:rsidRPr="0021277B" w:rsidRDefault="006B3F46" w:rsidP="00907941">
            <w:pPr>
              <w:rPr>
                <w:sz w:val="22"/>
                <w:szCs w:val="22"/>
              </w:rPr>
            </w:pPr>
            <w:r w:rsidRPr="0021277B">
              <w:rPr>
                <w:b/>
                <w:sz w:val="22"/>
                <w:szCs w:val="22"/>
              </w:rPr>
              <w:t>Importance for threatened, endangered or declining species and/or habitats</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FEA24F" w14:textId="77777777" w:rsidR="006B3F46" w:rsidRPr="0021277B" w:rsidRDefault="006B3F46" w:rsidP="00907941">
            <w:pPr>
              <w:rPr>
                <w:sz w:val="22"/>
                <w:szCs w:val="22"/>
              </w:rPr>
            </w:pPr>
            <w:r w:rsidRPr="0021277B">
              <w:rPr>
                <w:sz w:val="22"/>
                <w:szCs w:val="22"/>
              </w:rPr>
              <w:t>Area containing habitat for the survival and recovery of endangered, threatened, declining species or area with significant assemblages of such species.</w:t>
            </w:r>
          </w:p>
        </w:tc>
        <w:tc>
          <w:tcPr>
            <w:tcW w:w="208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A5AF07" w14:textId="77777777" w:rsidR="006B3F46" w:rsidRPr="0021277B" w:rsidRDefault="006B3F46" w:rsidP="00907941">
            <w:pPr>
              <w:jc w:val="center"/>
              <w:rPr>
                <w:rFonts w:eastAsia="Calibri"/>
                <w:sz w:val="22"/>
                <w:szCs w:val="22"/>
              </w:rPr>
            </w:pPr>
          </w:p>
        </w:tc>
        <w:tc>
          <w:tcPr>
            <w:tcW w:w="165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3882D3" w14:textId="77777777" w:rsidR="006B3F46" w:rsidRPr="0021277B" w:rsidRDefault="006B3F46" w:rsidP="00907941">
            <w:pPr>
              <w:jc w:val="center"/>
              <w:rPr>
                <w:rFonts w:eastAsia="Calibri"/>
                <w:sz w:val="22"/>
                <w:szCs w:val="22"/>
              </w:rPr>
            </w:pPr>
          </w:p>
        </w:tc>
        <w:tc>
          <w:tcPr>
            <w:tcW w:w="16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FFA5FA" w14:textId="77777777" w:rsidR="006B3F46" w:rsidRPr="0021277B" w:rsidRDefault="006B3F46" w:rsidP="00907941">
            <w:pPr>
              <w:jc w:val="center"/>
              <w:rPr>
                <w:rFonts w:eastAsia="Calibri"/>
                <w:sz w:val="22"/>
                <w:szCs w:val="22"/>
              </w:rPr>
            </w:pPr>
          </w:p>
        </w:tc>
        <w:tc>
          <w:tcPr>
            <w:tcW w:w="179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8F530A" w14:textId="77777777" w:rsidR="006B3F46" w:rsidRPr="0021277B" w:rsidRDefault="006B3F46" w:rsidP="00907941">
            <w:pPr>
              <w:jc w:val="center"/>
              <w:rPr>
                <w:sz w:val="22"/>
                <w:szCs w:val="22"/>
              </w:rPr>
            </w:pPr>
          </w:p>
          <w:p w14:paraId="5171A423" w14:textId="77777777" w:rsidR="006B3F46" w:rsidRPr="0021277B" w:rsidRDefault="006B3F46" w:rsidP="00907941">
            <w:pPr>
              <w:jc w:val="center"/>
              <w:rPr>
                <w:sz w:val="22"/>
                <w:szCs w:val="22"/>
              </w:rPr>
            </w:pPr>
          </w:p>
          <w:p w14:paraId="0FB2B626" w14:textId="77777777" w:rsidR="006B3F46" w:rsidRPr="0021277B" w:rsidRDefault="006B3F46" w:rsidP="00907941">
            <w:pPr>
              <w:jc w:val="center"/>
              <w:rPr>
                <w:sz w:val="22"/>
                <w:szCs w:val="22"/>
              </w:rPr>
            </w:pPr>
            <w:r w:rsidRPr="0021277B">
              <w:rPr>
                <w:sz w:val="22"/>
                <w:szCs w:val="22"/>
              </w:rPr>
              <w:t>X</w:t>
            </w:r>
          </w:p>
        </w:tc>
      </w:tr>
      <w:tr w:rsidR="006B3F46" w:rsidRPr="0021277B" w14:paraId="2623707E" w14:textId="77777777" w:rsidTr="00907941">
        <w:trPr>
          <w:trHeight w:val="1"/>
        </w:trPr>
        <w:tc>
          <w:tcPr>
            <w:tcW w:w="12877" w:type="dxa"/>
            <w:gridSpan w:val="11"/>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A9D05F" w14:textId="77777777" w:rsidR="006B3F46" w:rsidRPr="0021277B" w:rsidRDefault="006B3F46" w:rsidP="00907941">
            <w:pPr>
              <w:jc w:val="both"/>
              <w:rPr>
                <w:i/>
                <w:sz w:val="22"/>
                <w:szCs w:val="22"/>
              </w:rPr>
            </w:pPr>
            <w:r w:rsidRPr="0021277B">
              <w:rPr>
                <w:i/>
                <w:sz w:val="22"/>
                <w:szCs w:val="22"/>
              </w:rPr>
              <w:t xml:space="preserve">Explanation for ranking </w:t>
            </w:r>
          </w:p>
          <w:p w14:paraId="42ABA454" w14:textId="77777777" w:rsidR="006B3F46" w:rsidRPr="0021277B" w:rsidRDefault="006B3F46" w:rsidP="00907941">
            <w:pPr>
              <w:jc w:val="both"/>
              <w:rPr>
                <w:sz w:val="22"/>
                <w:szCs w:val="22"/>
              </w:rPr>
            </w:pPr>
            <w:r w:rsidRPr="0021277B">
              <w:rPr>
                <w:sz w:val="22"/>
                <w:szCs w:val="22"/>
              </w:rPr>
              <w:t xml:space="preserve">More than 60 species (see Table 1) considered “threatened, endangered or declining”, based on different international regulations and agreements, are present in the area described, including benthic species as well as marine mammals, fish and reptiles (Aguilar </w:t>
            </w:r>
            <w:r w:rsidRPr="0006066A">
              <w:rPr>
                <w:i/>
                <w:sz w:val="22"/>
                <w:szCs w:val="22"/>
              </w:rPr>
              <w:t>et al</w:t>
            </w:r>
            <w:r w:rsidRPr="0021277B">
              <w:rPr>
                <w:sz w:val="22"/>
                <w:szCs w:val="22"/>
              </w:rPr>
              <w:t xml:space="preserve">., 2010; Díaz del Río, 2014). </w:t>
            </w:r>
          </w:p>
          <w:p w14:paraId="4DCBFFDC" w14:textId="77777777" w:rsidR="006B3F46" w:rsidRPr="0021277B" w:rsidRDefault="006B3F46" w:rsidP="00907941">
            <w:pPr>
              <w:jc w:val="both"/>
              <w:rPr>
                <w:sz w:val="22"/>
                <w:szCs w:val="22"/>
              </w:rPr>
            </w:pPr>
          </w:p>
        </w:tc>
      </w:tr>
      <w:tr w:rsidR="006B3F46" w:rsidRPr="0021277B" w14:paraId="4A411B50" w14:textId="77777777" w:rsidTr="00907941">
        <w:trPr>
          <w:trHeight w:val="1"/>
        </w:trPr>
        <w:tc>
          <w:tcPr>
            <w:tcW w:w="14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9F55E2" w14:textId="77777777" w:rsidR="006B3F46" w:rsidRPr="0021277B" w:rsidRDefault="006B3F46" w:rsidP="00907941">
            <w:pPr>
              <w:rPr>
                <w:sz w:val="22"/>
                <w:szCs w:val="22"/>
              </w:rPr>
            </w:pPr>
            <w:r w:rsidRPr="0021277B">
              <w:rPr>
                <w:b/>
                <w:sz w:val="22"/>
                <w:szCs w:val="22"/>
              </w:rPr>
              <w:t>Vulnerability, fragility, sensitivity, or slow recovery</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AE9D36" w14:textId="77777777" w:rsidR="006B3F46" w:rsidRPr="0021277B" w:rsidRDefault="006B3F46" w:rsidP="00907941">
            <w:pPr>
              <w:rPr>
                <w:sz w:val="22"/>
                <w:szCs w:val="22"/>
              </w:rPr>
            </w:pPr>
            <w:r w:rsidRPr="0021277B">
              <w:rPr>
                <w:sz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208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D1FFD9" w14:textId="77777777" w:rsidR="006B3F46" w:rsidRPr="0021277B" w:rsidRDefault="006B3F46" w:rsidP="00907941">
            <w:pPr>
              <w:jc w:val="center"/>
              <w:rPr>
                <w:rFonts w:eastAsia="Calibri"/>
                <w:sz w:val="22"/>
                <w:szCs w:val="22"/>
              </w:rPr>
            </w:pPr>
          </w:p>
        </w:tc>
        <w:tc>
          <w:tcPr>
            <w:tcW w:w="165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5122DD" w14:textId="77777777" w:rsidR="006B3F46" w:rsidRPr="0021277B" w:rsidRDefault="006B3F46" w:rsidP="00907941">
            <w:pPr>
              <w:jc w:val="center"/>
              <w:rPr>
                <w:rFonts w:eastAsia="Calibri"/>
                <w:sz w:val="22"/>
                <w:szCs w:val="22"/>
              </w:rPr>
            </w:pPr>
          </w:p>
        </w:tc>
        <w:tc>
          <w:tcPr>
            <w:tcW w:w="16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B35C03" w14:textId="77777777" w:rsidR="006B3F46" w:rsidRPr="0021277B" w:rsidRDefault="006B3F46" w:rsidP="00907941">
            <w:pPr>
              <w:jc w:val="center"/>
              <w:rPr>
                <w:rFonts w:eastAsia="Calibri"/>
                <w:sz w:val="22"/>
                <w:szCs w:val="22"/>
              </w:rPr>
            </w:pPr>
          </w:p>
        </w:tc>
        <w:tc>
          <w:tcPr>
            <w:tcW w:w="179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DDD639" w14:textId="77777777" w:rsidR="006B3F46" w:rsidRPr="0021277B" w:rsidRDefault="006B3F46" w:rsidP="00907941">
            <w:pPr>
              <w:jc w:val="center"/>
              <w:rPr>
                <w:sz w:val="22"/>
                <w:szCs w:val="22"/>
              </w:rPr>
            </w:pPr>
          </w:p>
          <w:p w14:paraId="2E7041B8" w14:textId="77777777" w:rsidR="006B3F46" w:rsidRPr="0021277B" w:rsidRDefault="006B3F46" w:rsidP="00907941">
            <w:pPr>
              <w:jc w:val="center"/>
              <w:rPr>
                <w:sz w:val="22"/>
                <w:szCs w:val="22"/>
              </w:rPr>
            </w:pPr>
          </w:p>
          <w:p w14:paraId="2395F0BC" w14:textId="77777777" w:rsidR="006B3F46" w:rsidRPr="0021277B" w:rsidRDefault="006B3F46" w:rsidP="00907941">
            <w:pPr>
              <w:jc w:val="center"/>
              <w:rPr>
                <w:sz w:val="22"/>
                <w:szCs w:val="22"/>
              </w:rPr>
            </w:pPr>
            <w:r w:rsidRPr="0021277B">
              <w:rPr>
                <w:sz w:val="22"/>
                <w:szCs w:val="22"/>
              </w:rPr>
              <w:t>X</w:t>
            </w:r>
          </w:p>
        </w:tc>
      </w:tr>
      <w:tr w:rsidR="006B3F46" w:rsidRPr="0021277B" w14:paraId="554C682C" w14:textId="77777777" w:rsidTr="00907941">
        <w:trPr>
          <w:trHeight w:val="1"/>
        </w:trPr>
        <w:tc>
          <w:tcPr>
            <w:tcW w:w="12877" w:type="dxa"/>
            <w:gridSpan w:val="11"/>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C19CB0" w14:textId="77777777" w:rsidR="006B3F46" w:rsidRPr="0021277B" w:rsidRDefault="006B3F46" w:rsidP="00907941">
            <w:pPr>
              <w:rPr>
                <w:i/>
                <w:sz w:val="22"/>
                <w:szCs w:val="22"/>
              </w:rPr>
            </w:pPr>
            <w:r w:rsidRPr="0021277B">
              <w:rPr>
                <w:i/>
                <w:sz w:val="22"/>
                <w:szCs w:val="22"/>
              </w:rPr>
              <w:t xml:space="preserve">Explanation for ranking  </w:t>
            </w:r>
          </w:p>
          <w:p w14:paraId="24A4D080" w14:textId="77777777" w:rsidR="006B3F46" w:rsidRPr="0021277B" w:rsidRDefault="006B3F46" w:rsidP="00907941">
            <w:pPr>
              <w:autoSpaceDE w:val="0"/>
              <w:autoSpaceDN w:val="0"/>
              <w:adjustRightInd w:val="0"/>
              <w:jc w:val="both"/>
              <w:rPr>
                <w:sz w:val="22"/>
                <w:szCs w:val="22"/>
              </w:rPr>
            </w:pPr>
            <w:r>
              <w:rPr>
                <w:sz w:val="22"/>
                <w:szCs w:val="22"/>
              </w:rPr>
              <w:t>Many</w:t>
            </w:r>
            <w:r w:rsidRPr="0021277B">
              <w:rPr>
                <w:sz w:val="22"/>
                <w:szCs w:val="22"/>
              </w:rPr>
              <w:t xml:space="preserve"> Vulnerable Marine Ecosystems</w:t>
            </w:r>
            <w:r>
              <w:rPr>
                <w:sz w:val="22"/>
                <w:szCs w:val="22"/>
              </w:rPr>
              <w:t>,</w:t>
            </w:r>
            <w:r w:rsidRPr="0021277B">
              <w:rPr>
                <w:sz w:val="22"/>
                <w:szCs w:val="22"/>
              </w:rPr>
              <w:t xml:space="preserve"> characterized by sessile habitat-forming species with long-life cycles (</w:t>
            </w:r>
            <w:r>
              <w:rPr>
                <w:sz w:val="22"/>
                <w:szCs w:val="22"/>
              </w:rPr>
              <w:t xml:space="preserve">e.g., </w:t>
            </w:r>
            <w:r w:rsidRPr="0021277B">
              <w:rPr>
                <w:sz w:val="22"/>
                <w:szCs w:val="22"/>
              </w:rPr>
              <w:t>coral reefs, gorgonian forest, sponge grounds) are present in the area and are vulnerable and sensitive to fishing activities: communities of sea pens (</w:t>
            </w:r>
            <w:r w:rsidRPr="0021277B">
              <w:rPr>
                <w:i/>
                <w:iCs/>
                <w:sz w:val="22"/>
                <w:szCs w:val="22"/>
              </w:rPr>
              <w:t>Funiculina quadrangularis</w:t>
            </w:r>
            <w:r w:rsidRPr="0021277B">
              <w:rPr>
                <w:sz w:val="22"/>
                <w:szCs w:val="22"/>
              </w:rPr>
              <w:t xml:space="preserve">, </w:t>
            </w:r>
            <w:r w:rsidRPr="0021277B">
              <w:rPr>
                <w:i/>
                <w:iCs/>
                <w:sz w:val="22"/>
                <w:szCs w:val="22"/>
              </w:rPr>
              <w:t>Kophobelemnon stelliferum</w:t>
            </w:r>
            <w:r w:rsidRPr="0021277B">
              <w:rPr>
                <w:sz w:val="22"/>
                <w:szCs w:val="22"/>
              </w:rPr>
              <w:t xml:space="preserve">, </w:t>
            </w:r>
            <w:r w:rsidRPr="0021277B">
              <w:rPr>
                <w:i/>
                <w:iCs/>
                <w:sz w:val="22"/>
                <w:szCs w:val="22"/>
              </w:rPr>
              <w:t>Pennatula</w:t>
            </w:r>
            <w:r w:rsidRPr="0021277B">
              <w:rPr>
                <w:sz w:val="22"/>
                <w:szCs w:val="22"/>
              </w:rPr>
              <w:t xml:space="preserve"> cf. </w:t>
            </w:r>
            <w:r w:rsidRPr="0021277B">
              <w:rPr>
                <w:i/>
                <w:iCs/>
                <w:sz w:val="22"/>
                <w:szCs w:val="22"/>
              </w:rPr>
              <w:t>aculeata</w:t>
            </w:r>
            <w:r w:rsidRPr="0021277B">
              <w:rPr>
                <w:sz w:val="22"/>
                <w:szCs w:val="22"/>
              </w:rPr>
              <w:t>) and bamboo corals (</w:t>
            </w:r>
            <w:r w:rsidRPr="0021277B">
              <w:rPr>
                <w:i/>
                <w:iCs/>
                <w:sz w:val="22"/>
                <w:szCs w:val="22"/>
              </w:rPr>
              <w:t>Isidella elongata</w:t>
            </w:r>
            <w:r w:rsidRPr="0021277B">
              <w:rPr>
                <w:sz w:val="22"/>
                <w:szCs w:val="22"/>
              </w:rPr>
              <w:t>), which are widely distributed across different areas adjacent to the mud volcanoes, as well as other habitats, such as cold-water corals reefs (</w:t>
            </w:r>
            <w:r w:rsidRPr="0021277B">
              <w:rPr>
                <w:i/>
                <w:iCs/>
                <w:sz w:val="22"/>
                <w:szCs w:val="22"/>
              </w:rPr>
              <w:t>Madrepora oculata</w:t>
            </w:r>
            <w:r w:rsidRPr="0021277B">
              <w:rPr>
                <w:sz w:val="22"/>
                <w:szCs w:val="22"/>
              </w:rPr>
              <w:t xml:space="preserve">, </w:t>
            </w:r>
            <w:r w:rsidRPr="0021277B">
              <w:rPr>
                <w:i/>
                <w:iCs/>
                <w:sz w:val="22"/>
                <w:szCs w:val="22"/>
              </w:rPr>
              <w:t>Lophelia pertusa</w:t>
            </w:r>
            <w:r w:rsidRPr="0021277B">
              <w:rPr>
                <w:sz w:val="22"/>
                <w:szCs w:val="22"/>
              </w:rPr>
              <w:t xml:space="preserve">, </w:t>
            </w:r>
            <w:r w:rsidRPr="0021277B">
              <w:rPr>
                <w:i/>
                <w:iCs/>
                <w:sz w:val="22"/>
                <w:szCs w:val="22"/>
              </w:rPr>
              <w:t>Dendrophyllia cornigera</w:t>
            </w:r>
            <w:r w:rsidRPr="0021277B">
              <w:rPr>
                <w:sz w:val="22"/>
                <w:szCs w:val="22"/>
              </w:rPr>
              <w:t>), gorgonian gardens (</w:t>
            </w:r>
            <w:r>
              <w:rPr>
                <w:sz w:val="22"/>
                <w:szCs w:val="22"/>
              </w:rPr>
              <w:t>e.g.,</w:t>
            </w:r>
            <w:r w:rsidRPr="0021277B">
              <w:rPr>
                <w:sz w:val="22"/>
                <w:szCs w:val="22"/>
              </w:rPr>
              <w:t xml:space="preserve"> </w:t>
            </w:r>
            <w:r w:rsidRPr="0021277B">
              <w:rPr>
                <w:i/>
                <w:iCs/>
                <w:sz w:val="22"/>
                <w:szCs w:val="22"/>
              </w:rPr>
              <w:t>Callogorgia verticillata</w:t>
            </w:r>
            <w:r w:rsidRPr="0021277B">
              <w:rPr>
                <w:sz w:val="22"/>
                <w:szCs w:val="22"/>
              </w:rPr>
              <w:t xml:space="preserve">, </w:t>
            </w:r>
            <w:r w:rsidRPr="0021277B">
              <w:rPr>
                <w:i/>
                <w:iCs/>
                <w:sz w:val="22"/>
                <w:szCs w:val="22"/>
              </w:rPr>
              <w:t>Acanthogorgia hirsuta</w:t>
            </w:r>
            <w:r w:rsidRPr="0021277B">
              <w:rPr>
                <w:sz w:val="22"/>
                <w:szCs w:val="22"/>
              </w:rPr>
              <w:t xml:space="preserve">, </w:t>
            </w:r>
            <w:r w:rsidRPr="0021277B">
              <w:rPr>
                <w:i/>
                <w:iCs/>
                <w:sz w:val="22"/>
                <w:szCs w:val="22"/>
              </w:rPr>
              <w:t>Swiftia pallida</w:t>
            </w:r>
            <w:r w:rsidRPr="0021277B">
              <w:rPr>
                <w:sz w:val="22"/>
                <w:szCs w:val="22"/>
              </w:rPr>
              <w:t xml:space="preserve">, </w:t>
            </w:r>
            <w:r w:rsidRPr="0021277B">
              <w:rPr>
                <w:i/>
                <w:iCs/>
                <w:sz w:val="22"/>
                <w:szCs w:val="22"/>
              </w:rPr>
              <w:t>Bebryce mollis</w:t>
            </w:r>
            <w:r w:rsidRPr="0021277B">
              <w:rPr>
                <w:sz w:val="22"/>
                <w:szCs w:val="22"/>
              </w:rPr>
              <w:t xml:space="preserve">, </w:t>
            </w:r>
            <w:r w:rsidRPr="0021277B">
              <w:rPr>
                <w:i/>
                <w:iCs/>
                <w:sz w:val="22"/>
                <w:szCs w:val="22"/>
              </w:rPr>
              <w:t>Eunicella verrucosa</w:t>
            </w:r>
            <w:r w:rsidRPr="0021277B">
              <w:rPr>
                <w:sz w:val="22"/>
                <w:szCs w:val="22"/>
              </w:rPr>
              <w:t>) and aggregations of antipatharia (</w:t>
            </w:r>
            <w:r w:rsidRPr="0021277B">
              <w:rPr>
                <w:i/>
                <w:iCs/>
                <w:sz w:val="22"/>
                <w:szCs w:val="22"/>
              </w:rPr>
              <w:t>Leiopathes</w:t>
            </w:r>
            <w:r w:rsidRPr="0021277B">
              <w:rPr>
                <w:sz w:val="22"/>
                <w:szCs w:val="22"/>
              </w:rPr>
              <w:t xml:space="preserve">, </w:t>
            </w:r>
            <w:r w:rsidRPr="0021277B">
              <w:rPr>
                <w:i/>
                <w:iCs/>
                <w:sz w:val="22"/>
                <w:szCs w:val="22"/>
              </w:rPr>
              <w:t>Stichopathes</w:t>
            </w:r>
            <w:r w:rsidRPr="0021277B">
              <w:rPr>
                <w:sz w:val="22"/>
                <w:szCs w:val="22"/>
              </w:rPr>
              <w:t xml:space="preserve">, </w:t>
            </w:r>
            <w:r w:rsidRPr="0021277B">
              <w:rPr>
                <w:i/>
                <w:iCs/>
                <w:sz w:val="22"/>
                <w:szCs w:val="22"/>
              </w:rPr>
              <w:t>Anthipathella</w:t>
            </w:r>
            <w:r w:rsidRPr="0021277B">
              <w:rPr>
                <w:sz w:val="22"/>
                <w:szCs w:val="22"/>
              </w:rPr>
              <w:t xml:space="preserve">) (Aguilar </w:t>
            </w:r>
            <w:r w:rsidRPr="0006066A">
              <w:rPr>
                <w:i/>
                <w:sz w:val="22"/>
                <w:szCs w:val="22"/>
              </w:rPr>
              <w:t>et al</w:t>
            </w:r>
            <w:r w:rsidRPr="0021277B">
              <w:rPr>
                <w:sz w:val="22"/>
                <w:szCs w:val="22"/>
              </w:rPr>
              <w:t>., 2010; Díaz del Río, 2014</w:t>
            </w:r>
            <w:r>
              <w:rPr>
                <w:sz w:val="22"/>
                <w:szCs w:val="22"/>
              </w:rPr>
              <w:t>;</w:t>
            </w:r>
            <w:r w:rsidRPr="0021277B">
              <w:rPr>
                <w:sz w:val="22"/>
                <w:szCs w:val="22"/>
              </w:rPr>
              <w:t xml:space="preserve"> ICES</w:t>
            </w:r>
            <w:r>
              <w:rPr>
                <w:sz w:val="22"/>
                <w:szCs w:val="22"/>
              </w:rPr>
              <w:t>,</w:t>
            </w:r>
            <w:r w:rsidRPr="0021277B">
              <w:rPr>
                <w:sz w:val="22"/>
                <w:szCs w:val="22"/>
              </w:rPr>
              <w:t xml:space="preserve"> 2019).</w:t>
            </w:r>
          </w:p>
          <w:p w14:paraId="61DF79B1" w14:textId="77777777" w:rsidR="006B3F46" w:rsidRPr="0021277B" w:rsidRDefault="006B3F46" w:rsidP="00907941">
            <w:pPr>
              <w:rPr>
                <w:sz w:val="22"/>
                <w:szCs w:val="22"/>
              </w:rPr>
            </w:pPr>
          </w:p>
        </w:tc>
      </w:tr>
      <w:tr w:rsidR="006B3F46" w:rsidRPr="0021277B" w14:paraId="64F8F39E" w14:textId="77777777" w:rsidTr="00907941">
        <w:trPr>
          <w:trHeight w:val="1"/>
        </w:trPr>
        <w:tc>
          <w:tcPr>
            <w:tcW w:w="14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4536E6" w14:textId="77777777" w:rsidR="006B3F46" w:rsidRPr="0021277B" w:rsidRDefault="006B3F46" w:rsidP="00907941">
            <w:pPr>
              <w:rPr>
                <w:sz w:val="22"/>
                <w:szCs w:val="22"/>
              </w:rPr>
            </w:pPr>
            <w:r w:rsidRPr="0021277B">
              <w:rPr>
                <w:b/>
                <w:sz w:val="22"/>
                <w:szCs w:val="22"/>
              </w:rPr>
              <w:t>Biological productivity</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580A5E" w14:textId="77777777" w:rsidR="006B3F46" w:rsidRPr="0021277B" w:rsidRDefault="006B3F46" w:rsidP="00907941">
            <w:pPr>
              <w:rPr>
                <w:sz w:val="22"/>
                <w:szCs w:val="22"/>
              </w:rPr>
            </w:pPr>
            <w:r w:rsidRPr="0021277B">
              <w:rPr>
                <w:sz w:val="22"/>
                <w:szCs w:val="22"/>
              </w:rPr>
              <w:t xml:space="preserve">Area containing species, populations or communities with comparatively higher natural biological productivity. </w:t>
            </w:r>
          </w:p>
        </w:tc>
        <w:tc>
          <w:tcPr>
            <w:tcW w:w="208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9298E1" w14:textId="77777777" w:rsidR="006B3F46" w:rsidRPr="0021277B" w:rsidRDefault="006B3F46" w:rsidP="00907941">
            <w:pPr>
              <w:jc w:val="center"/>
              <w:rPr>
                <w:rFonts w:eastAsia="Calibri"/>
                <w:sz w:val="22"/>
                <w:szCs w:val="22"/>
              </w:rPr>
            </w:pPr>
          </w:p>
        </w:tc>
        <w:tc>
          <w:tcPr>
            <w:tcW w:w="165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FFDCB0" w14:textId="77777777" w:rsidR="006B3F46" w:rsidRPr="0021277B" w:rsidRDefault="006B3F46" w:rsidP="00907941">
            <w:pPr>
              <w:jc w:val="center"/>
              <w:rPr>
                <w:rFonts w:eastAsia="Calibri"/>
                <w:sz w:val="22"/>
                <w:szCs w:val="22"/>
              </w:rPr>
            </w:pPr>
          </w:p>
        </w:tc>
        <w:tc>
          <w:tcPr>
            <w:tcW w:w="16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C20376" w14:textId="77777777" w:rsidR="006B3F46" w:rsidRPr="0021277B" w:rsidRDefault="006B3F46" w:rsidP="00907941">
            <w:pPr>
              <w:jc w:val="center"/>
              <w:rPr>
                <w:rFonts w:eastAsia="Calibri"/>
                <w:sz w:val="22"/>
                <w:szCs w:val="22"/>
              </w:rPr>
            </w:pPr>
          </w:p>
        </w:tc>
        <w:tc>
          <w:tcPr>
            <w:tcW w:w="179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0B9033" w14:textId="77777777" w:rsidR="006B3F46" w:rsidRPr="0021277B" w:rsidRDefault="006B3F46" w:rsidP="00907941">
            <w:pPr>
              <w:jc w:val="center"/>
              <w:rPr>
                <w:sz w:val="22"/>
                <w:szCs w:val="22"/>
              </w:rPr>
            </w:pPr>
          </w:p>
          <w:p w14:paraId="3DA7AF32" w14:textId="77777777" w:rsidR="006B3F46" w:rsidRPr="0021277B" w:rsidRDefault="006B3F46" w:rsidP="00907941">
            <w:pPr>
              <w:jc w:val="center"/>
              <w:rPr>
                <w:sz w:val="22"/>
                <w:szCs w:val="22"/>
              </w:rPr>
            </w:pPr>
            <w:r w:rsidRPr="0021277B">
              <w:rPr>
                <w:sz w:val="22"/>
                <w:szCs w:val="22"/>
              </w:rPr>
              <w:t>X</w:t>
            </w:r>
          </w:p>
        </w:tc>
      </w:tr>
      <w:tr w:rsidR="006B3F46" w:rsidRPr="0021277B" w14:paraId="28FA50F3" w14:textId="77777777" w:rsidTr="00907941">
        <w:trPr>
          <w:trHeight w:val="1"/>
        </w:trPr>
        <w:tc>
          <w:tcPr>
            <w:tcW w:w="12877" w:type="dxa"/>
            <w:gridSpan w:val="11"/>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A6E82A" w14:textId="77777777" w:rsidR="006B3F46" w:rsidRPr="0021277B" w:rsidRDefault="006B3F46" w:rsidP="00907941">
            <w:pPr>
              <w:rPr>
                <w:i/>
                <w:sz w:val="22"/>
                <w:szCs w:val="22"/>
              </w:rPr>
            </w:pPr>
            <w:r w:rsidRPr="0021277B">
              <w:rPr>
                <w:i/>
                <w:sz w:val="22"/>
                <w:szCs w:val="22"/>
              </w:rPr>
              <w:t xml:space="preserve">Explanation for ranking  </w:t>
            </w:r>
          </w:p>
          <w:p w14:paraId="47255F16" w14:textId="77777777" w:rsidR="006B3F46" w:rsidRDefault="006B3F46" w:rsidP="00907941">
            <w:pPr>
              <w:jc w:val="both"/>
              <w:rPr>
                <w:sz w:val="22"/>
                <w:szCs w:val="22"/>
              </w:rPr>
            </w:pPr>
            <w:r w:rsidRPr="0021277B">
              <w:rPr>
                <w:sz w:val="22"/>
                <w:szCs w:val="22"/>
              </w:rPr>
              <w:t xml:space="preserve">The productivity of the area is reflected in the abundance of marine resources.  Productivity is related to the bathymetric characteristics of its continental shelf and slope, the existence of a warm-temperate climate, the presence of oceanographic processes, and, importantly, the nutrient enrichment delivered by the outflows of important rivers such as Guadalquivir and Guadiana (Vila </w:t>
            </w:r>
            <w:r w:rsidRPr="0006066A">
              <w:rPr>
                <w:i/>
                <w:sz w:val="22"/>
                <w:szCs w:val="22"/>
              </w:rPr>
              <w:t>et al</w:t>
            </w:r>
            <w:r w:rsidRPr="0021277B">
              <w:rPr>
                <w:sz w:val="22"/>
                <w:szCs w:val="22"/>
              </w:rPr>
              <w:t xml:space="preserve">., 2004; Ramos </w:t>
            </w:r>
            <w:r w:rsidRPr="0006066A">
              <w:rPr>
                <w:i/>
                <w:sz w:val="22"/>
                <w:szCs w:val="22"/>
              </w:rPr>
              <w:t>et al</w:t>
            </w:r>
            <w:r w:rsidRPr="0021277B">
              <w:rPr>
                <w:sz w:val="22"/>
                <w:szCs w:val="22"/>
              </w:rPr>
              <w:t>., 2012).</w:t>
            </w:r>
            <w:r>
              <w:rPr>
                <w:sz w:val="22"/>
                <w:szCs w:val="22"/>
              </w:rPr>
              <w:t xml:space="preserve"> </w:t>
            </w:r>
          </w:p>
          <w:p w14:paraId="7FBDA1EF" w14:textId="77777777" w:rsidR="006B3F46" w:rsidRPr="0021277B" w:rsidRDefault="006B3F46" w:rsidP="00907941">
            <w:pPr>
              <w:rPr>
                <w:sz w:val="22"/>
                <w:szCs w:val="22"/>
              </w:rPr>
            </w:pPr>
          </w:p>
        </w:tc>
      </w:tr>
      <w:tr w:rsidR="006B3F46" w:rsidRPr="0021277B" w14:paraId="31A20929" w14:textId="77777777" w:rsidTr="00907941">
        <w:trPr>
          <w:trHeight w:val="1"/>
        </w:trPr>
        <w:tc>
          <w:tcPr>
            <w:tcW w:w="14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004F53" w14:textId="77777777" w:rsidR="006B3F46" w:rsidRPr="0021277B" w:rsidRDefault="006B3F46" w:rsidP="00907941">
            <w:pPr>
              <w:rPr>
                <w:sz w:val="22"/>
                <w:szCs w:val="22"/>
              </w:rPr>
            </w:pPr>
            <w:r w:rsidRPr="0021277B">
              <w:rPr>
                <w:b/>
                <w:sz w:val="22"/>
                <w:szCs w:val="22"/>
              </w:rPr>
              <w:t>Biological diversity</w:t>
            </w:r>
          </w:p>
        </w:tc>
        <w:tc>
          <w:tcPr>
            <w:tcW w:w="423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EFDCD8" w14:textId="77777777" w:rsidR="006B3F46" w:rsidRPr="0021277B" w:rsidRDefault="006B3F46" w:rsidP="00907941">
            <w:pPr>
              <w:rPr>
                <w:sz w:val="22"/>
                <w:szCs w:val="22"/>
              </w:rPr>
            </w:pPr>
            <w:r w:rsidRPr="0021277B">
              <w:rPr>
                <w:sz w:val="22"/>
                <w:szCs w:val="22"/>
              </w:rPr>
              <w:t>Area contains comparatively higher diversity of ecosystems, habitats, communities, or species, or has higher genetic diversity.</w:t>
            </w:r>
          </w:p>
        </w:tc>
        <w:tc>
          <w:tcPr>
            <w:tcW w:w="208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F8456D" w14:textId="77777777" w:rsidR="006B3F46" w:rsidRPr="0021277B" w:rsidRDefault="006B3F46" w:rsidP="00907941">
            <w:pPr>
              <w:jc w:val="center"/>
              <w:rPr>
                <w:rFonts w:eastAsia="Calibri"/>
                <w:sz w:val="22"/>
                <w:szCs w:val="22"/>
              </w:rPr>
            </w:pPr>
          </w:p>
        </w:tc>
        <w:tc>
          <w:tcPr>
            <w:tcW w:w="165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F8C4349" w14:textId="77777777" w:rsidR="006B3F46" w:rsidRPr="0021277B" w:rsidRDefault="006B3F46" w:rsidP="00907941">
            <w:pPr>
              <w:jc w:val="center"/>
              <w:rPr>
                <w:rFonts w:eastAsia="Calibri"/>
                <w:sz w:val="22"/>
                <w:szCs w:val="22"/>
              </w:rPr>
            </w:pPr>
          </w:p>
        </w:tc>
        <w:tc>
          <w:tcPr>
            <w:tcW w:w="165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FE1573" w14:textId="77777777" w:rsidR="006B3F46" w:rsidRPr="0021277B" w:rsidRDefault="006B3F46" w:rsidP="00907941">
            <w:pPr>
              <w:jc w:val="center"/>
              <w:rPr>
                <w:rFonts w:eastAsia="Calibri"/>
                <w:sz w:val="22"/>
                <w:szCs w:val="22"/>
              </w:rPr>
            </w:pPr>
          </w:p>
        </w:tc>
        <w:tc>
          <w:tcPr>
            <w:tcW w:w="1795"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898CA8" w14:textId="77777777" w:rsidR="006B3F46" w:rsidRPr="0021277B" w:rsidRDefault="006B3F46" w:rsidP="00907941">
            <w:pPr>
              <w:jc w:val="center"/>
              <w:rPr>
                <w:sz w:val="22"/>
                <w:szCs w:val="22"/>
              </w:rPr>
            </w:pPr>
          </w:p>
          <w:p w14:paraId="7FE5E57E" w14:textId="77777777" w:rsidR="006B3F46" w:rsidRPr="0021277B" w:rsidRDefault="006B3F46" w:rsidP="00907941">
            <w:pPr>
              <w:jc w:val="center"/>
              <w:rPr>
                <w:sz w:val="22"/>
                <w:szCs w:val="22"/>
              </w:rPr>
            </w:pPr>
            <w:r w:rsidRPr="0021277B">
              <w:rPr>
                <w:sz w:val="22"/>
                <w:szCs w:val="22"/>
              </w:rPr>
              <w:t>X</w:t>
            </w:r>
          </w:p>
        </w:tc>
      </w:tr>
      <w:tr w:rsidR="006B3F46" w:rsidRPr="0021277B" w14:paraId="7B49D591" w14:textId="77777777" w:rsidTr="00907941">
        <w:trPr>
          <w:trHeight w:val="1"/>
        </w:trPr>
        <w:tc>
          <w:tcPr>
            <w:tcW w:w="12877" w:type="dxa"/>
            <w:gridSpan w:val="11"/>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46436F" w14:textId="77777777" w:rsidR="006B3F46" w:rsidRPr="0021277B" w:rsidRDefault="006B3F46" w:rsidP="00907941">
            <w:pPr>
              <w:rPr>
                <w:i/>
                <w:sz w:val="22"/>
                <w:szCs w:val="22"/>
              </w:rPr>
            </w:pPr>
            <w:r w:rsidRPr="0021277B">
              <w:rPr>
                <w:i/>
                <w:sz w:val="22"/>
                <w:szCs w:val="22"/>
              </w:rPr>
              <w:t xml:space="preserve">Explanation for ranking </w:t>
            </w:r>
          </w:p>
          <w:p w14:paraId="1295D57D" w14:textId="77777777" w:rsidR="006B3F46" w:rsidRDefault="006B3F46" w:rsidP="00907941">
            <w:pPr>
              <w:autoSpaceDE w:val="0"/>
              <w:autoSpaceDN w:val="0"/>
              <w:adjustRightInd w:val="0"/>
              <w:jc w:val="both"/>
              <w:rPr>
                <w:sz w:val="22"/>
                <w:szCs w:val="22"/>
              </w:rPr>
            </w:pPr>
            <w:r w:rsidRPr="0021277B">
              <w:rPr>
                <w:sz w:val="22"/>
                <w:szCs w:val="22"/>
              </w:rPr>
              <w:t>The highly complex area includes a great variety of geomorphological features (</w:t>
            </w:r>
            <w:r>
              <w:rPr>
                <w:sz w:val="22"/>
                <w:szCs w:val="22"/>
              </w:rPr>
              <w:t xml:space="preserve">e.g., </w:t>
            </w:r>
            <w:r w:rsidRPr="0021277B">
              <w:rPr>
                <w:sz w:val="22"/>
                <w:szCs w:val="22"/>
              </w:rPr>
              <w:t xml:space="preserve">submarine canyons, seamounts, banks and mounds, mud volcanoes, slope affected by smaller rock outcrops) and hence, a great diversity of benthic niches available. Numerous </w:t>
            </w:r>
            <w:r>
              <w:rPr>
                <w:sz w:val="22"/>
                <w:szCs w:val="22"/>
              </w:rPr>
              <w:t>vulnerable marine ecosystems</w:t>
            </w:r>
            <w:r w:rsidRPr="0021277B">
              <w:rPr>
                <w:sz w:val="22"/>
                <w:szCs w:val="22"/>
              </w:rPr>
              <w:t xml:space="preserve"> have been recorded in the area using a</w:t>
            </w:r>
            <w:r>
              <w:rPr>
                <w:sz w:val="22"/>
                <w:szCs w:val="22"/>
              </w:rPr>
              <w:t xml:space="preserve"> remotely operated vehicle</w:t>
            </w:r>
            <w:r w:rsidRPr="0021277B">
              <w:rPr>
                <w:sz w:val="22"/>
                <w:szCs w:val="22"/>
              </w:rPr>
              <w:t xml:space="preserve"> (Aguilar </w:t>
            </w:r>
            <w:r w:rsidRPr="0006066A">
              <w:rPr>
                <w:i/>
                <w:sz w:val="22"/>
                <w:szCs w:val="22"/>
              </w:rPr>
              <w:t>et al</w:t>
            </w:r>
            <w:r w:rsidRPr="0021277B">
              <w:rPr>
                <w:sz w:val="22"/>
                <w:szCs w:val="22"/>
              </w:rPr>
              <w:t>., 2010; Díaz del Río, 2014).</w:t>
            </w:r>
          </w:p>
          <w:p w14:paraId="192BDFEC" w14:textId="77777777" w:rsidR="006B3F46" w:rsidRDefault="006B3F46" w:rsidP="00907941">
            <w:pPr>
              <w:autoSpaceDE w:val="0"/>
              <w:autoSpaceDN w:val="0"/>
              <w:adjustRightInd w:val="0"/>
              <w:jc w:val="both"/>
              <w:rPr>
                <w:sz w:val="22"/>
                <w:szCs w:val="22"/>
              </w:rPr>
            </w:pPr>
          </w:p>
          <w:p w14:paraId="433A2D76" w14:textId="77777777" w:rsidR="006B3F46" w:rsidRDefault="006B3F46" w:rsidP="00907941">
            <w:pPr>
              <w:jc w:val="both"/>
              <w:rPr>
                <w:sz w:val="22"/>
                <w:szCs w:val="22"/>
              </w:rPr>
            </w:pPr>
            <w:r>
              <w:rPr>
                <w:sz w:val="22"/>
                <w:szCs w:val="22"/>
              </w:rPr>
              <w:t>There are mainly three distinct communities that should be highlighted in the area: those associated with mud volcanoes and their emissions, those associated with soft substrates and those associated with rocky bottoms.</w:t>
            </w:r>
          </w:p>
          <w:p w14:paraId="29EEE1B5" w14:textId="77777777" w:rsidR="006B3F46" w:rsidRDefault="006B3F46" w:rsidP="00907941">
            <w:pPr>
              <w:jc w:val="both"/>
              <w:rPr>
                <w:sz w:val="22"/>
                <w:szCs w:val="22"/>
              </w:rPr>
            </w:pPr>
          </w:p>
          <w:p w14:paraId="4C55AE6D" w14:textId="77777777" w:rsidR="006B3F46" w:rsidRPr="00EC5399" w:rsidRDefault="006B3F46" w:rsidP="006B3F46">
            <w:pPr>
              <w:pStyle w:val="ListParagraph"/>
              <w:numPr>
                <w:ilvl w:val="0"/>
                <w:numId w:val="59"/>
              </w:numPr>
              <w:ind w:leftChars="0"/>
              <w:contextualSpacing/>
              <w:rPr>
                <w:rFonts w:eastAsia="Times New Roman"/>
                <w:sz w:val="20"/>
                <w:szCs w:val="20"/>
              </w:rPr>
            </w:pPr>
            <w:r w:rsidRPr="00C45F6B">
              <w:rPr>
                <w:rFonts w:eastAsia="Times New Roman"/>
                <w:szCs w:val="22"/>
              </w:rPr>
              <w:t>Communities of polychaetes</w:t>
            </w:r>
            <w:r>
              <w:rPr>
                <w:rFonts w:eastAsia="Times New Roman"/>
                <w:szCs w:val="22"/>
              </w:rPr>
              <w:t xml:space="preserve"> (</w:t>
            </w:r>
            <w:r w:rsidRPr="009D7BE5">
              <w:rPr>
                <w:rFonts w:eastAsia="Times New Roman"/>
                <w:i/>
                <w:iCs/>
                <w:sz w:val="20"/>
                <w:szCs w:val="20"/>
              </w:rPr>
              <w:t>Siboglinum</w:t>
            </w:r>
            <w:r w:rsidRPr="009D7BE5">
              <w:rPr>
                <w:rFonts w:eastAsia="Times New Roman"/>
                <w:sz w:val="20"/>
                <w:szCs w:val="20"/>
              </w:rPr>
              <w:t xml:space="preserve"> sp.</w:t>
            </w:r>
            <w:r>
              <w:rPr>
                <w:rFonts w:eastAsia="Times New Roman"/>
                <w:sz w:val="20"/>
                <w:szCs w:val="20"/>
              </w:rPr>
              <w:t>)</w:t>
            </w:r>
            <w:r w:rsidRPr="00C45F6B">
              <w:rPr>
                <w:rFonts w:eastAsia="Times New Roman"/>
                <w:szCs w:val="22"/>
              </w:rPr>
              <w:t xml:space="preserve">, </w:t>
            </w:r>
            <w:r>
              <w:rPr>
                <w:rFonts w:eastAsia="Times New Roman"/>
                <w:szCs w:val="22"/>
              </w:rPr>
              <w:t>molluscs (</w:t>
            </w:r>
            <w:r w:rsidRPr="009D7BE5">
              <w:rPr>
                <w:rFonts w:eastAsia="Times New Roman"/>
                <w:i/>
                <w:iCs/>
                <w:sz w:val="20"/>
                <w:szCs w:val="20"/>
              </w:rPr>
              <w:t>Solemya elarraichensis, Lucinoma asapheus</w:t>
            </w:r>
            <w:r w:rsidRPr="009D7BE5">
              <w:rPr>
                <w:rFonts w:eastAsia="Times New Roman"/>
                <w:sz w:val="20"/>
                <w:szCs w:val="20"/>
              </w:rPr>
              <w:t xml:space="preserve"> and</w:t>
            </w:r>
            <w:r w:rsidRPr="009D7BE5">
              <w:rPr>
                <w:rFonts w:eastAsia="Times New Roman"/>
                <w:i/>
                <w:iCs/>
                <w:sz w:val="20"/>
                <w:szCs w:val="20"/>
              </w:rPr>
              <w:t xml:space="preserve"> Acharax gadirae</w:t>
            </w:r>
            <w:r>
              <w:rPr>
                <w:rFonts w:eastAsia="Times New Roman"/>
                <w:sz w:val="20"/>
                <w:szCs w:val="20"/>
              </w:rPr>
              <w:t>)</w:t>
            </w:r>
            <w:r w:rsidRPr="00DB0E97">
              <w:rPr>
                <w:rFonts w:eastAsia="Times New Roman"/>
                <w:szCs w:val="22"/>
              </w:rPr>
              <w:t xml:space="preserve"> and crustacean (Calliax sp.) </w:t>
            </w:r>
            <w:r>
              <w:rPr>
                <w:rFonts w:eastAsia="Times New Roman"/>
                <w:szCs w:val="22"/>
              </w:rPr>
              <w:t xml:space="preserve">are </w:t>
            </w:r>
            <w:r w:rsidRPr="00DB0E97">
              <w:rPr>
                <w:rFonts w:eastAsia="Times New Roman"/>
                <w:szCs w:val="22"/>
              </w:rPr>
              <w:t>associated with mud volcanoes and their emissions</w:t>
            </w:r>
            <w:r>
              <w:rPr>
                <w:rFonts w:eastAsia="Times New Roman"/>
                <w:szCs w:val="22"/>
              </w:rPr>
              <w:t xml:space="preserve"> </w:t>
            </w:r>
            <w:r w:rsidRPr="00C45F6B">
              <w:rPr>
                <w:rFonts w:eastAsia="Times New Roman"/>
                <w:szCs w:val="22"/>
              </w:rPr>
              <w:t>(Díaz del Río, 2014, ATLAS, 2019)</w:t>
            </w:r>
            <w:r>
              <w:rPr>
                <w:rFonts w:eastAsia="Times New Roman"/>
                <w:szCs w:val="22"/>
              </w:rPr>
              <w:t>.</w:t>
            </w:r>
          </w:p>
          <w:p w14:paraId="0E1164FE" w14:textId="77777777" w:rsidR="006B3F46" w:rsidRPr="00EC5399" w:rsidRDefault="006B3F46" w:rsidP="006B3F46">
            <w:pPr>
              <w:pStyle w:val="ListParagraph"/>
              <w:numPr>
                <w:ilvl w:val="0"/>
                <w:numId w:val="59"/>
              </w:numPr>
              <w:ind w:leftChars="0"/>
              <w:contextualSpacing/>
              <w:rPr>
                <w:rFonts w:eastAsia="Times New Roman"/>
                <w:szCs w:val="22"/>
              </w:rPr>
            </w:pPr>
            <w:r>
              <w:rPr>
                <w:rFonts w:eastAsia="Times New Roman"/>
                <w:sz w:val="20"/>
                <w:szCs w:val="20"/>
              </w:rPr>
              <w:t>C</w:t>
            </w:r>
            <w:r w:rsidRPr="00C45F6B">
              <w:rPr>
                <w:rFonts w:eastAsia="Times New Roman"/>
                <w:szCs w:val="22"/>
              </w:rPr>
              <w:t xml:space="preserve">ommunities </w:t>
            </w:r>
            <w:r>
              <w:rPr>
                <w:rFonts w:eastAsia="Times New Roman"/>
                <w:szCs w:val="22"/>
              </w:rPr>
              <w:t xml:space="preserve">of </w:t>
            </w:r>
            <w:r w:rsidRPr="00C45F6B">
              <w:rPr>
                <w:rFonts w:eastAsia="Times New Roman"/>
                <w:szCs w:val="22"/>
              </w:rPr>
              <w:t>sea pens (</w:t>
            </w:r>
            <w:r w:rsidRPr="00C45F6B">
              <w:rPr>
                <w:rFonts w:eastAsia="Times New Roman"/>
                <w:i/>
                <w:szCs w:val="22"/>
              </w:rPr>
              <w:t>Funiculina quadrangularis</w:t>
            </w:r>
            <w:r w:rsidRPr="00C45F6B">
              <w:rPr>
                <w:rFonts w:eastAsia="Times New Roman"/>
                <w:szCs w:val="22"/>
              </w:rPr>
              <w:t xml:space="preserve">, </w:t>
            </w:r>
            <w:r w:rsidRPr="00C45F6B">
              <w:rPr>
                <w:rFonts w:eastAsia="Times New Roman"/>
                <w:i/>
                <w:szCs w:val="22"/>
              </w:rPr>
              <w:t>Kophobelemnon stelliferum</w:t>
            </w:r>
            <w:r w:rsidRPr="00C45F6B">
              <w:rPr>
                <w:rFonts w:eastAsia="Times New Roman"/>
                <w:szCs w:val="22"/>
              </w:rPr>
              <w:t xml:space="preserve">, </w:t>
            </w:r>
            <w:r w:rsidRPr="00C45F6B">
              <w:rPr>
                <w:rFonts w:eastAsia="Times New Roman"/>
                <w:i/>
                <w:szCs w:val="22"/>
              </w:rPr>
              <w:t>Pennatula</w:t>
            </w:r>
            <w:r w:rsidRPr="00C45F6B">
              <w:rPr>
                <w:rFonts w:eastAsia="Times New Roman"/>
                <w:szCs w:val="22"/>
              </w:rPr>
              <w:t xml:space="preserve"> cf. </w:t>
            </w:r>
            <w:r w:rsidRPr="00C45F6B">
              <w:rPr>
                <w:rFonts w:eastAsia="Times New Roman"/>
                <w:i/>
                <w:szCs w:val="22"/>
              </w:rPr>
              <w:t>aculeata</w:t>
            </w:r>
            <w:r w:rsidRPr="00C45F6B">
              <w:rPr>
                <w:rFonts w:eastAsia="Times New Roman"/>
                <w:szCs w:val="22"/>
              </w:rPr>
              <w:t>), bamboo coral gardens (</w:t>
            </w:r>
            <w:r w:rsidRPr="00C45F6B">
              <w:rPr>
                <w:rFonts w:eastAsia="Times New Roman"/>
                <w:i/>
                <w:szCs w:val="22"/>
              </w:rPr>
              <w:t>Isidella elongate</w:t>
            </w:r>
            <w:r w:rsidRPr="00C45F6B">
              <w:rPr>
                <w:rFonts w:eastAsia="Times New Roman"/>
                <w:iCs/>
                <w:szCs w:val="22"/>
              </w:rPr>
              <w:t>) and other gorgonians (</w:t>
            </w:r>
            <w:r w:rsidRPr="00C45F6B">
              <w:rPr>
                <w:rFonts w:eastAsia="Times New Roman"/>
                <w:i/>
                <w:szCs w:val="22"/>
              </w:rPr>
              <w:t>Radicipes fragilis</w:t>
            </w:r>
            <w:r w:rsidRPr="00C45F6B">
              <w:rPr>
                <w:rFonts w:eastAsia="Times New Roman"/>
                <w:iCs/>
                <w:szCs w:val="22"/>
              </w:rPr>
              <w:t>), scleractinians (</w:t>
            </w:r>
            <w:r w:rsidRPr="00C45F6B">
              <w:rPr>
                <w:rFonts w:eastAsia="Times New Roman"/>
                <w:i/>
                <w:szCs w:val="22"/>
              </w:rPr>
              <w:t>Flabellum chunii</w:t>
            </w:r>
            <w:r w:rsidRPr="00C45F6B">
              <w:rPr>
                <w:rFonts w:eastAsia="Times New Roman"/>
                <w:iCs/>
                <w:szCs w:val="22"/>
              </w:rPr>
              <w:t>)</w:t>
            </w:r>
            <w:r w:rsidRPr="00C45F6B">
              <w:rPr>
                <w:rFonts w:eastAsia="Times New Roman"/>
                <w:szCs w:val="22"/>
              </w:rPr>
              <w:t xml:space="preserve"> and sponges (</w:t>
            </w:r>
            <w:r w:rsidRPr="00C45F6B">
              <w:rPr>
                <w:rFonts w:eastAsia="Times New Roman"/>
                <w:i/>
                <w:szCs w:val="22"/>
              </w:rPr>
              <w:t>Thenea muricata, Pheronema</w:t>
            </w:r>
            <w:r w:rsidRPr="00C45F6B">
              <w:rPr>
                <w:rFonts w:eastAsia="Times New Roman"/>
                <w:szCs w:val="22"/>
              </w:rPr>
              <w:t xml:space="preserve"> </w:t>
            </w:r>
            <w:r w:rsidRPr="00C45F6B">
              <w:rPr>
                <w:rFonts w:eastAsia="Times New Roman"/>
                <w:i/>
                <w:szCs w:val="22"/>
              </w:rPr>
              <w:t>carpenteri</w:t>
            </w:r>
            <w:r w:rsidRPr="00C45F6B">
              <w:rPr>
                <w:rFonts w:eastAsia="Times New Roman"/>
                <w:iCs/>
                <w:szCs w:val="22"/>
              </w:rPr>
              <w:t>)</w:t>
            </w:r>
            <w:r>
              <w:rPr>
                <w:rFonts w:eastAsia="Times New Roman"/>
                <w:iCs/>
                <w:szCs w:val="22"/>
              </w:rPr>
              <w:t xml:space="preserve"> </w:t>
            </w:r>
            <w:r>
              <w:rPr>
                <w:rFonts w:eastAsia="Times New Roman"/>
                <w:szCs w:val="22"/>
              </w:rPr>
              <w:t xml:space="preserve">are </w:t>
            </w:r>
            <w:r w:rsidRPr="00C45F6B">
              <w:rPr>
                <w:rFonts w:eastAsia="Times New Roman"/>
                <w:szCs w:val="22"/>
              </w:rPr>
              <w:t xml:space="preserve">widely distributed across soft </w:t>
            </w:r>
            <w:r>
              <w:rPr>
                <w:rFonts w:eastAsia="Times New Roman"/>
                <w:szCs w:val="22"/>
              </w:rPr>
              <w:t xml:space="preserve">bottoms in </w:t>
            </w:r>
            <w:r w:rsidRPr="00C45F6B">
              <w:rPr>
                <w:rFonts w:eastAsia="Times New Roman"/>
                <w:szCs w:val="22"/>
              </w:rPr>
              <w:t>areas adjacent to these structures such as (Díaz del Río, 2014, ATLAS, 2019)</w:t>
            </w:r>
            <w:r>
              <w:rPr>
                <w:rFonts w:eastAsia="Times New Roman"/>
                <w:szCs w:val="22"/>
              </w:rPr>
              <w:t>.</w:t>
            </w:r>
          </w:p>
          <w:p w14:paraId="4C5C0C23" w14:textId="77777777" w:rsidR="006B3F46" w:rsidRPr="00C45F6B" w:rsidRDefault="006B3F46" w:rsidP="006B3F46">
            <w:pPr>
              <w:pStyle w:val="ListParagraph"/>
              <w:numPr>
                <w:ilvl w:val="0"/>
                <w:numId w:val="59"/>
              </w:numPr>
              <w:ind w:leftChars="0"/>
              <w:contextualSpacing/>
              <w:rPr>
                <w:rFonts w:eastAsia="Times New Roman"/>
                <w:szCs w:val="22"/>
              </w:rPr>
            </w:pPr>
            <w:r>
              <w:rPr>
                <w:rFonts w:eastAsia="Times New Roman"/>
                <w:szCs w:val="22"/>
              </w:rPr>
              <w:t>C</w:t>
            </w:r>
            <w:r w:rsidRPr="00C45F6B">
              <w:rPr>
                <w:rFonts w:eastAsia="Times New Roman"/>
                <w:szCs w:val="22"/>
              </w:rPr>
              <w:t>ommunities made up of  gorgonians (</w:t>
            </w:r>
            <w:r w:rsidRPr="00C45F6B">
              <w:rPr>
                <w:rFonts w:eastAsia="Times New Roman"/>
                <w:i/>
                <w:szCs w:val="22"/>
              </w:rPr>
              <w:t>Acanthogorgia</w:t>
            </w:r>
            <w:r w:rsidRPr="00C45F6B">
              <w:rPr>
                <w:rFonts w:eastAsia="Times New Roman"/>
                <w:szCs w:val="22"/>
              </w:rPr>
              <w:t xml:space="preserve">, </w:t>
            </w:r>
            <w:r w:rsidRPr="00C45F6B">
              <w:rPr>
                <w:rFonts w:eastAsia="Times New Roman"/>
                <w:i/>
                <w:szCs w:val="22"/>
              </w:rPr>
              <w:t>Swiftia</w:t>
            </w:r>
            <w:r w:rsidRPr="00C45F6B">
              <w:rPr>
                <w:rFonts w:eastAsia="Times New Roman"/>
                <w:szCs w:val="22"/>
              </w:rPr>
              <w:t xml:space="preserve">, </w:t>
            </w:r>
            <w:r w:rsidRPr="00C45F6B">
              <w:rPr>
                <w:rFonts w:eastAsia="Times New Roman"/>
                <w:i/>
                <w:szCs w:val="22"/>
              </w:rPr>
              <w:t>Gymnosarca bathybius</w:t>
            </w:r>
            <w:r w:rsidRPr="00C45F6B">
              <w:rPr>
                <w:rFonts w:eastAsia="Times New Roman"/>
                <w:szCs w:val="22"/>
              </w:rPr>
              <w:t xml:space="preserve">, </w:t>
            </w:r>
            <w:r w:rsidRPr="00C45F6B">
              <w:rPr>
                <w:rFonts w:eastAsia="Times New Roman"/>
                <w:i/>
                <w:szCs w:val="22"/>
              </w:rPr>
              <w:t>Placogorgia</w:t>
            </w:r>
            <w:r w:rsidRPr="00C45F6B">
              <w:rPr>
                <w:rFonts w:eastAsia="Times New Roman"/>
                <w:szCs w:val="22"/>
              </w:rPr>
              <w:t xml:space="preserve"> spp., </w:t>
            </w:r>
            <w:r w:rsidRPr="00C45F6B">
              <w:rPr>
                <w:rFonts w:eastAsia="Times New Roman"/>
                <w:i/>
                <w:szCs w:val="22"/>
              </w:rPr>
              <w:t>Callogorgia verticillata</w:t>
            </w:r>
            <w:r w:rsidRPr="00C45F6B">
              <w:rPr>
                <w:rFonts w:eastAsia="Times New Roman"/>
                <w:szCs w:val="22"/>
              </w:rPr>
              <w:t xml:space="preserve">, </w:t>
            </w:r>
            <w:r w:rsidRPr="00C45F6B">
              <w:rPr>
                <w:rFonts w:eastAsia="Times New Roman"/>
                <w:i/>
                <w:szCs w:val="22"/>
              </w:rPr>
              <w:t>Viminella</w:t>
            </w:r>
            <w:r w:rsidRPr="00C45F6B">
              <w:rPr>
                <w:rFonts w:eastAsia="Times New Roman"/>
                <w:szCs w:val="22"/>
              </w:rPr>
              <w:t xml:space="preserve"> </w:t>
            </w:r>
            <w:r w:rsidRPr="00C45F6B">
              <w:rPr>
                <w:rFonts w:eastAsia="Times New Roman"/>
                <w:i/>
                <w:szCs w:val="22"/>
              </w:rPr>
              <w:t>flagellum, Paramuricea clavata</w:t>
            </w:r>
            <w:r w:rsidRPr="00C45F6B">
              <w:rPr>
                <w:rFonts w:eastAsia="Times New Roman"/>
                <w:szCs w:val="22"/>
              </w:rPr>
              <w:t>), black corals (</w:t>
            </w:r>
            <w:r w:rsidRPr="00C45F6B">
              <w:rPr>
                <w:rFonts w:eastAsia="Times New Roman"/>
                <w:i/>
                <w:szCs w:val="22"/>
              </w:rPr>
              <w:t>Leiopathes</w:t>
            </w:r>
            <w:r w:rsidRPr="00C45F6B">
              <w:rPr>
                <w:rFonts w:eastAsia="Times New Roman"/>
                <w:szCs w:val="22"/>
              </w:rPr>
              <w:t xml:space="preserve">, </w:t>
            </w:r>
            <w:r w:rsidRPr="00C45F6B">
              <w:rPr>
                <w:rFonts w:eastAsia="Times New Roman"/>
                <w:i/>
                <w:szCs w:val="22"/>
              </w:rPr>
              <w:t>Stichopathes</w:t>
            </w:r>
            <w:r w:rsidRPr="00C45F6B">
              <w:rPr>
                <w:rFonts w:eastAsia="Times New Roman"/>
                <w:szCs w:val="22"/>
              </w:rPr>
              <w:t xml:space="preserve">, </w:t>
            </w:r>
            <w:r w:rsidRPr="00C45F6B">
              <w:rPr>
                <w:rFonts w:eastAsia="Times New Roman"/>
                <w:i/>
                <w:szCs w:val="22"/>
              </w:rPr>
              <w:t>Anthipathella</w:t>
            </w:r>
            <w:r w:rsidRPr="00C45F6B">
              <w:rPr>
                <w:rFonts w:eastAsia="Times New Roman"/>
                <w:szCs w:val="22"/>
              </w:rPr>
              <w:t>) and scleratinians (</w:t>
            </w:r>
            <w:r w:rsidRPr="00C45F6B">
              <w:rPr>
                <w:rFonts w:eastAsia="Times New Roman"/>
                <w:i/>
                <w:szCs w:val="22"/>
              </w:rPr>
              <w:t>Madrepora</w:t>
            </w:r>
            <w:r w:rsidRPr="00C45F6B">
              <w:rPr>
                <w:rFonts w:eastAsia="Times New Roman"/>
                <w:szCs w:val="22"/>
              </w:rPr>
              <w:t xml:space="preserve"> </w:t>
            </w:r>
            <w:r w:rsidRPr="00C45F6B">
              <w:rPr>
                <w:rFonts w:eastAsia="Times New Roman"/>
                <w:i/>
                <w:szCs w:val="22"/>
              </w:rPr>
              <w:t>oculata</w:t>
            </w:r>
            <w:r w:rsidRPr="00C45F6B">
              <w:rPr>
                <w:rFonts w:eastAsia="Times New Roman"/>
                <w:szCs w:val="22"/>
              </w:rPr>
              <w:t xml:space="preserve"> dominates, </w:t>
            </w:r>
            <w:r w:rsidRPr="00C45F6B">
              <w:rPr>
                <w:rFonts w:eastAsia="Times New Roman"/>
                <w:i/>
                <w:szCs w:val="22"/>
              </w:rPr>
              <w:t>Lophelia pertusa</w:t>
            </w:r>
            <w:r w:rsidRPr="00C45F6B">
              <w:rPr>
                <w:rFonts w:eastAsia="Times New Roman"/>
                <w:szCs w:val="22"/>
              </w:rPr>
              <w:t xml:space="preserve"> and </w:t>
            </w:r>
            <w:r w:rsidRPr="00C45F6B">
              <w:rPr>
                <w:rFonts w:eastAsia="Times New Roman"/>
                <w:i/>
                <w:szCs w:val="22"/>
              </w:rPr>
              <w:t>Dendrophyllia cornigera</w:t>
            </w:r>
            <w:r w:rsidRPr="00C45F6B">
              <w:rPr>
                <w:rFonts w:eastAsia="Times New Roman"/>
                <w:szCs w:val="22"/>
              </w:rPr>
              <w:t>) a</w:t>
            </w:r>
            <w:r>
              <w:rPr>
                <w:rFonts w:eastAsia="Times New Roman"/>
                <w:szCs w:val="22"/>
              </w:rPr>
              <w:t>re a</w:t>
            </w:r>
            <w:r w:rsidRPr="00C45F6B">
              <w:rPr>
                <w:rFonts w:eastAsia="Times New Roman"/>
                <w:szCs w:val="22"/>
              </w:rPr>
              <w:t xml:space="preserve">ssociated </w:t>
            </w:r>
            <w:r>
              <w:rPr>
                <w:rFonts w:eastAsia="Times New Roman"/>
                <w:szCs w:val="22"/>
              </w:rPr>
              <w:t>with</w:t>
            </w:r>
            <w:r w:rsidRPr="00C45F6B">
              <w:rPr>
                <w:rFonts w:eastAsia="Times New Roman"/>
                <w:szCs w:val="22"/>
              </w:rPr>
              <w:t xml:space="preserve"> rocky bottoms across the entire area (e.g.</w:t>
            </w:r>
            <w:r>
              <w:rPr>
                <w:rFonts w:eastAsia="Times New Roman"/>
                <w:szCs w:val="22"/>
              </w:rPr>
              <w:t>,</w:t>
            </w:r>
            <w:r w:rsidRPr="00C45F6B">
              <w:rPr>
                <w:rFonts w:eastAsia="Times New Roman"/>
                <w:szCs w:val="22"/>
              </w:rPr>
              <w:t xml:space="preserve"> Aguilar </w:t>
            </w:r>
            <w:r w:rsidRPr="0006066A">
              <w:rPr>
                <w:rFonts w:eastAsia="Times New Roman"/>
                <w:i/>
                <w:szCs w:val="22"/>
              </w:rPr>
              <w:t>et al</w:t>
            </w:r>
            <w:r w:rsidRPr="00C45F6B">
              <w:rPr>
                <w:rFonts w:eastAsia="Times New Roman"/>
                <w:szCs w:val="22"/>
              </w:rPr>
              <w:t xml:space="preserve">., 2010; Cúrdia </w:t>
            </w:r>
            <w:r w:rsidRPr="0006066A">
              <w:rPr>
                <w:rFonts w:eastAsia="Times New Roman"/>
                <w:i/>
                <w:szCs w:val="22"/>
              </w:rPr>
              <w:t>et al</w:t>
            </w:r>
            <w:r w:rsidRPr="00C45F6B">
              <w:rPr>
                <w:rFonts w:eastAsia="Times New Roman"/>
                <w:szCs w:val="22"/>
              </w:rPr>
              <w:t xml:space="preserve">., 2012; Fonseca </w:t>
            </w:r>
            <w:r w:rsidRPr="0006066A">
              <w:rPr>
                <w:rFonts w:eastAsia="Times New Roman"/>
                <w:i/>
                <w:szCs w:val="22"/>
              </w:rPr>
              <w:t>et al</w:t>
            </w:r>
            <w:r w:rsidRPr="00C45F6B">
              <w:rPr>
                <w:rFonts w:eastAsia="Times New Roman"/>
                <w:szCs w:val="22"/>
              </w:rPr>
              <w:t>., 2013; Díaz del Río, 2014)</w:t>
            </w:r>
            <w:r>
              <w:rPr>
                <w:rFonts w:eastAsia="Times New Roman"/>
                <w:szCs w:val="22"/>
              </w:rPr>
              <w:t>.</w:t>
            </w:r>
          </w:p>
          <w:p w14:paraId="024A6679" w14:textId="77777777" w:rsidR="006B3F46" w:rsidRPr="0021277B" w:rsidRDefault="006B3F46" w:rsidP="00907941">
            <w:pPr>
              <w:jc w:val="both"/>
              <w:rPr>
                <w:sz w:val="22"/>
                <w:szCs w:val="22"/>
              </w:rPr>
            </w:pPr>
          </w:p>
        </w:tc>
      </w:tr>
      <w:tr w:rsidR="006B3F46" w:rsidRPr="0021277B" w14:paraId="50BFD40D" w14:textId="77777777" w:rsidTr="00907941">
        <w:trPr>
          <w:trHeight w:val="1"/>
        </w:trPr>
        <w:tc>
          <w:tcPr>
            <w:tcW w:w="14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9322EC" w14:textId="77777777" w:rsidR="006B3F46" w:rsidRPr="0021277B" w:rsidRDefault="006B3F46" w:rsidP="00907941">
            <w:pPr>
              <w:jc w:val="both"/>
              <w:rPr>
                <w:sz w:val="22"/>
                <w:szCs w:val="22"/>
              </w:rPr>
            </w:pPr>
            <w:r w:rsidRPr="0021277B">
              <w:rPr>
                <w:b/>
                <w:sz w:val="22"/>
                <w:szCs w:val="22"/>
              </w:rPr>
              <w:t>Naturalness</w:t>
            </w:r>
          </w:p>
        </w:tc>
        <w:tc>
          <w:tcPr>
            <w:tcW w:w="5079"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AFA341" w14:textId="77777777" w:rsidR="006B3F46" w:rsidRPr="0021277B" w:rsidRDefault="006B3F46" w:rsidP="00907941">
            <w:pPr>
              <w:rPr>
                <w:sz w:val="22"/>
                <w:szCs w:val="22"/>
              </w:rPr>
            </w:pPr>
            <w:r w:rsidRPr="0021277B">
              <w:rPr>
                <w:sz w:val="22"/>
                <w:szCs w:val="22"/>
              </w:rPr>
              <w:t>Area with a comparatively higher degree of naturalness as a result of the lack of or low level of human-induced disturbance or degradation.</w:t>
            </w:r>
          </w:p>
        </w:tc>
        <w:tc>
          <w:tcPr>
            <w:tcW w:w="2160"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16E78E" w14:textId="77777777" w:rsidR="006B3F46" w:rsidRPr="0021277B" w:rsidRDefault="006B3F46" w:rsidP="00907941">
            <w:pPr>
              <w:jc w:val="center"/>
              <w:rPr>
                <w:rFonts w:eastAsia="Calibri"/>
                <w:sz w:val="22"/>
                <w:szCs w:val="22"/>
              </w:rPr>
            </w:pPr>
          </w:p>
        </w:tc>
        <w:tc>
          <w:tcPr>
            <w:tcW w:w="1733"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BDFE7E" w14:textId="77777777" w:rsidR="006B3F46" w:rsidRPr="0021277B" w:rsidRDefault="006B3F46" w:rsidP="00907941">
            <w:pPr>
              <w:jc w:val="center"/>
              <w:rPr>
                <w:sz w:val="22"/>
                <w:szCs w:val="22"/>
              </w:rPr>
            </w:pPr>
          </w:p>
          <w:p w14:paraId="2AD8DB53" w14:textId="77777777" w:rsidR="006B3F46" w:rsidRPr="0021277B" w:rsidRDefault="006B3F46" w:rsidP="00907941">
            <w:pPr>
              <w:jc w:val="center"/>
              <w:rPr>
                <w:sz w:val="22"/>
                <w:szCs w:val="22"/>
              </w:rPr>
            </w:pPr>
            <w:r w:rsidRPr="0021277B">
              <w:rPr>
                <w:sz w:val="22"/>
                <w:szCs w:val="22"/>
              </w:rPr>
              <w:t>X</w:t>
            </w:r>
          </w:p>
        </w:tc>
        <w:tc>
          <w:tcPr>
            <w:tcW w:w="173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62D7CB" w14:textId="77777777" w:rsidR="006B3F46" w:rsidRPr="0021277B" w:rsidRDefault="006B3F46" w:rsidP="00907941">
            <w:pPr>
              <w:jc w:val="center"/>
              <w:rPr>
                <w:rFonts w:eastAsia="Calibri"/>
                <w:sz w:val="22"/>
                <w:szCs w:val="22"/>
              </w:rPr>
            </w:pPr>
          </w:p>
        </w:tc>
        <w:tc>
          <w:tcPr>
            <w:tcW w:w="71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FD5C03" w14:textId="77777777" w:rsidR="006B3F46" w:rsidRPr="0021277B" w:rsidRDefault="006B3F46" w:rsidP="00907941">
            <w:pPr>
              <w:jc w:val="center"/>
              <w:rPr>
                <w:rFonts w:eastAsia="Calibri"/>
                <w:sz w:val="22"/>
                <w:szCs w:val="22"/>
              </w:rPr>
            </w:pPr>
          </w:p>
        </w:tc>
      </w:tr>
      <w:tr w:rsidR="006B3F46" w:rsidRPr="0021277B" w14:paraId="74729693" w14:textId="77777777" w:rsidTr="00907941">
        <w:trPr>
          <w:trHeight w:val="1"/>
        </w:trPr>
        <w:tc>
          <w:tcPr>
            <w:tcW w:w="12877" w:type="dxa"/>
            <w:gridSpan w:val="11"/>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36E551" w14:textId="77777777" w:rsidR="006B3F46" w:rsidRPr="0021277B" w:rsidRDefault="006B3F46" w:rsidP="00907941">
            <w:pPr>
              <w:rPr>
                <w:i/>
                <w:sz w:val="22"/>
                <w:szCs w:val="22"/>
              </w:rPr>
            </w:pPr>
            <w:r w:rsidRPr="0021277B">
              <w:rPr>
                <w:i/>
                <w:sz w:val="22"/>
                <w:szCs w:val="22"/>
              </w:rPr>
              <w:t xml:space="preserve">Explanation for ranking </w:t>
            </w:r>
          </w:p>
          <w:p w14:paraId="57083229" w14:textId="77777777" w:rsidR="006B3F46" w:rsidRPr="0021277B" w:rsidRDefault="006B3F46" w:rsidP="00907941">
            <w:pPr>
              <w:jc w:val="both"/>
              <w:rPr>
                <w:sz w:val="22"/>
                <w:szCs w:val="22"/>
              </w:rPr>
            </w:pPr>
            <w:r w:rsidRPr="0021277B">
              <w:rPr>
                <w:sz w:val="22"/>
                <w:szCs w:val="22"/>
              </w:rPr>
              <w:t xml:space="preserve">This area is an important fishing ground with a high diversity and high productivity of exploited species (Sobrino </w:t>
            </w:r>
            <w:r w:rsidRPr="0006066A">
              <w:rPr>
                <w:i/>
                <w:sz w:val="22"/>
                <w:szCs w:val="22"/>
              </w:rPr>
              <w:t>et al</w:t>
            </w:r>
            <w:r w:rsidRPr="0021277B">
              <w:rPr>
                <w:sz w:val="22"/>
                <w:szCs w:val="22"/>
              </w:rPr>
              <w:t>., 1994). The exploitation of fisheries composed mainly of trawlers, purse seiners and artisanal boats is intensive in the Gulf of Cádiz, with all fleets exerting high impacts on most living groups of the ecosystem. Therefore, the Gulf of C</w:t>
            </w:r>
            <w:r w:rsidRPr="00A752AE">
              <w:rPr>
                <w:sz w:val="22"/>
                <w:szCs w:val="22"/>
              </w:rPr>
              <w:t>á</w:t>
            </w:r>
            <w:r w:rsidRPr="0021277B">
              <w:rPr>
                <w:sz w:val="22"/>
                <w:szCs w:val="22"/>
              </w:rPr>
              <w:t xml:space="preserve">diz is a notably stressed ecosystem, displaying characteristics of a heavily exploited area (Torres </w:t>
            </w:r>
            <w:r w:rsidRPr="0006066A">
              <w:rPr>
                <w:i/>
                <w:sz w:val="22"/>
                <w:szCs w:val="22"/>
              </w:rPr>
              <w:t>et al</w:t>
            </w:r>
            <w:r w:rsidRPr="0021277B">
              <w:rPr>
                <w:sz w:val="22"/>
                <w:szCs w:val="22"/>
              </w:rPr>
              <w:t>., 2010).</w:t>
            </w:r>
          </w:p>
          <w:p w14:paraId="707931A6" w14:textId="77777777" w:rsidR="006B3F46" w:rsidRPr="0021277B" w:rsidRDefault="006B3F46" w:rsidP="00907941">
            <w:pPr>
              <w:jc w:val="both"/>
              <w:rPr>
                <w:sz w:val="22"/>
                <w:szCs w:val="22"/>
              </w:rPr>
            </w:pPr>
          </w:p>
        </w:tc>
      </w:tr>
    </w:tbl>
    <w:p w14:paraId="6B078D8B" w14:textId="77777777" w:rsidR="006B3F46" w:rsidRPr="0021277B" w:rsidRDefault="006B3F46" w:rsidP="00907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sz w:val="22"/>
          <w:szCs w:val="22"/>
        </w:rPr>
      </w:pPr>
    </w:p>
    <w:p w14:paraId="1BCE0F59" w14:textId="77777777" w:rsidR="006B3F46" w:rsidRPr="0021277B" w:rsidRDefault="006B3F46" w:rsidP="00907941">
      <w:pPr>
        <w:rPr>
          <w:b/>
          <w:sz w:val="22"/>
          <w:szCs w:val="22"/>
        </w:rPr>
      </w:pPr>
    </w:p>
    <w:p w14:paraId="4B2F9AEE" w14:textId="77777777" w:rsidR="006B3F46" w:rsidRPr="009978E3" w:rsidRDefault="006B3F46" w:rsidP="00907941">
      <w:pPr>
        <w:rPr>
          <w:b/>
          <w:sz w:val="22"/>
          <w:szCs w:val="22"/>
        </w:rPr>
      </w:pPr>
      <w:r w:rsidRPr="00F66EF7">
        <w:rPr>
          <w:b/>
          <w:sz w:val="22"/>
          <w:szCs w:val="22"/>
        </w:rPr>
        <w:t>References</w:t>
      </w:r>
    </w:p>
    <w:p w14:paraId="7C576EE1" w14:textId="77777777" w:rsidR="006B3F46" w:rsidRPr="009978E3" w:rsidRDefault="006B3F46" w:rsidP="00907941">
      <w:pPr>
        <w:ind w:left="709" w:hanging="720"/>
        <w:jc w:val="both"/>
        <w:rPr>
          <w:sz w:val="22"/>
          <w:szCs w:val="22"/>
        </w:rPr>
      </w:pPr>
      <w:r w:rsidRPr="009978E3">
        <w:rPr>
          <w:sz w:val="22"/>
          <w:szCs w:val="22"/>
        </w:rPr>
        <w:t>Abascal, F.J., medina, A., De la Serna, J.M., Godoy, D., Aranda, G., 2016. Fisheries Oceanography, 25:1, 54-66.</w:t>
      </w:r>
    </w:p>
    <w:p w14:paraId="4145A673" w14:textId="77777777" w:rsidR="006B3F46" w:rsidRPr="009978E3" w:rsidRDefault="006B3F46" w:rsidP="00907941">
      <w:pPr>
        <w:ind w:left="709" w:hanging="720"/>
        <w:jc w:val="both"/>
        <w:rPr>
          <w:sz w:val="22"/>
          <w:szCs w:val="22"/>
        </w:rPr>
      </w:pPr>
      <w:r w:rsidRPr="009978E3">
        <w:rPr>
          <w:sz w:val="22"/>
          <w:szCs w:val="22"/>
        </w:rPr>
        <w:t xml:space="preserve">Aguilar, R., Pardo, E., Cornax, M.J., García, S., Ubero, J., 2010. </w:t>
      </w:r>
      <w:r w:rsidRPr="009978E3">
        <w:rPr>
          <w:sz w:val="22"/>
          <w:szCs w:val="22"/>
          <w:lang w:val="fr-CA"/>
        </w:rPr>
        <w:t xml:space="preserve">Doñana y el Golfo de Cádiz. Propuesta para la ampliación del área marina protegida. </w:t>
      </w:r>
      <w:r w:rsidRPr="009978E3">
        <w:rPr>
          <w:sz w:val="22"/>
          <w:szCs w:val="22"/>
        </w:rPr>
        <w:t>OCEANA</w:t>
      </w:r>
      <w:r>
        <w:rPr>
          <w:sz w:val="22"/>
          <w:szCs w:val="22"/>
        </w:rPr>
        <w:t>.</w:t>
      </w:r>
    </w:p>
    <w:p w14:paraId="280F553B" w14:textId="77777777" w:rsidR="006B3F46" w:rsidRPr="009978E3" w:rsidRDefault="006B3F46" w:rsidP="00907941">
      <w:pPr>
        <w:ind w:left="709" w:hanging="720"/>
        <w:jc w:val="both"/>
        <w:rPr>
          <w:sz w:val="22"/>
          <w:szCs w:val="22"/>
        </w:rPr>
      </w:pPr>
      <w:r w:rsidRPr="009978E3">
        <w:rPr>
          <w:sz w:val="22"/>
          <w:szCs w:val="22"/>
        </w:rPr>
        <w:t>Ambar, I., Armi, L., Bower, A., Ferreira, T., 1999. Some aspects of time variability of the Mediterranean Water off south Portugal. Deep- Sea Res I 46:1109–1136</w:t>
      </w:r>
      <w:r>
        <w:rPr>
          <w:sz w:val="22"/>
          <w:szCs w:val="22"/>
        </w:rPr>
        <w:t>.</w:t>
      </w:r>
    </w:p>
    <w:p w14:paraId="6F458EE6" w14:textId="77777777" w:rsidR="006B3F46" w:rsidRPr="009978E3" w:rsidRDefault="006B3F46" w:rsidP="00907941">
      <w:pPr>
        <w:ind w:left="709" w:hanging="720"/>
        <w:jc w:val="both"/>
        <w:rPr>
          <w:sz w:val="22"/>
          <w:szCs w:val="22"/>
        </w:rPr>
      </w:pPr>
      <w:r w:rsidRPr="009978E3">
        <w:rPr>
          <w:sz w:val="22"/>
          <w:szCs w:val="22"/>
        </w:rPr>
        <w:t>Aranda, G., Abascal, F.J., Varela, J.L., Medina, A., 2013. Spawning Behaviour and Post-Spawning Migration Patterns of Atlantic Bluefin Tuna (</w:t>
      </w:r>
      <w:r w:rsidRPr="009978E3">
        <w:rPr>
          <w:i/>
          <w:sz w:val="22"/>
          <w:szCs w:val="22"/>
        </w:rPr>
        <w:t>Thunnus thynnus</w:t>
      </w:r>
      <w:r w:rsidRPr="009978E3">
        <w:rPr>
          <w:sz w:val="22"/>
          <w:szCs w:val="22"/>
        </w:rPr>
        <w:t>) Ascertained from Satellite Archival Tags. PLoS ONE 8(10): e76445. doi:10.1371/journal.pone.0076445</w:t>
      </w:r>
    </w:p>
    <w:p w14:paraId="5A87FEEB" w14:textId="77777777" w:rsidR="006B3F46" w:rsidRPr="009978E3" w:rsidRDefault="006B3F46" w:rsidP="00907941">
      <w:pPr>
        <w:ind w:left="709" w:hanging="720"/>
        <w:jc w:val="both"/>
        <w:rPr>
          <w:sz w:val="22"/>
          <w:szCs w:val="22"/>
        </w:rPr>
      </w:pPr>
      <w:r w:rsidRPr="009978E3">
        <w:rPr>
          <w:sz w:val="22"/>
          <w:szCs w:val="22"/>
        </w:rPr>
        <w:t>ATLAS (2019) Deliverable 3.3 Biodiversity, biogeography and GOODS classification system under current climate conditions and future IPCC scenarios.</w:t>
      </w:r>
    </w:p>
    <w:p w14:paraId="2E4B76D5" w14:textId="77777777" w:rsidR="006B3F46" w:rsidRPr="009978E3" w:rsidRDefault="006B3F46" w:rsidP="00907941">
      <w:pPr>
        <w:ind w:left="709" w:hanging="720"/>
        <w:jc w:val="both"/>
        <w:rPr>
          <w:sz w:val="22"/>
          <w:szCs w:val="22"/>
        </w:rPr>
      </w:pPr>
      <w:r w:rsidRPr="009978E3">
        <w:rPr>
          <w:sz w:val="22"/>
          <w:szCs w:val="22"/>
        </w:rPr>
        <w:t xml:space="preserve">Baglin, R.E. Jr. 1982. Reproductive biology of western Atlantic bluefin tuna. Fish Bull 80: 121-134 </w:t>
      </w:r>
      <w:r>
        <w:rPr>
          <w:sz w:val="22"/>
          <w:szCs w:val="22"/>
        </w:rPr>
        <w:t>.</w:t>
      </w:r>
    </w:p>
    <w:p w14:paraId="201A8DB7" w14:textId="77777777" w:rsidR="006B3F46" w:rsidRPr="009978E3" w:rsidRDefault="006B3F46" w:rsidP="00907941">
      <w:pPr>
        <w:ind w:left="709" w:hanging="720"/>
        <w:jc w:val="both"/>
        <w:rPr>
          <w:sz w:val="22"/>
          <w:szCs w:val="22"/>
        </w:rPr>
      </w:pPr>
      <w:r w:rsidRPr="009978E3">
        <w:rPr>
          <w:sz w:val="22"/>
          <w:szCs w:val="22"/>
        </w:rPr>
        <w:t>Boavida, J., Paulo, D., Aurelle, D., Arnaud-Haond, S., Marschal, C., Reed, J., Gonçalves, J.M.S., Serrao, E.A., 2016. A Well-Kept Treasure at Depth: Precious Red Coral Rediscovered in Atlantic Deep Coral Gardens (SW Portugal) after 300 Years. PLoS ONE 11(1): e0147228. doi:10.1371/journal.pone.0147228</w:t>
      </w:r>
    </w:p>
    <w:p w14:paraId="35BB7222" w14:textId="77777777" w:rsidR="006B3F46" w:rsidRPr="009978E3" w:rsidRDefault="006B3F46" w:rsidP="00907941">
      <w:pPr>
        <w:ind w:left="709" w:hanging="720"/>
        <w:jc w:val="both"/>
        <w:rPr>
          <w:sz w:val="22"/>
          <w:szCs w:val="22"/>
        </w:rPr>
      </w:pPr>
      <w:r w:rsidRPr="009978E3">
        <w:rPr>
          <w:sz w:val="22"/>
          <w:szCs w:val="22"/>
        </w:rPr>
        <w:t>Boavida, J., Assis, J., Silva, I., Serrao, E.A., 2016. Overlooked habitat of a vulnerable gorgonian revealed in the Mediterranean and Eastern Atlantic by ecological niche modelling. Scientific Reports, 6:36460. DOI: 10.1038/srep36460</w:t>
      </w:r>
    </w:p>
    <w:p w14:paraId="73165538" w14:textId="77777777" w:rsidR="006B3F46" w:rsidRPr="009978E3" w:rsidRDefault="006B3F46" w:rsidP="00907941">
      <w:pPr>
        <w:ind w:left="709" w:hanging="720"/>
        <w:jc w:val="both"/>
        <w:rPr>
          <w:sz w:val="22"/>
          <w:szCs w:val="22"/>
        </w:rPr>
      </w:pPr>
      <w:r w:rsidRPr="009978E3">
        <w:rPr>
          <w:sz w:val="22"/>
          <w:szCs w:val="22"/>
        </w:rPr>
        <w:t>Brown, K.M., 1990. The nature and hydrogeologic significance of mud diapirs and diatremes for accretionary systems. J Mar Geophys Res 95(6):8969–8982</w:t>
      </w:r>
      <w:r>
        <w:rPr>
          <w:sz w:val="22"/>
          <w:szCs w:val="22"/>
        </w:rPr>
        <w:t>.</w:t>
      </w:r>
    </w:p>
    <w:p w14:paraId="3AD04180" w14:textId="77777777" w:rsidR="006B3F46" w:rsidRPr="009978E3" w:rsidRDefault="006B3F46" w:rsidP="00907941">
      <w:pPr>
        <w:ind w:left="709" w:hanging="720"/>
        <w:jc w:val="both"/>
        <w:rPr>
          <w:rFonts w:eastAsia="AdvTT3713a231"/>
          <w:sz w:val="22"/>
          <w:szCs w:val="22"/>
        </w:rPr>
      </w:pPr>
      <w:r w:rsidRPr="009978E3">
        <w:rPr>
          <w:sz w:val="22"/>
          <w:szCs w:val="22"/>
        </w:rPr>
        <w:t>Cotte, C., Ovidio, F., Chaigneau, A., Levy, M., Taupier-Letage, I., Mate, B. &amp; Guinet, C (2011) Scale-dependent interactions of Mediterranean whales with marine dynamics. Limnology and Oceanography. 56. 10.4319/lo.2011.56.1.0219.</w:t>
      </w:r>
    </w:p>
    <w:p w14:paraId="626DA497" w14:textId="77777777" w:rsidR="006B3F46" w:rsidRPr="009978E3" w:rsidRDefault="006B3F46" w:rsidP="00907941">
      <w:pPr>
        <w:ind w:left="709" w:hanging="720"/>
        <w:jc w:val="both"/>
        <w:rPr>
          <w:sz w:val="22"/>
          <w:szCs w:val="22"/>
          <w:lang w:val="fr-CA"/>
        </w:rPr>
      </w:pPr>
      <w:r w:rsidRPr="009978E3">
        <w:rPr>
          <w:sz w:val="22"/>
          <w:szCs w:val="22"/>
        </w:rPr>
        <w:t xml:space="preserve">Cúrdia, J., Monteiro, P., Alfonso, C.M.L., Santos, M.N., Cunha, M.R., Gonçalves, J.M.S., 2012. Spatial and depth-associated distribution patterns of shallow gorgonians in the Algarve coast (Portugal, NE Atlantic). </w:t>
      </w:r>
      <w:r w:rsidRPr="009978E3">
        <w:rPr>
          <w:sz w:val="22"/>
          <w:szCs w:val="22"/>
          <w:lang w:val="fr-CA"/>
        </w:rPr>
        <w:t>Helgol Mar Res DOI 10.1007/s10152-012-0340-1</w:t>
      </w:r>
    </w:p>
    <w:p w14:paraId="23500D93" w14:textId="77777777" w:rsidR="006B3F46" w:rsidRPr="009978E3" w:rsidRDefault="006B3F46" w:rsidP="00907941">
      <w:pPr>
        <w:ind w:left="709" w:hanging="720"/>
        <w:jc w:val="both"/>
        <w:rPr>
          <w:sz w:val="22"/>
          <w:szCs w:val="22"/>
        </w:rPr>
      </w:pPr>
      <w:r w:rsidRPr="009978E3">
        <w:rPr>
          <w:sz w:val="22"/>
          <w:szCs w:val="22"/>
          <w:lang w:val="fr-CA"/>
        </w:rPr>
        <w:t xml:space="preserve">De la Torriente, A., Aguilar, R., 2011. </w:t>
      </w:r>
      <w:r w:rsidRPr="009978E3">
        <w:rPr>
          <w:sz w:val="22"/>
          <w:szCs w:val="22"/>
        </w:rPr>
        <w:t>OSPAR Workshop on the improvement of the definitions of habitats on the OSPAR list. Background document for discussion: "Coral gardens", "Deep sea sponge aggregations" and "Seapen and burrowing megafauna communities". Bergen, Norway, 20-21 October.</w:t>
      </w:r>
    </w:p>
    <w:p w14:paraId="51257646" w14:textId="77777777" w:rsidR="006B3F46" w:rsidRPr="009978E3" w:rsidRDefault="006B3F46" w:rsidP="00907941">
      <w:pPr>
        <w:ind w:left="709" w:hanging="720"/>
        <w:jc w:val="both"/>
        <w:rPr>
          <w:sz w:val="22"/>
          <w:szCs w:val="22"/>
        </w:rPr>
      </w:pPr>
      <w:r w:rsidRPr="009978E3">
        <w:rPr>
          <w:sz w:val="22"/>
          <w:szCs w:val="22"/>
        </w:rPr>
        <w:t>De Stephanis, R., Cornulier, T., Verborgh, P., Salazar Sierra, J., Pérez Gimeno, N., Guinet, C., 2008. Summer spatial distribution of cetaceans in the Strait of Gibraltar in relation to the oceanographic context. Marine Ecology Progress Series, 353: 275-288.</w:t>
      </w:r>
    </w:p>
    <w:p w14:paraId="25374C46" w14:textId="77777777" w:rsidR="006B3F46" w:rsidRPr="009978E3" w:rsidRDefault="006B3F46" w:rsidP="00907941">
      <w:pPr>
        <w:autoSpaceDE w:val="0"/>
        <w:autoSpaceDN w:val="0"/>
        <w:adjustRightInd w:val="0"/>
        <w:ind w:left="709" w:hanging="720"/>
        <w:jc w:val="both"/>
        <w:rPr>
          <w:sz w:val="22"/>
          <w:szCs w:val="22"/>
        </w:rPr>
      </w:pPr>
      <w:r w:rsidRPr="009E53BE">
        <w:rPr>
          <w:sz w:val="22"/>
          <w:szCs w:val="22"/>
          <w:lang w:val="fr-FR"/>
        </w:rPr>
        <w:t xml:space="preserve">Diaz del Rio, Victor, </w:t>
      </w:r>
      <w:r w:rsidRPr="009E53BE">
        <w:rPr>
          <w:i/>
          <w:sz w:val="22"/>
          <w:szCs w:val="22"/>
          <w:lang w:val="fr-FR"/>
        </w:rPr>
        <w:t>et al</w:t>
      </w:r>
      <w:r w:rsidRPr="009E53BE">
        <w:rPr>
          <w:sz w:val="22"/>
          <w:szCs w:val="22"/>
          <w:lang w:val="fr-FR"/>
        </w:rPr>
        <w:t xml:space="preserve">. </w:t>
      </w:r>
      <w:r w:rsidRPr="009978E3">
        <w:rPr>
          <w:sz w:val="22"/>
          <w:szCs w:val="22"/>
        </w:rPr>
        <w:t>Volcanes de fango del golfo de Cádiz, Proyecto LIFE +  INDEMARES. Ed. Fundacion Biodiversidad del Ministerio de Agricultura, Alimentacion y Medio Ambiente. 2014.</w:t>
      </w:r>
    </w:p>
    <w:p w14:paraId="5575E209" w14:textId="77777777" w:rsidR="006B3F46" w:rsidRPr="009978E3" w:rsidRDefault="006B3F46" w:rsidP="00907941">
      <w:pPr>
        <w:ind w:left="709" w:hanging="720"/>
        <w:jc w:val="both"/>
        <w:rPr>
          <w:sz w:val="22"/>
          <w:szCs w:val="22"/>
        </w:rPr>
      </w:pPr>
      <w:r w:rsidRPr="009978E3">
        <w:rPr>
          <w:sz w:val="22"/>
          <w:szCs w:val="22"/>
        </w:rPr>
        <w:t>Dimitrov LI (2002) Mud volcanoes-the most important pathway for degassing deeply buried sediments. Earth Sci Rev 59:49–76.</w:t>
      </w:r>
    </w:p>
    <w:p w14:paraId="266D4D7C" w14:textId="77777777" w:rsidR="006B3F46" w:rsidRPr="009978E3" w:rsidRDefault="006B3F46" w:rsidP="00907941">
      <w:pPr>
        <w:ind w:left="709" w:hanging="720"/>
        <w:jc w:val="both"/>
        <w:rPr>
          <w:sz w:val="22"/>
          <w:szCs w:val="22"/>
          <w:shd w:val="clear" w:color="auto" w:fill="FFFFFF"/>
        </w:rPr>
      </w:pPr>
      <w:r w:rsidRPr="009978E3">
        <w:rPr>
          <w:sz w:val="22"/>
          <w:szCs w:val="22"/>
          <w:shd w:val="clear" w:color="auto" w:fill="FFFFFF"/>
        </w:rPr>
        <w:t>Esteban, R., Verborgh, P., Gauffier, P. 2016. Dynamics of killer whale, bluefin tuna and human fisheries in the Strait of Gibraltar. Biological Conservation 194:31-38.</w:t>
      </w:r>
    </w:p>
    <w:p w14:paraId="4A425C32" w14:textId="77777777" w:rsidR="006B3F46" w:rsidRPr="009978E3" w:rsidRDefault="006B3F46" w:rsidP="00907941">
      <w:pPr>
        <w:ind w:left="709" w:hanging="720"/>
        <w:jc w:val="both"/>
        <w:rPr>
          <w:sz w:val="22"/>
          <w:szCs w:val="22"/>
          <w:shd w:val="clear" w:color="auto" w:fill="FFFFFF"/>
        </w:rPr>
      </w:pPr>
      <w:r w:rsidRPr="009978E3">
        <w:rPr>
          <w:sz w:val="22"/>
          <w:szCs w:val="22"/>
          <w:shd w:val="clear" w:color="auto" w:fill="FFFFFF"/>
        </w:rPr>
        <w:t>Esteban, R., Verborgh, P., Gauffier, P. 2016. Using a multi-disciplinary approach to identify a critically endangered killer whale management unit. Ecological Indicators 66, 291-300</w:t>
      </w:r>
      <w:r>
        <w:rPr>
          <w:sz w:val="22"/>
          <w:szCs w:val="22"/>
          <w:shd w:val="clear" w:color="auto" w:fill="FFFFFF"/>
        </w:rPr>
        <w:t>.</w:t>
      </w:r>
    </w:p>
    <w:p w14:paraId="6ED7D54F" w14:textId="77777777" w:rsidR="006B3F46" w:rsidRPr="009978E3" w:rsidRDefault="006B3F46" w:rsidP="00907941">
      <w:pPr>
        <w:ind w:left="709" w:hanging="720"/>
        <w:jc w:val="both"/>
        <w:rPr>
          <w:sz w:val="22"/>
          <w:szCs w:val="22"/>
          <w:shd w:val="clear" w:color="auto" w:fill="FFFFFF"/>
        </w:rPr>
      </w:pPr>
      <w:r w:rsidRPr="009978E3">
        <w:rPr>
          <w:sz w:val="22"/>
          <w:szCs w:val="22"/>
          <w:shd w:val="clear" w:color="auto" w:fill="FFFFFF"/>
        </w:rPr>
        <w:t xml:space="preserve">Esteban, R., Verborgh, P., Gauffier, P. 2016. Conservation Status of Killer Whales, </w:t>
      </w:r>
      <w:r w:rsidRPr="009978E3">
        <w:rPr>
          <w:i/>
          <w:sz w:val="22"/>
          <w:szCs w:val="22"/>
          <w:shd w:val="clear" w:color="auto" w:fill="FFFFFF"/>
        </w:rPr>
        <w:t>Orcinus Orca</w:t>
      </w:r>
      <w:r w:rsidRPr="009978E3">
        <w:rPr>
          <w:sz w:val="22"/>
          <w:szCs w:val="22"/>
          <w:shd w:val="clear" w:color="auto" w:fill="FFFFFF"/>
        </w:rPr>
        <w:t xml:space="preserve">, in the Strait of Gibraltar. In: G. Notarbartolo di Sciara, M. Podestà, B.E. Curry (Editors), Mediterranean marine mammal ecology and conservation. Advances in Marine Biology 75:141-172. </w:t>
      </w:r>
      <w:hyperlink r:id="rId170">
        <w:r w:rsidRPr="009978E3">
          <w:rPr>
            <w:sz w:val="22"/>
            <w:szCs w:val="22"/>
            <w:u w:val="single"/>
            <w:shd w:val="clear" w:color="auto" w:fill="FFFFFF"/>
          </w:rPr>
          <w:t>http://dx.doi.org/10.1016/bs.amb.2016.07.001</w:t>
        </w:r>
      </w:hyperlink>
    </w:p>
    <w:p w14:paraId="691F2E29" w14:textId="77777777" w:rsidR="006B3F46" w:rsidRPr="009978E3" w:rsidRDefault="006B3F46" w:rsidP="00907941">
      <w:pPr>
        <w:ind w:left="709" w:hanging="720"/>
        <w:jc w:val="both"/>
        <w:rPr>
          <w:sz w:val="22"/>
          <w:szCs w:val="22"/>
        </w:rPr>
      </w:pPr>
      <w:r w:rsidRPr="009978E3">
        <w:rPr>
          <w:sz w:val="22"/>
          <w:szCs w:val="22"/>
          <w:shd w:val="clear" w:color="auto" w:fill="FFFFFF"/>
          <w:lang w:val="fr-CA"/>
        </w:rPr>
        <w:t xml:space="preserve">Esteban, R., Verborgh, P., Gauffier, P. 2014. </w:t>
      </w:r>
      <w:r w:rsidRPr="009978E3">
        <w:rPr>
          <w:sz w:val="22"/>
          <w:szCs w:val="22"/>
          <w:shd w:val="clear" w:color="auto" w:fill="FFFFFF"/>
        </w:rPr>
        <w:t>Identifying key habitat and seasonal patterns of a critically endangered population of killer whales. Journal of the Marine Biological Association of the United Kingdom. doi:10.1017/S002531541300091X</w:t>
      </w:r>
      <w:r w:rsidRPr="009978E3">
        <w:rPr>
          <w:sz w:val="22"/>
          <w:szCs w:val="22"/>
        </w:rPr>
        <w:t xml:space="preserve"> </w:t>
      </w:r>
    </w:p>
    <w:p w14:paraId="6C3ABB7A" w14:textId="77777777" w:rsidR="006B3F46" w:rsidRPr="009978E3" w:rsidRDefault="006B3F46" w:rsidP="00907941">
      <w:pPr>
        <w:ind w:left="709" w:hanging="720"/>
        <w:jc w:val="both"/>
        <w:rPr>
          <w:sz w:val="22"/>
          <w:szCs w:val="22"/>
        </w:rPr>
      </w:pPr>
      <w:r w:rsidRPr="009978E3">
        <w:rPr>
          <w:sz w:val="22"/>
          <w:szCs w:val="22"/>
        </w:rPr>
        <w:t>Fonseca, P., Abrantes, F., Aguilar, R., Campos, A., Cunha, M., Ferreira, D., Fonseca, T.P., García, S., Henriques, V., Machado, M., Mechó, A., Relvas, P., Rodriguez, A.F., Salgueiro, E., Vieira, R., Weetman, A., Castro, M., 2013. A deep-water crinoid Leptometra celtica bed off the Portuguese south coast. Mar Biodiv DOI 10.1007/s12526-013-0191-2</w:t>
      </w:r>
    </w:p>
    <w:p w14:paraId="24371655"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rPr>
        <w:t>García Raso, J.E., García Muñoz, J.E., Mateo-Ramírez, A., López-González, N., Fernández-Salas, L.M., Rueda, J.L., 2018. Decapod crustaceans Eucalliacidae in chemoautotrophic bathyal bottoms of the Gulf of Cadiz (Atlantic Ocean), environmental characteristics and associated communities.</w:t>
      </w:r>
    </w:p>
    <w:p w14:paraId="70607AA4" w14:textId="77777777" w:rsidR="006B3F46" w:rsidRPr="009978E3" w:rsidRDefault="006B3F46" w:rsidP="00907941">
      <w:pPr>
        <w:ind w:left="709" w:hanging="720"/>
        <w:jc w:val="both"/>
        <w:rPr>
          <w:sz w:val="22"/>
          <w:szCs w:val="22"/>
        </w:rPr>
      </w:pPr>
      <w:r w:rsidRPr="009978E3">
        <w:rPr>
          <w:sz w:val="22"/>
          <w:szCs w:val="22"/>
        </w:rPr>
        <w:t>Gauffier, P., Verborgh, P., Andréu, E., Esteban, R., Medina, B., Gallego, P., de Stephanis, R., 2009. An update on fin whales (Balaenoptera physalus) migration through intense maritime traffic in the Strait of Gibraltar. Paper SC/61/BC6 presented to the Scientific Committee of the International Whaling Commission, May 2009, Funchal.</w:t>
      </w:r>
    </w:p>
    <w:p w14:paraId="404DD585" w14:textId="77777777" w:rsidR="006B3F46" w:rsidRPr="009978E3" w:rsidRDefault="006B3F46" w:rsidP="00907941">
      <w:pPr>
        <w:ind w:left="709" w:hanging="720"/>
        <w:jc w:val="both"/>
        <w:rPr>
          <w:sz w:val="22"/>
          <w:szCs w:val="22"/>
        </w:rPr>
      </w:pPr>
      <w:r w:rsidRPr="009978E3">
        <w:rPr>
          <w:sz w:val="22"/>
          <w:szCs w:val="22"/>
          <w:lang w:val="fr-CA"/>
        </w:rPr>
        <w:t xml:space="preserve">Gauffier, P., Verborgh, P., Giménez, J., Esteban, R., Sierra, J., &amp; Stephanis, R, 2018. </w:t>
      </w:r>
      <w:r w:rsidRPr="009978E3">
        <w:rPr>
          <w:sz w:val="22"/>
          <w:szCs w:val="22"/>
        </w:rPr>
        <w:t xml:space="preserve">Contemporary migration of fin whales through the Strait of Gibraltar. Marine Ecology Progress Series. 588. 215-228. 10.3354/meps12449. </w:t>
      </w:r>
    </w:p>
    <w:p w14:paraId="0505378C" w14:textId="77777777" w:rsidR="006B3F46" w:rsidRPr="009978E3" w:rsidRDefault="006B3F46" w:rsidP="00907941">
      <w:pPr>
        <w:ind w:left="709" w:hanging="720"/>
        <w:jc w:val="both"/>
        <w:rPr>
          <w:sz w:val="22"/>
          <w:szCs w:val="22"/>
        </w:rPr>
      </w:pPr>
      <w:r w:rsidRPr="009978E3">
        <w:rPr>
          <w:sz w:val="22"/>
          <w:szCs w:val="22"/>
        </w:rPr>
        <w:t xml:space="preserve">Heinisch, G., Corriero, A., Medina, A., Abascalm F.J., de la Serna, J.M. </w:t>
      </w:r>
      <w:r w:rsidRPr="0006066A">
        <w:rPr>
          <w:i/>
          <w:sz w:val="22"/>
          <w:szCs w:val="22"/>
        </w:rPr>
        <w:t>et al</w:t>
      </w:r>
      <w:r w:rsidRPr="009978E3">
        <w:rPr>
          <w:sz w:val="22"/>
          <w:szCs w:val="22"/>
        </w:rPr>
        <w:t>., 2008. Spatial-temporal pattern of bluefin tuna (</w:t>
      </w:r>
      <w:r w:rsidRPr="009978E3">
        <w:rPr>
          <w:i/>
          <w:sz w:val="22"/>
          <w:szCs w:val="22"/>
        </w:rPr>
        <w:t>Thunnus thynnus</w:t>
      </w:r>
      <w:r w:rsidRPr="009978E3">
        <w:rPr>
          <w:sz w:val="22"/>
          <w:szCs w:val="22"/>
        </w:rPr>
        <w:t xml:space="preserve"> L. 1758) gonad maturation across the Mediterranean Sea. Mar Biol 154: 623-630. doi:10.1007/s00227-008-0955-6.</w:t>
      </w:r>
    </w:p>
    <w:p w14:paraId="34309C60" w14:textId="77777777" w:rsidR="006B3F46" w:rsidRPr="009978E3" w:rsidRDefault="006B3F46" w:rsidP="00907941">
      <w:pPr>
        <w:ind w:left="709" w:hanging="720"/>
        <w:jc w:val="both"/>
        <w:rPr>
          <w:sz w:val="22"/>
          <w:szCs w:val="22"/>
        </w:rPr>
      </w:pPr>
      <w:r w:rsidRPr="009978E3">
        <w:rPr>
          <w:sz w:val="22"/>
          <w:szCs w:val="22"/>
        </w:rPr>
        <w:t xml:space="preserve">ICES, 2019. New information regarding the impact of fisheries on other components of the ecosystem. ICES Special Request Advice Ecoregions in the Northeast Atlantic and adjacent sea.   </w:t>
      </w:r>
    </w:p>
    <w:p w14:paraId="47EBD04A" w14:textId="77777777" w:rsidR="006B3F46" w:rsidRPr="009978E3" w:rsidRDefault="006B3F46" w:rsidP="00907941">
      <w:pPr>
        <w:ind w:left="709" w:hanging="720"/>
        <w:jc w:val="both"/>
        <w:rPr>
          <w:sz w:val="22"/>
          <w:szCs w:val="22"/>
        </w:rPr>
      </w:pPr>
      <w:r w:rsidRPr="009978E3">
        <w:rPr>
          <w:sz w:val="22"/>
          <w:szCs w:val="22"/>
        </w:rPr>
        <w:t>IUCN</w:t>
      </w:r>
      <w:r w:rsidRPr="009978E3">
        <w:rPr>
          <w:sz w:val="22"/>
          <w:szCs w:val="22"/>
        </w:rPr>
        <w:tab/>
        <w:t>Marine</w:t>
      </w:r>
      <w:r w:rsidRPr="009978E3">
        <w:rPr>
          <w:sz w:val="22"/>
          <w:szCs w:val="22"/>
        </w:rPr>
        <w:tab/>
        <w:t>Mammal</w:t>
      </w:r>
      <w:r w:rsidRPr="009978E3">
        <w:rPr>
          <w:sz w:val="22"/>
          <w:szCs w:val="22"/>
        </w:rPr>
        <w:tab/>
        <w:t>Protected</w:t>
      </w:r>
      <w:r w:rsidRPr="009978E3">
        <w:rPr>
          <w:sz w:val="22"/>
          <w:szCs w:val="22"/>
        </w:rPr>
        <w:tab/>
        <w:t>Areas</w:t>
      </w:r>
      <w:r w:rsidRPr="009978E3">
        <w:rPr>
          <w:sz w:val="22"/>
          <w:szCs w:val="22"/>
        </w:rPr>
        <w:tab/>
        <w:t>Task</w:t>
      </w:r>
      <w:r w:rsidRPr="009978E3">
        <w:rPr>
          <w:sz w:val="22"/>
          <w:szCs w:val="22"/>
        </w:rPr>
        <w:tab/>
        <w:t xml:space="preserve">Force, 2019. The IUCN Global Dataset of Important Marine Mammal Areas (IUCN IMMA). Made available under agreement on terms and conditions of use by the IUCN Joint SSC/WCPA Marine Mammal Protected Areas Task Force and accessible via the IMMA e-Atlas </w:t>
      </w:r>
      <w:hyperlink r:id="rId171">
        <w:r w:rsidRPr="009978E3">
          <w:rPr>
            <w:sz w:val="22"/>
            <w:szCs w:val="22"/>
            <w:u w:val="single"/>
          </w:rPr>
          <w:t>http://www.marinemammalhabitat.org/imma-eatlas/</w:t>
        </w:r>
      </w:hyperlink>
      <w:r w:rsidRPr="00F66EF7">
        <w:rPr>
          <w:sz w:val="22"/>
          <w:szCs w:val="22"/>
        </w:rPr>
        <w:t xml:space="preserve"> </w:t>
      </w:r>
    </w:p>
    <w:p w14:paraId="3CA27050" w14:textId="77777777" w:rsidR="006B3F46" w:rsidRPr="009978E3" w:rsidRDefault="006B3F46" w:rsidP="00907941">
      <w:pPr>
        <w:ind w:left="709" w:hanging="720"/>
        <w:jc w:val="both"/>
        <w:rPr>
          <w:sz w:val="22"/>
          <w:szCs w:val="22"/>
        </w:rPr>
      </w:pPr>
      <w:r w:rsidRPr="009978E3">
        <w:rPr>
          <w:sz w:val="22"/>
          <w:szCs w:val="22"/>
        </w:rPr>
        <w:t>IUCN</w:t>
      </w:r>
      <w:r w:rsidRPr="009978E3">
        <w:rPr>
          <w:sz w:val="22"/>
          <w:szCs w:val="22"/>
        </w:rPr>
        <w:tab/>
        <w:t>Marine</w:t>
      </w:r>
      <w:r w:rsidRPr="009978E3">
        <w:rPr>
          <w:sz w:val="22"/>
          <w:szCs w:val="22"/>
        </w:rPr>
        <w:tab/>
        <w:t>Mammal</w:t>
      </w:r>
      <w:r w:rsidRPr="009978E3">
        <w:rPr>
          <w:sz w:val="22"/>
          <w:szCs w:val="22"/>
        </w:rPr>
        <w:tab/>
        <w:t>Protected</w:t>
      </w:r>
      <w:r w:rsidRPr="009978E3">
        <w:rPr>
          <w:sz w:val="22"/>
          <w:szCs w:val="22"/>
        </w:rPr>
        <w:tab/>
        <w:t>Areas</w:t>
      </w:r>
      <w:r w:rsidRPr="009978E3">
        <w:rPr>
          <w:sz w:val="22"/>
          <w:szCs w:val="22"/>
        </w:rPr>
        <w:tab/>
        <w:t>Task</w:t>
      </w:r>
      <w:r w:rsidRPr="009978E3">
        <w:rPr>
          <w:sz w:val="22"/>
          <w:szCs w:val="22"/>
        </w:rPr>
        <w:tab/>
        <w:t>Force, 2017.</w:t>
      </w:r>
      <w:r w:rsidRPr="009978E3">
        <w:rPr>
          <w:sz w:val="22"/>
          <w:szCs w:val="22"/>
        </w:rPr>
        <w:tab/>
        <w:t>Final</w:t>
      </w:r>
      <w:r w:rsidRPr="009978E3">
        <w:rPr>
          <w:sz w:val="22"/>
          <w:szCs w:val="22"/>
        </w:rPr>
        <w:tab/>
        <w:t>Report of</w:t>
      </w:r>
      <w:r w:rsidRPr="009978E3">
        <w:rPr>
          <w:sz w:val="22"/>
          <w:szCs w:val="22"/>
        </w:rPr>
        <w:tab/>
        <w:t>the</w:t>
      </w:r>
      <w:r w:rsidRPr="009978E3">
        <w:rPr>
          <w:sz w:val="22"/>
          <w:szCs w:val="22"/>
        </w:rPr>
        <w:tab/>
        <w:t>Workshop:</w:t>
      </w:r>
      <w:r w:rsidRPr="009978E3">
        <w:rPr>
          <w:sz w:val="22"/>
          <w:szCs w:val="22"/>
        </w:rPr>
        <w:tab/>
        <w:t>First</w:t>
      </w:r>
      <w:r w:rsidRPr="009978E3">
        <w:rPr>
          <w:sz w:val="22"/>
          <w:szCs w:val="22"/>
        </w:rPr>
        <w:tab/>
        <w:t>IMMA</w:t>
      </w:r>
      <w:r w:rsidRPr="009978E3">
        <w:rPr>
          <w:sz w:val="22"/>
          <w:szCs w:val="22"/>
        </w:rPr>
        <w:tab/>
        <w:t>Regional Workshop</w:t>
      </w:r>
      <w:r w:rsidRPr="009978E3">
        <w:rPr>
          <w:sz w:val="22"/>
          <w:szCs w:val="22"/>
        </w:rPr>
        <w:tab/>
        <w:t>for the Mediterranean, Chania,</w:t>
      </w:r>
      <w:r w:rsidRPr="009978E3">
        <w:rPr>
          <w:sz w:val="22"/>
          <w:szCs w:val="22"/>
        </w:rPr>
        <w:tab/>
        <w:t>Greece,</w:t>
      </w:r>
      <w:r w:rsidRPr="009978E3">
        <w:rPr>
          <w:sz w:val="22"/>
          <w:szCs w:val="22"/>
        </w:rPr>
        <w:tab/>
        <w:t>24-28</w:t>
      </w:r>
      <w:r w:rsidRPr="009978E3">
        <w:rPr>
          <w:sz w:val="22"/>
          <w:szCs w:val="22"/>
        </w:rPr>
        <w:tab/>
        <w:t>October</w:t>
      </w:r>
      <w:r w:rsidRPr="009978E3">
        <w:rPr>
          <w:sz w:val="22"/>
          <w:szCs w:val="22"/>
        </w:rPr>
        <w:tab/>
        <w:t>2016,</w:t>
      </w:r>
      <w:r w:rsidRPr="009978E3">
        <w:rPr>
          <w:sz w:val="22"/>
          <w:szCs w:val="22"/>
        </w:rPr>
        <w:tab/>
        <w:t>29pp.</w:t>
      </w:r>
    </w:p>
    <w:p w14:paraId="3EBB8734" w14:textId="77777777" w:rsidR="006B3F46" w:rsidRPr="009978E3" w:rsidRDefault="006B3F46" w:rsidP="00907941">
      <w:pPr>
        <w:ind w:left="709" w:hanging="720"/>
        <w:jc w:val="both"/>
        <w:rPr>
          <w:rFonts w:eastAsia="AdvTT3713a231"/>
          <w:sz w:val="22"/>
          <w:szCs w:val="22"/>
        </w:rPr>
      </w:pPr>
      <w:r w:rsidRPr="009978E3">
        <w:rPr>
          <w:sz w:val="22"/>
          <w:szCs w:val="22"/>
        </w:rPr>
        <w:t>Kopf</w:t>
      </w:r>
      <w:r>
        <w:rPr>
          <w:sz w:val="22"/>
          <w:szCs w:val="22"/>
        </w:rPr>
        <w:t>,</w:t>
      </w:r>
      <w:r w:rsidRPr="009978E3">
        <w:rPr>
          <w:sz w:val="22"/>
          <w:szCs w:val="22"/>
        </w:rPr>
        <w:t xml:space="preserve"> A</w:t>
      </w:r>
      <w:r>
        <w:rPr>
          <w:sz w:val="22"/>
          <w:szCs w:val="22"/>
        </w:rPr>
        <w:t>.</w:t>
      </w:r>
      <w:r w:rsidRPr="009978E3">
        <w:rPr>
          <w:sz w:val="22"/>
          <w:szCs w:val="22"/>
        </w:rPr>
        <w:t xml:space="preserve"> (2002) Significance of mud volcanism. Rev Geophys 40:1–52</w:t>
      </w:r>
      <w:r>
        <w:rPr>
          <w:sz w:val="22"/>
          <w:szCs w:val="22"/>
        </w:rPr>
        <w:t>.</w:t>
      </w:r>
    </w:p>
    <w:p w14:paraId="3B3E9D13" w14:textId="77777777" w:rsidR="006B3F46" w:rsidRPr="009978E3" w:rsidRDefault="006B3F46" w:rsidP="00907941">
      <w:pPr>
        <w:ind w:left="709" w:hanging="720"/>
        <w:jc w:val="both"/>
        <w:rPr>
          <w:sz w:val="22"/>
          <w:szCs w:val="22"/>
        </w:rPr>
      </w:pPr>
      <w:r w:rsidRPr="009978E3">
        <w:rPr>
          <w:sz w:val="22"/>
          <w:szCs w:val="22"/>
        </w:rPr>
        <w:t>León, R., Somoza, L., Medialdea, T., Vázquez, J.T., González, F.J., López-González, N., Casas, D., Mata, M.P., Fernández-Puga, M.C., Giménez-Moreno, C.J., Díaz del Río, V., 2012. New discoveries of mud volcanoes on the Moroccan Atlantic continental margin (Gulf of Cádiz): morpho-structural characterization. Geo-Mar Letters DOI 10.1007/s00367-012-0275-1</w:t>
      </w:r>
      <w:r>
        <w:rPr>
          <w:sz w:val="22"/>
          <w:szCs w:val="22"/>
        </w:rPr>
        <w:t>.</w:t>
      </w:r>
    </w:p>
    <w:p w14:paraId="6C1CAACE" w14:textId="77777777" w:rsidR="006B3F46" w:rsidRPr="009978E3" w:rsidRDefault="006B3F46" w:rsidP="00907941">
      <w:pPr>
        <w:ind w:left="709" w:hanging="720"/>
        <w:jc w:val="both"/>
        <w:rPr>
          <w:sz w:val="22"/>
          <w:szCs w:val="22"/>
        </w:rPr>
      </w:pPr>
      <w:r w:rsidRPr="009978E3">
        <w:rPr>
          <w:sz w:val="22"/>
          <w:szCs w:val="22"/>
        </w:rPr>
        <w:t>Machín F., Pelegrí, J.L., Marrero-Díaz, A., Laiz, I., Ratsimandresy, A.W., 2006. Nearsurface circulation in the southern Gulf of Cádiz. Deep-Sea Res II 53(11/13):1161–1181</w:t>
      </w:r>
      <w:r>
        <w:rPr>
          <w:sz w:val="22"/>
          <w:szCs w:val="22"/>
        </w:rPr>
        <w:t>.</w:t>
      </w:r>
    </w:p>
    <w:p w14:paraId="22D196ED" w14:textId="77777777" w:rsidR="006B3F46" w:rsidRPr="009978E3" w:rsidRDefault="006B3F46" w:rsidP="00907941">
      <w:pPr>
        <w:ind w:left="709" w:hanging="720"/>
        <w:jc w:val="both"/>
        <w:rPr>
          <w:sz w:val="22"/>
          <w:szCs w:val="22"/>
        </w:rPr>
      </w:pPr>
      <w:r w:rsidRPr="009978E3">
        <w:rPr>
          <w:sz w:val="22"/>
          <w:szCs w:val="22"/>
        </w:rPr>
        <w:t>Mascle, J., Mary, F., Praeg, D., Brosolo, L., Camera, L., Ceramicola, S., Durpé, S., 2014.   Distribution and geological control of mud volcanoes and other fluid/free gas seepage features in the Mediterranean Sea and nearby Gulf of Cadiz. Geo-Marine Letters, 34, Issue 2-3: 89-110.</w:t>
      </w:r>
    </w:p>
    <w:p w14:paraId="5D97BFC3" w14:textId="77777777" w:rsidR="006B3F46" w:rsidRPr="009978E3" w:rsidRDefault="006B3F46" w:rsidP="00907941">
      <w:pPr>
        <w:ind w:left="709" w:hanging="720"/>
        <w:jc w:val="both"/>
        <w:rPr>
          <w:sz w:val="22"/>
          <w:szCs w:val="22"/>
        </w:rPr>
      </w:pPr>
      <w:r w:rsidRPr="009978E3">
        <w:rPr>
          <w:sz w:val="22"/>
          <w:szCs w:val="22"/>
        </w:rPr>
        <w:t>Milkov, A.V., 2000. Worldwide distribution of submarine mud volcanoes and associated gas hydrates. Mar Geol 167:29–42</w:t>
      </w:r>
      <w:r>
        <w:rPr>
          <w:sz w:val="22"/>
          <w:szCs w:val="22"/>
        </w:rPr>
        <w:t>.</w:t>
      </w:r>
    </w:p>
    <w:p w14:paraId="21A4887D" w14:textId="77777777" w:rsidR="006B3F46" w:rsidRPr="009978E3" w:rsidRDefault="006B3F46" w:rsidP="00907941">
      <w:pPr>
        <w:ind w:left="709" w:hanging="720"/>
        <w:jc w:val="both"/>
        <w:rPr>
          <w:sz w:val="22"/>
          <w:szCs w:val="22"/>
        </w:rPr>
      </w:pPr>
      <w:r w:rsidRPr="009978E3">
        <w:rPr>
          <w:sz w:val="22"/>
          <w:szCs w:val="22"/>
        </w:rPr>
        <w:t xml:space="preserve">Notarbartolo di Sciara, </w:t>
      </w:r>
      <w:r w:rsidRPr="0006066A">
        <w:rPr>
          <w:i/>
          <w:sz w:val="22"/>
          <w:szCs w:val="22"/>
        </w:rPr>
        <w:t>et al</w:t>
      </w:r>
      <w:r w:rsidRPr="009978E3">
        <w:rPr>
          <w:sz w:val="22"/>
          <w:szCs w:val="22"/>
        </w:rPr>
        <w:t xml:space="preserve">. 2016. Fin Whales, </w:t>
      </w:r>
      <w:r w:rsidRPr="009978E3">
        <w:rPr>
          <w:i/>
          <w:sz w:val="22"/>
          <w:szCs w:val="22"/>
        </w:rPr>
        <w:t>Balaenoptera physalus</w:t>
      </w:r>
      <w:r w:rsidRPr="009978E3">
        <w:rPr>
          <w:sz w:val="22"/>
          <w:szCs w:val="22"/>
        </w:rPr>
        <w:t>: At Home in a</w:t>
      </w:r>
    </w:p>
    <w:p w14:paraId="4014E56C" w14:textId="77777777" w:rsidR="006B3F46" w:rsidRPr="009978E3" w:rsidRDefault="006B3F46" w:rsidP="00907941">
      <w:pPr>
        <w:ind w:left="709" w:hanging="720"/>
        <w:jc w:val="both"/>
        <w:rPr>
          <w:rFonts w:eastAsia="AdvTT3713a231"/>
          <w:sz w:val="22"/>
          <w:szCs w:val="22"/>
        </w:rPr>
      </w:pPr>
      <w:r w:rsidRPr="009978E3">
        <w:rPr>
          <w:sz w:val="22"/>
          <w:szCs w:val="22"/>
        </w:rPr>
        <w:t>Changing Mediterranean Sea? Advances in Marine Biology, 75: 75-101.</w:t>
      </w:r>
    </w:p>
    <w:p w14:paraId="7CB23B0B" w14:textId="77777777" w:rsidR="006B3F46" w:rsidRPr="009978E3" w:rsidRDefault="006B3F46" w:rsidP="00907941">
      <w:pPr>
        <w:ind w:left="709" w:hanging="720"/>
        <w:jc w:val="both"/>
        <w:rPr>
          <w:sz w:val="22"/>
          <w:szCs w:val="22"/>
        </w:rPr>
      </w:pPr>
      <w:r w:rsidRPr="009978E3">
        <w:rPr>
          <w:sz w:val="22"/>
          <w:szCs w:val="22"/>
        </w:rPr>
        <w:t xml:space="preserve">Ottolenghi, F., Silvestri, C., Giordano, P., Lovatelli, A. and New, M.B., 2004. Capture-Based Aquaculture. The Fattening of Eels, Groupers, Tunas and Yellowtails. Rome: Food and Agriculture Organization of the United Nations, 308 pp. </w:t>
      </w:r>
    </w:p>
    <w:p w14:paraId="5C901AE4" w14:textId="77777777" w:rsidR="006B3F46" w:rsidRPr="009978E3" w:rsidRDefault="006B3F46" w:rsidP="00907941">
      <w:pPr>
        <w:ind w:left="709" w:hanging="720"/>
        <w:jc w:val="both"/>
        <w:rPr>
          <w:sz w:val="22"/>
          <w:szCs w:val="22"/>
        </w:rPr>
      </w:pPr>
      <w:r w:rsidRPr="009978E3">
        <w:rPr>
          <w:sz w:val="22"/>
          <w:szCs w:val="22"/>
        </w:rPr>
        <w:t>Pelegrí, J.L., Marrero-Díaz, A., Ratsimandresy, A., Antoranz, A., Cisneros- Aguirre, J., Gordo, C., Grísolia, D., Hernández-Guerra, A., Láiz, I., Martínez, A., Parrilla, G., Pérez-Rodriguez, P., Rodríguez-Santana, A., Sangrà, P., 2005. Hydrographic cruises off northwest Africa: the Canary Current and the Cape Ghir region. J Mar Syst 54: 39–63</w:t>
      </w:r>
      <w:r>
        <w:rPr>
          <w:sz w:val="22"/>
          <w:szCs w:val="22"/>
        </w:rPr>
        <w:t xml:space="preserve">. </w:t>
      </w:r>
    </w:p>
    <w:p w14:paraId="1F648D73" w14:textId="77777777" w:rsidR="006B3F46" w:rsidRPr="009978E3" w:rsidRDefault="006B3F46" w:rsidP="00907941">
      <w:pPr>
        <w:autoSpaceDE w:val="0"/>
        <w:autoSpaceDN w:val="0"/>
        <w:adjustRightInd w:val="0"/>
        <w:ind w:left="709" w:hanging="720"/>
        <w:jc w:val="both"/>
        <w:rPr>
          <w:sz w:val="22"/>
          <w:szCs w:val="22"/>
          <w:lang w:val="fr-CA"/>
        </w:rPr>
      </w:pPr>
      <w:r w:rsidRPr="009978E3">
        <w:rPr>
          <w:sz w:val="22"/>
          <w:szCs w:val="22"/>
        </w:rPr>
        <w:t xml:space="preserve">Ramos, F., Gil, J., Torres, M.A., Silva, L., Vila, Y., Sánchez, R., Jiménez, M.P., Baldó, F., Fernández-Salas, F., Rueda, L.M., Díaz del Rio, V., Vázquez, J.T., LópezGonzález, N., Lens, S., Bellas, J., Besada, V., Vinas, ˜ L., González-Quijano, A., Franco, A., Fumega, J., 2012. </w:t>
      </w:r>
      <w:r w:rsidRPr="009978E3">
        <w:rPr>
          <w:sz w:val="22"/>
          <w:szCs w:val="22"/>
          <w:lang w:val="fr-CA"/>
        </w:rPr>
        <w:t>Estrategias Marinas. Demarcación Marina Sudatlántica. Parte I. Marco General: Características de la demarcación marina. Ministerio de Agricultura, Alimentación y Medio Ambiente (MAGRAMA), Instituto Espanol ˜ de Oceanografía (IEO), Centro de Estudios de Puertos y Costas-Centro de Estudios y Experimentación de Obras Públicas (CEPYC-CEDEX), Madrid, pp. 127 pp</w:t>
      </w:r>
      <w:r>
        <w:rPr>
          <w:sz w:val="22"/>
          <w:szCs w:val="22"/>
          <w:lang w:val="fr-CA"/>
        </w:rPr>
        <w:t>.</w:t>
      </w:r>
    </w:p>
    <w:p w14:paraId="6F93287A"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lang w:val="fr-CA"/>
        </w:rPr>
        <w:t xml:space="preserve">Rueda, J.L., González-García, E., Urra, J., Oporto,T., Gofas, S., García-Raso, E., López-González, N., Fernández-Salas, L.M., Díaz del Río, V., 2012. </w:t>
      </w:r>
      <w:r w:rsidRPr="009978E3">
        <w:rPr>
          <w:sz w:val="22"/>
          <w:szCs w:val="22"/>
        </w:rPr>
        <w:t>Chemosymbiotic species associated with mud breccia sediments from mud volcanoes within Spanish waters (Gulf of Cadiz). XVII Iberian Symposium on Marine Biology Studies.</w:t>
      </w:r>
    </w:p>
    <w:p w14:paraId="7B84B6E5"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rPr>
        <w:t xml:space="preserve">Sanjuán, A., Zapata, C., Álvarez, G., 1994. </w:t>
      </w:r>
      <w:r w:rsidRPr="009978E3">
        <w:rPr>
          <w:i/>
          <w:iCs/>
          <w:sz w:val="22"/>
          <w:szCs w:val="22"/>
        </w:rPr>
        <w:t>Mytilus galloprovincialis</w:t>
      </w:r>
      <w:r w:rsidRPr="009978E3">
        <w:rPr>
          <w:sz w:val="22"/>
          <w:szCs w:val="22"/>
        </w:rPr>
        <w:t xml:space="preserve"> and M. edulis on the coasts of the Iberian Peninsula. Mar Ecol Prog Ser 113:131–146</w:t>
      </w:r>
      <w:r>
        <w:rPr>
          <w:sz w:val="22"/>
          <w:szCs w:val="22"/>
        </w:rPr>
        <w:t>.</w:t>
      </w:r>
    </w:p>
    <w:p w14:paraId="2D6962A8"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rPr>
        <w:t>Sobrino, I., Jiménez, M.P., Ramos, F., Baro, J., 1994. Descripción de las pesquerías demersales de laRegiónSuratlántica Espanola, ˜ vol. 151.BoletínInstituto Espanol ˜ de Oceanografía, 76 pp.</w:t>
      </w:r>
    </w:p>
    <w:p w14:paraId="3EFA9D6D"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rPr>
        <w:t>Torres, M.A., Coll, M., Heymans, J.J., Christensen, V., Sobrino, I., 2010. Food-web structure of and fishing impacts on the Gulf of Cadiz ecosystem (South-western Spain). Ecological Modelling, 265: 26–44.</w:t>
      </w:r>
    </w:p>
    <w:p w14:paraId="2F7622A2" w14:textId="77777777" w:rsidR="006B3F46" w:rsidRPr="009978E3" w:rsidRDefault="006B3F46" w:rsidP="00907941">
      <w:pPr>
        <w:autoSpaceDE w:val="0"/>
        <w:autoSpaceDN w:val="0"/>
        <w:adjustRightInd w:val="0"/>
        <w:ind w:left="709" w:hanging="720"/>
        <w:jc w:val="both"/>
        <w:rPr>
          <w:sz w:val="22"/>
          <w:szCs w:val="22"/>
        </w:rPr>
      </w:pPr>
      <w:r w:rsidRPr="009978E3">
        <w:rPr>
          <w:sz w:val="22"/>
          <w:szCs w:val="22"/>
        </w:rPr>
        <w:t>Vila, Y., Silva, L., Millán, M., Ramos, F., Gil, J., Jiménez, M.P., 2004. Los recursos pesqueros del Golfo de Cádiz: estado actual de explotación. Informes Técnicos. Instituto Espanol ˜ de Oceanografía, pp. 200 pp.</w:t>
      </w:r>
    </w:p>
    <w:p w14:paraId="621B77FE" w14:textId="77777777" w:rsidR="006B3F46" w:rsidRPr="009978E3" w:rsidRDefault="006B3F46" w:rsidP="00907941">
      <w:pPr>
        <w:jc w:val="both"/>
        <w:rPr>
          <w:sz w:val="22"/>
          <w:szCs w:val="22"/>
        </w:rPr>
      </w:pPr>
    </w:p>
    <w:p w14:paraId="52D72EA1" w14:textId="77777777" w:rsidR="006B3F46" w:rsidRPr="009978E3" w:rsidRDefault="006B3F46" w:rsidP="00907941">
      <w:pPr>
        <w:jc w:val="both"/>
        <w:rPr>
          <w:sz w:val="22"/>
          <w:szCs w:val="22"/>
        </w:rPr>
      </w:pPr>
      <w:r>
        <w:rPr>
          <w:sz w:val="22"/>
          <w:szCs w:val="22"/>
        </w:rPr>
        <w:br w:type="page"/>
      </w:r>
    </w:p>
    <w:p w14:paraId="2424AAC9" w14:textId="77777777" w:rsidR="006B3F46" w:rsidRDefault="006B3F46" w:rsidP="00907941">
      <w:pPr>
        <w:rPr>
          <w:b/>
          <w:sz w:val="22"/>
          <w:szCs w:val="22"/>
        </w:rPr>
      </w:pPr>
      <w:r w:rsidRPr="009978E3">
        <w:rPr>
          <w:b/>
          <w:sz w:val="22"/>
          <w:szCs w:val="22"/>
        </w:rPr>
        <w:t>Maps and Figures</w:t>
      </w:r>
    </w:p>
    <w:p w14:paraId="2DB8A1C2" w14:textId="77777777" w:rsidR="006B3F46" w:rsidRPr="009978E3" w:rsidRDefault="006B3F46" w:rsidP="00907941">
      <w:pPr>
        <w:rPr>
          <w:b/>
          <w:sz w:val="22"/>
          <w:szCs w:val="22"/>
        </w:rPr>
      </w:pPr>
    </w:p>
    <w:p w14:paraId="1F2266EC" w14:textId="77777777" w:rsidR="006B3F46" w:rsidRDefault="009E53BE" w:rsidP="00907941">
      <w:pPr>
        <w:rPr>
          <w:b/>
          <w:sz w:val="22"/>
          <w:szCs w:val="22"/>
        </w:rPr>
      </w:pPr>
      <w:r>
        <w:pict w14:anchorId="57CB30F3">
          <v:shape id="_x0000_i1089" type="#_x0000_t75" style="width:6in;height:6in">
            <v:imagedata r:id="rId172" o:title=""/>
          </v:shape>
        </w:pict>
      </w:r>
    </w:p>
    <w:p w14:paraId="05D31E3D" w14:textId="77777777" w:rsidR="006B3F46" w:rsidRDefault="006B3F46" w:rsidP="00907941">
      <w:pPr>
        <w:rPr>
          <w:b/>
          <w:sz w:val="22"/>
          <w:szCs w:val="22"/>
        </w:rPr>
      </w:pPr>
    </w:p>
    <w:p w14:paraId="7A50F504" w14:textId="72F90858" w:rsidR="006B3F46" w:rsidRPr="009978E3" w:rsidRDefault="006B3F46" w:rsidP="002E4B39">
      <w:pPr>
        <w:jc w:val="center"/>
        <w:rPr>
          <w:b/>
          <w:sz w:val="22"/>
          <w:szCs w:val="22"/>
        </w:rPr>
      </w:pPr>
      <w:r w:rsidRPr="0021277B">
        <w:rPr>
          <w:b/>
          <w:bCs/>
          <w:sz w:val="22"/>
          <w:szCs w:val="22"/>
        </w:rPr>
        <w:t xml:space="preserve">Location of </w:t>
      </w:r>
      <w:r>
        <w:rPr>
          <w:b/>
          <w:bCs/>
          <w:sz w:val="22"/>
          <w:szCs w:val="22"/>
        </w:rPr>
        <w:t>a</w:t>
      </w:r>
      <w:r w:rsidRPr="0021277B">
        <w:rPr>
          <w:b/>
          <w:bCs/>
          <w:sz w:val="22"/>
          <w:szCs w:val="22"/>
        </w:rPr>
        <w:t>rea no. 5: Gulf of Cádiz</w:t>
      </w:r>
    </w:p>
    <w:p w14:paraId="0ED493FD" w14:textId="77777777" w:rsidR="006B3F46" w:rsidRPr="00F66EF7" w:rsidRDefault="006B3F46" w:rsidP="00907941">
      <w:pPr>
        <w:jc w:val="center"/>
        <w:rPr>
          <w:sz w:val="22"/>
          <w:szCs w:val="22"/>
        </w:rPr>
      </w:pPr>
      <w:r w:rsidRPr="009978E3">
        <w:rPr>
          <w:noProof/>
          <w:sz w:val="22"/>
          <w:szCs w:val="22"/>
        </w:rPr>
        <w:object w:dxaOrig="8000" w:dyaOrig="5679" w14:anchorId="2921B1A5">
          <v:rect id="rectole0000000002" o:spid="_x0000_i1090" style="width:309pt;height:219pt;mso-position-horizontal-relative:char;mso-position-vertical-relative:line" o:ole="" o:preferrelative="t" stroked="f">
            <v:imagedata r:id="rId173" o:title=""/>
          </v:rect>
          <o:OLEObject Type="Embed" ProgID="StaticMetafile" ShapeID="rectole0000000002" DrawAspect="Content" ObjectID="_1639044473" r:id="rId174"/>
        </w:object>
      </w:r>
    </w:p>
    <w:p w14:paraId="45D2F241" w14:textId="56C20450" w:rsidR="006B3F46" w:rsidRPr="009978E3" w:rsidRDefault="006B3F46" w:rsidP="002E4B39">
      <w:pPr>
        <w:rPr>
          <w:sz w:val="22"/>
          <w:szCs w:val="22"/>
        </w:rPr>
      </w:pPr>
      <w:r w:rsidRPr="009978E3">
        <w:rPr>
          <w:sz w:val="22"/>
          <w:szCs w:val="22"/>
        </w:rPr>
        <w:t xml:space="preserve">Location of mud volcanoes along the Spanish margin (Díaz del Río </w:t>
      </w:r>
      <w:r w:rsidRPr="0006066A">
        <w:rPr>
          <w:i/>
          <w:sz w:val="22"/>
          <w:szCs w:val="22"/>
        </w:rPr>
        <w:t>et al</w:t>
      </w:r>
      <w:r w:rsidRPr="009978E3">
        <w:rPr>
          <w:sz w:val="22"/>
          <w:szCs w:val="22"/>
        </w:rPr>
        <w:t>., 2014).</w:t>
      </w:r>
    </w:p>
    <w:p w14:paraId="48A4729E" w14:textId="77777777" w:rsidR="006B3F46" w:rsidRPr="00EC5399" w:rsidRDefault="009E53BE" w:rsidP="00907941">
      <w:pPr>
        <w:jc w:val="center"/>
        <w:rPr>
          <w:sz w:val="22"/>
          <w:szCs w:val="22"/>
        </w:rPr>
      </w:pPr>
      <w:r>
        <w:rPr>
          <w:noProof/>
          <w:sz w:val="22"/>
          <w:szCs w:val="22"/>
          <w:lang w:val="fr-CA" w:eastAsia="fr-CA"/>
        </w:rPr>
        <w:pict w14:anchorId="0CA8D8D7">
          <v:shape id="Picture 63" o:spid="_x0000_i1091" type="#_x0000_t75" style="width:6in;height:491.25pt;visibility:visible">
            <v:imagedata r:id="rId175" o:title="Screenshot 2019-09-26 16"/>
          </v:shape>
        </w:pict>
      </w:r>
    </w:p>
    <w:p w14:paraId="5C1C5AB7" w14:textId="7E082622" w:rsidR="006B3F46" w:rsidRPr="00EC5399" w:rsidRDefault="006B3F46" w:rsidP="00907941">
      <w:pPr>
        <w:rPr>
          <w:b/>
          <w:sz w:val="22"/>
          <w:szCs w:val="22"/>
        </w:rPr>
      </w:pPr>
      <w:r w:rsidRPr="00EC5399">
        <w:rPr>
          <w:sz w:val="22"/>
          <w:szCs w:val="22"/>
        </w:rPr>
        <w:t xml:space="preserve">Benthic habitats and communities of Gazul Mud Volcano (from ca. 470 to ca. 400 m depth). a) Sponge field colonising areas in hard authigenic carbonates (slabs), b) specimen of the sponge </w:t>
      </w:r>
      <w:r w:rsidRPr="0021277B">
        <w:rPr>
          <w:i/>
          <w:sz w:val="22"/>
          <w:szCs w:val="22"/>
        </w:rPr>
        <w:t>Asconema setubalense</w:t>
      </w:r>
      <w:r w:rsidRPr="00EC5399">
        <w:rPr>
          <w:sz w:val="22"/>
          <w:szCs w:val="22"/>
        </w:rPr>
        <w:t xml:space="preserve">, c) patches of small colonies of the scleractinian coral </w:t>
      </w:r>
      <w:r w:rsidRPr="0021277B">
        <w:rPr>
          <w:i/>
          <w:sz w:val="22"/>
          <w:szCs w:val="22"/>
        </w:rPr>
        <w:t>Madrepora oculata</w:t>
      </w:r>
      <w:r w:rsidRPr="00EC5399">
        <w:rPr>
          <w:sz w:val="22"/>
          <w:szCs w:val="22"/>
        </w:rPr>
        <w:t xml:space="preserve"> with sponges, d) specimens of the ascidian Polycarpa sp. in hard authigenic carbonates (slabs), e) sandy bottom with ripples and the actinia </w:t>
      </w:r>
      <w:r w:rsidRPr="0021277B">
        <w:rPr>
          <w:i/>
          <w:sz w:val="22"/>
          <w:szCs w:val="22"/>
        </w:rPr>
        <w:t>Actinauge richardi</w:t>
      </w:r>
      <w:r w:rsidRPr="00EC5399">
        <w:rPr>
          <w:sz w:val="22"/>
          <w:szCs w:val="22"/>
        </w:rPr>
        <w:t xml:space="preserve"> (indicated by the red arrows) f) sandy substrate with presence of the solitary corals </w:t>
      </w:r>
      <w:r w:rsidRPr="0021277B">
        <w:rPr>
          <w:i/>
          <w:sz w:val="22"/>
          <w:szCs w:val="22"/>
        </w:rPr>
        <w:t>Flabellum chunii</w:t>
      </w:r>
      <w:r w:rsidRPr="00EC5399">
        <w:rPr>
          <w:sz w:val="22"/>
          <w:szCs w:val="22"/>
        </w:rPr>
        <w:t xml:space="preserve"> (indicated by the red arrows) (ATLAS, 2019).</w:t>
      </w:r>
    </w:p>
    <w:tbl>
      <w:tblPr>
        <w:tblW w:w="0" w:type="auto"/>
        <w:tblInd w:w="98" w:type="dxa"/>
        <w:tblCellMar>
          <w:left w:w="10" w:type="dxa"/>
          <w:right w:w="10" w:type="dxa"/>
        </w:tblCellMar>
        <w:tblLook w:val="0000" w:firstRow="0" w:lastRow="0" w:firstColumn="0" w:lastColumn="0" w:noHBand="0" w:noVBand="0"/>
      </w:tblPr>
      <w:tblGrid>
        <w:gridCol w:w="4271"/>
        <w:gridCol w:w="4271"/>
      </w:tblGrid>
      <w:tr w:rsidR="006B3F46" w:rsidRPr="0021277B" w14:paraId="6C494DFD" w14:textId="77777777" w:rsidTr="00907941">
        <w:trPr>
          <w:trHeight w:val="1"/>
        </w:trPr>
        <w:tc>
          <w:tcPr>
            <w:tcW w:w="4271" w:type="dxa"/>
            <w:shd w:val="clear" w:color="000000" w:fill="FFFFFF"/>
            <w:tcMar>
              <w:left w:w="108" w:type="dxa"/>
              <w:right w:w="108" w:type="dxa"/>
            </w:tcMar>
          </w:tcPr>
          <w:p w14:paraId="46D11757" w14:textId="77777777" w:rsidR="006B3F46" w:rsidRPr="00EC5399" w:rsidRDefault="006B3F46" w:rsidP="00907941">
            <w:pPr>
              <w:jc w:val="center"/>
              <w:rPr>
                <w:rFonts w:eastAsia="Calibri"/>
                <w:sz w:val="22"/>
                <w:szCs w:val="22"/>
              </w:rPr>
            </w:pPr>
            <w:r w:rsidRPr="00EC5399">
              <w:rPr>
                <w:noProof/>
                <w:sz w:val="22"/>
                <w:szCs w:val="22"/>
              </w:rPr>
              <w:object w:dxaOrig="5881" w:dyaOrig="5720" w14:anchorId="44937809">
                <v:rect id="rectole0000000005" o:spid="_x0000_i1092" style="width:168.75pt;height:163.5pt;mso-position-horizontal-relative:char;mso-position-vertical-relative:line" o:ole="" o:preferrelative="t" stroked="f">
                  <v:imagedata r:id="rId176" o:title=""/>
                </v:rect>
                <o:OLEObject Type="Embed" ProgID="StaticMetafile" ShapeID="rectole0000000005" DrawAspect="Content" ObjectID="_1639044474" r:id="rId177"/>
              </w:object>
            </w:r>
          </w:p>
        </w:tc>
        <w:tc>
          <w:tcPr>
            <w:tcW w:w="4271" w:type="dxa"/>
            <w:shd w:val="clear" w:color="000000" w:fill="FFFFFF"/>
            <w:tcMar>
              <w:left w:w="108" w:type="dxa"/>
              <w:right w:w="108" w:type="dxa"/>
            </w:tcMar>
          </w:tcPr>
          <w:p w14:paraId="5E793DEB" w14:textId="77777777" w:rsidR="006B3F46" w:rsidRPr="00EC5399" w:rsidRDefault="006B3F46" w:rsidP="00907941">
            <w:pPr>
              <w:jc w:val="center"/>
              <w:rPr>
                <w:rFonts w:eastAsia="Calibri"/>
                <w:sz w:val="22"/>
                <w:szCs w:val="22"/>
              </w:rPr>
            </w:pPr>
            <w:r w:rsidRPr="00EC5399">
              <w:rPr>
                <w:noProof/>
                <w:sz w:val="22"/>
                <w:szCs w:val="22"/>
              </w:rPr>
              <w:object w:dxaOrig="6299" w:dyaOrig="6141" w14:anchorId="6870D97E">
                <v:rect id="rectole0000000006" o:spid="_x0000_i1093" style="width:167.25pt;height:163.5pt;mso-position-horizontal-relative:char;mso-position-vertical-relative:line" o:ole="" o:preferrelative="t" stroked="f">
                  <v:imagedata r:id="rId178" o:title=""/>
                </v:rect>
                <o:OLEObject Type="Embed" ProgID="StaticMetafile" ShapeID="rectole0000000006" DrawAspect="Content" ObjectID="_1639044475" r:id="rId179"/>
              </w:object>
            </w:r>
          </w:p>
        </w:tc>
      </w:tr>
      <w:tr w:rsidR="006B3F46" w:rsidRPr="0021277B" w14:paraId="7EFB6F08" w14:textId="77777777" w:rsidTr="00907941">
        <w:trPr>
          <w:trHeight w:val="1"/>
        </w:trPr>
        <w:tc>
          <w:tcPr>
            <w:tcW w:w="4271" w:type="dxa"/>
            <w:shd w:val="clear" w:color="000000" w:fill="FFFFFF"/>
            <w:tcMar>
              <w:left w:w="108" w:type="dxa"/>
              <w:right w:w="108" w:type="dxa"/>
            </w:tcMar>
          </w:tcPr>
          <w:p w14:paraId="5341D925" w14:textId="77777777" w:rsidR="006B3F46" w:rsidRPr="00EC5399" w:rsidRDefault="006B3F46" w:rsidP="00907941">
            <w:pPr>
              <w:jc w:val="center"/>
              <w:rPr>
                <w:sz w:val="22"/>
                <w:szCs w:val="22"/>
              </w:rPr>
            </w:pPr>
            <w:r w:rsidRPr="00EC5399">
              <w:rPr>
                <w:sz w:val="22"/>
                <w:szCs w:val="22"/>
              </w:rPr>
              <w:t xml:space="preserve">Locations of </w:t>
            </w:r>
            <w:r w:rsidRPr="00EC5399">
              <w:rPr>
                <w:i/>
                <w:sz w:val="22"/>
                <w:szCs w:val="22"/>
              </w:rPr>
              <w:t>Dendrophyllia</w:t>
            </w:r>
            <w:r w:rsidRPr="00EC5399">
              <w:rPr>
                <w:sz w:val="22"/>
                <w:szCs w:val="22"/>
              </w:rPr>
              <w:t xml:space="preserve"> spp. forest </w:t>
            </w:r>
          </w:p>
          <w:p w14:paraId="2034528F" w14:textId="77777777" w:rsidR="006B3F46" w:rsidRPr="00EC5399" w:rsidRDefault="006B3F46" w:rsidP="00907941">
            <w:pPr>
              <w:jc w:val="center"/>
              <w:rPr>
                <w:sz w:val="22"/>
                <w:szCs w:val="22"/>
              </w:rPr>
            </w:pPr>
            <w:r w:rsidRPr="00EC5399">
              <w:rPr>
                <w:sz w:val="22"/>
                <w:szCs w:val="22"/>
              </w:rPr>
              <w:t>recorded by OCEANA (2011)</w:t>
            </w:r>
          </w:p>
        </w:tc>
        <w:tc>
          <w:tcPr>
            <w:tcW w:w="4271" w:type="dxa"/>
            <w:shd w:val="clear" w:color="000000" w:fill="FFFFFF"/>
            <w:tcMar>
              <w:left w:w="108" w:type="dxa"/>
              <w:right w:w="108" w:type="dxa"/>
            </w:tcMar>
          </w:tcPr>
          <w:p w14:paraId="125003EE" w14:textId="77777777" w:rsidR="006B3F46" w:rsidRPr="00EC5399" w:rsidRDefault="006B3F46" w:rsidP="00907941">
            <w:pPr>
              <w:jc w:val="center"/>
              <w:rPr>
                <w:sz w:val="22"/>
                <w:szCs w:val="22"/>
              </w:rPr>
            </w:pPr>
            <w:r w:rsidRPr="00EC5399">
              <w:rPr>
                <w:sz w:val="22"/>
                <w:szCs w:val="22"/>
              </w:rPr>
              <w:t xml:space="preserve">Locations of gorgonian gardens </w:t>
            </w:r>
          </w:p>
          <w:p w14:paraId="22B37BFB" w14:textId="77777777" w:rsidR="006B3F46" w:rsidRPr="00EC5399" w:rsidRDefault="006B3F46" w:rsidP="00907941">
            <w:pPr>
              <w:jc w:val="center"/>
              <w:rPr>
                <w:sz w:val="22"/>
                <w:szCs w:val="22"/>
              </w:rPr>
            </w:pPr>
            <w:r w:rsidRPr="00EC5399">
              <w:rPr>
                <w:sz w:val="22"/>
                <w:szCs w:val="22"/>
              </w:rPr>
              <w:t xml:space="preserve"> recorded by OCEANA (2011)</w:t>
            </w:r>
          </w:p>
          <w:p w14:paraId="5AA820B4" w14:textId="77777777" w:rsidR="006B3F46" w:rsidRPr="00EC5399" w:rsidRDefault="006B3F46" w:rsidP="00907941">
            <w:pPr>
              <w:jc w:val="center"/>
              <w:rPr>
                <w:sz w:val="22"/>
                <w:szCs w:val="22"/>
              </w:rPr>
            </w:pPr>
          </w:p>
        </w:tc>
      </w:tr>
    </w:tbl>
    <w:p w14:paraId="4811C824" w14:textId="72232E0E" w:rsidR="006B3F46" w:rsidRPr="00EC5399" w:rsidRDefault="006B3F46" w:rsidP="00907941">
      <w:pPr>
        <w:rPr>
          <w:sz w:val="22"/>
          <w:szCs w:val="22"/>
        </w:rPr>
      </w:pPr>
      <w:r w:rsidRPr="00EC5399">
        <w:rPr>
          <w:sz w:val="22"/>
          <w:szCs w:val="22"/>
        </w:rPr>
        <w:t>Location of some coral gardens located in the Spanish continental shelf</w:t>
      </w:r>
    </w:p>
    <w:tbl>
      <w:tblPr>
        <w:tblW w:w="0" w:type="auto"/>
        <w:tblInd w:w="98" w:type="dxa"/>
        <w:tblBorders>
          <w:insideV w:val="single" w:sz="2" w:space="0" w:color="000000"/>
        </w:tblBorders>
        <w:tblCellMar>
          <w:left w:w="10" w:type="dxa"/>
          <w:right w:w="10" w:type="dxa"/>
        </w:tblCellMar>
        <w:tblLook w:val="0000" w:firstRow="0" w:lastRow="0" w:firstColumn="0" w:lastColumn="0" w:noHBand="0" w:noVBand="0"/>
      </w:tblPr>
      <w:tblGrid>
        <w:gridCol w:w="9287"/>
      </w:tblGrid>
      <w:tr w:rsidR="006B3F46" w:rsidRPr="0021277B" w14:paraId="1218F446" w14:textId="77777777" w:rsidTr="00907941">
        <w:trPr>
          <w:trHeight w:val="1"/>
        </w:trPr>
        <w:tc>
          <w:tcPr>
            <w:tcW w:w="9287" w:type="dxa"/>
            <w:shd w:val="clear" w:color="000000" w:fill="FFFFFF"/>
            <w:tcMar>
              <w:left w:w="108" w:type="dxa"/>
              <w:right w:w="108" w:type="dxa"/>
            </w:tcMar>
          </w:tcPr>
          <w:p w14:paraId="6D37D5FB" w14:textId="77777777" w:rsidR="006B3F46" w:rsidRPr="00EC5399" w:rsidRDefault="006B3F46" w:rsidP="00907941">
            <w:pPr>
              <w:jc w:val="center"/>
              <w:rPr>
                <w:rFonts w:eastAsia="Calibri"/>
                <w:sz w:val="22"/>
                <w:szCs w:val="22"/>
              </w:rPr>
            </w:pPr>
            <w:r w:rsidRPr="00EC5399">
              <w:rPr>
                <w:noProof/>
                <w:sz w:val="22"/>
                <w:szCs w:val="22"/>
              </w:rPr>
              <w:object w:dxaOrig="10140" w:dyaOrig="4480" w14:anchorId="4C54AA03">
                <v:rect id="rectole0000000013" o:spid="_x0000_i1094" style="width:360.75pt;height:170.25pt;mso-position-horizontal-relative:char;mso-position-vertical-relative:line" o:ole="" o:preferrelative="t" stroked="f">
                  <v:imagedata r:id="rId180" o:title=""/>
                </v:rect>
                <o:OLEObject Type="Embed" ProgID="StaticMetafile" ShapeID="rectole0000000013" DrawAspect="Content" ObjectID="_1639044476" r:id="rId181"/>
              </w:object>
            </w:r>
          </w:p>
        </w:tc>
      </w:tr>
      <w:tr w:rsidR="006B3F46" w:rsidRPr="0021277B" w14:paraId="55ACE249" w14:textId="77777777" w:rsidTr="00907941">
        <w:trPr>
          <w:trHeight w:val="1"/>
        </w:trPr>
        <w:tc>
          <w:tcPr>
            <w:tcW w:w="9287" w:type="dxa"/>
            <w:shd w:val="clear" w:color="000000" w:fill="FFFFFF"/>
            <w:tcMar>
              <w:left w:w="108" w:type="dxa"/>
              <w:right w:w="108" w:type="dxa"/>
            </w:tcMar>
          </w:tcPr>
          <w:p w14:paraId="49C24029" w14:textId="1477CBE0" w:rsidR="006B3F46" w:rsidRPr="009978E3" w:rsidRDefault="006B3F46" w:rsidP="00907941">
            <w:pPr>
              <w:jc w:val="both"/>
              <w:rPr>
                <w:sz w:val="22"/>
                <w:szCs w:val="22"/>
              </w:rPr>
            </w:pPr>
            <w:r w:rsidRPr="00EC5399">
              <w:rPr>
                <w:i/>
                <w:sz w:val="22"/>
                <w:szCs w:val="22"/>
              </w:rPr>
              <w:t>Delphinus delphis.</w:t>
            </w:r>
            <w:r w:rsidRPr="00EC5399">
              <w:rPr>
                <w:sz w:val="22"/>
                <w:szCs w:val="22"/>
              </w:rPr>
              <w:t xml:space="preserve"> Distribution of encounter rates of common dolphins over the study area during this study (De Stephanis </w:t>
            </w:r>
            <w:r w:rsidRPr="00EC5399">
              <w:rPr>
                <w:i/>
                <w:sz w:val="22"/>
                <w:szCs w:val="22"/>
              </w:rPr>
              <w:t>et al</w:t>
            </w:r>
            <w:r w:rsidRPr="00EC5399">
              <w:rPr>
                <w:sz w:val="22"/>
                <w:szCs w:val="22"/>
              </w:rPr>
              <w:t>., 2008)</w:t>
            </w:r>
          </w:p>
          <w:p w14:paraId="3C243FB5" w14:textId="77777777" w:rsidR="006B3F46" w:rsidRPr="009978E3" w:rsidRDefault="006B3F46" w:rsidP="00907941">
            <w:pPr>
              <w:jc w:val="both"/>
              <w:rPr>
                <w:sz w:val="22"/>
                <w:szCs w:val="22"/>
              </w:rPr>
            </w:pPr>
          </w:p>
        </w:tc>
      </w:tr>
      <w:tr w:rsidR="006B3F46" w:rsidRPr="0021277B" w14:paraId="03B967E9" w14:textId="77777777" w:rsidTr="00907941">
        <w:trPr>
          <w:trHeight w:val="1"/>
        </w:trPr>
        <w:tc>
          <w:tcPr>
            <w:tcW w:w="9287" w:type="dxa"/>
            <w:shd w:val="clear" w:color="000000" w:fill="FFFFFF"/>
            <w:tcMar>
              <w:left w:w="108" w:type="dxa"/>
              <w:right w:w="108" w:type="dxa"/>
            </w:tcMar>
          </w:tcPr>
          <w:p w14:paraId="6471FB0F" w14:textId="77777777" w:rsidR="006B3F46" w:rsidRPr="00F66EF7" w:rsidRDefault="006B3F46" w:rsidP="00907941">
            <w:pPr>
              <w:jc w:val="both"/>
              <w:rPr>
                <w:rFonts w:eastAsia="Calibri"/>
                <w:sz w:val="22"/>
                <w:szCs w:val="22"/>
              </w:rPr>
            </w:pPr>
            <w:r w:rsidRPr="009978E3">
              <w:rPr>
                <w:noProof/>
                <w:sz w:val="22"/>
                <w:szCs w:val="22"/>
              </w:rPr>
              <w:object w:dxaOrig="10259" w:dyaOrig="4260" w14:anchorId="670B1CDD">
                <v:rect id="rectole0000000014" o:spid="_x0000_i1095" style="width:361.5pt;height:170.25pt;mso-position-horizontal-relative:char;mso-position-vertical-relative:line" o:ole="" o:preferrelative="t" stroked="f">
                  <v:imagedata r:id="rId182" o:title=""/>
                </v:rect>
                <o:OLEObject Type="Embed" ProgID="StaticMetafile" ShapeID="rectole0000000014" DrawAspect="Content" ObjectID="_1639044477" r:id="rId183"/>
              </w:object>
            </w:r>
          </w:p>
        </w:tc>
      </w:tr>
      <w:tr w:rsidR="006B3F46" w:rsidRPr="0021277B" w14:paraId="4213FEB3" w14:textId="77777777" w:rsidTr="00907941">
        <w:trPr>
          <w:trHeight w:val="1"/>
        </w:trPr>
        <w:tc>
          <w:tcPr>
            <w:tcW w:w="9287" w:type="dxa"/>
            <w:shd w:val="clear" w:color="000000" w:fill="FFFFFF"/>
            <w:tcMar>
              <w:left w:w="108" w:type="dxa"/>
              <w:right w:w="108" w:type="dxa"/>
            </w:tcMar>
          </w:tcPr>
          <w:p w14:paraId="35F57ED6" w14:textId="52D4FB62" w:rsidR="006B3F46" w:rsidRPr="009978E3" w:rsidRDefault="006B3F46" w:rsidP="00907941">
            <w:pPr>
              <w:jc w:val="both"/>
              <w:rPr>
                <w:sz w:val="22"/>
                <w:szCs w:val="22"/>
              </w:rPr>
            </w:pPr>
            <w:r w:rsidRPr="00EC5399">
              <w:rPr>
                <w:i/>
                <w:sz w:val="22"/>
                <w:szCs w:val="22"/>
              </w:rPr>
              <w:t>Stenella coeruleoalba</w:t>
            </w:r>
            <w:r w:rsidRPr="00EC5399">
              <w:rPr>
                <w:sz w:val="22"/>
                <w:szCs w:val="22"/>
              </w:rPr>
              <w:t xml:space="preserve">. Distribution of encounter rates of striped dolphins over the study area during this study (De Stephanis </w:t>
            </w:r>
            <w:r w:rsidRPr="00EC5399">
              <w:rPr>
                <w:i/>
                <w:sz w:val="22"/>
                <w:szCs w:val="22"/>
              </w:rPr>
              <w:t>et al</w:t>
            </w:r>
            <w:r w:rsidRPr="00EC5399">
              <w:rPr>
                <w:sz w:val="22"/>
                <w:szCs w:val="22"/>
              </w:rPr>
              <w:t>., 2008)</w:t>
            </w:r>
          </w:p>
          <w:p w14:paraId="260FAAB1" w14:textId="77777777" w:rsidR="006B3F46" w:rsidRPr="009978E3" w:rsidRDefault="006B3F46" w:rsidP="00907941">
            <w:pPr>
              <w:jc w:val="both"/>
              <w:rPr>
                <w:sz w:val="22"/>
                <w:szCs w:val="22"/>
              </w:rPr>
            </w:pPr>
          </w:p>
        </w:tc>
      </w:tr>
      <w:tr w:rsidR="006B3F46" w:rsidRPr="0021277B" w14:paraId="019A48DC" w14:textId="77777777" w:rsidTr="00907941">
        <w:trPr>
          <w:trHeight w:val="1"/>
        </w:trPr>
        <w:tc>
          <w:tcPr>
            <w:tcW w:w="9287" w:type="dxa"/>
            <w:shd w:val="clear" w:color="000000" w:fill="FFFFFF"/>
            <w:tcMar>
              <w:left w:w="108" w:type="dxa"/>
              <w:right w:w="108" w:type="dxa"/>
            </w:tcMar>
          </w:tcPr>
          <w:p w14:paraId="141EEDED" w14:textId="77777777" w:rsidR="006B3F46" w:rsidRPr="00F66EF7" w:rsidRDefault="006B3F46" w:rsidP="00907941">
            <w:pPr>
              <w:jc w:val="center"/>
              <w:rPr>
                <w:rFonts w:eastAsia="Calibri"/>
                <w:sz w:val="22"/>
                <w:szCs w:val="22"/>
              </w:rPr>
            </w:pPr>
            <w:r w:rsidRPr="009978E3">
              <w:rPr>
                <w:noProof/>
                <w:sz w:val="22"/>
                <w:szCs w:val="22"/>
              </w:rPr>
              <w:object w:dxaOrig="10259" w:dyaOrig="4080" w14:anchorId="305F3A14">
                <v:rect id="rectole0000000015" o:spid="_x0000_i1096" style="width:361.5pt;height:171pt;mso-position-horizontal-relative:char;mso-position-vertical-relative:line" o:ole="" o:preferrelative="t" stroked="f">
                  <v:imagedata r:id="rId184" o:title=""/>
                </v:rect>
                <o:OLEObject Type="Embed" ProgID="StaticMetafile" ShapeID="rectole0000000015" DrawAspect="Content" ObjectID="_1639044478" r:id="rId185"/>
              </w:object>
            </w:r>
          </w:p>
        </w:tc>
      </w:tr>
      <w:tr w:rsidR="006B3F46" w:rsidRPr="0021277B" w14:paraId="66986D16" w14:textId="77777777" w:rsidTr="00907941">
        <w:trPr>
          <w:trHeight w:val="1"/>
        </w:trPr>
        <w:tc>
          <w:tcPr>
            <w:tcW w:w="9287" w:type="dxa"/>
            <w:shd w:val="clear" w:color="000000" w:fill="FFFFFF"/>
            <w:tcMar>
              <w:left w:w="108" w:type="dxa"/>
              <w:right w:w="108" w:type="dxa"/>
            </w:tcMar>
          </w:tcPr>
          <w:p w14:paraId="16E9D666" w14:textId="77777777" w:rsidR="006B3F46" w:rsidRPr="00EC5399" w:rsidRDefault="006B3F46" w:rsidP="00907941">
            <w:pPr>
              <w:jc w:val="both"/>
              <w:rPr>
                <w:sz w:val="22"/>
                <w:szCs w:val="22"/>
              </w:rPr>
            </w:pPr>
            <w:r w:rsidRPr="00EC5399">
              <w:rPr>
                <w:i/>
                <w:sz w:val="22"/>
                <w:szCs w:val="22"/>
              </w:rPr>
              <w:t>Tursiops truncatus.</w:t>
            </w:r>
            <w:r w:rsidRPr="00EC5399">
              <w:rPr>
                <w:sz w:val="22"/>
                <w:szCs w:val="22"/>
              </w:rPr>
              <w:t xml:space="preserve"> Distribution of encounter rates of bottlenose dolphins over the study area during this study (De Stephanis </w:t>
            </w:r>
            <w:r w:rsidRPr="00EC5399">
              <w:rPr>
                <w:i/>
                <w:sz w:val="22"/>
                <w:szCs w:val="22"/>
              </w:rPr>
              <w:t>et al</w:t>
            </w:r>
            <w:r w:rsidRPr="00EC5399">
              <w:rPr>
                <w:sz w:val="22"/>
                <w:szCs w:val="22"/>
              </w:rPr>
              <w:t>., 2008)</w:t>
            </w:r>
          </w:p>
          <w:p w14:paraId="23D2BC8F" w14:textId="77777777" w:rsidR="006B3F46" w:rsidRPr="00EC5399" w:rsidRDefault="006B3F46" w:rsidP="00907941">
            <w:pPr>
              <w:jc w:val="both"/>
              <w:rPr>
                <w:sz w:val="22"/>
                <w:szCs w:val="22"/>
              </w:rPr>
            </w:pPr>
          </w:p>
        </w:tc>
      </w:tr>
      <w:tr w:rsidR="006B3F46" w:rsidRPr="0021277B" w14:paraId="416213E9" w14:textId="77777777" w:rsidTr="00907941">
        <w:trPr>
          <w:trHeight w:val="1"/>
        </w:trPr>
        <w:tc>
          <w:tcPr>
            <w:tcW w:w="9287" w:type="dxa"/>
            <w:shd w:val="clear" w:color="000000" w:fill="FFFFFF"/>
            <w:tcMar>
              <w:left w:w="108" w:type="dxa"/>
              <w:right w:w="108" w:type="dxa"/>
            </w:tcMar>
          </w:tcPr>
          <w:p w14:paraId="009DD0DB" w14:textId="77777777" w:rsidR="006B3F46" w:rsidRPr="00EC5399" w:rsidRDefault="006B3F46" w:rsidP="00907941">
            <w:pPr>
              <w:jc w:val="center"/>
              <w:rPr>
                <w:rFonts w:eastAsia="Calibri"/>
                <w:sz w:val="22"/>
                <w:szCs w:val="22"/>
              </w:rPr>
            </w:pPr>
            <w:r w:rsidRPr="00EC5399">
              <w:rPr>
                <w:noProof/>
                <w:sz w:val="22"/>
                <w:szCs w:val="22"/>
              </w:rPr>
              <w:object w:dxaOrig="10199" w:dyaOrig="4080" w14:anchorId="5043EB67">
                <v:rect id="rectole0000000016" o:spid="_x0000_i1097" style="width:361.5pt;height:171pt;mso-position-horizontal-relative:char;mso-position-vertical-relative:line" o:ole="" o:preferrelative="t" stroked="f">
                  <v:imagedata r:id="rId186" o:title=""/>
                </v:rect>
                <o:OLEObject Type="Embed" ProgID="StaticMetafile" ShapeID="rectole0000000016" DrawAspect="Content" ObjectID="_1639044479" r:id="rId187"/>
              </w:object>
            </w:r>
          </w:p>
        </w:tc>
      </w:tr>
      <w:tr w:rsidR="006B3F46" w:rsidRPr="0021277B" w14:paraId="5030C5F2" w14:textId="77777777" w:rsidTr="00907941">
        <w:trPr>
          <w:trHeight w:val="1"/>
        </w:trPr>
        <w:tc>
          <w:tcPr>
            <w:tcW w:w="9287" w:type="dxa"/>
            <w:shd w:val="clear" w:color="000000" w:fill="FFFFFF"/>
            <w:tcMar>
              <w:left w:w="108" w:type="dxa"/>
              <w:right w:w="108" w:type="dxa"/>
            </w:tcMar>
          </w:tcPr>
          <w:p w14:paraId="6AA2ADE1" w14:textId="77777777" w:rsidR="006B3F46" w:rsidRPr="00EC5399" w:rsidRDefault="006B3F46" w:rsidP="00907941">
            <w:pPr>
              <w:jc w:val="both"/>
              <w:rPr>
                <w:sz w:val="22"/>
                <w:szCs w:val="22"/>
              </w:rPr>
            </w:pPr>
            <w:r w:rsidRPr="00EC5399">
              <w:rPr>
                <w:i/>
                <w:sz w:val="22"/>
                <w:szCs w:val="22"/>
              </w:rPr>
              <w:t>Globicephala melas.</w:t>
            </w:r>
            <w:r w:rsidRPr="00EC5399">
              <w:rPr>
                <w:sz w:val="22"/>
                <w:szCs w:val="22"/>
              </w:rPr>
              <w:t xml:space="preserve"> Distribution of encounter rates of long-finned pilot whales over the study area during this study (De Stephanis </w:t>
            </w:r>
            <w:r w:rsidRPr="00EC5399">
              <w:rPr>
                <w:i/>
                <w:sz w:val="22"/>
                <w:szCs w:val="22"/>
              </w:rPr>
              <w:t>et al</w:t>
            </w:r>
            <w:r w:rsidRPr="00EC5399">
              <w:rPr>
                <w:sz w:val="22"/>
                <w:szCs w:val="22"/>
              </w:rPr>
              <w:t>., 2008).</w:t>
            </w:r>
          </w:p>
          <w:p w14:paraId="7DF58D0A" w14:textId="77777777" w:rsidR="006B3F46" w:rsidRPr="00EC5399" w:rsidRDefault="006B3F46" w:rsidP="00907941">
            <w:pPr>
              <w:jc w:val="both"/>
              <w:rPr>
                <w:sz w:val="22"/>
                <w:szCs w:val="22"/>
              </w:rPr>
            </w:pPr>
          </w:p>
        </w:tc>
      </w:tr>
      <w:tr w:rsidR="006B3F46" w:rsidRPr="0021277B" w14:paraId="3C5DCD81" w14:textId="77777777" w:rsidTr="00907941">
        <w:trPr>
          <w:trHeight w:val="1"/>
        </w:trPr>
        <w:tc>
          <w:tcPr>
            <w:tcW w:w="9287" w:type="dxa"/>
            <w:shd w:val="clear" w:color="000000" w:fill="FFFFFF"/>
            <w:tcMar>
              <w:left w:w="108" w:type="dxa"/>
              <w:right w:w="108" w:type="dxa"/>
            </w:tcMar>
          </w:tcPr>
          <w:p w14:paraId="7A26C4EE" w14:textId="77777777" w:rsidR="006B3F46" w:rsidRPr="00F66EF7" w:rsidRDefault="006B3F46" w:rsidP="00907941">
            <w:pPr>
              <w:jc w:val="center"/>
              <w:rPr>
                <w:rFonts w:eastAsia="Calibri"/>
                <w:sz w:val="22"/>
                <w:szCs w:val="22"/>
              </w:rPr>
            </w:pPr>
            <w:r w:rsidRPr="009978E3">
              <w:rPr>
                <w:noProof/>
                <w:sz w:val="22"/>
                <w:szCs w:val="22"/>
              </w:rPr>
              <w:object w:dxaOrig="10380" w:dyaOrig="4180" w14:anchorId="58AABBF6">
                <v:rect id="rectole0000000017" o:spid="_x0000_i1098" style="width:361.5pt;height:171.75pt;mso-position-horizontal-relative:char;mso-position-vertical-relative:line" o:ole="" o:preferrelative="t" stroked="f">
                  <v:imagedata r:id="rId188" o:title=""/>
                </v:rect>
                <o:OLEObject Type="Embed" ProgID="StaticMetafile" ShapeID="rectole0000000017" DrawAspect="Content" ObjectID="_1639044480" r:id="rId189"/>
              </w:object>
            </w:r>
          </w:p>
        </w:tc>
      </w:tr>
      <w:tr w:rsidR="006B3F46" w:rsidRPr="0021277B" w14:paraId="608B3622" w14:textId="77777777" w:rsidTr="00907941">
        <w:trPr>
          <w:trHeight w:val="1"/>
        </w:trPr>
        <w:tc>
          <w:tcPr>
            <w:tcW w:w="9287" w:type="dxa"/>
            <w:shd w:val="clear" w:color="000000" w:fill="FFFFFF"/>
            <w:tcMar>
              <w:left w:w="108" w:type="dxa"/>
              <w:right w:w="108" w:type="dxa"/>
            </w:tcMar>
          </w:tcPr>
          <w:p w14:paraId="56CAE921" w14:textId="4FBCC27B" w:rsidR="006B3F46" w:rsidRPr="009978E3" w:rsidRDefault="006B3F46" w:rsidP="00907941">
            <w:pPr>
              <w:jc w:val="both"/>
              <w:rPr>
                <w:sz w:val="22"/>
                <w:szCs w:val="22"/>
              </w:rPr>
            </w:pPr>
            <w:r w:rsidRPr="00F66EF7">
              <w:rPr>
                <w:i/>
                <w:sz w:val="22"/>
                <w:szCs w:val="22"/>
              </w:rPr>
              <w:t xml:space="preserve">Physeter </w:t>
            </w:r>
            <w:r w:rsidRPr="00EC5399">
              <w:rPr>
                <w:i/>
                <w:sz w:val="22"/>
                <w:szCs w:val="22"/>
              </w:rPr>
              <w:t>macrocephalus.</w:t>
            </w:r>
            <w:r w:rsidRPr="00EC5399">
              <w:rPr>
                <w:sz w:val="22"/>
                <w:szCs w:val="22"/>
              </w:rPr>
              <w:t xml:space="preserve"> Distribution of encounter rates of sperm whales over the study area during this study (De Stephanis </w:t>
            </w:r>
            <w:r w:rsidRPr="00EC5399">
              <w:rPr>
                <w:i/>
                <w:sz w:val="22"/>
                <w:szCs w:val="22"/>
              </w:rPr>
              <w:t>et al</w:t>
            </w:r>
            <w:r w:rsidRPr="00EC5399">
              <w:rPr>
                <w:sz w:val="22"/>
                <w:szCs w:val="22"/>
              </w:rPr>
              <w:t>., 2008)</w:t>
            </w:r>
          </w:p>
          <w:p w14:paraId="415E7A6B" w14:textId="77777777" w:rsidR="006B3F46" w:rsidRPr="009978E3" w:rsidRDefault="006B3F46" w:rsidP="00907941">
            <w:pPr>
              <w:jc w:val="both"/>
              <w:rPr>
                <w:sz w:val="22"/>
                <w:szCs w:val="22"/>
              </w:rPr>
            </w:pPr>
          </w:p>
        </w:tc>
      </w:tr>
      <w:tr w:rsidR="006B3F46" w:rsidRPr="0021277B" w14:paraId="7A0F29B1" w14:textId="77777777" w:rsidTr="00907941">
        <w:trPr>
          <w:trHeight w:val="1"/>
        </w:trPr>
        <w:tc>
          <w:tcPr>
            <w:tcW w:w="9287" w:type="dxa"/>
            <w:shd w:val="clear" w:color="000000" w:fill="FFFFFF"/>
            <w:tcMar>
              <w:left w:w="108" w:type="dxa"/>
              <w:right w:w="108" w:type="dxa"/>
            </w:tcMar>
          </w:tcPr>
          <w:p w14:paraId="57A89955" w14:textId="77777777" w:rsidR="006B3F46" w:rsidRPr="00F66EF7" w:rsidRDefault="006B3F46" w:rsidP="00907941">
            <w:pPr>
              <w:jc w:val="center"/>
              <w:rPr>
                <w:rFonts w:eastAsia="Calibri"/>
                <w:sz w:val="22"/>
                <w:szCs w:val="22"/>
              </w:rPr>
            </w:pPr>
            <w:r w:rsidRPr="009978E3">
              <w:rPr>
                <w:noProof/>
                <w:sz w:val="22"/>
                <w:szCs w:val="22"/>
              </w:rPr>
              <w:object w:dxaOrig="10161" w:dyaOrig="4199" w14:anchorId="28F9BBA3">
                <v:rect id="rectole0000000018" o:spid="_x0000_i1099" style="width:362.25pt;height:170.25pt;mso-position-horizontal-relative:char;mso-position-vertical-relative:line" o:ole="" o:preferrelative="t" stroked="f">
                  <v:imagedata r:id="rId190" o:title=""/>
                </v:rect>
                <o:OLEObject Type="Embed" ProgID="StaticMetafile" ShapeID="rectole0000000018" DrawAspect="Content" ObjectID="_1639044481" r:id="rId191"/>
              </w:object>
            </w:r>
          </w:p>
        </w:tc>
      </w:tr>
      <w:tr w:rsidR="006B3F46" w:rsidRPr="0021277B" w14:paraId="73DF8D5E" w14:textId="77777777" w:rsidTr="00907941">
        <w:trPr>
          <w:trHeight w:val="1"/>
        </w:trPr>
        <w:tc>
          <w:tcPr>
            <w:tcW w:w="9287" w:type="dxa"/>
            <w:shd w:val="clear" w:color="000000" w:fill="FFFFFF"/>
            <w:tcMar>
              <w:left w:w="108" w:type="dxa"/>
              <w:right w:w="108" w:type="dxa"/>
            </w:tcMar>
          </w:tcPr>
          <w:p w14:paraId="32BF6702" w14:textId="77777777" w:rsidR="006B3F46" w:rsidRPr="009978E3" w:rsidRDefault="006B3F46" w:rsidP="00907941">
            <w:pPr>
              <w:jc w:val="both"/>
              <w:rPr>
                <w:sz w:val="22"/>
                <w:szCs w:val="22"/>
              </w:rPr>
            </w:pPr>
            <w:r w:rsidRPr="00F66EF7">
              <w:rPr>
                <w:i/>
                <w:sz w:val="22"/>
                <w:szCs w:val="22"/>
              </w:rPr>
              <w:t>Orcin</w:t>
            </w:r>
            <w:r w:rsidRPr="009978E3">
              <w:rPr>
                <w:i/>
                <w:sz w:val="22"/>
                <w:szCs w:val="22"/>
              </w:rPr>
              <w:t>us orca.</w:t>
            </w:r>
            <w:r w:rsidRPr="009978E3">
              <w:rPr>
                <w:sz w:val="22"/>
                <w:szCs w:val="22"/>
              </w:rPr>
              <w:t xml:space="preserve"> Distrib</w:t>
            </w:r>
            <w:r w:rsidRPr="00EC5399">
              <w:rPr>
                <w:sz w:val="22"/>
                <w:szCs w:val="22"/>
              </w:rPr>
              <w:t xml:space="preserve">ution of encounter rates of killer whales over the study area during this study (De Stephanis </w:t>
            </w:r>
            <w:r w:rsidRPr="00EC5399">
              <w:rPr>
                <w:i/>
                <w:sz w:val="22"/>
                <w:szCs w:val="22"/>
              </w:rPr>
              <w:t>et al</w:t>
            </w:r>
            <w:r w:rsidRPr="00EC5399">
              <w:rPr>
                <w:sz w:val="22"/>
                <w:szCs w:val="22"/>
              </w:rPr>
              <w:t>., 2008)</w:t>
            </w:r>
          </w:p>
        </w:tc>
      </w:tr>
    </w:tbl>
    <w:p w14:paraId="623F4097" w14:textId="77777777" w:rsidR="006B3F46" w:rsidRPr="00F66EF7" w:rsidRDefault="006B3F46" w:rsidP="00907941">
      <w:pPr>
        <w:rPr>
          <w:b/>
          <w:sz w:val="22"/>
          <w:szCs w:val="22"/>
        </w:rPr>
      </w:pPr>
    </w:p>
    <w:p w14:paraId="2F9DBAFF" w14:textId="77777777" w:rsidR="006B3F46" w:rsidRPr="00F66EF7" w:rsidRDefault="006B3F46" w:rsidP="00907941">
      <w:pPr>
        <w:jc w:val="center"/>
        <w:rPr>
          <w:sz w:val="22"/>
          <w:szCs w:val="22"/>
        </w:rPr>
      </w:pPr>
      <w:r w:rsidRPr="009978E3">
        <w:rPr>
          <w:noProof/>
          <w:sz w:val="22"/>
          <w:szCs w:val="22"/>
        </w:rPr>
        <w:object w:dxaOrig="13421" w:dyaOrig="13759" w14:anchorId="0FA02BF1">
          <v:rect id="rectole0000000019" o:spid="_x0000_i1100" style="width:292.5pt;height:300pt;mso-position-horizontal-relative:char;mso-position-vertical-relative:line" o:ole="" o:preferrelative="t" stroked="f">
            <v:imagedata r:id="rId192" o:title=""/>
          </v:rect>
          <o:OLEObject Type="Embed" ProgID="StaticMetafile" ShapeID="rectole0000000019" DrawAspect="Content" ObjectID="_1639044482" r:id="rId193"/>
        </w:object>
      </w:r>
    </w:p>
    <w:p w14:paraId="511B8FD1" w14:textId="77777777" w:rsidR="006B3F46" w:rsidRPr="009978E3" w:rsidRDefault="006B3F46" w:rsidP="00907941">
      <w:pPr>
        <w:jc w:val="both"/>
        <w:rPr>
          <w:sz w:val="22"/>
          <w:szCs w:val="22"/>
        </w:rPr>
      </w:pPr>
    </w:p>
    <w:p w14:paraId="440431E3" w14:textId="177DC765" w:rsidR="006B3F46" w:rsidRPr="009978E3" w:rsidRDefault="006B3F46" w:rsidP="002E4B39">
      <w:pPr>
        <w:spacing w:line="270" w:lineRule="auto"/>
        <w:jc w:val="both"/>
        <w:rPr>
          <w:b/>
          <w:sz w:val="22"/>
          <w:szCs w:val="22"/>
        </w:rPr>
      </w:pPr>
      <w:r w:rsidRPr="009978E3">
        <w:rPr>
          <w:sz w:val="22"/>
          <w:szCs w:val="22"/>
        </w:rPr>
        <w:t>Estimated paths (with 50</w:t>
      </w:r>
      <w:r>
        <w:rPr>
          <w:sz w:val="22"/>
          <w:szCs w:val="22"/>
        </w:rPr>
        <w:t xml:space="preserve"> per cent</w:t>
      </w:r>
      <w:r w:rsidRPr="009978E3">
        <w:rPr>
          <w:sz w:val="22"/>
          <w:szCs w:val="22"/>
        </w:rPr>
        <w:t xml:space="preserve"> and 95</w:t>
      </w:r>
      <w:r>
        <w:rPr>
          <w:sz w:val="22"/>
          <w:szCs w:val="22"/>
        </w:rPr>
        <w:t xml:space="preserve"> per cent</w:t>
      </w:r>
      <w:r w:rsidRPr="009978E3">
        <w:rPr>
          <w:sz w:val="22"/>
          <w:szCs w:val="22"/>
        </w:rPr>
        <w:t xml:space="preserve"> confidence intervals) of 13 Atlantic bluefin tuna tagged in early June 2009-2011 (≥45 d). Five successive regions throughout the migratory pathways between the western Mediterranean and the North Atlantic Ocean are distinguished (A-E, black boxes): Balearic area (A), Strait of Gibraltar (B), western Iberian coast (C), Bay of Biscay (D), and North Atlantic area (E). Bold black lines represent five-day coverage of tag #39 track in each of these regions (Aranda </w:t>
      </w:r>
      <w:r w:rsidRPr="0006066A">
        <w:rPr>
          <w:i/>
          <w:sz w:val="22"/>
          <w:szCs w:val="22"/>
        </w:rPr>
        <w:t>et al</w:t>
      </w:r>
      <w:r w:rsidRPr="009978E3">
        <w:rPr>
          <w:sz w:val="22"/>
          <w:szCs w:val="22"/>
        </w:rPr>
        <w:t>., 2013).</w:t>
      </w:r>
    </w:p>
    <w:p w14:paraId="6FFAB57E" w14:textId="77777777" w:rsidR="006B3F46" w:rsidRPr="00F66EF7" w:rsidRDefault="009E53BE" w:rsidP="00907941">
      <w:pPr>
        <w:rPr>
          <w:sz w:val="22"/>
          <w:szCs w:val="22"/>
        </w:rPr>
      </w:pPr>
      <w:r>
        <w:rPr>
          <w:noProof/>
          <w:sz w:val="22"/>
          <w:szCs w:val="22"/>
          <w:lang w:val="fr-CA" w:eastAsia="fr-CA"/>
        </w:rPr>
        <w:pict w14:anchorId="0EC27A38">
          <v:shape id="Picture 41" o:spid="_x0000_i1101" type="#_x0000_t75" alt="racking of fin whales. Gray full circles represent the first obtained locations and the black crosses represent the last locations.Â " style="width:401.25pt;height:297pt;visibility:visible">
            <v:imagedata r:id="rId194" o:title="racking of fin whales"/>
          </v:shape>
        </w:pict>
      </w:r>
    </w:p>
    <w:p w14:paraId="00118F6C" w14:textId="77777777" w:rsidR="006B3F46" w:rsidRPr="009978E3" w:rsidRDefault="006B3F46" w:rsidP="00907941">
      <w:pPr>
        <w:jc w:val="both"/>
        <w:rPr>
          <w:sz w:val="22"/>
          <w:szCs w:val="22"/>
        </w:rPr>
      </w:pPr>
    </w:p>
    <w:p w14:paraId="3CB7E466" w14:textId="77777777" w:rsidR="006B3F46" w:rsidRPr="009978E3" w:rsidRDefault="006B3F46" w:rsidP="00907941">
      <w:pPr>
        <w:jc w:val="both"/>
        <w:rPr>
          <w:bCs/>
          <w:sz w:val="22"/>
          <w:szCs w:val="22"/>
        </w:rPr>
      </w:pPr>
      <w:r w:rsidRPr="009978E3">
        <w:rPr>
          <w:bCs/>
          <w:sz w:val="22"/>
          <w:szCs w:val="22"/>
        </w:rPr>
        <w:t>Tracking of fin whales. Gray full circles represent the first obtained locations</w:t>
      </w:r>
      <w:r>
        <w:rPr>
          <w:bCs/>
          <w:sz w:val="22"/>
          <w:szCs w:val="22"/>
        </w:rPr>
        <w:t>,</w:t>
      </w:r>
      <w:r w:rsidRPr="009978E3">
        <w:rPr>
          <w:bCs/>
          <w:sz w:val="22"/>
          <w:szCs w:val="22"/>
        </w:rPr>
        <w:t xml:space="preserve"> and the black crosses represent the last locations (reproduced from Cotte </w:t>
      </w:r>
      <w:r w:rsidRPr="0006066A">
        <w:rPr>
          <w:bCs/>
          <w:i/>
          <w:sz w:val="22"/>
          <w:szCs w:val="22"/>
        </w:rPr>
        <w:t>et al</w:t>
      </w:r>
      <w:r w:rsidRPr="009978E3">
        <w:rPr>
          <w:bCs/>
          <w:sz w:val="22"/>
          <w:szCs w:val="22"/>
        </w:rPr>
        <w:t>., 2011). </w:t>
      </w:r>
    </w:p>
    <w:p w14:paraId="75C1DF71" w14:textId="77777777" w:rsidR="006B3F46" w:rsidRPr="009978E3" w:rsidRDefault="006B3F46" w:rsidP="00907941">
      <w:pPr>
        <w:rPr>
          <w:b/>
          <w:sz w:val="22"/>
          <w:szCs w:val="22"/>
        </w:rPr>
      </w:pPr>
    </w:p>
    <w:p w14:paraId="29A5D6FB" w14:textId="77777777" w:rsidR="006B3F46" w:rsidRPr="009978E3" w:rsidRDefault="006B3F46" w:rsidP="00907941">
      <w:pPr>
        <w:rPr>
          <w:b/>
          <w:sz w:val="22"/>
          <w:szCs w:val="22"/>
        </w:rPr>
      </w:pPr>
      <w:r w:rsidRPr="009978E3">
        <w:rPr>
          <w:b/>
          <w:sz w:val="22"/>
          <w:szCs w:val="22"/>
        </w:rPr>
        <w:t xml:space="preserve">Rights and permissions </w:t>
      </w:r>
    </w:p>
    <w:p w14:paraId="5A35286F" w14:textId="77777777" w:rsidR="006B3F46" w:rsidRPr="009978E3" w:rsidRDefault="006B3F46">
      <w:pPr>
        <w:rPr>
          <w:sz w:val="22"/>
          <w:szCs w:val="22"/>
        </w:rPr>
      </w:pPr>
      <w:r w:rsidRPr="009978E3">
        <w:rPr>
          <w:sz w:val="22"/>
          <w:szCs w:val="22"/>
        </w:rPr>
        <w:t xml:space="preserve">All the quoted documents and sites are public and subject to specific copyrights that </w:t>
      </w:r>
      <w:r>
        <w:rPr>
          <w:sz w:val="22"/>
          <w:szCs w:val="22"/>
        </w:rPr>
        <w:t>must</w:t>
      </w:r>
      <w:r w:rsidRPr="009978E3">
        <w:rPr>
          <w:sz w:val="22"/>
          <w:szCs w:val="22"/>
        </w:rPr>
        <w:t xml:space="preserve"> be respected</w:t>
      </w:r>
      <w:r>
        <w:rPr>
          <w:sz w:val="22"/>
          <w:szCs w:val="22"/>
        </w:rPr>
        <w:t>,</w:t>
      </w:r>
      <w:r w:rsidRPr="009978E3">
        <w:rPr>
          <w:sz w:val="22"/>
          <w:szCs w:val="22"/>
        </w:rPr>
        <w:t xml:space="preserve"> case by case.</w:t>
      </w:r>
    </w:p>
    <w:p w14:paraId="445D0E94" w14:textId="77777777" w:rsidR="006B3F46" w:rsidRPr="009978E3" w:rsidRDefault="006B3F46" w:rsidP="00907941">
      <w:pPr>
        <w:jc w:val="center"/>
        <w:rPr>
          <w:rFonts w:eastAsia="MS Mincho"/>
          <w:b/>
          <w:sz w:val="22"/>
          <w:szCs w:val="22"/>
          <w:lang w:val="en-US"/>
        </w:rPr>
      </w:pPr>
      <w:r w:rsidRPr="009978E3">
        <w:rPr>
          <w:sz w:val="22"/>
          <w:szCs w:val="22"/>
        </w:rPr>
        <w:br w:type="page"/>
      </w:r>
      <w:r w:rsidRPr="009978E3">
        <w:rPr>
          <w:rFonts w:eastAsia="MS Mincho"/>
          <w:b/>
          <w:sz w:val="22"/>
          <w:szCs w:val="22"/>
          <w:lang w:val="en-US"/>
        </w:rPr>
        <w:t>Area no. 6: Madeira – Tore</w:t>
      </w:r>
    </w:p>
    <w:p w14:paraId="7C8152A6" w14:textId="77777777" w:rsidR="006B3F46" w:rsidRPr="009978E3" w:rsidRDefault="006B3F46" w:rsidP="00907941">
      <w:pPr>
        <w:jc w:val="both"/>
        <w:rPr>
          <w:rFonts w:eastAsia="MS Mincho"/>
          <w:i/>
          <w:sz w:val="22"/>
          <w:szCs w:val="22"/>
          <w:lang w:val="en-US"/>
        </w:rPr>
      </w:pPr>
      <w:r w:rsidRPr="009978E3">
        <w:rPr>
          <w:rFonts w:eastAsia="MS Mincho"/>
          <w:b/>
          <w:sz w:val="22"/>
          <w:szCs w:val="22"/>
          <w:lang w:val="en-US"/>
        </w:rPr>
        <w:t xml:space="preserve">Abstract </w:t>
      </w:r>
    </w:p>
    <w:p w14:paraId="084CAC9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w:t>
      </w:r>
      <w:r>
        <w:rPr>
          <w:rFonts w:eastAsia="MS Mincho"/>
          <w:sz w:val="22"/>
          <w:szCs w:val="22"/>
          <w:lang w:val="en-US"/>
        </w:rPr>
        <w:t>is area</w:t>
      </w:r>
      <w:r w:rsidRPr="009978E3">
        <w:rPr>
          <w:rFonts w:eastAsia="MS Mincho"/>
          <w:sz w:val="22"/>
          <w:szCs w:val="22"/>
          <w:lang w:val="en-US"/>
        </w:rPr>
        <w:t xml:space="preserve"> includes 19 remarkable structures, 17 of which are seamounts. Seamounts are hotspots of marine life and, in general, they are areas of enhanced productivity, especially when compared with surrounding abyssal areas</w:t>
      </w:r>
      <w:r w:rsidRPr="00981455">
        <w:rPr>
          <w:rFonts w:eastAsia="MS Mincho"/>
          <w:sz w:val="22"/>
          <w:szCs w:val="22"/>
          <w:lang w:val="en-US"/>
        </w:rPr>
        <w:t xml:space="preserve">. </w:t>
      </w:r>
      <w:r w:rsidRPr="0021277B">
        <w:rPr>
          <w:rFonts w:eastAsia="MS Mincho"/>
          <w:sz w:val="22"/>
          <w:szCs w:val="22"/>
          <w:lang w:val="en-US"/>
        </w:rPr>
        <w:t>Madeira – Tore</w:t>
      </w:r>
      <w:r w:rsidRPr="009978E3">
        <w:rPr>
          <w:rFonts w:eastAsia="MS Mincho"/>
          <w:sz w:val="22"/>
          <w:szCs w:val="22"/>
          <w:lang w:val="en-US"/>
        </w:rPr>
        <w:t xml:space="preserve"> has a total area of 197,431 km</w:t>
      </w:r>
      <w:r w:rsidRPr="009978E3">
        <w:rPr>
          <w:rFonts w:eastAsia="MS Mincho"/>
          <w:sz w:val="22"/>
          <w:szCs w:val="22"/>
          <w:vertAlign w:val="superscript"/>
          <w:lang w:val="en-US"/>
        </w:rPr>
        <w:t>2</w:t>
      </w:r>
      <w:r w:rsidRPr="009978E3">
        <w:rPr>
          <w:rFonts w:eastAsia="MS Mincho"/>
          <w:sz w:val="22"/>
          <w:szCs w:val="22"/>
          <w:lang w:val="en-US"/>
        </w:rPr>
        <w:t xml:space="preserve">, with depths ranging from 25m (top of Gettysburg seamount) to 4930m (bottom of Tore seamount). The area includes Gorringe Bank </w:t>
      </w:r>
      <w:r>
        <w:rPr>
          <w:rFonts w:eastAsia="MS Mincho"/>
          <w:sz w:val="22"/>
          <w:szCs w:val="22"/>
          <w:lang w:val="en-US"/>
        </w:rPr>
        <w:t>(</w:t>
      </w:r>
      <w:r w:rsidRPr="009978E3">
        <w:rPr>
          <w:rFonts w:eastAsia="MS Mincho"/>
          <w:sz w:val="22"/>
          <w:szCs w:val="22"/>
          <w:lang w:val="en-US"/>
        </w:rPr>
        <w:t>a proposed Site of Community Importance</w:t>
      </w:r>
      <w:r>
        <w:rPr>
          <w:rFonts w:eastAsia="MS Mincho"/>
          <w:sz w:val="22"/>
          <w:szCs w:val="22"/>
          <w:lang w:val="en-US"/>
        </w:rPr>
        <w:t xml:space="preserve"> under the </w:t>
      </w:r>
      <w:r w:rsidRPr="00055823">
        <w:rPr>
          <w:rFonts w:eastAsia="MS Mincho"/>
          <w:sz w:val="22"/>
          <w:szCs w:val="22"/>
          <w:lang w:val="en-US"/>
        </w:rPr>
        <w:t>Natura 2000 network</w:t>
      </w:r>
      <w:r>
        <w:rPr>
          <w:rFonts w:eastAsia="MS Mincho"/>
          <w:sz w:val="22"/>
          <w:szCs w:val="22"/>
          <w:lang w:val="en-US"/>
        </w:rPr>
        <w:t>),</w:t>
      </w:r>
      <w:r w:rsidRPr="009978E3">
        <w:rPr>
          <w:rFonts w:eastAsia="MS Mincho"/>
          <w:sz w:val="22"/>
          <w:szCs w:val="22"/>
          <w:lang w:val="en-US"/>
        </w:rPr>
        <w:t xml:space="preserve"> and </w:t>
      </w:r>
      <w:r>
        <w:rPr>
          <w:rFonts w:eastAsia="MS Mincho"/>
          <w:sz w:val="22"/>
          <w:szCs w:val="22"/>
          <w:lang w:val="en-US"/>
        </w:rPr>
        <w:t xml:space="preserve">the </w:t>
      </w:r>
      <w:r w:rsidRPr="009978E3">
        <w:rPr>
          <w:rFonts w:eastAsia="MS Mincho"/>
          <w:sz w:val="22"/>
          <w:szCs w:val="22"/>
          <w:lang w:val="en-US"/>
        </w:rPr>
        <w:t xml:space="preserve">Josephine </w:t>
      </w:r>
      <w:r>
        <w:rPr>
          <w:rFonts w:eastAsia="MS Mincho"/>
          <w:sz w:val="22"/>
          <w:szCs w:val="22"/>
          <w:lang w:val="en-US"/>
        </w:rPr>
        <w:t>S</w:t>
      </w:r>
      <w:r w:rsidRPr="009978E3">
        <w:rPr>
          <w:rFonts w:eastAsia="MS Mincho"/>
          <w:sz w:val="22"/>
          <w:szCs w:val="22"/>
          <w:lang w:val="en-US"/>
        </w:rPr>
        <w:t>eamount</w:t>
      </w:r>
      <w:r>
        <w:rPr>
          <w:rFonts w:eastAsia="MS Mincho"/>
          <w:sz w:val="22"/>
          <w:szCs w:val="22"/>
          <w:lang w:val="en-US"/>
        </w:rPr>
        <w:t xml:space="preserve"> High Seas Marine Protected Area (</w:t>
      </w:r>
      <w:r w:rsidRPr="005D04D9">
        <w:rPr>
          <w:rFonts w:eastAsia="MS Mincho"/>
          <w:sz w:val="22"/>
          <w:szCs w:val="22"/>
          <w:lang w:val="en-US"/>
        </w:rPr>
        <w:t>part of the OSPAR Network of Marine Protected Areas</w:t>
      </w:r>
      <w:r>
        <w:rPr>
          <w:rFonts w:eastAsia="MS Mincho"/>
          <w:sz w:val="22"/>
          <w:szCs w:val="22"/>
          <w:lang w:val="en-US"/>
        </w:rPr>
        <w:t>)</w:t>
      </w:r>
      <w:r w:rsidRPr="009978E3">
        <w:rPr>
          <w:rFonts w:eastAsia="MS Mincho"/>
          <w:sz w:val="22"/>
          <w:szCs w:val="22"/>
          <w:lang w:val="en-US"/>
        </w:rPr>
        <w:t xml:space="preserve">. A total of 965 species are present in this area, </w:t>
      </w:r>
      <w:r>
        <w:rPr>
          <w:rFonts w:eastAsia="MS Mincho"/>
          <w:sz w:val="22"/>
          <w:szCs w:val="22"/>
          <w:lang w:val="en-US"/>
        </w:rPr>
        <w:t xml:space="preserve">7 per cent </w:t>
      </w:r>
      <w:r w:rsidRPr="009978E3">
        <w:rPr>
          <w:rFonts w:eastAsia="MS Mincho"/>
          <w:sz w:val="22"/>
          <w:szCs w:val="22"/>
          <w:lang w:val="en-US"/>
        </w:rPr>
        <w:t xml:space="preserve">of which are protected under international or regional law. </w:t>
      </w:r>
    </w:p>
    <w:p w14:paraId="449CDBC1"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Introduction</w:t>
      </w:r>
    </w:p>
    <w:p w14:paraId="50A74FB5"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area covers pelagic waters through to lower bathyal depths. The </w:t>
      </w:r>
      <w:r>
        <w:rPr>
          <w:rFonts w:eastAsia="MS Mincho"/>
          <w:sz w:val="22"/>
          <w:szCs w:val="22"/>
          <w:lang w:val="en-US"/>
        </w:rPr>
        <w:t xml:space="preserve">area </w:t>
      </w:r>
      <w:r w:rsidRPr="009978E3">
        <w:rPr>
          <w:rFonts w:eastAsia="MS Mincho"/>
          <w:sz w:val="22"/>
          <w:szCs w:val="22"/>
          <w:lang w:val="en-US"/>
        </w:rPr>
        <w:t>include</w:t>
      </w:r>
      <w:r>
        <w:rPr>
          <w:rFonts w:eastAsia="MS Mincho"/>
          <w:sz w:val="22"/>
          <w:szCs w:val="22"/>
          <w:lang w:val="en-US"/>
        </w:rPr>
        <w:t>s</w:t>
      </w:r>
      <w:r w:rsidRPr="009978E3">
        <w:rPr>
          <w:rFonts w:eastAsia="MS Mincho"/>
          <w:sz w:val="22"/>
          <w:szCs w:val="22"/>
          <w:lang w:val="en-US"/>
        </w:rPr>
        <w:t xml:space="preserve"> a total of 17 seamounts (Ampere, Ashton, </w:t>
      </w:r>
      <w:r>
        <w:rPr>
          <w:rFonts w:eastAsia="MS Mincho"/>
          <w:sz w:val="22"/>
          <w:szCs w:val="22"/>
          <w:lang w:val="en-US"/>
        </w:rPr>
        <w:t xml:space="preserve">northern part of </w:t>
      </w:r>
      <w:r w:rsidRPr="009978E3">
        <w:rPr>
          <w:rFonts w:eastAsia="MS Mincho"/>
          <w:sz w:val="22"/>
          <w:szCs w:val="22"/>
          <w:lang w:val="en-US"/>
        </w:rPr>
        <w:t>Coral Patch, Dragon, Erik, Gago Coutinho, Godzilla, Gorringe Bank</w:t>
      </w:r>
      <w:r>
        <w:rPr>
          <w:rFonts w:eastAsia="MS Mincho"/>
          <w:sz w:val="22"/>
          <w:szCs w:val="22"/>
          <w:lang w:val="en-US"/>
        </w:rPr>
        <w:t>―</w:t>
      </w:r>
      <w:r w:rsidRPr="009978E3">
        <w:rPr>
          <w:rFonts w:eastAsia="MS Mincho"/>
          <w:sz w:val="22"/>
          <w:szCs w:val="22"/>
          <w:lang w:val="en-US"/>
        </w:rPr>
        <w:t>Ormond and Gettysburg seamounts</w:t>
      </w:r>
      <w:r>
        <w:rPr>
          <w:rFonts w:eastAsia="MS Mincho"/>
          <w:sz w:val="22"/>
          <w:szCs w:val="22"/>
          <w:lang w:val="en-US"/>
        </w:rPr>
        <w:t>―</w:t>
      </w:r>
      <w:r w:rsidRPr="009978E3">
        <w:rPr>
          <w:rFonts w:eastAsia="MS Mincho"/>
          <w:sz w:val="22"/>
          <w:szCs w:val="22"/>
          <w:lang w:val="en-US"/>
        </w:rPr>
        <w:t xml:space="preserve">, Hirondelle II, Josephine, Lion, Pico Pia, Tore, Seine, Sponge Bob and Unicorn). </w:t>
      </w:r>
      <w:r>
        <w:rPr>
          <w:rFonts w:eastAsia="MS Mincho"/>
          <w:sz w:val="22"/>
          <w:szCs w:val="22"/>
          <w:lang w:val="en-US"/>
        </w:rPr>
        <w:t>L</w:t>
      </w:r>
      <w:r w:rsidRPr="009978E3">
        <w:rPr>
          <w:rFonts w:eastAsia="MS Mincho"/>
          <w:sz w:val="22"/>
          <w:szCs w:val="22"/>
          <w:lang w:val="en-US"/>
        </w:rPr>
        <w:t xml:space="preserve">ocated </w:t>
      </w:r>
      <w:r w:rsidRPr="009978E3">
        <w:rPr>
          <w:rFonts w:ascii="Cambria Math" w:eastAsia="MS Mincho" w:hAnsi="Cambria Math" w:cs="Cambria Math"/>
          <w:sz w:val="22"/>
          <w:szCs w:val="22"/>
          <w:lang w:val="en-US"/>
        </w:rPr>
        <w:t>∼</w:t>
      </w:r>
      <w:r w:rsidRPr="009978E3">
        <w:rPr>
          <w:rFonts w:eastAsia="MS Mincho"/>
          <w:sz w:val="22"/>
          <w:szCs w:val="22"/>
          <w:lang w:val="en-US"/>
        </w:rPr>
        <w:t>700 km off the NW African coas</w:t>
      </w:r>
      <w:r>
        <w:rPr>
          <w:rFonts w:eastAsia="MS Mincho"/>
          <w:sz w:val="22"/>
          <w:szCs w:val="22"/>
          <w:lang w:val="en-US"/>
        </w:rPr>
        <w:t>t, it</w:t>
      </w:r>
      <w:r w:rsidRPr="009978E3">
        <w:rPr>
          <w:rFonts w:eastAsia="MS Mincho"/>
          <w:sz w:val="22"/>
          <w:szCs w:val="22"/>
          <w:lang w:val="en-US"/>
        </w:rPr>
        <w:t xml:space="preserve"> forms a prominent NE trending submarine seamount complex in the central east Atlantic </w:t>
      </w:r>
      <w:r>
        <w:rPr>
          <w:rFonts w:eastAsia="MS Mincho"/>
          <w:sz w:val="22"/>
          <w:szCs w:val="22"/>
          <w:lang w:val="en-US"/>
        </w:rPr>
        <w:t xml:space="preserve">and is </w:t>
      </w:r>
      <w:r w:rsidRPr="009978E3">
        <w:rPr>
          <w:rFonts w:eastAsia="MS Mincho"/>
          <w:sz w:val="22"/>
          <w:szCs w:val="22"/>
          <w:lang w:val="en-US"/>
        </w:rPr>
        <w:t>bounded by abyssal plains to the west and south and by a number of large isolated seamounts on its eastern side and the Madeira Islands to the southeast.</w:t>
      </w:r>
      <w:r w:rsidRPr="0021277B">
        <w:rPr>
          <w:sz w:val="22"/>
          <w:szCs w:val="22"/>
        </w:rPr>
        <w:t xml:space="preserve"> Seamounts are </w:t>
      </w:r>
      <w:r w:rsidRPr="00F66EF7">
        <w:rPr>
          <w:rFonts w:eastAsia="MS Mincho"/>
          <w:sz w:val="22"/>
          <w:szCs w:val="22"/>
          <w:lang w:val="en-US"/>
        </w:rPr>
        <w:t xml:space="preserve">rising from </w:t>
      </w:r>
      <w:r w:rsidRPr="009978E3">
        <w:rPr>
          <w:rFonts w:ascii="Cambria Math" w:eastAsia="MS Mincho" w:hAnsi="Cambria Math" w:cs="Cambria Math"/>
          <w:sz w:val="22"/>
          <w:szCs w:val="22"/>
          <w:lang w:val="en-US"/>
        </w:rPr>
        <w:t>∼</w:t>
      </w:r>
      <w:r w:rsidRPr="009978E3">
        <w:rPr>
          <w:rFonts w:eastAsia="MS Mincho"/>
          <w:sz w:val="22"/>
          <w:szCs w:val="22"/>
          <w:lang w:val="en-US"/>
        </w:rPr>
        <w:t xml:space="preserve">5000m water depths to as shallow as 25m below sea level and represent prominent geomorphological features affecting </w:t>
      </w:r>
      <w:r>
        <w:rPr>
          <w:rFonts w:eastAsia="MS Mincho"/>
          <w:sz w:val="22"/>
          <w:szCs w:val="22"/>
          <w:lang w:val="en-US"/>
        </w:rPr>
        <w:t>the entire</w:t>
      </w:r>
      <w:r w:rsidRPr="009978E3">
        <w:rPr>
          <w:rFonts w:eastAsia="MS Mincho"/>
          <w:sz w:val="22"/>
          <w:szCs w:val="22"/>
          <w:lang w:val="en-US"/>
        </w:rPr>
        <w:t xml:space="preserve"> water column (</w:t>
      </w:r>
      <w:r w:rsidRPr="009978E3">
        <w:rPr>
          <w:rFonts w:eastAsia="MS Mincho"/>
          <w:bCs/>
          <w:color w:val="000000"/>
          <w:sz w:val="22"/>
          <w:szCs w:val="22"/>
          <w:lang w:val="en-US"/>
        </w:rPr>
        <w:t xml:space="preserve">Geldmacher </w:t>
      </w:r>
      <w:r w:rsidRPr="0006066A">
        <w:rPr>
          <w:rFonts w:eastAsia="MS Mincho"/>
          <w:bCs/>
          <w:i/>
          <w:iCs/>
          <w:color w:val="000000"/>
          <w:sz w:val="22"/>
          <w:szCs w:val="22"/>
          <w:lang w:val="en-US"/>
        </w:rPr>
        <w:t>et al</w:t>
      </w:r>
      <w:r w:rsidRPr="009978E3">
        <w:rPr>
          <w:rFonts w:eastAsia="MS Mincho"/>
          <w:bCs/>
          <w:i/>
          <w:color w:val="000000"/>
          <w:sz w:val="22"/>
          <w:szCs w:val="22"/>
          <w:lang w:val="en-US"/>
        </w:rPr>
        <w:t>.,</w:t>
      </w:r>
      <w:r w:rsidRPr="009978E3">
        <w:rPr>
          <w:rFonts w:eastAsia="MS Mincho"/>
          <w:sz w:val="22"/>
          <w:szCs w:val="22"/>
          <w:lang w:val="en-US"/>
        </w:rPr>
        <w:t xml:space="preserve"> 2000, 2001, 2005, Jiménez-Munt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2001).</w:t>
      </w:r>
    </w:p>
    <w:p w14:paraId="3DA9BAD4" w14:textId="77777777" w:rsidR="006B3F46" w:rsidRPr="009978E3" w:rsidRDefault="006B3F46" w:rsidP="00907941">
      <w:pPr>
        <w:jc w:val="both"/>
        <w:rPr>
          <w:sz w:val="22"/>
          <w:szCs w:val="22"/>
          <w:lang w:val="en-US" w:eastAsia="pt-PT"/>
        </w:rPr>
      </w:pPr>
    </w:p>
    <w:p w14:paraId="33713C52"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Location</w:t>
      </w:r>
    </w:p>
    <w:p w14:paraId="1A23DF72" w14:textId="77777777" w:rsidR="006B3F46" w:rsidRPr="00F131F7" w:rsidRDefault="006B3F46" w:rsidP="002E4B39">
      <w:pPr>
        <w:suppressLineNumbers/>
        <w:spacing w:after="120"/>
        <w:jc w:val="both"/>
        <w:rPr>
          <w:rFonts w:eastAsia="MS Mincho"/>
          <w:sz w:val="22"/>
          <w:szCs w:val="22"/>
          <w:lang w:val="en-US"/>
        </w:rPr>
      </w:pPr>
      <w:r w:rsidRPr="0021277B">
        <w:rPr>
          <w:snapToGrid w:val="0"/>
          <w:kern w:val="22"/>
          <w:sz w:val="22"/>
          <w:szCs w:val="22"/>
        </w:rPr>
        <w:t xml:space="preserve">The </w:t>
      </w:r>
      <w:r w:rsidRPr="002E4B39">
        <w:rPr>
          <w:rFonts w:eastAsia="MS Mincho"/>
          <w:sz w:val="22"/>
          <w:szCs w:val="22"/>
          <w:lang w:val="en-US"/>
        </w:rPr>
        <w:t>area</w:t>
      </w:r>
      <w:r w:rsidRPr="0021277B">
        <w:rPr>
          <w:snapToGrid w:val="0"/>
          <w:kern w:val="22"/>
          <w:sz w:val="22"/>
          <w:szCs w:val="22"/>
        </w:rPr>
        <w:t xml:space="preserve"> is bounded by the parallels 39º28`4.39``N and 33º31`17.04``N, and the meridians 13º31`12.88`` W and 14º25`58.54``W </w:t>
      </w:r>
      <w:r w:rsidRPr="00F131F7">
        <w:rPr>
          <w:rFonts w:eastAsia="MS Mincho"/>
          <w:sz w:val="22"/>
          <w:szCs w:val="22"/>
          <w:lang w:val="en-US"/>
        </w:rPr>
        <w:t xml:space="preserve">(Figure 3). </w:t>
      </w:r>
    </w:p>
    <w:p w14:paraId="46AB36E7"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T</w:t>
      </w:r>
      <w:r w:rsidRPr="009978E3">
        <w:rPr>
          <w:rFonts w:eastAsia="MS Mincho"/>
          <w:sz w:val="22"/>
          <w:szCs w:val="22"/>
          <w:lang w:val="en-US"/>
        </w:rPr>
        <w:t>he polygon is defined by 26 points</w:t>
      </w:r>
      <w:r>
        <w:rPr>
          <w:rFonts w:eastAsia="MS Mincho"/>
          <w:sz w:val="22"/>
          <w:szCs w:val="22"/>
          <w:lang w:val="en-US"/>
        </w:rPr>
        <w:t xml:space="preserve"> (</w:t>
      </w:r>
      <w:r w:rsidRPr="009978E3">
        <w:rPr>
          <w:rFonts w:eastAsia="MS Mincho"/>
          <w:sz w:val="22"/>
          <w:szCs w:val="22"/>
          <w:lang w:val="en-US"/>
        </w:rPr>
        <w:t>see Table 2</w:t>
      </w:r>
      <w:r>
        <w:rPr>
          <w:rFonts w:eastAsia="MS Mincho"/>
          <w:sz w:val="22"/>
          <w:szCs w:val="22"/>
          <w:lang w:val="en-US"/>
        </w:rPr>
        <w:t>)</w:t>
      </w:r>
      <w:r w:rsidRPr="009978E3">
        <w:rPr>
          <w:rFonts w:eastAsia="MS Mincho"/>
          <w:sz w:val="22"/>
          <w:szCs w:val="22"/>
          <w:lang w:val="en-US"/>
        </w:rPr>
        <w:t>. The datum used is World Geodetic System 1984 (WGS84).</w:t>
      </w:r>
    </w:p>
    <w:p w14:paraId="3201E04F" w14:textId="77777777" w:rsidR="006B3F46" w:rsidRPr="0021277B" w:rsidRDefault="006B3F46" w:rsidP="002E4B39">
      <w:pPr>
        <w:suppressLineNumbers/>
        <w:spacing w:after="120"/>
        <w:jc w:val="both"/>
        <w:rPr>
          <w:sz w:val="22"/>
          <w:szCs w:val="22"/>
          <w:lang w:val="en-US"/>
        </w:rPr>
      </w:pPr>
      <w:r w:rsidRPr="002E4B39">
        <w:rPr>
          <w:rFonts w:eastAsia="MS Mincho"/>
          <w:sz w:val="22"/>
          <w:szCs w:val="22"/>
          <w:lang w:val="en-US"/>
        </w:rPr>
        <w:t>Table</w:t>
      </w:r>
      <w:r w:rsidRPr="0021277B">
        <w:rPr>
          <w:sz w:val="22"/>
          <w:szCs w:val="22"/>
          <w:lang w:val="en-US"/>
        </w:rPr>
        <w:t xml:space="preserve"> </w:t>
      </w:r>
      <w:r>
        <w:rPr>
          <w:sz w:val="22"/>
          <w:szCs w:val="22"/>
          <w:lang w:val="en-US"/>
        </w:rPr>
        <w:t>1</w:t>
      </w:r>
      <w:r w:rsidRPr="0021277B">
        <w:rPr>
          <w:sz w:val="22"/>
          <w:szCs w:val="22"/>
          <w:lang w:val="en-US"/>
        </w:rPr>
        <w:t xml:space="preserve"> – Geographic coordinates in two different formats: Decimal degrees and Degrees, Minutes and Seconds, corresponding to the vertices of the polygon that defines the area.</w:t>
      </w:r>
    </w:p>
    <w:p w14:paraId="0D06FF29" w14:textId="77777777" w:rsidR="006B3F46" w:rsidRPr="0021277B" w:rsidRDefault="006B3F46" w:rsidP="00907941">
      <w:pPr>
        <w:jc w:val="both"/>
        <w:rPr>
          <w:sz w:val="22"/>
          <w:szCs w:val="22"/>
          <w:lang w:val="en-US"/>
        </w:rPr>
      </w:pPr>
      <w:r w:rsidRPr="009978E3">
        <w:rPr>
          <w:sz w:val="22"/>
          <w:szCs w:val="22"/>
          <w:lang w:val="en-US"/>
        </w:rPr>
        <w:fldChar w:fldCharType="begin"/>
      </w:r>
      <w:r w:rsidRPr="0021277B">
        <w:rPr>
          <w:sz w:val="22"/>
          <w:szCs w:val="22"/>
          <w:lang w:val="en-US"/>
        </w:rPr>
        <w:instrText xml:space="preserve"> LINK Excel.Sheet.12 "C:\\Users\\mariadionisio\\Downloads\\Madeira_Tore_vertices.xlsx" "Madeira_Tore_vertices!L1C2:L27C6" \a \f 4 \h  \* MERGEFORMAT </w:instrText>
      </w:r>
      <w:r w:rsidRPr="009978E3">
        <w:rPr>
          <w:sz w:val="22"/>
          <w:szCs w:val="22"/>
          <w:lang w:val="en-US"/>
        </w:rPr>
        <w:fldChar w:fldCharType="separate"/>
      </w:r>
    </w:p>
    <w:tbl>
      <w:tblPr>
        <w:tblW w:w="8750" w:type="dxa"/>
        <w:tblInd w:w="70" w:type="dxa"/>
        <w:tblCellMar>
          <w:left w:w="70" w:type="dxa"/>
          <w:right w:w="70" w:type="dxa"/>
        </w:tblCellMar>
        <w:tblLook w:val="04A0" w:firstRow="1" w:lastRow="0" w:firstColumn="1" w:lastColumn="0" w:noHBand="0" w:noVBand="1"/>
      </w:tblPr>
      <w:tblGrid>
        <w:gridCol w:w="910"/>
        <w:gridCol w:w="1960"/>
        <w:gridCol w:w="1960"/>
        <w:gridCol w:w="1960"/>
        <w:gridCol w:w="1960"/>
      </w:tblGrid>
      <w:tr w:rsidR="006B3F46" w:rsidRPr="0021277B" w14:paraId="33D7A1E4" w14:textId="77777777" w:rsidTr="00907941">
        <w:trPr>
          <w:trHeight w:val="300"/>
        </w:trPr>
        <w:tc>
          <w:tcPr>
            <w:tcW w:w="9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776DCE" w14:textId="77777777" w:rsidR="006B3F46" w:rsidRPr="009978E3" w:rsidRDefault="006B3F46" w:rsidP="00907941">
            <w:pPr>
              <w:jc w:val="center"/>
              <w:rPr>
                <w:b/>
                <w:bCs/>
                <w:color w:val="000000"/>
                <w:sz w:val="22"/>
                <w:szCs w:val="22"/>
                <w:lang w:val="pt-PT" w:eastAsia="pt-PT"/>
              </w:rPr>
            </w:pPr>
            <w:r w:rsidRPr="009978E3">
              <w:rPr>
                <w:b/>
                <w:bCs/>
                <w:color w:val="000000"/>
                <w:sz w:val="22"/>
                <w:szCs w:val="22"/>
                <w:lang w:val="pt-PT" w:eastAsia="pt-PT"/>
              </w:rPr>
              <w:t>Vertices</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60BC7497" w14:textId="77777777" w:rsidR="006B3F46" w:rsidRPr="009978E3" w:rsidRDefault="006B3F46" w:rsidP="00907941">
            <w:pPr>
              <w:jc w:val="center"/>
              <w:rPr>
                <w:b/>
                <w:bCs/>
                <w:color w:val="000000"/>
                <w:sz w:val="22"/>
                <w:szCs w:val="22"/>
                <w:lang w:val="pt-PT" w:eastAsia="pt-PT"/>
              </w:rPr>
            </w:pPr>
            <w:r w:rsidRPr="009978E3">
              <w:rPr>
                <w:b/>
                <w:bCs/>
                <w:color w:val="000000"/>
                <w:sz w:val="22"/>
                <w:szCs w:val="22"/>
                <w:lang w:val="pt-PT" w:eastAsia="pt-PT"/>
              </w:rPr>
              <w:t>Latitude</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38D1AF41" w14:textId="77777777" w:rsidR="006B3F46" w:rsidRPr="009978E3" w:rsidRDefault="006B3F46" w:rsidP="00907941">
            <w:pPr>
              <w:jc w:val="center"/>
              <w:rPr>
                <w:b/>
                <w:bCs/>
                <w:color w:val="000000"/>
                <w:sz w:val="22"/>
                <w:szCs w:val="22"/>
                <w:lang w:val="pt-PT" w:eastAsia="pt-PT"/>
              </w:rPr>
            </w:pPr>
            <w:r w:rsidRPr="009978E3">
              <w:rPr>
                <w:b/>
                <w:bCs/>
                <w:color w:val="000000"/>
                <w:sz w:val="22"/>
                <w:szCs w:val="22"/>
                <w:lang w:val="pt-PT" w:eastAsia="pt-PT"/>
              </w:rPr>
              <w:t>Longitude</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5F3D27C1" w14:textId="77777777" w:rsidR="006B3F46" w:rsidRPr="009978E3" w:rsidRDefault="006B3F46" w:rsidP="00907941">
            <w:pPr>
              <w:jc w:val="center"/>
              <w:rPr>
                <w:b/>
                <w:bCs/>
                <w:color w:val="000000"/>
                <w:sz w:val="22"/>
                <w:szCs w:val="22"/>
                <w:lang w:val="pt-PT" w:eastAsia="pt-PT"/>
              </w:rPr>
            </w:pPr>
            <w:r w:rsidRPr="009978E3">
              <w:rPr>
                <w:b/>
                <w:bCs/>
                <w:color w:val="000000"/>
                <w:sz w:val="22"/>
                <w:szCs w:val="22"/>
                <w:lang w:val="pt-PT" w:eastAsia="pt-PT"/>
              </w:rPr>
              <w:t>Latitude</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482AFA78" w14:textId="77777777" w:rsidR="006B3F46" w:rsidRPr="009978E3" w:rsidRDefault="006B3F46" w:rsidP="00907941">
            <w:pPr>
              <w:jc w:val="center"/>
              <w:rPr>
                <w:b/>
                <w:bCs/>
                <w:color w:val="000000"/>
                <w:sz w:val="22"/>
                <w:szCs w:val="22"/>
                <w:lang w:val="pt-PT" w:eastAsia="pt-PT"/>
              </w:rPr>
            </w:pPr>
            <w:r w:rsidRPr="009978E3">
              <w:rPr>
                <w:b/>
                <w:bCs/>
                <w:color w:val="000000"/>
                <w:sz w:val="22"/>
                <w:szCs w:val="22"/>
                <w:lang w:val="pt-PT" w:eastAsia="pt-PT"/>
              </w:rPr>
              <w:t>Longitude</w:t>
            </w:r>
          </w:p>
        </w:tc>
      </w:tr>
      <w:tr w:rsidR="006B3F46" w:rsidRPr="0021277B" w14:paraId="422AC0C0"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26A6890"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w:t>
            </w:r>
          </w:p>
        </w:tc>
        <w:tc>
          <w:tcPr>
            <w:tcW w:w="1960" w:type="dxa"/>
            <w:tcBorders>
              <w:top w:val="nil"/>
              <w:left w:val="nil"/>
              <w:bottom w:val="single" w:sz="4" w:space="0" w:color="auto"/>
              <w:right w:val="single" w:sz="4" w:space="0" w:color="auto"/>
            </w:tcBorders>
            <w:shd w:val="clear" w:color="auto" w:fill="auto"/>
            <w:noWrap/>
            <w:vAlign w:val="center"/>
            <w:hideMark/>
          </w:tcPr>
          <w:p w14:paraId="773A5A1D"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37,41282592230°</w:t>
            </w:r>
          </w:p>
        </w:tc>
        <w:tc>
          <w:tcPr>
            <w:tcW w:w="1960" w:type="dxa"/>
            <w:tcBorders>
              <w:top w:val="nil"/>
              <w:left w:val="nil"/>
              <w:bottom w:val="single" w:sz="4" w:space="0" w:color="auto"/>
              <w:right w:val="single" w:sz="4" w:space="0" w:color="auto"/>
            </w:tcBorders>
            <w:shd w:val="clear" w:color="auto" w:fill="auto"/>
            <w:noWrap/>
            <w:vAlign w:val="center"/>
            <w:hideMark/>
          </w:tcPr>
          <w:p w14:paraId="14A009D7"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-10,78412204750°</w:t>
            </w:r>
          </w:p>
        </w:tc>
        <w:tc>
          <w:tcPr>
            <w:tcW w:w="1960" w:type="dxa"/>
            <w:tcBorders>
              <w:top w:val="nil"/>
              <w:left w:val="nil"/>
              <w:bottom w:val="single" w:sz="4" w:space="0" w:color="auto"/>
              <w:right w:val="single" w:sz="4" w:space="0" w:color="auto"/>
            </w:tcBorders>
            <w:shd w:val="clear" w:color="auto" w:fill="auto"/>
            <w:noWrap/>
            <w:vAlign w:val="center"/>
            <w:hideMark/>
          </w:tcPr>
          <w:p w14:paraId="5AA647F5"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 24' 46,173" N</w:t>
            </w:r>
          </w:p>
        </w:tc>
        <w:tc>
          <w:tcPr>
            <w:tcW w:w="1960" w:type="dxa"/>
            <w:tcBorders>
              <w:top w:val="nil"/>
              <w:left w:val="nil"/>
              <w:bottom w:val="single" w:sz="4" w:space="0" w:color="auto"/>
              <w:right w:val="single" w:sz="4" w:space="0" w:color="auto"/>
            </w:tcBorders>
            <w:shd w:val="clear" w:color="auto" w:fill="auto"/>
            <w:noWrap/>
            <w:vAlign w:val="center"/>
            <w:hideMark/>
          </w:tcPr>
          <w:p w14:paraId="38236D74"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10° 47' 2,839" W</w:t>
            </w:r>
          </w:p>
        </w:tc>
      </w:tr>
      <w:tr w:rsidR="006B3F46" w:rsidRPr="0021277B" w14:paraId="4CE42AFF"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D3155C5"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w:t>
            </w:r>
          </w:p>
        </w:tc>
        <w:tc>
          <w:tcPr>
            <w:tcW w:w="1960" w:type="dxa"/>
            <w:tcBorders>
              <w:top w:val="nil"/>
              <w:left w:val="nil"/>
              <w:bottom w:val="single" w:sz="4" w:space="0" w:color="auto"/>
              <w:right w:val="single" w:sz="4" w:space="0" w:color="auto"/>
            </w:tcBorders>
            <w:shd w:val="clear" w:color="auto" w:fill="auto"/>
            <w:noWrap/>
            <w:vAlign w:val="center"/>
            <w:hideMark/>
          </w:tcPr>
          <w:p w14:paraId="68B46678"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37,14775660190°</w:t>
            </w:r>
          </w:p>
        </w:tc>
        <w:tc>
          <w:tcPr>
            <w:tcW w:w="1960" w:type="dxa"/>
            <w:tcBorders>
              <w:top w:val="nil"/>
              <w:left w:val="nil"/>
              <w:bottom w:val="single" w:sz="4" w:space="0" w:color="auto"/>
              <w:right w:val="single" w:sz="4" w:space="0" w:color="auto"/>
            </w:tcBorders>
            <w:shd w:val="clear" w:color="auto" w:fill="auto"/>
            <w:noWrap/>
            <w:vAlign w:val="center"/>
            <w:hideMark/>
          </w:tcPr>
          <w:p w14:paraId="6BCBE5D4"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-10,36140031970°</w:t>
            </w:r>
          </w:p>
        </w:tc>
        <w:tc>
          <w:tcPr>
            <w:tcW w:w="1960" w:type="dxa"/>
            <w:tcBorders>
              <w:top w:val="nil"/>
              <w:left w:val="nil"/>
              <w:bottom w:val="single" w:sz="4" w:space="0" w:color="auto"/>
              <w:right w:val="single" w:sz="4" w:space="0" w:color="auto"/>
            </w:tcBorders>
            <w:shd w:val="clear" w:color="auto" w:fill="auto"/>
            <w:noWrap/>
            <w:vAlign w:val="center"/>
            <w:hideMark/>
          </w:tcPr>
          <w:p w14:paraId="083CE6DD"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 8' 51,924" N</w:t>
            </w:r>
          </w:p>
        </w:tc>
        <w:tc>
          <w:tcPr>
            <w:tcW w:w="1960" w:type="dxa"/>
            <w:tcBorders>
              <w:top w:val="nil"/>
              <w:left w:val="nil"/>
              <w:bottom w:val="single" w:sz="4" w:space="0" w:color="auto"/>
              <w:right w:val="single" w:sz="4" w:space="0" w:color="auto"/>
            </w:tcBorders>
            <w:shd w:val="clear" w:color="auto" w:fill="auto"/>
            <w:noWrap/>
            <w:vAlign w:val="center"/>
            <w:hideMark/>
          </w:tcPr>
          <w:p w14:paraId="23714EAE"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10° 21' 41,041" W</w:t>
            </w:r>
          </w:p>
        </w:tc>
      </w:tr>
      <w:tr w:rsidR="006B3F46" w:rsidRPr="0021277B" w14:paraId="015432F0"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685264E8"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3</w:t>
            </w:r>
          </w:p>
        </w:tc>
        <w:tc>
          <w:tcPr>
            <w:tcW w:w="1960" w:type="dxa"/>
            <w:tcBorders>
              <w:top w:val="nil"/>
              <w:left w:val="nil"/>
              <w:bottom w:val="single" w:sz="4" w:space="0" w:color="auto"/>
              <w:right w:val="single" w:sz="4" w:space="0" w:color="auto"/>
            </w:tcBorders>
            <w:shd w:val="clear" w:color="auto" w:fill="auto"/>
            <w:noWrap/>
            <w:vAlign w:val="center"/>
            <w:hideMark/>
          </w:tcPr>
          <w:p w14:paraId="3BF6042E"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36,40609631810°</w:t>
            </w:r>
          </w:p>
        </w:tc>
        <w:tc>
          <w:tcPr>
            <w:tcW w:w="1960" w:type="dxa"/>
            <w:tcBorders>
              <w:top w:val="nil"/>
              <w:left w:val="nil"/>
              <w:bottom w:val="single" w:sz="4" w:space="0" w:color="auto"/>
              <w:right w:val="single" w:sz="4" w:space="0" w:color="auto"/>
            </w:tcBorders>
            <w:shd w:val="clear" w:color="auto" w:fill="auto"/>
            <w:noWrap/>
            <w:vAlign w:val="center"/>
            <w:hideMark/>
          </w:tcPr>
          <w:p w14:paraId="680B21C4"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-10,30061815410°</w:t>
            </w:r>
          </w:p>
        </w:tc>
        <w:tc>
          <w:tcPr>
            <w:tcW w:w="1960" w:type="dxa"/>
            <w:tcBorders>
              <w:top w:val="nil"/>
              <w:left w:val="nil"/>
              <w:bottom w:val="single" w:sz="4" w:space="0" w:color="auto"/>
              <w:right w:val="single" w:sz="4" w:space="0" w:color="auto"/>
            </w:tcBorders>
            <w:shd w:val="clear" w:color="auto" w:fill="auto"/>
            <w:noWrap/>
            <w:vAlign w:val="center"/>
            <w:hideMark/>
          </w:tcPr>
          <w:p w14:paraId="0E1B39DE"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 24' 21,947" N</w:t>
            </w:r>
          </w:p>
        </w:tc>
        <w:tc>
          <w:tcPr>
            <w:tcW w:w="1960" w:type="dxa"/>
            <w:tcBorders>
              <w:top w:val="nil"/>
              <w:left w:val="nil"/>
              <w:bottom w:val="single" w:sz="4" w:space="0" w:color="auto"/>
              <w:right w:val="single" w:sz="4" w:space="0" w:color="auto"/>
            </w:tcBorders>
            <w:shd w:val="clear" w:color="auto" w:fill="auto"/>
            <w:noWrap/>
            <w:vAlign w:val="center"/>
            <w:hideMark/>
          </w:tcPr>
          <w:p w14:paraId="4587AF13"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10° 18' 2,225" W</w:t>
            </w:r>
          </w:p>
        </w:tc>
      </w:tr>
      <w:tr w:rsidR="006B3F46" w:rsidRPr="0021277B" w14:paraId="2D7B1D1A"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1632DC29"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4</w:t>
            </w:r>
          </w:p>
        </w:tc>
        <w:tc>
          <w:tcPr>
            <w:tcW w:w="1960" w:type="dxa"/>
            <w:tcBorders>
              <w:top w:val="nil"/>
              <w:left w:val="nil"/>
              <w:bottom w:val="single" w:sz="4" w:space="0" w:color="auto"/>
              <w:right w:val="single" w:sz="4" w:space="0" w:color="auto"/>
            </w:tcBorders>
            <w:shd w:val="clear" w:color="auto" w:fill="auto"/>
            <w:noWrap/>
            <w:vAlign w:val="center"/>
            <w:hideMark/>
          </w:tcPr>
          <w:p w14:paraId="3834C280"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35,82664926560°</w:t>
            </w:r>
          </w:p>
        </w:tc>
        <w:tc>
          <w:tcPr>
            <w:tcW w:w="1960" w:type="dxa"/>
            <w:tcBorders>
              <w:top w:val="nil"/>
              <w:left w:val="nil"/>
              <w:bottom w:val="single" w:sz="4" w:space="0" w:color="auto"/>
              <w:right w:val="single" w:sz="4" w:space="0" w:color="auto"/>
            </w:tcBorders>
            <w:shd w:val="clear" w:color="auto" w:fill="auto"/>
            <w:noWrap/>
            <w:vAlign w:val="center"/>
            <w:hideMark/>
          </w:tcPr>
          <w:p w14:paraId="5B1670EB"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-11,54178462270°</w:t>
            </w:r>
          </w:p>
        </w:tc>
        <w:tc>
          <w:tcPr>
            <w:tcW w:w="1960" w:type="dxa"/>
            <w:tcBorders>
              <w:top w:val="nil"/>
              <w:left w:val="nil"/>
              <w:bottom w:val="single" w:sz="4" w:space="0" w:color="auto"/>
              <w:right w:val="single" w:sz="4" w:space="0" w:color="auto"/>
            </w:tcBorders>
            <w:shd w:val="clear" w:color="auto" w:fill="auto"/>
            <w:noWrap/>
            <w:vAlign w:val="center"/>
            <w:hideMark/>
          </w:tcPr>
          <w:p w14:paraId="06F6C363"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49' 35,937" N</w:t>
            </w:r>
          </w:p>
        </w:tc>
        <w:tc>
          <w:tcPr>
            <w:tcW w:w="1960" w:type="dxa"/>
            <w:tcBorders>
              <w:top w:val="nil"/>
              <w:left w:val="nil"/>
              <w:bottom w:val="single" w:sz="4" w:space="0" w:color="auto"/>
              <w:right w:val="single" w:sz="4" w:space="0" w:color="auto"/>
            </w:tcBorders>
            <w:shd w:val="clear" w:color="auto" w:fill="auto"/>
            <w:noWrap/>
            <w:vAlign w:val="center"/>
            <w:hideMark/>
          </w:tcPr>
          <w:p w14:paraId="43B2628A"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11° 32' 30,425" W</w:t>
            </w:r>
          </w:p>
        </w:tc>
      </w:tr>
      <w:tr w:rsidR="006B3F46" w:rsidRPr="0021277B" w14:paraId="7A8BDF85"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67184788"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5</w:t>
            </w:r>
          </w:p>
        </w:tc>
        <w:tc>
          <w:tcPr>
            <w:tcW w:w="1960" w:type="dxa"/>
            <w:tcBorders>
              <w:top w:val="nil"/>
              <w:left w:val="nil"/>
              <w:bottom w:val="single" w:sz="4" w:space="0" w:color="auto"/>
              <w:right w:val="single" w:sz="4" w:space="0" w:color="auto"/>
            </w:tcBorders>
            <w:shd w:val="clear" w:color="auto" w:fill="auto"/>
            <w:noWrap/>
            <w:vAlign w:val="center"/>
            <w:hideMark/>
          </w:tcPr>
          <w:p w14:paraId="297D2B7D"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35,86752382000°</w:t>
            </w:r>
          </w:p>
        </w:tc>
        <w:tc>
          <w:tcPr>
            <w:tcW w:w="1960" w:type="dxa"/>
            <w:tcBorders>
              <w:top w:val="nil"/>
              <w:left w:val="nil"/>
              <w:bottom w:val="single" w:sz="4" w:space="0" w:color="auto"/>
              <w:right w:val="single" w:sz="4" w:space="0" w:color="auto"/>
            </w:tcBorders>
            <w:shd w:val="clear" w:color="auto" w:fill="auto"/>
            <w:noWrap/>
            <w:vAlign w:val="center"/>
            <w:hideMark/>
          </w:tcPr>
          <w:p w14:paraId="41FA1049"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-12,34720852460°</w:t>
            </w:r>
          </w:p>
        </w:tc>
        <w:tc>
          <w:tcPr>
            <w:tcW w:w="1960" w:type="dxa"/>
            <w:tcBorders>
              <w:top w:val="nil"/>
              <w:left w:val="nil"/>
              <w:bottom w:val="single" w:sz="4" w:space="0" w:color="auto"/>
              <w:right w:val="single" w:sz="4" w:space="0" w:color="auto"/>
            </w:tcBorders>
            <w:shd w:val="clear" w:color="auto" w:fill="auto"/>
            <w:noWrap/>
            <w:vAlign w:val="center"/>
            <w:hideMark/>
          </w:tcPr>
          <w:p w14:paraId="314F8B00"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52' 3,086" N</w:t>
            </w:r>
          </w:p>
        </w:tc>
        <w:tc>
          <w:tcPr>
            <w:tcW w:w="1960" w:type="dxa"/>
            <w:tcBorders>
              <w:top w:val="nil"/>
              <w:left w:val="nil"/>
              <w:bottom w:val="single" w:sz="4" w:space="0" w:color="auto"/>
              <w:right w:val="single" w:sz="4" w:space="0" w:color="auto"/>
            </w:tcBorders>
            <w:shd w:val="clear" w:color="auto" w:fill="auto"/>
            <w:noWrap/>
            <w:vAlign w:val="center"/>
            <w:hideMark/>
          </w:tcPr>
          <w:p w14:paraId="5394479B"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12° 20' 49,951" W</w:t>
            </w:r>
          </w:p>
        </w:tc>
      </w:tr>
      <w:tr w:rsidR="006B3F46" w:rsidRPr="0021277B" w14:paraId="6D914B18"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630AE5D4"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6</w:t>
            </w:r>
          </w:p>
        </w:tc>
        <w:tc>
          <w:tcPr>
            <w:tcW w:w="1960" w:type="dxa"/>
            <w:tcBorders>
              <w:top w:val="nil"/>
              <w:left w:val="nil"/>
              <w:bottom w:val="single" w:sz="4" w:space="0" w:color="auto"/>
              <w:right w:val="single" w:sz="4" w:space="0" w:color="auto"/>
            </w:tcBorders>
            <w:shd w:val="clear" w:color="auto" w:fill="auto"/>
            <w:noWrap/>
            <w:vAlign w:val="center"/>
            <w:hideMark/>
          </w:tcPr>
          <w:p w14:paraId="341FE13D"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35,86956765170°</w:t>
            </w:r>
          </w:p>
        </w:tc>
        <w:tc>
          <w:tcPr>
            <w:tcW w:w="1960" w:type="dxa"/>
            <w:tcBorders>
              <w:top w:val="nil"/>
              <w:left w:val="nil"/>
              <w:bottom w:val="single" w:sz="4" w:space="0" w:color="auto"/>
              <w:right w:val="single" w:sz="4" w:space="0" w:color="auto"/>
            </w:tcBorders>
            <w:shd w:val="clear" w:color="auto" w:fill="auto"/>
            <w:noWrap/>
            <w:vAlign w:val="center"/>
            <w:hideMark/>
          </w:tcPr>
          <w:p w14:paraId="4610B83A"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-14,09668145850°</w:t>
            </w:r>
          </w:p>
        </w:tc>
        <w:tc>
          <w:tcPr>
            <w:tcW w:w="1960" w:type="dxa"/>
            <w:tcBorders>
              <w:top w:val="nil"/>
              <w:left w:val="nil"/>
              <w:bottom w:val="single" w:sz="4" w:space="0" w:color="auto"/>
              <w:right w:val="single" w:sz="4" w:space="0" w:color="auto"/>
            </w:tcBorders>
            <w:shd w:val="clear" w:color="auto" w:fill="auto"/>
            <w:noWrap/>
            <w:vAlign w:val="center"/>
            <w:hideMark/>
          </w:tcPr>
          <w:p w14:paraId="0A786576"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52' 10,444" N</w:t>
            </w:r>
          </w:p>
        </w:tc>
        <w:tc>
          <w:tcPr>
            <w:tcW w:w="1960" w:type="dxa"/>
            <w:tcBorders>
              <w:top w:val="nil"/>
              <w:left w:val="nil"/>
              <w:bottom w:val="single" w:sz="4" w:space="0" w:color="auto"/>
              <w:right w:val="single" w:sz="4" w:space="0" w:color="auto"/>
            </w:tcBorders>
            <w:shd w:val="clear" w:color="auto" w:fill="auto"/>
            <w:noWrap/>
            <w:vAlign w:val="center"/>
            <w:hideMark/>
          </w:tcPr>
          <w:p w14:paraId="47D911EB"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14° 5' 48,053" W</w:t>
            </w:r>
          </w:p>
        </w:tc>
      </w:tr>
      <w:tr w:rsidR="006B3F46" w:rsidRPr="0021277B" w14:paraId="7E20D4C4"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9FAD90B"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7</w:t>
            </w:r>
          </w:p>
        </w:tc>
        <w:tc>
          <w:tcPr>
            <w:tcW w:w="1960" w:type="dxa"/>
            <w:tcBorders>
              <w:top w:val="nil"/>
              <w:left w:val="nil"/>
              <w:bottom w:val="single" w:sz="4" w:space="0" w:color="auto"/>
              <w:right w:val="single" w:sz="4" w:space="0" w:color="auto"/>
            </w:tcBorders>
            <w:shd w:val="clear" w:color="auto" w:fill="auto"/>
            <w:noWrap/>
            <w:vAlign w:val="center"/>
            <w:hideMark/>
          </w:tcPr>
          <w:p w14:paraId="2765689E"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35,46583663810°</w:t>
            </w:r>
          </w:p>
        </w:tc>
        <w:tc>
          <w:tcPr>
            <w:tcW w:w="1960" w:type="dxa"/>
            <w:tcBorders>
              <w:top w:val="nil"/>
              <w:left w:val="nil"/>
              <w:bottom w:val="single" w:sz="4" w:space="0" w:color="auto"/>
              <w:right w:val="single" w:sz="4" w:space="0" w:color="auto"/>
            </w:tcBorders>
            <w:shd w:val="clear" w:color="auto" w:fill="auto"/>
            <w:noWrap/>
            <w:vAlign w:val="center"/>
            <w:hideMark/>
          </w:tcPr>
          <w:p w14:paraId="786B4558"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-14,20440676570°</w:t>
            </w:r>
          </w:p>
        </w:tc>
        <w:tc>
          <w:tcPr>
            <w:tcW w:w="1960" w:type="dxa"/>
            <w:tcBorders>
              <w:top w:val="nil"/>
              <w:left w:val="nil"/>
              <w:bottom w:val="single" w:sz="4" w:space="0" w:color="auto"/>
              <w:right w:val="single" w:sz="4" w:space="0" w:color="auto"/>
            </w:tcBorders>
            <w:shd w:val="clear" w:color="auto" w:fill="auto"/>
            <w:noWrap/>
            <w:vAlign w:val="center"/>
            <w:hideMark/>
          </w:tcPr>
          <w:p w14:paraId="465039E7"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27' 57,012" N</w:t>
            </w:r>
          </w:p>
        </w:tc>
        <w:tc>
          <w:tcPr>
            <w:tcW w:w="1960" w:type="dxa"/>
            <w:tcBorders>
              <w:top w:val="nil"/>
              <w:left w:val="nil"/>
              <w:bottom w:val="single" w:sz="4" w:space="0" w:color="auto"/>
              <w:right w:val="single" w:sz="4" w:space="0" w:color="auto"/>
            </w:tcBorders>
            <w:shd w:val="clear" w:color="auto" w:fill="auto"/>
            <w:noWrap/>
            <w:vAlign w:val="center"/>
            <w:hideMark/>
          </w:tcPr>
          <w:p w14:paraId="0ECA335B"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14° 12' 15,864" W</w:t>
            </w:r>
          </w:p>
        </w:tc>
      </w:tr>
      <w:tr w:rsidR="006B3F46" w:rsidRPr="0021277B" w14:paraId="3B5CDFCB"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4C8F5192"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8</w:t>
            </w:r>
          </w:p>
        </w:tc>
        <w:tc>
          <w:tcPr>
            <w:tcW w:w="1960" w:type="dxa"/>
            <w:tcBorders>
              <w:top w:val="nil"/>
              <w:left w:val="nil"/>
              <w:bottom w:val="single" w:sz="4" w:space="0" w:color="auto"/>
              <w:right w:val="single" w:sz="4" w:space="0" w:color="auto"/>
            </w:tcBorders>
            <w:shd w:val="clear" w:color="auto" w:fill="auto"/>
            <w:noWrap/>
            <w:vAlign w:val="center"/>
            <w:hideMark/>
          </w:tcPr>
          <w:p w14:paraId="31393D4F"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35,24920143450°</w:t>
            </w:r>
          </w:p>
        </w:tc>
        <w:tc>
          <w:tcPr>
            <w:tcW w:w="1960" w:type="dxa"/>
            <w:tcBorders>
              <w:top w:val="nil"/>
              <w:left w:val="nil"/>
              <w:bottom w:val="single" w:sz="4" w:space="0" w:color="auto"/>
              <w:right w:val="single" w:sz="4" w:space="0" w:color="auto"/>
            </w:tcBorders>
            <w:shd w:val="clear" w:color="auto" w:fill="auto"/>
            <w:noWrap/>
            <w:vAlign w:val="center"/>
            <w:hideMark/>
          </w:tcPr>
          <w:p w14:paraId="7BF1CF6B"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-13,61929025320°</w:t>
            </w:r>
          </w:p>
        </w:tc>
        <w:tc>
          <w:tcPr>
            <w:tcW w:w="1960" w:type="dxa"/>
            <w:tcBorders>
              <w:top w:val="nil"/>
              <w:left w:val="nil"/>
              <w:bottom w:val="single" w:sz="4" w:space="0" w:color="auto"/>
              <w:right w:val="single" w:sz="4" w:space="0" w:color="auto"/>
            </w:tcBorders>
            <w:shd w:val="clear" w:color="auto" w:fill="auto"/>
            <w:noWrap/>
            <w:vAlign w:val="center"/>
            <w:hideMark/>
          </w:tcPr>
          <w:p w14:paraId="06AF4644"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14' 57,125" N</w:t>
            </w:r>
          </w:p>
        </w:tc>
        <w:tc>
          <w:tcPr>
            <w:tcW w:w="1960" w:type="dxa"/>
            <w:tcBorders>
              <w:top w:val="nil"/>
              <w:left w:val="nil"/>
              <w:bottom w:val="single" w:sz="4" w:space="0" w:color="auto"/>
              <w:right w:val="single" w:sz="4" w:space="0" w:color="auto"/>
            </w:tcBorders>
            <w:shd w:val="clear" w:color="auto" w:fill="auto"/>
            <w:noWrap/>
            <w:vAlign w:val="center"/>
            <w:hideMark/>
          </w:tcPr>
          <w:p w14:paraId="0D276510"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13° 37' 9,445" W</w:t>
            </w:r>
          </w:p>
        </w:tc>
      </w:tr>
      <w:tr w:rsidR="006B3F46" w:rsidRPr="0021277B" w14:paraId="573ABFB1"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502456F"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9</w:t>
            </w:r>
          </w:p>
        </w:tc>
        <w:tc>
          <w:tcPr>
            <w:tcW w:w="1960" w:type="dxa"/>
            <w:tcBorders>
              <w:top w:val="nil"/>
              <w:left w:val="nil"/>
              <w:bottom w:val="single" w:sz="4" w:space="0" w:color="auto"/>
              <w:right w:val="single" w:sz="4" w:space="0" w:color="auto"/>
            </w:tcBorders>
            <w:shd w:val="clear" w:color="auto" w:fill="auto"/>
            <w:noWrap/>
            <w:vAlign w:val="center"/>
            <w:hideMark/>
          </w:tcPr>
          <w:p w14:paraId="732EB998"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35,60380569240°</w:t>
            </w:r>
          </w:p>
        </w:tc>
        <w:tc>
          <w:tcPr>
            <w:tcW w:w="1960" w:type="dxa"/>
            <w:tcBorders>
              <w:top w:val="nil"/>
              <w:left w:val="nil"/>
              <w:bottom w:val="single" w:sz="4" w:space="0" w:color="auto"/>
              <w:right w:val="single" w:sz="4" w:space="0" w:color="auto"/>
            </w:tcBorders>
            <w:shd w:val="clear" w:color="auto" w:fill="auto"/>
            <w:noWrap/>
            <w:vAlign w:val="center"/>
            <w:hideMark/>
          </w:tcPr>
          <w:p w14:paraId="6292E93D"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-12,45599288130°</w:t>
            </w:r>
          </w:p>
        </w:tc>
        <w:tc>
          <w:tcPr>
            <w:tcW w:w="1960" w:type="dxa"/>
            <w:tcBorders>
              <w:top w:val="nil"/>
              <w:left w:val="nil"/>
              <w:bottom w:val="single" w:sz="4" w:space="0" w:color="auto"/>
              <w:right w:val="single" w:sz="4" w:space="0" w:color="auto"/>
            </w:tcBorders>
            <w:shd w:val="clear" w:color="auto" w:fill="auto"/>
            <w:noWrap/>
            <w:vAlign w:val="center"/>
            <w:hideMark/>
          </w:tcPr>
          <w:p w14:paraId="390AAE17"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36' 13,700" N</w:t>
            </w:r>
          </w:p>
        </w:tc>
        <w:tc>
          <w:tcPr>
            <w:tcW w:w="1960" w:type="dxa"/>
            <w:tcBorders>
              <w:top w:val="nil"/>
              <w:left w:val="nil"/>
              <w:bottom w:val="single" w:sz="4" w:space="0" w:color="auto"/>
              <w:right w:val="single" w:sz="4" w:space="0" w:color="auto"/>
            </w:tcBorders>
            <w:shd w:val="clear" w:color="auto" w:fill="auto"/>
            <w:noWrap/>
            <w:vAlign w:val="center"/>
            <w:hideMark/>
          </w:tcPr>
          <w:p w14:paraId="69C57588"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12° 27' 21,574" W</w:t>
            </w:r>
          </w:p>
        </w:tc>
      </w:tr>
      <w:tr w:rsidR="006B3F46" w:rsidRPr="0021277B" w14:paraId="07F82182"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03D8C89D"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10</w:t>
            </w:r>
          </w:p>
        </w:tc>
        <w:tc>
          <w:tcPr>
            <w:tcW w:w="1960" w:type="dxa"/>
            <w:tcBorders>
              <w:top w:val="nil"/>
              <w:left w:val="nil"/>
              <w:bottom w:val="single" w:sz="4" w:space="0" w:color="auto"/>
              <w:right w:val="single" w:sz="4" w:space="0" w:color="auto"/>
            </w:tcBorders>
            <w:shd w:val="clear" w:color="auto" w:fill="auto"/>
            <w:noWrap/>
            <w:vAlign w:val="center"/>
            <w:hideMark/>
          </w:tcPr>
          <w:p w14:paraId="2E94E450"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35,48803548040°</w:t>
            </w:r>
          </w:p>
        </w:tc>
        <w:tc>
          <w:tcPr>
            <w:tcW w:w="1960" w:type="dxa"/>
            <w:tcBorders>
              <w:top w:val="nil"/>
              <w:left w:val="nil"/>
              <w:bottom w:val="single" w:sz="4" w:space="0" w:color="auto"/>
              <w:right w:val="single" w:sz="4" w:space="0" w:color="auto"/>
            </w:tcBorders>
            <w:shd w:val="clear" w:color="auto" w:fill="auto"/>
            <w:noWrap/>
            <w:vAlign w:val="center"/>
            <w:hideMark/>
          </w:tcPr>
          <w:p w14:paraId="21078A29"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-11,00669030540°</w:t>
            </w:r>
          </w:p>
        </w:tc>
        <w:tc>
          <w:tcPr>
            <w:tcW w:w="1960" w:type="dxa"/>
            <w:tcBorders>
              <w:top w:val="nil"/>
              <w:left w:val="nil"/>
              <w:bottom w:val="single" w:sz="4" w:space="0" w:color="auto"/>
              <w:right w:val="single" w:sz="4" w:space="0" w:color="auto"/>
            </w:tcBorders>
            <w:shd w:val="clear" w:color="auto" w:fill="auto"/>
            <w:noWrap/>
            <w:vAlign w:val="center"/>
            <w:hideMark/>
          </w:tcPr>
          <w:p w14:paraId="394C0A1B"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29' 16,928" N</w:t>
            </w:r>
          </w:p>
        </w:tc>
        <w:tc>
          <w:tcPr>
            <w:tcW w:w="1960" w:type="dxa"/>
            <w:tcBorders>
              <w:top w:val="nil"/>
              <w:left w:val="nil"/>
              <w:bottom w:val="single" w:sz="4" w:space="0" w:color="auto"/>
              <w:right w:val="single" w:sz="4" w:space="0" w:color="auto"/>
            </w:tcBorders>
            <w:shd w:val="clear" w:color="auto" w:fill="auto"/>
            <w:noWrap/>
            <w:vAlign w:val="center"/>
            <w:hideMark/>
          </w:tcPr>
          <w:p w14:paraId="352C8507"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11° 0' 24,085" W</w:t>
            </w:r>
          </w:p>
        </w:tc>
      </w:tr>
      <w:tr w:rsidR="006B3F46" w:rsidRPr="0021277B" w14:paraId="1A4EE3B8"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552A2209"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11</w:t>
            </w:r>
          </w:p>
        </w:tc>
        <w:tc>
          <w:tcPr>
            <w:tcW w:w="1960" w:type="dxa"/>
            <w:tcBorders>
              <w:top w:val="nil"/>
              <w:left w:val="nil"/>
              <w:bottom w:val="single" w:sz="4" w:space="0" w:color="auto"/>
              <w:right w:val="single" w:sz="4" w:space="0" w:color="auto"/>
            </w:tcBorders>
            <w:shd w:val="clear" w:color="auto" w:fill="auto"/>
            <w:noWrap/>
            <w:vAlign w:val="center"/>
            <w:hideMark/>
          </w:tcPr>
          <w:p w14:paraId="4C689ABF"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34,97245166170°</w:t>
            </w:r>
          </w:p>
        </w:tc>
        <w:tc>
          <w:tcPr>
            <w:tcW w:w="1960" w:type="dxa"/>
            <w:tcBorders>
              <w:top w:val="nil"/>
              <w:left w:val="nil"/>
              <w:bottom w:val="single" w:sz="4" w:space="0" w:color="auto"/>
              <w:right w:val="single" w:sz="4" w:space="0" w:color="auto"/>
            </w:tcBorders>
            <w:shd w:val="clear" w:color="auto" w:fill="auto"/>
            <w:noWrap/>
            <w:vAlign w:val="center"/>
            <w:hideMark/>
          </w:tcPr>
          <w:p w14:paraId="6405654E"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-11,00669030540°</w:t>
            </w:r>
          </w:p>
        </w:tc>
        <w:tc>
          <w:tcPr>
            <w:tcW w:w="1960" w:type="dxa"/>
            <w:tcBorders>
              <w:top w:val="nil"/>
              <w:left w:val="nil"/>
              <w:bottom w:val="single" w:sz="4" w:space="0" w:color="auto"/>
              <w:right w:val="single" w:sz="4" w:space="0" w:color="auto"/>
            </w:tcBorders>
            <w:shd w:val="clear" w:color="auto" w:fill="auto"/>
            <w:noWrap/>
            <w:vAlign w:val="center"/>
            <w:hideMark/>
          </w:tcPr>
          <w:p w14:paraId="3E0C4BF6"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 58' 20,826" N</w:t>
            </w:r>
          </w:p>
        </w:tc>
        <w:tc>
          <w:tcPr>
            <w:tcW w:w="1960" w:type="dxa"/>
            <w:tcBorders>
              <w:top w:val="nil"/>
              <w:left w:val="nil"/>
              <w:bottom w:val="single" w:sz="4" w:space="0" w:color="auto"/>
              <w:right w:val="single" w:sz="4" w:space="0" w:color="auto"/>
            </w:tcBorders>
            <w:shd w:val="clear" w:color="auto" w:fill="auto"/>
            <w:noWrap/>
            <w:vAlign w:val="center"/>
            <w:hideMark/>
          </w:tcPr>
          <w:p w14:paraId="78CAE20C"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11° 0' 24,085" W</w:t>
            </w:r>
          </w:p>
        </w:tc>
      </w:tr>
      <w:tr w:rsidR="006B3F46" w:rsidRPr="0021277B" w14:paraId="64FE496B"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5F82B8F9"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12</w:t>
            </w:r>
          </w:p>
        </w:tc>
        <w:tc>
          <w:tcPr>
            <w:tcW w:w="1960" w:type="dxa"/>
            <w:tcBorders>
              <w:top w:val="nil"/>
              <w:left w:val="nil"/>
              <w:bottom w:val="single" w:sz="4" w:space="0" w:color="auto"/>
              <w:right w:val="single" w:sz="4" w:space="0" w:color="auto"/>
            </w:tcBorders>
            <w:shd w:val="clear" w:color="auto" w:fill="auto"/>
            <w:noWrap/>
            <w:vAlign w:val="center"/>
            <w:hideMark/>
          </w:tcPr>
          <w:p w14:paraId="34FF0BF6"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34,91594670000°</w:t>
            </w:r>
          </w:p>
        </w:tc>
        <w:tc>
          <w:tcPr>
            <w:tcW w:w="1960" w:type="dxa"/>
            <w:tcBorders>
              <w:top w:val="nil"/>
              <w:left w:val="nil"/>
              <w:bottom w:val="single" w:sz="4" w:space="0" w:color="auto"/>
              <w:right w:val="single" w:sz="4" w:space="0" w:color="auto"/>
            </w:tcBorders>
            <w:shd w:val="clear" w:color="auto" w:fill="auto"/>
            <w:noWrap/>
            <w:vAlign w:val="center"/>
            <w:hideMark/>
          </w:tcPr>
          <w:p w14:paraId="377ABE99"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-11,66657670000°</w:t>
            </w:r>
          </w:p>
        </w:tc>
        <w:tc>
          <w:tcPr>
            <w:tcW w:w="1960" w:type="dxa"/>
            <w:tcBorders>
              <w:top w:val="nil"/>
              <w:left w:val="nil"/>
              <w:bottom w:val="single" w:sz="4" w:space="0" w:color="auto"/>
              <w:right w:val="single" w:sz="4" w:space="0" w:color="auto"/>
            </w:tcBorders>
            <w:shd w:val="clear" w:color="auto" w:fill="auto"/>
            <w:noWrap/>
            <w:vAlign w:val="center"/>
            <w:hideMark/>
          </w:tcPr>
          <w:p w14:paraId="7AEED270"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 54' 57,408" N</w:t>
            </w:r>
          </w:p>
        </w:tc>
        <w:tc>
          <w:tcPr>
            <w:tcW w:w="1960" w:type="dxa"/>
            <w:tcBorders>
              <w:top w:val="nil"/>
              <w:left w:val="nil"/>
              <w:bottom w:val="single" w:sz="4" w:space="0" w:color="auto"/>
              <w:right w:val="single" w:sz="4" w:space="0" w:color="auto"/>
            </w:tcBorders>
            <w:shd w:val="clear" w:color="auto" w:fill="auto"/>
            <w:noWrap/>
            <w:vAlign w:val="center"/>
            <w:hideMark/>
          </w:tcPr>
          <w:p w14:paraId="370C113E"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11° 39' 59,676" W</w:t>
            </w:r>
          </w:p>
        </w:tc>
      </w:tr>
      <w:tr w:rsidR="006B3F46" w:rsidRPr="0021277B" w14:paraId="157DF9F5"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0A537C2B"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13</w:t>
            </w:r>
          </w:p>
        </w:tc>
        <w:tc>
          <w:tcPr>
            <w:tcW w:w="1960" w:type="dxa"/>
            <w:tcBorders>
              <w:top w:val="nil"/>
              <w:left w:val="nil"/>
              <w:bottom w:val="single" w:sz="4" w:space="0" w:color="auto"/>
              <w:right w:val="single" w:sz="4" w:space="0" w:color="auto"/>
            </w:tcBorders>
            <w:shd w:val="clear" w:color="auto" w:fill="auto"/>
            <w:noWrap/>
            <w:vAlign w:val="center"/>
            <w:hideMark/>
          </w:tcPr>
          <w:p w14:paraId="3FCF3F7C"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34,94888410000°</w:t>
            </w:r>
          </w:p>
        </w:tc>
        <w:tc>
          <w:tcPr>
            <w:tcW w:w="1960" w:type="dxa"/>
            <w:tcBorders>
              <w:top w:val="nil"/>
              <w:left w:val="nil"/>
              <w:bottom w:val="single" w:sz="4" w:space="0" w:color="auto"/>
              <w:right w:val="single" w:sz="4" w:space="0" w:color="auto"/>
            </w:tcBorders>
            <w:shd w:val="clear" w:color="auto" w:fill="auto"/>
            <w:noWrap/>
            <w:vAlign w:val="center"/>
            <w:hideMark/>
          </w:tcPr>
          <w:p w14:paraId="0CC344ED"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-12,27663790000°</w:t>
            </w:r>
          </w:p>
        </w:tc>
        <w:tc>
          <w:tcPr>
            <w:tcW w:w="1960" w:type="dxa"/>
            <w:tcBorders>
              <w:top w:val="nil"/>
              <w:left w:val="nil"/>
              <w:bottom w:val="single" w:sz="4" w:space="0" w:color="auto"/>
              <w:right w:val="single" w:sz="4" w:space="0" w:color="auto"/>
            </w:tcBorders>
            <w:shd w:val="clear" w:color="auto" w:fill="auto"/>
            <w:noWrap/>
            <w:vAlign w:val="center"/>
            <w:hideMark/>
          </w:tcPr>
          <w:p w14:paraId="3A37F983"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 56' 55,983" N</w:t>
            </w:r>
          </w:p>
        </w:tc>
        <w:tc>
          <w:tcPr>
            <w:tcW w:w="1960" w:type="dxa"/>
            <w:tcBorders>
              <w:top w:val="nil"/>
              <w:left w:val="nil"/>
              <w:bottom w:val="single" w:sz="4" w:space="0" w:color="auto"/>
              <w:right w:val="single" w:sz="4" w:space="0" w:color="auto"/>
            </w:tcBorders>
            <w:shd w:val="clear" w:color="auto" w:fill="auto"/>
            <w:noWrap/>
            <w:vAlign w:val="center"/>
            <w:hideMark/>
          </w:tcPr>
          <w:p w14:paraId="106BE006"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12° 16' 35,896" W</w:t>
            </w:r>
          </w:p>
        </w:tc>
      </w:tr>
      <w:tr w:rsidR="006B3F46" w:rsidRPr="0021277B" w14:paraId="2093EA46"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1CEAF330"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14</w:t>
            </w:r>
          </w:p>
        </w:tc>
        <w:tc>
          <w:tcPr>
            <w:tcW w:w="1960" w:type="dxa"/>
            <w:tcBorders>
              <w:top w:val="nil"/>
              <w:left w:val="nil"/>
              <w:bottom w:val="single" w:sz="4" w:space="0" w:color="auto"/>
              <w:right w:val="single" w:sz="4" w:space="0" w:color="auto"/>
            </w:tcBorders>
            <w:shd w:val="clear" w:color="auto" w:fill="auto"/>
            <w:noWrap/>
            <w:vAlign w:val="center"/>
            <w:hideMark/>
          </w:tcPr>
          <w:p w14:paraId="7C804157"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34,80178379610°</w:t>
            </w:r>
          </w:p>
        </w:tc>
        <w:tc>
          <w:tcPr>
            <w:tcW w:w="1960" w:type="dxa"/>
            <w:tcBorders>
              <w:top w:val="nil"/>
              <w:left w:val="nil"/>
              <w:bottom w:val="single" w:sz="4" w:space="0" w:color="auto"/>
              <w:right w:val="single" w:sz="4" w:space="0" w:color="auto"/>
            </w:tcBorders>
            <w:shd w:val="clear" w:color="auto" w:fill="auto"/>
            <w:noWrap/>
            <w:vAlign w:val="center"/>
            <w:hideMark/>
          </w:tcPr>
          <w:p w14:paraId="5F579CB1"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-12,94233128480°</w:t>
            </w:r>
          </w:p>
        </w:tc>
        <w:tc>
          <w:tcPr>
            <w:tcW w:w="1960" w:type="dxa"/>
            <w:tcBorders>
              <w:top w:val="nil"/>
              <w:left w:val="nil"/>
              <w:bottom w:val="single" w:sz="4" w:space="0" w:color="auto"/>
              <w:right w:val="single" w:sz="4" w:space="0" w:color="auto"/>
            </w:tcBorders>
            <w:shd w:val="clear" w:color="auto" w:fill="auto"/>
            <w:noWrap/>
            <w:vAlign w:val="center"/>
            <w:hideMark/>
          </w:tcPr>
          <w:p w14:paraId="3F231655"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 48' 6,422" N</w:t>
            </w:r>
          </w:p>
        </w:tc>
        <w:tc>
          <w:tcPr>
            <w:tcW w:w="1960" w:type="dxa"/>
            <w:tcBorders>
              <w:top w:val="nil"/>
              <w:left w:val="nil"/>
              <w:bottom w:val="single" w:sz="4" w:space="0" w:color="auto"/>
              <w:right w:val="single" w:sz="4" w:space="0" w:color="auto"/>
            </w:tcBorders>
            <w:shd w:val="clear" w:color="auto" w:fill="auto"/>
            <w:noWrap/>
            <w:vAlign w:val="center"/>
            <w:hideMark/>
          </w:tcPr>
          <w:p w14:paraId="401C8129"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12° 56' 32,393" W</w:t>
            </w:r>
          </w:p>
        </w:tc>
      </w:tr>
      <w:tr w:rsidR="006B3F46" w:rsidRPr="0021277B" w14:paraId="3B31DB92"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658F33E1"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15</w:t>
            </w:r>
          </w:p>
        </w:tc>
        <w:tc>
          <w:tcPr>
            <w:tcW w:w="1960" w:type="dxa"/>
            <w:tcBorders>
              <w:top w:val="nil"/>
              <w:left w:val="nil"/>
              <w:bottom w:val="single" w:sz="4" w:space="0" w:color="auto"/>
              <w:right w:val="single" w:sz="4" w:space="0" w:color="auto"/>
            </w:tcBorders>
            <w:shd w:val="clear" w:color="auto" w:fill="auto"/>
            <w:noWrap/>
            <w:vAlign w:val="center"/>
            <w:hideMark/>
          </w:tcPr>
          <w:p w14:paraId="41C61E46"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33,72656498090°</w:t>
            </w:r>
          </w:p>
        </w:tc>
        <w:tc>
          <w:tcPr>
            <w:tcW w:w="1960" w:type="dxa"/>
            <w:tcBorders>
              <w:top w:val="nil"/>
              <w:left w:val="nil"/>
              <w:bottom w:val="single" w:sz="4" w:space="0" w:color="auto"/>
              <w:right w:val="single" w:sz="4" w:space="0" w:color="auto"/>
            </w:tcBorders>
            <w:shd w:val="clear" w:color="auto" w:fill="auto"/>
            <w:noWrap/>
            <w:vAlign w:val="center"/>
            <w:hideMark/>
          </w:tcPr>
          <w:p w14:paraId="68842D9B"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-13,93098136950°</w:t>
            </w:r>
          </w:p>
        </w:tc>
        <w:tc>
          <w:tcPr>
            <w:tcW w:w="1960" w:type="dxa"/>
            <w:tcBorders>
              <w:top w:val="nil"/>
              <w:left w:val="nil"/>
              <w:bottom w:val="single" w:sz="4" w:space="0" w:color="auto"/>
              <w:right w:val="single" w:sz="4" w:space="0" w:color="auto"/>
            </w:tcBorders>
            <w:shd w:val="clear" w:color="auto" w:fill="auto"/>
            <w:noWrap/>
            <w:vAlign w:val="center"/>
            <w:hideMark/>
          </w:tcPr>
          <w:p w14:paraId="31D68CC5"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33° 43' 35,634" N</w:t>
            </w:r>
          </w:p>
        </w:tc>
        <w:tc>
          <w:tcPr>
            <w:tcW w:w="1960" w:type="dxa"/>
            <w:tcBorders>
              <w:top w:val="nil"/>
              <w:left w:val="nil"/>
              <w:bottom w:val="single" w:sz="4" w:space="0" w:color="auto"/>
              <w:right w:val="single" w:sz="4" w:space="0" w:color="auto"/>
            </w:tcBorders>
            <w:shd w:val="clear" w:color="auto" w:fill="auto"/>
            <w:noWrap/>
            <w:vAlign w:val="center"/>
            <w:hideMark/>
          </w:tcPr>
          <w:p w14:paraId="0EE325E8"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13° 55' 51,533" W</w:t>
            </w:r>
          </w:p>
        </w:tc>
      </w:tr>
      <w:tr w:rsidR="006B3F46" w:rsidRPr="0021277B" w14:paraId="25C74471"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02C142EA"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16</w:t>
            </w:r>
          </w:p>
        </w:tc>
        <w:tc>
          <w:tcPr>
            <w:tcW w:w="1960" w:type="dxa"/>
            <w:tcBorders>
              <w:top w:val="nil"/>
              <w:left w:val="nil"/>
              <w:bottom w:val="single" w:sz="4" w:space="0" w:color="auto"/>
              <w:right w:val="single" w:sz="4" w:space="0" w:color="auto"/>
            </w:tcBorders>
            <w:shd w:val="clear" w:color="auto" w:fill="auto"/>
            <w:noWrap/>
            <w:vAlign w:val="center"/>
            <w:hideMark/>
          </w:tcPr>
          <w:p w14:paraId="4B30BA70"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33,52139899400°</w:t>
            </w:r>
          </w:p>
        </w:tc>
        <w:tc>
          <w:tcPr>
            <w:tcW w:w="1960" w:type="dxa"/>
            <w:tcBorders>
              <w:top w:val="nil"/>
              <w:left w:val="nil"/>
              <w:bottom w:val="single" w:sz="4" w:space="0" w:color="auto"/>
              <w:right w:val="single" w:sz="4" w:space="0" w:color="auto"/>
            </w:tcBorders>
            <w:shd w:val="clear" w:color="auto" w:fill="auto"/>
            <w:noWrap/>
            <w:vAlign w:val="center"/>
            <w:hideMark/>
          </w:tcPr>
          <w:p w14:paraId="276D33B5"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-14,43292650180°</w:t>
            </w:r>
          </w:p>
        </w:tc>
        <w:tc>
          <w:tcPr>
            <w:tcW w:w="1960" w:type="dxa"/>
            <w:tcBorders>
              <w:top w:val="nil"/>
              <w:left w:val="nil"/>
              <w:bottom w:val="single" w:sz="4" w:space="0" w:color="auto"/>
              <w:right w:val="single" w:sz="4" w:space="0" w:color="auto"/>
            </w:tcBorders>
            <w:shd w:val="clear" w:color="auto" w:fill="auto"/>
            <w:noWrap/>
            <w:vAlign w:val="center"/>
            <w:hideMark/>
          </w:tcPr>
          <w:p w14:paraId="23656924"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33° 31' 17,036" N</w:t>
            </w:r>
          </w:p>
        </w:tc>
        <w:tc>
          <w:tcPr>
            <w:tcW w:w="1960" w:type="dxa"/>
            <w:tcBorders>
              <w:top w:val="nil"/>
              <w:left w:val="nil"/>
              <w:bottom w:val="single" w:sz="4" w:space="0" w:color="auto"/>
              <w:right w:val="single" w:sz="4" w:space="0" w:color="auto"/>
            </w:tcBorders>
            <w:shd w:val="clear" w:color="auto" w:fill="auto"/>
            <w:noWrap/>
            <w:vAlign w:val="center"/>
            <w:hideMark/>
          </w:tcPr>
          <w:p w14:paraId="047F6160"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14° 25' 58,535" W</w:t>
            </w:r>
          </w:p>
        </w:tc>
      </w:tr>
      <w:tr w:rsidR="006B3F46" w:rsidRPr="0021277B" w14:paraId="28A3ED4D"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68996F1A"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17</w:t>
            </w:r>
          </w:p>
        </w:tc>
        <w:tc>
          <w:tcPr>
            <w:tcW w:w="1960" w:type="dxa"/>
            <w:tcBorders>
              <w:top w:val="nil"/>
              <w:left w:val="nil"/>
              <w:bottom w:val="single" w:sz="4" w:space="0" w:color="auto"/>
              <w:right w:val="single" w:sz="4" w:space="0" w:color="auto"/>
            </w:tcBorders>
            <w:shd w:val="clear" w:color="auto" w:fill="auto"/>
            <w:noWrap/>
            <w:vAlign w:val="center"/>
            <w:hideMark/>
          </w:tcPr>
          <w:p w14:paraId="6148204B"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34,34262149180°</w:t>
            </w:r>
          </w:p>
        </w:tc>
        <w:tc>
          <w:tcPr>
            <w:tcW w:w="1960" w:type="dxa"/>
            <w:tcBorders>
              <w:top w:val="nil"/>
              <w:left w:val="nil"/>
              <w:bottom w:val="single" w:sz="4" w:space="0" w:color="auto"/>
              <w:right w:val="single" w:sz="4" w:space="0" w:color="auto"/>
            </w:tcBorders>
            <w:shd w:val="clear" w:color="auto" w:fill="auto"/>
            <w:noWrap/>
            <w:vAlign w:val="center"/>
            <w:hideMark/>
          </w:tcPr>
          <w:p w14:paraId="270BD402"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-17,54777045230°</w:t>
            </w:r>
          </w:p>
        </w:tc>
        <w:tc>
          <w:tcPr>
            <w:tcW w:w="1960" w:type="dxa"/>
            <w:tcBorders>
              <w:top w:val="nil"/>
              <w:left w:val="nil"/>
              <w:bottom w:val="single" w:sz="4" w:space="0" w:color="auto"/>
              <w:right w:val="single" w:sz="4" w:space="0" w:color="auto"/>
            </w:tcBorders>
            <w:shd w:val="clear" w:color="auto" w:fill="auto"/>
            <w:noWrap/>
            <w:vAlign w:val="center"/>
            <w:hideMark/>
          </w:tcPr>
          <w:p w14:paraId="0BD126BF"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34° 20' 33,437" N</w:t>
            </w:r>
          </w:p>
        </w:tc>
        <w:tc>
          <w:tcPr>
            <w:tcW w:w="1960" w:type="dxa"/>
            <w:tcBorders>
              <w:top w:val="nil"/>
              <w:left w:val="nil"/>
              <w:bottom w:val="single" w:sz="4" w:space="0" w:color="auto"/>
              <w:right w:val="single" w:sz="4" w:space="0" w:color="auto"/>
            </w:tcBorders>
            <w:shd w:val="clear" w:color="auto" w:fill="auto"/>
            <w:noWrap/>
            <w:vAlign w:val="center"/>
            <w:hideMark/>
          </w:tcPr>
          <w:p w14:paraId="71C834F1"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17° 32' 51,974" W</w:t>
            </w:r>
          </w:p>
        </w:tc>
      </w:tr>
      <w:tr w:rsidR="006B3F46" w:rsidRPr="0021277B" w14:paraId="6A349FD0"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3D35E3E"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18</w:t>
            </w:r>
          </w:p>
        </w:tc>
        <w:tc>
          <w:tcPr>
            <w:tcW w:w="1960" w:type="dxa"/>
            <w:tcBorders>
              <w:top w:val="nil"/>
              <w:left w:val="nil"/>
              <w:bottom w:val="single" w:sz="4" w:space="0" w:color="auto"/>
              <w:right w:val="single" w:sz="4" w:space="0" w:color="auto"/>
            </w:tcBorders>
            <w:shd w:val="clear" w:color="auto" w:fill="auto"/>
            <w:noWrap/>
            <w:vAlign w:val="center"/>
            <w:hideMark/>
          </w:tcPr>
          <w:p w14:paraId="4ED33E00"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35,18898118290°</w:t>
            </w:r>
          </w:p>
        </w:tc>
        <w:tc>
          <w:tcPr>
            <w:tcW w:w="1960" w:type="dxa"/>
            <w:tcBorders>
              <w:top w:val="nil"/>
              <w:left w:val="nil"/>
              <w:bottom w:val="single" w:sz="4" w:space="0" w:color="auto"/>
              <w:right w:val="single" w:sz="4" w:space="0" w:color="auto"/>
            </w:tcBorders>
            <w:shd w:val="clear" w:color="auto" w:fill="auto"/>
            <w:noWrap/>
            <w:vAlign w:val="center"/>
            <w:hideMark/>
          </w:tcPr>
          <w:p w14:paraId="18FE58CC"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-17,56475831490°</w:t>
            </w:r>
          </w:p>
        </w:tc>
        <w:tc>
          <w:tcPr>
            <w:tcW w:w="1960" w:type="dxa"/>
            <w:tcBorders>
              <w:top w:val="nil"/>
              <w:left w:val="nil"/>
              <w:bottom w:val="single" w:sz="4" w:space="0" w:color="auto"/>
              <w:right w:val="single" w:sz="4" w:space="0" w:color="auto"/>
            </w:tcBorders>
            <w:shd w:val="clear" w:color="auto" w:fill="auto"/>
            <w:noWrap/>
            <w:vAlign w:val="center"/>
            <w:hideMark/>
          </w:tcPr>
          <w:p w14:paraId="70A158EE"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35° 11' 20,332" N</w:t>
            </w:r>
          </w:p>
        </w:tc>
        <w:tc>
          <w:tcPr>
            <w:tcW w:w="1960" w:type="dxa"/>
            <w:tcBorders>
              <w:top w:val="nil"/>
              <w:left w:val="nil"/>
              <w:bottom w:val="single" w:sz="4" w:space="0" w:color="auto"/>
              <w:right w:val="single" w:sz="4" w:space="0" w:color="auto"/>
            </w:tcBorders>
            <w:shd w:val="clear" w:color="auto" w:fill="auto"/>
            <w:noWrap/>
            <w:vAlign w:val="center"/>
            <w:hideMark/>
          </w:tcPr>
          <w:p w14:paraId="78DDA5F5"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17° 33' 53,130" W</w:t>
            </w:r>
          </w:p>
        </w:tc>
      </w:tr>
      <w:tr w:rsidR="006B3F46" w:rsidRPr="0021277B" w14:paraId="6916576F"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FE3D97B"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19</w:t>
            </w:r>
          </w:p>
        </w:tc>
        <w:tc>
          <w:tcPr>
            <w:tcW w:w="1960" w:type="dxa"/>
            <w:tcBorders>
              <w:top w:val="nil"/>
              <w:left w:val="nil"/>
              <w:bottom w:val="single" w:sz="4" w:space="0" w:color="auto"/>
              <w:right w:val="single" w:sz="4" w:space="0" w:color="auto"/>
            </w:tcBorders>
            <w:shd w:val="clear" w:color="auto" w:fill="auto"/>
            <w:noWrap/>
            <w:vAlign w:val="center"/>
            <w:hideMark/>
          </w:tcPr>
          <w:p w14:paraId="631B4B9A"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36,37201723670°</w:t>
            </w:r>
          </w:p>
        </w:tc>
        <w:tc>
          <w:tcPr>
            <w:tcW w:w="1960" w:type="dxa"/>
            <w:tcBorders>
              <w:top w:val="nil"/>
              <w:left w:val="nil"/>
              <w:bottom w:val="single" w:sz="4" w:space="0" w:color="auto"/>
              <w:right w:val="single" w:sz="4" w:space="0" w:color="auto"/>
            </w:tcBorders>
            <w:shd w:val="clear" w:color="auto" w:fill="auto"/>
            <w:noWrap/>
            <w:vAlign w:val="center"/>
            <w:hideMark/>
          </w:tcPr>
          <w:p w14:paraId="29303FF8"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-16,15598386020°</w:t>
            </w:r>
          </w:p>
        </w:tc>
        <w:tc>
          <w:tcPr>
            <w:tcW w:w="1960" w:type="dxa"/>
            <w:tcBorders>
              <w:top w:val="nil"/>
              <w:left w:val="nil"/>
              <w:bottom w:val="single" w:sz="4" w:space="0" w:color="auto"/>
              <w:right w:val="single" w:sz="4" w:space="0" w:color="auto"/>
            </w:tcBorders>
            <w:shd w:val="clear" w:color="auto" w:fill="auto"/>
            <w:noWrap/>
            <w:vAlign w:val="center"/>
            <w:hideMark/>
          </w:tcPr>
          <w:p w14:paraId="3B12CB96"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 22' 19,262" N</w:t>
            </w:r>
          </w:p>
        </w:tc>
        <w:tc>
          <w:tcPr>
            <w:tcW w:w="1960" w:type="dxa"/>
            <w:tcBorders>
              <w:top w:val="nil"/>
              <w:left w:val="nil"/>
              <w:bottom w:val="single" w:sz="4" w:space="0" w:color="auto"/>
              <w:right w:val="single" w:sz="4" w:space="0" w:color="auto"/>
            </w:tcBorders>
            <w:shd w:val="clear" w:color="auto" w:fill="auto"/>
            <w:noWrap/>
            <w:vAlign w:val="center"/>
            <w:hideMark/>
          </w:tcPr>
          <w:p w14:paraId="5B18FFB3"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16° 9' 21,542" W</w:t>
            </w:r>
          </w:p>
        </w:tc>
      </w:tr>
      <w:tr w:rsidR="006B3F46" w:rsidRPr="0021277B" w14:paraId="056B0488"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19251C43"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20</w:t>
            </w:r>
          </w:p>
        </w:tc>
        <w:tc>
          <w:tcPr>
            <w:tcW w:w="1960" w:type="dxa"/>
            <w:tcBorders>
              <w:top w:val="nil"/>
              <w:left w:val="nil"/>
              <w:bottom w:val="single" w:sz="4" w:space="0" w:color="auto"/>
              <w:right w:val="single" w:sz="4" w:space="0" w:color="auto"/>
            </w:tcBorders>
            <w:shd w:val="clear" w:color="auto" w:fill="auto"/>
            <w:noWrap/>
            <w:vAlign w:val="center"/>
            <w:hideMark/>
          </w:tcPr>
          <w:p w14:paraId="3FB9EF23"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36,88215087210°</w:t>
            </w:r>
          </w:p>
        </w:tc>
        <w:tc>
          <w:tcPr>
            <w:tcW w:w="1960" w:type="dxa"/>
            <w:tcBorders>
              <w:top w:val="nil"/>
              <w:left w:val="nil"/>
              <w:bottom w:val="single" w:sz="4" w:space="0" w:color="auto"/>
              <w:right w:val="single" w:sz="4" w:space="0" w:color="auto"/>
            </w:tcBorders>
            <w:shd w:val="clear" w:color="auto" w:fill="auto"/>
            <w:noWrap/>
            <w:vAlign w:val="center"/>
            <w:hideMark/>
          </w:tcPr>
          <w:p w14:paraId="5B17DF6A"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-16,14847475890°</w:t>
            </w:r>
          </w:p>
        </w:tc>
        <w:tc>
          <w:tcPr>
            <w:tcW w:w="1960" w:type="dxa"/>
            <w:tcBorders>
              <w:top w:val="nil"/>
              <w:left w:val="nil"/>
              <w:bottom w:val="single" w:sz="4" w:space="0" w:color="auto"/>
              <w:right w:val="single" w:sz="4" w:space="0" w:color="auto"/>
            </w:tcBorders>
            <w:shd w:val="clear" w:color="auto" w:fill="auto"/>
            <w:noWrap/>
            <w:vAlign w:val="center"/>
            <w:hideMark/>
          </w:tcPr>
          <w:p w14:paraId="3DE2CD36"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 52' 55,743" N</w:t>
            </w:r>
          </w:p>
        </w:tc>
        <w:tc>
          <w:tcPr>
            <w:tcW w:w="1960" w:type="dxa"/>
            <w:tcBorders>
              <w:top w:val="nil"/>
              <w:left w:val="nil"/>
              <w:bottom w:val="single" w:sz="4" w:space="0" w:color="auto"/>
              <w:right w:val="single" w:sz="4" w:space="0" w:color="auto"/>
            </w:tcBorders>
            <w:shd w:val="clear" w:color="auto" w:fill="auto"/>
            <w:noWrap/>
            <w:vAlign w:val="center"/>
            <w:hideMark/>
          </w:tcPr>
          <w:p w14:paraId="40E75314"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16° 8' 54,509" W</w:t>
            </w:r>
          </w:p>
        </w:tc>
      </w:tr>
      <w:tr w:rsidR="006B3F46" w:rsidRPr="0021277B" w14:paraId="132B4400"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59975D9"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21</w:t>
            </w:r>
          </w:p>
        </w:tc>
        <w:tc>
          <w:tcPr>
            <w:tcW w:w="1960" w:type="dxa"/>
            <w:tcBorders>
              <w:top w:val="nil"/>
              <w:left w:val="nil"/>
              <w:bottom w:val="single" w:sz="4" w:space="0" w:color="auto"/>
              <w:right w:val="single" w:sz="4" w:space="0" w:color="auto"/>
            </w:tcBorders>
            <w:shd w:val="clear" w:color="auto" w:fill="auto"/>
            <w:noWrap/>
            <w:vAlign w:val="center"/>
            <w:hideMark/>
          </w:tcPr>
          <w:p w14:paraId="1B4AF8A0"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37,73812613930°</w:t>
            </w:r>
          </w:p>
        </w:tc>
        <w:tc>
          <w:tcPr>
            <w:tcW w:w="1960" w:type="dxa"/>
            <w:tcBorders>
              <w:top w:val="nil"/>
              <w:left w:val="nil"/>
              <w:bottom w:val="single" w:sz="4" w:space="0" w:color="auto"/>
              <w:right w:val="single" w:sz="4" w:space="0" w:color="auto"/>
            </w:tcBorders>
            <w:shd w:val="clear" w:color="auto" w:fill="auto"/>
            <w:noWrap/>
            <w:vAlign w:val="center"/>
            <w:hideMark/>
          </w:tcPr>
          <w:p w14:paraId="2630D018"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-15,15628451950°</w:t>
            </w:r>
          </w:p>
        </w:tc>
        <w:tc>
          <w:tcPr>
            <w:tcW w:w="1960" w:type="dxa"/>
            <w:tcBorders>
              <w:top w:val="nil"/>
              <w:left w:val="nil"/>
              <w:bottom w:val="single" w:sz="4" w:space="0" w:color="auto"/>
              <w:right w:val="single" w:sz="4" w:space="0" w:color="auto"/>
            </w:tcBorders>
            <w:shd w:val="clear" w:color="auto" w:fill="auto"/>
            <w:noWrap/>
            <w:vAlign w:val="center"/>
            <w:hideMark/>
          </w:tcPr>
          <w:p w14:paraId="39ABE483"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 44' 17,254" N</w:t>
            </w:r>
          </w:p>
        </w:tc>
        <w:tc>
          <w:tcPr>
            <w:tcW w:w="1960" w:type="dxa"/>
            <w:tcBorders>
              <w:top w:val="nil"/>
              <w:left w:val="nil"/>
              <w:bottom w:val="single" w:sz="4" w:space="0" w:color="auto"/>
              <w:right w:val="single" w:sz="4" w:space="0" w:color="auto"/>
            </w:tcBorders>
            <w:shd w:val="clear" w:color="auto" w:fill="auto"/>
            <w:noWrap/>
            <w:vAlign w:val="center"/>
            <w:hideMark/>
          </w:tcPr>
          <w:p w14:paraId="126A4D7C"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15° 9' 22,624" W</w:t>
            </w:r>
          </w:p>
        </w:tc>
      </w:tr>
      <w:tr w:rsidR="006B3F46" w:rsidRPr="0021277B" w14:paraId="672CB3D5"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7DDC5F15"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22</w:t>
            </w:r>
          </w:p>
        </w:tc>
        <w:tc>
          <w:tcPr>
            <w:tcW w:w="1960" w:type="dxa"/>
            <w:tcBorders>
              <w:top w:val="nil"/>
              <w:left w:val="nil"/>
              <w:bottom w:val="single" w:sz="4" w:space="0" w:color="auto"/>
              <w:right w:val="single" w:sz="4" w:space="0" w:color="auto"/>
            </w:tcBorders>
            <w:shd w:val="clear" w:color="auto" w:fill="auto"/>
            <w:noWrap/>
            <w:vAlign w:val="center"/>
            <w:hideMark/>
          </w:tcPr>
          <w:p w14:paraId="0A38937B"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37,97115828810°</w:t>
            </w:r>
          </w:p>
        </w:tc>
        <w:tc>
          <w:tcPr>
            <w:tcW w:w="1960" w:type="dxa"/>
            <w:tcBorders>
              <w:top w:val="nil"/>
              <w:left w:val="nil"/>
              <w:bottom w:val="single" w:sz="4" w:space="0" w:color="auto"/>
              <w:right w:val="single" w:sz="4" w:space="0" w:color="auto"/>
            </w:tcBorders>
            <w:shd w:val="clear" w:color="auto" w:fill="auto"/>
            <w:noWrap/>
            <w:vAlign w:val="center"/>
            <w:hideMark/>
          </w:tcPr>
          <w:p w14:paraId="377E8A0F"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-14,28645992790°</w:t>
            </w:r>
          </w:p>
        </w:tc>
        <w:tc>
          <w:tcPr>
            <w:tcW w:w="1960" w:type="dxa"/>
            <w:tcBorders>
              <w:top w:val="nil"/>
              <w:left w:val="nil"/>
              <w:bottom w:val="single" w:sz="4" w:space="0" w:color="auto"/>
              <w:right w:val="single" w:sz="4" w:space="0" w:color="auto"/>
            </w:tcBorders>
            <w:shd w:val="clear" w:color="auto" w:fill="auto"/>
            <w:noWrap/>
            <w:vAlign w:val="center"/>
            <w:hideMark/>
          </w:tcPr>
          <w:p w14:paraId="0C833A05"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37° 58' 16,170" N</w:t>
            </w:r>
          </w:p>
        </w:tc>
        <w:tc>
          <w:tcPr>
            <w:tcW w:w="1960" w:type="dxa"/>
            <w:tcBorders>
              <w:top w:val="nil"/>
              <w:left w:val="nil"/>
              <w:bottom w:val="single" w:sz="4" w:space="0" w:color="auto"/>
              <w:right w:val="single" w:sz="4" w:space="0" w:color="auto"/>
            </w:tcBorders>
            <w:shd w:val="clear" w:color="auto" w:fill="auto"/>
            <w:noWrap/>
            <w:vAlign w:val="center"/>
            <w:hideMark/>
          </w:tcPr>
          <w:p w14:paraId="215579C1"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14° 17' 11,256" W</w:t>
            </w:r>
          </w:p>
        </w:tc>
      </w:tr>
      <w:tr w:rsidR="006B3F46" w:rsidRPr="0021277B" w14:paraId="7B283B66"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8FBE099"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23</w:t>
            </w:r>
          </w:p>
        </w:tc>
        <w:tc>
          <w:tcPr>
            <w:tcW w:w="1960" w:type="dxa"/>
            <w:tcBorders>
              <w:top w:val="nil"/>
              <w:left w:val="nil"/>
              <w:bottom w:val="single" w:sz="4" w:space="0" w:color="auto"/>
              <w:right w:val="single" w:sz="4" w:space="0" w:color="auto"/>
            </w:tcBorders>
            <w:shd w:val="clear" w:color="auto" w:fill="auto"/>
            <w:noWrap/>
            <w:vAlign w:val="center"/>
            <w:hideMark/>
          </w:tcPr>
          <w:p w14:paraId="31E42ED7"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39,46788555050°</w:t>
            </w:r>
          </w:p>
        </w:tc>
        <w:tc>
          <w:tcPr>
            <w:tcW w:w="1960" w:type="dxa"/>
            <w:tcBorders>
              <w:top w:val="nil"/>
              <w:left w:val="nil"/>
              <w:bottom w:val="single" w:sz="4" w:space="0" w:color="auto"/>
              <w:right w:val="single" w:sz="4" w:space="0" w:color="auto"/>
            </w:tcBorders>
            <w:shd w:val="clear" w:color="auto" w:fill="auto"/>
            <w:noWrap/>
            <w:vAlign w:val="center"/>
            <w:hideMark/>
          </w:tcPr>
          <w:p w14:paraId="19E5BF1B"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-13,52024533110°</w:t>
            </w:r>
          </w:p>
        </w:tc>
        <w:tc>
          <w:tcPr>
            <w:tcW w:w="1960" w:type="dxa"/>
            <w:tcBorders>
              <w:top w:val="nil"/>
              <w:left w:val="nil"/>
              <w:bottom w:val="single" w:sz="4" w:space="0" w:color="auto"/>
              <w:right w:val="single" w:sz="4" w:space="0" w:color="auto"/>
            </w:tcBorders>
            <w:shd w:val="clear" w:color="auto" w:fill="auto"/>
            <w:noWrap/>
            <w:vAlign w:val="center"/>
            <w:hideMark/>
          </w:tcPr>
          <w:p w14:paraId="1DE12FD9"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39° 28' 4,388" N</w:t>
            </w:r>
          </w:p>
        </w:tc>
        <w:tc>
          <w:tcPr>
            <w:tcW w:w="1960" w:type="dxa"/>
            <w:tcBorders>
              <w:top w:val="nil"/>
              <w:left w:val="nil"/>
              <w:bottom w:val="single" w:sz="4" w:space="0" w:color="auto"/>
              <w:right w:val="single" w:sz="4" w:space="0" w:color="auto"/>
            </w:tcBorders>
            <w:shd w:val="clear" w:color="auto" w:fill="auto"/>
            <w:noWrap/>
            <w:vAlign w:val="center"/>
            <w:hideMark/>
          </w:tcPr>
          <w:p w14:paraId="62F564C8"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13° 31' 12,883" W</w:t>
            </w:r>
          </w:p>
        </w:tc>
      </w:tr>
      <w:tr w:rsidR="006B3F46" w:rsidRPr="0021277B" w14:paraId="303F3D43"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517BA3BA"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24</w:t>
            </w:r>
          </w:p>
        </w:tc>
        <w:tc>
          <w:tcPr>
            <w:tcW w:w="1960" w:type="dxa"/>
            <w:tcBorders>
              <w:top w:val="nil"/>
              <w:left w:val="nil"/>
              <w:bottom w:val="single" w:sz="4" w:space="0" w:color="auto"/>
              <w:right w:val="single" w:sz="4" w:space="0" w:color="auto"/>
            </w:tcBorders>
            <w:shd w:val="clear" w:color="auto" w:fill="auto"/>
            <w:noWrap/>
            <w:vAlign w:val="center"/>
            <w:hideMark/>
          </w:tcPr>
          <w:p w14:paraId="0F44F129"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39,00253692540°</w:t>
            </w:r>
          </w:p>
        </w:tc>
        <w:tc>
          <w:tcPr>
            <w:tcW w:w="1960" w:type="dxa"/>
            <w:tcBorders>
              <w:top w:val="nil"/>
              <w:left w:val="nil"/>
              <w:bottom w:val="single" w:sz="4" w:space="0" w:color="auto"/>
              <w:right w:val="single" w:sz="4" w:space="0" w:color="auto"/>
            </w:tcBorders>
            <w:shd w:val="clear" w:color="auto" w:fill="auto"/>
            <w:noWrap/>
            <w:vAlign w:val="center"/>
            <w:hideMark/>
          </w:tcPr>
          <w:p w14:paraId="62E47C85"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-12,66150018240°</w:t>
            </w:r>
          </w:p>
        </w:tc>
        <w:tc>
          <w:tcPr>
            <w:tcW w:w="1960" w:type="dxa"/>
            <w:tcBorders>
              <w:top w:val="nil"/>
              <w:left w:val="nil"/>
              <w:bottom w:val="single" w:sz="4" w:space="0" w:color="auto"/>
              <w:right w:val="single" w:sz="4" w:space="0" w:color="auto"/>
            </w:tcBorders>
            <w:shd w:val="clear" w:color="auto" w:fill="auto"/>
            <w:noWrap/>
            <w:vAlign w:val="center"/>
            <w:hideMark/>
          </w:tcPr>
          <w:p w14:paraId="7289F738"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39° 0' 9,133" N</w:t>
            </w:r>
          </w:p>
        </w:tc>
        <w:tc>
          <w:tcPr>
            <w:tcW w:w="1960" w:type="dxa"/>
            <w:tcBorders>
              <w:top w:val="nil"/>
              <w:left w:val="nil"/>
              <w:bottom w:val="single" w:sz="4" w:space="0" w:color="auto"/>
              <w:right w:val="single" w:sz="4" w:space="0" w:color="auto"/>
            </w:tcBorders>
            <w:shd w:val="clear" w:color="auto" w:fill="auto"/>
            <w:noWrap/>
            <w:vAlign w:val="center"/>
            <w:hideMark/>
          </w:tcPr>
          <w:p w14:paraId="31DE17AE"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12° 39' 41,401" W</w:t>
            </w:r>
          </w:p>
        </w:tc>
      </w:tr>
      <w:tr w:rsidR="006B3F46" w:rsidRPr="0021277B" w14:paraId="5BA08B6C"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051DFF05"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25</w:t>
            </w:r>
          </w:p>
        </w:tc>
        <w:tc>
          <w:tcPr>
            <w:tcW w:w="1960" w:type="dxa"/>
            <w:tcBorders>
              <w:top w:val="nil"/>
              <w:left w:val="nil"/>
              <w:bottom w:val="single" w:sz="4" w:space="0" w:color="auto"/>
              <w:right w:val="single" w:sz="4" w:space="0" w:color="auto"/>
            </w:tcBorders>
            <w:shd w:val="clear" w:color="auto" w:fill="auto"/>
            <w:noWrap/>
            <w:vAlign w:val="center"/>
            <w:hideMark/>
          </w:tcPr>
          <w:p w14:paraId="6ACD27D3"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36,85653531250°</w:t>
            </w:r>
          </w:p>
        </w:tc>
        <w:tc>
          <w:tcPr>
            <w:tcW w:w="1960" w:type="dxa"/>
            <w:tcBorders>
              <w:top w:val="nil"/>
              <w:left w:val="nil"/>
              <w:bottom w:val="single" w:sz="4" w:space="0" w:color="auto"/>
              <w:right w:val="single" w:sz="4" w:space="0" w:color="auto"/>
            </w:tcBorders>
            <w:shd w:val="clear" w:color="auto" w:fill="auto"/>
            <w:noWrap/>
            <w:vAlign w:val="center"/>
            <w:hideMark/>
          </w:tcPr>
          <w:p w14:paraId="5B7DAEA8"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-13,06745495460°</w:t>
            </w:r>
          </w:p>
        </w:tc>
        <w:tc>
          <w:tcPr>
            <w:tcW w:w="1960" w:type="dxa"/>
            <w:tcBorders>
              <w:top w:val="nil"/>
              <w:left w:val="nil"/>
              <w:bottom w:val="single" w:sz="4" w:space="0" w:color="auto"/>
              <w:right w:val="single" w:sz="4" w:space="0" w:color="auto"/>
            </w:tcBorders>
            <w:shd w:val="clear" w:color="auto" w:fill="auto"/>
            <w:noWrap/>
            <w:vAlign w:val="center"/>
            <w:hideMark/>
          </w:tcPr>
          <w:p w14:paraId="7FA2372C"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 51' 23,527" N</w:t>
            </w:r>
          </w:p>
        </w:tc>
        <w:tc>
          <w:tcPr>
            <w:tcW w:w="1960" w:type="dxa"/>
            <w:tcBorders>
              <w:top w:val="nil"/>
              <w:left w:val="nil"/>
              <w:bottom w:val="single" w:sz="4" w:space="0" w:color="auto"/>
              <w:right w:val="single" w:sz="4" w:space="0" w:color="auto"/>
            </w:tcBorders>
            <w:shd w:val="clear" w:color="auto" w:fill="auto"/>
            <w:noWrap/>
            <w:vAlign w:val="center"/>
            <w:hideMark/>
          </w:tcPr>
          <w:p w14:paraId="0D2B9284"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13° 4' 2,838" W</w:t>
            </w:r>
          </w:p>
        </w:tc>
      </w:tr>
      <w:tr w:rsidR="006B3F46" w:rsidRPr="0021277B" w14:paraId="7B8B7C57"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911944A"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26</w:t>
            </w:r>
          </w:p>
        </w:tc>
        <w:tc>
          <w:tcPr>
            <w:tcW w:w="1960" w:type="dxa"/>
            <w:tcBorders>
              <w:top w:val="nil"/>
              <w:left w:val="nil"/>
              <w:bottom w:val="single" w:sz="4" w:space="0" w:color="auto"/>
              <w:right w:val="single" w:sz="4" w:space="0" w:color="auto"/>
            </w:tcBorders>
            <w:shd w:val="clear" w:color="auto" w:fill="auto"/>
            <w:noWrap/>
            <w:vAlign w:val="center"/>
            <w:hideMark/>
          </w:tcPr>
          <w:p w14:paraId="72729D7E"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36,85415214800°</w:t>
            </w:r>
          </w:p>
        </w:tc>
        <w:tc>
          <w:tcPr>
            <w:tcW w:w="1960" w:type="dxa"/>
            <w:tcBorders>
              <w:top w:val="nil"/>
              <w:left w:val="nil"/>
              <w:bottom w:val="single" w:sz="4" w:space="0" w:color="auto"/>
              <w:right w:val="single" w:sz="4" w:space="0" w:color="auto"/>
            </w:tcBorders>
            <w:shd w:val="clear" w:color="auto" w:fill="auto"/>
            <w:noWrap/>
            <w:vAlign w:val="center"/>
            <w:hideMark/>
          </w:tcPr>
          <w:p w14:paraId="3210D6F9"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-12,30030626900°</w:t>
            </w:r>
          </w:p>
        </w:tc>
        <w:tc>
          <w:tcPr>
            <w:tcW w:w="1960" w:type="dxa"/>
            <w:tcBorders>
              <w:top w:val="nil"/>
              <w:left w:val="nil"/>
              <w:bottom w:val="single" w:sz="4" w:space="0" w:color="auto"/>
              <w:right w:val="single" w:sz="4" w:space="0" w:color="auto"/>
            </w:tcBorders>
            <w:shd w:val="clear" w:color="auto" w:fill="auto"/>
            <w:noWrap/>
            <w:vAlign w:val="center"/>
            <w:hideMark/>
          </w:tcPr>
          <w:p w14:paraId="4B13CD06" w14:textId="77777777" w:rsidR="006B3F46" w:rsidRPr="009978E3" w:rsidRDefault="006B3F46" w:rsidP="00907941">
            <w:pPr>
              <w:jc w:val="center"/>
              <w:rPr>
                <w:color w:val="000000"/>
                <w:sz w:val="22"/>
                <w:szCs w:val="22"/>
                <w:lang w:val="pt-PT" w:eastAsia="pt-PT"/>
              </w:rPr>
            </w:pPr>
            <w:r w:rsidRPr="0021277B">
              <w:rPr>
                <w:color w:val="000000"/>
                <w:sz w:val="22"/>
                <w:szCs w:val="22"/>
                <w:lang w:eastAsia="pt-PT"/>
              </w:rPr>
              <w:t>36° 51' 14,948" N</w:t>
            </w:r>
          </w:p>
        </w:tc>
        <w:tc>
          <w:tcPr>
            <w:tcW w:w="1960" w:type="dxa"/>
            <w:tcBorders>
              <w:top w:val="nil"/>
              <w:left w:val="nil"/>
              <w:bottom w:val="single" w:sz="4" w:space="0" w:color="auto"/>
              <w:right w:val="single" w:sz="4" w:space="0" w:color="auto"/>
            </w:tcBorders>
            <w:shd w:val="clear" w:color="auto" w:fill="auto"/>
            <w:noWrap/>
            <w:vAlign w:val="center"/>
            <w:hideMark/>
          </w:tcPr>
          <w:p w14:paraId="51AD2C5B" w14:textId="77777777" w:rsidR="006B3F46" w:rsidRPr="009978E3" w:rsidRDefault="006B3F46" w:rsidP="00907941">
            <w:pPr>
              <w:jc w:val="center"/>
              <w:rPr>
                <w:color w:val="000000"/>
                <w:sz w:val="22"/>
                <w:szCs w:val="22"/>
                <w:lang w:val="pt-PT" w:eastAsia="pt-PT"/>
              </w:rPr>
            </w:pPr>
            <w:r w:rsidRPr="009978E3">
              <w:rPr>
                <w:color w:val="000000"/>
                <w:sz w:val="22"/>
                <w:szCs w:val="22"/>
                <w:lang w:val="pt-PT" w:eastAsia="pt-PT"/>
              </w:rPr>
              <w:t>12° 18' 1,103" W</w:t>
            </w:r>
          </w:p>
        </w:tc>
      </w:tr>
    </w:tbl>
    <w:p w14:paraId="312E1B47" w14:textId="77777777" w:rsidR="006B3F46" w:rsidRPr="00F66EF7" w:rsidRDefault="006B3F46" w:rsidP="00907941">
      <w:pPr>
        <w:jc w:val="both"/>
        <w:rPr>
          <w:rFonts w:eastAsia="MS Mincho"/>
          <w:sz w:val="22"/>
          <w:szCs w:val="22"/>
          <w:lang w:val="en-US"/>
        </w:rPr>
      </w:pPr>
      <w:r w:rsidRPr="009978E3">
        <w:rPr>
          <w:rFonts w:eastAsia="MS Mincho"/>
          <w:sz w:val="22"/>
          <w:szCs w:val="22"/>
          <w:lang w:val="en-US"/>
        </w:rPr>
        <w:fldChar w:fldCharType="end"/>
      </w:r>
    </w:p>
    <w:p w14:paraId="50D94E6E" w14:textId="77777777" w:rsidR="006B3F46" w:rsidRPr="009978E3" w:rsidRDefault="006B3F46" w:rsidP="00907941">
      <w:pPr>
        <w:jc w:val="both"/>
        <w:rPr>
          <w:rFonts w:eastAsia="MS Mincho"/>
          <w:sz w:val="22"/>
          <w:szCs w:val="22"/>
          <w:lang w:val="en-US"/>
        </w:rPr>
      </w:pPr>
    </w:p>
    <w:p w14:paraId="3BA2B16C"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6B7D3F7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Based on morphology, the main fault zone seems to cut the northern part of the </w:t>
      </w:r>
      <w:r>
        <w:rPr>
          <w:rFonts w:eastAsia="MS Mincho"/>
          <w:sz w:val="22"/>
          <w:szCs w:val="22"/>
          <w:lang w:val="en-US"/>
        </w:rPr>
        <w:t>area</w:t>
      </w:r>
      <w:r w:rsidRPr="009978E3">
        <w:rPr>
          <w:rFonts w:eastAsia="MS Mincho"/>
          <w:sz w:val="22"/>
          <w:szCs w:val="22"/>
          <w:lang w:val="en-US"/>
        </w:rPr>
        <w:t xml:space="preserve"> near Josephine Seamount and continues along the Gorringe Bank to the Iberian continental rise. A zone of diffuse seismicity, however, suggests that interaction between the African and Eurasian plates in this region is occurring over a broad zone rather than along a distinct boundary (Peirce and Barton, 1991). South of the Azores-Gibraltar Fracture Zone, the </w:t>
      </w:r>
      <w:r>
        <w:rPr>
          <w:rFonts w:eastAsia="MS Mincho"/>
          <w:sz w:val="22"/>
          <w:szCs w:val="22"/>
          <w:lang w:val="en-US"/>
        </w:rPr>
        <w:t>area</w:t>
      </w:r>
      <w:r w:rsidRPr="009978E3">
        <w:rPr>
          <w:rFonts w:eastAsia="MS Mincho"/>
          <w:sz w:val="22"/>
          <w:szCs w:val="22"/>
          <w:lang w:val="en-US"/>
        </w:rPr>
        <w:t xml:space="preserve"> forms a broad plateau with several large seamounts on its eastern flank (Josephine, Erik, Lion, and Dragon seamounts) (Figure 1). </w:t>
      </w:r>
    </w:p>
    <w:p w14:paraId="43E53DD0"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 xml:space="preserve">Table </w:t>
      </w:r>
      <w:r>
        <w:rPr>
          <w:rFonts w:eastAsia="MS Mincho"/>
          <w:sz w:val="22"/>
          <w:szCs w:val="22"/>
          <w:lang w:val="en-US"/>
        </w:rPr>
        <w:t>2</w:t>
      </w:r>
      <w:r w:rsidRPr="0021277B">
        <w:rPr>
          <w:rFonts w:eastAsia="MS Mincho"/>
          <w:sz w:val="22"/>
          <w:szCs w:val="22"/>
          <w:lang w:val="en-US"/>
        </w:rPr>
        <w:t xml:space="preserve"> – </w:t>
      </w:r>
      <w:r>
        <w:rPr>
          <w:rFonts w:eastAsia="MS Mincho"/>
          <w:sz w:val="22"/>
          <w:szCs w:val="22"/>
          <w:lang w:val="en-US"/>
        </w:rPr>
        <w:t>Summary</w:t>
      </w:r>
      <w:r w:rsidRPr="0021277B">
        <w:rPr>
          <w:rFonts w:eastAsia="MS Mincho"/>
          <w:sz w:val="22"/>
          <w:szCs w:val="22"/>
          <w:lang w:val="en-US"/>
        </w:rPr>
        <w:t xml:space="preserve"> of the Madeira-Tore structures, EBSA  criteria fulfilled by each structure (Crit 1</w:t>
      </w:r>
      <w:r>
        <w:rPr>
          <w:rFonts w:eastAsia="MS Mincho"/>
          <w:sz w:val="22"/>
          <w:szCs w:val="22"/>
          <w:lang w:val="en-US"/>
        </w:rPr>
        <w:t xml:space="preserve">: </w:t>
      </w:r>
      <w:r w:rsidRPr="0021277B">
        <w:rPr>
          <w:sz w:val="22"/>
          <w:szCs w:val="22"/>
        </w:rPr>
        <w:t>Uniqueness or rarity</w:t>
      </w:r>
      <w:r w:rsidRPr="0021277B">
        <w:rPr>
          <w:rFonts w:eastAsia="MS Mincho"/>
          <w:sz w:val="22"/>
          <w:szCs w:val="22"/>
          <w:lang w:val="en-US"/>
        </w:rPr>
        <w:t>, 2</w:t>
      </w:r>
      <w:r>
        <w:rPr>
          <w:rFonts w:eastAsia="MS Mincho"/>
          <w:sz w:val="22"/>
          <w:szCs w:val="22"/>
          <w:lang w:val="en-US"/>
        </w:rPr>
        <w:t xml:space="preserve">: </w:t>
      </w:r>
      <w:r w:rsidRPr="0021277B">
        <w:rPr>
          <w:rFonts w:eastAsia="MS Mincho"/>
          <w:sz w:val="22"/>
          <w:szCs w:val="22"/>
          <w:lang w:val="en-US"/>
        </w:rPr>
        <w:t>Special importance for life-history stages of species, 3</w:t>
      </w:r>
      <w:r>
        <w:rPr>
          <w:rFonts w:eastAsia="MS Mincho"/>
          <w:sz w:val="22"/>
          <w:szCs w:val="22"/>
          <w:lang w:val="en-US"/>
        </w:rPr>
        <w:t xml:space="preserve">: </w:t>
      </w:r>
      <w:r w:rsidRPr="0021277B">
        <w:rPr>
          <w:rFonts w:eastAsia="MS Mincho"/>
          <w:sz w:val="22"/>
          <w:szCs w:val="22"/>
          <w:lang w:val="en-US"/>
        </w:rPr>
        <w:t>Importance for threatened, endangered or declining species and/or habitats, 4</w:t>
      </w:r>
      <w:r>
        <w:rPr>
          <w:rFonts w:eastAsia="MS Mincho"/>
          <w:sz w:val="22"/>
          <w:szCs w:val="22"/>
          <w:lang w:val="en-US"/>
        </w:rPr>
        <w:t xml:space="preserve">: </w:t>
      </w:r>
      <w:r w:rsidRPr="0021277B">
        <w:rPr>
          <w:rFonts w:eastAsia="MS Mincho"/>
          <w:sz w:val="22"/>
          <w:szCs w:val="22"/>
          <w:lang w:val="en-US"/>
        </w:rPr>
        <w:t>Vulnerability, fragility, sensitivity, or slow recovery, 5</w:t>
      </w:r>
      <w:r>
        <w:rPr>
          <w:rFonts w:eastAsia="MS Mincho"/>
          <w:sz w:val="22"/>
          <w:szCs w:val="22"/>
          <w:lang w:val="en-US"/>
        </w:rPr>
        <w:t xml:space="preserve">: </w:t>
      </w:r>
      <w:r w:rsidRPr="0021277B">
        <w:rPr>
          <w:rFonts w:eastAsia="MS Mincho"/>
          <w:sz w:val="22"/>
          <w:szCs w:val="22"/>
          <w:lang w:val="en-US"/>
        </w:rPr>
        <w:t>Biological productivity, 6</w:t>
      </w:r>
      <w:r>
        <w:rPr>
          <w:rFonts w:eastAsia="MS Mincho"/>
          <w:sz w:val="22"/>
          <w:szCs w:val="22"/>
          <w:lang w:val="en-US"/>
        </w:rPr>
        <w:t xml:space="preserve">: </w:t>
      </w:r>
      <w:r w:rsidRPr="0021277B">
        <w:rPr>
          <w:rFonts w:eastAsia="MS Mincho"/>
          <w:sz w:val="22"/>
          <w:szCs w:val="22"/>
          <w:lang w:val="en-US"/>
        </w:rPr>
        <w:t>Biological diversity</w:t>
      </w:r>
      <w:r>
        <w:rPr>
          <w:rFonts w:eastAsia="MS Mincho"/>
          <w:sz w:val="22"/>
          <w:szCs w:val="22"/>
          <w:lang w:val="en-US"/>
        </w:rPr>
        <w:t>,</w:t>
      </w:r>
      <w:r w:rsidRPr="0021277B">
        <w:rPr>
          <w:rFonts w:eastAsia="MS Mincho"/>
          <w:sz w:val="22"/>
          <w:szCs w:val="22"/>
          <w:lang w:val="en-US"/>
        </w:rPr>
        <w:t xml:space="preserve"> and 7</w:t>
      </w:r>
      <w:r>
        <w:rPr>
          <w:rFonts w:eastAsia="MS Mincho"/>
          <w:sz w:val="22"/>
          <w:szCs w:val="22"/>
          <w:lang w:val="en-US"/>
        </w:rPr>
        <w:t xml:space="preserve">: </w:t>
      </w:r>
      <w:r w:rsidRPr="0021277B">
        <w:rPr>
          <w:rFonts w:eastAsia="MS Mincho"/>
          <w:sz w:val="22"/>
          <w:szCs w:val="22"/>
          <w:lang w:val="en-US"/>
        </w:rPr>
        <w:t>Naturalness)</w:t>
      </w:r>
      <w:r>
        <w:rPr>
          <w:rFonts w:eastAsia="MS Mincho"/>
          <w:sz w:val="22"/>
          <w:szCs w:val="22"/>
          <w:lang w:val="en-US"/>
        </w:rPr>
        <w:t>,</w:t>
      </w:r>
      <w:r w:rsidRPr="0021277B">
        <w:rPr>
          <w:rFonts w:eastAsia="MS Mincho"/>
          <w:sz w:val="22"/>
          <w:szCs w:val="22"/>
          <w:lang w:val="en-US"/>
        </w:rPr>
        <w:t xml:space="preserve"> Nº sps – total number of species in each structure. Nº refs - total number of references in each structure. n.i. – No information available. </w:t>
      </w:r>
    </w:p>
    <w:tbl>
      <w:tblPr>
        <w:tblW w:w="9503" w:type="dxa"/>
        <w:jc w:val="center"/>
        <w:tblCellMar>
          <w:left w:w="0" w:type="dxa"/>
          <w:right w:w="0" w:type="dxa"/>
        </w:tblCellMar>
        <w:tblLook w:val="0420" w:firstRow="1" w:lastRow="0" w:firstColumn="0" w:lastColumn="0" w:noHBand="0" w:noVBand="1"/>
      </w:tblPr>
      <w:tblGrid>
        <w:gridCol w:w="2371"/>
        <w:gridCol w:w="790"/>
        <w:gridCol w:w="814"/>
        <w:gridCol w:w="851"/>
        <w:gridCol w:w="708"/>
        <w:gridCol w:w="851"/>
        <w:gridCol w:w="709"/>
        <w:gridCol w:w="708"/>
        <w:gridCol w:w="851"/>
        <w:gridCol w:w="850"/>
      </w:tblGrid>
      <w:tr w:rsidR="006B3F46" w:rsidRPr="0021277B" w14:paraId="13A98350" w14:textId="77777777" w:rsidTr="00907941">
        <w:trPr>
          <w:trHeight w:val="34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16B27C7" w14:textId="77777777" w:rsidR="006B3F46" w:rsidRPr="0021277B" w:rsidRDefault="006B3F46" w:rsidP="00907941">
            <w:pPr>
              <w:jc w:val="both"/>
              <w:rPr>
                <w:sz w:val="22"/>
                <w:szCs w:val="22"/>
                <w:lang w:val="pt-PT" w:eastAsia="pt-PT"/>
              </w:rPr>
            </w:pPr>
            <w:r w:rsidRPr="0021277B">
              <w:rPr>
                <w:sz w:val="22"/>
                <w:szCs w:val="22"/>
                <w:lang w:val="en-US" w:eastAsia="pt-PT"/>
              </w:rPr>
              <w:t>Structures</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E1AAD9"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1</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643175"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2</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0CA1B2F"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3</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81D76E"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326C61"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5</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74A1C6"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6</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E6F0F48"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7</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AA1BA4"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Nº sps</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F33E4A"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Nº Refs</w:t>
            </w:r>
          </w:p>
        </w:tc>
      </w:tr>
      <w:tr w:rsidR="006B3F46" w:rsidRPr="0021277B" w14:paraId="0ADBDC90" w14:textId="77777777" w:rsidTr="00907941">
        <w:trPr>
          <w:trHeight w:val="218"/>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1F5326" w14:textId="77777777" w:rsidR="006B3F46" w:rsidRPr="0021277B" w:rsidRDefault="006B3F46" w:rsidP="00907941">
            <w:pPr>
              <w:rPr>
                <w:sz w:val="22"/>
                <w:szCs w:val="22"/>
                <w:lang w:val="pt-PT" w:eastAsia="pt-PT"/>
              </w:rPr>
            </w:pPr>
            <w:r w:rsidRPr="0021277B">
              <w:rPr>
                <w:color w:val="000000"/>
                <w:kern w:val="24"/>
                <w:sz w:val="22"/>
                <w:szCs w:val="22"/>
                <w:lang w:val="pt-PT" w:eastAsia="pt-PT"/>
              </w:rPr>
              <w:t>Ampere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1C5D6C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CCB74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1A000B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248A28F"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7910A4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437CA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1254CE"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4C54E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319</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6117D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28</w:t>
            </w:r>
          </w:p>
        </w:tc>
      </w:tr>
      <w:tr w:rsidR="006B3F46" w:rsidRPr="0021277B" w14:paraId="4B108DF3" w14:textId="77777777" w:rsidTr="00907941">
        <w:trPr>
          <w:trHeight w:val="255"/>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FA92ACC" w14:textId="77777777" w:rsidR="006B3F46" w:rsidRPr="0021277B" w:rsidRDefault="006B3F46" w:rsidP="00907941">
            <w:pPr>
              <w:rPr>
                <w:sz w:val="22"/>
                <w:szCs w:val="22"/>
                <w:lang w:val="pt-PT" w:eastAsia="pt-PT"/>
              </w:rPr>
            </w:pPr>
            <w:r w:rsidRPr="0021277B">
              <w:rPr>
                <w:color w:val="000000"/>
                <w:kern w:val="24"/>
                <w:sz w:val="22"/>
                <w:szCs w:val="22"/>
                <w:lang w:val="pt-PT" w:eastAsia="pt-PT"/>
              </w:rPr>
              <w:t>Ashton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DBAD9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9EB599"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A9763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028E85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65E23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A5246F"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973B43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6D50EB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6A2B54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6</w:t>
            </w:r>
          </w:p>
        </w:tc>
      </w:tr>
      <w:tr w:rsidR="006B3F46" w:rsidRPr="0021277B" w14:paraId="4B18E50D" w14:textId="77777777" w:rsidTr="00907941">
        <w:trPr>
          <w:trHeight w:val="192"/>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228F79" w14:textId="77777777" w:rsidR="006B3F46" w:rsidRPr="0021277B" w:rsidRDefault="006B3F46" w:rsidP="00907941">
            <w:pPr>
              <w:rPr>
                <w:sz w:val="22"/>
                <w:szCs w:val="22"/>
                <w:lang w:val="pt-PT" w:eastAsia="pt-PT"/>
              </w:rPr>
            </w:pPr>
            <w:r w:rsidRPr="0021277B">
              <w:rPr>
                <w:color w:val="000000"/>
                <w:kern w:val="24"/>
                <w:sz w:val="22"/>
                <w:szCs w:val="22"/>
                <w:lang w:val="pt-PT" w:eastAsia="pt-PT"/>
              </w:rPr>
              <w:t>Coral Patch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E6F9E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0D46A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15BDED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81A39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46DD9DA"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4B860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61312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A8708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38</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F0C09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12</w:t>
            </w:r>
          </w:p>
        </w:tc>
      </w:tr>
      <w:tr w:rsidR="006B3F46" w:rsidRPr="0021277B" w14:paraId="12F2CFB8" w14:textId="77777777" w:rsidTr="00907941">
        <w:trPr>
          <w:trHeight w:val="189"/>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180429" w14:textId="77777777" w:rsidR="006B3F46" w:rsidRPr="0021277B" w:rsidRDefault="006B3F46" w:rsidP="00907941">
            <w:pPr>
              <w:rPr>
                <w:sz w:val="22"/>
                <w:szCs w:val="22"/>
                <w:lang w:val="pt-PT" w:eastAsia="pt-PT"/>
              </w:rPr>
            </w:pPr>
            <w:r w:rsidRPr="0021277B">
              <w:rPr>
                <w:color w:val="000000"/>
                <w:kern w:val="24"/>
                <w:sz w:val="22"/>
                <w:szCs w:val="22"/>
                <w:lang w:val="pt-PT" w:eastAsia="pt-PT"/>
              </w:rPr>
              <w:t>Dragon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64439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825952"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A94141"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13949B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CE8A1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94513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FFBD7E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95E87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103341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4</w:t>
            </w:r>
          </w:p>
        </w:tc>
      </w:tr>
      <w:tr w:rsidR="006B3F46" w:rsidRPr="0021277B" w14:paraId="072291D8" w14:textId="77777777" w:rsidTr="00907941">
        <w:trPr>
          <w:trHeight w:val="213"/>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178C81" w14:textId="77777777" w:rsidR="006B3F46" w:rsidRPr="0021277B" w:rsidRDefault="006B3F46" w:rsidP="00907941">
            <w:pPr>
              <w:rPr>
                <w:sz w:val="22"/>
                <w:szCs w:val="22"/>
                <w:lang w:val="pt-PT" w:eastAsia="pt-PT"/>
              </w:rPr>
            </w:pPr>
            <w:r w:rsidRPr="0021277B">
              <w:rPr>
                <w:color w:val="000000"/>
                <w:kern w:val="24"/>
                <w:sz w:val="22"/>
                <w:szCs w:val="22"/>
                <w:lang w:val="pt-PT" w:eastAsia="pt-PT"/>
              </w:rPr>
              <w:t>Erik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A75EF5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6C3C44"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50DE1B"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165B71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2E660B"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D0D88A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B40C55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EDF5D8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1372A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w:t>
            </w:r>
          </w:p>
        </w:tc>
      </w:tr>
      <w:tr w:rsidR="006B3F46" w:rsidRPr="0021277B" w14:paraId="60A7842D" w14:textId="77777777" w:rsidTr="00907941">
        <w:trPr>
          <w:trHeight w:val="34"/>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441B3C7" w14:textId="77777777" w:rsidR="006B3F46" w:rsidRPr="0021277B" w:rsidRDefault="006B3F46" w:rsidP="00907941">
            <w:pPr>
              <w:rPr>
                <w:sz w:val="22"/>
                <w:szCs w:val="22"/>
                <w:lang w:val="pt-PT" w:eastAsia="pt-PT"/>
              </w:rPr>
            </w:pPr>
            <w:r w:rsidRPr="0021277B">
              <w:rPr>
                <w:color w:val="000000"/>
                <w:kern w:val="24"/>
                <w:sz w:val="22"/>
                <w:szCs w:val="22"/>
                <w:lang w:val="pt-PT" w:eastAsia="pt-PT"/>
              </w:rPr>
              <w:t>Gago Coutinho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79ACED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FE812D"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6AE581E"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977364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6A81FC"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A0976D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821DFB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904AB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903E0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r>
      <w:tr w:rsidR="006B3F46" w:rsidRPr="0021277B" w14:paraId="77D7DA4E" w14:textId="77777777" w:rsidTr="00907941">
        <w:trPr>
          <w:trHeight w:val="16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86AE0F" w14:textId="77777777" w:rsidR="006B3F46" w:rsidRPr="0021277B" w:rsidRDefault="006B3F46" w:rsidP="00907941">
            <w:pPr>
              <w:rPr>
                <w:sz w:val="22"/>
                <w:szCs w:val="22"/>
                <w:lang w:val="pt-PT" w:eastAsia="pt-PT"/>
              </w:rPr>
            </w:pPr>
            <w:r w:rsidRPr="0021277B">
              <w:rPr>
                <w:color w:val="000000"/>
                <w:kern w:val="24"/>
                <w:sz w:val="22"/>
                <w:szCs w:val="22"/>
                <w:lang w:val="pt-PT" w:eastAsia="pt-PT"/>
              </w:rPr>
              <w:t>Gorringe bank</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D024A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E1B052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DA1144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793348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53890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0BD4EF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8AA5F4"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70D6E2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656</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9471AB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55</w:t>
            </w:r>
          </w:p>
        </w:tc>
      </w:tr>
      <w:tr w:rsidR="006B3F46" w:rsidRPr="0021277B" w14:paraId="7C5D4A9C" w14:textId="77777777" w:rsidTr="00907941">
        <w:trPr>
          <w:trHeight w:val="327"/>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EDED2A8" w14:textId="77777777" w:rsidR="006B3F46" w:rsidRPr="0021277B" w:rsidRDefault="006B3F46" w:rsidP="00907941">
            <w:pPr>
              <w:rPr>
                <w:sz w:val="22"/>
                <w:szCs w:val="22"/>
                <w:lang w:val="pt-PT" w:eastAsia="pt-PT"/>
              </w:rPr>
            </w:pPr>
            <w:r w:rsidRPr="0021277B">
              <w:rPr>
                <w:color w:val="000000"/>
                <w:kern w:val="24"/>
                <w:sz w:val="22"/>
                <w:szCs w:val="22"/>
                <w:lang w:val="pt-PT" w:eastAsia="pt-PT"/>
              </w:rPr>
              <w:t>Godzilla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44354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4BD7C47"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557733"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CABD5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CE75F8"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9069E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B3AE52F"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770D0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B3A731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w:t>
            </w:r>
          </w:p>
        </w:tc>
      </w:tr>
      <w:tr w:rsidR="006B3F46" w:rsidRPr="0021277B" w14:paraId="5E1405D3" w14:textId="77777777" w:rsidTr="00907941">
        <w:trPr>
          <w:trHeight w:val="12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204310B" w14:textId="77777777" w:rsidR="006B3F46" w:rsidRPr="0021277B" w:rsidRDefault="006B3F46" w:rsidP="00907941">
            <w:pPr>
              <w:rPr>
                <w:sz w:val="22"/>
                <w:szCs w:val="22"/>
                <w:lang w:val="pt-PT" w:eastAsia="pt-PT"/>
              </w:rPr>
            </w:pPr>
            <w:r w:rsidRPr="0021277B">
              <w:rPr>
                <w:color w:val="000000"/>
                <w:kern w:val="24"/>
                <w:sz w:val="22"/>
                <w:szCs w:val="22"/>
                <w:lang w:val="en-US" w:eastAsia="pt-PT"/>
              </w:rPr>
              <w:t>Hirondelle II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DA3BE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038DCA4"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075639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7B1E0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3BE1E4"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C55982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BB167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658B3B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4</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3F30BAF"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r>
      <w:tr w:rsidR="006B3F46" w:rsidRPr="0021277B" w14:paraId="6CE55D5E" w14:textId="77777777" w:rsidTr="00907941">
        <w:trPr>
          <w:trHeight w:val="205"/>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13053E8" w14:textId="77777777" w:rsidR="006B3F46" w:rsidRPr="0021277B" w:rsidRDefault="006B3F46" w:rsidP="00907941">
            <w:pPr>
              <w:rPr>
                <w:sz w:val="22"/>
                <w:szCs w:val="22"/>
                <w:lang w:val="pt-PT" w:eastAsia="pt-PT"/>
              </w:rPr>
            </w:pPr>
            <w:r w:rsidRPr="0021277B">
              <w:rPr>
                <w:color w:val="000000"/>
                <w:kern w:val="24"/>
                <w:sz w:val="22"/>
                <w:szCs w:val="22"/>
                <w:lang w:val="en-US" w:eastAsia="pt-PT"/>
              </w:rPr>
              <w:t xml:space="preserve">J-Anomaly ridge </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60FC67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3DC59B"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D2A740"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66F0D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32DAA5"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FAEB0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16FB0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4AA129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970D4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r>
      <w:tr w:rsidR="006B3F46" w:rsidRPr="0021277B" w14:paraId="2AD6BBA3" w14:textId="77777777" w:rsidTr="00907941">
        <w:trPr>
          <w:trHeight w:val="349"/>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3BD3AA" w14:textId="77777777" w:rsidR="006B3F46" w:rsidRPr="0021277B" w:rsidRDefault="006B3F46" w:rsidP="00907941">
            <w:pPr>
              <w:rPr>
                <w:sz w:val="22"/>
                <w:szCs w:val="22"/>
                <w:lang w:val="pt-PT" w:eastAsia="pt-PT"/>
              </w:rPr>
            </w:pPr>
            <w:r w:rsidRPr="0021277B">
              <w:rPr>
                <w:color w:val="000000"/>
                <w:kern w:val="24"/>
                <w:sz w:val="22"/>
                <w:szCs w:val="22"/>
                <w:lang w:val="pt-PT" w:eastAsia="pt-PT"/>
              </w:rPr>
              <w:t>Josephine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33E59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1FCB57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CA729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F9BEFCF"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4BE54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6A822E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B5085D0"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2A3A6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207</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0E6F7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36</w:t>
            </w:r>
          </w:p>
        </w:tc>
      </w:tr>
      <w:tr w:rsidR="006B3F46" w:rsidRPr="0021277B" w14:paraId="5486BFB8" w14:textId="77777777" w:rsidTr="00907941">
        <w:trPr>
          <w:trHeight w:val="282"/>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AE937C8" w14:textId="77777777" w:rsidR="006B3F46" w:rsidRPr="0021277B" w:rsidRDefault="006B3F46" w:rsidP="00907941">
            <w:pPr>
              <w:rPr>
                <w:sz w:val="22"/>
                <w:szCs w:val="22"/>
                <w:lang w:val="pt-PT" w:eastAsia="pt-PT"/>
              </w:rPr>
            </w:pPr>
            <w:r w:rsidRPr="0021277B">
              <w:rPr>
                <w:color w:val="000000"/>
                <w:kern w:val="24"/>
                <w:sz w:val="22"/>
                <w:szCs w:val="22"/>
                <w:lang w:val="pt-PT" w:eastAsia="pt-PT"/>
              </w:rPr>
              <w:t>Lion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0DA5C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69DD75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5B6E8A"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EAC6B9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A94AD1"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A7F32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A2877C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88389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23</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EF687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11</w:t>
            </w:r>
          </w:p>
        </w:tc>
      </w:tr>
      <w:tr w:rsidR="006B3F46" w:rsidRPr="0021277B" w14:paraId="1A183799" w14:textId="77777777" w:rsidTr="00907941">
        <w:trPr>
          <w:trHeight w:val="285"/>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075DBAC" w14:textId="77777777" w:rsidR="006B3F46" w:rsidRPr="0021277B" w:rsidRDefault="006B3F46" w:rsidP="00907941">
            <w:pPr>
              <w:rPr>
                <w:sz w:val="22"/>
                <w:szCs w:val="22"/>
                <w:lang w:val="pt-PT" w:eastAsia="pt-PT"/>
              </w:rPr>
            </w:pPr>
            <w:r w:rsidRPr="0021277B">
              <w:rPr>
                <w:color w:val="000000"/>
                <w:kern w:val="24"/>
                <w:sz w:val="22"/>
                <w:szCs w:val="22"/>
                <w:lang w:val="pt-PT" w:eastAsia="pt-PT"/>
              </w:rPr>
              <w:t>Pico Pia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79298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73BFEC8"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3AA2275"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0F8E09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6CD8F0C"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6F5990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6FD4B7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E44A92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19713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w:t>
            </w:r>
          </w:p>
        </w:tc>
      </w:tr>
      <w:tr w:rsidR="006B3F46" w:rsidRPr="0021277B" w14:paraId="5E249E2B" w14:textId="77777777" w:rsidTr="00907941">
        <w:trPr>
          <w:trHeight w:val="297"/>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E19B77C" w14:textId="77777777" w:rsidR="006B3F46" w:rsidRPr="0021277B" w:rsidRDefault="006B3F46" w:rsidP="00907941">
            <w:pPr>
              <w:rPr>
                <w:sz w:val="22"/>
                <w:szCs w:val="22"/>
                <w:lang w:val="pt-PT" w:eastAsia="pt-PT"/>
              </w:rPr>
            </w:pPr>
            <w:r w:rsidRPr="0021277B">
              <w:rPr>
                <w:color w:val="000000"/>
                <w:kern w:val="24"/>
                <w:sz w:val="22"/>
                <w:szCs w:val="22"/>
                <w:lang w:val="pt-PT" w:eastAsia="pt-PT"/>
              </w:rPr>
              <w:t>Seine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BA0CDC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038BA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A10AA1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C5AA8F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121AA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952E3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1BD57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DA1C0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315</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7185B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31</w:t>
            </w:r>
          </w:p>
        </w:tc>
      </w:tr>
      <w:tr w:rsidR="006B3F46" w:rsidRPr="0021277B" w14:paraId="7B35CC8C" w14:textId="77777777" w:rsidTr="00907941">
        <w:trPr>
          <w:trHeight w:val="255"/>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D4B0C9" w14:textId="77777777" w:rsidR="006B3F46" w:rsidRPr="0021277B" w:rsidRDefault="006B3F46" w:rsidP="00907941">
            <w:pPr>
              <w:rPr>
                <w:sz w:val="22"/>
                <w:szCs w:val="22"/>
                <w:lang w:val="pt-PT" w:eastAsia="pt-PT"/>
              </w:rPr>
            </w:pPr>
            <w:r w:rsidRPr="0021277B">
              <w:rPr>
                <w:color w:val="000000"/>
                <w:kern w:val="24"/>
                <w:sz w:val="22"/>
                <w:szCs w:val="22"/>
                <w:lang w:val="pt-PT" w:eastAsia="pt-PT"/>
              </w:rPr>
              <w:t>Sponge Bob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8EEEB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684782"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8C1114"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7817B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328D16"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C5B7B7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9BF1A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92455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77B2B3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r>
      <w:tr w:rsidR="006B3F46" w:rsidRPr="0021277B" w14:paraId="677A13DD" w14:textId="77777777" w:rsidTr="00907941">
        <w:trPr>
          <w:trHeight w:val="35"/>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9F50275" w14:textId="77777777" w:rsidR="006B3F46" w:rsidRPr="0021277B" w:rsidRDefault="006B3F46" w:rsidP="00907941">
            <w:pPr>
              <w:rPr>
                <w:sz w:val="22"/>
                <w:szCs w:val="22"/>
                <w:lang w:val="pt-PT" w:eastAsia="pt-PT"/>
              </w:rPr>
            </w:pPr>
            <w:r w:rsidRPr="0021277B">
              <w:rPr>
                <w:color w:val="000000"/>
                <w:kern w:val="24"/>
                <w:sz w:val="22"/>
                <w:szCs w:val="22"/>
                <w:lang w:val="pt-PT" w:eastAsia="pt-PT"/>
              </w:rPr>
              <w:t>Toblerone ridge</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76C160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96B880"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310727"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EC385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93B0F6B"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9CB483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9E901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09C27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75B3A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r>
      <w:tr w:rsidR="006B3F46" w:rsidRPr="0021277B" w14:paraId="6D379246" w14:textId="77777777" w:rsidTr="00907941">
        <w:trPr>
          <w:trHeight w:val="255"/>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158EB56" w14:textId="77777777" w:rsidR="006B3F46" w:rsidRPr="0021277B" w:rsidRDefault="006B3F46" w:rsidP="00907941">
            <w:pPr>
              <w:rPr>
                <w:sz w:val="22"/>
                <w:szCs w:val="22"/>
                <w:lang w:val="pt-PT" w:eastAsia="pt-PT"/>
              </w:rPr>
            </w:pPr>
            <w:r w:rsidRPr="0021277B">
              <w:rPr>
                <w:color w:val="000000"/>
                <w:kern w:val="24"/>
                <w:sz w:val="22"/>
                <w:szCs w:val="22"/>
                <w:lang w:val="pt-PT" w:eastAsia="pt-PT"/>
              </w:rPr>
              <w:t>Tore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492B3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10BC92E"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31A846"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1178F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15A9F6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CA12BA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13555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6BED27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9DC91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6</w:t>
            </w:r>
          </w:p>
        </w:tc>
      </w:tr>
      <w:tr w:rsidR="006B3F46" w:rsidRPr="0021277B" w14:paraId="4CC36221" w14:textId="77777777" w:rsidTr="00907941">
        <w:trPr>
          <w:trHeight w:val="15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7F3865D" w14:textId="77777777" w:rsidR="006B3F46" w:rsidRPr="0021277B" w:rsidRDefault="006B3F46" w:rsidP="00907941">
            <w:pPr>
              <w:rPr>
                <w:sz w:val="22"/>
                <w:szCs w:val="22"/>
                <w:lang w:val="pt-PT" w:eastAsia="pt-PT"/>
              </w:rPr>
            </w:pPr>
            <w:r w:rsidRPr="0021277B">
              <w:rPr>
                <w:color w:val="000000"/>
                <w:kern w:val="24"/>
                <w:sz w:val="22"/>
                <w:szCs w:val="22"/>
                <w:lang w:val="pt-PT" w:eastAsia="pt-PT"/>
              </w:rPr>
              <w:t>Unicorn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47645E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8635CA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E6F21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4E28B1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1FEBB5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64AA4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E4504F"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5E9D89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33</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26F64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9</w:t>
            </w:r>
          </w:p>
        </w:tc>
      </w:tr>
    </w:tbl>
    <w:p w14:paraId="7E985F61" w14:textId="77777777" w:rsidR="006B3F46" w:rsidRPr="00F66EF7" w:rsidRDefault="006B3F46" w:rsidP="00907941">
      <w:pPr>
        <w:jc w:val="both"/>
        <w:rPr>
          <w:rFonts w:eastAsia="MS Mincho"/>
          <w:sz w:val="22"/>
          <w:szCs w:val="22"/>
          <w:lang w:val="en-US"/>
        </w:rPr>
      </w:pPr>
    </w:p>
    <w:p w14:paraId="369012C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In terms of geology, the structures of the area </w:t>
      </w:r>
      <w:r>
        <w:rPr>
          <w:rFonts w:eastAsia="MS Mincho"/>
          <w:sz w:val="22"/>
          <w:szCs w:val="22"/>
          <w:lang w:val="en-US"/>
        </w:rPr>
        <w:t>vary in terms of their</w:t>
      </w:r>
      <w:r w:rsidRPr="009978E3">
        <w:rPr>
          <w:rFonts w:eastAsia="MS Mincho"/>
          <w:sz w:val="22"/>
          <w:szCs w:val="22"/>
          <w:lang w:val="en-US"/>
        </w:rPr>
        <w:t xml:space="preserve"> composition, location and age (</w:t>
      </w:r>
      <w:r w:rsidRPr="009978E3">
        <w:rPr>
          <w:rFonts w:eastAsia="MS Mincho"/>
          <w:bCs/>
          <w:color w:val="000000"/>
          <w:sz w:val="22"/>
          <w:szCs w:val="22"/>
          <w:lang w:val="en-US"/>
        </w:rPr>
        <w:t xml:space="preserve">Geldmacher </w:t>
      </w:r>
      <w:r w:rsidRPr="0006066A">
        <w:rPr>
          <w:rFonts w:eastAsia="MS Mincho"/>
          <w:bCs/>
          <w:i/>
          <w:iCs/>
          <w:color w:val="000000"/>
          <w:sz w:val="22"/>
          <w:szCs w:val="22"/>
          <w:lang w:val="en-US"/>
        </w:rPr>
        <w:t>et al</w:t>
      </w:r>
      <w:r w:rsidRPr="009978E3">
        <w:rPr>
          <w:rFonts w:eastAsia="MS Mincho"/>
          <w:bCs/>
          <w:i/>
          <w:color w:val="000000"/>
          <w:sz w:val="22"/>
          <w:szCs w:val="22"/>
          <w:lang w:val="en-US"/>
        </w:rPr>
        <w:t>.,</w:t>
      </w:r>
      <w:r w:rsidRPr="009978E3">
        <w:rPr>
          <w:rFonts w:eastAsia="MS Mincho"/>
          <w:sz w:val="22"/>
          <w:szCs w:val="22"/>
          <w:lang w:val="en-US"/>
        </w:rPr>
        <w:t xml:space="preserve"> 2000, 2001, 2005). </w:t>
      </w:r>
    </w:p>
    <w:p w14:paraId="20CDE74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Seine seamount (33º 45.60' N 14º 22.80' W) is located 200 km NE of Porto Santo, rising from more than 4000m to less than 200m water depths. This round seamount has steep sides and a characteristic flat top.</w:t>
      </w:r>
    </w:p>
    <w:p w14:paraId="32F7705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Unicorn seamount (34º 45.00' N 14º 27.00' W) lies 100 km north of Seine </w:t>
      </w:r>
      <w:r>
        <w:rPr>
          <w:rFonts w:eastAsia="MS Mincho"/>
          <w:sz w:val="22"/>
          <w:szCs w:val="22"/>
          <w:lang w:val="en-US"/>
        </w:rPr>
        <w:t>s</w:t>
      </w:r>
      <w:r w:rsidRPr="009978E3">
        <w:rPr>
          <w:rFonts w:eastAsia="MS Mincho"/>
          <w:sz w:val="22"/>
          <w:szCs w:val="22"/>
          <w:lang w:val="en-US"/>
        </w:rPr>
        <w:t xml:space="preserve">eamount. </w:t>
      </w:r>
    </w:p>
    <w:p w14:paraId="6A98DC6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Ampere (35º 05.00' N 12º 55.00' W 00' W) and Coral Patch (34º 56.00' N 11º 57.00' W) seamounts are located 190 km NE of Seine seamount. Bathymetric data show that the shape of Ampere seamount is also similar to a guyot with a summit that extends to 59 m below sea level (Litvin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1982; Marova &amp; Yevsyukov, 1987). Alkaline nepheline basaltoids have been described from two short drill holes on the top of the seamount (Matveyenkov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1994). The neighboring Coral Patch seamount forms an elongated E–W oriented structure rising up to 900 m below sea level.</w:t>
      </w:r>
    </w:p>
    <w:p w14:paraId="62433C4E" w14:textId="77777777" w:rsidR="006B3F46" w:rsidRPr="009978E3" w:rsidRDefault="006B3F46" w:rsidP="002E4B39">
      <w:pPr>
        <w:suppressLineNumbers/>
        <w:spacing w:after="120"/>
        <w:jc w:val="both"/>
        <w:rPr>
          <w:sz w:val="22"/>
          <w:szCs w:val="22"/>
          <w:lang w:val="en-US" w:eastAsia="pt-PT"/>
        </w:rPr>
      </w:pPr>
      <w:r w:rsidRPr="009978E3">
        <w:rPr>
          <w:rFonts w:eastAsia="MS Mincho"/>
          <w:sz w:val="22"/>
          <w:szCs w:val="22"/>
          <w:lang w:val="en-US"/>
        </w:rPr>
        <w:t>Gorringe Bank</w:t>
      </w:r>
      <w:r>
        <w:rPr>
          <w:rFonts w:eastAsia="MS Mincho"/>
          <w:sz w:val="22"/>
          <w:szCs w:val="22"/>
          <w:lang w:val="en-US"/>
        </w:rPr>
        <w:t>,</w:t>
      </w:r>
      <w:r w:rsidRPr="009978E3">
        <w:rPr>
          <w:rFonts w:eastAsia="MS Mincho"/>
          <w:sz w:val="22"/>
          <w:szCs w:val="22"/>
          <w:lang w:val="en-US"/>
        </w:rPr>
        <w:t xml:space="preserve"> which lies along the Azores-Gibraltar fracture zone (the Eurasia-African Plate boundary)</w:t>
      </w:r>
      <w:r>
        <w:rPr>
          <w:rFonts w:eastAsia="MS Mincho"/>
          <w:sz w:val="22"/>
          <w:szCs w:val="22"/>
          <w:lang w:val="en-US"/>
        </w:rPr>
        <w:t xml:space="preserve">, </w:t>
      </w:r>
      <w:r w:rsidRPr="009978E3">
        <w:rPr>
          <w:rFonts w:eastAsia="MS Mincho"/>
          <w:sz w:val="22"/>
          <w:szCs w:val="22"/>
          <w:lang w:val="en-US"/>
        </w:rPr>
        <w:t xml:space="preserve">is 250 km long </w:t>
      </w:r>
      <w:r w:rsidRPr="009978E3">
        <w:rPr>
          <w:sz w:val="22"/>
          <w:szCs w:val="22"/>
          <w:lang w:val="en-US" w:eastAsia="pt-PT"/>
        </w:rPr>
        <w:t xml:space="preserve">and belongs to the </w:t>
      </w:r>
      <w:r>
        <w:rPr>
          <w:sz w:val="22"/>
          <w:szCs w:val="22"/>
          <w:lang w:val="en-US" w:eastAsia="pt-PT"/>
        </w:rPr>
        <w:t>“</w:t>
      </w:r>
      <w:r w:rsidRPr="009978E3">
        <w:rPr>
          <w:sz w:val="22"/>
          <w:szCs w:val="22"/>
          <w:lang w:val="en-US" w:eastAsia="pt-PT"/>
        </w:rPr>
        <w:t>Horseshoe</w:t>
      </w:r>
      <w:r>
        <w:rPr>
          <w:sz w:val="22"/>
          <w:szCs w:val="22"/>
          <w:lang w:val="en-US" w:eastAsia="pt-PT"/>
        </w:rPr>
        <w:t>”</w:t>
      </w:r>
      <w:r w:rsidRPr="009978E3">
        <w:rPr>
          <w:sz w:val="22"/>
          <w:szCs w:val="22"/>
          <w:lang w:val="en-US" w:eastAsia="pt-PT"/>
        </w:rPr>
        <w:t xml:space="preserve"> submarine chain. Contrary to other volcanic seamounts of the chain</w:t>
      </w:r>
      <w:r>
        <w:rPr>
          <w:sz w:val="22"/>
          <w:szCs w:val="22"/>
          <w:lang w:val="en-US" w:eastAsia="pt-PT"/>
        </w:rPr>
        <w:t>,</w:t>
      </w:r>
      <w:r w:rsidRPr="009978E3">
        <w:rPr>
          <w:sz w:val="22"/>
          <w:szCs w:val="22"/>
          <w:lang w:val="en-US" w:eastAsia="pt-PT"/>
        </w:rPr>
        <w:t xml:space="preserve"> it consists chiefly of mantle ultrabasic rocks (Ryan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1973). It i</w:t>
      </w:r>
      <w:r w:rsidRPr="009978E3">
        <w:rPr>
          <w:rFonts w:eastAsia="MS Mincho"/>
          <w:sz w:val="22"/>
          <w:szCs w:val="22"/>
          <w:lang w:val="en-US"/>
        </w:rPr>
        <w:t>s dominated by two summits, the Gettysburg (west) and Ormonde (east) seamounts, which almost reach the sea surface. T</w:t>
      </w:r>
      <w:r w:rsidRPr="009978E3">
        <w:rPr>
          <w:sz w:val="22"/>
          <w:szCs w:val="22"/>
          <w:lang w:val="en-US"/>
        </w:rPr>
        <w:t>he two summits</w:t>
      </w:r>
      <w:r w:rsidRPr="0021277B">
        <w:rPr>
          <w:sz w:val="22"/>
          <w:szCs w:val="22"/>
        </w:rPr>
        <w:t xml:space="preserve"> </w:t>
      </w:r>
      <w:r w:rsidRPr="00F66EF7">
        <w:rPr>
          <w:rFonts w:eastAsia="MS Mincho"/>
          <w:sz w:val="22"/>
          <w:szCs w:val="22"/>
          <w:lang w:val="en-US"/>
        </w:rPr>
        <w:t>are separated by a</w:t>
      </w:r>
      <w:r>
        <w:rPr>
          <w:rFonts w:eastAsia="MS Mincho"/>
          <w:sz w:val="22"/>
          <w:szCs w:val="22"/>
          <w:lang w:val="en-US"/>
        </w:rPr>
        <w:t>n</w:t>
      </w:r>
      <w:r w:rsidRPr="00F66EF7">
        <w:rPr>
          <w:rFonts w:eastAsia="MS Mincho"/>
          <w:sz w:val="22"/>
          <w:szCs w:val="22"/>
          <w:lang w:val="en-US"/>
        </w:rPr>
        <w:t xml:space="preserve"> 800m deep saddle and raise 30</w:t>
      </w:r>
      <w:r>
        <w:rPr>
          <w:rFonts w:eastAsia="MS Mincho"/>
          <w:sz w:val="22"/>
          <w:szCs w:val="22"/>
          <w:lang w:val="en-US"/>
        </w:rPr>
        <w:t xml:space="preserve"> to </w:t>
      </w:r>
      <w:r w:rsidRPr="00F66EF7">
        <w:rPr>
          <w:rFonts w:eastAsia="MS Mincho"/>
          <w:sz w:val="22"/>
          <w:szCs w:val="22"/>
          <w:lang w:val="en-US"/>
        </w:rPr>
        <w:t xml:space="preserve">40m from the sea surface. Except for the Ormonde summit, the rest of Gorringe Bank consists primarily of altered tholeiitic basalt and serpentinized peridotite (Auzende </w:t>
      </w:r>
      <w:r w:rsidRPr="0006066A">
        <w:rPr>
          <w:rFonts w:eastAsia="MS Mincho"/>
          <w:i/>
          <w:iCs/>
          <w:sz w:val="22"/>
          <w:szCs w:val="22"/>
          <w:lang w:val="en-US"/>
        </w:rPr>
        <w:t>et al</w:t>
      </w:r>
      <w:r w:rsidRPr="009978E3">
        <w:rPr>
          <w:rFonts w:eastAsia="MS Mincho"/>
          <w:i/>
          <w:sz w:val="22"/>
          <w:szCs w:val="22"/>
          <w:lang w:val="en-US"/>
        </w:rPr>
        <w:t>.,</w:t>
      </w:r>
      <w:r w:rsidRPr="009978E3">
        <w:rPr>
          <w:sz w:val="22"/>
          <w:szCs w:val="22"/>
          <w:lang w:val="en-US" w:eastAsia="pt-PT"/>
        </w:rPr>
        <w:t xml:space="preserve"> 1978; Matveyenkov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1994).</w:t>
      </w:r>
      <w:r w:rsidRPr="0021277B">
        <w:rPr>
          <w:sz w:val="22"/>
          <w:szCs w:val="22"/>
        </w:rPr>
        <w:t xml:space="preserve"> </w:t>
      </w:r>
      <w:r w:rsidRPr="00F66EF7">
        <w:rPr>
          <w:sz w:val="22"/>
          <w:szCs w:val="22"/>
          <w:lang w:val="en-US" w:eastAsia="pt-PT"/>
        </w:rPr>
        <w:t>This bank represents a notable site where a section of lower oceanic crust and mantle is exposed. Other peculiarit</w:t>
      </w:r>
      <w:r>
        <w:rPr>
          <w:sz w:val="22"/>
          <w:szCs w:val="22"/>
          <w:lang w:val="en-US" w:eastAsia="pt-PT"/>
        </w:rPr>
        <w:t>ies</w:t>
      </w:r>
      <w:r w:rsidRPr="00F66EF7">
        <w:rPr>
          <w:sz w:val="22"/>
          <w:szCs w:val="22"/>
          <w:lang w:val="en-US" w:eastAsia="pt-PT"/>
        </w:rPr>
        <w:t xml:space="preserve"> reside in the extremely elevated bathymetric gradient occurring between the summit of the bank and the surr</w:t>
      </w:r>
      <w:r w:rsidRPr="009978E3">
        <w:rPr>
          <w:sz w:val="22"/>
          <w:szCs w:val="22"/>
          <w:lang w:val="en-US" w:eastAsia="pt-PT"/>
        </w:rPr>
        <w:t>ounding Tagus and Horseshoe Abyssal Plains located at 5000m depth (</w:t>
      </w:r>
      <w:r w:rsidRPr="009978E3">
        <w:rPr>
          <w:rFonts w:eastAsia="MS Mincho"/>
          <w:bCs/>
          <w:color w:val="000000"/>
          <w:sz w:val="22"/>
          <w:szCs w:val="22"/>
          <w:lang w:val="en-US"/>
        </w:rPr>
        <w:t xml:space="preserve">Alteriis </w:t>
      </w:r>
      <w:r w:rsidRPr="0006066A">
        <w:rPr>
          <w:rFonts w:eastAsia="MS Mincho"/>
          <w:bCs/>
          <w:i/>
          <w:iCs/>
          <w:color w:val="000000"/>
          <w:sz w:val="22"/>
          <w:szCs w:val="22"/>
          <w:lang w:val="en-US"/>
        </w:rPr>
        <w:t>et al</w:t>
      </w:r>
      <w:r w:rsidRPr="009978E3">
        <w:rPr>
          <w:rFonts w:eastAsia="MS Mincho"/>
          <w:bCs/>
          <w:i/>
          <w:color w:val="000000"/>
          <w:sz w:val="22"/>
          <w:szCs w:val="22"/>
          <w:lang w:val="en-US"/>
        </w:rPr>
        <w:t>.,</w:t>
      </w:r>
      <w:r w:rsidRPr="009978E3">
        <w:rPr>
          <w:sz w:val="22"/>
          <w:szCs w:val="22"/>
          <w:lang w:val="en-US" w:eastAsia="pt-PT"/>
        </w:rPr>
        <w:t xml:space="preserve"> 2003).</w:t>
      </w:r>
    </w:p>
    <w:p w14:paraId="27AC35B5" w14:textId="77777777" w:rsidR="006B3F46" w:rsidRPr="009978E3" w:rsidRDefault="006B3F46" w:rsidP="002E4B39">
      <w:pPr>
        <w:suppressLineNumbers/>
        <w:spacing w:after="120"/>
        <w:jc w:val="both"/>
        <w:rPr>
          <w:sz w:val="22"/>
          <w:szCs w:val="22"/>
          <w:lang w:val="en-US" w:eastAsia="pt-PT"/>
        </w:rPr>
      </w:pPr>
      <w:r w:rsidRPr="002E4B39">
        <w:rPr>
          <w:rFonts w:eastAsia="MS Mincho"/>
          <w:sz w:val="22"/>
          <w:szCs w:val="22"/>
          <w:lang w:val="en-US"/>
        </w:rPr>
        <w:t>Josephine</w:t>
      </w:r>
      <w:r w:rsidRPr="009978E3">
        <w:rPr>
          <w:sz w:val="22"/>
          <w:szCs w:val="22"/>
          <w:lang w:val="en-US" w:eastAsia="pt-PT"/>
        </w:rPr>
        <w:t xml:space="preserve"> seamount can be considered the first seamount discovered as a direct result of oceanic explorations (Brewin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2007) and has been studied in several scientific expeditions. Josephine seamount is one of </w:t>
      </w:r>
      <w:r>
        <w:rPr>
          <w:sz w:val="22"/>
          <w:szCs w:val="22"/>
          <w:lang w:val="en-US" w:eastAsia="pt-PT"/>
        </w:rPr>
        <w:t xml:space="preserve">the </w:t>
      </w:r>
      <w:r w:rsidRPr="009978E3">
        <w:rPr>
          <w:sz w:val="22"/>
          <w:szCs w:val="22"/>
          <w:lang w:val="en-US" w:eastAsia="pt-PT"/>
        </w:rPr>
        <w:t>Lusitanian seamounts and represents the westernmost point of east-west trending series of banks and seamounts separating the Tagus and Horseshoe Abyssal Plains</w:t>
      </w:r>
      <w:r>
        <w:rPr>
          <w:sz w:val="22"/>
          <w:szCs w:val="22"/>
          <w:lang w:val="en-US" w:eastAsia="pt-PT"/>
        </w:rPr>
        <w:t>,</w:t>
      </w:r>
      <w:r w:rsidRPr="009978E3">
        <w:rPr>
          <w:sz w:val="22"/>
          <w:szCs w:val="22"/>
          <w:lang w:val="en-US" w:eastAsia="pt-PT"/>
        </w:rPr>
        <w:t xml:space="preserve"> also known as </w:t>
      </w:r>
      <w:r>
        <w:rPr>
          <w:sz w:val="22"/>
          <w:szCs w:val="22"/>
          <w:lang w:val="en-US" w:eastAsia="pt-PT"/>
        </w:rPr>
        <w:t xml:space="preserve">the </w:t>
      </w:r>
      <w:r w:rsidRPr="009978E3">
        <w:rPr>
          <w:sz w:val="22"/>
          <w:szCs w:val="22"/>
          <w:lang w:val="en-US" w:eastAsia="pt-PT"/>
        </w:rPr>
        <w:t>Horseshoe seamount chain. It is located to the east of the Mid-Atlantic Ridge and is a component of the Azores-Gibraltar complex (Pakhorukov, 2008). It is oval-shaped with a minimum water depth of 170 m at the southern end and almost flat top surface of ~150 km</w:t>
      </w:r>
      <w:r w:rsidRPr="009978E3">
        <w:rPr>
          <w:sz w:val="22"/>
          <w:szCs w:val="22"/>
          <w:vertAlign w:val="superscript"/>
          <w:lang w:val="en-US"/>
        </w:rPr>
        <w:t>2</w:t>
      </w:r>
      <w:r w:rsidRPr="009978E3">
        <w:rPr>
          <w:sz w:val="22"/>
          <w:szCs w:val="22"/>
          <w:lang w:val="en-US" w:eastAsia="pt-PT"/>
        </w:rPr>
        <w:t xml:space="preserve"> within the 400m depth contour and ~210 km</w:t>
      </w:r>
      <w:r w:rsidRPr="009978E3">
        <w:rPr>
          <w:sz w:val="22"/>
          <w:szCs w:val="22"/>
          <w:vertAlign w:val="superscript"/>
          <w:lang w:val="en-US"/>
        </w:rPr>
        <w:t>2</w:t>
      </w:r>
      <w:r w:rsidRPr="009978E3">
        <w:rPr>
          <w:sz w:val="22"/>
          <w:szCs w:val="22"/>
          <w:lang w:val="en-US" w:eastAsia="pt-PT"/>
        </w:rPr>
        <w:t xml:space="preserve"> within the 500m depth contour. There are very steep south, south-west and south-east slopes down to water depths of 2000-3700m. Towards the NNW the seamount extends into </w:t>
      </w:r>
      <w:r>
        <w:rPr>
          <w:sz w:val="22"/>
          <w:szCs w:val="22"/>
          <w:lang w:val="en-US" w:eastAsia="pt-PT"/>
        </w:rPr>
        <w:t xml:space="preserve">a </w:t>
      </w:r>
      <w:r w:rsidRPr="009978E3">
        <w:rPr>
          <w:sz w:val="22"/>
          <w:szCs w:val="22"/>
          <w:lang w:val="en-US" w:eastAsia="pt-PT"/>
        </w:rPr>
        <w:t>northward</w:t>
      </w:r>
      <w:r>
        <w:rPr>
          <w:sz w:val="22"/>
          <w:szCs w:val="22"/>
          <w:lang w:val="en-US" w:eastAsia="pt-PT"/>
        </w:rPr>
        <w:t>-</w:t>
      </w:r>
      <w:r w:rsidRPr="009978E3">
        <w:rPr>
          <w:sz w:val="22"/>
          <w:szCs w:val="22"/>
          <w:lang w:val="en-US" w:eastAsia="pt-PT"/>
        </w:rPr>
        <w:t xml:space="preserve">sloping ridge about 1000m deep. The seamount originated in </w:t>
      </w:r>
      <w:r>
        <w:rPr>
          <w:sz w:val="22"/>
          <w:szCs w:val="22"/>
          <w:lang w:val="en-US" w:eastAsia="pt-PT"/>
        </w:rPr>
        <w:t xml:space="preserve">the </w:t>
      </w:r>
      <w:r w:rsidRPr="009978E3">
        <w:rPr>
          <w:sz w:val="22"/>
          <w:szCs w:val="22"/>
          <w:lang w:val="en-US" w:eastAsia="pt-PT"/>
        </w:rPr>
        <w:t>Middle Tertiary as an island volcano that became extinct approximately 9 million years ago and has a subsidence rate of ~ 2-3 cm/1000 years.</w:t>
      </w:r>
    </w:p>
    <w:p w14:paraId="3AC4F89A" w14:textId="77777777" w:rsidR="006B3F46" w:rsidRPr="009978E3" w:rsidRDefault="006B3F46" w:rsidP="002E4B39">
      <w:pPr>
        <w:suppressLineNumbers/>
        <w:spacing w:after="120"/>
        <w:jc w:val="both"/>
        <w:rPr>
          <w:sz w:val="22"/>
          <w:szCs w:val="22"/>
          <w:lang w:val="en-US" w:eastAsia="pt-PT"/>
        </w:rPr>
      </w:pPr>
      <w:r w:rsidRPr="002E4B39">
        <w:rPr>
          <w:rFonts w:eastAsia="MS Mincho"/>
          <w:sz w:val="22"/>
          <w:szCs w:val="22"/>
          <w:lang w:val="en-US"/>
        </w:rPr>
        <w:t>Ampere</w:t>
      </w:r>
      <w:r w:rsidRPr="009978E3">
        <w:rPr>
          <w:sz w:val="22"/>
          <w:szCs w:val="22"/>
          <w:lang w:val="en-US" w:eastAsia="pt-PT"/>
        </w:rPr>
        <w:t xml:space="preserve"> seamount is part of the Horseshoe Seamounts Chain and is located between the island of Madeira and the Portuguese southern coast, to the west of Morocco. Ampere rises from a depth of ca. 4500 to 59 m below the surface. It is separated from the neighbo</w:t>
      </w:r>
      <w:r>
        <w:rPr>
          <w:sz w:val="22"/>
          <w:szCs w:val="22"/>
          <w:lang w:val="en-US" w:eastAsia="pt-PT"/>
        </w:rPr>
        <w:t>u</w:t>
      </w:r>
      <w:r w:rsidRPr="009978E3">
        <w:rPr>
          <w:sz w:val="22"/>
          <w:szCs w:val="22"/>
          <w:lang w:val="en-US" w:eastAsia="pt-PT"/>
        </w:rPr>
        <w:t>ring Coral Patch seamount by a deep valley of 3400m depth. The seamount has a conical shape with an elongated base and a small, rough summit plateau at 110–200m, with a single narrow peak reaching to 59 m. The slopes are steep and rocky</w:t>
      </w:r>
      <w:r>
        <w:rPr>
          <w:sz w:val="22"/>
          <w:szCs w:val="22"/>
          <w:lang w:val="en-US" w:eastAsia="pt-PT"/>
        </w:rPr>
        <w:t>,</w:t>
      </w:r>
      <w:r w:rsidRPr="009978E3">
        <w:rPr>
          <w:sz w:val="22"/>
          <w:szCs w:val="22"/>
          <w:lang w:val="en-US" w:eastAsia="pt-PT"/>
        </w:rPr>
        <w:t xml:space="preserve"> with canyon-like structures</w:t>
      </w:r>
      <w:r>
        <w:rPr>
          <w:sz w:val="22"/>
          <w:szCs w:val="22"/>
          <w:lang w:val="en-US" w:eastAsia="pt-PT"/>
        </w:rPr>
        <w:t>,</w:t>
      </w:r>
      <w:r w:rsidRPr="009978E3">
        <w:rPr>
          <w:sz w:val="22"/>
          <w:szCs w:val="22"/>
          <w:lang w:val="en-US" w:eastAsia="pt-PT"/>
        </w:rPr>
        <w:t xml:space="preserve"> particularly at the northern, eastern and southern sides (Halbach </w:t>
      </w:r>
      <w:r w:rsidRPr="0006066A">
        <w:rPr>
          <w:i/>
          <w:iCs/>
          <w:sz w:val="22"/>
          <w:szCs w:val="22"/>
          <w:lang w:val="en-US" w:eastAsia="pt-PT"/>
        </w:rPr>
        <w:t>et al</w:t>
      </w:r>
      <w:r w:rsidRPr="009978E3">
        <w:rPr>
          <w:sz w:val="22"/>
          <w:szCs w:val="22"/>
          <w:lang w:val="en-US" w:eastAsia="pt-PT"/>
        </w:rPr>
        <w:t xml:space="preserve">. 1993; Kuhn </w:t>
      </w:r>
      <w:r w:rsidRPr="0006066A">
        <w:rPr>
          <w:i/>
          <w:iCs/>
          <w:sz w:val="22"/>
          <w:szCs w:val="22"/>
          <w:lang w:val="en-US" w:eastAsia="pt-PT"/>
        </w:rPr>
        <w:t>et al</w:t>
      </w:r>
      <w:r w:rsidRPr="009978E3">
        <w:rPr>
          <w:sz w:val="22"/>
          <w:szCs w:val="22"/>
          <w:lang w:val="en-US" w:eastAsia="pt-PT"/>
        </w:rPr>
        <w:t xml:space="preserve">. 1996; Hatzky 2005), but sediment-covered flat areas exist as well. </w:t>
      </w:r>
    </w:p>
    <w:p w14:paraId="608CEB13"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 xml:space="preserve">The Coral </w:t>
      </w:r>
      <w:r w:rsidRPr="002E4B39">
        <w:rPr>
          <w:rFonts w:eastAsia="MS Mincho"/>
          <w:sz w:val="22"/>
          <w:szCs w:val="22"/>
          <w:lang w:val="en-US"/>
        </w:rPr>
        <w:t>Patch</w:t>
      </w:r>
      <w:r w:rsidRPr="009978E3">
        <w:rPr>
          <w:sz w:val="22"/>
          <w:szCs w:val="22"/>
          <w:lang w:val="en-US" w:eastAsia="pt-PT"/>
        </w:rPr>
        <w:t xml:space="preserve"> seamount was discovered in 1883 during an expedition for laying telegraph cable between Cádiz and the Canary Islands (Buchanan, 1885). Buchanan (1885) remark</w:t>
      </w:r>
      <w:r>
        <w:rPr>
          <w:sz w:val="22"/>
          <w:szCs w:val="22"/>
          <w:lang w:val="en-US" w:eastAsia="pt-PT"/>
        </w:rPr>
        <w:t>ed</w:t>
      </w:r>
      <w:r w:rsidRPr="009978E3">
        <w:rPr>
          <w:sz w:val="22"/>
          <w:szCs w:val="22"/>
          <w:lang w:val="en-US" w:eastAsia="pt-PT"/>
        </w:rPr>
        <w:t xml:space="preserve"> that a dredge from 970m water depth revealed many fragments of the crinoid </w:t>
      </w:r>
      <w:r w:rsidRPr="009978E3">
        <w:rPr>
          <w:i/>
          <w:sz w:val="22"/>
          <w:szCs w:val="22"/>
          <w:lang w:val="en-US"/>
        </w:rPr>
        <w:t>Neocomatella pulchella</w:t>
      </w:r>
      <w:r w:rsidRPr="009978E3">
        <w:rPr>
          <w:sz w:val="22"/>
          <w:szCs w:val="22"/>
          <w:lang w:val="en-US" w:eastAsia="pt-PT"/>
        </w:rPr>
        <w:t xml:space="preserve"> and a large quantity of live occurrences of the coldwater coral </w:t>
      </w:r>
      <w:r w:rsidRPr="009978E3">
        <w:rPr>
          <w:i/>
          <w:sz w:val="22"/>
          <w:szCs w:val="22"/>
          <w:lang w:val="en-US"/>
        </w:rPr>
        <w:t>Lophelia pertusa</w:t>
      </w:r>
      <w:r w:rsidRPr="009978E3">
        <w:rPr>
          <w:sz w:val="22"/>
          <w:szCs w:val="22"/>
          <w:lang w:val="en-US" w:eastAsia="pt-PT"/>
        </w:rPr>
        <w:t xml:space="preserve">, the latter findings presumably giving the inspiration for the geographic name. Coral Patch is a sub-elliptical ENE-WSW elongated seamount, about 120 km long and 70 km wide (D’Oriano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2010). Bathymetric and seismic data show that Coral Patch is a composite structure as it originates from a pre-existing sedimentary structural high that extends to a water depth of up to 2500m (Zitellini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2009) while on the upper part of the seamount </w:t>
      </w:r>
      <w:r>
        <w:rPr>
          <w:sz w:val="22"/>
          <w:szCs w:val="22"/>
          <w:lang w:val="en-US" w:eastAsia="pt-PT"/>
        </w:rPr>
        <w:t xml:space="preserve">there are </w:t>
      </w:r>
      <w:r w:rsidRPr="009978E3">
        <w:rPr>
          <w:sz w:val="22"/>
          <w:szCs w:val="22"/>
          <w:lang w:val="en-US" w:eastAsia="pt-PT"/>
        </w:rPr>
        <w:t xml:space="preserve">volcanic edifices (D’Oriano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2010). Eight distinct coalescent volcanic cones </w:t>
      </w:r>
      <w:r>
        <w:rPr>
          <w:sz w:val="22"/>
          <w:szCs w:val="22"/>
          <w:lang w:val="en-US" w:eastAsia="pt-PT"/>
        </w:rPr>
        <w:t xml:space="preserve">are </w:t>
      </w:r>
      <w:r w:rsidRPr="009978E3">
        <w:rPr>
          <w:sz w:val="22"/>
          <w:szCs w:val="22"/>
          <w:lang w:val="en-US" w:eastAsia="pt-PT"/>
        </w:rPr>
        <w:t>cluster</w:t>
      </w:r>
      <w:r>
        <w:rPr>
          <w:sz w:val="22"/>
          <w:szCs w:val="22"/>
          <w:lang w:val="en-US" w:eastAsia="pt-PT"/>
        </w:rPr>
        <w:t>ed</w:t>
      </w:r>
      <w:r w:rsidRPr="009978E3">
        <w:rPr>
          <w:sz w:val="22"/>
          <w:szCs w:val="22"/>
          <w:lang w:val="en-US" w:eastAsia="pt-PT"/>
        </w:rPr>
        <w:t xml:space="preserve"> on the southwestern top of Coral Patch seamount, while in the NE a single isolated cone of 8 km in diameter </w:t>
      </w:r>
      <w:r>
        <w:rPr>
          <w:sz w:val="22"/>
          <w:szCs w:val="22"/>
          <w:lang w:val="en-US" w:eastAsia="pt-PT"/>
        </w:rPr>
        <w:t>has</w:t>
      </w:r>
      <w:r w:rsidRPr="009978E3">
        <w:rPr>
          <w:sz w:val="22"/>
          <w:szCs w:val="22"/>
          <w:lang w:val="en-US" w:eastAsia="pt-PT"/>
        </w:rPr>
        <w:t xml:space="preserve"> developed (called Vince volcano; D’Oriano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2010). </w:t>
      </w:r>
    </w:p>
    <w:p w14:paraId="73831FA3"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Productivity in oceanic settings depends on light and nutrient availability, while overall production is the result of productivity and accumulation of the phytoplankton. At a seamount, either a seamount-generated, vertical nutrient flux has to be shallow enough to reach the euphotic zone and the ensuing productivity retained over the seamount long enough to allow transfer to higher trophic levels, or the seamount must rely on allochthonous inputs of organic material to provide a trophic subsidy to resident populations (Clark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w:t>
      </w:r>
    </w:p>
    <w:p w14:paraId="26C54A1A"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 xml:space="preserve">In </w:t>
      </w:r>
      <w:r w:rsidRPr="002E4B39">
        <w:rPr>
          <w:rFonts w:eastAsia="MS Mincho"/>
          <w:sz w:val="22"/>
          <w:szCs w:val="22"/>
          <w:lang w:val="en-US"/>
        </w:rPr>
        <w:t>terms</w:t>
      </w:r>
      <w:r w:rsidRPr="009978E3">
        <w:rPr>
          <w:sz w:val="22"/>
          <w:szCs w:val="22"/>
          <w:lang w:val="en-US" w:eastAsia="pt-PT"/>
        </w:rPr>
        <w:t xml:space="preserve"> of biology, the structures have a relatively small number of studies. A total of 965 species </w:t>
      </w:r>
      <w:r>
        <w:rPr>
          <w:sz w:val="22"/>
          <w:szCs w:val="22"/>
          <w:lang w:val="en-US" w:eastAsia="pt-PT"/>
        </w:rPr>
        <w:t xml:space="preserve">have been </w:t>
      </w:r>
      <w:r w:rsidRPr="009978E3">
        <w:rPr>
          <w:sz w:val="22"/>
          <w:szCs w:val="22"/>
          <w:lang w:val="en-US" w:eastAsia="pt-PT"/>
        </w:rPr>
        <w:t xml:space="preserve">identified all over the </w:t>
      </w:r>
      <w:r>
        <w:rPr>
          <w:sz w:val="22"/>
          <w:szCs w:val="22"/>
          <w:lang w:val="en-US" w:eastAsia="pt-PT"/>
        </w:rPr>
        <w:t>area</w:t>
      </w:r>
      <w:r w:rsidRPr="009978E3">
        <w:rPr>
          <w:sz w:val="22"/>
          <w:szCs w:val="22"/>
          <w:lang w:val="en-US" w:eastAsia="pt-PT"/>
        </w:rPr>
        <w:t xml:space="preserve"> (see</w:t>
      </w:r>
      <w:r w:rsidRPr="0021277B">
        <w:rPr>
          <w:sz w:val="22"/>
          <w:szCs w:val="22"/>
        </w:rPr>
        <w:t xml:space="preserve"> </w:t>
      </w:r>
      <w:r w:rsidRPr="00F66EF7">
        <w:rPr>
          <w:sz w:val="22"/>
          <w:szCs w:val="22"/>
          <w:lang w:val="en-US" w:eastAsia="pt-PT"/>
        </w:rPr>
        <w:t xml:space="preserve">feature description of the area).  Although seamounts are ecologically important and abundant features in the world’s oceans (Hillier &amp; Watts, 2007), biological research on seamounts has been </w:t>
      </w:r>
      <w:r w:rsidRPr="009978E3">
        <w:rPr>
          <w:sz w:val="22"/>
          <w:szCs w:val="22"/>
          <w:lang w:val="en-US" w:eastAsia="pt-PT"/>
        </w:rPr>
        <w:t xml:space="preserve">rare (Consalvey </w:t>
      </w:r>
      <w:r w:rsidRPr="0006066A">
        <w:rPr>
          <w:i/>
          <w:iCs/>
          <w:sz w:val="22"/>
          <w:szCs w:val="22"/>
          <w:lang w:val="en-US" w:eastAsia="pt-PT"/>
        </w:rPr>
        <w:t>et al</w:t>
      </w:r>
      <w:r w:rsidRPr="009978E3">
        <w:rPr>
          <w:i/>
          <w:sz w:val="22"/>
          <w:szCs w:val="22"/>
          <w:lang w:val="en-US" w:eastAsia="pt-PT"/>
        </w:rPr>
        <w:t>.,</w:t>
      </w:r>
      <w:r w:rsidRPr="009978E3">
        <w:rPr>
          <w:sz w:val="22"/>
          <w:szCs w:val="22"/>
          <w:lang w:val="en-US" w:eastAsia="pt-PT"/>
        </w:rPr>
        <w:t xml:space="preserve"> 2010).</w:t>
      </w:r>
    </w:p>
    <w:p w14:paraId="3991F064"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knowledge of the Madeira-Tore area is based on the analysis of 220 scientific articles containing relevant information about the area. Several of the seamounts </w:t>
      </w:r>
      <w:r>
        <w:rPr>
          <w:rFonts w:eastAsia="MS Mincho"/>
          <w:sz w:val="22"/>
          <w:szCs w:val="22"/>
          <w:lang w:val="en-US"/>
        </w:rPr>
        <w:t>have been the subject of numerous</w:t>
      </w:r>
      <w:r w:rsidRPr="009978E3">
        <w:rPr>
          <w:rFonts w:eastAsia="MS Mincho"/>
          <w:sz w:val="22"/>
          <w:szCs w:val="22"/>
          <w:lang w:val="en-US"/>
        </w:rPr>
        <w:t xml:space="preserve"> geological and biological studies.</w:t>
      </w:r>
      <w:r w:rsidRPr="0021277B">
        <w:rPr>
          <w:sz w:val="22"/>
          <w:szCs w:val="22"/>
        </w:rPr>
        <w:t xml:space="preserve"> </w:t>
      </w:r>
      <w:r w:rsidRPr="00F66EF7">
        <w:rPr>
          <w:rFonts w:eastAsia="MS Mincho"/>
          <w:sz w:val="22"/>
          <w:szCs w:val="22"/>
          <w:lang w:val="en-US"/>
        </w:rPr>
        <w:t>The total number of 965 species reported was estimated from scattered taxonomical literature</w:t>
      </w:r>
      <w:r>
        <w:rPr>
          <w:rFonts w:eastAsia="MS Mincho"/>
          <w:sz w:val="22"/>
          <w:szCs w:val="22"/>
          <w:lang w:val="en-US"/>
        </w:rPr>
        <w:t>,</w:t>
      </w:r>
      <w:r w:rsidRPr="00F66EF7">
        <w:rPr>
          <w:rFonts w:eastAsia="MS Mincho"/>
          <w:sz w:val="22"/>
          <w:szCs w:val="22"/>
          <w:lang w:val="en-US"/>
        </w:rPr>
        <w:t xml:space="preserve"> and the species number is probably underestimated. The knowledge of each structure is </w:t>
      </w:r>
      <w:r>
        <w:rPr>
          <w:rFonts w:eastAsia="MS Mincho"/>
          <w:sz w:val="22"/>
          <w:szCs w:val="22"/>
          <w:lang w:val="en-US"/>
        </w:rPr>
        <w:t>un</w:t>
      </w:r>
      <w:r w:rsidRPr="00F66EF7">
        <w:rPr>
          <w:rFonts w:eastAsia="MS Mincho"/>
          <w:sz w:val="22"/>
          <w:szCs w:val="22"/>
          <w:lang w:val="en-US"/>
        </w:rPr>
        <w:t>even</w:t>
      </w:r>
      <w:r>
        <w:rPr>
          <w:rFonts w:eastAsia="MS Mincho"/>
          <w:sz w:val="22"/>
          <w:szCs w:val="22"/>
          <w:lang w:val="en-US"/>
        </w:rPr>
        <w:t>,</w:t>
      </w:r>
      <w:r w:rsidRPr="00F66EF7">
        <w:rPr>
          <w:rFonts w:eastAsia="MS Mincho"/>
          <w:sz w:val="22"/>
          <w:szCs w:val="22"/>
          <w:lang w:val="en-US"/>
        </w:rPr>
        <w:t xml:space="preserve"> and it is possible to observe these differences in </w:t>
      </w:r>
      <w:r>
        <w:rPr>
          <w:rFonts w:eastAsia="MS Mincho"/>
          <w:sz w:val="22"/>
          <w:szCs w:val="22"/>
          <w:lang w:val="en-US"/>
        </w:rPr>
        <w:t>T</w:t>
      </w:r>
      <w:r w:rsidRPr="00F66EF7">
        <w:rPr>
          <w:rFonts w:eastAsia="MS Mincho"/>
          <w:sz w:val="22"/>
          <w:szCs w:val="22"/>
          <w:lang w:val="en-US"/>
        </w:rPr>
        <w:t>abl</w:t>
      </w:r>
      <w:r w:rsidRPr="009978E3">
        <w:rPr>
          <w:rFonts w:eastAsia="MS Mincho"/>
          <w:sz w:val="22"/>
          <w:szCs w:val="22"/>
          <w:lang w:val="en-US"/>
        </w:rPr>
        <w:t xml:space="preserve">e </w:t>
      </w:r>
      <w:r>
        <w:rPr>
          <w:rFonts w:eastAsia="MS Mincho"/>
          <w:sz w:val="22"/>
          <w:szCs w:val="22"/>
          <w:lang w:val="en-US"/>
        </w:rPr>
        <w:t>2</w:t>
      </w:r>
      <w:r w:rsidRPr="009978E3">
        <w:rPr>
          <w:rFonts w:eastAsia="MS Mincho"/>
          <w:sz w:val="22"/>
          <w:szCs w:val="22"/>
          <w:lang w:val="en-US"/>
        </w:rPr>
        <w:t>. In the same table it is also possible to evaluate how many EBSA criteria each structure meet</w:t>
      </w:r>
      <w:r>
        <w:rPr>
          <w:rFonts w:eastAsia="MS Mincho"/>
          <w:sz w:val="22"/>
          <w:szCs w:val="22"/>
          <w:lang w:val="en-US"/>
        </w:rPr>
        <w:t>s</w:t>
      </w:r>
      <w:r w:rsidRPr="009978E3">
        <w:rPr>
          <w:rFonts w:eastAsia="MS Mincho"/>
          <w:sz w:val="22"/>
          <w:szCs w:val="22"/>
          <w:lang w:val="en-US"/>
        </w:rPr>
        <w:t xml:space="preserve">. </w:t>
      </w:r>
    </w:p>
    <w:p w14:paraId="19519EE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Around of 7</w:t>
      </w:r>
      <w:r>
        <w:rPr>
          <w:rFonts w:eastAsia="MS Mincho"/>
          <w:sz w:val="22"/>
          <w:szCs w:val="22"/>
          <w:lang w:val="en-US"/>
        </w:rPr>
        <w:t xml:space="preserve"> per cent</w:t>
      </w:r>
      <w:r w:rsidRPr="009978E3">
        <w:rPr>
          <w:rFonts w:eastAsia="MS Mincho"/>
          <w:sz w:val="22"/>
          <w:szCs w:val="22"/>
          <w:lang w:val="en-US"/>
        </w:rPr>
        <w:t xml:space="preserve"> of the 965 species identified in all seamounts </w:t>
      </w:r>
      <w:r>
        <w:rPr>
          <w:rFonts w:eastAsia="MS Mincho"/>
          <w:sz w:val="22"/>
          <w:szCs w:val="22"/>
          <w:lang w:val="en-US"/>
        </w:rPr>
        <w:t xml:space="preserve">in </w:t>
      </w:r>
      <w:r w:rsidRPr="009978E3">
        <w:rPr>
          <w:rFonts w:eastAsia="MS Mincho"/>
          <w:sz w:val="22"/>
          <w:szCs w:val="22"/>
          <w:lang w:val="en-US"/>
        </w:rPr>
        <w:t xml:space="preserve">this </w:t>
      </w:r>
      <w:r>
        <w:rPr>
          <w:rFonts w:eastAsia="MS Mincho"/>
          <w:sz w:val="22"/>
          <w:szCs w:val="22"/>
          <w:lang w:val="en-US"/>
        </w:rPr>
        <w:t xml:space="preserve">are </w:t>
      </w:r>
      <w:r w:rsidRPr="009978E3">
        <w:rPr>
          <w:rFonts w:eastAsia="MS Mincho"/>
          <w:sz w:val="22"/>
          <w:szCs w:val="22"/>
          <w:lang w:val="en-US"/>
        </w:rPr>
        <w:t>legal</w:t>
      </w:r>
      <w:r>
        <w:rPr>
          <w:rFonts w:eastAsia="MS Mincho"/>
          <w:sz w:val="22"/>
          <w:szCs w:val="22"/>
          <w:lang w:val="en-US"/>
        </w:rPr>
        <w:t>ly</w:t>
      </w:r>
      <w:r w:rsidRPr="009978E3">
        <w:rPr>
          <w:rFonts w:eastAsia="MS Mincho"/>
          <w:sz w:val="22"/>
          <w:szCs w:val="22"/>
          <w:lang w:val="en-US"/>
        </w:rPr>
        <w:t xml:space="preserve"> protect</w:t>
      </w:r>
      <w:r>
        <w:rPr>
          <w:rFonts w:eastAsia="MS Mincho"/>
          <w:sz w:val="22"/>
          <w:szCs w:val="22"/>
          <w:lang w:val="en-US"/>
        </w:rPr>
        <w:t>ed</w:t>
      </w:r>
      <w:r w:rsidRPr="009978E3">
        <w:rPr>
          <w:rFonts w:eastAsia="MS Mincho"/>
          <w:sz w:val="22"/>
          <w:szCs w:val="22"/>
          <w:lang w:val="en-US"/>
        </w:rPr>
        <w:t xml:space="preserve"> or </w:t>
      </w:r>
      <w:r>
        <w:rPr>
          <w:rFonts w:eastAsia="MS Mincho"/>
          <w:sz w:val="22"/>
          <w:szCs w:val="22"/>
          <w:lang w:val="en-US"/>
        </w:rPr>
        <w:t xml:space="preserve">have been recognized as </w:t>
      </w:r>
      <w:r w:rsidRPr="009978E3">
        <w:rPr>
          <w:rFonts w:eastAsia="MS Mincho"/>
          <w:sz w:val="22"/>
          <w:szCs w:val="22"/>
          <w:lang w:val="en-US"/>
        </w:rPr>
        <w:t xml:space="preserve">threatened </w:t>
      </w:r>
      <w:r>
        <w:rPr>
          <w:rFonts w:eastAsia="MS Mincho"/>
          <w:sz w:val="22"/>
          <w:szCs w:val="22"/>
          <w:lang w:val="en-US"/>
        </w:rPr>
        <w:t xml:space="preserve">by </w:t>
      </w:r>
      <w:r w:rsidRPr="009978E3">
        <w:rPr>
          <w:rFonts w:eastAsia="MS Mincho"/>
          <w:sz w:val="22"/>
          <w:szCs w:val="22"/>
          <w:lang w:val="en-US"/>
        </w:rPr>
        <w:t>CITES, IUCN Red List, European Union Habitats and Birds Directives, Bern Convention and OSPAR Convention. For example</w:t>
      </w:r>
      <w:r>
        <w:rPr>
          <w:rFonts w:eastAsia="MS Mincho"/>
          <w:sz w:val="22"/>
          <w:szCs w:val="22"/>
          <w:lang w:val="en-US"/>
        </w:rPr>
        <w:t>,</w:t>
      </w:r>
      <w:r w:rsidRPr="009978E3">
        <w:rPr>
          <w:rFonts w:eastAsia="MS Mincho"/>
          <w:sz w:val="22"/>
          <w:szCs w:val="22"/>
          <w:lang w:val="en-US"/>
        </w:rPr>
        <w:t xml:space="preserve"> OSPAR identified as endangered or declining the reptiles </w:t>
      </w:r>
      <w:r w:rsidRPr="009978E3">
        <w:rPr>
          <w:i/>
          <w:sz w:val="22"/>
          <w:szCs w:val="22"/>
          <w:lang w:val="en-US"/>
        </w:rPr>
        <w:t>Dermochelys coriacea</w:t>
      </w:r>
      <w:r w:rsidRPr="009978E3">
        <w:rPr>
          <w:rFonts w:eastAsia="MS Mincho"/>
          <w:sz w:val="22"/>
          <w:szCs w:val="22"/>
          <w:lang w:val="en-US"/>
        </w:rPr>
        <w:t xml:space="preserve"> and </w:t>
      </w:r>
      <w:r w:rsidRPr="009978E3">
        <w:rPr>
          <w:i/>
          <w:sz w:val="22"/>
          <w:szCs w:val="22"/>
          <w:lang w:val="en-US"/>
        </w:rPr>
        <w:t>Caretta caretta</w:t>
      </w:r>
      <w:r w:rsidRPr="009978E3">
        <w:rPr>
          <w:rFonts w:eastAsia="MS Mincho"/>
          <w:sz w:val="22"/>
          <w:szCs w:val="22"/>
          <w:lang w:val="en-US"/>
        </w:rPr>
        <w:t xml:space="preserve"> (turtles), </w:t>
      </w:r>
      <w:r>
        <w:rPr>
          <w:rFonts w:eastAsia="MS Mincho"/>
          <w:sz w:val="22"/>
          <w:szCs w:val="22"/>
          <w:lang w:val="en-US"/>
        </w:rPr>
        <w:t xml:space="preserve">the </w:t>
      </w:r>
      <w:r w:rsidRPr="009978E3">
        <w:rPr>
          <w:rFonts w:eastAsia="MS Mincho"/>
          <w:sz w:val="22"/>
          <w:szCs w:val="22"/>
          <w:lang w:val="en-US"/>
        </w:rPr>
        <w:t>bon</w:t>
      </w:r>
      <w:r>
        <w:rPr>
          <w:rFonts w:eastAsia="MS Mincho"/>
          <w:sz w:val="22"/>
          <w:szCs w:val="22"/>
          <w:lang w:val="en-US"/>
        </w:rPr>
        <w:t>y</w:t>
      </w:r>
      <w:r w:rsidRPr="009978E3">
        <w:rPr>
          <w:rFonts w:eastAsia="MS Mincho"/>
          <w:sz w:val="22"/>
          <w:szCs w:val="22"/>
          <w:lang w:val="en-US"/>
        </w:rPr>
        <w:t xml:space="preserve"> fish orange roughy</w:t>
      </w:r>
      <w:r>
        <w:rPr>
          <w:i/>
          <w:sz w:val="22"/>
          <w:szCs w:val="22"/>
        </w:rPr>
        <w:t xml:space="preserve"> (</w:t>
      </w:r>
      <w:r w:rsidRPr="00F66EF7">
        <w:rPr>
          <w:rFonts w:eastAsia="MS Mincho"/>
          <w:i/>
          <w:sz w:val="22"/>
          <w:szCs w:val="22"/>
          <w:lang w:val="en-US"/>
        </w:rPr>
        <w:t>Hoploste</w:t>
      </w:r>
      <w:r w:rsidRPr="009978E3">
        <w:rPr>
          <w:rFonts w:eastAsia="MS Mincho"/>
          <w:i/>
          <w:sz w:val="22"/>
          <w:szCs w:val="22"/>
          <w:lang w:val="en-US"/>
        </w:rPr>
        <w:t>thus atlanticus</w:t>
      </w:r>
      <w:r>
        <w:rPr>
          <w:rFonts w:eastAsia="MS Mincho"/>
          <w:i/>
          <w:sz w:val="22"/>
          <w:szCs w:val="22"/>
          <w:lang w:val="en-US"/>
        </w:rPr>
        <w:t>)</w:t>
      </w:r>
      <w:r w:rsidRPr="009978E3">
        <w:rPr>
          <w:rFonts w:eastAsia="MS Mincho"/>
          <w:sz w:val="22"/>
          <w:szCs w:val="22"/>
          <w:lang w:val="en-US"/>
        </w:rPr>
        <w:t xml:space="preserve">, the cetaceans </w:t>
      </w:r>
      <w:r w:rsidRPr="009978E3">
        <w:rPr>
          <w:rFonts w:eastAsia="MS Mincho"/>
          <w:i/>
          <w:sz w:val="22"/>
          <w:szCs w:val="22"/>
          <w:lang w:val="en-US"/>
        </w:rPr>
        <w:t>Balaenoptera musculus</w:t>
      </w:r>
      <w:r w:rsidRPr="009978E3">
        <w:rPr>
          <w:rFonts w:eastAsia="MS Mincho"/>
          <w:sz w:val="22"/>
          <w:szCs w:val="22"/>
          <w:lang w:val="en-US"/>
        </w:rPr>
        <w:t xml:space="preserve">, </w:t>
      </w:r>
      <w:r w:rsidRPr="009978E3">
        <w:rPr>
          <w:rFonts w:eastAsia="MS Mincho"/>
          <w:i/>
          <w:sz w:val="22"/>
          <w:szCs w:val="22"/>
          <w:lang w:val="en-US"/>
        </w:rPr>
        <w:t>Delphinus delphis</w:t>
      </w:r>
      <w:r w:rsidRPr="009978E3">
        <w:rPr>
          <w:rFonts w:eastAsia="MS Mincho"/>
          <w:sz w:val="22"/>
          <w:szCs w:val="22"/>
          <w:lang w:val="en-US"/>
        </w:rPr>
        <w:t xml:space="preserve">, </w:t>
      </w:r>
      <w:r w:rsidRPr="009978E3">
        <w:rPr>
          <w:rFonts w:eastAsia="MS Mincho"/>
          <w:i/>
          <w:sz w:val="22"/>
          <w:szCs w:val="22"/>
          <w:lang w:val="en-US"/>
        </w:rPr>
        <w:t>Tursiopsis truncatus</w:t>
      </w:r>
      <w:r w:rsidRPr="009978E3">
        <w:rPr>
          <w:rFonts w:eastAsia="MS Mincho"/>
          <w:sz w:val="22"/>
          <w:szCs w:val="22"/>
          <w:lang w:val="en-US"/>
        </w:rPr>
        <w:t xml:space="preserve">,  the deep water sharks </w:t>
      </w:r>
      <w:r w:rsidRPr="009978E3">
        <w:rPr>
          <w:rFonts w:eastAsia="MS Mincho"/>
          <w:i/>
          <w:sz w:val="22"/>
          <w:szCs w:val="22"/>
          <w:lang w:val="en-US"/>
        </w:rPr>
        <w:t>Centroscymus coeleopsis</w:t>
      </w:r>
      <w:r w:rsidRPr="009978E3">
        <w:rPr>
          <w:rFonts w:eastAsia="MS Mincho"/>
          <w:sz w:val="22"/>
          <w:szCs w:val="22"/>
          <w:lang w:val="en-US"/>
        </w:rPr>
        <w:t xml:space="preserve">, </w:t>
      </w:r>
      <w:r w:rsidRPr="009978E3">
        <w:rPr>
          <w:rFonts w:eastAsia="MS Mincho"/>
          <w:i/>
          <w:sz w:val="22"/>
          <w:szCs w:val="22"/>
          <w:lang w:val="en-US"/>
        </w:rPr>
        <w:t>Centrophorus granulosus</w:t>
      </w:r>
      <w:r w:rsidRPr="009978E3">
        <w:rPr>
          <w:rFonts w:eastAsia="MS Mincho"/>
          <w:sz w:val="22"/>
          <w:szCs w:val="22"/>
          <w:lang w:val="en-US"/>
        </w:rPr>
        <w:t xml:space="preserve">, </w:t>
      </w:r>
      <w:r w:rsidRPr="009978E3">
        <w:rPr>
          <w:rFonts w:eastAsia="MS Mincho"/>
          <w:i/>
          <w:sz w:val="22"/>
          <w:szCs w:val="22"/>
          <w:lang w:val="en-US"/>
        </w:rPr>
        <w:t>Centrophorus niaukang</w:t>
      </w:r>
      <w:r w:rsidRPr="009978E3">
        <w:rPr>
          <w:rFonts w:eastAsia="MS Mincho"/>
          <w:sz w:val="22"/>
          <w:szCs w:val="22"/>
          <w:lang w:val="en-US"/>
        </w:rPr>
        <w:t xml:space="preserve">, </w:t>
      </w:r>
      <w:r w:rsidRPr="009978E3">
        <w:rPr>
          <w:rFonts w:eastAsia="MS Mincho"/>
          <w:i/>
          <w:sz w:val="22"/>
          <w:szCs w:val="22"/>
          <w:lang w:val="en-US"/>
        </w:rPr>
        <w:t>Centrophorus squamosus</w:t>
      </w:r>
      <w:r w:rsidRPr="009978E3">
        <w:rPr>
          <w:rFonts w:eastAsia="MS Mincho"/>
          <w:sz w:val="22"/>
          <w:szCs w:val="22"/>
          <w:lang w:val="en-US"/>
        </w:rPr>
        <w:t xml:space="preserve">, </w:t>
      </w:r>
      <w:r w:rsidRPr="009978E3">
        <w:rPr>
          <w:rFonts w:eastAsia="MS Mincho"/>
          <w:i/>
          <w:sz w:val="22"/>
          <w:szCs w:val="22"/>
          <w:lang w:val="en-US"/>
        </w:rPr>
        <w:t>Rostroraja alba</w:t>
      </w:r>
      <w:r w:rsidRPr="009978E3">
        <w:rPr>
          <w:rFonts w:eastAsia="MS Mincho"/>
          <w:sz w:val="22"/>
          <w:szCs w:val="22"/>
          <w:lang w:val="en-US"/>
        </w:rPr>
        <w:t xml:space="preserve">, </w:t>
      </w:r>
      <w:r w:rsidRPr="009978E3">
        <w:rPr>
          <w:rFonts w:eastAsia="MS Mincho"/>
          <w:i/>
          <w:sz w:val="22"/>
          <w:szCs w:val="22"/>
          <w:lang w:val="en-US"/>
        </w:rPr>
        <w:t>Lamna nasus</w:t>
      </w:r>
      <w:r>
        <w:rPr>
          <w:rFonts w:eastAsia="MS Mincho"/>
          <w:i/>
          <w:sz w:val="22"/>
          <w:szCs w:val="22"/>
          <w:lang w:val="en-US"/>
        </w:rPr>
        <w:t>,</w:t>
      </w:r>
      <w:r w:rsidRPr="009978E3">
        <w:rPr>
          <w:rFonts w:eastAsia="MS Mincho"/>
          <w:sz w:val="22"/>
          <w:szCs w:val="22"/>
          <w:lang w:val="en-US"/>
        </w:rPr>
        <w:t xml:space="preserve"> and the seabirds </w:t>
      </w:r>
      <w:r w:rsidRPr="009978E3">
        <w:rPr>
          <w:rFonts w:eastAsia="MS Mincho"/>
          <w:i/>
          <w:sz w:val="22"/>
          <w:szCs w:val="22"/>
          <w:lang w:val="en-US"/>
        </w:rPr>
        <w:t>Calonectris diomedea</w:t>
      </w:r>
      <w:r w:rsidRPr="009978E3">
        <w:rPr>
          <w:rFonts w:eastAsia="MS Mincho"/>
          <w:sz w:val="22"/>
          <w:szCs w:val="22"/>
          <w:lang w:val="en-US"/>
        </w:rPr>
        <w:t xml:space="preserve">, </w:t>
      </w:r>
      <w:r w:rsidRPr="009978E3">
        <w:rPr>
          <w:rFonts w:eastAsia="MS Mincho"/>
          <w:i/>
          <w:sz w:val="22"/>
          <w:szCs w:val="22"/>
          <w:lang w:val="en-US"/>
        </w:rPr>
        <w:t>Puffinus myasthenia</w:t>
      </w:r>
      <w:r w:rsidRPr="009978E3">
        <w:rPr>
          <w:rFonts w:eastAsia="MS Mincho"/>
          <w:sz w:val="22"/>
          <w:szCs w:val="22"/>
          <w:lang w:val="en-US"/>
        </w:rPr>
        <w:t xml:space="preserve">, </w:t>
      </w:r>
      <w:r w:rsidRPr="009978E3">
        <w:rPr>
          <w:rFonts w:eastAsia="MS Mincho"/>
          <w:i/>
          <w:sz w:val="22"/>
          <w:szCs w:val="22"/>
          <w:lang w:val="en-US"/>
        </w:rPr>
        <w:t>Puffinus griseus, Puffinus puffinus</w:t>
      </w:r>
      <w:r w:rsidRPr="009978E3">
        <w:rPr>
          <w:rFonts w:eastAsia="MS Mincho"/>
          <w:sz w:val="22"/>
          <w:szCs w:val="22"/>
          <w:lang w:val="en-US"/>
        </w:rPr>
        <w:t xml:space="preserve">, </w:t>
      </w:r>
      <w:r w:rsidRPr="009978E3">
        <w:rPr>
          <w:rFonts w:eastAsia="MS Mincho"/>
          <w:i/>
          <w:sz w:val="22"/>
          <w:szCs w:val="22"/>
          <w:lang w:val="en-US"/>
        </w:rPr>
        <w:t>Puffinus mauretanicus</w:t>
      </w:r>
      <w:r w:rsidRPr="009978E3">
        <w:rPr>
          <w:rFonts w:eastAsia="MS Mincho"/>
          <w:sz w:val="22"/>
          <w:szCs w:val="22"/>
          <w:lang w:val="en-US"/>
        </w:rPr>
        <w:t xml:space="preserve">, </w:t>
      </w:r>
      <w:r w:rsidRPr="009978E3">
        <w:rPr>
          <w:rFonts w:eastAsia="MS Mincho"/>
          <w:i/>
          <w:sz w:val="22"/>
          <w:szCs w:val="22"/>
          <w:lang w:val="en-US"/>
        </w:rPr>
        <w:t>Hydrobates pelagicus</w:t>
      </w:r>
      <w:r w:rsidRPr="009978E3">
        <w:rPr>
          <w:rFonts w:eastAsia="MS Mincho"/>
          <w:sz w:val="22"/>
          <w:szCs w:val="22"/>
          <w:lang w:val="en-US"/>
        </w:rPr>
        <w:t xml:space="preserve">, </w:t>
      </w:r>
      <w:r w:rsidRPr="009978E3">
        <w:rPr>
          <w:rFonts w:eastAsia="MS Mincho"/>
          <w:i/>
          <w:sz w:val="22"/>
          <w:szCs w:val="22"/>
          <w:lang w:val="en-US"/>
        </w:rPr>
        <w:t>Oceanodroma castro, Oceanodroma leucorhoa</w:t>
      </w:r>
      <w:r w:rsidRPr="009978E3">
        <w:rPr>
          <w:rFonts w:eastAsia="MS Mincho"/>
          <w:sz w:val="22"/>
          <w:szCs w:val="22"/>
          <w:lang w:val="en-US"/>
        </w:rPr>
        <w:t xml:space="preserve">, </w:t>
      </w:r>
      <w:r w:rsidRPr="009978E3">
        <w:rPr>
          <w:rFonts w:eastAsia="MS Mincho"/>
          <w:i/>
          <w:sz w:val="22"/>
          <w:szCs w:val="22"/>
          <w:lang w:val="en-US"/>
        </w:rPr>
        <w:t>Stercorarius parasiticus</w:t>
      </w:r>
      <w:r w:rsidRPr="009978E3">
        <w:rPr>
          <w:rFonts w:eastAsia="MS Mincho"/>
          <w:sz w:val="22"/>
          <w:szCs w:val="22"/>
          <w:lang w:val="en-US"/>
        </w:rPr>
        <w:t xml:space="preserve">, </w:t>
      </w:r>
      <w:r w:rsidRPr="009978E3">
        <w:rPr>
          <w:rFonts w:eastAsia="MS Mincho"/>
          <w:i/>
          <w:sz w:val="22"/>
          <w:szCs w:val="22"/>
          <w:lang w:val="en-US"/>
        </w:rPr>
        <w:t>Stercorarius skua</w:t>
      </w:r>
      <w:r w:rsidRPr="009978E3">
        <w:rPr>
          <w:rFonts w:eastAsia="MS Mincho"/>
          <w:sz w:val="22"/>
          <w:szCs w:val="22"/>
          <w:lang w:val="en-US"/>
        </w:rPr>
        <w:t xml:space="preserve">, </w:t>
      </w:r>
      <w:r w:rsidRPr="009978E3">
        <w:rPr>
          <w:rFonts w:eastAsia="MS Mincho"/>
          <w:i/>
          <w:sz w:val="22"/>
          <w:szCs w:val="22"/>
          <w:lang w:val="en-US"/>
        </w:rPr>
        <w:t>Uria aalge</w:t>
      </w:r>
      <w:r w:rsidRPr="009978E3">
        <w:rPr>
          <w:rFonts w:eastAsia="MS Mincho"/>
          <w:sz w:val="22"/>
          <w:szCs w:val="22"/>
          <w:lang w:val="en-US"/>
        </w:rPr>
        <w:t xml:space="preserve"> and </w:t>
      </w:r>
      <w:r w:rsidRPr="009978E3">
        <w:rPr>
          <w:rFonts w:eastAsia="MS Mincho"/>
          <w:i/>
          <w:sz w:val="22"/>
          <w:szCs w:val="22"/>
          <w:lang w:val="en-US"/>
        </w:rPr>
        <w:t>Phalaropus fulicarius</w:t>
      </w:r>
      <w:r w:rsidRPr="009978E3">
        <w:rPr>
          <w:rFonts w:eastAsia="MS Mincho"/>
          <w:sz w:val="22"/>
          <w:szCs w:val="22"/>
          <w:lang w:val="en-US"/>
        </w:rPr>
        <w:t xml:space="preserve">. Other examples of species with legal protection (CITES Appendix II) are the corals </w:t>
      </w:r>
      <w:r w:rsidRPr="009978E3">
        <w:rPr>
          <w:rFonts w:eastAsia="MS Mincho"/>
          <w:i/>
          <w:sz w:val="22"/>
          <w:szCs w:val="22"/>
          <w:lang w:val="en-US"/>
        </w:rPr>
        <w:t>Antipathes dichotoma</w:t>
      </w:r>
      <w:r w:rsidRPr="009978E3">
        <w:rPr>
          <w:rFonts w:eastAsia="MS Mincho"/>
          <w:sz w:val="22"/>
          <w:szCs w:val="22"/>
          <w:lang w:val="en-US"/>
        </w:rPr>
        <w:t xml:space="preserve">, </w:t>
      </w:r>
      <w:r w:rsidRPr="009978E3">
        <w:rPr>
          <w:rFonts w:eastAsia="MS Mincho"/>
          <w:i/>
          <w:sz w:val="22"/>
          <w:szCs w:val="22"/>
          <w:lang w:val="en-US"/>
        </w:rPr>
        <w:t>Antipathes furcate, Stichopathes gracilis, Leiopathes spp.</w:t>
      </w:r>
      <w:r w:rsidRPr="009978E3">
        <w:rPr>
          <w:rFonts w:eastAsia="MS Mincho"/>
          <w:sz w:val="22"/>
          <w:szCs w:val="22"/>
          <w:lang w:val="en-US"/>
        </w:rPr>
        <w:t xml:space="preserve"> (Antipatharia), </w:t>
      </w:r>
      <w:r w:rsidRPr="009978E3">
        <w:rPr>
          <w:rFonts w:eastAsia="MS Mincho"/>
          <w:i/>
          <w:sz w:val="22"/>
          <w:szCs w:val="22"/>
          <w:lang w:val="en-US"/>
        </w:rPr>
        <w:t>Pennatula phosphorea</w:t>
      </w:r>
      <w:r w:rsidRPr="009978E3">
        <w:rPr>
          <w:rFonts w:eastAsia="MS Mincho"/>
          <w:sz w:val="22"/>
          <w:szCs w:val="22"/>
          <w:lang w:val="en-US"/>
        </w:rPr>
        <w:t>,</w:t>
      </w:r>
      <w:r w:rsidRPr="0021277B">
        <w:rPr>
          <w:sz w:val="22"/>
          <w:szCs w:val="22"/>
        </w:rPr>
        <w:t xml:space="preserve"> </w:t>
      </w:r>
      <w:r w:rsidRPr="00F66EF7">
        <w:rPr>
          <w:rFonts w:eastAsia="MS Mincho"/>
          <w:i/>
          <w:sz w:val="22"/>
          <w:szCs w:val="22"/>
          <w:lang w:val="en-US"/>
        </w:rPr>
        <w:t>Pteroeides griseum</w:t>
      </w:r>
      <w:r w:rsidRPr="009978E3">
        <w:rPr>
          <w:rFonts w:eastAsia="MS Mincho"/>
          <w:sz w:val="22"/>
          <w:szCs w:val="22"/>
          <w:lang w:val="en-US"/>
        </w:rPr>
        <w:t xml:space="preserve">, </w:t>
      </w:r>
      <w:r w:rsidRPr="009978E3">
        <w:rPr>
          <w:rFonts w:eastAsia="MS Mincho"/>
          <w:i/>
          <w:sz w:val="22"/>
          <w:szCs w:val="22"/>
          <w:lang w:val="en-US"/>
        </w:rPr>
        <w:t xml:space="preserve">Funiculina quadrangularis </w:t>
      </w:r>
      <w:r w:rsidRPr="009978E3">
        <w:rPr>
          <w:rFonts w:eastAsia="MS Mincho"/>
          <w:sz w:val="22"/>
          <w:szCs w:val="22"/>
          <w:lang w:val="en-US"/>
        </w:rPr>
        <w:t xml:space="preserve">(Pennatulacae), </w:t>
      </w:r>
      <w:r w:rsidRPr="009978E3">
        <w:rPr>
          <w:rFonts w:eastAsia="MS Mincho"/>
          <w:i/>
          <w:sz w:val="22"/>
          <w:szCs w:val="22"/>
          <w:lang w:val="en-US"/>
        </w:rPr>
        <w:t>Caryophyllia smithii</w:t>
      </w:r>
      <w:r w:rsidRPr="009978E3">
        <w:rPr>
          <w:rFonts w:eastAsia="MS Mincho"/>
          <w:sz w:val="22"/>
          <w:szCs w:val="22"/>
          <w:lang w:val="en-US"/>
        </w:rPr>
        <w:t xml:space="preserve">, </w:t>
      </w:r>
      <w:r w:rsidRPr="009978E3">
        <w:rPr>
          <w:rFonts w:eastAsia="MS Mincho"/>
          <w:i/>
          <w:sz w:val="22"/>
          <w:szCs w:val="22"/>
          <w:lang w:val="en-US"/>
        </w:rPr>
        <w:t>Caryophyllia abyssorum</w:t>
      </w:r>
      <w:r w:rsidRPr="009978E3">
        <w:rPr>
          <w:rFonts w:eastAsia="MS Mincho"/>
          <w:sz w:val="22"/>
          <w:szCs w:val="22"/>
          <w:lang w:val="en-US"/>
        </w:rPr>
        <w:t xml:space="preserve">, </w:t>
      </w:r>
      <w:r w:rsidRPr="009978E3">
        <w:rPr>
          <w:rFonts w:eastAsia="MS Mincho"/>
          <w:i/>
          <w:sz w:val="22"/>
          <w:szCs w:val="22"/>
          <w:lang w:val="en-US"/>
        </w:rPr>
        <w:t>Caryophyllia cyathus</w:t>
      </w:r>
      <w:r w:rsidRPr="009978E3">
        <w:rPr>
          <w:rFonts w:eastAsia="MS Mincho"/>
          <w:sz w:val="22"/>
          <w:szCs w:val="22"/>
          <w:lang w:val="en-US"/>
        </w:rPr>
        <w:t xml:space="preserve">, </w:t>
      </w:r>
      <w:r w:rsidRPr="009978E3">
        <w:rPr>
          <w:rFonts w:eastAsia="MS Mincho"/>
          <w:i/>
          <w:sz w:val="22"/>
          <w:szCs w:val="22"/>
          <w:lang w:val="en-US"/>
        </w:rPr>
        <w:t>Caryophyllia sarsiae</w:t>
      </w:r>
      <w:r w:rsidRPr="009978E3">
        <w:rPr>
          <w:rFonts w:eastAsia="MS Mincho"/>
          <w:sz w:val="22"/>
          <w:szCs w:val="22"/>
          <w:lang w:val="en-US"/>
        </w:rPr>
        <w:t xml:space="preserve">, </w:t>
      </w:r>
      <w:r w:rsidRPr="009978E3">
        <w:rPr>
          <w:rFonts w:eastAsia="MS Mincho"/>
          <w:i/>
          <w:sz w:val="22"/>
          <w:szCs w:val="22"/>
          <w:lang w:val="en-US"/>
        </w:rPr>
        <w:t>Coenosmilia fecunda</w:t>
      </w:r>
      <w:r w:rsidRPr="009978E3">
        <w:rPr>
          <w:rFonts w:eastAsia="MS Mincho"/>
          <w:sz w:val="22"/>
          <w:szCs w:val="22"/>
          <w:lang w:val="en-US"/>
        </w:rPr>
        <w:t xml:space="preserve">, </w:t>
      </w:r>
      <w:r w:rsidRPr="009978E3">
        <w:rPr>
          <w:rFonts w:eastAsia="MS Mincho"/>
          <w:i/>
          <w:sz w:val="22"/>
          <w:szCs w:val="22"/>
          <w:lang w:val="en-US"/>
        </w:rPr>
        <w:t>Deltocyanthus eccentricus</w:t>
      </w:r>
      <w:r w:rsidRPr="009978E3">
        <w:rPr>
          <w:rFonts w:eastAsia="MS Mincho"/>
          <w:sz w:val="22"/>
          <w:szCs w:val="22"/>
          <w:lang w:val="en-US"/>
        </w:rPr>
        <w:t xml:space="preserve">, </w:t>
      </w:r>
      <w:r w:rsidRPr="009978E3">
        <w:rPr>
          <w:rFonts w:eastAsia="MS Mincho"/>
          <w:i/>
          <w:sz w:val="22"/>
          <w:szCs w:val="22"/>
          <w:lang w:val="en-US"/>
        </w:rPr>
        <w:t>Deltocyanthus moseleyi</w:t>
      </w:r>
      <w:r w:rsidRPr="009978E3">
        <w:rPr>
          <w:rFonts w:eastAsia="MS Mincho"/>
          <w:sz w:val="22"/>
          <w:szCs w:val="22"/>
          <w:lang w:val="en-US"/>
        </w:rPr>
        <w:t xml:space="preserve">, </w:t>
      </w:r>
      <w:r w:rsidRPr="009978E3">
        <w:rPr>
          <w:rFonts w:eastAsia="MS Mincho"/>
          <w:i/>
          <w:sz w:val="22"/>
          <w:szCs w:val="22"/>
          <w:lang w:val="en-US"/>
        </w:rPr>
        <w:t>Paracyathus arcuatus</w:t>
      </w:r>
      <w:r w:rsidRPr="009978E3">
        <w:rPr>
          <w:rFonts w:eastAsia="MS Mincho"/>
          <w:sz w:val="22"/>
          <w:szCs w:val="22"/>
          <w:lang w:val="en-US"/>
        </w:rPr>
        <w:t xml:space="preserve">, </w:t>
      </w:r>
      <w:r w:rsidRPr="009978E3">
        <w:rPr>
          <w:rFonts w:eastAsia="MS Mincho"/>
          <w:i/>
          <w:sz w:val="22"/>
          <w:szCs w:val="22"/>
          <w:lang w:val="en-US"/>
        </w:rPr>
        <w:t>Paracyathus pulchellus</w:t>
      </w:r>
      <w:r w:rsidRPr="009978E3">
        <w:rPr>
          <w:rFonts w:eastAsia="MS Mincho"/>
          <w:sz w:val="22"/>
          <w:szCs w:val="22"/>
          <w:lang w:val="en-US"/>
        </w:rPr>
        <w:t xml:space="preserve">, </w:t>
      </w:r>
      <w:r w:rsidRPr="009978E3">
        <w:rPr>
          <w:rFonts w:eastAsia="MS Mincho"/>
          <w:i/>
          <w:sz w:val="22"/>
          <w:szCs w:val="22"/>
          <w:lang w:val="en-US"/>
        </w:rPr>
        <w:t>Lophelia pertusa</w:t>
      </w:r>
      <w:r w:rsidRPr="009978E3">
        <w:rPr>
          <w:rFonts w:eastAsia="MS Mincho"/>
          <w:sz w:val="22"/>
          <w:szCs w:val="22"/>
          <w:lang w:val="en-US"/>
        </w:rPr>
        <w:t xml:space="preserve">, </w:t>
      </w:r>
      <w:r w:rsidRPr="009978E3">
        <w:rPr>
          <w:rFonts w:eastAsia="MS Mincho"/>
          <w:i/>
          <w:sz w:val="22"/>
          <w:szCs w:val="22"/>
          <w:lang w:val="en-US"/>
        </w:rPr>
        <w:t>Balanophyllia cellulosa</w:t>
      </w:r>
      <w:r w:rsidRPr="009978E3">
        <w:rPr>
          <w:rFonts w:eastAsia="MS Mincho"/>
          <w:sz w:val="22"/>
          <w:szCs w:val="22"/>
          <w:lang w:val="en-US"/>
        </w:rPr>
        <w:t xml:space="preserve">, </w:t>
      </w:r>
      <w:r w:rsidRPr="009978E3">
        <w:rPr>
          <w:rFonts w:eastAsia="MS Mincho"/>
          <w:i/>
          <w:sz w:val="22"/>
          <w:szCs w:val="22"/>
          <w:lang w:val="en-US"/>
        </w:rPr>
        <w:t>Dendrophyllia cornigera</w:t>
      </w:r>
      <w:r w:rsidRPr="009978E3">
        <w:rPr>
          <w:rFonts w:eastAsia="MS Mincho"/>
          <w:sz w:val="22"/>
          <w:szCs w:val="22"/>
          <w:lang w:val="en-US"/>
        </w:rPr>
        <w:t xml:space="preserve">, </w:t>
      </w:r>
      <w:r w:rsidRPr="009978E3">
        <w:rPr>
          <w:rFonts w:eastAsia="MS Mincho"/>
          <w:i/>
          <w:sz w:val="22"/>
          <w:szCs w:val="22"/>
          <w:lang w:val="en-US"/>
        </w:rPr>
        <w:t>Flabellum</w:t>
      </w:r>
      <w:r w:rsidRPr="009978E3">
        <w:rPr>
          <w:rFonts w:eastAsia="MS Mincho"/>
          <w:sz w:val="22"/>
          <w:szCs w:val="22"/>
          <w:lang w:val="en-US"/>
        </w:rPr>
        <w:t xml:space="preserve"> </w:t>
      </w:r>
      <w:r w:rsidRPr="009978E3">
        <w:rPr>
          <w:rFonts w:eastAsia="MS Mincho"/>
          <w:i/>
          <w:sz w:val="22"/>
          <w:szCs w:val="22"/>
          <w:lang w:val="en-US"/>
        </w:rPr>
        <w:t>alabastrum</w:t>
      </w:r>
      <w:r w:rsidRPr="009978E3">
        <w:rPr>
          <w:rFonts w:eastAsia="MS Mincho"/>
          <w:sz w:val="22"/>
          <w:szCs w:val="22"/>
          <w:lang w:val="en-US"/>
        </w:rPr>
        <w:t xml:space="preserve">, </w:t>
      </w:r>
      <w:r w:rsidRPr="009978E3">
        <w:rPr>
          <w:rFonts w:eastAsia="MS Mincho"/>
          <w:i/>
          <w:sz w:val="22"/>
          <w:szCs w:val="22"/>
          <w:lang w:val="en-US"/>
        </w:rPr>
        <w:t>Flabellum chunii</w:t>
      </w:r>
      <w:r w:rsidRPr="009978E3">
        <w:rPr>
          <w:rFonts w:eastAsia="MS Mincho"/>
          <w:sz w:val="22"/>
          <w:szCs w:val="22"/>
          <w:lang w:val="en-US"/>
        </w:rPr>
        <w:t xml:space="preserve">, </w:t>
      </w:r>
      <w:r w:rsidRPr="009978E3">
        <w:rPr>
          <w:rFonts w:eastAsia="MS Mincho"/>
          <w:i/>
          <w:sz w:val="22"/>
          <w:szCs w:val="22"/>
          <w:lang w:val="en-US"/>
        </w:rPr>
        <w:t>Fungiacyathus crispus</w:t>
      </w:r>
      <w:r w:rsidRPr="009978E3">
        <w:rPr>
          <w:rFonts w:eastAsia="MS Mincho"/>
          <w:sz w:val="22"/>
          <w:szCs w:val="22"/>
          <w:lang w:val="en-US"/>
        </w:rPr>
        <w:t>,</w:t>
      </w:r>
      <w:r w:rsidRPr="0021277B">
        <w:rPr>
          <w:sz w:val="22"/>
          <w:szCs w:val="22"/>
        </w:rPr>
        <w:t xml:space="preserve"> </w:t>
      </w:r>
      <w:r w:rsidRPr="00F66EF7">
        <w:rPr>
          <w:rFonts w:eastAsia="MS Mincho"/>
          <w:i/>
          <w:sz w:val="22"/>
          <w:szCs w:val="22"/>
          <w:lang w:val="en-US"/>
        </w:rPr>
        <w:t>Stenocyathus vermiformi</w:t>
      </w:r>
      <w:r w:rsidRPr="009978E3">
        <w:rPr>
          <w:rFonts w:eastAsia="MS Mincho"/>
          <w:sz w:val="22"/>
          <w:szCs w:val="22"/>
          <w:lang w:val="en-US"/>
        </w:rPr>
        <w:t xml:space="preserve">s, </w:t>
      </w:r>
      <w:r w:rsidRPr="009978E3">
        <w:rPr>
          <w:rFonts w:eastAsia="MS Mincho"/>
          <w:i/>
          <w:sz w:val="22"/>
          <w:szCs w:val="22"/>
          <w:lang w:val="en-US"/>
        </w:rPr>
        <w:t>Deltocyathoides stimpsonii</w:t>
      </w:r>
      <w:r w:rsidRPr="009978E3">
        <w:rPr>
          <w:rFonts w:eastAsia="MS Mincho"/>
          <w:sz w:val="22"/>
          <w:szCs w:val="22"/>
          <w:lang w:val="en-US"/>
        </w:rPr>
        <w:t xml:space="preserve">, </w:t>
      </w:r>
      <w:r w:rsidRPr="009978E3">
        <w:rPr>
          <w:rFonts w:eastAsia="MS Mincho"/>
          <w:i/>
          <w:sz w:val="22"/>
          <w:szCs w:val="22"/>
          <w:lang w:val="en-US"/>
        </w:rPr>
        <w:t>Peponocyathus folliculus</w:t>
      </w:r>
      <w:r w:rsidRPr="009978E3">
        <w:rPr>
          <w:rFonts w:eastAsia="MS Mincho"/>
          <w:sz w:val="22"/>
          <w:szCs w:val="22"/>
          <w:lang w:val="en-US"/>
        </w:rPr>
        <w:t xml:space="preserve"> and </w:t>
      </w:r>
      <w:r w:rsidRPr="009978E3">
        <w:rPr>
          <w:rFonts w:eastAsia="MS Mincho"/>
          <w:i/>
          <w:sz w:val="22"/>
          <w:szCs w:val="22"/>
          <w:lang w:val="en-US"/>
        </w:rPr>
        <w:t xml:space="preserve">Peponocyathus stimpsoni </w:t>
      </w:r>
      <w:r w:rsidRPr="009978E3">
        <w:rPr>
          <w:rFonts w:eastAsia="MS Mincho"/>
          <w:sz w:val="22"/>
          <w:szCs w:val="22"/>
          <w:lang w:val="en-US"/>
        </w:rPr>
        <w:t xml:space="preserve">(Scleractinia), among others. </w:t>
      </w:r>
      <w:r w:rsidRPr="009978E3">
        <w:rPr>
          <w:rFonts w:eastAsia="MS Mincho"/>
          <w:i/>
          <w:sz w:val="22"/>
          <w:szCs w:val="22"/>
          <w:lang w:val="en-US"/>
        </w:rPr>
        <w:t>Centrostephanus longispinus</w:t>
      </w:r>
      <w:r w:rsidRPr="009978E3">
        <w:rPr>
          <w:rFonts w:eastAsia="MS Mincho"/>
          <w:sz w:val="22"/>
          <w:szCs w:val="22"/>
          <w:lang w:val="en-US"/>
        </w:rPr>
        <w:t xml:space="preserve">, </w:t>
      </w:r>
      <w:r w:rsidRPr="009978E3">
        <w:rPr>
          <w:rFonts w:eastAsia="MS Mincho"/>
          <w:i/>
          <w:sz w:val="22"/>
          <w:szCs w:val="22"/>
          <w:lang w:val="en-US"/>
        </w:rPr>
        <w:t>Scyllarides latus</w:t>
      </w:r>
      <w:r w:rsidRPr="009978E3">
        <w:rPr>
          <w:rFonts w:eastAsia="MS Mincho"/>
          <w:sz w:val="22"/>
          <w:szCs w:val="22"/>
          <w:lang w:val="en-US"/>
        </w:rPr>
        <w:t xml:space="preserve">, </w:t>
      </w:r>
      <w:r w:rsidRPr="009978E3">
        <w:rPr>
          <w:rFonts w:eastAsia="MS Mincho"/>
          <w:i/>
          <w:sz w:val="22"/>
          <w:szCs w:val="22"/>
          <w:lang w:val="en-US"/>
        </w:rPr>
        <w:t>Chelonia mydas</w:t>
      </w:r>
      <w:r w:rsidRPr="009978E3">
        <w:rPr>
          <w:rFonts w:eastAsia="MS Mincho"/>
          <w:sz w:val="22"/>
          <w:szCs w:val="22"/>
          <w:lang w:val="en-US"/>
        </w:rPr>
        <w:t xml:space="preserve"> and </w:t>
      </w:r>
      <w:r w:rsidRPr="009978E3">
        <w:rPr>
          <w:rFonts w:eastAsia="MS Mincho"/>
          <w:i/>
          <w:sz w:val="22"/>
          <w:szCs w:val="22"/>
          <w:lang w:val="en-US"/>
        </w:rPr>
        <w:t>Caretta caretta</w:t>
      </w:r>
      <w:r w:rsidRPr="009978E3">
        <w:rPr>
          <w:rFonts w:eastAsia="MS Mincho"/>
          <w:sz w:val="22"/>
          <w:szCs w:val="22"/>
          <w:lang w:val="en-US"/>
        </w:rPr>
        <w:t xml:space="preserve"> are protected by the EU Habitats Directive and </w:t>
      </w:r>
      <w:r w:rsidRPr="009978E3">
        <w:rPr>
          <w:rFonts w:eastAsia="MS Mincho"/>
          <w:i/>
          <w:sz w:val="22"/>
          <w:szCs w:val="22"/>
          <w:lang w:val="en-US"/>
        </w:rPr>
        <w:t>Ranella olearia</w:t>
      </w:r>
      <w:r w:rsidRPr="009978E3">
        <w:rPr>
          <w:rFonts w:eastAsia="MS Mincho"/>
          <w:sz w:val="22"/>
          <w:szCs w:val="22"/>
          <w:lang w:val="en-US"/>
        </w:rPr>
        <w:t xml:space="preserve"> and </w:t>
      </w:r>
      <w:r w:rsidRPr="009978E3">
        <w:rPr>
          <w:rFonts w:eastAsia="MS Mincho"/>
          <w:i/>
          <w:sz w:val="22"/>
          <w:szCs w:val="22"/>
          <w:lang w:val="en-US"/>
        </w:rPr>
        <w:t>Tonna galea</w:t>
      </w:r>
      <w:r w:rsidRPr="009978E3">
        <w:rPr>
          <w:rFonts w:eastAsia="MS Mincho"/>
          <w:sz w:val="22"/>
          <w:szCs w:val="22"/>
          <w:lang w:val="en-US"/>
        </w:rPr>
        <w:t xml:space="preserve"> are protected by Annex II of the Bern Convention.</w:t>
      </w:r>
    </w:p>
    <w:p w14:paraId="1DAC1B5A" w14:textId="600A18FA"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species studied in the area belong to several phyl</w:t>
      </w:r>
      <w:r>
        <w:rPr>
          <w:rFonts w:eastAsia="MS Mincho"/>
          <w:sz w:val="22"/>
          <w:szCs w:val="22"/>
          <w:lang w:val="en-US"/>
        </w:rPr>
        <w:t>a</w:t>
      </w:r>
      <w:r w:rsidRPr="009978E3">
        <w:rPr>
          <w:rFonts w:eastAsia="MS Mincho"/>
          <w:sz w:val="22"/>
          <w:szCs w:val="22"/>
          <w:lang w:val="en-US"/>
        </w:rPr>
        <w:t>, class</w:t>
      </w:r>
      <w:r>
        <w:rPr>
          <w:rFonts w:eastAsia="MS Mincho"/>
          <w:sz w:val="22"/>
          <w:szCs w:val="22"/>
          <w:lang w:val="en-US"/>
        </w:rPr>
        <w:t>es</w:t>
      </w:r>
      <w:r w:rsidRPr="009978E3">
        <w:rPr>
          <w:rFonts w:eastAsia="MS Mincho"/>
          <w:sz w:val="22"/>
          <w:szCs w:val="22"/>
          <w:lang w:val="en-US"/>
        </w:rPr>
        <w:t xml:space="preserve"> or order</w:t>
      </w:r>
      <w:r>
        <w:rPr>
          <w:rFonts w:eastAsia="MS Mincho"/>
          <w:sz w:val="22"/>
          <w:szCs w:val="22"/>
          <w:lang w:val="en-US"/>
        </w:rPr>
        <w:t>s</w:t>
      </w:r>
      <w:r w:rsidRPr="009978E3">
        <w:rPr>
          <w:rFonts w:eastAsia="MS Mincho"/>
          <w:sz w:val="22"/>
          <w:szCs w:val="22"/>
          <w:lang w:val="en-US"/>
        </w:rPr>
        <w:t xml:space="preserve"> (</w:t>
      </w:r>
      <w:r>
        <w:rPr>
          <w:rFonts w:eastAsia="MS Mincho"/>
          <w:sz w:val="22"/>
          <w:szCs w:val="22"/>
          <w:lang w:val="en-US"/>
        </w:rPr>
        <w:t>F</w:t>
      </w:r>
      <w:r w:rsidRPr="009978E3">
        <w:rPr>
          <w:rFonts w:eastAsia="MS Mincho"/>
          <w:sz w:val="22"/>
          <w:szCs w:val="22"/>
          <w:lang w:val="en-US"/>
        </w:rPr>
        <w:t xml:space="preserve">igure 5). The category “others” includes Acari, Ctenophora, Nudibranchia, reptilia, sea-birds, Sipuncula and scyphozoa. Madeira-Tore includes various species of scleractinians and gorgonians. In some seamounts the gorgonian and sponge species were reported to form dense gorgonian coral habitat-forming aggregations of </w:t>
      </w:r>
      <w:r w:rsidRPr="009978E3">
        <w:rPr>
          <w:rFonts w:eastAsia="MS Mincho"/>
          <w:i/>
          <w:sz w:val="22"/>
          <w:szCs w:val="22"/>
          <w:lang w:val="en-US"/>
        </w:rPr>
        <w:t>Callogorgia verticillata</w:t>
      </w:r>
      <w:r w:rsidRPr="009978E3">
        <w:rPr>
          <w:rFonts w:eastAsia="MS Mincho"/>
          <w:sz w:val="22"/>
          <w:szCs w:val="22"/>
          <w:lang w:val="en-US"/>
        </w:rPr>
        <w:t xml:space="preserve"> and </w:t>
      </w:r>
      <w:r w:rsidRPr="009978E3">
        <w:rPr>
          <w:rFonts w:eastAsia="MS Mincho"/>
          <w:i/>
          <w:sz w:val="22"/>
          <w:szCs w:val="22"/>
          <w:lang w:val="en-US"/>
        </w:rPr>
        <w:t>Elisella flagellum</w:t>
      </w:r>
      <w:r>
        <w:rPr>
          <w:rFonts w:eastAsia="MS Mincho"/>
          <w:i/>
          <w:sz w:val="22"/>
          <w:szCs w:val="22"/>
          <w:lang w:val="en-US"/>
        </w:rPr>
        <w:t>,</w:t>
      </w:r>
      <w:r w:rsidRPr="009978E3">
        <w:rPr>
          <w:rFonts w:eastAsia="MS Mincho"/>
          <w:sz w:val="22"/>
          <w:szCs w:val="22"/>
          <w:lang w:val="en-US"/>
        </w:rPr>
        <w:t xml:space="preserve"> which may </w:t>
      </w:r>
      <w:r>
        <w:rPr>
          <w:rFonts w:eastAsia="MS Mincho"/>
          <w:sz w:val="22"/>
          <w:szCs w:val="22"/>
          <w:lang w:val="en-US"/>
        </w:rPr>
        <w:t xml:space="preserve">be </w:t>
      </w:r>
      <w:r w:rsidRPr="009978E3">
        <w:rPr>
          <w:rFonts w:eastAsia="MS Mincho"/>
          <w:sz w:val="22"/>
          <w:szCs w:val="22"/>
          <w:lang w:val="en-US"/>
        </w:rPr>
        <w:t>important feeding and sheltering grounds for seamount fishes and also potential shark nurseries (WWF, 2001; Etnoyer &amp; Warrenchuk, 2007; OSPAR, 2011). Cold</w:t>
      </w:r>
      <w:r>
        <w:rPr>
          <w:rFonts w:eastAsia="MS Mincho"/>
          <w:sz w:val="22"/>
          <w:szCs w:val="22"/>
          <w:lang w:val="en-US"/>
        </w:rPr>
        <w:t>-</w:t>
      </w:r>
      <w:r w:rsidRPr="009978E3">
        <w:rPr>
          <w:rFonts w:eastAsia="MS Mincho"/>
          <w:sz w:val="22"/>
          <w:szCs w:val="22"/>
          <w:lang w:val="en-US"/>
        </w:rPr>
        <w:t>water, deep, habitat</w:t>
      </w:r>
      <w:r>
        <w:rPr>
          <w:rFonts w:eastAsia="MS Mincho"/>
          <w:sz w:val="22"/>
          <w:szCs w:val="22"/>
          <w:lang w:val="en-US"/>
        </w:rPr>
        <w:t>-</w:t>
      </w:r>
      <w:r w:rsidRPr="009978E3">
        <w:rPr>
          <w:rFonts w:eastAsia="MS Mincho"/>
          <w:sz w:val="22"/>
          <w:szCs w:val="22"/>
          <w:lang w:val="en-US"/>
        </w:rPr>
        <w:t xml:space="preserve">forming corals can shelter </w:t>
      </w:r>
      <w:r>
        <w:rPr>
          <w:rFonts w:eastAsia="MS Mincho"/>
          <w:sz w:val="22"/>
          <w:szCs w:val="22"/>
          <w:lang w:val="en-US"/>
        </w:rPr>
        <w:t>more</w:t>
      </w:r>
      <w:r w:rsidRPr="009978E3">
        <w:rPr>
          <w:rFonts w:eastAsia="MS Mincho"/>
          <w:sz w:val="22"/>
          <w:szCs w:val="22"/>
          <w:lang w:val="en-US"/>
        </w:rPr>
        <w:t xml:space="preserve"> megafauna than other habitats without coral communit</w:t>
      </w:r>
      <w:r>
        <w:rPr>
          <w:rFonts w:eastAsia="MS Mincho"/>
          <w:sz w:val="22"/>
          <w:szCs w:val="22"/>
          <w:lang w:val="en-US"/>
        </w:rPr>
        <w:t>ies</w:t>
      </w:r>
      <w:r w:rsidRPr="009978E3">
        <w:rPr>
          <w:rFonts w:eastAsia="MS Mincho"/>
          <w:sz w:val="22"/>
          <w:szCs w:val="22"/>
          <w:lang w:val="en-US"/>
        </w:rPr>
        <w:t xml:space="preserve"> (Roberts </w:t>
      </w:r>
      <w:r w:rsidRPr="0006066A">
        <w:rPr>
          <w:rFonts w:eastAsia="MS Mincho"/>
          <w:i/>
          <w:iCs/>
          <w:sz w:val="22"/>
          <w:szCs w:val="22"/>
          <w:lang w:val="en-US"/>
        </w:rPr>
        <w:t>et al</w:t>
      </w:r>
      <w:r>
        <w:rPr>
          <w:rFonts w:eastAsia="MS Mincho"/>
          <w:i/>
          <w:iCs/>
          <w:sz w:val="22"/>
          <w:szCs w:val="22"/>
          <w:lang w:val="en-US"/>
        </w:rPr>
        <w:t>.</w:t>
      </w:r>
      <w:r w:rsidRPr="009978E3">
        <w:rPr>
          <w:rFonts w:eastAsia="MS Mincho"/>
          <w:sz w:val="22"/>
          <w:szCs w:val="22"/>
          <w:lang w:val="en-US"/>
        </w:rPr>
        <w:t xml:space="preserve">, 2006; Mortensen </w:t>
      </w:r>
      <w:r w:rsidRPr="0006066A">
        <w:rPr>
          <w:rFonts w:eastAsia="MS Mincho"/>
          <w:i/>
          <w:iCs/>
          <w:sz w:val="22"/>
          <w:szCs w:val="22"/>
          <w:lang w:val="en-US"/>
        </w:rPr>
        <w:t>et al</w:t>
      </w:r>
      <w:r>
        <w:rPr>
          <w:rFonts w:eastAsia="MS Mincho"/>
          <w:i/>
          <w:iCs/>
          <w:sz w:val="22"/>
          <w:szCs w:val="22"/>
          <w:lang w:val="en-US"/>
        </w:rPr>
        <w:t>.</w:t>
      </w:r>
      <w:r w:rsidRPr="009978E3">
        <w:rPr>
          <w:rFonts w:eastAsia="MS Mincho"/>
          <w:sz w:val="22"/>
          <w:szCs w:val="22"/>
          <w:lang w:val="en-US"/>
        </w:rPr>
        <w:t xml:space="preserve">, 2008, Rogers </w:t>
      </w:r>
      <w:r w:rsidRPr="0006066A">
        <w:rPr>
          <w:rFonts w:eastAsia="MS Mincho"/>
          <w:i/>
          <w:iCs/>
          <w:sz w:val="22"/>
          <w:szCs w:val="22"/>
          <w:lang w:val="en-US"/>
        </w:rPr>
        <w:t>et al</w:t>
      </w:r>
      <w:r>
        <w:rPr>
          <w:rFonts w:eastAsia="MS Mincho"/>
          <w:i/>
          <w:iCs/>
          <w:sz w:val="22"/>
          <w:szCs w:val="22"/>
          <w:lang w:val="en-US"/>
        </w:rPr>
        <w:t>.</w:t>
      </w:r>
      <w:r w:rsidRPr="009978E3">
        <w:rPr>
          <w:rFonts w:eastAsia="MS Mincho"/>
          <w:sz w:val="22"/>
          <w:szCs w:val="22"/>
          <w:lang w:val="en-US"/>
        </w:rPr>
        <w:t xml:space="preserve">, 2008). Seamounts also harbour large aggregations of demersal or benthopelagic fish (Koslow, 1997; Morato and Pauly, 2004; Pitcher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Morato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2009, 2010).</w:t>
      </w:r>
    </w:p>
    <w:p w14:paraId="6EA21B44"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5BFCFC2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unique ecosystems of seamounts are highly vulnerable and sensitive to external actions. Most of the fauna found on seamounts are long-lived, slow-growing organisms with low fecundity and natural mortality, so called </w:t>
      </w:r>
      <w:r>
        <w:rPr>
          <w:rFonts w:eastAsia="MS Mincho"/>
          <w:sz w:val="22"/>
          <w:szCs w:val="22"/>
          <w:lang w:val="en-US"/>
        </w:rPr>
        <w:t>“</w:t>
      </w:r>
      <w:r w:rsidRPr="009978E3">
        <w:rPr>
          <w:rFonts w:eastAsia="MS Mincho"/>
          <w:sz w:val="22"/>
          <w:szCs w:val="22"/>
          <w:lang w:val="en-US"/>
        </w:rPr>
        <w:t>K-selected species</w:t>
      </w:r>
      <w:r>
        <w:rPr>
          <w:rFonts w:eastAsia="MS Mincho"/>
          <w:sz w:val="22"/>
          <w:szCs w:val="22"/>
          <w:lang w:val="en-US"/>
        </w:rPr>
        <w:t>”</w:t>
      </w:r>
      <w:r w:rsidRPr="009978E3">
        <w:rPr>
          <w:rFonts w:eastAsia="MS Mincho"/>
          <w:sz w:val="22"/>
          <w:szCs w:val="22"/>
          <w:lang w:val="en-US"/>
        </w:rPr>
        <w:t xml:space="preserve"> (Brewin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Recruitment events of long-lived seamount fauna seem to be episodic and rare (Brewin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The type of gear (usually rock-hopper trawls) used to fish over the rough and rocky substrata that can be found on seamounts is particularly destructive of benthic habitat, destroying the very long</w:t>
      </w:r>
      <w:r>
        <w:rPr>
          <w:rFonts w:eastAsia="MS Mincho"/>
          <w:sz w:val="22"/>
          <w:szCs w:val="22"/>
          <w:lang w:val="en-US"/>
        </w:rPr>
        <w:t>-</w:t>
      </w:r>
      <w:r w:rsidRPr="009978E3">
        <w:rPr>
          <w:rFonts w:eastAsia="MS Mincho"/>
          <w:sz w:val="22"/>
          <w:szCs w:val="22"/>
          <w:lang w:val="en-US"/>
        </w:rPr>
        <w:t>lived and slow-growing sessile suspension</w:t>
      </w:r>
      <w:r>
        <w:rPr>
          <w:rFonts w:eastAsia="MS Mincho"/>
          <w:sz w:val="22"/>
          <w:szCs w:val="22"/>
          <w:lang w:val="en-US"/>
        </w:rPr>
        <w:t>-</w:t>
      </w:r>
      <w:r w:rsidRPr="009978E3">
        <w:rPr>
          <w:rFonts w:eastAsia="MS Mincho"/>
          <w:sz w:val="22"/>
          <w:szCs w:val="22"/>
          <w:lang w:val="en-US"/>
        </w:rPr>
        <w:t xml:space="preserve">feeding organisms that dominate these habitats (Brewin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Benthic seamount communities are highly vulnerable to the impacts of fishing because of their limited habitat, the extreme longevity of many species, apparently limited recruitment between seamounts and the highly localized distribution of many species (Richer de Forges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2000; Samadi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2006; Samadi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w:t>
      </w:r>
    </w:p>
    <w:p w14:paraId="44C1F35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In </w:t>
      </w:r>
      <w:r>
        <w:rPr>
          <w:rFonts w:eastAsia="MS Mincho"/>
          <w:sz w:val="22"/>
          <w:szCs w:val="22"/>
          <w:lang w:val="en-US"/>
        </w:rPr>
        <w:t xml:space="preserve">just </w:t>
      </w:r>
      <w:r w:rsidRPr="009978E3">
        <w:rPr>
          <w:rFonts w:eastAsia="MS Mincho"/>
          <w:sz w:val="22"/>
          <w:szCs w:val="22"/>
          <w:lang w:val="en-US"/>
        </w:rPr>
        <w:t xml:space="preserve">a few decades, </w:t>
      </w:r>
      <w:r>
        <w:rPr>
          <w:rFonts w:eastAsia="MS Mincho"/>
          <w:sz w:val="22"/>
          <w:szCs w:val="22"/>
          <w:lang w:val="en-US"/>
        </w:rPr>
        <w:t>the</w:t>
      </w:r>
      <w:r w:rsidRPr="009978E3">
        <w:rPr>
          <w:rFonts w:eastAsia="MS Mincho"/>
          <w:sz w:val="22"/>
          <w:szCs w:val="22"/>
          <w:lang w:val="en-US"/>
        </w:rPr>
        <w:t xml:space="preserve"> attention </w:t>
      </w:r>
      <w:r>
        <w:rPr>
          <w:rFonts w:eastAsia="MS Mincho"/>
          <w:sz w:val="22"/>
          <w:szCs w:val="22"/>
          <w:lang w:val="en-US"/>
        </w:rPr>
        <w:t xml:space="preserve">of fishers </w:t>
      </w:r>
      <w:r w:rsidRPr="009978E3">
        <w:rPr>
          <w:rFonts w:eastAsia="MS Mincho"/>
          <w:sz w:val="22"/>
          <w:szCs w:val="22"/>
          <w:lang w:val="en-US"/>
        </w:rPr>
        <w:t xml:space="preserve">has been drawn to the high abundances of commercially valuable fish species </w:t>
      </w:r>
      <w:r>
        <w:rPr>
          <w:rFonts w:eastAsia="MS Mincho"/>
          <w:sz w:val="22"/>
          <w:szCs w:val="22"/>
          <w:lang w:val="en-US"/>
        </w:rPr>
        <w:t>around</w:t>
      </w:r>
      <w:r w:rsidRPr="009978E3">
        <w:rPr>
          <w:rFonts w:eastAsia="MS Mincho"/>
          <w:sz w:val="22"/>
          <w:szCs w:val="22"/>
          <w:lang w:val="en-US"/>
        </w:rPr>
        <w:t xml:space="preserve"> many seamounts (Koslow, 1997). The reasons for the fish aggregations can be explained by the hypotheses that seamount areas can be ‘‘meeting points’’ of usually dispersed fish stocks, for example to aggregate for spawning, or that an enhanced food supply caused by special current conditions is the basis for locally maintaining large fish stocks. The importance of seamounts for fisheries is very well documented (Boehlert &amp; Sasaki, 1988</w:t>
      </w:r>
      <w:r>
        <w:rPr>
          <w:rFonts w:eastAsia="MS Mincho"/>
          <w:sz w:val="22"/>
          <w:szCs w:val="22"/>
          <w:lang w:val="en-US"/>
        </w:rPr>
        <w:t>;</w:t>
      </w:r>
      <w:r w:rsidRPr="009978E3">
        <w:rPr>
          <w:rFonts w:eastAsia="MS Mincho"/>
          <w:sz w:val="22"/>
          <w:szCs w:val="22"/>
          <w:lang w:val="en-US"/>
        </w:rPr>
        <w:t xml:space="preserve"> Koslow, 1997</w:t>
      </w:r>
      <w:r>
        <w:rPr>
          <w:rFonts w:eastAsia="MS Mincho"/>
          <w:sz w:val="22"/>
          <w:szCs w:val="22"/>
          <w:lang w:val="en-US"/>
        </w:rPr>
        <w:t>;</w:t>
      </w:r>
      <w:r w:rsidRPr="009978E3">
        <w:rPr>
          <w:rFonts w:eastAsia="MS Mincho"/>
          <w:sz w:val="22"/>
          <w:szCs w:val="22"/>
          <w:lang w:val="en-US"/>
        </w:rPr>
        <w:t xml:space="preserve"> Morato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2006). The fishery for horse mackerel (</w:t>
      </w:r>
      <w:r w:rsidRPr="009978E3">
        <w:rPr>
          <w:rFonts w:eastAsia="MS Mincho"/>
          <w:i/>
          <w:iCs/>
          <w:sz w:val="22"/>
          <w:szCs w:val="22"/>
          <w:lang w:val="en-US"/>
        </w:rPr>
        <w:t>Trachurus trachurus</w:t>
      </w:r>
      <w:r w:rsidRPr="009978E3">
        <w:rPr>
          <w:rFonts w:eastAsia="MS Mincho"/>
          <w:sz w:val="22"/>
          <w:szCs w:val="22"/>
          <w:lang w:val="en-US"/>
        </w:rPr>
        <w:t>, Carangidae), mackerel (Scomber sp., Scombridae), scabbardfish (family Trichiuridae) and orange roughy (</w:t>
      </w:r>
      <w:r w:rsidRPr="009978E3">
        <w:rPr>
          <w:i/>
          <w:sz w:val="22"/>
          <w:szCs w:val="22"/>
          <w:lang w:val="en-US"/>
        </w:rPr>
        <w:t>H. atlanticus</w:t>
      </w:r>
      <w:r w:rsidRPr="009978E3">
        <w:rPr>
          <w:rFonts w:eastAsia="MS Mincho"/>
          <w:sz w:val="22"/>
          <w:szCs w:val="22"/>
          <w:lang w:val="en-US"/>
        </w:rPr>
        <w:t>) has been operating in the seamounts of th</w:t>
      </w:r>
      <w:r>
        <w:rPr>
          <w:rFonts w:eastAsia="MS Mincho"/>
          <w:sz w:val="22"/>
          <w:szCs w:val="22"/>
          <w:lang w:val="en-US"/>
        </w:rPr>
        <w:t>is area</w:t>
      </w:r>
      <w:r w:rsidRPr="009978E3">
        <w:rPr>
          <w:rFonts w:eastAsia="MS Mincho"/>
          <w:sz w:val="22"/>
          <w:szCs w:val="22"/>
          <w:lang w:val="en-US"/>
        </w:rPr>
        <w:t xml:space="preserve">. </w:t>
      </w:r>
      <w:r>
        <w:rPr>
          <w:rFonts w:eastAsia="MS Mincho"/>
          <w:sz w:val="22"/>
          <w:szCs w:val="22"/>
          <w:lang w:val="en-US"/>
        </w:rPr>
        <w:t>S</w:t>
      </w:r>
      <w:r w:rsidRPr="009978E3">
        <w:rPr>
          <w:rFonts w:eastAsia="MS Mincho"/>
          <w:sz w:val="22"/>
          <w:szCs w:val="22"/>
          <w:lang w:val="en-US"/>
        </w:rPr>
        <w:t>ome fishing techniques can trawl corals</w:t>
      </w:r>
      <w:r>
        <w:rPr>
          <w:rFonts w:eastAsia="MS Mincho"/>
          <w:sz w:val="22"/>
          <w:szCs w:val="22"/>
          <w:lang w:val="en-US"/>
        </w:rPr>
        <w:t>,</w:t>
      </w:r>
      <w:r w:rsidRPr="009978E3">
        <w:rPr>
          <w:rFonts w:eastAsia="MS Mincho"/>
          <w:sz w:val="22"/>
          <w:szCs w:val="22"/>
          <w:lang w:val="en-US"/>
        </w:rPr>
        <w:t xml:space="preserve"> </w:t>
      </w:r>
      <w:r>
        <w:rPr>
          <w:rFonts w:eastAsia="MS Mincho"/>
          <w:sz w:val="22"/>
          <w:szCs w:val="22"/>
          <w:lang w:val="en-US"/>
        </w:rPr>
        <w:t xml:space="preserve">with an </w:t>
      </w:r>
      <w:r w:rsidRPr="009978E3">
        <w:rPr>
          <w:rFonts w:eastAsia="MS Mincho"/>
          <w:sz w:val="22"/>
          <w:szCs w:val="22"/>
          <w:lang w:val="en-US"/>
        </w:rPr>
        <w:t xml:space="preserve">estimated </w:t>
      </w:r>
      <w:r>
        <w:rPr>
          <w:rFonts w:eastAsia="MS Mincho"/>
          <w:sz w:val="22"/>
          <w:szCs w:val="22"/>
          <w:lang w:val="en-US"/>
        </w:rPr>
        <w:t xml:space="preserve">age of </w:t>
      </w:r>
      <w:r w:rsidRPr="009978E3">
        <w:rPr>
          <w:rFonts w:eastAsia="MS Mincho"/>
          <w:sz w:val="22"/>
          <w:szCs w:val="22"/>
          <w:lang w:val="en-US"/>
        </w:rPr>
        <w:t>300</w:t>
      </w:r>
      <w:r>
        <w:rPr>
          <w:rFonts w:eastAsia="MS Mincho"/>
          <w:sz w:val="22"/>
          <w:szCs w:val="22"/>
          <w:lang w:val="en-US"/>
        </w:rPr>
        <w:t xml:space="preserve"> to </w:t>
      </w:r>
      <w:r w:rsidRPr="009978E3">
        <w:rPr>
          <w:rFonts w:eastAsia="MS Mincho"/>
          <w:sz w:val="22"/>
          <w:szCs w:val="22"/>
          <w:lang w:val="en-US"/>
        </w:rPr>
        <w:t xml:space="preserve"> 500 years</w:t>
      </w:r>
      <w:r>
        <w:rPr>
          <w:rFonts w:eastAsia="MS Mincho"/>
          <w:sz w:val="22"/>
          <w:szCs w:val="22"/>
          <w:lang w:val="en-US"/>
        </w:rPr>
        <w:t>,</w:t>
      </w:r>
      <w:r w:rsidRPr="009978E3">
        <w:rPr>
          <w:rFonts w:eastAsia="MS Mincho"/>
          <w:sz w:val="22"/>
          <w:szCs w:val="22"/>
          <w:lang w:val="en-US"/>
        </w:rPr>
        <w:t xml:space="preserve"> out of the ocean (Tracey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2003; Samadi </w:t>
      </w:r>
      <w:r w:rsidRPr="0006066A">
        <w:rPr>
          <w:rFonts w:eastAsia="MS Mincho"/>
          <w:i/>
          <w:iCs/>
          <w:sz w:val="22"/>
          <w:szCs w:val="22"/>
          <w:lang w:val="en-US"/>
        </w:rPr>
        <w:t>et al</w:t>
      </w:r>
      <w:r w:rsidRPr="009978E3">
        <w:rPr>
          <w:rFonts w:eastAsia="MS Mincho"/>
          <w:sz w:val="22"/>
          <w:szCs w:val="22"/>
          <w:lang w:val="en-US"/>
        </w:rPr>
        <w:t>., 2007). Structural deep-sea sponge habitat is also vulnerable to bottom fishing and has been shown to suffer immediate declines in populations through the physical removal of sponges, which then reduces the reproductive potential of the population, thereby reducing recovery capacity or even causing further declines (Freese, 2001). Experimental trawling over sponge communities in Alaska showed that one year after the experiment, individuals within the community showed no sign of repair or growth</w:t>
      </w:r>
      <w:r>
        <w:rPr>
          <w:rFonts w:eastAsia="MS Mincho"/>
          <w:sz w:val="22"/>
          <w:szCs w:val="22"/>
          <w:lang w:val="en-US"/>
        </w:rPr>
        <w:t>,</w:t>
      </w:r>
      <w:r w:rsidRPr="009978E3">
        <w:rPr>
          <w:rFonts w:eastAsia="MS Mincho"/>
          <w:sz w:val="22"/>
          <w:szCs w:val="22"/>
          <w:lang w:val="en-US"/>
        </w:rPr>
        <w:t xml:space="preserve"> and there was no indication of the recovery of the community (Freese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1999).</w:t>
      </w:r>
    </w:p>
    <w:p w14:paraId="49554129" w14:textId="39DAB715" w:rsidR="006B3F46"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In 2010, the Ministerial Meeting of the OSPAR Commission adopted OSPAR Decision 2010/5 to establish </w:t>
      </w:r>
      <w:r>
        <w:rPr>
          <w:rFonts w:eastAsia="MS Mincho"/>
          <w:sz w:val="22"/>
          <w:szCs w:val="22"/>
          <w:lang w:val="en-US"/>
        </w:rPr>
        <w:t>the</w:t>
      </w:r>
      <w:r w:rsidRPr="009978E3">
        <w:rPr>
          <w:rFonts w:eastAsia="MS Mincho"/>
          <w:sz w:val="22"/>
          <w:szCs w:val="22"/>
          <w:lang w:val="en-US"/>
        </w:rPr>
        <w:t xml:space="preserve"> </w:t>
      </w:r>
      <w:r w:rsidRPr="005A02BD">
        <w:rPr>
          <w:rFonts w:eastAsia="MS Mincho"/>
          <w:sz w:val="22"/>
          <w:szCs w:val="22"/>
          <w:lang w:val="en-US"/>
        </w:rPr>
        <w:t>Josephine Seamount High Seas Marine Protected Area</w:t>
      </w:r>
      <w:r w:rsidRPr="009978E3">
        <w:rPr>
          <w:rFonts w:eastAsia="MS Mincho"/>
          <w:sz w:val="22"/>
          <w:szCs w:val="22"/>
          <w:lang w:val="en-US"/>
        </w:rPr>
        <w:t xml:space="preserve"> in the water column above Josephine seamount. Later, in 2015, Portugal designated Gorringe Bank as a national site and is </w:t>
      </w:r>
      <w:r>
        <w:rPr>
          <w:rFonts w:eastAsia="MS Mincho"/>
          <w:sz w:val="22"/>
          <w:szCs w:val="22"/>
          <w:lang w:val="en-US"/>
        </w:rPr>
        <w:t>planning</w:t>
      </w:r>
      <w:r w:rsidRPr="009978E3">
        <w:rPr>
          <w:rFonts w:eastAsia="MS Mincho"/>
          <w:sz w:val="22"/>
          <w:szCs w:val="22"/>
          <w:lang w:val="en-US"/>
        </w:rPr>
        <w:t xml:space="preserve"> to propose it as a European Union Site of Community Importance.</w:t>
      </w:r>
    </w:p>
    <w:p w14:paraId="66B19D4E"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6E10EA">
        <w:rPr>
          <w:rFonts w:eastAsia="MS Mincho"/>
          <w:b/>
          <w:sz w:val="22"/>
          <w:szCs w:val="22"/>
          <w:lang w:val="en-US"/>
        </w:rPr>
        <w:t>rea no. 6</w:t>
      </w:r>
      <w:r>
        <w:rPr>
          <w:rFonts w:eastAsia="MS Mincho"/>
          <w:b/>
          <w:sz w:val="22"/>
          <w:szCs w:val="22"/>
          <w:lang w:val="en-US"/>
        </w:rPr>
        <w:t>,</w:t>
      </w:r>
      <w:r w:rsidRPr="006E10EA">
        <w:rPr>
          <w:rFonts w:eastAsia="MS Mincho"/>
          <w:b/>
          <w:sz w:val="22"/>
          <w:szCs w:val="22"/>
          <w:lang w:val="en-US"/>
        </w:rPr>
        <w:t xml:space="preserve"> Madeira – Tore</w:t>
      </w:r>
      <w:r>
        <w:rPr>
          <w:rFonts w:eastAsia="MS Mincho"/>
          <w:b/>
          <w:sz w:val="22"/>
          <w:szCs w:val="22"/>
          <w:lang w:val="en-US"/>
        </w:rPr>
        <w:t>,</w:t>
      </w:r>
      <w:r w:rsidRPr="009978E3">
        <w:rPr>
          <w:rFonts w:eastAsia="MS Mincho"/>
          <w:b/>
          <w:sz w:val="22"/>
          <w:szCs w:val="22"/>
          <w:lang w:val="en-US"/>
        </w:rPr>
        <w:t xml:space="preserve"> against CBD EBSA Criteria</w:t>
      </w:r>
    </w:p>
    <w:p w14:paraId="46ECAA41" w14:textId="77777777" w:rsidR="006B3F46" w:rsidRPr="0021277B" w:rsidRDefault="006B3F46" w:rsidP="00907941">
      <w:pPr>
        <w:jc w:val="both"/>
        <w:rPr>
          <w:rFonts w:eastAsia="MS Mincho"/>
          <w:i/>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2"/>
        <w:gridCol w:w="4286"/>
        <w:gridCol w:w="28"/>
        <w:gridCol w:w="1000"/>
        <w:gridCol w:w="257"/>
        <w:gridCol w:w="28"/>
        <w:gridCol w:w="742"/>
        <w:gridCol w:w="109"/>
        <w:gridCol w:w="663"/>
        <w:gridCol w:w="88"/>
        <w:gridCol w:w="723"/>
      </w:tblGrid>
      <w:tr w:rsidR="006B3F46" w:rsidRPr="0021277B" w14:paraId="34DDCE80" w14:textId="77777777" w:rsidTr="00907941">
        <w:tc>
          <w:tcPr>
            <w:tcW w:w="783" w:type="pct"/>
            <w:vMerge w:val="restart"/>
            <w:shd w:val="clear" w:color="auto" w:fill="auto"/>
          </w:tcPr>
          <w:p w14:paraId="004C4F31" w14:textId="77777777" w:rsidR="006B3F46" w:rsidRPr="0021277B" w:rsidRDefault="006B3F46" w:rsidP="00907941">
            <w:pPr>
              <w:widowControl w:val="0"/>
              <w:autoSpaceDE w:val="0"/>
              <w:autoSpaceDN w:val="0"/>
              <w:adjustRightInd w:val="0"/>
              <w:jc w:val="both"/>
              <w:rPr>
                <w:rFonts w:eastAsia="MS Mincho"/>
                <w:b/>
                <w:bCs/>
                <w:color w:val="000000"/>
                <w:sz w:val="22"/>
                <w:szCs w:val="22"/>
                <w:lang w:val="it-IT"/>
              </w:rPr>
            </w:pPr>
            <w:r w:rsidRPr="0021277B">
              <w:rPr>
                <w:rFonts w:eastAsia="MS Mincho"/>
                <w:b/>
                <w:bCs/>
                <w:color w:val="000000"/>
                <w:sz w:val="22"/>
                <w:szCs w:val="22"/>
                <w:lang w:val="it-IT"/>
              </w:rPr>
              <w:t>CBD EBSA Criteria</w:t>
            </w:r>
          </w:p>
          <w:p w14:paraId="0A86BA89" w14:textId="77777777" w:rsidR="006B3F46" w:rsidRPr="0021277B" w:rsidRDefault="006B3F46" w:rsidP="00907941">
            <w:pPr>
              <w:widowControl w:val="0"/>
              <w:autoSpaceDE w:val="0"/>
              <w:autoSpaceDN w:val="0"/>
              <w:adjustRightInd w:val="0"/>
              <w:jc w:val="both"/>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80" w:type="pct"/>
            <w:vMerge w:val="restart"/>
            <w:shd w:val="clear" w:color="auto" w:fill="auto"/>
          </w:tcPr>
          <w:p w14:paraId="6DAEC1EE" w14:textId="77777777" w:rsidR="006B3F46" w:rsidRPr="0021277B" w:rsidRDefault="006B3F46" w:rsidP="00907941">
            <w:pPr>
              <w:widowControl w:val="0"/>
              <w:autoSpaceDE w:val="0"/>
              <w:autoSpaceDN w:val="0"/>
              <w:adjustRightInd w:val="0"/>
              <w:jc w:val="both"/>
              <w:rPr>
                <w:rFonts w:eastAsia="MS Mincho"/>
                <w:b/>
                <w:bCs/>
                <w:sz w:val="22"/>
                <w:szCs w:val="22"/>
                <w:lang w:val="en-US"/>
              </w:rPr>
            </w:pPr>
            <w:r w:rsidRPr="0021277B">
              <w:rPr>
                <w:rFonts w:eastAsia="MS Mincho"/>
                <w:b/>
                <w:bCs/>
                <w:sz w:val="22"/>
                <w:szCs w:val="22"/>
                <w:lang w:val="en-US"/>
              </w:rPr>
              <w:t>Description</w:t>
            </w:r>
          </w:p>
          <w:p w14:paraId="6452BD76" w14:textId="77777777" w:rsidR="006B3F46" w:rsidRPr="0021277B" w:rsidRDefault="006B3F46" w:rsidP="00907941">
            <w:pPr>
              <w:widowControl w:val="0"/>
              <w:autoSpaceDE w:val="0"/>
              <w:autoSpaceDN w:val="0"/>
              <w:adjustRightInd w:val="0"/>
              <w:jc w:val="both"/>
              <w:rPr>
                <w:rFonts w:eastAsia="MS Mincho"/>
                <w:bCs/>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553B4C14"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5EE290E7"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77493965" w14:textId="77777777" w:rsidTr="00907941">
        <w:tc>
          <w:tcPr>
            <w:tcW w:w="783" w:type="pct"/>
            <w:vMerge/>
            <w:shd w:val="clear" w:color="auto" w:fill="auto"/>
          </w:tcPr>
          <w:p w14:paraId="3C47E382"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c>
          <w:tcPr>
            <w:tcW w:w="2280" w:type="pct"/>
            <w:vMerge/>
            <w:shd w:val="clear" w:color="auto" w:fill="auto"/>
          </w:tcPr>
          <w:p w14:paraId="2CEFD85B" w14:textId="77777777" w:rsidR="006B3F46" w:rsidRPr="0021277B" w:rsidRDefault="006B3F46" w:rsidP="00907941">
            <w:pPr>
              <w:widowControl w:val="0"/>
              <w:autoSpaceDE w:val="0"/>
              <w:autoSpaceDN w:val="0"/>
              <w:adjustRightInd w:val="0"/>
              <w:jc w:val="both"/>
              <w:rPr>
                <w:rFonts w:eastAsia="MS Mincho"/>
                <w:b/>
                <w:bCs/>
                <w:sz w:val="22"/>
                <w:szCs w:val="22"/>
                <w:lang w:val="en-US"/>
              </w:rPr>
            </w:pPr>
          </w:p>
        </w:tc>
        <w:tc>
          <w:tcPr>
            <w:tcW w:w="547" w:type="pct"/>
            <w:gridSpan w:val="2"/>
            <w:shd w:val="clear" w:color="auto" w:fill="auto"/>
          </w:tcPr>
          <w:p w14:paraId="084BE4A4"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628F294A"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292FE130"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2CDEB818"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12D616A8" w14:textId="77777777" w:rsidTr="00907941">
        <w:tc>
          <w:tcPr>
            <w:tcW w:w="783" w:type="pct"/>
            <w:shd w:val="clear" w:color="auto" w:fill="auto"/>
          </w:tcPr>
          <w:p w14:paraId="4F2BDF3C"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80" w:type="pct"/>
            <w:shd w:val="clear" w:color="auto" w:fill="auto"/>
          </w:tcPr>
          <w:p w14:paraId="611FF143"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vAlign w:val="center"/>
          </w:tcPr>
          <w:p w14:paraId="217789D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547" w:type="pct"/>
            <w:gridSpan w:val="3"/>
            <w:shd w:val="clear" w:color="auto" w:fill="auto"/>
            <w:vAlign w:val="center"/>
          </w:tcPr>
          <w:p w14:paraId="01EF78D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5AFB760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7BEB743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4FA57620" w14:textId="77777777" w:rsidTr="00907941">
        <w:tc>
          <w:tcPr>
            <w:tcW w:w="5000" w:type="pct"/>
            <w:gridSpan w:val="11"/>
            <w:shd w:val="clear" w:color="auto" w:fill="auto"/>
          </w:tcPr>
          <w:p w14:paraId="3A2FF92F" w14:textId="77777777" w:rsidR="006B3F46" w:rsidRPr="0021277B" w:rsidRDefault="006B3F46" w:rsidP="00907941">
            <w:pPr>
              <w:widowControl w:val="0"/>
              <w:autoSpaceDE w:val="0"/>
              <w:autoSpaceDN w:val="0"/>
              <w:adjustRightInd w:val="0"/>
              <w:rPr>
                <w:rFonts w:eastAsia="MS Mincho"/>
                <w:i/>
                <w:iCs/>
                <w:color w:val="000000"/>
                <w:sz w:val="22"/>
                <w:szCs w:val="22"/>
                <w:lang w:val="en-US"/>
              </w:rPr>
            </w:pPr>
            <w:r w:rsidRPr="0021277B">
              <w:rPr>
                <w:rFonts w:eastAsia="MS Mincho"/>
                <w:i/>
                <w:iCs/>
                <w:color w:val="000000"/>
                <w:sz w:val="22"/>
                <w:szCs w:val="22"/>
                <w:lang w:val="en-US"/>
              </w:rPr>
              <w:t>Explanation for ranking</w:t>
            </w:r>
          </w:p>
          <w:p w14:paraId="5D7744DB" w14:textId="77777777" w:rsidR="006B3F46" w:rsidRPr="0021277B" w:rsidRDefault="006B3F46" w:rsidP="006B3F46">
            <w:pPr>
              <w:pStyle w:val="ListParagraph"/>
              <w:widowControl w:val="0"/>
              <w:numPr>
                <w:ilvl w:val="0"/>
                <w:numId w:val="38"/>
              </w:numPr>
              <w:autoSpaceDE w:val="0"/>
              <w:autoSpaceDN w:val="0"/>
              <w:adjustRightInd w:val="0"/>
              <w:ind w:leftChars="0" w:left="319"/>
              <w:rPr>
                <w:rFonts w:eastAsia="MS Mincho"/>
                <w:color w:val="000000"/>
                <w:szCs w:val="22"/>
                <w:lang w:val="en-US"/>
              </w:rPr>
            </w:pPr>
            <w:r w:rsidRPr="0021277B">
              <w:rPr>
                <w:rFonts w:eastAsia="MS Mincho"/>
                <w:color w:val="000000"/>
                <w:szCs w:val="22"/>
                <w:lang w:val="en-US"/>
              </w:rPr>
              <w:t xml:space="preserve">The Madeira-Tore </w:t>
            </w:r>
            <w:r>
              <w:rPr>
                <w:rFonts w:eastAsia="MS Mincho"/>
                <w:color w:val="000000"/>
                <w:szCs w:val="22"/>
                <w:lang w:val="en-US"/>
              </w:rPr>
              <w:t>area</w:t>
            </w:r>
            <w:r w:rsidRPr="0021277B">
              <w:rPr>
                <w:rFonts w:eastAsia="MS Mincho"/>
                <w:color w:val="000000"/>
                <w:szCs w:val="22"/>
                <w:lang w:val="en-US"/>
              </w:rPr>
              <w:t xml:space="preserve"> is characterized by complex topography: seamounts and banks of the area ris</w:t>
            </w:r>
            <w:r>
              <w:rPr>
                <w:rFonts w:eastAsia="MS Mincho"/>
                <w:color w:val="000000"/>
                <w:szCs w:val="22"/>
                <w:lang w:val="en-US"/>
              </w:rPr>
              <w:t>e</w:t>
            </w:r>
            <w:r w:rsidRPr="0021277B">
              <w:rPr>
                <w:rFonts w:eastAsia="MS Mincho"/>
                <w:color w:val="000000"/>
                <w:szCs w:val="22"/>
                <w:lang w:val="en-US"/>
              </w:rPr>
              <w:t xml:space="preserve"> from </w:t>
            </w:r>
            <w:r>
              <w:rPr>
                <w:rFonts w:eastAsia="MS Mincho"/>
                <w:color w:val="000000"/>
                <w:szCs w:val="22"/>
                <w:lang w:val="en-US"/>
              </w:rPr>
              <w:t xml:space="preserve">the </w:t>
            </w:r>
            <w:r w:rsidRPr="0021277B">
              <w:rPr>
                <w:rFonts w:eastAsia="MS Mincho"/>
                <w:color w:val="000000"/>
                <w:szCs w:val="22"/>
                <w:lang w:val="en-US"/>
              </w:rPr>
              <w:t xml:space="preserve">abyssal depth of Tagus, Horseshoe and Madeira basins </w:t>
            </w:r>
            <w:r>
              <w:rPr>
                <w:rFonts w:eastAsia="MS Mincho"/>
                <w:color w:val="000000"/>
                <w:szCs w:val="22"/>
                <w:lang w:val="en-US"/>
              </w:rPr>
              <w:t>to the</w:t>
            </w:r>
            <w:r w:rsidRPr="0021277B">
              <w:rPr>
                <w:rFonts w:eastAsia="MS Mincho"/>
                <w:color w:val="000000"/>
                <w:szCs w:val="22"/>
                <w:lang w:val="en-US"/>
              </w:rPr>
              <w:t xml:space="preserve"> photic zone (Ryan </w:t>
            </w:r>
            <w:r w:rsidRPr="0006066A">
              <w:rPr>
                <w:rFonts w:eastAsia="MS Mincho"/>
                <w:i/>
                <w:iCs/>
                <w:color w:val="000000"/>
                <w:szCs w:val="22"/>
                <w:lang w:val="en-US"/>
              </w:rPr>
              <w:t>et al</w:t>
            </w:r>
            <w:r w:rsidRPr="0021277B">
              <w:rPr>
                <w:rFonts w:eastAsia="MS Mincho"/>
                <w:color w:val="000000"/>
                <w:szCs w:val="22"/>
                <w:lang w:val="en-US"/>
              </w:rPr>
              <w:t xml:space="preserve">., 1973; Auzende </w:t>
            </w:r>
            <w:r w:rsidRPr="0006066A">
              <w:rPr>
                <w:rFonts w:eastAsia="MS Mincho"/>
                <w:i/>
                <w:iCs/>
                <w:color w:val="000000"/>
                <w:szCs w:val="22"/>
                <w:lang w:val="en-US"/>
              </w:rPr>
              <w:t>et al</w:t>
            </w:r>
            <w:r w:rsidRPr="0021277B">
              <w:rPr>
                <w:rFonts w:eastAsia="MS Mincho"/>
                <w:color w:val="000000"/>
                <w:szCs w:val="22"/>
                <w:lang w:val="en-US"/>
              </w:rPr>
              <w:t xml:space="preserve">., 1978; Matveyenkov </w:t>
            </w:r>
            <w:r w:rsidRPr="0006066A">
              <w:rPr>
                <w:rFonts w:eastAsia="MS Mincho"/>
                <w:i/>
                <w:iCs/>
                <w:color w:val="000000"/>
                <w:szCs w:val="22"/>
                <w:lang w:val="en-US"/>
              </w:rPr>
              <w:t>et al</w:t>
            </w:r>
            <w:r w:rsidRPr="0021277B">
              <w:rPr>
                <w:rFonts w:eastAsia="MS Mincho"/>
                <w:color w:val="000000"/>
                <w:szCs w:val="22"/>
                <w:lang w:val="en-US"/>
              </w:rPr>
              <w:t xml:space="preserve">., 1994, Alteriis </w:t>
            </w:r>
            <w:r w:rsidRPr="0006066A">
              <w:rPr>
                <w:rFonts w:eastAsia="MS Mincho"/>
                <w:i/>
                <w:iCs/>
                <w:color w:val="000000"/>
                <w:szCs w:val="22"/>
                <w:lang w:val="en-US"/>
              </w:rPr>
              <w:t>et al</w:t>
            </w:r>
            <w:r w:rsidRPr="0021277B">
              <w:rPr>
                <w:rFonts w:eastAsia="MS Mincho"/>
                <w:color w:val="000000"/>
                <w:szCs w:val="22"/>
                <w:lang w:val="en-US"/>
              </w:rPr>
              <w:t>., 2003);</w:t>
            </w:r>
            <w:r>
              <w:rPr>
                <w:rFonts w:eastAsia="MS Mincho"/>
                <w:color w:val="000000"/>
                <w:szCs w:val="22"/>
                <w:lang w:val="en-US"/>
              </w:rPr>
              <w:t xml:space="preserve"> </w:t>
            </w:r>
            <w:r w:rsidRPr="0021277B">
              <w:rPr>
                <w:rFonts w:eastAsia="MS Mincho"/>
                <w:color w:val="000000"/>
                <w:szCs w:val="22"/>
                <w:lang w:val="en-US"/>
              </w:rPr>
              <w:t xml:space="preserve">each seamount </w:t>
            </w:r>
            <w:bookmarkStart w:id="30" w:name="_Hlk20317559"/>
            <w:r w:rsidRPr="0021277B">
              <w:rPr>
                <w:rFonts w:eastAsia="MS Mincho"/>
                <w:color w:val="000000"/>
                <w:szCs w:val="22"/>
                <w:lang w:val="en-US"/>
              </w:rPr>
              <w:t>supports a unique faunistic complex, including fauna of hard substrata inhabited sessile suspension feeders as corals, sponges and associated fauna</w:t>
            </w:r>
            <w:bookmarkEnd w:id="30"/>
            <w:r>
              <w:rPr>
                <w:rFonts w:eastAsia="MS Mincho"/>
                <w:szCs w:val="22"/>
                <w:lang w:val="en-US"/>
              </w:rPr>
              <w:t xml:space="preserve"> </w:t>
            </w:r>
            <w:r w:rsidRPr="0021277B">
              <w:rPr>
                <w:rFonts w:eastAsia="MS Mincho"/>
                <w:szCs w:val="22"/>
                <w:lang w:val="en-US"/>
              </w:rPr>
              <w:t xml:space="preserve">(Xavier &amp; van </w:t>
            </w:r>
            <w:r w:rsidRPr="0021277B">
              <w:rPr>
                <w:szCs w:val="22"/>
              </w:rPr>
              <w:t xml:space="preserve">Soest, 2007; Christiansen </w:t>
            </w:r>
            <w:r w:rsidRPr="0006066A">
              <w:rPr>
                <w:i/>
                <w:iCs/>
                <w:szCs w:val="22"/>
              </w:rPr>
              <w:t>et al</w:t>
            </w:r>
            <w:r w:rsidRPr="0021277B">
              <w:rPr>
                <w:szCs w:val="22"/>
              </w:rPr>
              <w:t>. 2009) and sandbanks (Annex 1 of the Habitats Directive</w:t>
            </w:r>
            <w:r>
              <w:rPr>
                <w:szCs w:val="22"/>
              </w:rPr>
              <w:t xml:space="preserve">, </w:t>
            </w:r>
            <w:r w:rsidRPr="0021277B">
              <w:rPr>
                <w:szCs w:val="22"/>
              </w:rPr>
              <w:t xml:space="preserve">Natura 2000 Code 1110)  with high diversity of soft-substrate communities and meiofauna. These two types of habitats are well </w:t>
            </w:r>
            <w:r>
              <w:rPr>
                <w:szCs w:val="22"/>
              </w:rPr>
              <w:t>re</w:t>
            </w:r>
            <w:r w:rsidRPr="0021277B">
              <w:rPr>
                <w:szCs w:val="22"/>
              </w:rPr>
              <w:t xml:space="preserve">presented at </w:t>
            </w:r>
            <w:r w:rsidRPr="0021277B">
              <w:rPr>
                <w:rFonts w:eastAsia="MS Mincho"/>
                <w:szCs w:val="22"/>
                <w:lang w:val="en-US"/>
              </w:rPr>
              <w:t>Ampere, Gorringe, Josephine and Seine seamounts</w:t>
            </w:r>
            <w:r>
              <w:rPr>
                <w:rFonts w:eastAsia="MS Mincho"/>
                <w:szCs w:val="22"/>
                <w:lang w:val="en-US"/>
              </w:rPr>
              <w:t>,</w:t>
            </w:r>
            <w:r w:rsidRPr="0021277B">
              <w:rPr>
                <w:rFonts w:eastAsia="MS Mincho"/>
                <w:szCs w:val="22"/>
                <w:lang w:val="en-US"/>
              </w:rPr>
              <w:t xml:space="preserve"> but less </w:t>
            </w:r>
            <w:r>
              <w:rPr>
                <w:rFonts w:eastAsia="MS Mincho"/>
                <w:szCs w:val="22"/>
                <w:lang w:val="en-US"/>
              </w:rPr>
              <w:t>so</w:t>
            </w:r>
            <w:r w:rsidRPr="0021277B">
              <w:rPr>
                <w:rFonts w:eastAsia="MS Mincho"/>
                <w:szCs w:val="22"/>
                <w:lang w:val="en-US"/>
              </w:rPr>
              <w:t xml:space="preserve"> in others.  At greater depths the slope is usually covered by silt and clay from the continent, and bioclastic sand formed by the shells of pelagic organisms on the seamount plateau (</w:t>
            </w:r>
            <w:r w:rsidRPr="0021277B">
              <w:rPr>
                <w:szCs w:val="22"/>
                <w:lang w:val="en-US"/>
              </w:rPr>
              <w:t xml:space="preserve">Surugiu </w:t>
            </w:r>
            <w:r w:rsidRPr="0006066A">
              <w:rPr>
                <w:i/>
                <w:iCs/>
                <w:szCs w:val="22"/>
                <w:lang w:val="en-US"/>
              </w:rPr>
              <w:t>et al</w:t>
            </w:r>
            <w:r w:rsidRPr="0021277B">
              <w:rPr>
                <w:i/>
                <w:szCs w:val="22"/>
                <w:lang w:val="en-US"/>
              </w:rPr>
              <w:t>.,</w:t>
            </w:r>
            <w:r w:rsidRPr="0021277B">
              <w:rPr>
                <w:szCs w:val="22"/>
                <w:lang w:val="en-US"/>
              </w:rPr>
              <w:t xml:space="preserve"> 2008</w:t>
            </w:r>
            <w:r w:rsidRPr="0021277B">
              <w:rPr>
                <w:rFonts w:eastAsia="MS Mincho"/>
                <w:szCs w:val="22"/>
                <w:lang w:val="en-US"/>
              </w:rPr>
              <w:t xml:space="preserve">). </w:t>
            </w:r>
          </w:p>
          <w:p w14:paraId="43997C05" w14:textId="77777777" w:rsidR="006B3F46" w:rsidRPr="0021277B" w:rsidRDefault="006B3F46" w:rsidP="006B3F46">
            <w:pPr>
              <w:pStyle w:val="ListParagraph"/>
              <w:widowControl w:val="0"/>
              <w:numPr>
                <w:ilvl w:val="0"/>
                <w:numId w:val="39"/>
              </w:numPr>
              <w:autoSpaceDE w:val="0"/>
              <w:autoSpaceDN w:val="0"/>
              <w:adjustRightInd w:val="0"/>
              <w:ind w:leftChars="0" w:left="319"/>
              <w:rPr>
                <w:szCs w:val="22"/>
                <w:lang w:val="en-US" w:eastAsia="pt-PT"/>
              </w:rPr>
            </w:pPr>
            <w:r w:rsidRPr="0021277B">
              <w:rPr>
                <w:szCs w:val="22"/>
                <w:lang w:val="en-US" w:eastAsia="pt-PT"/>
              </w:rPr>
              <w:t>Coral Patch ha</w:t>
            </w:r>
            <w:r>
              <w:rPr>
                <w:szCs w:val="22"/>
                <w:lang w:val="en-US" w:eastAsia="pt-PT"/>
              </w:rPr>
              <w:t>s</w:t>
            </w:r>
            <w:r w:rsidRPr="0021277B">
              <w:rPr>
                <w:szCs w:val="22"/>
                <w:lang w:val="en-US" w:eastAsia="pt-PT"/>
              </w:rPr>
              <w:t xml:space="preserve"> a unique composite structure as it originates from a pre-existing sedimentary structural high that extends to a water depth of up to 2500m, while </w:t>
            </w:r>
            <w:r>
              <w:rPr>
                <w:szCs w:val="22"/>
                <w:lang w:val="en-US" w:eastAsia="pt-PT"/>
              </w:rPr>
              <w:t xml:space="preserve">there are </w:t>
            </w:r>
            <w:r w:rsidRPr="0021277B">
              <w:rPr>
                <w:szCs w:val="22"/>
                <w:lang w:val="en-US" w:eastAsia="pt-PT"/>
              </w:rPr>
              <w:t xml:space="preserve">volcanic edifices </w:t>
            </w:r>
            <w:r w:rsidRPr="008E3C9A">
              <w:rPr>
                <w:szCs w:val="22"/>
                <w:lang w:val="en-US" w:eastAsia="pt-PT"/>
              </w:rPr>
              <w:t>on the upper part of the seamount</w:t>
            </w:r>
            <w:r w:rsidRPr="001458B8">
              <w:rPr>
                <w:szCs w:val="22"/>
                <w:lang w:val="en-US" w:eastAsia="pt-PT"/>
              </w:rPr>
              <w:t xml:space="preserve"> </w:t>
            </w:r>
            <w:r w:rsidRPr="0021277B">
              <w:rPr>
                <w:szCs w:val="22"/>
                <w:lang w:val="en-US" w:eastAsia="pt-PT"/>
              </w:rPr>
              <w:t xml:space="preserve">(Wienberg </w:t>
            </w:r>
            <w:r w:rsidRPr="0006066A">
              <w:rPr>
                <w:i/>
                <w:iCs/>
                <w:szCs w:val="22"/>
                <w:lang w:val="en-US" w:eastAsia="pt-PT"/>
              </w:rPr>
              <w:t>et al</w:t>
            </w:r>
            <w:r w:rsidRPr="0021277B">
              <w:rPr>
                <w:i/>
                <w:szCs w:val="22"/>
                <w:lang w:val="en-US" w:eastAsia="pt-PT"/>
              </w:rPr>
              <w:t>.,</w:t>
            </w:r>
            <w:r w:rsidRPr="0021277B">
              <w:rPr>
                <w:szCs w:val="22"/>
                <w:lang w:val="en-US" w:eastAsia="pt-PT"/>
              </w:rPr>
              <w:t xml:space="preserve"> 2013).</w:t>
            </w:r>
          </w:p>
          <w:p w14:paraId="7237AC52" w14:textId="77777777" w:rsidR="006B3F46" w:rsidRDefault="006B3F46" w:rsidP="006B3F46">
            <w:pPr>
              <w:pStyle w:val="ListParagraph"/>
              <w:widowControl w:val="0"/>
              <w:numPr>
                <w:ilvl w:val="0"/>
                <w:numId w:val="39"/>
              </w:numPr>
              <w:autoSpaceDE w:val="0"/>
              <w:autoSpaceDN w:val="0"/>
              <w:adjustRightInd w:val="0"/>
              <w:ind w:leftChars="0" w:left="319"/>
              <w:rPr>
                <w:szCs w:val="22"/>
                <w:lang w:val="en-US" w:eastAsia="pt-PT"/>
              </w:rPr>
            </w:pPr>
            <w:r w:rsidRPr="0021277B">
              <w:rPr>
                <w:szCs w:val="22"/>
                <w:lang w:val="en-US" w:eastAsia="pt-PT"/>
              </w:rPr>
              <w:t xml:space="preserve">Some taxa show a high </w:t>
            </w:r>
            <w:r>
              <w:rPr>
                <w:szCs w:val="22"/>
                <w:lang w:val="en-US" w:eastAsia="pt-PT"/>
              </w:rPr>
              <w:t>level</w:t>
            </w:r>
            <w:r w:rsidRPr="0021277B">
              <w:rPr>
                <w:szCs w:val="22"/>
                <w:lang w:val="en-US" w:eastAsia="pt-PT"/>
              </w:rPr>
              <w:t xml:space="preserve"> of endemism</w:t>
            </w:r>
            <w:r>
              <w:rPr>
                <w:szCs w:val="22"/>
                <w:lang w:val="en-US" w:eastAsia="pt-PT"/>
              </w:rPr>
              <w:t>;</w:t>
            </w:r>
            <w:r w:rsidRPr="0021277B">
              <w:rPr>
                <w:szCs w:val="22"/>
                <w:lang w:val="en-US" w:eastAsia="pt-PT"/>
              </w:rPr>
              <w:t xml:space="preserve"> 28</w:t>
            </w:r>
            <w:r>
              <w:rPr>
                <w:szCs w:val="22"/>
                <w:lang w:val="en-US" w:eastAsia="pt-PT"/>
              </w:rPr>
              <w:t xml:space="preserve"> per cent</w:t>
            </w:r>
            <w:r w:rsidRPr="0021277B">
              <w:rPr>
                <w:szCs w:val="22"/>
                <w:lang w:val="en-US" w:eastAsia="pt-PT"/>
              </w:rPr>
              <w:t xml:space="preserve"> of Demospongia report</w:t>
            </w:r>
            <w:r>
              <w:rPr>
                <w:szCs w:val="22"/>
                <w:lang w:val="en-US" w:eastAsia="pt-PT"/>
              </w:rPr>
              <w:t>ed</w:t>
            </w:r>
            <w:r w:rsidRPr="0021277B">
              <w:rPr>
                <w:szCs w:val="22"/>
                <w:lang w:val="en-US" w:eastAsia="pt-PT"/>
              </w:rPr>
              <w:t xml:space="preserve"> from the Gorringe are endemic to this Bank or have a restricted geographical distribution (Xavier &amp; van Soest, 2007)</w:t>
            </w:r>
            <w:r>
              <w:rPr>
                <w:szCs w:val="22"/>
                <w:lang w:val="en-US" w:eastAsia="pt-PT"/>
              </w:rPr>
              <w:t xml:space="preserve">; a </w:t>
            </w:r>
            <w:r w:rsidRPr="0021277B">
              <w:rPr>
                <w:szCs w:val="22"/>
                <w:lang w:val="en-US" w:eastAsia="pt-PT"/>
              </w:rPr>
              <w:t xml:space="preserve">high </w:t>
            </w:r>
            <w:r>
              <w:rPr>
                <w:szCs w:val="22"/>
                <w:lang w:val="en-US" w:eastAsia="pt-PT"/>
              </w:rPr>
              <w:t>level</w:t>
            </w:r>
            <w:r w:rsidRPr="0021277B">
              <w:rPr>
                <w:szCs w:val="22"/>
                <w:lang w:val="en-US" w:eastAsia="pt-PT"/>
              </w:rPr>
              <w:t xml:space="preserve"> of endemi</w:t>
            </w:r>
            <w:r>
              <w:rPr>
                <w:szCs w:val="22"/>
                <w:lang w:val="en-US" w:eastAsia="pt-PT"/>
              </w:rPr>
              <w:t>sm</w:t>
            </w:r>
            <w:r w:rsidRPr="0021277B">
              <w:rPr>
                <w:szCs w:val="22"/>
                <w:lang w:val="en-US" w:eastAsia="pt-PT"/>
              </w:rPr>
              <w:t xml:space="preserve"> (45.6</w:t>
            </w:r>
            <w:r>
              <w:rPr>
                <w:szCs w:val="22"/>
                <w:lang w:val="en-US" w:eastAsia="pt-PT"/>
              </w:rPr>
              <w:t xml:space="preserve"> per cent</w:t>
            </w:r>
            <w:r w:rsidRPr="0021277B">
              <w:rPr>
                <w:szCs w:val="22"/>
                <w:lang w:val="en-US" w:eastAsia="pt-PT"/>
              </w:rPr>
              <w:t xml:space="preserve">) </w:t>
            </w:r>
            <w:r>
              <w:rPr>
                <w:szCs w:val="22"/>
                <w:lang w:val="en-US" w:eastAsia="pt-PT"/>
              </w:rPr>
              <w:t>has been demonstrated in the</w:t>
            </w:r>
            <w:r w:rsidRPr="0021277B">
              <w:rPr>
                <w:szCs w:val="22"/>
                <w:lang w:val="en-US" w:eastAsia="pt-PT"/>
              </w:rPr>
              <w:t xml:space="preserve"> micromolluscs Rissoidae (Gofas, 2007).</w:t>
            </w:r>
          </w:p>
          <w:p w14:paraId="5CDAC431" w14:textId="77777777" w:rsidR="006B3F46" w:rsidRPr="0021277B" w:rsidRDefault="006B3F46" w:rsidP="00907941">
            <w:pPr>
              <w:pStyle w:val="ListParagraph"/>
              <w:widowControl w:val="0"/>
              <w:autoSpaceDE w:val="0"/>
              <w:autoSpaceDN w:val="0"/>
              <w:adjustRightInd w:val="0"/>
              <w:ind w:left="960"/>
              <w:rPr>
                <w:szCs w:val="22"/>
                <w:lang w:val="en-US" w:eastAsia="pt-PT"/>
              </w:rPr>
            </w:pPr>
          </w:p>
        </w:tc>
      </w:tr>
      <w:tr w:rsidR="006B3F46" w:rsidRPr="0021277B" w14:paraId="0457BAF2" w14:textId="77777777" w:rsidTr="00907941">
        <w:tc>
          <w:tcPr>
            <w:tcW w:w="783" w:type="pct"/>
            <w:shd w:val="clear" w:color="auto" w:fill="auto"/>
          </w:tcPr>
          <w:p w14:paraId="19B179CD"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80" w:type="pct"/>
            <w:shd w:val="clear" w:color="auto" w:fill="auto"/>
          </w:tcPr>
          <w:p w14:paraId="489A6E96"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vAlign w:val="center"/>
          </w:tcPr>
          <w:p w14:paraId="67914469"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410" w:type="pct"/>
            <w:gridSpan w:val="2"/>
            <w:shd w:val="clear" w:color="auto" w:fill="auto"/>
            <w:vAlign w:val="center"/>
          </w:tcPr>
          <w:p w14:paraId="4AFA5AC4"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411" w:type="pct"/>
            <w:gridSpan w:val="2"/>
            <w:shd w:val="clear" w:color="auto" w:fill="auto"/>
            <w:vAlign w:val="center"/>
          </w:tcPr>
          <w:p w14:paraId="0178FD41"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432" w:type="pct"/>
            <w:gridSpan w:val="2"/>
            <w:shd w:val="clear" w:color="auto" w:fill="auto"/>
            <w:vAlign w:val="center"/>
          </w:tcPr>
          <w:p w14:paraId="1998573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DDD5260" w14:textId="77777777" w:rsidTr="00907941">
        <w:tc>
          <w:tcPr>
            <w:tcW w:w="5000" w:type="pct"/>
            <w:gridSpan w:val="11"/>
            <w:shd w:val="clear" w:color="auto" w:fill="auto"/>
          </w:tcPr>
          <w:p w14:paraId="34AB9797" w14:textId="77777777" w:rsidR="006B3F46" w:rsidRPr="0021277B" w:rsidRDefault="006B3F46" w:rsidP="00907941">
            <w:pPr>
              <w:widowControl w:val="0"/>
              <w:autoSpaceDE w:val="0"/>
              <w:autoSpaceDN w:val="0"/>
              <w:adjustRightInd w:val="0"/>
              <w:rPr>
                <w:rFonts w:eastAsia="MS Mincho"/>
                <w:i/>
                <w:iCs/>
                <w:color w:val="000000"/>
                <w:sz w:val="22"/>
                <w:szCs w:val="22"/>
                <w:lang w:val="en-US"/>
              </w:rPr>
            </w:pPr>
            <w:r w:rsidRPr="0021277B">
              <w:rPr>
                <w:rFonts w:eastAsia="MS Mincho"/>
                <w:i/>
                <w:iCs/>
                <w:color w:val="000000"/>
                <w:sz w:val="22"/>
                <w:szCs w:val="22"/>
                <w:lang w:val="en-US"/>
              </w:rPr>
              <w:t>Explanation for ranking</w:t>
            </w:r>
          </w:p>
          <w:p w14:paraId="35E34A7E" w14:textId="77777777" w:rsidR="006B3F46" w:rsidRPr="0021277B" w:rsidRDefault="006B3F46" w:rsidP="006B3F46">
            <w:pPr>
              <w:pStyle w:val="ListParagraph"/>
              <w:widowControl w:val="0"/>
              <w:numPr>
                <w:ilvl w:val="0"/>
                <w:numId w:val="39"/>
              </w:numPr>
              <w:autoSpaceDE w:val="0"/>
              <w:autoSpaceDN w:val="0"/>
              <w:adjustRightInd w:val="0"/>
              <w:ind w:leftChars="0" w:left="319"/>
              <w:rPr>
                <w:rFonts w:eastAsia="MS Mincho"/>
                <w:color w:val="000000"/>
                <w:szCs w:val="22"/>
                <w:lang w:val="en-US"/>
              </w:rPr>
            </w:pPr>
            <w:r w:rsidRPr="0021277B">
              <w:rPr>
                <w:rFonts w:eastAsia="MS Mincho"/>
                <w:color w:val="000000"/>
                <w:szCs w:val="22"/>
                <w:lang w:val="en-US"/>
              </w:rPr>
              <w:t>The</w:t>
            </w:r>
            <w:r w:rsidRPr="0021277B">
              <w:rPr>
                <w:rStyle w:val="CommentReference"/>
                <w:szCs w:val="22"/>
              </w:rPr>
              <w:t xml:space="preserve"> </w:t>
            </w:r>
            <w:r w:rsidRPr="0021277B">
              <w:rPr>
                <w:rFonts w:eastAsia="MS Mincho"/>
                <w:color w:val="000000"/>
                <w:szCs w:val="22"/>
                <w:lang w:val="en-US"/>
              </w:rPr>
              <w:t xml:space="preserve">Coral Patch, Gorringe </w:t>
            </w:r>
            <w:r>
              <w:rPr>
                <w:rFonts w:eastAsia="MS Mincho"/>
                <w:color w:val="000000"/>
                <w:szCs w:val="22"/>
                <w:lang w:val="en-US"/>
              </w:rPr>
              <w:t>B</w:t>
            </w:r>
            <w:r w:rsidRPr="0021277B">
              <w:rPr>
                <w:rFonts w:eastAsia="MS Mincho"/>
                <w:color w:val="000000"/>
                <w:szCs w:val="22"/>
                <w:lang w:val="en-US"/>
              </w:rPr>
              <w:t>ank, Josephine and Unicorn are vital stopping point</w:t>
            </w:r>
            <w:r>
              <w:rPr>
                <w:rFonts w:eastAsia="MS Mincho"/>
                <w:color w:val="000000"/>
                <w:szCs w:val="22"/>
                <w:lang w:val="en-US"/>
              </w:rPr>
              <w:t>s</w:t>
            </w:r>
            <w:r w:rsidRPr="0021277B">
              <w:rPr>
                <w:rFonts w:eastAsia="MS Mincho"/>
                <w:color w:val="000000"/>
                <w:szCs w:val="22"/>
                <w:lang w:val="en-US"/>
              </w:rPr>
              <w:t xml:space="preserve"> for certain migratory species of whales and cetaceans, including sperm whales (e.g., </w:t>
            </w:r>
            <w:r w:rsidRPr="0021277B">
              <w:rPr>
                <w:rFonts w:eastAsia="MS Mincho"/>
                <w:i/>
                <w:color w:val="000000"/>
                <w:szCs w:val="22"/>
                <w:lang w:val="en-US"/>
              </w:rPr>
              <w:t>Physeter microcephalus</w:t>
            </w:r>
            <w:r w:rsidRPr="0021277B">
              <w:rPr>
                <w:rFonts w:eastAsia="MS Mincho"/>
                <w:color w:val="000000"/>
                <w:szCs w:val="22"/>
                <w:lang w:val="en-US"/>
              </w:rPr>
              <w:t>), fin whales (e.g.,</w:t>
            </w:r>
            <w:r w:rsidRPr="0021277B">
              <w:rPr>
                <w:rFonts w:eastAsia="MS Mincho"/>
                <w:i/>
                <w:color w:val="000000"/>
                <w:szCs w:val="22"/>
                <w:lang w:val="en-US"/>
              </w:rPr>
              <w:t xml:space="preserve"> Balaenoptera acutorostrata</w:t>
            </w:r>
            <w:r w:rsidRPr="0021277B">
              <w:rPr>
                <w:rFonts w:eastAsia="MS Mincho"/>
                <w:color w:val="000000"/>
                <w:szCs w:val="22"/>
                <w:lang w:val="en-US"/>
              </w:rPr>
              <w:t xml:space="preserve">), striped (e.g., </w:t>
            </w:r>
            <w:r w:rsidRPr="0021277B">
              <w:rPr>
                <w:rFonts w:eastAsia="MS Mincho"/>
                <w:i/>
                <w:color w:val="000000"/>
                <w:szCs w:val="22"/>
                <w:lang w:val="en-US"/>
              </w:rPr>
              <w:t>Stenella coeruleoalba</w:t>
            </w:r>
            <w:r w:rsidRPr="0021277B">
              <w:rPr>
                <w:rFonts w:eastAsia="MS Mincho"/>
                <w:color w:val="000000"/>
                <w:szCs w:val="22"/>
                <w:lang w:val="en-US"/>
              </w:rPr>
              <w:t xml:space="preserve">) and bottlenose dolphins (e.g., </w:t>
            </w:r>
            <w:r w:rsidRPr="0021277B">
              <w:rPr>
                <w:rFonts w:eastAsia="MS Mincho"/>
                <w:i/>
                <w:color w:val="000000"/>
                <w:szCs w:val="22"/>
                <w:lang w:val="en-US"/>
              </w:rPr>
              <w:t>Tursiops truncates</w:t>
            </w:r>
            <w:r w:rsidRPr="0021277B">
              <w:rPr>
                <w:rFonts w:eastAsia="MS Mincho"/>
                <w:color w:val="000000"/>
                <w:szCs w:val="22"/>
                <w:lang w:val="en-US"/>
              </w:rPr>
              <w:t>) (</w:t>
            </w:r>
            <w:r>
              <w:rPr>
                <w:rFonts w:eastAsia="MS Mincho"/>
                <w:color w:val="000000"/>
                <w:szCs w:val="22"/>
                <w:lang w:val="en-US"/>
              </w:rPr>
              <w:t>e.g.,</w:t>
            </w:r>
            <w:r w:rsidRPr="0021277B">
              <w:rPr>
                <w:rFonts w:eastAsia="MS Mincho"/>
                <w:color w:val="000000"/>
                <w:szCs w:val="22"/>
                <w:lang w:val="en-US"/>
              </w:rPr>
              <w:t xml:space="preserve"> </w:t>
            </w:r>
            <w:r w:rsidRPr="0021277B">
              <w:rPr>
                <w:szCs w:val="22"/>
                <w:lang w:val="en-US"/>
              </w:rPr>
              <w:t xml:space="preserve">Correia </w:t>
            </w:r>
            <w:r w:rsidRPr="0006066A">
              <w:rPr>
                <w:i/>
                <w:iCs/>
                <w:szCs w:val="22"/>
                <w:lang w:val="en-US"/>
              </w:rPr>
              <w:t>et al</w:t>
            </w:r>
            <w:r w:rsidRPr="0021277B">
              <w:rPr>
                <w:szCs w:val="22"/>
                <w:lang w:val="en-US"/>
              </w:rPr>
              <w:t>., 2015; Gil, 2018)</w:t>
            </w:r>
            <w:r w:rsidRPr="0021277B">
              <w:rPr>
                <w:rFonts w:eastAsia="MS Mincho"/>
                <w:color w:val="000000"/>
                <w:szCs w:val="22"/>
                <w:lang w:val="en-US"/>
              </w:rPr>
              <w:t xml:space="preserve">. The Ashton, Gorringe </w:t>
            </w:r>
            <w:r>
              <w:rPr>
                <w:rFonts w:eastAsia="MS Mincho"/>
                <w:color w:val="000000"/>
                <w:szCs w:val="22"/>
                <w:lang w:val="en-US"/>
              </w:rPr>
              <w:t>B</w:t>
            </w:r>
            <w:r w:rsidRPr="0021277B">
              <w:rPr>
                <w:rFonts w:eastAsia="MS Mincho"/>
                <w:color w:val="000000"/>
                <w:szCs w:val="22"/>
                <w:lang w:val="en-US"/>
              </w:rPr>
              <w:t xml:space="preserve">ank, Seine and other seamounts receive many species of seabirds that use these places to </w:t>
            </w:r>
            <w:r>
              <w:rPr>
                <w:rFonts w:eastAsia="MS Mincho"/>
                <w:color w:val="000000"/>
                <w:szCs w:val="22"/>
                <w:lang w:val="en-US"/>
              </w:rPr>
              <w:t>feed</w:t>
            </w:r>
            <w:r w:rsidRPr="0021277B">
              <w:rPr>
                <w:rFonts w:eastAsia="MS Mincho"/>
                <w:color w:val="000000"/>
                <w:szCs w:val="22"/>
                <w:lang w:val="en-US"/>
              </w:rPr>
              <w:t xml:space="preserve"> (e.g., </w:t>
            </w:r>
            <w:r w:rsidRPr="0021277B">
              <w:rPr>
                <w:rFonts w:eastAsia="MS Mincho"/>
                <w:i/>
                <w:color w:val="000000"/>
                <w:szCs w:val="22"/>
                <w:lang w:val="en-US"/>
              </w:rPr>
              <w:t>Calonectris diomedea</w:t>
            </w:r>
            <w:r w:rsidRPr="0021277B">
              <w:rPr>
                <w:rFonts w:eastAsia="MS Mincho"/>
                <w:color w:val="000000"/>
                <w:szCs w:val="22"/>
                <w:lang w:val="en-US"/>
              </w:rPr>
              <w:t xml:space="preserve">, </w:t>
            </w:r>
            <w:r w:rsidRPr="0021277B">
              <w:rPr>
                <w:rFonts w:eastAsia="MS Mincho"/>
                <w:i/>
                <w:color w:val="000000"/>
                <w:szCs w:val="22"/>
                <w:lang w:val="en-US"/>
              </w:rPr>
              <w:t>Oceanodroma castro</w:t>
            </w:r>
            <w:r w:rsidRPr="0021277B">
              <w:rPr>
                <w:rFonts w:eastAsia="MS Mincho"/>
                <w:color w:val="000000"/>
                <w:szCs w:val="22"/>
                <w:lang w:val="en-US"/>
              </w:rPr>
              <w:t xml:space="preserve">, </w:t>
            </w:r>
            <w:r w:rsidRPr="0021277B">
              <w:rPr>
                <w:rFonts w:eastAsia="MS Mincho"/>
                <w:i/>
                <w:color w:val="000000"/>
                <w:szCs w:val="22"/>
                <w:lang w:val="en-US"/>
              </w:rPr>
              <w:t>Puffinus myasthenia</w:t>
            </w:r>
            <w:r w:rsidRPr="0021277B">
              <w:rPr>
                <w:rFonts w:eastAsia="MS Mincho"/>
                <w:color w:val="000000"/>
                <w:szCs w:val="22"/>
                <w:lang w:val="en-US"/>
              </w:rPr>
              <w:t xml:space="preserve">) (Paiva </w:t>
            </w:r>
            <w:r w:rsidRPr="0006066A">
              <w:rPr>
                <w:rFonts w:eastAsia="MS Mincho"/>
                <w:i/>
                <w:iCs/>
                <w:color w:val="000000"/>
                <w:szCs w:val="22"/>
                <w:lang w:val="en-US"/>
              </w:rPr>
              <w:t>et al</w:t>
            </w:r>
            <w:r w:rsidRPr="0021277B">
              <w:rPr>
                <w:rFonts w:eastAsia="MS Mincho"/>
                <w:color w:val="000000"/>
                <w:szCs w:val="22"/>
                <w:lang w:val="en-US"/>
              </w:rPr>
              <w:t>., 2010; Faria, 2014)</w:t>
            </w:r>
          </w:p>
          <w:p w14:paraId="6BADA2AB" w14:textId="77777777" w:rsidR="006B3F46" w:rsidRPr="0021277B" w:rsidRDefault="006B3F46" w:rsidP="006B3F46">
            <w:pPr>
              <w:pStyle w:val="ListParagraph"/>
              <w:widowControl w:val="0"/>
              <w:numPr>
                <w:ilvl w:val="0"/>
                <w:numId w:val="39"/>
              </w:numPr>
              <w:autoSpaceDE w:val="0"/>
              <w:autoSpaceDN w:val="0"/>
              <w:adjustRightInd w:val="0"/>
              <w:ind w:leftChars="0" w:left="319"/>
              <w:rPr>
                <w:rFonts w:eastAsia="MS Mincho"/>
                <w:color w:val="000000"/>
                <w:szCs w:val="22"/>
                <w:lang w:val="en-US"/>
              </w:rPr>
            </w:pPr>
            <w:r>
              <w:rPr>
                <w:rFonts w:eastAsia="MS Mincho"/>
                <w:color w:val="000000"/>
                <w:szCs w:val="22"/>
                <w:lang w:val="en-US"/>
              </w:rPr>
              <w:t>T</w:t>
            </w:r>
            <w:r w:rsidRPr="0021277B">
              <w:rPr>
                <w:rFonts w:eastAsia="MS Mincho"/>
                <w:color w:val="000000"/>
                <w:szCs w:val="22"/>
                <w:lang w:val="en-US"/>
              </w:rPr>
              <w:t xml:space="preserve">his </w:t>
            </w:r>
            <w:r w:rsidRPr="00346AA2">
              <w:rPr>
                <w:rFonts w:eastAsia="MS Mincho"/>
                <w:color w:val="000000"/>
                <w:szCs w:val="22"/>
                <w:lang w:val="en-US"/>
              </w:rPr>
              <w:t xml:space="preserve">seamount </w:t>
            </w:r>
            <w:r w:rsidRPr="0021277B">
              <w:rPr>
                <w:rFonts w:eastAsia="MS Mincho"/>
                <w:color w:val="000000"/>
                <w:szCs w:val="22"/>
                <w:lang w:val="en-US"/>
              </w:rPr>
              <w:t>complex host</w:t>
            </w:r>
            <w:r>
              <w:rPr>
                <w:rFonts w:eastAsia="MS Mincho"/>
                <w:color w:val="000000"/>
                <w:szCs w:val="22"/>
                <w:lang w:val="en-US"/>
              </w:rPr>
              <w:t>s</w:t>
            </w:r>
            <w:r w:rsidRPr="0021277B">
              <w:rPr>
                <w:rFonts w:eastAsia="MS Mincho"/>
                <w:color w:val="000000"/>
                <w:szCs w:val="22"/>
                <w:lang w:val="en-US"/>
              </w:rPr>
              <w:t xml:space="preserve"> aggregations of commercially important fish and shellfish species </w:t>
            </w:r>
            <w:r>
              <w:rPr>
                <w:rFonts w:eastAsia="MS Mincho"/>
                <w:color w:val="000000"/>
                <w:szCs w:val="22"/>
                <w:lang w:val="en-US"/>
              </w:rPr>
              <w:t>that</w:t>
            </w:r>
            <w:r w:rsidRPr="0021277B">
              <w:rPr>
                <w:rFonts w:eastAsia="MS Mincho"/>
                <w:color w:val="000000"/>
                <w:szCs w:val="22"/>
                <w:lang w:val="en-US"/>
              </w:rPr>
              <w:t xml:space="preserve"> use this ecosystem for spawning and as nursery grounds (e.g., toothed rock crab</w:t>
            </w:r>
            <w:r>
              <w:rPr>
                <w:rFonts w:eastAsia="MS Mincho"/>
                <w:color w:val="000000"/>
                <w:szCs w:val="22"/>
                <w:lang w:val="en-US"/>
              </w:rPr>
              <w:t xml:space="preserve"> – </w:t>
            </w:r>
            <w:r w:rsidRPr="0021277B">
              <w:rPr>
                <w:rFonts w:eastAsia="MS Mincho"/>
                <w:i/>
                <w:color w:val="000000"/>
                <w:szCs w:val="22"/>
                <w:lang w:val="en-US"/>
              </w:rPr>
              <w:t>Cancer bellianus</w:t>
            </w:r>
            <w:r w:rsidRPr="0021277B">
              <w:rPr>
                <w:rFonts w:eastAsia="MS Mincho"/>
                <w:color w:val="000000"/>
                <w:szCs w:val="22"/>
                <w:lang w:val="en-US"/>
              </w:rPr>
              <w:t>), devil crab (</w:t>
            </w:r>
            <w:r w:rsidRPr="0021277B">
              <w:rPr>
                <w:rFonts w:eastAsia="MS Mincho"/>
                <w:i/>
                <w:color w:val="000000"/>
                <w:szCs w:val="22"/>
                <w:lang w:val="en-US"/>
              </w:rPr>
              <w:t>Necora puber</w:t>
            </w:r>
            <w:r w:rsidRPr="0021277B">
              <w:rPr>
                <w:rFonts w:eastAsia="MS Mincho"/>
                <w:color w:val="000000"/>
                <w:szCs w:val="22"/>
                <w:lang w:val="en-US"/>
              </w:rPr>
              <w:t>) and slipper lobster (</w:t>
            </w:r>
            <w:r w:rsidRPr="0021277B">
              <w:rPr>
                <w:rFonts w:eastAsia="MS Mincho"/>
                <w:i/>
                <w:color w:val="000000"/>
                <w:szCs w:val="22"/>
                <w:lang w:val="en-US"/>
              </w:rPr>
              <w:t>Scyllarides latus</w:t>
            </w:r>
            <w:r w:rsidRPr="0021277B">
              <w:rPr>
                <w:rFonts w:eastAsia="MS Mincho"/>
                <w:color w:val="000000"/>
                <w:szCs w:val="22"/>
                <w:lang w:val="en-US"/>
              </w:rPr>
              <w:t xml:space="preserve">) in the Gorringe </w:t>
            </w:r>
            <w:r>
              <w:rPr>
                <w:rFonts w:eastAsia="MS Mincho"/>
                <w:color w:val="000000"/>
                <w:szCs w:val="22"/>
                <w:lang w:val="en-US"/>
              </w:rPr>
              <w:t>B</w:t>
            </w:r>
            <w:r w:rsidRPr="0021277B">
              <w:rPr>
                <w:rFonts w:eastAsia="MS Mincho"/>
                <w:color w:val="000000"/>
                <w:szCs w:val="22"/>
                <w:lang w:val="en-US"/>
              </w:rPr>
              <w:t>ank; spider crab (</w:t>
            </w:r>
            <w:r w:rsidRPr="0021277B">
              <w:rPr>
                <w:rFonts w:eastAsia="MS Mincho"/>
                <w:i/>
                <w:color w:val="000000"/>
                <w:szCs w:val="22"/>
                <w:lang w:val="en-US"/>
              </w:rPr>
              <w:t>Maja brachydactyla</w:t>
            </w:r>
            <w:r w:rsidRPr="0021277B">
              <w:rPr>
                <w:rFonts w:eastAsia="MS Mincho"/>
                <w:color w:val="000000"/>
                <w:szCs w:val="22"/>
                <w:lang w:val="en-US"/>
              </w:rPr>
              <w:t xml:space="preserve">) in Ampere and Gorringe </w:t>
            </w:r>
            <w:r>
              <w:rPr>
                <w:rFonts w:eastAsia="MS Mincho"/>
                <w:color w:val="000000"/>
                <w:szCs w:val="22"/>
                <w:lang w:val="en-US"/>
              </w:rPr>
              <w:t>B</w:t>
            </w:r>
            <w:r w:rsidRPr="0021277B">
              <w:rPr>
                <w:rFonts w:eastAsia="MS Mincho"/>
                <w:color w:val="000000"/>
                <w:szCs w:val="22"/>
                <w:lang w:val="en-US"/>
              </w:rPr>
              <w:t xml:space="preserve">ank. </w:t>
            </w:r>
          </w:p>
          <w:p w14:paraId="7F466903" w14:textId="77777777" w:rsidR="006B3F46" w:rsidRDefault="006B3F46" w:rsidP="006B3F46">
            <w:pPr>
              <w:pStyle w:val="ListParagraph"/>
              <w:widowControl w:val="0"/>
              <w:numPr>
                <w:ilvl w:val="0"/>
                <w:numId w:val="39"/>
              </w:numPr>
              <w:autoSpaceDE w:val="0"/>
              <w:autoSpaceDN w:val="0"/>
              <w:adjustRightInd w:val="0"/>
              <w:ind w:leftChars="0" w:left="319"/>
              <w:rPr>
                <w:rFonts w:eastAsia="MS Mincho"/>
                <w:color w:val="000000"/>
                <w:szCs w:val="22"/>
                <w:lang w:val="en-US"/>
              </w:rPr>
            </w:pPr>
            <w:r w:rsidRPr="0021277B">
              <w:rPr>
                <w:rFonts w:eastAsia="MS Mincho"/>
                <w:color w:val="000000"/>
                <w:szCs w:val="22"/>
                <w:lang w:val="en-US"/>
              </w:rPr>
              <w:t xml:space="preserve">All of the 17 seamounts are </w:t>
            </w:r>
            <w:r>
              <w:rPr>
                <w:rFonts w:eastAsia="MS Mincho"/>
                <w:color w:val="000000"/>
                <w:szCs w:val="22"/>
                <w:lang w:val="en-US"/>
              </w:rPr>
              <w:t xml:space="preserve">home to </w:t>
            </w:r>
            <w:r w:rsidRPr="0021277B">
              <w:rPr>
                <w:rFonts w:eastAsia="MS Mincho"/>
                <w:color w:val="000000"/>
                <w:szCs w:val="22"/>
                <w:lang w:val="en-US"/>
              </w:rPr>
              <w:t xml:space="preserve">coral gardens (e.g., </w:t>
            </w:r>
            <w:r w:rsidRPr="0021277B">
              <w:rPr>
                <w:rFonts w:eastAsia="MS Mincho"/>
                <w:i/>
                <w:color w:val="000000"/>
                <w:szCs w:val="22"/>
                <w:lang w:val="en-US"/>
              </w:rPr>
              <w:t>Antipathella</w:t>
            </w:r>
            <w:r w:rsidRPr="0021277B">
              <w:rPr>
                <w:i/>
                <w:szCs w:val="22"/>
              </w:rPr>
              <w:t xml:space="preserve"> </w:t>
            </w:r>
            <w:r w:rsidRPr="0021277B">
              <w:rPr>
                <w:rFonts w:eastAsia="MS Mincho"/>
                <w:i/>
                <w:color w:val="000000"/>
                <w:szCs w:val="22"/>
                <w:lang w:val="en-US"/>
              </w:rPr>
              <w:t>wollastoni</w:t>
            </w:r>
            <w:r w:rsidRPr="0021277B">
              <w:rPr>
                <w:rFonts w:eastAsia="MS Mincho"/>
                <w:color w:val="000000"/>
                <w:szCs w:val="22"/>
                <w:lang w:val="en-US"/>
              </w:rPr>
              <w:t xml:space="preserve">, </w:t>
            </w:r>
            <w:r w:rsidRPr="0021277B">
              <w:rPr>
                <w:rFonts w:eastAsia="MS Mincho"/>
                <w:i/>
                <w:color w:val="000000"/>
                <w:szCs w:val="22"/>
                <w:lang w:val="en-US"/>
              </w:rPr>
              <w:t>A. sibpinnata. Antipathes furcata, Stichopathes gracilis, Leiopathes spp.</w:t>
            </w:r>
            <w:r w:rsidRPr="0021277B">
              <w:rPr>
                <w:rFonts w:eastAsia="MS Mincho"/>
                <w:color w:val="000000"/>
                <w:szCs w:val="22"/>
                <w:lang w:val="en-US"/>
              </w:rPr>
              <w:t xml:space="preserve">), molluscs (e.g., </w:t>
            </w:r>
            <w:r w:rsidRPr="0021277B">
              <w:rPr>
                <w:rFonts w:eastAsia="MS Mincho"/>
                <w:i/>
                <w:color w:val="000000"/>
                <w:szCs w:val="22"/>
                <w:lang w:val="en-US"/>
              </w:rPr>
              <w:t>Calliostoma leptophyma</w:t>
            </w:r>
            <w:r w:rsidRPr="0021277B">
              <w:rPr>
                <w:rFonts w:eastAsia="MS Mincho"/>
                <w:color w:val="000000"/>
                <w:szCs w:val="22"/>
                <w:lang w:val="en-US"/>
              </w:rPr>
              <w:t xml:space="preserve">, </w:t>
            </w:r>
            <w:r w:rsidRPr="0021277B">
              <w:rPr>
                <w:rFonts w:eastAsia="MS Mincho"/>
                <w:i/>
                <w:color w:val="000000"/>
                <w:szCs w:val="22"/>
                <w:lang w:val="en-US"/>
              </w:rPr>
              <w:t>Charonia lampas</w:t>
            </w:r>
            <w:r w:rsidRPr="0021277B">
              <w:rPr>
                <w:rFonts w:eastAsia="MS Mincho"/>
                <w:color w:val="000000"/>
                <w:szCs w:val="22"/>
                <w:lang w:val="en-US"/>
              </w:rPr>
              <w:t>) and fish species (</w:t>
            </w:r>
            <w:r w:rsidRPr="0021277B">
              <w:rPr>
                <w:rFonts w:eastAsia="MS Mincho"/>
                <w:i/>
                <w:color w:val="000000"/>
                <w:szCs w:val="22"/>
                <w:lang w:val="en-US"/>
              </w:rPr>
              <w:t>Aphanopus carbo</w:t>
            </w:r>
            <w:r w:rsidRPr="0021277B">
              <w:rPr>
                <w:rFonts w:eastAsia="MS Mincho"/>
                <w:color w:val="000000"/>
                <w:szCs w:val="22"/>
                <w:lang w:val="en-US"/>
              </w:rPr>
              <w:t>,</w:t>
            </w:r>
            <w:r w:rsidRPr="0021277B">
              <w:rPr>
                <w:szCs w:val="22"/>
              </w:rPr>
              <w:t xml:space="preserve"> </w:t>
            </w:r>
            <w:r w:rsidRPr="0021277B">
              <w:rPr>
                <w:rFonts w:eastAsia="MS Mincho"/>
                <w:i/>
                <w:color w:val="000000"/>
                <w:szCs w:val="22"/>
                <w:lang w:val="en-US"/>
              </w:rPr>
              <w:t>Beryx decadactylus</w:t>
            </w:r>
            <w:r w:rsidRPr="0021277B">
              <w:rPr>
                <w:rFonts w:eastAsia="MS Mincho"/>
                <w:color w:val="000000"/>
                <w:szCs w:val="22"/>
                <w:lang w:val="en-US"/>
              </w:rPr>
              <w:t>) (</w:t>
            </w:r>
            <w:r w:rsidRPr="0021277B">
              <w:rPr>
                <w:szCs w:val="22"/>
              </w:rPr>
              <w:t>Christiansen, 2010</w:t>
            </w:r>
            <w:r w:rsidRPr="0021277B">
              <w:rPr>
                <w:rFonts w:eastAsia="MS Mincho"/>
                <w:color w:val="000000"/>
                <w:szCs w:val="22"/>
                <w:lang w:val="en-US"/>
              </w:rPr>
              <w:t>).</w:t>
            </w:r>
          </w:p>
          <w:p w14:paraId="4B3791B3" w14:textId="77777777" w:rsidR="006B3F46" w:rsidRPr="0021277B" w:rsidRDefault="006B3F46" w:rsidP="00907941">
            <w:pPr>
              <w:pStyle w:val="ListParagraph"/>
              <w:widowControl w:val="0"/>
              <w:autoSpaceDE w:val="0"/>
              <w:autoSpaceDN w:val="0"/>
              <w:adjustRightInd w:val="0"/>
              <w:ind w:left="960"/>
              <w:rPr>
                <w:rFonts w:eastAsia="MS Mincho"/>
                <w:color w:val="000000"/>
                <w:szCs w:val="22"/>
                <w:lang w:val="en-US"/>
              </w:rPr>
            </w:pPr>
          </w:p>
        </w:tc>
      </w:tr>
      <w:tr w:rsidR="006B3F46" w:rsidRPr="0021277B" w14:paraId="16B4824F" w14:textId="77777777" w:rsidTr="00907941">
        <w:tc>
          <w:tcPr>
            <w:tcW w:w="783" w:type="pct"/>
            <w:shd w:val="clear" w:color="auto" w:fill="auto"/>
          </w:tcPr>
          <w:p w14:paraId="1EADF841" w14:textId="77777777" w:rsidR="006B3F46" w:rsidRPr="0021277B" w:rsidRDefault="006B3F46" w:rsidP="002E4B39">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80" w:type="pct"/>
            <w:shd w:val="clear" w:color="auto" w:fill="auto"/>
          </w:tcPr>
          <w:p w14:paraId="1319A51E"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59E018A8"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051EDE0B"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0C390CE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03B01F7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21277B" w14:paraId="6255A6B5" w14:textId="77777777" w:rsidTr="00907941">
        <w:tc>
          <w:tcPr>
            <w:tcW w:w="5000" w:type="pct"/>
            <w:gridSpan w:val="11"/>
            <w:shd w:val="clear" w:color="auto" w:fill="auto"/>
          </w:tcPr>
          <w:p w14:paraId="25F7D543" w14:textId="77777777" w:rsidR="006B3F46" w:rsidRPr="0021277B" w:rsidRDefault="006B3F46" w:rsidP="00907941">
            <w:pPr>
              <w:widowControl w:val="0"/>
              <w:autoSpaceDE w:val="0"/>
              <w:autoSpaceDN w:val="0"/>
              <w:adjustRightInd w:val="0"/>
              <w:rPr>
                <w:rFonts w:eastAsia="MS Mincho"/>
                <w:i/>
                <w:iCs/>
                <w:color w:val="000000"/>
                <w:sz w:val="22"/>
                <w:szCs w:val="22"/>
                <w:lang w:val="en-US"/>
              </w:rPr>
            </w:pPr>
            <w:r w:rsidRPr="0021277B">
              <w:rPr>
                <w:rFonts w:eastAsia="MS Mincho"/>
                <w:i/>
                <w:iCs/>
                <w:color w:val="000000"/>
                <w:sz w:val="22"/>
                <w:szCs w:val="22"/>
                <w:lang w:val="en-US"/>
              </w:rPr>
              <w:t>Explanation for ranking</w:t>
            </w:r>
          </w:p>
          <w:p w14:paraId="2FBD2689" w14:textId="77777777" w:rsidR="006B3F46" w:rsidRPr="0021277B" w:rsidRDefault="006B3F46" w:rsidP="006B3F46">
            <w:pPr>
              <w:pStyle w:val="ListParagraph"/>
              <w:numPr>
                <w:ilvl w:val="0"/>
                <w:numId w:val="40"/>
              </w:numPr>
              <w:ind w:leftChars="0" w:left="319"/>
              <w:rPr>
                <w:rFonts w:eastAsia="MS Mincho"/>
                <w:szCs w:val="22"/>
                <w:lang w:val="en-US"/>
              </w:rPr>
            </w:pPr>
            <w:r w:rsidRPr="0021277B">
              <w:rPr>
                <w:rFonts w:eastAsia="MS Mincho"/>
                <w:szCs w:val="22"/>
                <w:lang w:val="en-US"/>
              </w:rPr>
              <w:t>Around of 7</w:t>
            </w:r>
            <w:r>
              <w:rPr>
                <w:rFonts w:eastAsia="MS Mincho"/>
                <w:szCs w:val="22"/>
                <w:lang w:val="en-US"/>
              </w:rPr>
              <w:t xml:space="preserve"> per cent</w:t>
            </w:r>
            <w:r w:rsidRPr="0021277B">
              <w:rPr>
                <w:rFonts w:eastAsia="MS Mincho"/>
                <w:szCs w:val="22"/>
                <w:lang w:val="en-US"/>
              </w:rPr>
              <w:t xml:space="preserve"> of the 965 species identified in all seamounts </w:t>
            </w:r>
            <w:r>
              <w:rPr>
                <w:rFonts w:eastAsia="MS Mincho"/>
                <w:szCs w:val="22"/>
                <w:lang w:val="en-US"/>
              </w:rPr>
              <w:t xml:space="preserve">in </w:t>
            </w:r>
            <w:r w:rsidRPr="0021277B">
              <w:rPr>
                <w:rFonts w:eastAsia="MS Mincho"/>
                <w:szCs w:val="22"/>
                <w:lang w:val="en-US"/>
              </w:rPr>
              <w:t xml:space="preserve">this </w:t>
            </w:r>
            <w:r>
              <w:rPr>
                <w:rFonts w:eastAsia="MS Mincho"/>
                <w:szCs w:val="22"/>
                <w:lang w:val="en-US"/>
              </w:rPr>
              <w:t>area</w:t>
            </w:r>
            <w:r w:rsidRPr="0021277B">
              <w:rPr>
                <w:rFonts w:eastAsia="MS Mincho"/>
                <w:szCs w:val="22"/>
                <w:lang w:val="en-US"/>
              </w:rPr>
              <w:t xml:space="preserve"> are </w:t>
            </w:r>
            <w:r>
              <w:rPr>
                <w:rFonts w:eastAsia="MS Mincho"/>
                <w:szCs w:val="22"/>
                <w:lang w:val="en-US"/>
              </w:rPr>
              <w:t>legally protected or recognized as</w:t>
            </w:r>
            <w:r w:rsidRPr="0021277B">
              <w:rPr>
                <w:rFonts w:eastAsia="MS Mincho"/>
                <w:szCs w:val="22"/>
                <w:lang w:val="en-US"/>
              </w:rPr>
              <w:t xml:space="preserve"> threatened </w:t>
            </w:r>
            <w:r>
              <w:rPr>
                <w:rFonts w:eastAsia="MS Mincho"/>
                <w:szCs w:val="22"/>
                <w:lang w:val="en-US"/>
              </w:rPr>
              <w:t>by</w:t>
            </w:r>
            <w:r w:rsidRPr="0021277B">
              <w:rPr>
                <w:rFonts w:eastAsia="MS Mincho"/>
                <w:szCs w:val="22"/>
                <w:lang w:val="en-US"/>
              </w:rPr>
              <w:t xml:space="preserve"> CITES, IUCN Red List, European Union Habitats and Birds Directives, Bern Convention and OSPAR Convention. For example</w:t>
            </w:r>
            <w:r>
              <w:rPr>
                <w:rFonts w:eastAsia="MS Mincho"/>
                <w:szCs w:val="22"/>
                <w:lang w:val="en-US"/>
              </w:rPr>
              <w:t>,</w:t>
            </w:r>
            <w:r w:rsidRPr="0021277B">
              <w:rPr>
                <w:rFonts w:eastAsia="MS Mincho"/>
                <w:szCs w:val="22"/>
                <w:lang w:val="en-US"/>
              </w:rPr>
              <w:t xml:space="preserve"> OSPAR identified as endangered or declining the reptiles </w:t>
            </w:r>
            <w:r w:rsidRPr="0021277B">
              <w:rPr>
                <w:i/>
                <w:szCs w:val="22"/>
                <w:lang w:val="en-US"/>
              </w:rPr>
              <w:t>Dermochelys coriacea</w:t>
            </w:r>
            <w:r w:rsidRPr="0021277B">
              <w:rPr>
                <w:rFonts w:eastAsia="MS Mincho"/>
                <w:szCs w:val="22"/>
                <w:lang w:val="en-US"/>
              </w:rPr>
              <w:t xml:space="preserve"> and </w:t>
            </w:r>
            <w:r w:rsidRPr="0021277B">
              <w:rPr>
                <w:i/>
                <w:szCs w:val="22"/>
                <w:lang w:val="en-US"/>
              </w:rPr>
              <w:t>Caretta caretta</w:t>
            </w:r>
            <w:r w:rsidRPr="0021277B">
              <w:rPr>
                <w:rFonts w:eastAsia="MS Mincho"/>
                <w:szCs w:val="22"/>
                <w:lang w:val="en-US"/>
              </w:rPr>
              <w:t xml:space="preserve"> (turtles), the cetaceans </w:t>
            </w:r>
            <w:r w:rsidRPr="0021277B">
              <w:rPr>
                <w:rFonts w:eastAsia="MS Mincho"/>
                <w:i/>
                <w:szCs w:val="22"/>
                <w:lang w:val="en-US"/>
              </w:rPr>
              <w:t>Balaenoptera musculus</w:t>
            </w:r>
            <w:r w:rsidRPr="0021277B">
              <w:rPr>
                <w:rFonts w:eastAsia="MS Mincho"/>
                <w:szCs w:val="22"/>
                <w:lang w:val="en-US"/>
              </w:rPr>
              <w:t xml:space="preserve">, </w:t>
            </w:r>
            <w:r w:rsidRPr="0021277B">
              <w:rPr>
                <w:rFonts w:eastAsia="MS Mincho"/>
                <w:i/>
                <w:szCs w:val="22"/>
                <w:lang w:val="en-US"/>
              </w:rPr>
              <w:t>Delphinus delphis</w:t>
            </w:r>
            <w:r w:rsidRPr="0021277B">
              <w:rPr>
                <w:rFonts w:eastAsia="MS Mincho"/>
                <w:szCs w:val="22"/>
                <w:lang w:val="en-US"/>
              </w:rPr>
              <w:t xml:space="preserve">, </w:t>
            </w:r>
            <w:r w:rsidRPr="0021277B">
              <w:rPr>
                <w:rFonts w:eastAsia="MS Mincho"/>
                <w:i/>
                <w:szCs w:val="22"/>
                <w:lang w:val="en-US"/>
              </w:rPr>
              <w:t>Tursiopsis truncatus</w:t>
            </w:r>
            <w:r w:rsidRPr="0021277B">
              <w:rPr>
                <w:rFonts w:eastAsia="MS Mincho"/>
                <w:szCs w:val="22"/>
                <w:lang w:val="en-US"/>
              </w:rPr>
              <w:t xml:space="preserve">,  the deep water sharks, </w:t>
            </w:r>
            <w:r w:rsidRPr="0021277B">
              <w:rPr>
                <w:rFonts w:eastAsia="MS Mincho"/>
                <w:i/>
                <w:szCs w:val="22"/>
                <w:lang w:val="en-US"/>
              </w:rPr>
              <w:t>Centroscymus coeleopsis</w:t>
            </w:r>
            <w:r w:rsidRPr="0021277B">
              <w:rPr>
                <w:rFonts w:eastAsia="MS Mincho"/>
                <w:szCs w:val="22"/>
                <w:lang w:val="en-US"/>
              </w:rPr>
              <w:t xml:space="preserve">, </w:t>
            </w:r>
            <w:r w:rsidRPr="0021277B">
              <w:rPr>
                <w:rFonts w:eastAsia="MS Mincho"/>
                <w:i/>
                <w:szCs w:val="22"/>
                <w:lang w:val="en-US"/>
              </w:rPr>
              <w:t>Centrophorus granulosus</w:t>
            </w:r>
            <w:r w:rsidRPr="0021277B">
              <w:rPr>
                <w:rFonts w:eastAsia="MS Mincho"/>
                <w:szCs w:val="22"/>
                <w:lang w:val="en-US"/>
              </w:rPr>
              <w:t xml:space="preserve">, </w:t>
            </w:r>
            <w:r w:rsidRPr="0021277B">
              <w:rPr>
                <w:rFonts w:eastAsia="MS Mincho"/>
                <w:i/>
                <w:szCs w:val="22"/>
                <w:lang w:val="en-US"/>
              </w:rPr>
              <w:t>Centrophorus niaukang</w:t>
            </w:r>
            <w:r w:rsidRPr="0021277B">
              <w:rPr>
                <w:rFonts w:eastAsia="MS Mincho"/>
                <w:szCs w:val="22"/>
                <w:lang w:val="en-US"/>
              </w:rPr>
              <w:t xml:space="preserve">, </w:t>
            </w:r>
            <w:r w:rsidRPr="0021277B">
              <w:rPr>
                <w:rFonts w:eastAsia="MS Mincho"/>
                <w:i/>
                <w:szCs w:val="22"/>
                <w:lang w:val="en-US"/>
              </w:rPr>
              <w:t>Centrophorus squamosus</w:t>
            </w:r>
            <w:r w:rsidRPr="0021277B">
              <w:rPr>
                <w:rFonts w:eastAsia="MS Mincho"/>
                <w:szCs w:val="22"/>
                <w:lang w:val="en-US"/>
              </w:rPr>
              <w:t xml:space="preserve">, </w:t>
            </w:r>
            <w:r w:rsidRPr="0021277B">
              <w:rPr>
                <w:rFonts w:eastAsia="MS Mincho"/>
                <w:i/>
                <w:szCs w:val="22"/>
                <w:lang w:val="en-US"/>
              </w:rPr>
              <w:t>Rostroraja alba</w:t>
            </w:r>
            <w:r w:rsidRPr="0021277B">
              <w:rPr>
                <w:rFonts w:eastAsia="MS Mincho"/>
                <w:szCs w:val="22"/>
                <w:lang w:val="en-US"/>
              </w:rPr>
              <w:t xml:space="preserve">, </w:t>
            </w:r>
            <w:r w:rsidRPr="0021277B">
              <w:rPr>
                <w:rFonts w:eastAsia="MS Mincho"/>
                <w:i/>
                <w:szCs w:val="22"/>
                <w:lang w:val="en-US"/>
              </w:rPr>
              <w:t>Lamna nasus</w:t>
            </w:r>
            <w:r w:rsidRPr="0021277B">
              <w:rPr>
                <w:rFonts w:eastAsia="MS Mincho"/>
                <w:szCs w:val="22"/>
                <w:lang w:val="en-US"/>
              </w:rPr>
              <w:t xml:space="preserve"> and the seabirds </w:t>
            </w:r>
            <w:r w:rsidRPr="0021277B">
              <w:rPr>
                <w:rFonts w:eastAsia="MS Mincho"/>
                <w:i/>
                <w:szCs w:val="22"/>
                <w:lang w:val="en-US"/>
              </w:rPr>
              <w:t>Calonectris diomedea</w:t>
            </w:r>
            <w:r w:rsidRPr="0021277B">
              <w:rPr>
                <w:rFonts w:eastAsia="MS Mincho"/>
                <w:szCs w:val="22"/>
                <w:lang w:val="en-US"/>
              </w:rPr>
              <w:t xml:space="preserve">, </w:t>
            </w:r>
            <w:r w:rsidRPr="0021277B">
              <w:rPr>
                <w:rFonts w:eastAsia="MS Mincho"/>
                <w:i/>
                <w:szCs w:val="22"/>
                <w:lang w:val="en-US"/>
              </w:rPr>
              <w:t>Puffinus myasthenia</w:t>
            </w:r>
            <w:r w:rsidRPr="0021277B">
              <w:rPr>
                <w:rFonts w:eastAsia="MS Mincho"/>
                <w:szCs w:val="22"/>
                <w:lang w:val="en-US"/>
              </w:rPr>
              <w:t xml:space="preserve">, </w:t>
            </w:r>
            <w:r w:rsidRPr="0021277B">
              <w:rPr>
                <w:rFonts w:eastAsia="MS Mincho"/>
                <w:i/>
                <w:szCs w:val="22"/>
                <w:lang w:val="en-US"/>
              </w:rPr>
              <w:t>Puffinus griseus, Puffinus puffinus</w:t>
            </w:r>
            <w:r w:rsidRPr="0021277B">
              <w:rPr>
                <w:rFonts w:eastAsia="MS Mincho"/>
                <w:szCs w:val="22"/>
                <w:lang w:val="en-US"/>
              </w:rPr>
              <w:t xml:space="preserve">, </w:t>
            </w:r>
            <w:r w:rsidRPr="0021277B">
              <w:rPr>
                <w:rFonts w:eastAsia="MS Mincho"/>
                <w:i/>
                <w:szCs w:val="22"/>
                <w:lang w:val="en-US"/>
              </w:rPr>
              <w:t>Puffinus mauretanicus</w:t>
            </w:r>
            <w:r w:rsidRPr="0021277B">
              <w:rPr>
                <w:rFonts w:eastAsia="MS Mincho"/>
                <w:szCs w:val="22"/>
                <w:lang w:val="en-US"/>
              </w:rPr>
              <w:t xml:space="preserve">, </w:t>
            </w:r>
            <w:r w:rsidRPr="0021277B">
              <w:rPr>
                <w:rFonts w:eastAsia="MS Mincho"/>
                <w:i/>
                <w:szCs w:val="22"/>
                <w:lang w:val="en-US"/>
              </w:rPr>
              <w:t>Hydrobates pelagicus</w:t>
            </w:r>
            <w:r w:rsidRPr="0021277B">
              <w:rPr>
                <w:rFonts w:eastAsia="MS Mincho"/>
                <w:szCs w:val="22"/>
                <w:lang w:val="en-US"/>
              </w:rPr>
              <w:t xml:space="preserve">, </w:t>
            </w:r>
            <w:r w:rsidRPr="0021277B">
              <w:rPr>
                <w:rFonts w:eastAsia="MS Mincho"/>
                <w:i/>
                <w:szCs w:val="22"/>
                <w:lang w:val="en-US"/>
              </w:rPr>
              <w:t>Oceanodroma castro, Oceanodroma leucorhoa</w:t>
            </w:r>
            <w:r w:rsidRPr="0021277B">
              <w:rPr>
                <w:rFonts w:eastAsia="MS Mincho"/>
                <w:szCs w:val="22"/>
                <w:lang w:val="en-US"/>
              </w:rPr>
              <w:t xml:space="preserve">, </w:t>
            </w:r>
            <w:r w:rsidRPr="0021277B">
              <w:rPr>
                <w:rFonts w:eastAsia="MS Mincho"/>
                <w:i/>
                <w:szCs w:val="22"/>
                <w:lang w:val="en-US"/>
              </w:rPr>
              <w:t>Stercorarius parasiticus</w:t>
            </w:r>
            <w:r w:rsidRPr="0021277B">
              <w:rPr>
                <w:rFonts w:eastAsia="MS Mincho"/>
                <w:szCs w:val="22"/>
                <w:lang w:val="en-US"/>
              </w:rPr>
              <w:t xml:space="preserve">, </w:t>
            </w:r>
            <w:r w:rsidRPr="0021277B">
              <w:rPr>
                <w:rFonts w:eastAsia="MS Mincho"/>
                <w:i/>
                <w:szCs w:val="22"/>
                <w:lang w:val="en-US"/>
              </w:rPr>
              <w:t>Stercorarius skua</w:t>
            </w:r>
            <w:r w:rsidRPr="0021277B">
              <w:rPr>
                <w:rFonts w:eastAsia="MS Mincho"/>
                <w:szCs w:val="22"/>
                <w:lang w:val="en-US"/>
              </w:rPr>
              <w:t xml:space="preserve">, </w:t>
            </w:r>
            <w:r w:rsidRPr="0021277B">
              <w:rPr>
                <w:rFonts w:eastAsia="MS Mincho"/>
                <w:i/>
                <w:szCs w:val="22"/>
                <w:lang w:val="en-US"/>
              </w:rPr>
              <w:t>Uria aalge</w:t>
            </w:r>
            <w:r w:rsidRPr="0021277B">
              <w:rPr>
                <w:rFonts w:eastAsia="MS Mincho"/>
                <w:szCs w:val="22"/>
                <w:lang w:val="en-US"/>
              </w:rPr>
              <w:t xml:space="preserve"> and </w:t>
            </w:r>
            <w:r w:rsidRPr="0021277B">
              <w:rPr>
                <w:rFonts w:eastAsia="MS Mincho"/>
                <w:i/>
                <w:szCs w:val="22"/>
                <w:lang w:val="en-US"/>
              </w:rPr>
              <w:t>Phalaropus fulicarius</w:t>
            </w:r>
            <w:r w:rsidRPr="0021277B">
              <w:rPr>
                <w:rFonts w:eastAsia="MS Mincho"/>
                <w:szCs w:val="22"/>
                <w:lang w:val="en-US"/>
              </w:rPr>
              <w:t xml:space="preserve">. Other examples of species with legal protection (CITES Appendix II) are cold-water habitat-forming corals </w:t>
            </w:r>
            <w:r w:rsidRPr="0021277B">
              <w:rPr>
                <w:rFonts w:eastAsia="MS Mincho"/>
                <w:i/>
                <w:szCs w:val="22"/>
                <w:lang w:val="en-US"/>
              </w:rPr>
              <w:t>Antipathes dichotoma</w:t>
            </w:r>
            <w:r w:rsidRPr="0021277B">
              <w:rPr>
                <w:rFonts w:eastAsia="MS Mincho"/>
                <w:szCs w:val="22"/>
                <w:lang w:val="en-US"/>
              </w:rPr>
              <w:t xml:space="preserve">, </w:t>
            </w:r>
            <w:r w:rsidRPr="0021277B">
              <w:rPr>
                <w:rFonts w:eastAsia="MS Mincho"/>
                <w:i/>
                <w:szCs w:val="22"/>
                <w:lang w:val="en-US"/>
              </w:rPr>
              <w:t>Antipathes furcata, Stichopathes gracilis, Leiopathes spp.</w:t>
            </w:r>
            <w:r w:rsidRPr="0021277B">
              <w:rPr>
                <w:rFonts w:eastAsia="MS Mincho"/>
                <w:szCs w:val="22"/>
                <w:lang w:val="en-US"/>
              </w:rPr>
              <w:t xml:space="preserve"> (Antipatharia), </w:t>
            </w:r>
            <w:r w:rsidRPr="0021277B">
              <w:rPr>
                <w:rFonts w:eastAsia="MS Mincho"/>
                <w:i/>
                <w:szCs w:val="22"/>
                <w:lang w:val="en-US"/>
              </w:rPr>
              <w:t>Pennatula phosphorea</w:t>
            </w:r>
            <w:r w:rsidRPr="0021277B">
              <w:rPr>
                <w:rFonts w:eastAsia="MS Mincho"/>
                <w:szCs w:val="22"/>
                <w:lang w:val="en-US"/>
              </w:rPr>
              <w:t>,</w:t>
            </w:r>
            <w:r w:rsidRPr="0021277B">
              <w:rPr>
                <w:szCs w:val="22"/>
              </w:rPr>
              <w:t xml:space="preserve"> </w:t>
            </w:r>
            <w:r w:rsidRPr="0021277B">
              <w:rPr>
                <w:rFonts w:eastAsia="MS Mincho"/>
                <w:i/>
                <w:szCs w:val="22"/>
                <w:lang w:val="en-US"/>
              </w:rPr>
              <w:t>Pteroeides griseum</w:t>
            </w:r>
            <w:r w:rsidRPr="0021277B">
              <w:rPr>
                <w:rFonts w:eastAsia="MS Mincho"/>
                <w:szCs w:val="22"/>
                <w:lang w:val="en-US"/>
              </w:rPr>
              <w:t xml:space="preserve">, </w:t>
            </w:r>
            <w:r w:rsidRPr="0021277B">
              <w:rPr>
                <w:rFonts w:eastAsia="MS Mincho"/>
                <w:i/>
                <w:szCs w:val="22"/>
                <w:lang w:val="en-US"/>
              </w:rPr>
              <w:t xml:space="preserve">Funiculina quadrangularis </w:t>
            </w:r>
            <w:r w:rsidRPr="0021277B">
              <w:rPr>
                <w:rFonts w:eastAsia="MS Mincho"/>
                <w:szCs w:val="22"/>
                <w:lang w:val="en-US"/>
              </w:rPr>
              <w:t xml:space="preserve">(Pennatulacae), </w:t>
            </w:r>
            <w:r w:rsidRPr="0021277B">
              <w:rPr>
                <w:rFonts w:eastAsia="MS Mincho"/>
                <w:i/>
                <w:szCs w:val="22"/>
                <w:lang w:val="en-US"/>
              </w:rPr>
              <w:t>Lophelia pertusa</w:t>
            </w:r>
            <w:r w:rsidRPr="0021277B">
              <w:rPr>
                <w:rFonts w:eastAsia="MS Mincho"/>
                <w:szCs w:val="22"/>
                <w:lang w:val="en-US"/>
              </w:rPr>
              <w:t xml:space="preserve">, </w:t>
            </w:r>
            <w:r w:rsidRPr="0021277B">
              <w:rPr>
                <w:rFonts w:eastAsia="MS Mincho"/>
                <w:i/>
                <w:szCs w:val="22"/>
                <w:lang w:val="en-US"/>
              </w:rPr>
              <w:t>Caryophyllia smithii</w:t>
            </w:r>
            <w:r w:rsidRPr="0021277B">
              <w:rPr>
                <w:rFonts w:eastAsia="MS Mincho"/>
                <w:szCs w:val="22"/>
                <w:lang w:val="en-US"/>
              </w:rPr>
              <w:t xml:space="preserve">, </w:t>
            </w:r>
            <w:r w:rsidRPr="0021277B">
              <w:rPr>
                <w:rFonts w:eastAsia="MS Mincho"/>
                <w:i/>
                <w:szCs w:val="22"/>
                <w:lang w:val="en-US"/>
              </w:rPr>
              <w:t>Caryophyllia abyssorum</w:t>
            </w:r>
            <w:r w:rsidRPr="0021277B">
              <w:rPr>
                <w:rFonts w:eastAsia="MS Mincho"/>
                <w:szCs w:val="22"/>
                <w:lang w:val="en-US"/>
              </w:rPr>
              <w:t xml:space="preserve">, </w:t>
            </w:r>
            <w:r w:rsidRPr="0021277B">
              <w:rPr>
                <w:rFonts w:eastAsia="MS Mincho"/>
                <w:i/>
                <w:szCs w:val="22"/>
                <w:lang w:val="en-US"/>
              </w:rPr>
              <w:t>Caryophyllia cyathus</w:t>
            </w:r>
            <w:r w:rsidRPr="0021277B">
              <w:rPr>
                <w:rFonts w:eastAsia="MS Mincho"/>
                <w:szCs w:val="22"/>
                <w:lang w:val="en-US"/>
              </w:rPr>
              <w:t xml:space="preserve">, </w:t>
            </w:r>
            <w:r w:rsidRPr="0021277B">
              <w:rPr>
                <w:rFonts w:eastAsia="MS Mincho"/>
                <w:i/>
                <w:szCs w:val="22"/>
                <w:lang w:val="en-US"/>
              </w:rPr>
              <w:t>Caryophyllia sarsiae</w:t>
            </w:r>
            <w:r w:rsidRPr="0021277B">
              <w:rPr>
                <w:rFonts w:eastAsia="MS Mincho"/>
                <w:szCs w:val="22"/>
                <w:lang w:val="en-US"/>
              </w:rPr>
              <w:t xml:space="preserve">, </w:t>
            </w:r>
            <w:r w:rsidRPr="0021277B">
              <w:rPr>
                <w:rFonts w:eastAsia="MS Mincho"/>
                <w:i/>
                <w:szCs w:val="22"/>
                <w:lang w:val="en-US"/>
              </w:rPr>
              <w:t>Coenosmilia fecunda</w:t>
            </w:r>
            <w:r w:rsidRPr="0021277B">
              <w:rPr>
                <w:rFonts w:eastAsia="MS Mincho"/>
                <w:szCs w:val="22"/>
                <w:lang w:val="en-US"/>
              </w:rPr>
              <w:t xml:space="preserve">, </w:t>
            </w:r>
            <w:r w:rsidRPr="0021277B">
              <w:rPr>
                <w:rFonts w:eastAsia="MS Mincho"/>
                <w:i/>
                <w:szCs w:val="22"/>
                <w:lang w:val="en-US"/>
              </w:rPr>
              <w:t>Deltocyanthus eccentricus</w:t>
            </w:r>
            <w:r w:rsidRPr="0021277B">
              <w:rPr>
                <w:rFonts w:eastAsia="MS Mincho"/>
                <w:szCs w:val="22"/>
                <w:lang w:val="en-US"/>
              </w:rPr>
              <w:t xml:space="preserve">, </w:t>
            </w:r>
            <w:r w:rsidRPr="0021277B">
              <w:rPr>
                <w:rFonts w:eastAsia="MS Mincho"/>
                <w:i/>
                <w:szCs w:val="22"/>
                <w:lang w:val="en-US"/>
              </w:rPr>
              <w:t>Deltocyanthus moseleyi</w:t>
            </w:r>
            <w:r w:rsidRPr="0021277B">
              <w:rPr>
                <w:rFonts w:eastAsia="MS Mincho"/>
                <w:szCs w:val="22"/>
                <w:lang w:val="en-US"/>
              </w:rPr>
              <w:t xml:space="preserve">, </w:t>
            </w:r>
            <w:r w:rsidRPr="0021277B">
              <w:rPr>
                <w:rFonts w:eastAsia="MS Mincho"/>
                <w:i/>
                <w:szCs w:val="22"/>
                <w:lang w:val="en-US"/>
              </w:rPr>
              <w:t>Paracyathus arcuatus</w:t>
            </w:r>
            <w:r w:rsidRPr="0021277B">
              <w:rPr>
                <w:rFonts w:eastAsia="MS Mincho"/>
                <w:szCs w:val="22"/>
                <w:lang w:val="en-US"/>
              </w:rPr>
              <w:t xml:space="preserve">, </w:t>
            </w:r>
            <w:r w:rsidRPr="0021277B">
              <w:rPr>
                <w:rFonts w:eastAsia="MS Mincho"/>
                <w:i/>
                <w:szCs w:val="22"/>
                <w:lang w:val="en-US"/>
              </w:rPr>
              <w:t>Paracyathus pulchellus</w:t>
            </w:r>
            <w:r w:rsidRPr="0021277B">
              <w:rPr>
                <w:rFonts w:eastAsia="MS Mincho"/>
                <w:szCs w:val="22"/>
                <w:lang w:val="en-US"/>
              </w:rPr>
              <w:t xml:space="preserve">, </w:t>
            </w:r>
            <w:r w:rsidRPr="0021277B">
              <w:rPr>
                <w:rFonts w:eastAsia="MS Mincho"/>
                <w:i/>
                <w:szCs w:val="22"/>
                <w:lang w:val="en-US"/>
              </w:rPr>
              <w:t>Lophelia pertusa</w:t>
            </w:r>
            <w:r w:rsidRPr="0021277B">
              <w:rPr>
                <w:rFonts w:eastAsia="MS Mincho"/>
                <w:szCs w:val="22"/>
                <w:lang w:val="en-US"/>
              </w:rPr>
              <w:t xml:space="preserve">, </w:t>
            </w:r>
            <w:r w:rsidRPr="0021277B">
              <w:rPr>
                <w:rFonts w:eastAsia="MS Mincho"/>
                <w:i/>
                <w:szCs w:val="22"/>
                <w:lang w:val="en-US"/>
              </w:rPr>
              <w:t>Balanophyllia cellulosa</w:t>
            </w:r>
            <w:r w:rsidRPr="0021277B">
              <w:rPr>
                <w:rFonts w:eastAsia="MS Mincho"/>
                <w:szCs w:val="22"/>
                <w:lang w:val="en-US"/>
              </w:rPr>
              <w:t xml:space="preserve">, </w:t>
            </w:r>
            <w:r w:rsidRPr="0021277B">
              <w:rPr>
                <w:rFonts w:eastAsia="MS Mincho"/>
                <w:i/>
                <w:szCs w:val="22"/>
                <w:lang w:val="en-US"/>
              </w:rPr>
              <w:t>Dendrophyllia cornigera</w:t>
            </w:r>
            <w:r w:rsidRPr="0021277B">
              <w:rPr>
                <w:rFonts w:eastAsia="MS Mincho"/>
                <w:szCs w:val="22"/>
                <w:lang w:val="en-US"/>
              </w:rPr>
              <w:t xml:space="preserve">, </w:t>
            </w:r>
            <w:r w:rsidRPr="0021277B">
              <w:rPr>
                <w:rFonts w:eastAsia="MS Mincho"/>
                <w:i/>
                <w:szCs w:val="22"/>
                <w:lang w:val="en-US"/>
              </w:rPr>
              <w:t>Flabellum</w:t>
            </w:r>
            <w:r w:rsidRPr="0021277B">
              <w:rPr>
                <w:rFonts w:eastAsia="MS Mincho"/>
                <w:szCs w:val="22"/>
                <w:lang w:val="en-US"/>
              </w:rPr>
              <w:t xml:space="preserve"> </w:t>
            </w:r>
            <w:r w:rsidRPr="0021277B">
              <w:rPr>
                <w:rFonts w:eastAsia="MS Mincho"/>
                <w:i/>
                <w:szCs w:val="22"/>
                <w:lang w:val="en-US"/>
              </w:rPr>
              <w:t>alabastrum</w:t>
            </w:r>
            <w:r w:rsidRPr="0021277B">
              <w:rPr>
                <w:rFonts w:eastAsia="MS Mincho"/>
                <w:szCs w:val="22"/>
                <w:lang w:val="en-US"/>
              </w:rPr>
              <w:t xml:space="preserve">, </w:t>
            </w:r>
            <w:r w:rsidRPr="0021277B">
              <w:rPr>
                <w:rFonts w:eastAsia="MS Mincho"/>
                <w:i/>
                <w:szCs w:val="22"/>
                <w:lang w:val="en-US"/>
              </w:rPr>
              <w:t>Flabellum chunii</w:t>
            </w:r>
            <w:r w:rsidRPr="0021277B">
              <w:rPr>
                <w:rFonts w:eastAsia="MS Mincho"/>
                <w:szCs w:val="22"/>
                <w:lang w:val="en-US"/>
              </w:rPr>
              <w:t xml:space="preserve">, </w:t>
            </w:r>
            <w:r w:rsidRPr="0021277B">
              <w:rPr>
                <w:rFonts w:eastAsia="MS Mincho"/>
                <w:i/>
                <w:szCs w:val="22"/>
                <w:lang w:val="en-US"/>
              </w:rPr>
              <w:t>Fungiacyathus crispus</w:t>
            </w:r>
            <w:r w:rsidRPr="0021277B">
              <w:rPr>
                <w:rFonts w:eastAsia="MS Mincho"/>
                <w:szCs w:val="22"/>
                <w:lang w:val="en-US"/>
              </w:rPr>
              <w:t>,</w:t>
            </w:r>
            <w:r w:rsidRPr="0021277B">
              <w:rPr>
                <w:szCs w:val="22"/>
              </w:rPr>
              <w:t xml:space="preserve"> </w:t>
            </w:r>
            <w:r w:rsidRPr="0021277B">
              <w:rPr>
                <w:rFonts w:eastAsia="MS Mincho"/>
                <w:i/>
                <w:szCs w:val="22"/>
                <w:lang w:val="en-US"/>
              </w:rPr>
              <w:t>Stenocyathus vermiformi</w:t>
            </w:r>
            <w:r w:rsidRPr="0021277B">
              <w:rPr>
                <w:rFonts w:eastAsia="MS Mincho"/>
                <w:szCs w:val="22"/>
                <w:lang w:val="en-US"/>
              </w:rPr>
              <w:t xml:space="preserve">s, </w:t>
            </w:r>
            <w:r w:rsidRPr="0021277B">
              <w:rPr>
                <w:rFonts w:eastAsia="MS Mincho"/>
                <w:i/>
                <w:szCs w:val="22"/>
                <w:lang w:val="en-US"/>
              </w:rPr>
              <w:t>Deltocyathoides stimpsonii</w:t>
            </w:r>
            <w:r w:rsidRPr="0021277B">
              <w:rPr>
                <w:rFonts w:eastAsia="MS Mincho"/>
                <w:szCs w:val="22"/>
                <w:lang w:val="en-US"/>
              </w:rPr>
              <w:t xml:space="preserve">, </w:t>
            </w:r>
            <w:r w:rsidRPr="0021277B">
              <w:rPr>
                <w:rFonts w:eastAsia="MS Mincho"/>
                <w:i/>
                <w:szCs w:val="22"/>
                <w:lang w:val="en-US"/>
              </w:rPr>
              <w:t>Peponocyathus folliculus</w:t>
            </w:r>
            <w:r w:rsidRPr="0021277B">
              <w:rPr>
                <w:rFonts w:eastAsia="MS Mincho"/>
                <w:szCs w:val="22"/>
                <w:lang w:val="en-US"/>
              </w:rPr>
              <w:t xml:space="preserve"> and </w:t>
            </w:r>
            <w:r w:rsidRPr="0021277B">
              <w:rPr>
                <w:rFonts w:eastAsia="MS Mincho"/>
                <w:i/>
                <w:szCs w:val="22"/>
                <w:lang w:val="en-US"/>
              </w:rPr>
              <w:t xml:space="preserve">Peponocyathus stimpsoni </w:t>
            </w:r>
            <w:r w:rsidRPr="0021277B">
              <w:rPr>
                <w:rFonts w:eastAsia="MS Mincho"/>
                <w:szCs w:val="22"/>
                <w:lang w:val="en-US"/>
              </w:rPr>
              <w:t xml:space="preserve">(Scleractinia), among others. </w:t>
            </w:r>
            <w:r w:rsidRPr="0021277B">
              <w:rPr>
                <w:rFonts w:eastAsia="MS Mincho"/>
                <w:i/>
                <w:szCs w:val="22"/>
                <w:lang w:val="en-US"/>
              </w:rPr>
              <w:t>Centrostephanus longispinus</w:t>
            </w:r>
            <w:r w:rsidRPr="0021277B">
              <w:rPr>
                <w:rFonts w:eastAsia="MS Mincho"/>
                <w:szCs w:val="22"/>
                <w:lang w:val="en-US"/>
              </w:rPr>
              <w:t xml:space="preserve">, </w:t>
            </w:r>
            <w:r w:rsidRPr="0021277B">
              <w:rPr>
                <w:rFonts w:eastAsia="MS Mincho"/>
                <w:i/>
                <w:szCs w:val="22"/>
                <w:lang w:val="en-US"/>
              </w:rPr>
              <w:t>Scyllarides latus</w:t>
            </w:r>
            <w:r w:rsidRPr="0021277B">
              <w:rPr>
                <w:rFonts w:eastAsia="MS Mincho"/>
                <w:szCs w:val="22"/>
                <w:lang w:val="en-US"/>
              </w:rPr>
              <w:t xml:space="preserve">, </w:t>
            </w:r>
            <w:r w:rsidRPr="0021277B">
              <w:rPr>
                <w:rFonts w:eastAsia="MS Mincho"/>
                <w:i/>
                <w:szCs w:val="22"/>
                <w:lang w:val="en-US"/>
              </w:rPr>
              <w:t>Chelonia mydas</w:t>
            </w:r>
            <w:r w:rsidRPr="0021277B">
              <w:rPr>
                <w:rFonts w:eastAsia="MS Mincho"/>
                <w:szCs w:val="22"/>
                <w:lang w:val="en-US"/>
              </w:rPr>
              <w:t xml:space="preserve"> and </w:t>
            </w:r>
            <w:r w:rsidRPr="0021277B">
              <w:rPr>
                <w:rFonts w:eastAsia="MS Mincho"/>
                <w:i/>
                <w:szCs w:val="22"/>
                <w:lang w:val="en-US"/>
              </w:rPr>
              <w:t>Caretta caretta</w:t>
            </w:r>
            <w:r w:rsidRPr="0021277B">
              <w:rPr>
                <w:rFonts w:eastAsia="MS Mincho"/>
                <w:szCs w:val="22"/>
                <w:lang w:val="en-US"/>
              </w:rPr>
              <w:t xml:space="preserve"> are protected by the EU Habitats Directive</w:t>
            </w:r>
            <w:r>
              <w:rPr>
                <w:rFonts w:eastAsia="MS Mincho"/>
                <w:szCs w:val="22"/>
                <w:lang w:val="en-US"/>
              </w:rPr>
              <w:t>,</w:t>
            </w:r>
            <w:r w:rsidRPr="0021277B">
              <w:rPr>
                <w:rFonts w:eastAsia="MS Mincho"/>
                <w:szCs w:val="22"/>
                <w:lang w:val="en-US"/>
              </w:rPr>
              <w:t xml:space="preserve"> and </w:t>
            </w:r>
            <w:r w:rsidRPr="0021277B">
              <w:rPr>
                <w:rFonts w:eastAsia="MS Mincho"/>
                <w:i/>
                <w:szCs w:val="22"/>
                <w:lang w:val="en-US"/>
              </w:rPr>
              <w:t>Ranella olearia</w:t>
            </w:r>
            <w:r w:rsidRPr="0021277B">
              <w:rPr>
                <w:rFonts w:eastAsia="MS Mincho"/>
                <w:szCs w:val="22"/>
                <w:lang w:val="en-US"/>
              </w:rPr>
              <w:t xml:space="preserve"> and </w:t>
            </w:r>
            <w:r w:rsidRPr="0021277B">
              <w:rPr>
                <w:rFonts w:eastAsia="MS Mincho"/>
                <w:i/>
                <w:szCs w:val="22"/>
                <w:lang w:val="en-US"/>
              </w:rPr>
              <w:t>Tonna galea</w:t>
            </w:r>
            <w:r w:rsidRPr="0021277B">
              <w:rPr>
                <w:rFonts w:eastAsia="MS Mincho"/>
                <w:szCs w:val="22"/>
                <w:lang w:val="en-US"/>
              </w:rPr>
              <w:t xml:space="preserve"> are protected by Annex II of the Bern Convention.</w:t>
            </w:r>
          </w:p>
          <w:p w14:paraId="067C1C48" w14:textId="77777777" w:rsidR="006B3F46" w:rsidRPr="0021277B" w:rsidRDefault="006B3F46" w:rsidP="00907941">
            <w:pPr>
              <w:pStyle w:val="ListParagraph"/>
              <w:ind w:left="960"/>
              <w:rPr>
                <w:rFonts w:eastAsia="MS Mincho"/>
                <w:b/>
                <w:bCs/>
                <w:color w:val="000000"/>
                <w:szCs w:val="22"/>
                <w:lang w:val="en-US"/>
              </w:rPr>
            </w:pPr>
          </w:p>
        </w:tc>
      </w:tr>
      <w:tr w:rsidR="006B3F46" w:rsidRPr="0021277B" w14:paraId="2DECBDB2" w14:textId="77777777" w:rsidTr="00907941">
        <w:tc>
          <w:tcPr>
            <w:tcW w:w="783" w:type="pct"/>
            <w:shd w:val="clear" w:color="auto" w:fill="auto"/>
          </w:tcPr>
          <w:p w14:paraId="0AE96292" w14:textId="77777777" w:rsidR="006B3F46" w:rsidRPr="0021277B" w:rsidRDefault="006B3F46" w:rsidP="002E4B39">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80" w:type="pct"/>
            <w:shd w:val="clear" w:color="auto" w:fill="auto"/>
          </w:tcPr>
          <w:p w14:paraId="36773556"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1645E3DC"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12432A91"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35C4C6A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5904F30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C93B86E" w14:textId="77777777" w:rsidTr="00907941">
        <w:tc>
          <w:tcPr>
            <w:tcW w:w="5000" w:type="pct"/>
            <w:gridSpan w:val="11"/>
            <w:shd w:val="clear" w:color="auto" w:fill="auto"/>
          </w:tcPr>
          <w:p w14:paraId="6E362130" w14:textId="77777777" w:rsidR="006B3F46" w:rsidRPr="0021277B" w:rsidRDefault="006B3F46" w:rsidP="00907941">
            <w:pPr>
              <w:widowControl w:val="0"/>
              <w:autoSpaceDE w:val="0"/>
              <w:autoSpaceDN w:val="0"/>
              <w:adjustRightInd w:val="0"/>
              <w:rPr>
                <w:rFonts w:eastAsia="MS Mincho"/>
                <w:i/>
                <w:iCs/>
                <w:color w:val="000000"/>
                <w:sz w:val="22"/>
                <w:szCs w:val="22"/>
                <w:lang w:val="en-US"/>
              </w:rPr>
            </w:pPr>
            <w:r w:rsidRPr="0021277B">
              <w:rPr>
                <w:rFonts w:eastAsia="MS Mincho"/>
                <w:i/>
                <w:iCs/>
                <w:color w:val="000000"/>
                <w:sz w:val="22"/>
                <w:szCs w:val="22"/>
                <w:lang w:val="en-US"/>
              </w:rPr>
              <w:t>Explanation for ranking</w:t>
            </w:r>
          </w:p>
          <w:p w14:paraId="2DA4323D" w14:textId="77777777" w:rsidR="006B3F46" w:rsidRPr="0021277B" w:rsidRDefault="006B3F46" w:rsidP="006B3F46">
            <w:pPr>
              <w:pStyle w:val="ListParagraph"/>
              <w:widowControl w:val="0"/>
              <w:numPr>
                <w:ilvl w:val="0"/>
                <w:numId w:val="41"/>
              </w:numPr>
              <w:autoSpaceDE w:val="0"/>
              <w:autoSpaceDN w:val="0"/>
              <w:adjustRightInd w:val="0"/>
              <w:ind w:leftChars="0" w:left="319"/>
              <w:rPr>
                <w:rFonts w:eastAsia="MS Mincho"/>
                <w:color w:val="000000"/>
                <w:szCs w:val="22"/>
                <w:lang w:val="en-US"/>
              </w:rPr>
            </w:pPr>
            <w:r w:rsidRPr="0021277B">
              <w:rPr>
                <w:rFonts w:eastAsia="MS Mincho"/>
                <w:color w:val="000000"/>
                <w:szCs w:val="22"/>
                <w:lang w:val="en-US"/>
              </w:rPr>
              <w:t>Twenty-eight species of Elasmobranchiida (</w:t>
            </w:r>
            <w:r>
              <w:rPr>
                <w:rFonts w:eastAsia="MS Mincho"/>
                <w:color w:val="000000"/>
                <w:szCs w:val="22"/>
                <w:lang w:val="en-US"/>
              </w:rPr>
              <w:t xml:space="preserve">e.g., </w:t>
            </w:r>
            <w:r w:rsidRPr="0021277B">
              <w:rPr>
                <w:i/>
                <w:szCs w:val="22"/>
              </w:rPr>
              <w:t>Prionace glauca</w:t>
            </w:r>
            <w:r w:rsidRPr="0021277B">
              <w:rPr>
                <w:szCs w:val="22"/>
              </w:rPr>
              <w:t xml:space="preserve">, </w:t>
            </w:r>
            <w:r w:rsidRPr="0021277B">
              <w:rPr>
                <w:i/>
                <w:szCs w:val="22"/>
              </w:rPr>
              <w:t>Manta birostris</w:t>
            </w:r>
            <w:r w:rsidRPr="0021277B">
              <w:rPr>
                <w:szCs w:val="22"/>
              </w:rPr>
              <w:t xml:space="preserve">) and </w:t>
            </w:r>
            <w:r w:rsidRPr="0021277B">
              <w:rPr>
                <w:rFonts w:eastAsia="MS Mincho"/>
                <w:color w:val="000000"/>
                <w:szCs w:val="22"/>
                <w:lang w:val="en-US"/>
              </w:rPr>
              <w:t xml:space="preserve">68 species of cold-water corals </w:t>
            </w:r>
            <w:r w:rsidRPr="0021277B">
              <w:rPr>
                <w:rFonts w:eastAsia="MS Mincho"/>
                <w:i/>
                <w:color w:val="000000"/>
                <w:szCs w:val="22"/>
                <w:lang w:val="en-US"/>
              </w:rPr>
              <w:t>(</w:t>
            </w:r>
            <w:r w:rsidRPr="0021277B">
              <w:rPr>
                <w:rFonts w:eastAsia="MS Mincho"/>
                <w:iCs/>
                <w:color w:val="000000"/>
                <w:szCs w:val="22"/>
                <w:lang w:val="en-US"/>
              </w:rPr>
              <w:t>e.g.,</w:t>
            </w:r>
            <w:r w:rsidRPr="0021277B">
              <w:rPr>
                <w:rFonts w:eastAsia="MS Mincho"/>
                <w:color w:val="000000"/>
                <w:szCs w:val="22"/>
                <w:lang w:val="en-US"/>
              </w:rPr>
              <w:t xml:space="preserve"> </w:t>
            </w:r>
            <w:r w:rsidRPr="0021277B">
              <w:rPr>
                <w:rFonts w:eastAsia="MS Mincho"/>
                <w:i/>
                <w:color w:val="000000"/>
                <w:szCs w:val="22"/>
                <w:lang w:val="en-US"/>
              </w:rPr>
              <w:t>Antipathella wollastoni</w:t>
            </w:r>
            <w:r w:rsidRPr="0021277B">
              <w:rPr>
                <w:rFonts w:eastAsia="MS Mincho"/>
                <w:color w:val="000000"/>
                <w:szCs w:val="22"/>
                <w:lang w:val="en-US"/>
              </w:rPr>
              <w:t xml:space="preserve">; </w:t>
            </w:r>
            <w:r w:rsidRPr="0021277B">
              <w:rPr>
                <w:rFonts w:eastAsia="MS Mincho"/>
                <w:i/>
                <w:color w:val="000000"/>
                <w:szCs w:val="22"/>
                <w:lang w:val="en-US"/>
              </w:rPr>
              <w:t>Leiopathes spp., Stichopathes gracilis,</w:t>
            </w:r>
            <w:r w:rsidRPr="0021277B">
              <w:rPr>
                <w:rFonts w:eastAsia="MS Mincho"/>
                <w:color w:val="000000"/>
                <w:szCs w:val="22"/>
                <w:lang w:val="en-US"/>
              </w:rPr>
              <w:t xml:space="preserve"> </w:t>
            </w:r>
            <w:r w:rsidRPr="0021277B">
              <w:rPr>
                <w:rFonts w:eastAsia="MS Mincho"/>
                <w:i/>
                <w:color w:val="000000"/>
                <w:szCs w:val="22"/>
                <w:lang w:val="en-US"/>
              </w:rPr>
              <w:t>Caryophyllia smithii</w:t>
            </w:r>
            <w:r w:rsidRPr="0021277B">
              <w:rPr>
                <w:rFonts w:eastAsia="MS Mincho"/>
                <w:color w:val="000000"/>
                <w:szCs w:val="22"/>
                <w:lang w:val="en-US"/>
              </w:rPr>
              <w:t xml:space="preserve">; </w:t>
            </w:r>
            <w:r w:rsidRPr="0021277B">
              <w:rPr>
                <w:rFonts w:eastAsia="MS Mincho"/>
                <w:i/>
                <w:color w:val="000000"/>
                <w:szCs w:val="22"/>
                <w:lang w:val="en-US"/>
              </w:rPr>
              <w:t>Flabellum macandrewi</w:t>
            </w:r>
            <w:r>
              <w:rPr>
                <w:rFonts w:eastAsia="MS Mincho"/>
                <w:i/>
                <w:color w:val="000000"/>
                <w:szCs w:val="22"/>
                <w:lang w:val="en-US"/>
              </w:rPr>
              <w:t>)</w:t>
            </w:r>
            <w:r w:rsidRPr="0021277B">
              <w:rPr>
                <w:rFonts w:eastAsia="MS Mincho"/>
                <w:color w:val="000000"/>
                <w:szCs w:val="22"/>
                <w:lang w:val="en-US"/>
              </w:rPr>
              <w:t xml:space="preserve"> reported from the Madeira Tore seamounts. </w:t>
            </w:r>
            <w:r w:rsidRPr="0021277B">
              <w:rPr>
                <w:rFonts w:eastAsia="MS Mincho"/>
                <w:szCs w:val="22"/>
                <w:lang w:val="en-US"/>
              </w:rPr>
              <w:t xml:space="preserve">Some of those species are extremely slow recovering </w:t>
            </w:r>
            <w:r w:rsidRPr="0021277B">
              <w:rPr>
                <w:rFonts w:eastAsia="MS Mincho"/>
                <w:color w:val="000000"/>
                <w:szCs w:val="22"/>
                <w:lang w:val="en-US"/>
              </w:rPr>
              <w:t xml:space="preserve">(Rogers </w:t>
            </w:r>
            <w:r w:rsidRPr="0006066A">
              <w:rPr>
                <w:rFonts w:eastAsia="MS Mincho"/>
                <w:i/>
                <w:iCs/>
                <w:color w:val="000000"/>
                <w:szCs w:val="22"/>
                <w:lang w:val="en-US"/>
              </w:rPr>
              <w:t>et al</w:t>
            </w:r>
            <w:r w:rsidRPr="0021277B">
              <w:rPr>
                <w:rFonts w:eastAsia="MS Mincho"/>
                <w:i/>
                <w:color w:val="000000"/>
                <w:szCs w:val="22"/>
                <w:lang w:val="en-US"/>
              </w:rPr>
              <w:t>.,</w:t>
            </w:r>
            <w:r w:rsidRPr="0021277B">
              <w:rPr>
                <w:rFonts w:eastAsia="MS Mincho"/>
                <w:color w:val="000000"/>
                <w:szCs w:val="22"/>
                <w:lang w:val="en-US"/>
              </w:rPr>
              <w:t xml:space="preserve"> 2007)</w:t>
            </w:r>
            <w:r>
              <w:rPr>
                <w:rFonts w:eastAsia="MS Mincho"/>
                <w:color w:val="000000"/>
                <w:szCs w:val="22"/>
                <w:lang w:val="en-US"/>
              </w:rPr>
              <w:t>,</w:t>
            </w:r>
            <w:r w:rsidRPr="0021277B">
              <w:rPr>
                <w:rFonts w:eastAsia="MS Mincho"/>
                <w:szCs w:val="22"/>
                <w:lang w:val="en-US"/>
              </w:rPr>
              <w:t xml:space="preserve"> such as the black corals </w:t>
            </w:r>
            <w:r w:rsidRPr="0021277B">
              <w:rPr>
                <w:rFonts w:eastAsia="MS Mincho"/>
                <w:i/>
                <w:color w:val="000000"/>
                <w:szCs w:val="22"/>
                <w:lang w:val="en-US"/>
              </w:rPr>
              <w:t>Leiopathes spp</w:t>
            </w:r>
            <w:r w:rsidRPr="0021277B">
              <w:rPr>
                <w:rFonts w:eastAsia="MS Mincho"/>
                <w:szCs w:val="22"/>
                <w:lang w:val="en-US"/>
              </w:rPr>
              <w:t>,</w:t>
            </w:r>
            <w:r>
              <w:rPr>
                <w:rFonts w:eastAsia="MS Mincho"/>
                <w:szCs w:val="22"/>
                <w:lang w:val="en-US"/>
              </w:rPr>
              <w:t xml:space="preserve"> </w:t>
            </w:r>
            <w:r w:rsidRPr="0021277B">
              <w:rPr>
                <w:rFonts w:eastAsia="MS Mincho"/>
                <w:szCs w:val="22"/>
                <w:lang w:val="en-US"/>
              </w:rPr>
              <w:t xml:space="preserve">some specimens </w:t>
            </w:r>
            <w:r>
              <w:rPr>
                <w:rFonts w:eastAsia="MS Mincho"/>
                <w:szCs w:val="22"/>
                <w:lang w:val="en-US"/>
              </w:rPr>
              <w:t xml:space="preserve">of which have been estimated </w:t>
            </w:r>
            <w:r w:rsidRPr="0021277B">
              <w:rPr>
                <w:rFonts w:eastAsia="MS Mincho"/>
                <w:szCs w:val="22"/>
                <w:lang w:val="en-US"/>
              </w:rPr>
              <w:t>to be</w:t>
            </w:r>
            <w:r>
              <w:rPr>
                <w:rFonts w:eastAsia="MS Mincho"/>
                <w:szCs w:val="22"/>
                <w:lang w:val="en-US"/>
              </w:rPr>
              <w:t xml:space="preserve"> more than </w:t>
            </w:r>
            <w:r w:rsidRPr="0021277B">
              <w:rPr>
                <w:rFonts w:eastAsia="MS Mincho"/>
                <w:szCs w:val="22"/>
                <w:lang w:val="en-US"/>
              </w:rPr>
              <w:t>2000</w:t>
            </w:r>
            <w:r>
              <w:rPr>
                <w:rFonts w:eastAsia="MS Mincho"/>
                <w:szCs w:val="22"/>
                <w:lang w:val="en-US"/>
              </w:rPr>
              <w:t xml:space="preserve"> years old</w:t>
            </w:r>
            <w:r w:rsidRPr="0021277B">
              <w:rPr>
                <w:rFonts w:eastAsia="MS Mincho"/>
                <w:szCs w:val="22"/>
                <w:lang w:val="en-US"/>
              </w:rPr>
              <w:t xml:space="preserve"> (Carreiro-Silva </w:t>
            </w:r>
            <w:r w:rsidRPr="0006066A">
              <w:rPr>
                <w:rFonts w:eastAsia="MS Mincho"/>
                <w:i/>
                <w:iCs/>
                <w:szCs w:val="22"/>
                <w:lang w:val="en-US"/>
              </w:rPr>
              <w:t>et al</w:t>
            </w:r>
            <w:r w:rsidRPr="0021277B">
              <w:rPr>
                <w:rFonts w:eastAsia="MS Mincho"/>
                <w:szCs w:val="22"/>
                <w:lang w:val="en-US"/>
              </w:rPr>
              <w:t>., 2012)</w:t>
            </w:r>
            <w:r w:rsidRPr="0021277B">
              <w:rPr>
                <w:rFonts w:eastAsia="MS Mincho"/>
                <w:color w:val="000000"/>
                <w:szCs w:val="22"/>
                <w:lang w:val="en-US"/>
              </w:rPr>
              <w:t xml:space="preserve">. </w:t>
            </w:r>
          </w:p>
          <w:p w14:paraId="0F28151F" w14:textId="77777777" w:rsidR="006B3F46" w:rsidRDefault="006B3F46" w:rsidP="006B3F46">
            <w:pPr>
              <w:pStyle w:val="ListParagraph"/>
              <w:widowControl w:val="0"/>
              <w:numPr>
                <w:ilvl w:val="0"/>
                <w:numId w:val="41"/>
              </w:numPr>
              <w:autoSpaceDE w:val="0"/>
              <w:autoSpaceDN w:val="0"/>
              <w:adjustRightInd w:val="0"/>
              <w:ind w:leftChars="0" w:left="319"/>
              <w:rPr>
                <w:rFonts w:eastAsia="MS Mincho"/>
                <w:color w:val="000000"/>
                <w:szCs w:val="22"/>
                <w:lang w:val="en-US"/>
              </w:rPr>
            </w:pPr>
            <w:r w:rsidRPr="0021277B">
              <w:rPr>
                <w:rFonts w:eastAsia="MS Mincho"/>
                <w:color w:val="000000"/>
                <w:szCs w:val="22"/>
                <w:lang w:val="en-US"/>
              </w:rPr>
              <w:t>In total 12.1</w:t>
            </w:r>
            <w:r>
              <w:rPr>
                <w:rFonts w:eastAsia="MS Mincho"/>
                <w:color w:val="000000"/>
                <w:szCs w:val="22"/>
                <w:lang w:val="en-US"/>
              </w:rPr>
              <w:t xml:space="preserve"> per cent</w:t>
            </w:r>
            <w:r w:rsidRPr="0021277B">
              <w:rPr>
                <w:rFonts w:eastAsia="MS Mincho"/>
                <w:color w:val="000000"/>
                <w:szCs w:val="22"/>
                <w:lang w:val="en-US"/>
              </w:rPr>
              <w:t xml:space="preserve"> of the total species </w:t>
            </w:r>
            <w:r>
              <w:rPr>
                <w:rFonts w:eastAsia="MS Mincho"/>
                <w:color w:val="000000"/>
                <w:szCs w:val="22"/>
                <w:lang w:val="en-US"/>
              </w:rPr>
              <w:t xml:space="preserve">in </w:t>
            </w:r>
            <w:r w:rsidRPr="00F029DB">
              <w:rPr>
                <w:rFonts w:eastAsia="MS Mincho"/>
                <w:color w:val="000000"/>
                <w:szCs w:val="22"/>
                <w:lang w:val="en-US"/>
              </w:rPr>
              <w:t>th</w:t>
            </w:r>
            <w:r>
              <w:rPr>
                <w:rFonts w:eastAsia="MS Mincho"/>
                <w:color w:val="000000"/>
                <w:szCs w:val="22"/>
                <w:lang w:val="en-US"/>
              </w:rPr>
              <w:t>is area</w:t>
            </w:r>
            <w:r w:rsidRPr="00F029DB">
              <w:rPr>
                <w:rFonts w:eastAsia="MS Mincho"/>
                <w:color w:val="000000"/>
                <w:szCs w:val="22"/>
                <w:lang w:val="en-US"/>
              </w:rPr>
              <w:t xml:space="preserve"> </w:t>
            </w:r>
            <w:r>
              <w:rPr>
                <w:rFonts w:eastAsia="MS Mincho"/>
                <w:color w:val="000000"/>
                <w:szCs w:val="22"/>
                <w:lang w:val="en-US"/>
              </w:rPr>
              <w:t xml:space="preserve">belong to the </w:t>
            </w:r>
            <w:r w:rsidRPr="0021277B">
              <w:rPr>
                <w:rFonts w:eastAsia="MS Mincho"/>
                <w:color w:val="000000"/>
                <w:szCs w:val="22"/>
                <w:lang w:val="en-US"/>
              </w:rPr>
              <w:t>potential</w:t>
            </w:r>
            <w:r>
              <w:rPr>
                <w:rFonts w:eastAsia="MS Mincho"/>
                <w:color w:val="000000"/>
                <w:szCs w:val="22"/>
                <w:lang w:val="en-US"/>
              </w:rPr>
              <w:t>ly</w:t>
            </w:r>
            <w:r w:rsidRPr="0021277B">
              <w:rPr>
                <w:rFonts w:eastAsia="MS Mincho"/>
                <w:color w:val="000000"/>
                <w:szCs w:val="22"/>
                <w:lang w:val="en-US"/>
              </w:rPr>
              <w:t xml:space="preserve"> vulnerable, fragile, sensitive and slow</w:t>
            </w:r>
            <w:r>
              <w:rPr>
                <w:rFonts w:eastAsia="MS Mincho"/>
                <w:color w:val="000000"/>
                <w:szCs w:val="22"/>
                <w:lang w:val="en-US"/>
              </w:rPr>
              <w:t>-to-</w:t>
            </w:r>
            <w:r w:rsidRPr="0021277B">
              <w:rPr>
                <w:rFonts w:eastAsia="MS Mincho"/>
                <w:color w:val="000000"/>
                <w:szCs w:val="22"/>
                <w:lang w:val="en-US"/>
              </w:rPr>
              <w:t>recover</w:t>
            </w:r>
            <w:r>
              <w:rPr>
                <w:rFonts w:eastAsia="MS Mincho"/>
                <w:color w:val="000000"/>
                <w:szCs w:val="22"/>
                <w:lang w:val="en-US"/>
              </w:rPr>
              <w:t xml:space="preserve"> c</w:t>
            </w:r>
            <w:r w:rsidRPr="0021277B">
              <w:rPr>
                <w:rFonts w:eastAsia="MS Mincho"/>
                <w:color w:val="000000"/>
                <w:szCs w:val="22"/>
                <w:lang w:val="en-US"/>
              </w:rPr>
              <w:t>lass Anthozoa (7.6</w:t>
            </w:r>
            <w:r>
              <w:rPr>
                <w:rFonts w:eastAsia="MS Mincho"/>
                <w:color w:val="000000"/>
                <w:szCs w:val="22"/>
                <w:lang w:val="en-US"/>
              </w:rPr>
              <w:t xml:space="preserve"> per cent</w:t>
            </w:r>
            <w:r w:rsidRPr="0021277B">
              <w:rPr>
                <w:rFonts w:eastAsia="MS Mincho"/>
                <w:color w:val="000000"/>
                <w:szCs w:val="22"/>
                <w:lang w:val="en-US"/>
              </w:rPr>
              <w:t xml:space="preserve">), </w:t>
            </w:r>
            <w:r>
              <w:rPr>
                <w:rFonts w:eastAsia="MS Mincho"/>
                <w:color w:val="000000"/>
                <w:szCs w:val="22"/>
                <w:lang w:val="en-US"/>
              </w:rPr>
              <w:t>s</w:t>
            </w:r>
            <w:r w:rsidRPr="0021277B">
              <w:rPr>
                <w:rFonts w:eastAsia="MS Mincho"/>
                <w:color w:val="000000"/>
                <w:szCs w:val="22"/>
                <w:lang w:val="en-US"/>
              </w:rPr>
              <w:t>ubclass Elasmobranchii (2,9</w:t>
            </w:r>
            <w:r>
              <w:rPr>
                <w:rFonts w:eastAsia="MS Mincho"/>
                <w:color w:val="000000"/>
                <w:szCs w:val="22"/>
                <w:lang w:val="en-US"/>
              </w:rPr>
              <w:t xml:space="preserve"> per cent</w:t>
            </w:r>
            <w:r w:rsidRPr="0021277B">
              <w:rPr>
                <w:rFonts w:eastAsia="MS Mincho"/>
                <w:color w:val="000000"/>
                <w:szCs w:val="22"/>
                <w:lang w:val="en-US"/>
              </w:rPr>
              <w:t xml:space="preserve">) and </w:t>
            </w:r>
            <w:r>
              <w:rPr>
                <w:rFonts w:eastAsia="MS Mincho"/>
                <w:color w:val="000000"/>
                <w:szCs w:val="22"/>
                <w:lang w:val="en-US"/>
              </w:rPr>
              <w:t>o</w:t>
            </w:r>
            <w:r w:rsidRPr="0021277B">
              <w:rPr>
                <w:rFonts w:eastAsia="MS Mincho"/>
                <w:color w:val="000000"/>
                <w:szCs w:val="22"/>
                <w:lang w:val="en-US"/>
              </w:rPr>
              <w:t>rder Cetacea (1.6</w:t>
            </w:r>
            <w:r>
              <w:rPr>
                <w:rFonts w:eastAsia="MS Mincho"/>
                <w:color w:val="000000"/>
                <w:szCs w:val="22"/>
                <w:lang w:val="en-US"/>
              </w:rPr>
              <w:t xml:space="preserve"> per cent</w:t>
            </w:r>
            <w:r w:rsidRPr="0021277B">
              <w:rPr>
                <w:rFonts w:eastAsia="MS Mincho"/>
                <w:color w:val="000000"/>
                <w:szCs w:val="22"/>
                <w:lang w:val="en-US"/>
              </w:rPr>
              <w:t>) (see Figure 5).</w:t>
            </w:r>
          </w:p>
          <w:p w14:paraId="0FBEFA44" w14:textId="77777777" w:rsidR="006B3F46" w:rsidRPr="0021277B" w:rsidRDefault="006B3F46" w:rsidP="00907941">
            <w:pPr>
              <w:pStyle w:val="ListParagraph"/>
              <w:widowControl w:val="0"/>
              <w:autoSpaceDE w:val="0"/>
              <w:autoSpaceDN w:val="0"/>
              <w:adjustRightInd w:val="0"/>
              <w:ind w:left="960"/>
              <w:rPr>
                <w:rFonts w:eastAsia="MS Mincho"/>
                <w:color w:val="000000"/>
                <w:szCs w:val="22"/>
                <w:lang w:val="en-US"/>
              </w:rPr>
            </w:pPr>
          </w:p>
        </w:tc>
      </w:tr>
      <w:tr w:rsidR="006B3F46" w:rsidRPr="0021277B" w14:paraId="581C94DF" w14:textId="77777777" w:rsidTr="00907941">
        <w:tc>
          <w:tcPr>
            <w:tcW w:w="783" w:type="pct"/>
            <w:shd w:val="clear" w:color="auto" w:fill="auto"/>
          </w:tcPr>
          <w:p w14:paraId="3A171081"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80" w:type="pct"/>
            <w:shd w:val="clear" w:color="auto" w:fill="auto"/>
          </w:tcPr>
          <w:p w14:paraId="21E0F5B7" w14:textId="77777777" w:rsidR="006B3F46" w:rsidRPr="0021277B" w:rsidRDefault="006B3F46" w:rsidP="00907941">
            <w:pPr>
              <w:widowControl w:val="0"/>
              <w:autoSpaceDE w:val="0"/>
              <w:autoSpaceDN w:val="0"/>
              <w:adjustRightInd w:val="0"/>
              <w:jc w:val="both"/>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4E3F2095"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vAlign w:val="center"/>
          </w:tcPr>
          <w:p w14:paraId="66D1C95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19253CC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4499B75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0DE9B985" w14:textId="77777777" w:rsidTr="00907941">
        <w:tc>
          <w:tcPr>
            <w:tcW w:w="5000" w:type="pct"/>
            <w:gridSpan w:val="11"/>
            <w:shd w:val="clear" w:color="auto" w:fill="auto"/>
          </w:tcPr>
          <w:p w14:paraId="5B88154A" w14:textId="77777777" w:rsidR="006B3F46" w:rsidRPr="0021277B" w:rsidRDefault="006B3F46" w:rsidP="00907941">
            <w:pPr>
              <w:widowControl w:val="0"/>
              <w:autoSpaceDE w:val="0"/>
              <w:autoSpaceDN w:val="0"/>
              <w:adjustRightInd w:val="0"/>
              <w:rPr>
                <w:rFonts w:eastAsia="MS Mincho"/>
                <w:i/>
                <w:iCs/>
                <w:color w:val="000000"/>
                <w:sz w:val="22"/>
                <w:szCs w:val="22"/>
                <w:lang w:val="en-US"/>
              </w:rPr>
            </w:pPr>
            <w:r w:rsidRPr="0021277B">
              <w:rPr>
                <w:rFonts w:eastAsia="MS Mincho"/>
                <w:i/>
                <w:iCs/>
                <w:color w:val="000000"/>
                <w:sz w:val="22"/>
                <w:szCs w:val="22"/>
                <w:lang w:val="en-US"/>
              </w:rPr>
              <w:t>Explanation for ranking</w:t>
            </w:r>
          </w:p>
          <w:p w14:paraId="0EA58F67" w14:textId="77777777" w:rsidR="006B3F46"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 xml:space="preserve">Studies with plankton prove that Ampere (Gibson </w:t>
            </w:r>
            <w:r w:rsidRPr="0006066A">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1993; Martin &amp; Christiansen, 2009; Denda &amp; Christiansen, 2014) Ashton (Paiva </w:t>
            </w:r>
            <w:r w:rsidRPr="0006066A">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2010; Pingree, 2010), Dragon (Martin &amp; Christiansen, 2009), Gorringe </w:t>
            </w:r>
            <w:r>
              <w:rPr>
                <w:rFonts w:eastAsia="MS Mincho"/>
                <w:bCs/>
                <w:color w:val="000000"/>
                <w:sz w:val="22"/>
                <w:szCs w:val="22"/>
                <w:lang w:val="en-US"/>
              </w:rPr>
              <w:t>B</w:t>
            </w:r>
            <w:r w:rsidRPr="0021277B">
              <w:rPr>
                <w:rFonts w:eastAsia="MS Mincho"/>
                <w:bCs/>
                <w:color w:val="000000"/>
                <w:sz w:val="22"/>
                <w:szCs w:val="22"/>
                <w:lang w:val="en-US"/>
              </w:rPr>
              <w:t>ank (Bett, 1999;</w:t>
            </w:r>
            <w:r w:rsidRPr="0021277B">
              <w:rPr>
                <w:sz w:val="22"/>
                <w:szCs w:val="22"/>
              </w:rPr>
              <w:t xml:space="preserve"> </w:t>
            </w:r>
            <w:r w:rsidRPr="0021277B">
              <w:rPr>
                <w:rFonts w:eastAsia="MS Mincho"/>
                <w:bCs/>
                <w:color w:val="000000"/>
                <w:sz w:val="22"/>
                <w:szCs w:val="22"/>
                <w:lang w:val="en-US"/>
              </w:rPr>
              <w:t xml:space="preserve">Coelho &amp; Santos, 2000; White </w:t>
            </w:r>
            <w:r w:rsidRPr="0006066A">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2007), Josephine (Hesthagen, 1970; Synnes, 2007; Paiva </w:t>
            </w:r>
            <w:r w:rsidRPr="0006066A">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2010), Seine (Christiansen </w:t>
            </w:r>
            <w:r w:rsidRPr="0006066A">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2009;</w:t>
            </w:r>
            <w:r w:rsidRPr="0021277B">
              <w:rPr>
                <w:sz w:val="22"/>
                <w:szCs w:val="22"/>
              </w:rPr>
              <w:t xml:space="preserve"> </w:t>
            </w:r>
            <w:r w:rsidRPr="0021277B">
              <w:rPr>
                <w:rFonts w:eastAsia="MS Mincho"/>
                <w:bCs/>
                <w:color w:val="000000"/>
                <w:sz w:val="22"/>
                <w:szCs w:val="22"/>
                <w:lang w:val="en-US"/>
              </w:rPr>
              <w:t xml:space="preserve">Martin &amp; Christiansen, 2009; Hirch &amp; Christiansen, 2010; Mendonca </w:t>
            </w:r>
            <w:r w:rsidRPr="0006066A">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2010) Tore (Lebreiro </w:t>
            </w:r>
            <w:r w:rsidRPr="00EC5399">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1997) and Unicorn (Correia </w:t>
            </w:r>
            <w:r w:rsidRPr="00EC5399">
              <w:rPr>
                <w:rFonts w:eastAsia="MS Mincho"/>
                <w:bCs/>
                <w:i/>
                <w:iCs/>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2015) have show</w:t>
            </w:r>
            <w:r w:rsidRPr="00EC5399">
              <w:rPr>
                <w:rFonts w:eastAsia="MS Mincho"/>
                <w:bCs/>
                <w:color w:val="000000"/>
                <w:sz w:val="22"/>
                <w:szCs w:val="22"/>
                <w:lang w:val="en-US"/>
              </w:rPr>
              <w:t>n</w:t>
            </w:r>
            <w:r w:rsidRPr="0021277B">
              <w:rPr>
                <w:rFonts w:eastAsia="MS Mincho"/>
                <w:bCs/>
                <w:color w:val="000000"/>
                <w:sz w:val="22"/>
                <w:szCs w:val="22"/>
                <w:lang w:val="en-US"/>
              </w:rPr>
              <w:t xml:space="preserve">  high biological productivity. </w:t>
            </w:r>
          </w:p>
          <w:p w14:paraId="007B1BE4"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r>
      <w:tr w:rsidR="006B3F46" w:rsidRPr="0021277B" w14:paraId="709243B9" w14:textId="77777777" w:rsidTr="00907941">
        <w:tc>
          <w:tcPr>
            <w:tcW w:w="783" w:type="pct"/>
            <w:shd w:val="clear" w:color="auto" w:fill="auto"/>
          </w:tcPr>
          <w:p w14:paraId="5A7EE5ED"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80" w:type="pct"/>
            <w:shd w:val="clear" w:color="auto" w:fill="auto"/>
          </w:tcPr>
          <w:p w14:paraId="5147ACCB"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vAlign w:val="center"/>
          </w:tcPr>
          <w:p w14:paraId="45BCDB4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79355CC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0F362A2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2BFBA91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5A4D2BD6" w14:textId="77777777" w:rsidTr="00907941">
        <w:tc>
          <w:tcPr>
            <w:tcW w:w="5000" w:type="pct"/>
            <w:gridSpan w:val="11"/>
            <w:shd w:val="clear" w:color="auto" w:fill="auto"/>
          </w:tcPr>
          <w:p w14:paraId="363CF9C8" w14:textId="77777777" w:rsidR="006B3F46" w:rsidRPr="0021277B" w:rsidRDefault="006B3F46" w:rsidP="00907941">
            <w:pPr>
              <w:widowControl w:val="0"/>
              <w:autoSpaceDE w:val="0"/>
              <w:autoSpaceDN w:val="0"/>
              <w:adjustRightInd w:val="0"/>
              <w:rPr>
                <w:rFonts w:eastAsia="MS Mincho"/>
                <w:i/>
                <w:iCs/>
                <w:color w:val="000000"/>
                <w:sz w:val="22"/>
                <w:szCs w:val="22"/>
                <w:lang w:val="en-US"/>
              </w:rPr>
            </w:pPr>
            <w:r w:rsidRPr="0021277B">
              <w:rPr>
                <w:rFonts w:eastAsia="MS Mincho"/>
                <w:i/>
                <w:iCs/>
                <w:color w:val="000000"/>
                <w:sz w:val="22"/>
                <w:szCs w:val="22"/>
                <w:lang w:val="en-US"/>
              </w:rPr>
              <w:t>Explanation for ranking</w:t>
            </w:r>
          </w:p>
          <w:p w14:paraId="5C4744F2" w14:textId="77777777" w:rsidR="006B3F46" w:rsidRPr="0021277B" w:rsidRDefault="006B3F46" w:rsidP="006B3F46">
            <w:pPr>
              <w:pStyle w:val="ListParagraph"/>
              <w:widowControl w:val="0"/>
              <w:numPr>
                <w:ilvl w:val="0"/>
                <w:numId w:val="42"/>
              </w:numPr>
              <w:autoSpaceDE w:val="0"/>
              <w:autoSpaceDN w:val="0"/>
              <w:adjustRightInd w:val="0"/>
              <w:ind w:leftChars="0" w:left="319"/>
              <w:rPr>
                <w:rFonts w:eastAsia="MS Mincho"/>
                <w:bCs/>
                <w:color w:val="000000"/>
                <w:szCs w:val="22"/>
                <w:lang w:val="en-US"/>
              </w:rPr>
            </w:pPr>
            <w:r w:rsidRPr="0021277B">
              <w:rPr>
                <w:rFonts w:eastAsia="MS Mincho"/>
                <w:szCs w:val="22"/>
                <w:lang w:val="en-US"/>
              </w:rPr>
              <w:t xml:space="preserve">The Madeira-Tore </w:t>
            </w:r>
            <w:r>
              <w:rPr>
                <w:rFonts w:eastAsia="MS Mincho"/>
                <w:szCs w:val="22"/>
                <w:lang w:val="en-US"/>
              </w:rPr>
              <w:t>area</w:t>
            </w:r>
            <w:r w:rsidRPr="0021277B">
              <w:rPr>
                <w:rFonts w:eastAsia="MS Mincho"/>
                <w:szCs w:val="22"/>
                <w:lang w:val="en-US"/>
              </w:rPr>
              <w:t xml:space="preserve"> includes various species of scleractinians and gorgonians. In some seamounts the gorgonian and sponge species were reported to form dense aggregations of </w:t>
            </w:r>
            <w:r w:rsidRPr="0021277B">
              <w:rPr>
                <w:rFonts w:eastAsia="MS Mincho"/>
                <w:i/>
                <w:szCs w:val="22"/>
                <w:lang w:val="en-US"/>
              </w:rPr>
              <w:t>Callogorgia verticillata</w:t>
            </w:r>
            <w:r w:rsidRPr="0021277B">
              <w:rPr>
                <w:rFonts w:eastAsia="MS Mincho"/>
                <w:szCs w:val="22"/>
                <w:lang w:val="en-US"/>
              </w:rPr>
              <w:t xml:space="preserve"> and </w:t>
            </w:r>
            <w:r w:rsidRPr="0021277B">
              <w:rPr>
                <w:rFonts w:eastAsia="MS Mincho"/>
                <w:i/>
                <w:szCs w:val="22"/>
                <w:lang w:val="en-US"/>
              </w:rPr>
              <w:t>Elisella flagellum,</w:t>
            </w:r>
            <w:r w:rsidRPr="0021277B">
              <w:rPr>
                <w:rFonts w:eastAsia="MS Mincho"/>
                <w:szCs w:val="22"/>
                <w:lang w:val="en-US"/>
              </w:rPr>
              <w:t xml:space="preserve"> which may represent important feeding and sheltering grounds for seamount fishes</w:t>
            </w:r>
            <w:r>
              <w:rPr>
                <w:rFonts w:eastAsia="MS Mincho"/>
                <w:szCs w:val="22"/>
                <w:lang w:val="en-US"/>
              </w:rPr>
              <w:t>,</w:t>
            </w:r>
            <w:r w:rsidRPr="0021277B">
              <w:rPr>
                <w:rFonts w:eastAsia="MS Mincho"/>
                <w:szCs w:val="22"/>
                <w:lang w:val="en-US"/>
              </w:rPr>
              <w:t xml:space="preserve"> potential shark nurseries, and thickets of habitat-forming scleractinian </w:t>
            </w:r>
            <w:r w:rsidRPr="0021277B">
              <w:rPr>
                <w:rFonts w:eastAsia="MS Mincho"/>
                <w:i/>
                <w:szCs w:val="22"/>
                <w:lang w:val="en-US"/>
              </w:rPr>
              <w:t>Lophelia pertusa</w:t>
            </w:r>
            <w:r w:rsidRPr="0021277B">
              <w:rPr>
                <w:rFonts w:eastAsia="MS Mincho"/>
                <w:szCs w:val="22"/>
                <w:lang w:val="en-US"/>
              </w:rPr>
              <w:t xml:space="preserve"> (WWF, 2001; Etnoyer &amp; Warrenchuk, 2007; OSPAR, 2011). Cold-water, habitat-forming corals can shelter higher megafauna in association </w:t>
            </w:r>
            <w:r>
              <w:rPr>
                <w:rFonts w:eastAsia="MS Mincho"/>
                <w:szCs w:val="22"/>
                <w:lang w:val="en-US"/>
              </w:rPr>
              <w:t>with</w:t>
            </w:r>
            <w:r w:rsidRPr="0021277B">
              <w:rPr>
                <w:rFonts w:eastAsia="MS Mincho"/>
                <w:szCs w:val="22"/>
                <w:lang w:val="en-US"/>
              </w:rPr>
              <w:t xml:space="preserve"> the corals than other habitats without coral communit</w:t>
            </w:r>
            <w:r>
              <w:rPr>
                <w:rFonts w:eastAsia="MS Mincho"/>
                <w:szCs w:val="22"/>
                <w:lang w:val="en-US"/>
              </w:rPr>
              <w:t>ies</w:t>
            </w:r>
            <w:r w:rsidRPr="0021277B">
              <w:rPr>
                <w:rFonts w:eastAsia="MS Mincho"/>
                <w:szCs w:val="22"/>
                <w:lang w:val="en-US"/>
              </w:rPr>
              <w:t xml:space="preserve"> (Roberts </w:t>
            </w:r>
            <w:r w:rsidRPr="0006066A">
              <w:rPr>
                <w:rFonts w:eastAsia="MS Mincho"/>
                <w:i/>
                <w:iCs/>
                <w:szCs w:val="22"/>
                <w:lang w:val="en-US"/>
              </w:rPr>
              <w:t>et al</w:t>
            </w:r>
            <w:r w:rsidRPr="0021277B">
              <w:rPr>
                <w:rFonts w:eastAsia="MS Mincho"/>
                <w:szCs w:val="22"/>
                <w:lang w:val="en-US"/>
              </w:rPr>
              <w:t xml:space="preserve">, 2006; Mortensen </w:t>
            </w:r>
            <w:r w:rsidRPr="0006066A">
              <w:rPr>
                <w:rFonts w:eastAsia="MS Mincho"/>
                <w:i/>
                <w:iCs/>
                <w:szCs w:val="22"/>
                <w:lang w:val="en-US"/>
              </w:rPr>
              <w:t>et al</w:t>
            </w:r>
            <w:r w:rsidRPr="0021277B">
              <w:rPr>
                <w:rFonts w:eastAsia="MS Mincho"/>
                <w:szCs w:val="22"/>
                <w:lang w:val="en-US"/>
              </w:rPr>
              <w:t xml:space="preserve">, 2008, Rogers </w:t>
            </w:r>
            <w:r w:rsidRPr="0006066A">
              <w:rPr>
                <w:rFonts w:eastAsia="MS Mincho"/>
                <w:i/>
                <w:iCs/>
                <w:szCs w:val="22"/>
                <w:lang w:val="en-US"/>
              </w:rPr>
              <w:t>et al</w:t>
            </w:r>
            <w:r w:rsidRPr="0021277B">
              <w:rPr>
                <w:rFonts w:eastAsia="MS Mincho"/>
                <w:szCs w:val="22"/>
                <w:lang w:val="en-US"/>
              </w:rPr>
              <w:t>, 2008).</w:t>
            </w:r>
          </w:p>
          <w:p w14:paraId="352CE935" w14:textId="77777777" w:rsidR="006B3F46" w:rsidRPr="0021277B" w:rsidRDefault="006B3F46" w:rsidP="006B3F46">
            <w:pPr>
              <w:pStyle w:val="ListParagraph"/>
              <w:widowControl w:val="0"/>
              <w:numPr>
                <w:ilvl w:val="0"/>
                <w:numId w:val="42"/>
              </w:numPr>
              <w:autoSpaceDE w:val="0"/>
              <w:autoSpaceDN w:val="0"/>
              <w:adjustRightInd w:val="0"/>
              <w:ind w:leftChars="0" w:left="319"/>
              <w:rPr>
                <w:rFonts w:eastAsia="MS Mincho"/>
                <w:bCs/>
                <w:color w:val="000000"/>
                <w:szCs w:val="22"/>
                <w:lang w:val="en-US"/>
              </w:rPr>
            </w:pPr>
            <w:r w:rsidRPr="0021277B">
              <w:rPr>
                <w:rFonts w:eastAsia="MS Mincho"/>
                <w:bCs/>
                <w:color w:val="000000"/>
                <w:szCs w:val="22"/>
                <w:lang w:val="en-US"/>
              </w:rPr>
              <w:t xml:space="preserve">Records tell us that most of the structures included in the </w:t>
            </w:r>
            <w:r>
              <w:rPr>
                <w:rFonts w:eastAsia="MS Mincho"/>
                <w:bCs/>
                <w:color w:val="000000"/>
                <w:szCs w:val="22"/>
                <w:lang w:val="en-US"/>
              </w:rPr>
              <w:t>area</w:t>
            </w:r>
            <w:r w:rsidRPr="0021277B">
              <w:rPr>
                <w:rFonts w:eastAsia="MS Mincho"/>
                <w:bCs/>
                <w:color w:val="000000"/>
                <w:szCs w:val="22"/>
                <w:lang w:val="en-US"/>
              </w:rPr>
              <w:t xml:space="preserve"> harbo</w:t>
            </w:r>
            <w:r>
              <w:rPr>
                <w:rFonts w:eastAsia="MS Mincho"/>
                <w:bCs/>
                <w:color w:val="000000"/>
                <w:szCs w:val="22"/>
                <w:lang w:val="en-US"/>
              </w:rPr>
              <w:t>u</w:t>
            </w:r>
            <w:r w:rsidRPr="0021277B">
              <w:rPr>
                <w:rFonts w:eastAsia="MS Mincho"/>
                <w:bCs/>
                <w:color w:val="000000"/>
                <w:szCs w:val="22"/>
                <w:lang w:val="en-US"/>
              </w:rPr>
              <w:t xml:space="preserve">r a rich benthic fauna typically dominated by suspension-feeding organisms, of which cold-water corals and sponges are the dominant elements. The structures also </w:t>
            </w:r>
            <w:r w:rsidRPr="00E8183C">
              <w:rPr>
                <w:rFonts w:eastAsia="MS Mincho"/>
                <w:bCs/>
                <w:color w:val="000000"/>
                <w:szCs w:val="22"/>
                <w:lang w:val="en-US"/>
              </w:rPr>
              <w:t>host</w:t>
            </w:r>
            <w:r w:rsidRPr="005911B1">
              <w:rPr>
                <w:rFonts w:eastAsia="MS Mincho"/>
                <w:bCs/>
                <w:color w:val="000000"/>
                <w:szCs w:val="22"/>
                <w:lang w:val="en-US"/>
              </w:rPr>
              <w:t xml:space="preserve"> </w:t>
            </w:r>
            <w:r w:rsidRPr="0021277B">
              <w:rPr>
                <w:rFonts w:eastAsia="MS Mincho"/>
                <w:bCs/>
                <w:color w:val="000000"/>
                <w:szCs w:val="22"/>
                <w:lang w:val="en-US"/>
              </w:rPr>
              <w:t>large aggregations of demersal or benthopelagic fish.</w:t>
            </w:r>
          </w:p>
          <w:p w14:paraId="16FB624F" w14:textId="77777777" w:rsidR="006B3F46" w:rsidRDefault="006B3F46" w:rsidP="006B3F46">
            <w:pPr>
              <w:pStyle w:val="ListParagraph"/>
              <w:widowControl w:val="0"/>
              <w:numPr>
                <w:ilvl w:val="0"/>
                <w:numId w:val="42"/>
              </w:numPr>
              <w:autoSpaceDE w:val="0"/>
              <w:autoSpaceDN w:val="0"/>
              <w:adjustRightInd w:val="0"/>
              <w:ind w:leftChars="0" w:left="319"/>
              <w:rPr>
                <w:rFonts w:eastAsia="MS Mincho"/>
                <w:bCs/>
                <w:color w:val="000000"/>
                <w:szCs w:val="22"/>
                <w:lang w:val="en-US"/>
              </w:rPr>
            </w:pPr>
            <w:r w:rsidRPr="0021277B">
              <w:rPr>
                <w:rFonts w:eastAsia="MS Mincho"/>
                <w:bCs/>
                <w:color w:val="000000"/>
                <w:szCs w:val="22"/>
                <w:lang w:val="en-US"/>
              </w:rPr>
              <w:t xml:space="preserve">In the Ampere, Gorringe </w:t>
            </w:r>
            <w:r>
              <w:rPr>
                <w:rFonts w:eastAsia="MS Mincho"/>
                <w:bCs/>
                <w:color w:val="000000"/>
                <w:szCs w:val="22"/>
                <w:lang w:val="en-US"/>
              </w:rPr>
              <w:t>B</w:t>
            </w:r>
            <w:r w:rsidRPr="0021277B">
              <w:rPr>
                <w:rFonts w:eastAsia="MS Mincho"/>
                <w:bCs/>
                <w:color w:val="000000"/>
                <w:szCs w:val="22"/>
                <w:lang w:val="en-US"/>
              </w:rPr>
              <w:t xml:space="preserve">ank, Josephine and Seine there </w:t>
            </w:r>
            <w:r>
              <w:rPr>
                <w:rFonts w:eastAsia="MS Mincho"/>
                <w:bCs/>
                <w:color w:val="000000"/>
                <w:szCs w:val="22"/>
                <w:lang w:val="en-US"/>
              </w:rPr>
              <w:t>is</w:t>
            </w:r>
            <w:r w:rsidRPr="0021277B">
              <w:rPr>
                <w:rFonts w:eastAsia="MS Mincho"/>
                <w:bCs/>
                <w:color w:val="000000"/>
                <w:szCs w:val="22"/>
                <w:lang w:val="en-US"/>
              </w:rPr>
              <w:t xml:space="preserve"> evidence of a great diversity, with record</w:t>
            </w:r>
            <w:r>
              <w:rPr>
                <w:rFonts w:eastAsia="MS Mincho"/>
                <w:bCs/>
                <w:color w:val="000000"/>
                <w:szCs w:val="22"/>
                <w:lang w:val="en-US"/>
              </w:rPr>
              <w:t>s</w:t>
            </w:r>
            <w:r w:rsidRPr="0021277B">
              <w:rPr>
                <w:rFonts w:eastAsia="MS Mincho"/>
                <w:bCs/>
                <w:color w:val="000000"/>
                <w:szCs w:val="22"/>
                <w:lang w:val="en-US"/>
              </w:rPr>
              <w:t xml:space="preserve"> of midwater fish as major predators of zooplankton</w:t>
            </w:r>
            <w:r>
              <w:rPr>
                <w:rFonts w:eastAsia="MS Mincho"/>
                <w:bCs/>
                <w:color w:val="000000"/>
                <w:szCs w:val="22"/>
                <w:lang w:val="en-US"/>
              </w:rPr>
              <w:t>.</w:t>
            </w:r>
            <w:r w:rsidRPr="0021277B">
              <w:rPr>
                <w:rFonts w:eastAsia="MS Mincho"/>
                <w:bCs/>
                <w:color w:val="000000"/>
                <w:szCs w:val="22"/>
                <w:lang w:val="en-US"/>
              </w:rPr>
              <w:t xml:space="preserve"> For example, the hatchetfish </w:t>
            </w:r>
            <w:r w:rsidRPr="0021277B">
              <w:rPr>
                <w:rFonts w:eastAsia="MS Mincho"/>
                <w:bCs/>
                <w:i/>
                <w:color w:val="000000"/>
                <w:szCs w:val="22"/>
                <w:lang w:val="en-US"/>
              </w:rPr>
              <w:t>Argyropelecus aculeatus</w:t>
            </w:r>
            <w:r w:rsidRPr="0021277B">
              <w:rPr>
                <w:rFonts w:eastAsia="MS Mincho"/>
                <w:bCs/>
                <w:color w:val="000000"/>
                <w:szCs w:val="22"/>
                <w:lang w:val="en-US"/>
              </w:rPr>
              <w:t xml:space="preserve"> is equally abundant over the slopes of Ampere, Gorringe </w:t>
            </w:r>
            <w:r>
              <w:rPr>
                <w:rFonts w:eastAsia="MS Mincho"/>
                <w:bCs/>
                <w:color w:val="000000"/>
                <w:szCs w:val="22"/>
                <w:lang w:val="en-US"/>
              </w:rPr>
              <w:t>B</w:t>
            </w:r>
            <w:r w:rsidRPr="0021277B">
              <w:rPr>
                <w:rFonts w:eastAsia="MS Mincho"/>
                <w:bCs/>
                <w:color w:val="000000"/>
                <w:szCs w:val="22"/>
                <w:lang w:val="en-US"/>
              </w:rPr>
              <w:t xml:space="preserve">ank, Josephine and Seine seamounts (Pusch </w:t>
            </w:r>
            <w:r w:rsidRPr="0006066A">
              <w:rPr>
                <w:rFonts w:eastAsia="MS Mincho"/>
                <w:bCs/>
                <w:i/>
                <w:iCs/>
                <w:color w:val="000000"/>
                <w:szCs w:val="22"/>
                <w:lang w:val="en-US"/>
              </w:rPr>
              <w:t>et al</w:t>
            </w:r>
            <w:r w:rsidRPr="0021277B">
              <w:rPr>
                <w:rFonts w:eastAsia="MS Mincho"/>
                <w:bCs/>
                <w:i/>
                <w:color w:val="000000"/>
                <w:szCs w:val="22"/>
                <w:lang w:val="en-US"/>
              </w:rPr>
              <w:t>.,</w:t>
            </w:r>
            <w:r w:rsidRPr="0021277B">
              <w:rPr>
                <w:rFonts w:eastAsia="MS Mincho"/>
                <w:bCs/>
                <w:color w:val="000000"/>
                <w:szCs w:val="22"/>
                <w:lang w:val="en-US"/>
              </w:rPr>
              <w:t xml:space="preserve"> 2004), </w:t>
            </w:r>
            <w:r>
              <w:rPr>
                <w:rFonts w:eastAsia="MS Mincho"/>
                <w:bCs/>
                <w:color w:val="000000"/>
                <w:szCs w:val="22"/>
                <w:lang w:val="en-US"/>
              </w:rPr>
              <w:t>and</w:t>
            </w:r>
            <w:r w:rsidRPr="0021277B">
              <w:rPr>
                <w:rFonts w:eastAsia="MS Mincho"/>
                <w:bCs/>
                <w:color w:val="000000"/>
                <w:szCs w:val="22"/>
                <w:lang w:val="en-US"/>
              </w:rPr>
              <w:t xml:space="preserve"> probably form</w:t>
            </w:r>
            <w:r>
              <w:rPr>
                <w:rFonts w:eastAsia="MS Mincho"/>
                <w:bCs/>
                <w:color w:val="000000"/>
                <w:szCs w:val="22"/>
                <w:lang w:val="en-US"/>
              </w:rPr>
              <w:t>s</w:t>
            </w:r>
            <w:r w:rsidRPr="0021277B">
              <w:rPr>
                <w:rFonts w:eastAsia="MS Mincho"/>
                <w:bCs/>
                <w:color w:val="000000"/>
                <w:szCs w:val="22"/>
                <w:lang w:val="en-US"/>
              </w:rPr>
              <w:t xml:space="preserve"> an important trophic link to higher predators (</w:t>
            </w:r>
            <w:r w:rsidRPr="0021277B">
              <w:rPr>
                <w:rFonts w:eastAsia="MS Mincho"/>
                <w:bCs/>
                <w:iCs/>
                <w:color w:val="000000"/>
                <w:szCs w:val="22"/>
                <w:lang w:val="en-US"/>
              </w:rPr>
              <w:t>e.g.,</w:t>
            </w:r>
            <w:r w:rsidRPr="0021277B">
              <w:rPr>
                <w:rFonts w:eastAsia="MS Mincho"/>
                <w:bCs/>
                <w:color w:val="000000"/>
                <w:szCs w:val="22"/>
                <w:lang w:val="en-US"/>
              </w:rPr>
              <w:t xml:space="preserve"> </w:t>
            </w:r>
            <w:r w:rsidRPr="00DE27B7">
              <w:rPr>
                <w:rFonts w:eastAsia="MS Mincho"/>
                <w:bCs/>
                <w:color w:val="000000"/>
                <w:szCs w:val="22"/>
                <w:lang w:val="en-US"/>
              </w:rPr>
              <w:t>almaco jack</w:t>
            </w:r>
            <w:r>
              <w:rPr>
                <w:rFonts w:eastAsia="MS Mincho"/>
                <w:bCs/>
                <w:color w:val="000000"/>
                <w:szCs w:val="22"/>
                <w:lang w:val="en-US"/>
              </w:rPr>
              <w:t xml:space="preserve"> –</w:t>
            </w:r>
            <w:r w:rsidRPr="005911B1">
              <w:rPr>
                <w:rFonts w:eastAsia="MS Mincho"/>
                <w:bCs/>
                <w:i/>
                <w:color w:val="000000"/>
                <w:szCs w:val="22"/>
                <w:lang w:val="en-US"/>
              </w:rPr>
              <w:t xml:space="preserve"> </w:t>
            </w:r>
            <w:r w:rsidRPr="0021277B">
              <w:rPr>
                <w:rFonts w:eastAsia="MS Mincho"/>
                <w:bCs/>
                <w:i/>
                <w:color w:val="000000"/>
                <w:szCs w:val="22"/>
                <w:lang w:val="en-US"/>
              </w:rPr>
              <w:t>Seriola rivoliana</w:t>
            </w:r>
            <w:r w:rsidRPr="0021277B">
              <w:rPr>
                <w:rFonts w:eastAsia="MS Mincho"/>
                <w:bCs/>
                <w:color w:val="000000"/>
                <w:szCs w:val="22"/>
                <w:lang w:val="en-US"/>
              </w:rPr>
              <w:t>), including squids (</w:t>
            </w:r>
            <w:r w:rsidRPr="0021277B">
              <w:rPr>
                <w:rFonts w:eastAsia="MS Mincho"/>
                <w:bCs/>
                <w:iCs/>
                <w:color w:val="000000"/>
                <w:szCs w:val="22"/>
                <w:lang w:val="en-US"/>
              </w:rPr>
              <w:t>e.g.,</w:t>
            </w:r>
            <w:r w:rsidRPr="0021277B">
              <w:rPr>
                <w:rFonts w:eastAsia="MS Mincho"/>
                <w:bCs/>
                <w:color w:val="000000"/>
                <w:szCs w:val="22"/>
                <w:lang w:val="en-US"/>
              </w:rPr>
              <w:t xml:space="preserve"> </w:t>
            </w:r>
            <w:r w:rsidRPr="0021277B">
              <w:rPr>
                <w:rFonts w:eastAsia="MS Mincho"/>
                <w:bCs/>
                <w:i/>
                <w:color w:val="000000"/>
                <w:szCs w:val="22"/>
                <w:lang w:val="en-US"/>
              </w:rPr>
              <w:t>Taningia danae</w:t>
            </w:r>
            <w:r w:rsidRPr="0021277B">
              <w:rPr>
                <w:rFonts w:eastAsia="MS Mincho"/>
                <w:bCs/>
                <w:color w:val="000000"/>
                <w:szCs w:val="22"/>
                <w:lang w:val="en-US"/>
              </w:rPr>
              <w:t xml:space="preserve"> </w:t>
            </w:r>
            <w:r>
              <w:rPr>
                <w:rFonts w:eastAsia="MS Mincho"/>
                <w:bCs/>
                <w:color w:val="000000"/>
                <w:szCs w:val="22"/>
                <w:lang w:val="en-US"/>
              </w:rPr>
              <w:t xml:space="preserve">– </w:t>
            </w:r>
            <w:r w:rsidRPr="0021277B">
              <w:rPr>
                <w:rFonts w:eastAsia="MS Mincho"/>
                <w:bCs/>
                <w:color w:val="000000"/>
                <w:szCs w:val="22"/>
                <w:lang w:val="en-US"/>
              </w:rPr>
              <w:t>Dana octopus squid), piscivorous fishes (</w:t>
            </w:r>
            <w:r w:rsidRPr="0021277B">
              <w:rPr>
                <w:rFonts w:eastAsia="MS Mincho"/>
                <w:bCs/>
                <w:iCs/>
                <w:color w:val="000000"/>
                <w:szCs w:val="22"/>
                <w:lang w:val="en-US"/>
              </w:rPr>
              <w:t>e.g.,</w:t>
            </w:r>
            <w:r w:rsidRPr="0021277B">
              <w:rPr>
                <w:rFonts w:eastAsia="MS Mincho"/>
                <w:bCs/>
                <w:color w:val="000000"/>
                <w:szCs w:val="22"/>
                <w:lang w:val="en-US"/>
              </w:rPr>
              <w:t xml:space="preserve"> </w:t>
            </w:r>
            <w:r w:rsidRPr="0021277B">
              <w:rPr>
                <w:rFonts w:eastAsia="MS Mincho"/>
                <w:bCs/>
                <w:i/>
                <w:color w:val="000000"/>
                <w:szCs w:val="22"/>
                <w:lang w:val="en-US"/>
              </w:rPr>
              <w:t>Thunnus thynnus</w:t>
            </w:r>
            <w:r>
              <w:rPr>
                <w:rFonts w:eastAsia="MS Mincho"/>
                <w:bCs/>
                <w:i/>
                <w:color w:val="000000"/>
                <w:szCs w:val="22"/>
                <w:lang w:val="en-US"/>
              </w:rPr>
              <w:t xml:space="preserve"> </w:t>
            </w:r>
            <w:r>
              <w:rPr>
                <w:rFonts w:eastAsia="MS Mincho"/>
                <w:bCs/>
                <w:color w:val="000000"/>
                <w:szCs w:val="22"/>
                <w:lang w:val="en-US"/>
              </w:rPr>
              <w:t>–</w:t>
            </w:r>
            <w:r w:rsidRPr="0021277B">
              <w:rPr>
                <w:szCs w:val="22"/>
              </w:rPr>
              <w:t xml:space="preserve"> </w:t>
            </w:r>
            <w:r w:rsidRPr="0021277B">
              <w:rPr>
                <w:rFonts w:eastAsia="MS Mincho"/>
                <w:bCs/>
                <w:color w:val="000000"/>
                <w:szCs w:val="22"/>
                <w:lang w:val="en-US"/>
              </w:rPr>
              <w:t>Atlantic bluefin tuna), seabirds (</w:t>
            </w:r>
            <w:r w:rsidRPr="0021277B">
              <w:rPr>
                <w:rFonts w:eastAsia="MS Mincho"/>
                <w:bCs/>
                <w:iCs/>
                <w:color w:val="000000"/>
                <w:szCs w:val="22"/>
                <w:lang w:val="en-US"/>
              </w:rPr>
              <w:t>e.g.,</w:t>
            </w:r>
            <w:r w:rsidRPr="0021277B">
              <w:rPr>
                <w:rFonts w:eastAsia="MS Mincho"/>
                <w:bCs/>
                <w:color w:val="000000"/>
                <w:szCs w:val="22"/>
                <w:lang w:val="en-US"/>
              </w:rPr>
              <w:t xml:space="preserve"> </w:t>
            </w:r>
            <w:r w:rsidRPr="0021277B">
              <w:rPr>
                <w:rFonts w:eastAsia="MS Mincho"/>
                <w:bCs/>
                <w:i/>
                <w:color w:val="000000"/>
                <w:szCs w:val="22"/>
                <w:lang w:val="en-US"/>
              </w:rPr>
              <w:t>Calonectris diomedea</w:t>
            </w:r>
            <w:r w:rsidRPr="0021277B">
              <w:rPr>
                <w:rFonts w:eastAsia="MS Mincho"/>
                <w:bCs/>
                <w:color w:val="000000"/>
                <w:szCs w:val="22"/>
                <w:lang w:val="en-US"/>
              </w:rPr>
              <w:t xml:space="preserve"> </w:t>
            </w:r>
            <w:r>
              <w:rPr>
                <w:rFonts w:eastAsia="MS Mincho"/>
                <w:bCs/>
                <w:color w:val="000000"/>
                <w:szCs w:val="22"/>
                <w:lang w:val="en-US"/>
              </w:rPr>
              <w:t xml:space="preserve">– </w:t>
            </w:r>
            <w:r w:rsidRPr="0021277B">
              <w:rPr>
                <w:rFonts w:eastAsia="MS Mincho"/>
                <w:bCs/>
                <w:color w:val="000000"/>
                <w:szCs w:val="22"/>
                <w:lang w:val="en-US"/>
              </w:rPr>
              <w:t>Cory's shearwater), and marine mammals (</w:t>
            </w:r>
            <w:r w:rsidRPr="0021277B">
              <w:rPr>
                <w:rFonts w:eastAsia="MS Mincho"/>
                <w:bCs/>
                <w:i/>
                <w:color w:val="000000"/>
                <w:szCs w:val="22"/>
                <w:lang w:val="en-US"/>
              </w:rPr>
              <w:t>Physeter microcephalus</w:t>
            </w:r>
            <w:r w:rsidRPr="0021277B">
              <w:rPr>
                <w:rFonts w:eastAsia="MS Mincho"/>
                <w:bCs/>
                <w:color w:val="000000"/>
                <w:szCs w:val="22"/>
                <w:lang w:val="en-US"/>
              </w:rPr>
              <w:t xml:space="preserve"> </w:t>
            </w:r>
            <w:r>
              <w:rPr>
                <w:rFonts w:eastAsia="MS Mincho"/>
                <w:bCs/>
                <w:color w:val="000000"/>
                <w:szCs w:val="22"/>
                <w:lang w:val="en-US"/>
              </w:rPr>
              <w:t>– s</w:t>
            </w:r>
            <w:r w:rsidRPr="0021277B">
              <w:rPr>
                <w:rFonts w:eastAsia="MS Mincho"/>
                <w:bCs/>
                <w:color w:val="000000"/>
                <w:szCs w:val="22"/>
                <w:lang w:val="en-US"/>
              </w:rPr>
              <w:t xml:space="preserve">perm whale) present in most of the structures in </w:t>
            </w:r>
            <w:r>
              <w:rPr>
                <w:rFonts w:eastAsia="MS Mincho"/>
                <w:bCs/>
                <w:color w:val="000000"/>
                <w:szCs w:val="22"/>
                <w:lang w:val="en-US"/>
              </w:rPr>
              <w:t xml:space="preserve">the </w:t>
            </w:r>
            <w:r w:rsidRPr="0021277B">
              <w:rPr>
                <w:rFonts w:eastAsia="MS Mincho"/>
                <w:bCs/>
                <w:color w:val="000000"/>
                <w:szCs w:val="22"/>
                <w:lang w:val="en-US"/>
              </w:rPr>
              <w:t xml:space="preserve">Madeira-Tore area (see Introduction and Feature </w:t>
            </w:r>
            <w:r>
              <w:rPr>
                <w:rFonts w:eastAsia="MS Mincho"/>
                <w:bCs/>
                <w:color w:val="000000"/>
                <w:szCs w:val="22"/>
                <w:lang w:val="en-US"/>
              </w:rPr>
              <w:t>D</w:t>
            </w:r>
            <w:r w:rsidRPr="0021277B">
              <w:rPr>
                <w:rFonts w:eastAsia="MS Mincho"/>
                <w:bCs/>
                <w:color w:val="000000"/>
                <w:szCs w:val="22"/>
                <w:lang w:val="en-US"/>
              </w:rPr>
              <w:t>escription of the area).</w:t>
            </w:r>
          </w:p>
          <w:p w14:paraId="44F73230" w14:textId="77777777" w:rsidR="006B3F46" w:rsidRPr="0021277B" w:rsidRDefault="006B3F46" w:rsidP="00907941">
            <w:pPr>
              <w:pStyle w:val="ListParagraph"/>
              <w:widowControl w:val="0"/>
              <w:autoSpaceDE w:val="0"/>
              <w:autoSpaceDN w:val="0"/>
              <w:adjustRightInd w:val="0"/>
              <w:ind w:left="960"/>
              <w:rPr>
                <w:rFonts w:eastAsia="MS Mincho"/>
                <w:bCs/>
                <w:color w:val="000000"/>
                <w:szCs w:val="22"/>
                <w:lang w:val="en-US"/>
              </w:rPr>
            </w:pPr>
          </w:p>
        </w:tc>
      </w:tr>
      <w:tr w:rsidR="006B3F46" w:rsidRPr="0021277B" w14:paraId="267F58EC" w14:textId="77777777" w:rsidTr="00907941">
        <w:tc>
          <w:tcPr>
            <w:tcW w:w="783" w:type="pct"/>
            <w:shd w:val="clear" w:color="auto" w:fill="auto"/>
          </w:tcPr>
          <w:p w14:paraId="5D9786C2"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95" w:type="pct"/>
            <w:gridSpan w:val="2"/>
            <w:shd w:val="clear" w:color="auto" w:fill="auto"/>
          </w:tcPr>
          <w:p w14:paraId="1919AE66"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vAlign w:val="center"/>
          </w:tcPr>
          <w:p w14:paraId="09444471"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53" w:type="pct"/>
            <w:gridSpan w:val="2"/>
            <w:shd w:val="clear" w:color="auto" w:fill="auto"/>
            <w:vAlign w:val="center"/>
          </w:tcPr>
          <w:p w14:paraId="1B025E2C"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vAlign w:val="center"/>
          </w:tcPr>
          <w:p w14:paraId="44E37D86"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sidRPr="0021277B">
              <w:rPr>
                <w:rFonts w:eastAsia="MS Mincho"/>
                <w:color w:val="000000"/>
                <w:sz w:val="22"/>
                <w:szCs w:val="22"/>
                <w:lang w:val="en-US"/>
              </w:rPr>
              <w:t>X</w:t>
            </w:r>
          </w:p>
        </w:tc>
        <w:tc>
          <w:tcPr>
            <w:tcW w:w="385" w:type="pct"/>
            <w:shd w:val="clear" w:color="auto" w:fill="auto"/>
            <w:vAlign w:val="center"/>
          </w:tcPr>
          <w:p w14:paraId="665358B7"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47C2BB2F" w14:textId="77777777" w:rsidTr="00907941">
        <w:tc>
          <w:tcPr>
            <w:tcW w:w="5000" w:type="pct"/>
            <w:gridSpan w:val="11"/>
            <w:shd w:val="clear" w:color="auto" w:fill="auto"/>
          </w:tcPr>
          <w:p w14:paraId="7E83138C" w14:textId="77777777" w:rsidR="006B3F46"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Out of a total of 12 out of 17 undersea structures there are no records of anthropogenic disturbances</w:t>
            </w:r>
            <w:r w:rsidRPr="000B1DEC">
              <w:rPr>
                <w:rFonts w:eastAsia="MS Mincho"/>
                <w:color w:val="000000"/>
                <w:sz w:val="22"/>
                <w:szCs w:val="22"/>
                <w:lang w:val="en-US"/>
              </w:rPr>
              <w:t xml:space="preserve"> (</w:t>
            </w:r>
            <w:r w:rsidRPr="0021277B">
              <w:rPr>
                <w:rFonts w:eastAsia="MS Mincho"/>
                <w:bCs/>
                <w:color w:val="000000"/>
                <w:sz w:val="22"/>
                <w:szCs w:val="22"/>
                <w:lang w:val="en-US"/>
              </w:rPr>
              <w:t xml:space="preserve">Campos </w:t>
            </w:r>
            <w:r w:rsidRPr="0006066A">
              <w:rPr>
                <w:rFonts w:eastAsia="MS Mincho"/>
                <w:bCs/>
                <w:i/>
                <w:color w:val="000000"/>
                <w:sz w:val="22"/>
                <w:szCs w:val="22"/>
                <w:lang w:val="en-US"/>
              </w:rPr>
              <w:t>et al</w:t>
            </w:r>
            <w:r w:rsidRPr="0021277B">
              <w:rPr>
                <w:rFonts w:eastAsia="MS Mincho"/>
                <w:bCs/>
                <w:color w:val="000000"/>
                <w:sz w:val="22"/>
                <w:szCs w:val="22"/>
                <w:lang w:val="en-US"/>
              </w:rPr>
              <w:t>., 2019)</w:t>
            </w:r>
            <w:r w:rsidRPr="0021277B">
              <w:rPr>
                <w:rFonts w:eastAsia="MS Mincho"/>
                <w:color w:val="000000"/>
                <w:sz w:val="22"/>
                <w:szCs w:val="22"/>
                <w:lang w:val="en-US"/>
              </w:rPr>
              <w:t xml:space="preserve">. </w:t>
            </w:r>
          </w:p>
          <w:p w14:paraId="0591DC72"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tc>
      </w:tr>
    </w:tbl>
    <w:p w14:paraId="1493D5A4" w14:textId="77777777" w:rsidR="006B3F46" w:rsidRPr="00F66EF7" w:rsidRDefault="006B3F46" w:rsidP="00907941">
      <w:pPr>
        <w:jc w:val="both"/>
        <w:rPr>
          <w:rFonts w:eastAsia="MS Mincho"/>
          <w:b/>
          <w:bCs/>
          <w:color w:val="000000"/>
          <w:sz w:val="22"/>
          <w:szCs w:val="22"/>
          <w:lang w:val="en-US"/>
        </w:rPr>
      </w:pPr>
    </w:p>
    <w:p w14:paraId="0677A6B6"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References</w:t>
      </w:r>
    </w:p>
    <w:p w14:paraId="37433516"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Alteriis, G., Passaro, S. &amp; Tonielli, R. (2003) New, high resolution swath bathymetry of Gettysburg and Ormonde Seamounts (Gorringe Bank, eastern Atlantic) and first geological results. </w:t>
      </w:r>
      <w:r w:rsidRPr="009978E3">
        <w:rPr>
          <w:rFonts w:eastAsia="Calibri"/>
          <w:i/>
          <w:sz w:val="22"/>
          <w:szCs w:val="22"/>
          <w:lang w:val="en-US"/>
        </w:rPr>
        <w:t>Marine Geophysical Researches</w:t>
      </w:r>
      <w:r w:rsidRPr="009978E3">
        <w:rPr>
          <w:rFonts w:eastAsia="Calibri"/>
          <w:sz w:val="22"/>
          <w:szCs w:val="22"/>
          <w:lang w:val="en-US"/>
        </w:rPr>
        <w:t xml:space="preserve"> 24(3-4): 223–244. </w:t>
      </w:r>
    </w:p>
    <w:p w14:paraId="285863D6"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Auzende, J., Olivet, J., Lann, A., Pichon, J., Monteiro, A., Nicolas, S. &amp; Ribeiro, A. (1978) Sampling and observation of oceanic mantle and crust on Gorringe Bank, </w:t>
      </w:r>
      <w:r w:rsidRPr="009978E3">
        <w:rPr>
          <w:rFonts w:eastAsia="Calibri"/>
          <w:i/>
          <w:sz w:val="22"/>
          <w:szCs w:val="22"/>
          <w:lang w:val="en-US"/>
        </w:rPr>
        <w:t>Nature</w:t>
      </w:r>
      <w:r w:rsidRPr="009978E3">
        <w:rPr>
          <w:rFonts w:eastAsia="Calibri"/>
          <w:sz w:val="22"/>
          <w:szCs w:val="22"/>
          <w:lang w:val="en-US"/>
        </w:rPr>
        <w:t>, 273: 45–49.</w:t>
      </w:r>
    </w:p>
    <w:p w14:paraId="61FAD039"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Bett, B. (1999) </w:t>
      </w:r>
      <w:r w:rsidRPr="009978E3">
        <w:rPr>
          <w:rFonts w:eastAsia="Calibri"/>
          <w:i/>
          <w:sz w:val="22"/>
          <w:szCs w:val="22"/>
          <w:lang w:val="en-US"/>
        </w:rPr>
        <w:t>Cruise Report No. 25. RRS Charles Darwin Cruise 112C</w:t>
      </w:r>
      <w:r w:rsidRPr="009978E3">
        <w:rPr>
          <w:rFonts w:eastAsia="Calibri"/>
          <w:sz w:val="22"/>
          <w:szCs w:val="22"/>
          <w:lang w:val="en-US"/>
        </w:rPr>
        <w:t>, 19th May - 24th June, 1998 Atlantic Margin Environmental Survey: Seabed survey of the deep-water areas (17th Round Tranches) to the north and west of Scotland. NERC/University of Southampton. Published by Challenger Division for Seafloor Processes. Southampton Oceanography Centre, European Way, Southampton, SO14 3ZH.</w:t>
      </w:r>
    </w:p>
    <w:p w14:paraId="6E12FF7C"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Brewin, P., Stocks,  K. &amp; Menezes, G. (2007) A History of Seamount Research. Chapter 3. pp 41- 61. In Pitcher, T.J., Morato, T., Hart, P.J.B., Clark, M.R., Haggan, N. and Santos, R.S. (eds) </w:t>
      </w:r>
      <w:r w:rsidRPr="009978E3">
        <w:rPr>
          <w:rFonts w:eastAsia="Calibri"/>
          <w:i/>
          <w:sz w:val="22"/>
          <w:szCs w:val="22"/>
          <w:lang w:val="en-US"/>
        </w:rPr>
        <w:t>Seamounts: Ecology, Conservation and Management.</w:t>
      </w:r>
      <w:r w:rsidRPr="009978E3">
        <w:rPr>
          <w:rFonts w:eastAsia="Calibri"/>
          <w:sz w:val="22"/>
          <w:szCs w:val="22"/>
          <w:lang w:val="en-US"/>
        </w:rPr>
        <w:t xml:space="preserve"> Fish and Aquatic Resources Series, Blackwell, Oxford, UK.</w:t>
      </w:r>
    </w:p>
    <w:p w14:paraId="69E01DA6"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Buchanan, J. (1885) On Oceanic Shoals discovered in the S. Dacia in October 1883, </w:t>
      </w:r>
      <w:r w:rsidRPr="009978E3">
        <w:rPr>
          <w:rFonts w:eastAsia="Calibri"/>
          <w:i/>
          <w:sz w:val="22"/>
          <w:szCs w:val="22"/>
          <w:lang w:val="en-US"/>
        </w:rPr>
        <w:t xml:space="preserve">Proceedings of </w:t>
      </w:r>
    </w:p>
    <w:p w14:paraId="55DE4ED5" w14:textId="77777777" w:rsidR="006B3F46" w:rsidRDefault="006B3F46" w:rsidP="00907941">
      <w:pPr>
        <w:ind w:left="720" w:hanging="720"/>
        <w:jc w:val="both"/>
        <w:rPr>
          <w:sz w:val="22"/>
          <w:szCs w:val="22"/>
          <w:lang w:val="pt-PT"/>
        </w:rPr>
      </w:pPr>
      <w:r w:rsidRPr="00DC50DB">
        <w:rPr>
          <w:rFonts w:eastAsia="MS Mincho"/>
          <w:bCs/>
          <w:color w:val="000000"/>
          <w:sz w:val="22"/>
          <w:szCs w:val="22"/>
          <w:lang w:val="fr-FR"/>
        </w:rPr>
        <w:t xml:space="preserve">Campos, A., Lopes, P., Fonseca, P., Figueiredo, I., Henriques, V., Gouveia, N. &amp; Drago, T. (2019). </w:t>
      </w:r>
      <w:r w:rsidRPr="0021277B">
        <w:rPr>
          <w:rFonts w:eastAsia="MS Mincho"/>
          <w:bCs/>
          <w:color w:val="000000"/>
          <w:sz w:val="22"/>
          <w:szCs w:val="22"/>
          <w:lang w:val="en-US"/>
        </w:rPr>
        <w:t xml:space="preserve">Portuguese fisheries in seamounts of Madeira-Tore (NE Atlantic). Marine Policy, 99, 50-57. </w:t>
      </w:r>
    </w:p>
    <w:p w14:paraId="4C831FF0" w14:textId="77777777" w:rsidR="006B3F46" w:rsidRPr="009978E3" w:rsidRDefault="006B3F46" w:rsidP="00907941">
      <w:pPr>
        <w:ind w:left="851" w:hanging="851"/>
        <w:jc w:val="both"/>
        <w:rPr>
          <w:rFonts w:eastAsia="Calibri"/>
          <w:sz w:val="22"/>
          <w:szCs w:val="22"/>
          <w:lang w:val="en-US"/>
        </w:rPr>
      </w:pPr>
      <w:r w:rsidRPr="009978E3">
        <w:rPr>
          <w:sz w:val="22"/>
          <w:szCs w:val="22"/>
          <w:lang w:val="pt-PT"/>
        </w:rPr>
        <w:t xml:space="preserve">Carreiro-Silva, M., &amp; McClanahan, T. R. (2012). </w:t>
      </w:r>
      <w:r w:rsidRPr="009978E3">
        <w:rPr>
          <w:sz w:val="22"/>
          <w:szCs w:val="22"/>
        </w:rPr>
        <w:t xml:space="preserve">Macrobioerosion of dead branching Porites, 4 and 6 years after coral mass mortality. </w:t>
      </w:r>
      <w:r w:rsidRPr="009978E3">
        <w:rPr>
          <w:i/>
          <w:iCs/>
          <w:sz w:val="22"/>
          <w:szCs w:val="22"/>
        </w:rPr>
        <w:t>Marine Ecology Progress Series</w:t>
      </w:r>
      <w:r w:rsidRPr="009978E3">
        <w:rPr>
          <w:sz w:val="22"/>
          <w:szCs w:val="22"/>
        </w:rPr>
        <w:t xml:space="preserve">, </w:t>
      </w:r>
      <w:r w:rsidRPr="009978E3">
        <w:rPr>
          <w:i/>
          <w:iCs/>
          <w:sz w:val="22"/>
          <w:szCs w:val="22"/>
        </w:rPr>
        <w:t>458</w:t>
      </w:r>
      <w:r w:rsidRPr="009978E3">
        <w:rPr>
          <w:sz w:val="22"/>
          <w:szCs w:val="22"/>
        </w:rPr>
        <w:t>, 103-122.</w:t>
      </w:r>
    </w:p>
    <w:p w14:paraId="5D6D1CDE" w14:textId="77777777" w:rsidR="006B3F46" w:rsidRPr="009978E3" w:rsidRDefault="006B3F46" w:rsidP="00907941">
      <w:pPr>
        <w:ind w:left="851" w:hanging="851"/>
        <w:jc w:val="both"/>
        <w:rPr>
          <w:rStyle w:val="refsource"/>
          <w:rFonts w:eastAsia="Calibri"/>
          <w:szCs w:val="22"/>
          <w:lang w:val="en-US"/>
        </w:rPr>
      </w:pPr>
      <w:r w:rsidRPr="009978E3">
        <w:rPr>
          <w:sz w:val="22"/>
          <w:szCs w:val="22"/>
        </w:rPr>
        <w:t xml:space="preserve">Christiansen B, Martin B, Hirch S (2009) The benthopelagic fish fauna of Seine Seamount, NE Atlantic: composition, population structure and diets. </w:t>
      </w:r>
      <w:r w:rsidRPr="009978E3">
        <w:rPr>
          <w:sz w:val="22"/>
          <w:szCs w:val="22"/>
          <w:lang w:val="pt-PT"/>
        </w:rPr>
        <w:t xml:space="preserve">Deep-Sea Res II 56(25):2705–2712. </w:t>
      </w:r>
    </w:p>
    <w:p w14:paraId="3DF952F4" w14:textId="77777777" w:rsidR="006B3F46" w:rsidRPr="009978E3" w:rsidRDefault="006B3F46" w:rsidP="00907941">
      <w:pPr>
        <w:ind w:left="851" w:hanging="851"/>
        <w:jc w:val="both"/>
        <w:rPr>
          <w:rFonts w:eastAsia="Calibri"/>
          <w:sz w:val="22"/>
          <w:szCs w:val="22"/>
          <w:lang w:val="en-US"/>
        </w:rPr>
      </w:pPr>
      <w:r w:rsidRPr="009978E3">
        <w:rPr>
          <w:sz w:val="22"/>
          <w:szCs w:val="22"/>
        </w:rPr>
        <w:t xml:space="preserve">Christiansen, B. (2010). </w:t>
      </w:r>
      <w:r w:rsidRPr="009978E3">
        <w:rPr>
          <w:i/>
          <w:iCs/>
          <w:sz w:val="22"/>
          <w:szCs w:val="22"/>
        </w:rPr>
        <w:t xml:space="preserve">Short cruise report. </w:t>
      </w:r>
      <w:r w:rsidRPr="009978E3">
        <w:rPr>
          <w:i/>
          <w:iCs/>
          <w:sz w:val="22"/>
          <w:szCs w:val="22"/>
          <w:lang w:val="en-US"/>
        </w:rPr>
        <w:t>Meteor M 83/2. Mindelo-Cadiz. 16 November-22 December 2010</w:t>
      </w:r>
      <w:r w:rsidRPr="009978E3">
        <w:rPr>
          <w:sz w:val="22"/>
          <w:szCs w:val="22"/>
          <w:lang w:val="en-US"/>
        </w:rPr>
        <w:t xml:space="preserve">. </w:t>
      </w:r>
      <w:r w:rsidRPr="009978E3">
        <w:rPr>
          <w:sz w:val="22"/>
          <w:szCs w:val="22"/>
        </w:rPr>
        <w:t>Institut für Hydrobiologie und Fischereiwissenschaft.</w:t>
      </w:r>
    </w:p>
    <w:p w14:paraId="20F04078"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Christiansen, B., Martin, B. &amp; Hirch, S. (2009) The benthopelagic fish fauna on the summit of Seine Seamount, NE Atlantic: Composition, population structure and diets. </w:t>
      </w:r>
      <w:r w:rsidRPr="009978E3">
        <w:rPr>
          <w:rFonts w:eastAsia="Calibri"/>
          <w:i/>
          <w:sz w:val="22"/>
          <w:szCs w:val="22"/>
          <w:lang w:val="en-US"/>
        </w:rPr>
        <w:t>Deep-Sea Research Part II: Topical Studies in Oceanography</w:t>
      </w:r>
      <w:r w:rsidRPr="009978E3">
        <w:rPr>
          <w:rFonts w:eastAsia="Calibri"/>
          <w:sz w:val="22"/>
          <w:szCs w:val="22"/>
          <w:lang w:val="en-US"/>
        </w:rPr>
        <w:t xml:space="preserve"> 56(25): 2705–2712.</w:t>
      </w:r>
    </w:p>
    <w:p w14:paraId="3BE60FAA"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Clark, M. &amp; Tittensor, D. (2010) An index to assess the risk to stony corals from bottom trawling on seamounts. </w:t>
      </w:r>
      <w:r w:rsidRPr="009978E3">
        <w:rPr>
          <w:rFonts w:eastAsia="Calibri"/>
          <w:i/>
          <w:sz w:val="22"/>
          <w:szCs w:val="22"/>
          <w:lang w:val="en-US"/>
        </w:rPr>
        <w:t>Marine Ecology</w:t>
      </w:r>
      <w:r w:rsidRPr="009978E3">
        <w:rPr>
          <w:rFonts w:eastAsia="Calibri"/>
          <w:sz w:val="22"/>
          <w:szCs w:val="22"/>
          <w:lang w:val="en-US"/>
        </w:rPr>
        <w:t xml:space="preserve"> 31: 200-211.</w:t>
      </w:r>
    </w:p>
    <w:p w14:paraId="03F3BEF5"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Coelho, H. &amp; Santos, R. (2000) Enhanced primary production over seamounts: A numerical study. </w:t>
      </w:r>
      <w:r w:rsidRPr="009978E3">
        <w:rPr>
          <w:rFonts w:eastAsia="Calibri"/>
          <w:i/>
          <w:sz w:val="22"/>
          <w:szCs w:val="22"/>
          <w:lang w:val="en-US"/>
        </w:rPr>
        <w:t>4o Simpósio Sobre a Margem Ibérica Atlântica</w:t>
      </w:r>
      <w:r w:rsidRPr="009978E3">
        <w:rPr>
          <w:rFonts w:eastAsia="Calibri"/>
          <w:sz w:val="22"/>
          <w:szCs w:val="22"/>
          <w:lang w:val="en-US"/>
        </w:rPr>
        <w:t>, 3–4.</w:t>
      </w:r>
    </w:p>
    <w:p w14:paraId="38F17A72"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Consalvey, M., Clark, M., Rowden, A. &amp; Stocks K. (2010) Life on seamounts. In: McIntyre AD (ed.), </w:t>
      </w:r>
      <w:r w:rsidRPr="009978E3">
        <w:rPr>
          <w:rFonts w:eastAsia="Calibri"/>
          <w:i/>
          <w:sz w:val="22"/>
          <w:szCs w:val="22"/>
          <w:lang w:val="en-US"/>
        </w:rPr>
        <w:t>Life in the world’s oceans</w:t>
      </w:r>
      <w:r w:rsidRPr="009978E3">
        <w:rPr>
          <w:rFonts w:eastAsia="Calibri"/>
          <w:sz w:val="22"/>
          <w:szCs w:val="22"/>
          <w:lang w:val="en-US"/>
        </w:rPr>
        <w:t>. Oxford: Blackwell Publishing. pp 123–138.</w:t>
      </w:r>
    </w:p>
    <w:p w14:paraId="22F33F28"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Convention on Biological Diversity (2008) Decision IX/20. </w:t>
      </w:r>
      <w:r w:rsidRPr="009978E3">
        <w:rPr>
          <w:rFonts w:eastAsia="Calibri"/>
          <w:i/>
          <w:sz w:val="22"/>
          <w:szCs w:val="22"/>
          <w:lang w:val="en-US"/>
        </w:rPr>
        <w:t>Ninth meeting of the Conference of Parties to the Convention on Biological Diversity</w:t>
      </w:r>
      <w:r w:rsidRPr="009978E3">
        <w:rPr>
          <w:rFonts w:eastAsia="Calibri"/>
          <w:sz w:val="22"/>
          <w:szCs w:val="22"/>
          <w:lang w:val="en-US"/>
        </w:rPr>
        <w:t>. Montreal: Convention on Biological Diversity.</w:t>
      </w:r>
    </w:p>
    <w:p w14:paraId="68CAAFE7" w14:textId="77777777" w:rsidR="006B3F46" w:rsidRPr="009978E3" w:rsidRDefault="006B3F46" w:rsidP="00907941">
      <w:pPr>
        <w:ind w:left="851" w:hanging="851"/>
        <w:jc w:val="both"/>
        <w:rPr>
          <w:rFonts w:eastAsia="Calibri"/>
          <w:sz w:val="22"/>
          <w:szCs w:val="22"/>
          <w:lang w:val="en-US"/>
        </w:rPr>
      </w:pPr>
      <w:r w:rsidRPr="009978E3">
        <w:rPr>
          <w:sz w:val="22"/>
          <w:szCs w:val="22"/>
          <w:lang w:val="pt-PT"/>
        </w:rPr>
        <w:t xml:space="preserve">Correia, A. M., Tepsich, P., Rosso, M., Caldeira, R., &amp; Sousa-Pinto, I. (2015). </w:t>
      </w:r>
      <w:r w:rsidRPr="009978E3">
        <w:rPr>
          <w:sz w:val="22"/>
          <w:szCs w:val="22"/>
        </w:rPr>
        <w:t xml:space="preserve">Cetacean occurrence and spatial distribution: Habitat modelling for offshore waters in the Portuguese EEZ (NE Atlantic). </w:t>
      </w:r>
      <w:r w:rsidRPr="009978E3">
        <w:rPr>
          <w:i/>
          <w:iCs/>
          <w:sz w:val="22"/>
          <w:szCs w:val="22"/>
        </w:rPr>
        <w:t>Journal of Marine Systems</w:t>
      </w:r>
      <w:r w:rsidRPr="009978E3">
        <w:rPr>
          <w:sz w:val="22"/>
          <w:szCs w:val="22"/>
        </w:rPr>
        <w:t xml:space="preserve">, </w:t>
      </w:r>
      <w:r w:rsidRPr="009978E3">
        <w:rPr>
          <w:i/>
          <w:iCs/>
          <w:sz w:val="22"/>
          <w:szCs w:val="22"/>
        </w:rPr>
        <w:t>143</w:t>
      </w:r>
      <w:r w:rsidRPr="009978E3">
        <w:rPr>
          <w:sz w:val="22"/>
          <w:szCs w:val="22"/>
        </w:rPr>
        <w:t>, 73-85.</w:t>
      </w:r>
    </w:p>
    <w:p w14:paraId="42CB30F8"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Correia, A., Tepsich, M., Rosso P., Caldeira M., &amp; Sousa-Pinto, I. (2015) Cetacean occurrence and spatial distribution: Habitat modelling for offshore waters in the Portuguese EEZ (NE Atlantic). </w:t>
      </w:r>
      <w:r w:rsidRPr="009978E3">
        <w:rPr>
          <w:rFonts w:eastAsia="Calibri"/>
          <w:i/>
          <w:sz w:val="22"/>
          <w:szCs w:val="22"/>
          <w:lang w:val="en-US"/>
        </w:rPr>
        <w:t>Journal of Marine Systems</w:t>
      </w:r>
      <w:r w:rsidRPr="009978E3">
        <w:rPr>
          <w:rFonts w:eastAsia="Calibri"/>
          <w:sz w:val="22"/>
          <w:szCs w:val="22"/>
          <w:lang w:val="en-US"/>
        </w:rPr>
        <w:t xml:space="preserve"> 143: 73– 85.</w:t>
      </w:r>
    </w:p>
    <w:p w14:paraId="08228432"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D’Oriano, F., Angeletti, L., Capotondi, L., Laurenzi, M., Lopez Correa, M., Taviani, M., Torelli, L., Trua, T., Vigliotti, L. &amp; Zitellini, N. (2010) Coral Patch and Ormonde seamounts as a product of the Madeira hotspot, Eastern Atlantic Ocean. </w:t>
      </w:r>
      <w:r w:rsidRPr="009978E3">
        <w:rPr>
          <w:rFonts w:eastAsia="Calibri"/>
          <w:i/>
          <w:sz w:val="22"/>
          <w:szCs w:val="22"/>
          <w:lang w:val="en-US"/>
        </w:rPr>
        <w:t>Terra Nova</w:t>
      </w:r>
      <w:r w:rsidRPr="009978E3">
        <w:rPr>
          <w:rFonts w:eastAsia="Calibri"/>
          <w:sz w:val="22"/>
          <w:szCs w:val="22"/>
          <w:lang w:val="en-US"/>
        </w:rPr>
        <w:t>, 22: 494–500.</w:t>
      </w:r>
    </w:p>
    <w:p w14:paraId="2F362D6F"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Denda, A. &amp; Christiansen, B. (2014) Zooplankton distribution patterns at two seamounts in the subtropical and tropical NE Atlantic. </w:t>
      </w:r>
      <w:r w:rsidRPr="009978E3">
        <w:rPr>
          <w:rFonts w:eastAsia="Calibri"/>
          <w:i/>
          <w:sz w:val="22"/>
          <w:szCs w:val="22"/>
          <w:lang w:val="en-US"/>
        </w:rPr>
        <w:t>Marine Ecology</w:t>
      </w:r>
      <w:r w:rsidRPr="009978E3">
        <w:rPr>
          <w:rFonts w:eastAsia="Calibri"/>
          <w:sz w:val="22"/>
          <w:szCs w:val="22"/>
          <w:lang w:val="en-US"/>
        </w:rPr>
        <w:t xml:space="preserve"> 35(2): 159–179.</w:t>
      </w:r>
    </w:p>
    <w:p w14:paraId="4C79C8CD"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Etnoyer, P. &amp; Warrenchuk, J. (2007) A catshark nursery in a deep gorgonian field in the Mississipi Canyon, Gulf of Mexico. </w:t>
      </w:r>
      <w:r w:rsidRPr="009978E3">
        <w:rPr>
          <w:rFonts w:eastAsia="Calibri"/>
          <w:i/>
          <w:sz w:val="22"/>
          <w:szCs w:val="22"/>
          <w:lang w:val="en-US"/>
        </w:rPr>
        <w:t>Bulletin of Marine Science</w:t>
      </w:r>
      <w:r w:rsidRPr="009978E3">
        <w:rPr>
          <w:rFonts w:eastAsia="Calibri"/>
          <w:sz w:val="22"/>
          <w:szCs w:val="22"/>
          <w:lang w:val="en-US"/>
        </w:rPr>
        <w:t xml:space="preserve"> 81: 553−559.</w:t>
      </w:r>
    </w:p>
    <w:p w14:paraId="77193344" w14:textId="77777777" w:rsidR="006B3F46" w:rsidRPr="009978E3" w:rsidRDefault="006B3F46" w:rsidP="00907941">
      <w:pPr>
        <w:ind w:left="851" w:hanging="851"/>
        <w:jc w:val="both"/>
        <w:rPr>
          <w:rFonts w:eastAsia="Calibri"/>
          <w:sz w:val="22"/>
          <w:szCs w:val="22"/>
          <w:lang w:val="en-US"/>
        </w:rPr>
      </w:pPr>
      <w:r w:rsidRPr="009978E3">
        <w:rPr>
          <w:sz w:val="22"/>
          <w:szCs w:val="22"/>
          <w:lang w:val="en-US"/>
        </w:rPr>
        <w:t xml:space="preserve">Faria, J. (2014). </w:t>
      </w:r>
      <w:r w:rsidRPr="009978E3">
        <w:rPr>
          <w:i/>
          <w:iCs/>
          <w:sz w:val="22"/>
          <w:szCs w:val="22"/>
        </w:rPr>
        <w:t>Using a seabird top predator to assess the adequacy of the Berlengas Marine Protected Area</w:t>
      </w:r>
      <w:r w:rsidRPr="009978E3">
        <w:rPr>
          <w:sz w:val="22"/>
          <w:szCs w:val="22"/>
        </w:rPr>
        <w:t xml:space="preserve"> (Master's thesis).</w:t>
      </w:r>
    </w:p>
    <w:p w14:paraId="1CD0ACE5"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Freese, J. (2001) Trawl-induced damage to sponges observed from a research submersible. </w:t>
      </w:r>
      <w:r w:rsidRPr="009978E3">
        <w:rPr>
          <w:rFonts w:eastAsia="Calibri"/>
          <w:i/>
          <w:sz w:val="22"/>
          <w:szCs w:val="22"/>
          <w:lang w:val="en-US"/>
        </w:rPr>
        <w:t>Marine Fisheries Review</w:t>
      </w:r>
      <w:r w:rsidRPr="009978E3">
        <w:rPr>
          <w:rFonts w:eastAsia="Calibri"/>
          <w:sz w:val="22"/>
          <w:szCs w:val="22"/>
          <w:lang w:val="en-US"/>
        </w:rPr>
        <w:t xml:space="preserve"> 63: 38–42.</w:t>
      </w:r>
    </w:p>
    <w:p w14:paraId="0C8583F8"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Freese, L., Auster, P., Heifetz, J. &amp; Wing, B. (1999) Effects of trawling on seafloor habitat and associated invertebrate taxa in the Gulf of Alaska. </w:t>
      </w:r>
      <w:r w:rsidRPr="009978E3">
        <w:rPr>
          <w:rFonts w:eastAsia="Calibri"/>
          <w:i/>
          <w:sz w:val="22"/>
          <w:szCs w:val="22"/>
          <w:lang w:val="en-US"/>
        </w:rPr>
        <w:t>Marine Ecology Progress Series</w:t>
      </w:r>
      <w:r w:rsidRPr="009978E3">
        <w:rPr>
          <w:rFonts w:eastAsia="Calibri"/>
          <w:sz w:val="22"/>
          <w:szCs w:val="22"/>
          <w:lang w:val="en-US"/>
        </w:rPr>
        <w:t xml:space="preserve"> 182: 119 –126.</w:t>
      </w:r>
    </w:p>
    <w:p w14:paraId="79246C19"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Geldmacher, J., Hoernle, K., Klügel, A., Wombacher, F. &amp; Berning, B. (2006) Origin and geochemical evolution of the Madeira</w:t>
      </w:r>
      <w:r w:rsidRPr="0021277B">
        <w:rPr>
          <w:rFonts w:ascii="Cambria Math" w:eastAsia="Calibri" w:hAnsi="Cambria Math" w:cs="Cambria Math"/>
          <w:sz w:val="22"/>
          <w:szCs w:val="22"/>
          <w:lang w:val="en-US"/>
        </w:rPr>
        <w:t>‐</w:t>
      </w:r>
      <w:r w:rsidRPr="00F66EF7">
        <w:rPr>
          <w:rFonts w:eastAsia="Calibri"/>
          <w:sz w:val="22"/>
          <w:szCs w:val="22"/>
          <w:lang w:val="en-US"/>
        </w:rPr>
        <w:t xml:space="preserve">Tore Rise (eastern North Atlantic). </w:t>
      </w:r>
      <w:r w:rsidRPr="009978E3">
        <w:rPr>
          <w:rFonts w:eastAsia="Calibri"/>
          <w:i/>
          <w:sz w:val="22"/>
          <w:szCs w:val="22"/>
          <w:lang w:val="en-US"/>
        </w:rPr>
        <w:t>Journal of Geophysical Research: Solid Earth</w:t>
      </w:r>
      <w:r w:rsidRPr="009978E3">
        <w:rPr>
          <w:rFonts w:eastAsia="Calibri"/>
          <w:sz w:val="22"/>
          <w:szCs w:val="22"/>
          <w:lang w:val="en-US"/>
        </w:rPr>
        <w:t xml:space="preserve"> (1978–2012), 111(B9).</w:t>
      </w:r>
    </w:p>
    <w:p w14:paraId="05540554"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Geldmacher, J., Hoernle, K., van den Bogaard, P., Duggen, S. &amp; Werner R. (2005) New 40Ar/39Ar age and geochemical data from seamounts in the Canary and Madeira volcanic provinces. </w:t>
      </w:r>
      <w:r w:rsidRPr="009978E3">
        <w:rPr>
          <w:rFonts w:eastAsia="Calibri"/>
          <w:i/>
          <w:sz w:val="22"/>
          <w:szCs w:val="22"/>
          <w:lang w:val="en-US"/>
        </w:rPr>
        <w:t>Earth and Planetary Science Letters</w:t>
      </w:r>
      <w:r w:rsidRPr="009978E3">
        <w:rPr>
          <w:rFonts w:eastAsia="Calibri"/>
          <w:sz w:val="22"/>
          <w:szCs w:val="22"/>
          <w:lang w:val="en-US"/>
        </w:rPr>
        <w:t xml:space="preserve"> 237: 85–101.</w:t>
      </w:r>
    </w:p>
    <w:p w14:paraId="035D1FF1"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Geldmacher, J., Hoernle, K., van den Bogaard, P., Zankl, G., &amp; Garbe-Schönberg, D. (2001) Earlier history of the≥ 70-Ma-old Canary hotspot based on the temporal and geochemical evolution of the Selvagen Archipelago and neighboring seamounts in the eastern North Atlantic. </w:t>
      </w:r>
      <w:r w:rsidRPr="009978E3">
        <w:rPr>
          <w:rFonts w:eastAsia="Calibri"/>
          <w:i/>
          <w:sz w:val="22"/>
          <w:szCs w:val="22"/>
          <w:lang w:val="en-US"/>
        </w:rPr>
        <w:t>Journal of Volcanology and Geothermal Research</w:t>
      </w:r>
      <w:r w:rsidRPr="009978E3">
        <w:rPr>
          <w:rFonts w:eastAsia="Calibri"/>
          <w:sz w:val="22"/>
          <w:szCs w:val="22"/>
          <w:lang w:val="en-US"/>
        </w:rPr>
        <w:t xml:space="preserve"> 111(1): 55-87.</w:t>
      </w:r>
    </w:p>
    <w:p w14:paraId="269F0B69"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Geldmacher, J., van den Bogaard, P., Hoernle, K., &amp; Schmincke, H. (2000) The 40Ar/39Ar age dating of the Madeira Archipelago and hotspot track (eastern North Atlantic). </w:t>
      </w:r>
      <w:r w:rsidRPr="009978E3">
        <w:rPr>
          <w:rFonts w:eastAsia="Calibri"/>
          <w:i/>
          <w:sz w:val="22"/>
          <w:szCs w:val="22"/>
          <w:lang w:val="en-US"/>
        </w:rPr>
        <w:t>Geochemistry, Geophysics, Geosystems</w:t>
      </w:r>
      <w:r w:rsidRPr="009978E3">
        <w:rPr>
          <w:rFonts w:eastAsia="Calibri"/>
          <w:sz w:val="22"/>
          <w:szCs w:val="22"/>
          <w:lang w:val="en-US"/>
        </w:rPr>
        <w:t xml:space="preserve"> 1(2).</w:t>
      </w:r>
    </w:p>
    <w:p w14:paraId="3E859116"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Gibson, C., Nabatov, V. &amp; Ozmidov, R. (1993) Measurements of turbulence and fossil turbulence near ampere seamount. </w:t>
      </w:r>
      <w:r w:rsidRPr="009978E3">
        <w:rPr>
          <w:rFonts w:eastAsia="Calibri"/>
          <w:i/>
          <w:sz w:val="22"/>
          <w:szCs w:val="22"/>
          <w:lang w:val="en-US"/>
        </w:rPr>
        <w:t>Dynamics of Atmospheres and Oceans</w:t>
      </w:r>
      <w:r w:rsidRPr="009978E3">
        <w:rPr>
          <w:rFonts w:eastAsia="Calibri"/>
          <w:sz w:val="22"/>
          <w:szCs w:val="22"/>
          <w:lang w:val="en-US"/>
        </w:rPr>
        <w:t xml:space="preserve"> 19(1-4): 175–204.</w:t>
      </w:r>
    </w:p>
    <w:p w14:paraId="251BDFF2" w14:textId="77777777" w:rsidR="006B3F46" w:rsidRPr="009978E3" w:rsidRDefault="006B3F46" w:rsidP="00907941">
      <w:pPr>
        <w:ind w:left="851" w:hanging="851"/>
        <w:jc w:val="both"/>
        <w:rPr>
          <w:rFonts w:eastAsia="Calibri"/>
          <w:sz w:val="22"/>
          <w:szCs w:val="22"/>
          <w:lang w:val="en-US"/>
        </w:rPr>
      </w:pPr>
      <w:r w:rsidRPr="009978E3">
        <w:rPr>
          <w:sz w:val="22"/>
          <w:szCs w:val="22"/>
          <w:lang w:val="pt-PT"/>
        </w:rPr>
        <w:t>Gil, A. (2018). Cetáceos na Zona Económica Exclusiva Continental Portuguesa: distribuição espaço-temporal e registo de novas ocorrências.</w:t>
      </w:r>
    </w:p>
    <w:p w14:paraId="396B106B"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Gofas, S. (2007). Rissoidae (Mollusca: Gastropoda) from northeast Atlantic seamounts. Journal of Natural History 41(13-16): 779-885.</w:t>
      </w:r>
    </w:p>
    <w:p w14:paraId="5B61B9FA"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Halbach, P., Pracejus, B. &amp; Marten, A. (1993) Geology and mineralogy of massive sulfide ores from the central Okinawa Trough  Japan. </w:t>
      </w:r>
      <w:r w:rsidRPr="009978E3">
        <w:rPr>
          <w:rFonts w:eastAsia="Calibri"/>
          <w:i/>
          <w:sz w:val="22"/>
          <w:szCs w:val="22"/>
          <w:lang w:val="en-US"/>
        </w:rPr>
        <w:t>Economic Geology</w:t>
      </w:r>
      <w:r w:rsidRPr="009978E3">
        <w:rPr>
          <w:rFonts w:eastAsia="Calibri"/>
          <w:sz w:val="22"/>
          <w:szCs w:val="22"/>
          <w:lang w:val="en-US"/>
        </w:rPr>
        <w:t xml:space="preserve"> 88: 2210- 2225.</w:t>
      </w:r>
    </w:p>
    <w:p w14:paraId="4F28953E"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Hatzky, J. (2005) Ampere Seamount. In: Wille PC (ed) </w:t>
      </w:r>
      <w:r w:rsidRPr="009978E3">
        <w:rPr>
          <w:rFonts w:eastAsia="Calibri"/>
          <w:i/>
          <w:sz w:val="22"/>
          <w:szCs w:val="22"/>
          <w:lang w:val="en-US"/>
        </w:rPr>
        <w:t>Sound imagesof the ocean in research and monitoring</w:t>
      </w:r>
      <w:r w:rsidRPr="009978E3">
        <w:rPr>
          <w:rFonts w:eastAsia="Calibri"/>
          <w:sz w:val="22"/>
          <w:szCs w:val="22"/>
          <w:lang w:val="en-US"/>
        </w:rPr>
        <w:t>. Springer, Berlin, pp 131–132.</w:t>
      </w:r>
    </w:p>
    <w:p w14:paraId="62F25B2A"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Hesthagen, I. (1970) On the near-bottom plankton and benthic invertebrate fauna of the Josephine Seamount and Great Meteor Seamount. </w:t>
      </w:r>
      <w:r w:rsidRPr="009978E3">
        <w:rPr>
          <w:rFonts w:eastAsia="Calibri"/>
          <w:i/>
          <w:sz w:val="22"/>
          <w:szCs w:val="22"/>
          <w:lang w:val="en-US"/>
        </w:rPr>
        <w:t>Meteor Forschungs-Ergebnisse</w:t>
      </w:r>
      <w:r w:rsidRPr="009978E3">
        <w:rPr>
          <w:rFonts w:eastAsia="Calibri"/>
          <w:sz w:val="22"/>
          <w:szCs w:val="22"/>
          <w:lang w:val="en-US"/>
        </w:rPr>
        <w:t xml:space="preserve"> 8: 61-70.</w:t>
      </w:r>
    </w:p>
    <w:p w14:paraId="06A04CD4"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Hirch, S. &amp; Christiansen, B (2010) The trophic blockage hypothesis is not supported by the diets of fishes on Seine Seamount. </w:t>
      </w:r>
      <w:r w:rsidRPr="009978E3">
        <w:rPr>
          <w:rFonts w:eastAsia="Calibri"/>
          <w:i/>
          <w:sz w:val="22"/>
          <w:szCs w:val="22"/>
          <w:lang w:val="en-US"/>
        </w:rPr>
        <w:t>Marine Ecology</w:t>
      </w:r>
      <w:r w:rsidRPr="009978E3">
        <w:rPr>
          <w:rFonts w:eastAsia="Calibri"/>
          <w:sz w:val="22"/>
          <w:szCs w:val="22"/>
          <w:lang w:val="en-US"/>
        </w:rPr>
        <w:t xml:space="preserve"> 31(1): 107–120.</w:t>
      </w:r>
    </w:p>
    <w:p w14:paraId="4EB00A13"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Jiménez-Munt, I., Fernandez, M., Torne, M. &amp; Bird, P. (2001) The transition from linear to diffuse plate boundary in the Azores-Gibraltar region: Results from a thin-sheet model. </w:t>
      </w:r>
      <w:r w:rsidRPr="009978E3">
        <w:rPr>
          <w:rFonts w:eastAsia="Calibri"/>
          <w:i/>
          <w:sz w:val="22"/>
          <w:szCs w:val="22"/>
          <w:lang w:val="en-US"/>
        </w:rPr>
        <w:t>Earth and Planetary Science Letters</w:t>
      </w:r>
      <w:r w:rsidRPr="009978E3">
        <w:rPr>
          <w:rFonts w:eastAsia="Calibri"/>
          <w:sz w:val="22"/>
          <w:szCs w:val="22"/>
          <w:lang w:val="en-US"/>
        </w:rPr>
        <w:t xml:space="preserve"> 192: 175–189.</w:t>
      </w:r>
    </w:p>
    <w:p w14:paraId="527F696C"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Koslow, J. (1997) Seamounts and the ecology of deep-sea fisheries. </w:t>
      </w:r>
      <w:r w:rsidRPr="009978E3">
        <w:rPr>
          <w:rFonts w:eastAsia="Calibri"/>
          <w:i/>
          <w:sz w:val="22"/>
          <w:szCs w:val="22"/>
          <w:lang w:val="en-US"/>
        </w:rPr>
        <w:t>Americam Scientist</w:t>
      </w:r>
      <w:r w:rsidRPr="009978E3">
        <w:rPr>
          <w:rFonts w:eastAsia="Calibri"/>
          <w:sz w:val="22"/>
          <w:szCs w:val="22"/>
          <w:lang w:val="en-US"/>
        </w:rPr>
        <w:t xml:space="preserve"> 85: 168-176.</w:t>
      </w:r>
    </w:p>
    <w:p w14:paraId="7CFC2AFF"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Koslow, J., Gowlett-Holmes, K., Lowry, J., O’Hara, T., Poore, G. &amp; Williams, A. (2001) Seamount benthic macrofauna off southern Tasmania: community structure and impacts of trawling. </w:t>
      </w:r>
      <w:r w:rsidRPr="009978E3">
        <w:rPr>
          <w:rFonts w:eastAsia="Calibri"/>
          <w:i/>
          <w:sz w:val="22"/>
          <w:szCs w:val="22"/>
          <w:lang w:val="en-US"/>
        </w:rPr>
        <w:t>Marine Ecology Progress Series</w:t>
      </w:r>
      <w:r w:rsidRPr="009978E3">
        <w:rPr>
          <w:rFonts w:eastAsia="Calibri"/>
          <w:sz w:val="22"/>
          <w:szCs w:val="22"/>
          <w:lang w:val="en-US"/>
        </w:rPr>
        <w:t xml:space="preserve"> 213: 111-125.</w:t>
      </w:r>
    </w:p>
    <w:p w14:paraId="710A85E0"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Kuhn, T., Halbach, P. &amp; Maggiulli, M. (1996) Formation of ferromanga-nese microcrusts in relation to glacial/interglacial stages inPleistocene sediments from Ampere Seamount (Subtropical NEAtlantic). </w:t>
      </w:r>
      <w:r w:rsidRPr="009978E3">
        <w:rPr>
          <w:rFonts w:eastAsia="Calibri"/>
          <w:i/>
          <w:sz w:val="22"/>
          <w:szCs w:val="22"/>
          <w:lang w:val="en-US"/>
        </w:rPr>
        <w:t>Chemical Geology</w:t>
      </w:r>
      <w:r w:rsidRPr="009978E3">
        <w:rPr>
          <w:rFonts w:eastAsia="Calibri"/>
          <w:sz w:val="22"/>
          <w:szCs w:val="22"/>
          <w:lang w:val="en-US"/>
        </w:rPr>
        <w:t xml:space="preserve"> 130: 217–232.</w:t>
      </w:r>
    </w:p>
    <w:p w14:paraId="3BBECB5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Lebreiro, S., Moreno, S., Abrantes, F. &amp; Pflaumann, U. (1997) Productivity and paleoceanographic implications on the Tore Seamount (Iberian Margin) during the last 225 kyr: Foraminiferal evidence. </w:t>
      </w:r>
      <w:r w:rsidRPr="009978E3">
        <w:rPr>
          <w:rFonts w:eastAsia="Calibri"/>
          <w:i/>
          <w:sz w:val="22"/>
          <w:szCs w:val="22"/>
          <w:lang w:val="en-US"/>
        </w:rPr>
        <w:t>Paleoceanography</w:t>
      </w:r>
      <w:r w:rsidRPr="009978E3">
        <w:rPr>
          <w:rFonts w:eastAsia="Calibri"/>
          <w:sz w:val="22"/>
          <w:szCs w:val="22"/>
          <w:lang w:val="en-US"/>
        </w:rPr>
        <w:t xml:space="preserve"> 12: 718 – 727.</w:t>
      </w:r>
    </w:p>
    <w:p w14:paraId="218C019B"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Litvin, V. M., V. V. Matveyenkov, E. L. Onishchenko, M. V. Rudenko, and A. M. Sagalevich (1982), New data on the structure of Ampere Seamount</w:t>
      </w:r>
      <w:r w:rsidRPr="009978E3">
        <w:rPr>
          <w:rFonts w:eastAsia="Calibri"/>
          <w:i/>
          <w:sz w:val="22"/>
          <w:szCs w:val="22"/>
          <w:lang w:val="en-US"/>
        </w:rPr>
        <w:t>, Oceanology</w:t>
      </w:r>
      <w:r w:rsidRPr="009978E3">
        <w:rPr>
          <w:rFonts w:eastAsia="Calibri"/>
          <w:sz w:val="22"/>
          <w:szCs w:val="22"/>
          <w:lang w:val="en-US"/>
        </w:rPr>
        <w:t xml:space="preserve"> 22(1), 62–64.</w:t>
      </w:r>
    </w:p>
    <w:p w14:paraId="13265CD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Marova, N., &amp; Yevsyukov, Y. (1987) The geomorphology of the Ampére submarine seamount (in the Atlantic Ocean), </w:t>
      </w:r>
      <w:r w:rsidRPr="009978E3">
        <w:rPr>
          <w:rFonts w:eastAsia="Calibri"/>
          <w:i/>
          <w:sz w:val="22"/>
          <w:szCs w:val="22"/>
          <w:lang w:val="en-US"/>
        </w:rPr>
        <w:t>Oceanology</w:t>
      </w:r>
      <w:r w:rsidRPr="009978E3">
        <w:rPr>
          <w:rFonts w:eastAsia="Calibri"/>
          <w:sz w:val="22"/>
          <w:szCs w:val="22"/>
          <w:lang w:val="en-US"/>
        </w:rPr>
        <w:t xml:space="preserve"> 27(4), 452–455.</w:t>
      </w:r>
    </w:p>
    <w:p w14:paraId="41C49386"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Martin, B. &amp; Christiansen, B. (2009) Distribution of zooplankton biomass at three seamounts in the NE Atlantic. </w:t>
      </w:r>
      <w:r w:rsidRPr="009978E3">
        <w:rPr>
          <w:rFonts w:eastAsia="Calibri"/>
          <w:i/>
          <w:sz w:val="22"/>
          <w:szCs w:val="22"/>
          <w:lang w:val="en-US"/>
        </w:rPr>
        <w:t>Deep Sea Research Part II: Topical Studies in Oceanography</w:t>
      </w:r>
      <w:r w:rsidRPr="009978E3">
        <w:rPr>
          <w:rFonts w:eastAsia="Calibri"/>
          <w:sz w:val="22"/>
          <w:szCs w:val="22"/>
          <w:lang w:val="en-US"/>
        </w:rPr>
        <w:t xml:space="preserve"> 56(25): 2671–2682.</w:t>
      </w:r>
    </w:p>
    <w:p w14:paraId="2D5C5957"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Matveyenkov, V., Poyarkov, S., Dmitriyenko, O., Al’Mukhamedov, A., Gamsakhurdia, I. &amp; Kuznetsov O. (1994) Geological particularities of the seamount structure in the Azoro-Gibraltar Zone, </w:t>
      </w:r>
      <w:r w:rsidRPr="009978E3">
        <w:rPr>
          <w:rFonts w:eastAsia="Calibri"/>
          <w:i/>
          <w:sz w:val="22"/>
          <w:szCs w:val="22"/>
          <w:lang w:val="en-US"/>
        </w:rPr>
        <w:t>Oceanology</w:t>
      </w:r>
      <w:r w:rsidRPr="009978E3">
        <w:rPr>
          <w:rFonts w:eastAsia="Calibri"/>
          <w:sz w:val="22"/>
          <w:szCs w:val="22"/>
          <w:lang w:val="en-US"/>
        </w:rPr>
        <w:t xml:space="preserve"> 33(5), 664–673.</w:t>
      </w:r>
    </w:p>
    <w:p w14:paraId="4ADC3A64"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Mendonca, A., Martins, A., Figueiredo, M., Bashmachnikov, I., Couto, A., Lafon, V. &amp; Aristegui, J. (2010) Evaluation of ocean color and sea surface temperature sensors algorithms using in situ data: a case study of temporal and spatial variability on two northeast Atlantic seamounts. </w:t>
      </w:r>
      <w:r w:rsidRPr="009978E3">
        <w:rPr>
          <w:rFonts w:eastAsia="Calibri"/>
          <w:i/>
          <w:sz w:val="22"/>
          <w:szCs w:val="22"/>
          <w:lang w:val="en-US"/>
        </w:rPr>
        <w:t>Journal of Applied Remote Sensing</w:t>
      </w:r>
      <w:r w:rsidRPr="009978E3">
        <w:rPr>
          <w:rFonts w:eastAsia="Calibri"/>
          <w:sz w:val="22"/>
          <w:szCs w:val="22"/>
          <w:lang w:val="en-US"/>
        </w:rPr>
        <w:t xml:space="preserve"> 4(1): 043506.</w:t>
      </w:r>
    </w:p>
    <w:p w14:paraId="7DB8FBB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&amp; Clark, M. (2007). Seamount fishes: ecology and life histories. Chapter 9 In:Pitcher, T.J., Morato, T., Hart, P.J.B., Clark, M.R., Haggan, N. &amp; Santos, R.S. (eds) </w:t>
      </w:r>
      <w:r w:rsidRPr="009978E3">
        <w:rPr>
          <w:rFonts w:eastAsia="Calibri"/>
          <w:i/>
          <w:sz w:val="22"/>
          <w:szCs w:val="22"/>
          <w:lang w:val="en-US"/>
        </w:rPr>
        <w:t>Seamounts: ecology, fisheries &amp; conservation</w:t>
      </w:r>
      <w:r w:rsidRPr="009978E3">
        <w:rPr>
          <w:rFonts w:eastAsia="Calibri"/>
          <w:sz w:val="22"/>
          <w:szCs w:val="22"/>
          <w:lang w:val="en-US"/>
        </w:rPr>
        <w:t>. Fish and Aquatic Resources Series, Blackwell, Oxford, UK. Pp. 170 -188.</w:t>
      </w:r>
    </w:p>
    <w:p w14:paraId="3C9DC98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&amp; Pauly, D. (2004). </w:t>
      </w:r>
      <w:r w:rsidRPr="009978E3">
        <w:rPr>
          <w:rFonts w:eastAsia="Calibri"/>
          <w:i/>
          <w:sz w:val="22"/>
          <w:szCs w:val="22"/>
          <w:lang w:val="en-US"/>
        </w:rPr>
        <w:t>Seamounts: Biodiversity and fisheries</w:t>
      </w:r>
      <w:r w:rsidRPr="009978E3">
        <w:rPr>
          <w:rFonts w:eastAsia="Calibri"/>
          <w:sz w:val="22"/>
          <w:szCs w:val="22"/>
          <w:lang w:val="en-US"/>
        </w:rPr>
        <w:t>. Fisheries Centre, University of British Columbia.</w:t>
      </w:r>
    </w:p>
    <w:p w14:paraId="0C498B2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Allain, V., Hoyle, S. &amp; Nicol, S. (2009) </w:t>
      </w:r>
      <w:r w:rsidRPr="009978E3">
        <w:rPr>
          <w:rFonts w:eastAsia="Calibri"/>
          <w:i/>
          <w:sz w:val="22"/>
          <w:szCs w:val="22"/>
          <w:lang w:val="en-US"/>
        </w:rPr>
        <w:t>Tuna Longline Fishing around West and Central Pacific Seamounts</w:t>
      </w:r>
      <w:r w:rsidRPr="009978E3">
        <w:rPr>
          <w:rFonts w:eastAsia="Calibri"/>
          <w:sz w:val="22"/>
          <w:szCs w:val="22"/>
          <w:lang w:val="en-US"/>
        </w:rPr>
        <w:t>. Information Paper. Scientific Committee, Fifth Regular Session, 10-21 August 2009, Port Vila, Vanuatu. WCPFC-SC5-2009/EB-IP-04. Western and Central Pacific Fisheries Commission, Palikir, Pohnpei.</w:t>
      </w:r>
    </w:p>
    <w:p w14:paraId="7C6D013B"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Cheung, W. &amp; Pitcher, T. (2006) Vulnerability of seamount fish to fishing: fuzzy analysis of life history attributes. </w:t>
      </w:r>
      <w:r w:rsidRPr="009978E3">
        <w:rPr>
          <w:rFonts w:eastAsia="Calibri"/>
          <w:i/>
          <w:sz w:val="22"/>
          <w:szCs w:val="22"/>
          <w:lang w:val="en-US"/>
        </w:rPr>
        <w:t>Journal of Fish Biology</w:t>
      </w:r>
      <w:r w:rsidRPr="009978E3">
        <w:rPr>
          <w:rFonts w:eastAsia="Calibri"/>
          <w:sz w:val="22"/>
          <w:szCs w:val="22"/>
          <w:lang w:val="en-US"/>
        </w:rPr>
        <w:t xml:space="preserve"> 68: 209–221</w:t>
      </w:r>
    </w:p>
    <w:p w14:paraId="7CD52400"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Hoyle, S., Allain, V. &amp; Nicol, S. (2010) </w:t>
      </w:r>
      <w:r w:rsidRPr="009978E3">
        <w:rPr>
          <w:rFonts w:eastAsia="Calibri"/>
          <w:i/>
          <w:sz w:val="22"/>
          <w:szCs w:val="22"/>
          <w:lang w:val="en-US"/>
        </w:rPr>
        <w:t>Seamounts are hotspots of pelagic biodiversity in the open ocean</w:t>
      </w:r>
      <w:r w:rsidRPr="009978E3">
        <w:rPr>
          <w:rFonts w:eastAsia="Calibri"/>
          <w:sz w:val="22"/>
          <w:szCs w:val="22"/>
          <w:lang w:val="en-US"/>
        </w:rPr>
        <w:t xml:space="preserve">. PNAS Early Edition - </w:t>
      </w:r>
      <w:hyperlink r:id="rId195" w:history="1">
        <w:r w:rsidRPr="009978E3">
          <w:rPr>
            <w:rFonts w:eastAsia="Calibri"/>
            <w:color w:val="0563C1"/>
            <w:sz w:val="22"/>
            <w:szCs w:val="22"/>
            <w:u w:val="single"/>
            <w:lang w:val="en-US"/>
          </w:rPr>
          <w:t>www.pnas.org/cgi/doi/10.1073/pnas.0910290107</w:t>
        </w:r>
      </w:hyperlink>
      <w:r w:rsidRPr="00F66EF7">
        <w:rPr>
          <w:rFonts w:eastAsia="Calibri"/>
          <w:sz w:val="22"/>
          <w:szCs w:val="22"/>
          <w:lang w:val="en-US"/>
        </w:rPr>
        <w:t>.</w:t>
      </w:r>
    </w:p>
    <w:p w14:paraId="17D2FFA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Hoyle, S., Allain, V., &amp; Nicol, S. (2010) Seamounts are hotspots of pelagic biodiversity in the open ocean. </w:t>
      </w:r>
      <w:r w:rsidRPr="009978E3">
        <w:rPr>
          <w:rFonts w:eastAsia="Calibri"/>
          <w:i/>
          <w:sz w:val="22"/>
          <w:szCs w:val="22"/>
          <w:lang w:val="en-US"/>
        </w:rPr>
        <w:t>Proceedings of the National Academy of Sciences of the United States of America</w:t>
      </w:r>
      <w:r w:rsidRPr="009978E3">
        <w:rPr>
          <w:rFonts w:eastAsia="Calibri"/>
          <w:sz w:val="22"/>
          <w:szCs w:val="22"/>
          <w:lang w:val="en-US"/>
        </w:rPr>
        <w:t xml:space="preserve"> 107(21): 9707–9711. </w:t>
      </w:r>
    </w:p>
    <w:p w14:paraId="14A74413"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Varkey, D., Damaso, C., Machete, M., Santos, M. &amp; Pitcher, T. (2008) Evidence of a seamount effect on aggregating visitors. </w:t>
      </w:r>
      <w:r w:rsidRPr="009978E3">
        <w:rPr>
          <w:rFonts w:eastAsia="Calibri"/>
          <w:i/>
          <w:sz w:val="22"/>
          <w:szCs w:val="22"/>
          <w:lang w:val="en-US"/>
        </w:rPr>
        <w:t>Marine Ecology Progress Series</w:t>
      </w:r>
      <w:r w:rsidRPr="009978E3">
        <w:rPr>
          <w:rFonts w:eastAsia="Calibri"/>
          <w:sz w:val="22"/>
          <w:szCs w:val="22"/>
          <w:lang w:val="en-US"/>
        </w:rPr>
        <w:t xml:space="preserve"> 357: 23-32.</w:t>
      </w:r>
    </w:p>
    <w:p w14:paraId="6FEB5787"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Mortensen, P., Buhl-Mortensen, L., Gebruk, A. &amp; Krylovab, E. (2008) Occurrence of deep-water corals on the MidAtlantic Ridge based on MAR-ECO data. </w:t>
      </w:r>
      <w:r w:rsidRPr="009978E3">
        <w:rPr>
          <w:rFonts w:eastAsia="Calibri"/>
          <w:i/>
          <w:sz w:val="22"/>
          <w:szCs w:val="22"/>
          <w:lang w:val="en-US"/>
        </w:rPr>
        <w:t>Deep-Sea Research II</w:t>
      </w:r>
      <w:r w:rsidRPr="009978E3">
        <w:rPr>
          <w:rFonts w:eastAsia="Calibri"/>
          <w:sz w:val="22"/>
          <w:szCs w:val="22"/>
          <w:lang w:val="en-US"/>
        </w:rPr>
        <w:t xml:space="preserve"> 55:142–152</w:t>
      </w:r>
    </w:p>
    <w:p w14:paraId="3289D2F3"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OSPAR (2011) </w:t>
      </w:r>
      <w:r w:rsidRPr="009978E3">
        <w:rPr>
          <w:rFonts w:eastAsia="Calibri"/>
          <w:i/>
          <w:sz w:val="22"/>
          <w:szCs w:val="22"/>
          <w:lang w:val="en-US"/>
        </w:rPr>
        <w:t>Background Document on the Josephine Seamount Marine Protected Area</w:t>
      </w:r>
      <w:r w:rsidRPr="009978E3">
        <w:rPr>
          <w:rFonts w:eastAsia="Calibri"/>
          <w:sz w:val="22"/>
          <w:szCs w:val="22"/>
          <w:lang w:val="en-US"/>
        </w:rPr>
        <w:t>. Report prepared by the OSPAR Intersessional Correspondence Group on Marine Protected Areas. Biological Diversity and Ecosystems, 551, 27.</w:t>
      </w:r>
    </w:p>
    <w:p w14:paraId="6C6E8652" w14:textId="77777777" w:rsidR="006B3F46" w:rsidRPr="009978E3" w:rsidRDefault="006B3F46" w:rsidP="00907941">
      <w:pPr>
        <w:ind w:left="1134" w:firstLine="567"/>
        <w:jc w:val="both"/>
        <w:rPr>
          <w:rFonts w:eastAsia="MS Mincho"/>
          <w:bCs/>
          <w:color w:val="000000"/>
          <w:sz w:val="22"/>
          <w:szCs w:val="22"/>
          <w:lang w:val="en-US"/>
        </w:rPr>
      </w:pPr>
      <w:r w:rsidRPr="009978E3">
        <w:rPr>
          <w:sz w:val="22"/>
          <w:szCs w:val="22"/>
          <w:lang w:val="pt-PT"/>
        </w:rPr>
        <w:t xml:space="preserve">Paiva, V. H., Geraldes, P., Ramírez, I., Meirinho, A., Garthe, S., &amp; Ramos, J. A. (2010). </w:t>
      </w:r>
      <w:r w:rsidRPr="009978E3">
        <w:rPr>
          <w:sz w:val="22"/>
          <w:szCs w:val="22"/>
        </w:rPr>
        <w:t xml:space="preserve">Foraging plasticity in a pelagic seabird species along a marine productivity gradient. </w:t>
      </w:r>
      <w:r w:rsidRPr="009978E3">
        <w:rPr>
          <w:i/>
          <w:iCs/>
          <w:sz w:val="22"/>
          <w:szCs w:val="22"/>
        </w:rPr>
        <w:t>Marine Ecology Progress Series</w:t>
      </w:r>
      <w:r w:rsidRPr="009978E3">
        <w:rPr>
          <w:sz w:val="22"/>
          <w:szCs w:val="22"/>
        </w:rPr>
        <w:t xml:space="preserve">, </w:t>
      </w:r>
      <w:r w:rsidRPr="009978E3">
        <w:rPr>
          <w:i/>
          <w:iCs/>
          <w:sz w:val="22"/>
          <w:szCs w:val="22"/>
        </w:rPr>
        <w:t>398</w:t>
      </w:r>
      <w:r w:rsidRPr="009978E3">
        <w:rPr>
          <w:sz w:val="22"/>
          <w:szCs w:val="22"/>
        </w:rPr>
        <w:t>, 259-274.</w:t>
      </w:r>
    </w:p>
    <w:p w14:paraId="6723F40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Paiva, V., Geraldes, P., Ramírez, I., Meirinho, A., Garthe, S. &amp; Ramos, J. (2010) Oceanographic characteristics of areas used by Cory’s shearwaters during short and long foraging trips in the North Atlantic. </w:t>
      </w:r>
      <w:r w:rsidRPr="009978E3">
        <w:rPr>
          <w:rFonts w:eastAsia="Calibri"/>
          <w:i/>
          <w:sz w:val="22"/>
          <w:szCs w:val="22"/>
          <w:lang w:val="en-US"/>
        </w:rPr>
        <w:t>Marine Biology</w:t>
      </w:r>
      <w:r w:rsidRPr="009978E3">
        <w:rPr>
          <w:rFonts w:eastAsia="Calibri"/>
          <w:sz w:val="22"/>
          <w:szCs w:val="22"/>
          <w:lang w:val="en-US"/>
        </w:rPr>
        <w:t xml:space="preserve"> 157(6): 1385–1399.</w:t>
      </w:r>
    </w:p>
    <w:p w14:paraId="695543F2"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Pakhorukov, N. (2008) Visual observations of fish from seamounts of the Southern Azores Region (the Atlantic Ocean). </w:t>
      </w:r>
      <w:r w:rsidRPr="009978E3">
        <w:rPr>
          <w:rFonts w:eastAsia="Calibri"/>
          <w:i/>
          <w:sz w:val="22"/>
          <w:szCs w:val="22"/>
          <w:lang w:val="en-US"/>
        </w:rPr>
        <w:t>Journal of Ichthyology</w:t>
      </w:r>
      <w:r w:rsidRPr="009978E3">
        <w:rPr>
          <w:rFonts w:eastAsia="Calibri"/>
          <w:sz w:val="22"/>
          <w:szCs w:val="22"/>
          <w:lang w:val="en-US"/>
        </w:rPr>
        <w:t xml:space="preserve"> 48: 114–123.</w:t>
      </w:r>
    </w:p>
    <w:p w14:paraId="071C9CD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Peirce, C. &amp; Barton, P. (1991), Crustal structure of the Madeira-Tore Rise, eastern North Atlantic-results of a DOBS wide-angle and normal incidence seismic experiment in the Josephine Seamount region. </w:t>
      </w:r>
      <w:r w:rsidRPr="009978E3">
        <w:rPr>
          <w:rFonts w:eastAsia="Calibri"/>
          <w:i/>
          <w:sz w:val="22"/>
          <w:szCs w:val="22"/>
          <w:lang w:val="en-US"/>
        </w:rPr>
        <w:t>Geophysical Journal International</w:t>
      </w:r>
      <w:r w:rsidRPr="009978E3">
        <w:rPr>
          <w:rFonts w:eastAsia="Calibri"/>
          <w:sz w:val="22"/>
          <w:szCs w:val="22"/>
          <w:lang w:val="en-US"/>
        </w:rPr>
        <w:t xml:space="preserve"> 106: 357–378.</w:t>
      </w:r>
    </w:p>
    <w:p w14:paraId="6FB9BC9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Pingree, R. (2010) Ocean structure and climate (Eastern North Atlantic): in situ measurement and remote sensing. </w:t>
      </w:r>
      <w:r w:rsidRPr="009978E3">
        <w:rPr>
          <w:rFonts w:eastAsia="Calibri"/>
          <w:i/>
          <w:sz w:val="22"/>
          <w:szCs w:val="22"/>
          <w:lang w:val="en-US"/>
        </w:rPr>
        <w:t>Journal of the Marine Biological Association of the UK</w:t>
      </w:r>
      <w:r w:rsidRPr="009978E3">
        <w:rPr>
          <w:rFonts w:eastAsia="Calibri"/>
          <w:sz w:val="22"/>
          <w:szCs w:val="22"/>
          <w:lang w:val="en-US"/>
        </w:rPr>
        <w:t xml:space="preserve"> 82: 681–707.</w:t>
      </w:r>
    </w:p>
    <w:p w14:paraId="438500E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Pitcher, T. &amp; Bulman, C. (2007) Raiding the larder: a quantitative evaluation framework and trophic signature for seamount food webs. In: Pitcher TJ, Morato T, Hart PJB, Clark MR, Haggen N, Santos R (eds) </w:t>
      </w:r>
      <w:r w:rsidRPr="009978E3">
        <w:rPr>
          <w:rFonts w:eastAsia="Calibri"/>
          <w:i/>
          <w:sz w:val="22"/>
          <w:szCs w:val="22"/>
          <w:lang w:val="en-US"/>
        </w:rPr>
        <w:t>Seamounts: ecology, fisheries and conservation</w:t>
      </w:r>
      <w:r w:rsidRPr="009978E3">
        <w:rPr>
          <w:rFonts w:eastAsia="Calibri"/>
          <w:sz w:val="22"/>
          <w:szCs w:val="22"/>
          <w:lang w:val="en-US"/>
        </w:rPr>
        <w:t>. Wiley-Blackwell, Oxford, p 282–295.</w:t>
      </w:r>
    </w:p>
    <w:p w14:paraId="6080E7D9"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Richer de Forges, B., Koslow, J. &amp; Poore, G. (2000) Diversity and endemism of the benthic seamount fauna in the south-west Pacific</w:t>
      </w:r>
      <w:r w:rsidRPr="009978E3">
        <w:rPr>
          <w:rFonts w:eastAsia="Calibri"/>
          <w:i/>
          <w:sz w:val="22"/>
          <w:szCs w:val="22"/>
          <w:lang w:val="en-US"/>
        </w:rPr>
        <w:t>. Nature</w:t>
      </w:r>
      <w:r w:rsidRPr="009978E3">
        <w:rPr>
          <w:rFonts w:eastAsia="Calibri"/>
          <w:sz w:val="22"/>
          <w:szCs w:val="22"/>
          <w:lang w:val="en-US"/>
        </w:rPr>
        <w:t xml:space="preserve"> 405: 944–47</w:t>
      </w:r>
    </w:p>
    <w:p w14:paraId="4C4B5DA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Roberts, J., Wheeler, A. &amp; Freiwald, A. (2006) Reefs of the deep: The biology and geology of cold-water coral ecosystems. </w:t>
      </w:r>
      <w:r w:rsidRPr="009978E3">
        <w:rPr>
          <w:rFonts w:eastAsia="Calibri"/>
          <w:i/>
          <w:sz w:val="22"/>
          <w:szCs w:val="22"/>
          <w:lang w:val="en-US"/>
        </w:rPr>
        <w:t>Science</w:t>
      </w:r>
      <w:r w:rsidRPr="009978E3">
        <w:rPr>
          <w:rFonts w:eastAsia="Calibri"/>
          <w:sz w:val="22"/>
          <w:szCs w:val="22"/>
          <w:lang w:val="en-US"/>
        </w:rPr>
        <w:t xml:space="preserve"> 213: 543–547.</w:t>
      </w:r>
    </w:p>
    <w:p w14:paraId="02559AA1"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Rogers, A., Baco, A., Griffiths, H., Hart, T. &amp; Hall-Spencer, J. (2007) Corals on seamounts. In: Pitcher, T., Morato, T., Hart, P., Clark, M., Haggan, N. &amp; Santos, R. eds. </w:t>
      </w:r>
      <w:r w:rsidRPr="009978E3">
        <w:rPr>
          <w:rFonts w:eastAsia="Calibri"/>
          <w:i/>
          <w:sz w:val="22"/>
          <w:szCs w:val="22"/>
          <w:lang w:val="en-US"/>
        </w:rPr>
        <w:t>Seamounts: ecology, fisheries, and conservation</w:t>
      </w:r>
      <w:r w:rsidRPr="009978E3">
        <w:rPr>
          <w:rFonts w:eastAsia="Calibri"/>
          <w:sz w:val="22"/>
          <w:szCs w:val="22"/>
          <w:lang w:val="en-US"/>
        </w:rPr>
        <w:t>. Blackwell Fisheries and Aquatic Resources Series 12. Oxford, UK: Blackwell Publishing. pp 141–169.</w:t>
      </w:r>
    </w:p>
    <w:p w14:paraId="2919D1BB"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Rogers, A., Clark, M., Hall-Spencer, J. &amp; Gjerde, K. (2008) </w:t>
      </w:r>
      <w:r w:rsidRPr="009978E3">
        <w:rPr>
          <w:rFonts w:eastAsia="Calibri"/>
          <w:i/>
          <w:sz w:val="22"/>
          <w:szCs w:val="22"/>
          <w:lang w:val="en-US"/>
        </w:rPr>
        <w:t>The Science behind the Guidelines: A Scientific Guide to the FAO Draft International Guidelines</w:t>
      </w:r>
      <w:r w:rsidRPr="009978E3">
        <w:rPr>
          <w:rFonts w:eastAsia="Calibri"/>
          <w:sz w:val="22"/>
          <w:szCs w:val="22"/>
          <w:lang w:val="en-US"/>
        </w:rPr>
        <w:t xml:space="preserve"> (December 2007) for the Management of Deep-sea Fisheries in the High Seas and Examples of How the Guidelines May Be Practically Implemented. IUCN, Switzerland.</w:t>
      </w:r>
    </w:p>
    <w:p w14:paraId="5E8FB219"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Ryan, W., Hsu, K., Cita, M., Dumitrica, P., Lort, J., Maync, W., Nesteroff, W., Pautot, G., Stradner, W. &amp; Wezel, F. (1973) Gorringe bank Site 120, Initial Reports Deep Sea Drilling Project, WashingtonNat. National Science Foundation. US government 13:11941</w:t>
      </w:r>
    </w:p>
    <w:p w14:paraId="49B05EA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Samadi, S., Bottan, L., Macpherson, E., Richer de Forges, B. &amp;  Boisselier, M. (2006) Seamount endemism questioned by the geographical distribution and population genetic structure of marine invertebrates. </w:t>
      </w:r>
      <w:r w:rsidRPr="009978E3">
        <w:rPr>
          <w:rFonts w:eastAsia="Calibri"/>
          <w:i/>
          <w:sz w:val="22"/>
          <w:szCs w:val="22"/>
          <w:lang w:val="en-US"/>
        </w:rPr>
        <w:t>Marine Biology</w:t>
      </w:r>
      <w:r w:rsidRPr="009978E3">
        <w:rPr>
          <w:rFonts w:eastAsia="Calibri"/>
          <w:sz w:val="22"/>
          <w:szCs w:val="22"/>
          <w:lang w:val="en-US"/>
        </w:rPr>
        <w:t xml:space="preserve"> 149: 1463–75.</w:t>
      </w:r>
    </w:p>
    <w:p w14:paraId="0E2BB98F"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Samadi, S., Schlacher, T. &amp; De Forges, B. (2007) Seamount benthos. In: Pitcher, T.J., T. Morato, P.J.B. Hart, M.R. Clark, N. Haggan and R.S. Santos (Eds) </w:t>
      </w:r>
      <w:r w:rsidRPr="009978E3">
        <w:rPr>
          <w:rFonts w:eastAsia="Calibri"/>
          <w:i/>
          <w:sz w:val="22"/>
          <w:szCs w:val="22"/>
          <w:lang w:val="en-US"/>
        </w:rPr>
        <w:t>Seamounts: Ecology, Fisheries &amp; Conservation. Fish and Aquatic Resources</w:t>
      </w:r>
      <w:r w:rsidRPr="009978E3">
        <w:rPr>
          <w:rFonts w:eastAsia="Calibri"/>
          <w:sz w:val="22"/>
          <w:szCs w:val="22"/>
          <w:lang w:val="en-US"/>
        </w:rPr>
        <w:t xml:space="preserve"> Series 12, Blackwell Publishing, Oxford, United Kingdom, pp 119-140.</w:t>
      </w:r>
    </w:p>
    <w:p w14:paraId="3E7A5FB7"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Surugiu, V., Dauvin, J. C., Gillet, P. &amp; Ruellet, T. (2008) Can seamounts provide a good habitat for polychaete annelids? Example of the northeastern Atlantic seamounts. </w:t>
      </w:r>
      <w:r w:rsidRPr="009978E3">
        <w:rPr>
          <w:rFonts w:eastAsia="Calibri"/>
          <w:i/>
          <w:sz w:val="22"/>
          <w:szCs w:val="22"/>
          <w:lang w:val="en-US"/>
        </w:rPr>
        <w:t xml:space="preserve">Deep Sea Research Part I: Oceanographic Research Papers </w:t>
      </w:r>
      <w:r w:rsidRPr="009978E3">
        <w:rPr>
          <w:rFonts w:eastAsia="Calibri"/>
          <w:sz w:val="22"/>
          <w:szCs w:val="22"/>
          <w:lang w:val="en-US"/>
        </w:rPr>
        <w:t>55(11): 1515-1531.</w:t>
      </w:r>
    </w:p>
    <w:p w14:paraId="77B6D53B"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Synnes, M. (2007) Bioprospecting of organisms from the deep-sea: scientific and environmental aspects. </w:t>
      </w:r>
      <w:r w:rsidRPr="009978E3">
        <w:rPr>
          <w:rFonts w:eastAsia="Calibri"/>
          <w:i/>
          <w:sz w:val="22"/>
          <w:szCs w:val="22"/>
          <w:lang w:val="en-US"/>
        </w:rPr>
        <w:t>Clean Technologies and Environmental Policy</w:t>
      </w:r>
      <w:r w:rsidRPr="009978E3">
        <w:rPr>
          <w:rFonts w:eastAsia="Calibri"/>
          <w:sz w:val="22"/>
          <w:szCs w:val="22"/>
          <w:lang w:val="en-US"/>
        </w:rPr>
        <w:t xml:space="preserve"> 9(1): 53 – 59.</w:t>
      </w:r>
    </w:p>
    <w:p w14:paraId="3C1F2BE6"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Tracey, D., Neil, H., Gordon, D. &amp; O’Shea, S. (2003) Chronicles of the deep: ageing deep-sea corals in New Zealand waters. </w:t>
      </w:r>
      <w:r w:rsidRPr="009978E3">
        <w:rPr>
          <w:rFonts w:eastAsia="Calibri"/>
          <w:i/>
          <w:sz w:val="22"/>
          <w:szCs w:val="22"/>
          <w:lang w:val="en-US"/>
        </w:rPr>
        <w:t>Water and Atmosphere</w:t>
      </w:r>
      <w:r w:rsidRPr="009978E3">
        <w:rPr>
          <w:rFonts w:eastAsia="Calibri"/>
          <w:sz w:val="22"/>
          <w:szCs w:val="22"/>
          <w:lang w:val="en-US"/>
        </w:rPr>
        <w:t xml:space="preserve"> 11: 22 –24.</w:t>
      </w:r>
    </w:p>
    <w:p w14:paraId="12E3ECF3"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White, M., Bashmachnikov, I., Aristegui, J. &amp; Martins, A. (2007) Physical processes and seamount productivity. In: Pitcher, T., Morato T., Hart, P., Clark, M., Haggan, N. &amp; Santos, R. (Eds) </w:t>
      </w:r>
      <w:r w:rsidRPr="009978E3">
        <w:rPr>
          <w:rFonts w:eastAsia="Calibri"/>
          <w:i/>
          <w:sz w:val="22"/>
          <w:szCs w:val="22"/>
          <w:lang w:val="en-US"/>
        </w:rPr>
        <w:t>Seamounts: Ecology, Fisheries &amp; Conservation</w:t>
      </w:r>
      <w:r w:rsidRPr="009978E3">
        <w:rPr>
          <w:rFonts w:eastAsia="Calibri"/>
          <w:sz w:val="22"/>
          <w:szCs w:val="22"/>
          <w:lang w:val="en-US"/>
        </w:rPr>
        <w:t xml:space="preserve">. </w:t>
      </w:r>
      <w:r w:rsidRPr="009978E3">
        <w:rPr>
          <w:rFonts w:eastAsia="Calibri"/>
          <w:i/>
          <w:sz w:val="22"/>
          <w:szCs w:val="22"/>
          <w:lang w:val="en-US"/>
        </w:rPr>
        <w:t>Fish and Aquatic Resources</w:t>
      </w:r>
      <w:r w:rsidRPr="009978E3">
        <w:rPr>
          <w:rFonts w:eastAsia="Calibri"/>
          <w:sz w:val="22"/>
          <w:szCs w:val="22"/>
          <w:lang w:val="en-US"/>
        </w:rPr>
        <w:t xml:space="preserve"> Series 12, Blackwell Publishing, Oxford, United Kingdom, pp 65-84.</w:t>
      </w:r>
    </w:p>
    <w:p w14:paraId="4D05EA50"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Wienberg, C., Wintersteller, P., Beuck, L. &amp; Hebbeln, D. (2013) Coral Patch seamount (NE Atlantic) – a sedimentological and megafaunal reconnaissance based on video and hydroacoustic surveys. </w:t>
      </w:r>
      <w:r w:rsidRPr="009978E3">
        <w:rPr>
          <w:rFonts w:eastAsia="Calibri"/>
          <w:i/>
          <w:sz w:val="22"/>
          <w:szCs w:val="22"/>
          <w:lang w:val="en-US"/>
        </w:rPr>
        <w:t>Biogeosciences</w:t>
      </w:r>
      <w:r w:rsidRPr="009978E3">
        <w:rPr>
          <w:rFonts w:eastAsia="Calibri"/>
          <w:sz w:val="22"/>
          <w:szCs w:val="22"/>
          <w:lang w:val="en-US"/>
        </w:rPr>
        <w:t xml:space="preserve"> 10(5): 3421-3443.</w:t>
      </w:r>
    </w:p>
    <w:p w14:paraId="76FAD633"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WWF (2001) </w:t>
      </w:r>
      <w:r w:rsidRPr="009978E3">
        <w:rPr>
          <w:rFonts w:eastAsia="Calibri"/>
          <w:i/>
          <w:sz w:val="22"/>
          <w:szCs w:val="22"/>
          <w:lang w:val="en-US"/>
        </w:rPr>
        <w:t>Implementation of the EU Habitats Directive Offshore: Natura 2000 sites for reefs and submerged seabanks</w:t>
      </w:r>
      <w:r w:rsidRPr="009978E3">
        <w:rPr>
          <w:rFonts w:eastAsia="Calibri"/>
          <w:sz w:val="22"/>
          <w:szCs w:val="22"/>
          <w:lang w:val="en-US"/>
        </w:rPr>
        <w:t>. Vol. II. Northeast Atlantic and North Sea, 87pp. World Wildlife Fund.</w:t>
      </w:r>
    </w:p>
    <w:p w14:paraId="0FF86C40" w14:textId="77777777" w:rsidR="006B3F46" w:rsidRPr="009978E3" w:rsidRDefault="006B3F46" w:rsidP="00907941">
      <w:pPr>
        <w:ind w:left="851" w:hanging="851"/>
        <w:jc w:val="both"/>
        <w:rPr>
          <w:i/>
          <w:iCs/>
          <w:sz w:val="22"/>
          <w:szCs w:val="22"/>
        </w:rPr>
      </w:pPr>
      <w:r w:rsidRPr="009978E3">
        <w:rPr>
          <w:sz w:val="22"/>
          <w:szCs w:val="22"/>
        </w:rPr>
        <w:t xml:space="preserve">Xavier, Joana, &amp; van Soest, Rob. (2007). </w:t>
      </w:r>
      <w:r w:rsidRPr="009978E3">
        <w:rPr>
          <w:i/>
          <w:iCs/>
          <w:sz w:val="22"/>
          <w:szCs w:val="22"/>
        </w:rPr>
        <w:t>Demosponge fauna of Ormonde and Gettysburg Seamounts (Gorringe Bank, north-east Atlantic): diversity and zoogeographical affinities. Journal of the Marine Biological Association of the UK, 87(06).</w:t>
      </w:r>
    </w:p>
    <w:p w14:paraId="485D8155" w14:textId="77777777" w:rsidR="006B3F46" w:rsidRPr="009978E3" w:rsidRDefault="006B3F46" w:rsidP="00907941">
      <w:pPr>
        <w:ind w:left="851" w:hanging="851"/>
        <w:jc w:val="both"/>
        <w:rPr>
          <w:rFonts w:eastAsia="Calibri"/>
          <w:sz w:val="22"/>
          <w:szCs w:val="22"/>
          <w:lang w:val="en-US"/>
        </w:rPr>
      </w:pPr>
      <w:r w:rsidRPr="009978E3">
        <w:rPr>
          <w:rFonts w:eastAsia="Calibri"/>
          <w:sz w:val="22"/>
          <w:szCs w:val="22"/>
          <w:lang w:val="en-US"/>
        </w:rPr>
        <w:t xml:space="preserve">Zitellini, N., Gracia, E., Matias, L., Terrinha, P., Abreu, M., De Alteriis, G., Henriet, J., Danobeitia, J., Masson, D., Mulder, T., Ramella, R., Somoza, L. &amp; Diez, S. (2009) The quest for the Africa-Eurasia plate boundary west of the Strait of Gibraltar, </w:t>
      </w:r>
      <w:r w:rsidRPr="009978E3">
        <w:rPr>
          <w:rFonts w:eastAsia="Calibri"/>
          <w:i/>
          <w:sz w:val="22"/>
          <w:szCs w:val="22"/>
          <w:lang w:val="en-US"/>
        </w:rPr>
        <w:t>Earth and Planetary Science Letters</w:t>
      </w:r>
      <w:r w:rsidRPr="009978E3">
        <w:rPr>
          <w:rFonts w:eastAsia="Calibri"/>
          <w:sz w:val="22"/>
          <w:szCs w:val="22"/>
          <w:lang w:val="en-US"/>
        </w:rPr>
        <w:t xml:space="preserve"> 280: 13–50.</w:t>
      </w:r>
    </w:p>
    <w:p w14:paraId="4637688E" w14:textId="77777777" w:rsidR="006B3F46" w:rsidRPr="009978E3" w:rsidRDefault="006B3F46" w:rsidP="00907941">
      <w:pPr>
        <w:ind w:firstLine="567"/>
        <w:jc w:val="both"/>
        <w:rPr>
          <w:rFonts w:eastAsia="MS Mincho"/>
          <w:bCs/>
          <w:color w:val="000000"/>
          <w:sz w:val="22"/>
          <w:szCs w:val="22"/>
          <w:lang w:val="en-US"/>
        </w:rPr>
      </w:pPr>
    </w:p>
    <w:p w14:paraId="56B2DEC9" w14:textId="77777777" w:rsidR="006B3F46" w:rsidRPr="009978E3" w:rsidRDefault="006B3F46" w:rsidP="00907941">
      <w:pPr>
        <w:jc w:val="both"/>
        <w:rPr>
          <w:rFonts w:eastAsia="MS Mincho"/>
          <w:bCs/>
          <w:color w:val="000000"/>
          <w:sz w:val="22"/>
          <w:szCs w:val="22"/>
          <w:lang w:val="en-US"/>
        </w:rPr>
      </w:pPr>
      <w:r>
        <w:rPr>
          <w:rFonts w:eastAsia="MS Mincho"/>
          <w:bCs/>
          <w:color w:val="000000"/>
          <w:sz w:val="22"/>
          <w:szCs w:val="22"/>
          <w:lang w:val="en-US"/>
        </w:rPr>
        <w:br w:type="page"/>
      </w:r>
    </w:p>
    <w:p w14:paraId="27199EA3"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Maps and Figures</w:t>
      </w:r>
    </w:p>
    <w:p w14:paraId="1CE78FFC" w14:textId="77777777" w:rsidR="006B3F46" w:rsidRPr="009978E3" w:rsidRDefault="006B3F46" w:rsidP="00907941">
      <w:pPr>
        <w:jc w:val="both"/>
        <w:rPr>
          <w:rFonts w:eastAsia="MS Mincho"/>
          <w:b/>
          <w:sz w:val="22"/>
          <w:szCs w:val="22"/>
          <w:lang w:val="en-US"/>
        </w:rPr>
      </w:pPr>
    </w:p>
    <w:p w14:paraId="7A8B75EF" w14:textId="77777777" w:rsidR="006B3F46" w:rsidRDefault="006B3F46" w:rsidP="00907941">
      <w:pPr>
        <w:jc w:val="both"/>
        <w:rPr>
          <w:rFonts w:eastAsia="MS Mincho"/>
          <w:b/>
          <w:sz w:val="22"/>
          <w:szCs w:val="22"/>
          <w:lang w:val="en-US"/>
        </w:rPr>
      </w:pPr>
    </w:p>
    <w:p w14:paraId="5338454A" w14:textId="77777777" w:rsidR="006B3F46" w:rsidRDefault="009E53BE" w:rsidP="00907941">
      <w:pPr>
        <w:jc w:val="both"/>
        <w:rPr>
          <w:rFonts w:eastAsia="MS Mincho"/>
          <w:b/>
          <w:sz w:val="22"/>
          <w:szCs w:val="22"/>
          <w:lang w:val="en-US"/>
        </w:rPr>
      </w:pPr>
      <w:r>
        <w:pict w14:anchorId="55D77CA0">
          <v:shape id="_x0000_i1102" type="#_x0000_t75" style="width:6in;height:6in">
            <v:imagedata r:id="rId196" o:title=""/>
          </v:shape>
        </w:pict>
      </w:r>
    </w:p>
    <w:p w14:paraId="30C6FE47" w14:textId="77777777" w:rsidR="006B3F46" w:rsidRPr="00EC5399" w:rsidRDefault="006B3F46" w:rsidP="00907941">
      <w:pPr>
        <w:jc w:val="both"/>
        <w:rPr>
          <w:rFonts w:eastAsia="MS Mincho"/>
          <w:b/>
          <w:sz w:val="22"/>
          <w:szCs w:val="22"/>
          <w:lang w:val="en-US"/>
        </w:rPr>
      </w:pPr>
    </w:p>
    <w:p w14:paraId="5D15ADD4" w14:textId="77777777" w:rsidR="006B3F46" w:rsidRPr="00EC5399" w:rsidRDefault="006B3F46" w:rsidP="00907941">
      <w:pPr>
        <w:jc w:val="center"/>
        <w:rPr>
          <w:rFonts w:eastAsia="MS Mincho"/>
          <w:b/>
          <w:sz w:val="22"/>
          <w:szCs w:val="22"/>
          <w:lang w:val="en-US"/>
        </w:rPr>
      </w:pPr>
      <w:r w:rsidRPr="0021277B">
        <w:rPr>
          <w:b/>
          <w:sz w:val="22"/>
          <w:szCs w:val="22"/>
        </w:rPr>
        <w:t xml:space="preserve">Location of </w:t>
      </w:r>
      <w:r>
        <w:rPr>
          <w:b/>
          <w:sz w:val="22"/>
          <w:szCs w:val="22"/>
        </w:rPr>
        <w:t>a</w:t>
      </w:r>
      <w:r w:rsidRPr="0021277B">
        <w:rPr>
          <w:b/>
          <w:sz w:val="22"/>
          <w:szCs w:val="22"/>
        </w:rPr>
        <w:t>rea no. 6: Madeira – Tore</w:t>
      </w:r>
    </w:p>
    <w:p w14:paraId="23BA7529" w14:textId="77777777" w:rsidR="006B3F46" w:rsidRPr="00EC5399" w:rsidRDefault="009E53BE" w:rsidP="00907941">
      <w:pPr>
        <w:jc w:val="both"/>
        <w:rPr>
          <w:rFonts w:eastAsia="MS Mincho"/>
          <w:b/>
          <w:sz w:val="22"/>
          <w:szCs w:val="22"/>
          <w:lang w:val="en-US"/>
        </w:rPr>
      </w:pPr>
      <w:r>
        <w:rPr>
          <w:rFonts w:eastAsia="MS Mincho"/>
          <w:b/>
          <w:noProof/>
          <w:sz w:val="22"/>
          <w:szCs w:val="22"/>
          <w:lang w:val="fr-CA" w:eastAsia="fr-CA"/>
        </w:rPr>
        <w:pict w14:anchorId="46D4EE80">
          <v:shape id="Imagem 1" o:spid="_x0000_i1103" type="#_x0000_t75" style="width:406.5pt;height:567pt;visibility:visible">
            <v:imagedata r:id="rId197" o:title="madeira tore fig1"/>
          </v:shape>
        </w:pict>
      </w:r>
    </w:p>
    <w:p w14:paraId="432D62E3"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Figure 1</w:t>
      </w:r>
      <w:r>
        <w:rPr>
          <w:rFonts w:eastAsia="MS Mincho"/>
          <w:sz w:val="22"/>
          <w:szCs w:val="22"/>
          <w:lang w:val="en-US"/>
        </w:rPr>
        <w:t>.</w:t>
      </w:r>
      <w:r w:rsidRPr="009978E3">
        <w:rPr>
          <w:rFonts w:eastAsia="MS Mincho"/>
          <w:sz w:val="22"/>
          <w:szCs w:val="22"/>
          <w:lang w:val="en-US"/>
        </w:rPr>
        <w:t xml:space="preserve"> Adapted from </w:t>
      </w:r>
      <w:r w:rsidRPr="009978E3">
        <w:rPr>
          <w:rFonts w:eastAsia="MS Mincho"/>
          <w:bCs/>
          <w:color w:val="000000"/>
          <w:sz w:val="22"/>
          <w:szCs w:val="22"/>
          <w:lang w:val="en-US"/>
        </w:rPr>
        <w:t xml:space="preserve">Geldmacher </w:t>
      </w:r>
      <w:r w:rsidRPr="0006066A">
        <w:rPr>
          <w:rFonts w:eastAsia="MS Mincho"/>
          <w:bCs/>
          <w:i/>
          <w:iCs/>
          <w:color w:val="000000"/>
          <w:sz w:val="22"/>
          <w:szCs w:val="22"/>
          <w:lang w:val="en-US"/>
        </w:rPr>
        <w:t>et al</w:t>
      </w:r>
      <w:r w:rsidRPr="009978E3">
        <w:rPr>
          <w:rFonts w:eastAsia="MS Mincho"/>
          <w:bCs/>
          <w:i/>
          <w:color w:val="000000"/>
          <w:sz w:val="22"/>
          <w:szCs w:val="22"/>
          <w:lang w:val="en-US"/>
        </w:rPr>
        <w:t>.,</w:t>
      </w:r>
      <w:r w:rsidRPr="009978E3">
        <w:rPr>
          <w:rFonts w:eastAsia="MS Mincho"/>
          <w:bCs/>
          <w:color w:val="000000"/>
          <w:sz w:val="22"/>
          <w:szCs w:val="22"/>
          <w:lang w:val="en-US"/>
        </w:rPr>
        <w:t xml:space="preserve"> 2006.</w:t>
      </w:r>
      <w:r w:rsidRPr="009978E3">
        <w:rPr>
          <w:rFonts w:eastAsia="MS Mincho"/>
          <w:sz w:val="22"/>
          <w:szCs w:val="22"/>
          <w:lang w:val="en-US"/>
        </w:rPr>
        <w:t xml:space="preserve"> (a) Bathymetric map of the central Atlantic. MAR, Mid-Atlantic Ridge; NFS, Newfoundland seamounts; MSM, Milne seamounts; FSM, Fogo seamounts; J-ANR, J-Anomaly Ridge; NES, New England seamounts; CR, Corner Rise; CSM, Cruiser seamounts; GM, Great Meteor Seamount; MTR, Madeira-Tore Rise. Source is GEBCO (Intergovernmental Oceanographic Commission </w:t>
      </w:r>
      <w:r w:rsidRPr="0006066A">
        <w:rPr>
          <w:rFonts w:eastAsia="MS Mincho"/>
          <w:i/>
          <w:iCs/>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1994), 500 m depth intervals, to highlight prominent structures depths contours below 3500 m are shown in gray). (b) Bathymetric map of the Madeira-Tore Rise (MTR) and neighbo</w:t>
      </w:r>
      <w:r>
        <w:rPr>
          <w:rFonts w:eastAsia="MS Mincho"/>
          <w:sz w:val="22"/>
          <w:szCs w:val="22"/>
          <w:lang w:val="en-US"/>
        </w:rPr>
        <w:t>u</w:t>
      </w:r>
      <w:r w:rsidRPr="009978E3">
        <w:rPr>
          <w:rFonts w:eastAsia="MS Mincho"/>
          <w:sz w:val="22"/>
          <w:szCs w:val="22"/>
          <w:lang w:val="en-US"/>
        </w:rPr>
        <w:t xml:space="preserve">ring seamounts of the Madeira and Canary hot spot track (framed with heavy gray dashed lines) from TOPEX </w:t>
      </w:r>
      <w:r w:rsidRPr="0021277B">
        <w:rPr>
          <w:rFonts w:eastAsia="MS Mincho"/>
          <w:sz w:val="22"/>
          <w:szCs w:val="22"/>
          <w:lang w:val="en-US"/>
        </w:rPr>
        <w:t>(</w:t>
      </w:r>
      <w:r w:rsidRPr="00F66EF7">
        <w:rPr>
          <w:rFonts w:eastAsia="MS Mincho"/>
          <w:sz w:val="22"/>
          <w:szCs w:val="22"/>
          <w:lang w:val="en-US"/>
        </w:rPr>
        <w:t>Smith and Sandwell, 1997). Only depth contours above 3500 m are shown for clarity. Ages determined in this study for individual MTR sea</w:t>
      </w:r>
      <w:r w:rsidRPr="009978E3">
        <w:rPr>
          <w:rFonts w:eastAsia="MS Mincho"/>
          <w:sz w:val="22"/>
          <w:szCs w:val="22"/>
          <w:lang w:val="en-US"/>
        </w:rPr>
        <w:t xml:space="preserve">mounts are shown in bold. For all other age data, see Geldmacher </w:t>
      </w:r>
      <w:r w:rsidRPr="0006066A">
        <w:rPr>
          <w:rFonts w:eastAsia="MS Mincho"/>
          <w:i/>
          <w:iCs/>
          <w:sz w:val="22"/>
          <w:szCs w:val="22"/>
          <w:lang w:val="en-US"/>
        </w:rPr>
        <w:t>et al</w:t>
      </w:r>
      <w:r w:rsidRPr="009978E3">
        <w:rPr>
          <w:rFonts w:eastAsia="MS Mincho"/>
          <w:sz w:val="22"/>
          <w:szCs w:val="22"/>
          <w:lang w:val="en-US"/>
        </w:rPr>
        <w:t>. (2005) for reference.</w:t>
      </w:r>
    </w:p>
    <w:p w14:paraId="3F3772C2" w14:textId="77777777" w:rsidR="006B3F46" w:rsidRPr="009978E3" w:rsidRDefault="006B3F46" w:rsidP="00907941">
      <w:pPr>
        <w:jc w:val="both"/>
        <w:rPr>
          <w:rFonts w:eastAsia="MS Mincho"/>
          <w:sz w:val="22"/>
          <w:szCs w:val="22"/>
          <w:lang w:val="en-US"/>
        </w:rPr>
      </w:pPr>
    </w:p>
    <w:p w14:paraId="4D3A6394" w14:textId="77777777" w:rsidR="006B3F46" w:rsidRPr="00F66EF7" w:rsidRDefault="009E53BE" w:rsidP="00907941">
      <w:pPr>
        <w:jc w:val="center"/>
        <w:rPr>
          <w:rFonts w:eastAsia="MS Mincho"/>
          <w:sz w:val="22"/>
          <w:szCs w:val="22"/>
          <w:lang w:val="en-US"/>
        </w:rPr>
      </w:pPr>
      <w:r>
        <w:rPr>
          <w:rFonts w:eastAsia="MS Mincho"/>
          <w:noProof/>
          <w:sz w:val="22"/>
          <w:szCs w:val="22"/>
          <w:lang w:val="fr-CA" w:eastAsia="fr-CA"/>
        </w:rPr>
        <w:pict w14:anchorId="71CE7F4F">
          <v:shape id="Imagem 2" o:spid="_x0000_i1104" type="#_x0000_t75" style="width:423.75pt;height:228.75pt;visibility:visible">
            <v:imagedata r:id="rId198" o:title=""/>
          </v:shape>
        </w:pict>
      </w:r>
    </w:p>
    <w:p w14:paraId="540AFC35" w14:textId="77777777" w:rsidR="006B3F46" w:rsidRPr="009978E3" w:rsidRDefault="006B3F46" w:rsidP="00907941">
      <w:pPr>
        <w:jc w:val="both"/>
        <w:rPr>
          <w:rFonts w:eastAsia="MS Mincho"/>
          <w:sz w:val="22"/>
          <w:szCs w:val="22"/>
          <w:lang w:val="en-US"/>
        </w:rPr>
      </w:pPr>
    </w:p>
    <w:p w14:paraId="447A561E"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Figure 2</w:t>
      </w:r>
      <w:r>
        <w:rPr>
          <w:rFonts w:eastAsia="MS Mincho"/>
          <w:sz w:val="22"/>
          <w:szCs w:val="22"/>
          <w:lang w:val="en-US"/>
        </w:rPr>
        <w:t>.</w:t>
      </w:r>
      <w:r w:rsidRPr="009978E3">
        <w:rPr>
          <w:rFonts w:eastAsia="MS Mincho"/>
          <w:sz w:val="22"/>
          <w:szCs w:val="22"/>
          <w:lang w:val="en-US"/>
        </w:rPr>
        <w:t xml:space="preserve"> Structures included in Madeira-Tore area </w:t>
      </w:r>
    </w:p>
    <w:p w14:paraId="2446A713" w14:textId="77777777" w:rsidR="006B3F46" w:rsidRPr="0021277B" w:rsidRDefault="009E53BE" w:rsidP="00907941">
      <w:pPr>
        <w:jc w:val="both"/>
        <w:rPr>
          <w:sz w:val="22"/>
          <w:szCs w:val="22"/>
        </w:rPr>
      </w:pPr>
      <w:r>
        <w:rPr>
          <w:noProof/>
          <w:sz w:val="22"/>
          <w:szCs w:val="22"/>
        </w:rPr>
        <w:pict w14:anchorId="55A45F9F">
          <v:shapetype id="_x0000_t202" coordsize="21600,21600" o:spt="202" path="m,l,21600r21600,l21600,xe">
            <v:stroke joinstyle="miter"/>
            <v:path gradientshapeok="t" o:connecttype="rect"/>
          </v:shapetype>
          <v:shape id="Caixa de texto 7" o:spid="_x0000_s1028" type="#_x0000_t202" style="position:absolute;left:0;text-align:left;margin-left:217.55pt;margin-top:125.15pt;width:19pt;height:19.65pt;z-index:2516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bL1UQIAAJUEAAAOAAAAZHJzL2Uyb0RvYy54bWysVN9v2jAQfp+0/8Hy+0hCoawRoWJUTJNQ&#10;W4lOfT4ch0RLfJ5tSNhfv7MTKOr2NO3FnHPn73583zG/75qaHaWxFaqMJ6OYM6kE5pXaZ/z7y/rT&#10;Z86sA5VDjUpm/CQtv198/DBvdSrHWGKdS8MIRNm01RkvndNpFFlRygbsCLVU5CzQNODoavZRbqAl&#10;9KaOxnF8G7Vocm1QSGvp60Pv5IuAXxRSuKeisNKxOuNUmwunCefOn9FiDunegC4rMZQB/1BFA5Wi&#10;pBeoB3DADqb6A6qphEGLhRsJbCIsikrI0AN1k8TvutmWoGXohYZj9WVM9v/Bisfjs2FVnvHxjDMF&#10;DXG0gqoDlkvmZOeQzfyQWm1Tit1qinbdF+yI7NCw1RsUPyxTuCpB7eXSGGxLCTkVmfiX0dXTHscS&#10;iJ9VV5jG/9IUGOERPacLJZSZCfo4niQ3MXkEucaTu+l0GjDfHmtj3VeJDfNGxg0xHuqC48Y6nx7S&#10;c4jPpXBd1XVgvVaszfjtzTQODy4eelErHyuDfgYY30VfuLdct+uGqewwP9FQDPbaslqsKyplA9Y9&#10;gyExUfW0IO6JjqJGSomDxVmJ5tffvvt44pi8nLUkzozbnwcwkrP6m6LB3iWTiVdzuEymszFdzLVn&#10;d+1Rh2aFpP+EVlGLYPp4V5/NwmDzSnu09FnJBUpQ7oy7s7ly/crQHgq5XIYg0q8Gt1FbLc5a8IN+&#10;6V7B6IENL6BHPMsY0nek9LE9LcuDw6IKjPkB91Md1EPaD0QOe+qX6/oeot7+TRa/AQAA//8DAFBL&#10;AwQUAAYACAAAACEAsTcoAeUAAAAQAQAADwAAAGRycy9kb3ducmV2LnhtbExPTU+DQBC9m/gfNmPi&#10;zS6FUpGyNA2mMTF6aO3F28JOgbgfyG5b9Nc7nvQyybx58z6K9WQ0O+Poe2cFzGcRMLSNU71tBRze&#10;tncZMB+kVVI7iwK+0MO6vL4qZK7cxe7wvA8tIxHrcymgC2HIOfdNh0b6mRvQ0u3oRiMDrWPL1Sgv&#10;JG40j6NoyY3sLTl0csCqw+ZjfzICnqvtq9zVscm+dfX0ctwMn4f3VIjbm+lxRWOzAhZwCn8f8NuB&#10;8kNJwWp3ssozLWCRpHOiCojTKAFGjMV9QkhNSPawBF4W/H+R8gcAAP//AwBQSwECLQAUAAYACAAA&#10;ACEAtoM4kv4AAADhAQAAEwAAAAAAAAAAAAAAAAAAAAAAW0NvbnRlbnRfVHlwZXNdLnhtbFBLAQIt&#10;ABQABgAIAAAAIQA4/SH/1gAAAJQBAAALAAAAAAAAAAAAAAAAAC8BAABfcmVscy8ucmVsc1BLAQIt&#10;ABQABgAIAAAAIQAD1bL1UQIAAJUEAAAOAAAAAAAAAAAAAAAAAC4CAABkcnMvZTJvRG9jLnhtbFBL&#10;AQItABQABgAIAAAAIQCxNygB5QAAABABAAAPAAAAAAAAAAAAAAAAAKsEAABkcnMvZG93bnJldi54&#10;bWxQSwUGAAAAAAQABADzAAAAvQUAAAAA&#10;" filled="f" stroked="f" strokeweight=".5pt">
            <v:textbox style="mso-next-textbox:#Caixa de texto 7">
              <w:txbxContent>
                <w:p w14:paraId="60FA8544" w14:textId="77777777" w:rsidR="00B53DBA" w:rsidRPr="005411C9" w:rsidRDefault="00B53DBA" w:rsidP="00907941">
                  <w:pPr>
                    <w:rPr>
                      <w:b/>
                      <w:lang w:val="pt-PT"/>
                    </w:rPr>
                  </w:pPr>
                  <w:r>
                    <w:rPr>
                      <w:b/>
                      <w:lang w:val="pt-PT"/>
                    </w:rPr>
                    <w:t>2</w:t>
                  </w:r>
                </w:p>
              </w:txbxContent>
            </v:textbox>
          </v:shape>
        </w:pict>
      </w:r>
      <w:r>
        <w:rPr>
          <w:noProof/>
          <w:sz w:val="22"/>
          <w:szCs w:val="22"/>
        </w:rPr>
        <w:pict w14:anchorId="1DF52789">
          <v:shape id="Caixa de texto 5" o:spid="_x0000_s1027" type="#_x0000_t202" style="position:absolute;left:0;text-align:left;margin-left:266.45pt;margin-top:129.3pt;width:19pt;height:19.65pt;z-index:2516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qleUgIAAJwEAAAOAAAAZHJzL2Uyb0RvYy54bWysVEtv2zAMvg/YfxB0X/xokrVGnCJLkWFA&#10;0BZIh54ZWY6N2aImKbG7Xz9KzgvdTsMuMiWSHx8f6dl93zbsII2tUeU8GcWcSSWwqNUu599fVp9u&#10;ObMOVAENKpnzN2n5/fzjh1mnM5lihU0hDSMQZbNO57xyTmdRZEUlW7Aj1FKRskTTgqOr2UWFgY7Q&#10;2yZK43gadWgKbVBIa+n1YVDyecAvSyncU1la6ViTc8rNhdOEc+vPaD6DbGdAV7U4pgH/kEULtaKg&#10;Z6gHcMD2pv4Dqq2FQYulGwlsIyzLWshQA1WTxO+q2VSgZaiFmmP1uU32/8GKx8OzYXWR83TKmYKW&#10;OFpC3QMrJHOyd8gmvkmdthnZbjRZu/4L9kR2KNjqNYoflilcVqB2cmEMdpWEgpJMvGd05TrgWALx&#10;vepL0/ovdYERHtHzdqaEIjNBj+k4uYlJI0iVju8mk5BNdHHWxrqvElvmhZwbYjzkBYe1dT48ZCcT&#10;H0vhqm6awHqjWJfz6c0kDg5nDXk0ytvKMD9HGF/FkLiXXL/tQ9dCif5li8Ub9cbgMGJWi1VNGa3B&#10;umcwNFNUBO2Je6KjbJAi41HirELz62/v3p6oJi1nHc1ozu3PPRjJWfNNUX/vkvHYD3W4jCefU7qY&#10;a832WqP27RJpDRLaSC2C6O1dcxJLg+0rrdPCRyUVKEGxc+5O4tINm0PrKORiEYxojDW4tdpocRoJ&#10;3++X/hWMPpLi5+gRT9MM2TtuBtuBncXeYVkH4i5dPQ4RrUDg87iufseu78Hq8lOZ/wYAAP//AwBQ&#10;SwMEFAAGAAgAAAAhAJZw/znlAAAAEAEAAA8AAABkcnMvZG93bnJldi54bWxMT01Pg0AQvZv4HzbT&#10;xJtdiqEFytI0mMbE6KG1F28DuwXifiC7bdFf73jSyyTz5s37KDaT0eyiRt87K2Axj4Ap2zjZ21bA&#10;8W13nwLzAa1E7awS8KU8bMrbmwJz6a52ry6H0DISsT5HAV0IQ865bzpl0M/doCzdTm40GGgdWy5H&#10;vJK40TyOoiU32Fty6HBQVaeaj8PZCHiudq+4r2OTfuvq6eW0HT6P74kQd7PpcU1juwYW1BT+PuC3&#10;A+WHkoLV7mylZ1pA8hBnRBUQJ+kSGDGSVURITUi2yoCXBf9fpPwBAAD//wMAUEsBAi0AFAAGAAgA&#10;AAAhALaDOJL+AAAA4QEAABMAAAAAAAAAAAAAAAAAAAAAAFtDb250ZW50X1R5cGVzXS54bWxQSwEC&#10;LQAUAAYACAAAACEAOP0h/9YAAACUAQAACwAAAAAAAAAAAAAAAAAvAQAAX3JlbHMvLnJlbHNQSwEC&#10;LQAUAAYACAAAACEA91qpXlICAACcBAAADgAAAAAAAAAAAAAAAAAuAgAAZHJzL2Uyb0RvYy54bWxQ&#10;SwECLQAUAAYACAAAACEAlnD/OeUAAAAQAQAADwAAAAAAAAAAAAAAAACsBAAAZHJzL2Rvd25yZXYu&#10;eG1sUEsFBgAAAAAEAAQA8wAAAL4FAAAAAA==&#10;" filled="f" stroked="f" strokeweight=".5pt">
            <v:textbox style="mso-next-textbox:#Caixa de texto 5">
              <w:txbxContent>
                <w:p w14:paraId="31CB9613" w14:textId="77777777" w:rsidR="00B53DBA" w:rsidRPr="005411C9" w:rsidRDefault="00B53DBA" w:rsidP="00907941">
                  <w:pPr>
                    <w:rPr>
                      <w:b/>
                      <w:lang w:val="pt-PT"/>
                    </w:rPr>
                  </w:pPr>
                  <w:r w:rsidRPr="005411C9">
                    <w:rPr>
                      <w:b/>
                      <w:lang w:val="pt-PT"/>
                    </w:rPr>
                    <w:t>1</w:t>
                  </w:r>
                </w:p>
              </w:txbxContent>
            </v:textbox>
          </v:shape>
        </w:pict>
      </w:r>
      <w:r>
        <w:rPr>
          <w:noProof/>
          <w:sz w:val="22"/>
          <w:szCs w:val="22"/>
          <w:lang w:val="fr-CA" w:eastAsia="fr-CA"/>
        </w:rPr>
        <w:pict w14:anchorId="19F6FF99">
          <v:shape id="Imagem 8" o:spid="_x0000_i1105" type="#_x0000_t75" style="width:453.75pt;height:321pt;visibility:visible">
            <v:imagedata r:id="rId199" o:title=""/>
          </v:shape>
        </w:pict>
      </w:r>
    </w:p>
    <w:p w14:paraId="45844624" w14:textId="77777777" w:rsidR="006B3F46" w:rsidRPr="009978E3" w:rsidRDefault="006B3F46" w:rsidP="00907941">
      <w:pPr>
        <w:jc w:val="both"/>
        <w:rPr>
          <w:sz w:val="22"/>
          <w:szCs w:val="22"/>
          <w:lang w:val="en-US"/>
        </w:rPr>
      </w:pPr>
      <w:r w:rsidRPr="00F66EF7">
        <w:rPr>
          <w:sz w:val="22"/>
          <w:szCs w:val="22"/>
          <w:lang w:val="en-US"/>
        </w:rPr>
        <w:t>Figure 3</w:t>
      </w:r>
      <w:r>
        <w:rPr>
          <w:sz w:val="22"/>
          <w:szCs w:val="22"/>
          <w:lang w:val="en-US"/>
        </w:rPr>
        <w:t>.</w:t>
      </w:r>
      <w:r w:rsidRPr="009978E3">
        <w:rPr>
          <w:sz w:val="22"/>
          <w:szCs w:val="22"/>
          <w:lang w:val="en-US"/>
        </w:rPr>
        <w:t xml:space="preserve"> Madeira-Tore. Yellow shadow </w:t>
      </w:r>
      <w:r>
        <w:rPr>
          <w:sz w:val="22"/>
          <w:szCs w:val="22"/>
          <w:lang w:val="en-US"/>
        </w:rPr>
        <w:t>–</w:t>
      </w:r>
      <w:r w:rsidRPr="009978E3">
        <w:rPr>
          <w:sz w:val="22"/>
          <w:szCs w:val="22"/>
          <w:lang w:val="en-US"/>
        </w:rPr>
        <w:t xml:space="preserve"> area</w:t>
      </w:r>
      <w:r>
        <w:rPr>
          <w:sz w:val="22"/>
          <w:szCs w:val="22"/>
          <w:lang w:val="en-US"/>
        </w:rPr>
        <w:t xml:space="preserve"> meeting EBSA criteria</w:t>
      </w:r>
      <w:r w:rsidRPr="009978E3">
        <w:rPr>
          <w:sz w:val="22"/>
          <w:szCs w:val="22"/>
          <w:lang w:val="en-US"/>
        </w:rPr>
        <w:t xml:space="preserve">. Light brown shadows 1 - pSCI - Gorringe Bank; 2 - </w:t>
      </w:r>
      <w:r w:rsidRPr="005A02BD">
        <w:rPr>
          <w:rFonts w:eastAsia="MS Mincho"/>
          <w:sz w:val="22"/>
          <w:szCs w:val="22"/>
          <w:lang w:val="en-US"/>
        </w:rPr>
        <w:t>Josephine Seamount High Seas Marine Protected Area</w:t>
      </w:r>
      <w:r w:rsidRPr="009978E3">
        <w:rPr>
          <w:rFonts w:eastAsia="MS Mincho"/>
          <w:sz w:val="22"/>
          <w:szCs w:val="22"/>
          <w:lang w:val="en-US"/>
        </w:rPr>
        <w:t xml:space="preserve"> </w:t>
      </w:r>
      <w:r>
        <w:rPr>
          <w:rFonts w:eastAsia="MS Mincho"/>
          <w:sz w:val="22"/>
          <w:szCs w:val="22"/>
          <w:lang w:val="en-US"/>
        </w:rPr>
        <w:t xml:space="preserve"> (OSPAR) </w:t>
      </w:r>
      <w:r w:rsidRPr="009978E3">
        <w:rPr>
          <w:rFonts w:eastAsia="MS Mincho"/>
          <w:sz w:val="22"/>
          <w:szCs w:val="22"/>
          <w:lang w:val="en-US"/>
        </w:rPr>
        <w:t xml:space="preserve"> (</w:t>
      </w:r>
      <w:r>
        <w:rPr>
          <w:rFonts w:eastAsia="MS Mincho"/>
          <w:sz w:val="22"/>
          <w:szCs w:val="22"/>
          <w:lang w:val="en-US"/>
        </w:rPr>
        <w:t>w</w:t>
      </w:r>
      <w:r w:rsidRPr="009978E3">
        <w:rPr>
          <w:rFonts w:eastAsia="MS Mincho"/>
          <w:sz w:val="22"/>
          <w:szCs w:val="22"/>
          <w:lang w:val="en-US"/>
        </w:rPr>
        <w:t>ater column</w:t>
      </w:r>
      <w:r w:rsidRPr="005911B1">
        <w:rPr>
          <w:rFonts w:eastAsia="MS Mincho"/>
          <w:sz w:val="22"/>
          <w:szCs w:val="22"/>
          <w:lang w:val="en-US"/>
        </w:rPr>
        <w:t xml:space="preserve"> </w:t>
      </w:r>
      <w:r w:rsidRPr="009978E3">
        <w:rPr>
          <w:rFonts w:eastAsia="MS Mincho"/>
          <w:sz w:val="22"/>
          <w:szCs w:val="22"/>
          <w:lang w:val="en-US"/>
        </w:rPr>
        <w:t>only</w:t>
      </w:r>
      <w:r>
        <w:rPr>
          <w:rFonts w:eastAsia="MS Mincho"/>
          <w:sz w:val="22"/>
          <w:szCs w:val="22"/>
          <w:lang w:val="en-US"/>
        </w:rPr>
        <w:t>)</w:t>
      </w:r>
      <w:r w:rsidRPr="009978E3">
        <w:rPr>
          <w:rFonts w:eastAsia="MS Mincho"/>
          <w:sz w:val="22"/>
          <w:szCs w:val="22"/>
          <w:lang w:val="en-US"/>
        </w:rPr>
        <w:t>.</w:t>
      </w:r>
    </w:p>
    <w:p w14:paraId="7E839C6E" w14:textId="77777777" w:rsidR="006B3F46" w:rsidRPr="009978E3" w:rsidRDefault="006B3F46" w:rsidP="00907941">
      <w:pPr>
        <w:jc w:val="both"/>
        <w:rPr>
          <w:rFonts w:eastAsia="MS Mincho"/>
          <w:sz w:val="22"/>
          <w:szCs w:val="22"/>
          <w:lang w:val="en-US"/>
        </w:rPr>
      </w:pPr>
    </w:p>
    <w:p w14:paraId="1A15217F" w14:textId="77777777" w:rsidR="006B3F46" w:rsidRPr="00F66EF7" w:rsidRDefault="009E53BE" w:rsidP="00907941">
      <w:pPr>
        <w:jc w:val="both"/>
        <w:rPr>
          <w:rFonts w:eastAsia="MS Mincho"/>
          <w:b/>
          <w:sz w:val="22"/>
          <w:szCs w:val="22"/>
          <w:lang w:val="en-US"/>
        </w:rPr>
      </w:pPr>
      <w:r>
        <w:rPr>
          <w:noProof/>
          <w:sz w:val="22"/>
          <w:szCs w:val="22"/>
          <w:lang w:val="fr-CA" w:eastAsia="fr-CA"/>
        </w:rPr>
        <w:pict w14:anchorId="33B85AD6">
          <v:shape id="Gráfico 3" o:spid="_x0000_i1106" type="#_x0000_t75" style="width:441.75pt;height:25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hH1fS5&#10;BgAAYx8AABwAAABkcnMvdGhlbWUvdGhlbWVPdmVycmlkZTEueG1s7FlLbxs3EL4X6H9Y7L2xZOsR&#10;G5ED6xU3sWwjUlLkSGupXUbcpUBSdnQrklMvBQqkRQ8N0FsPRdEADdCgl/4YAw7a9Ed0yF3tkhIV&#10;P+ACQWELMHa53ww/zgxnZrl37j6LqXeMuSAsafjlWyXfw8mQBSQJG/6jQfez274nJEoCRFmCG/4M&#10;C//u9qef3EFbMsIxPgBZTgLsgZ5EbKGGH0k52VpbE0N4jMQtNsEJPBsxHiMJtzxcCzg6Af0xXVsv&#10;lWprMSKJvw0Kh5T3lRT2EhTDXAejERli/SgYlxVCzESLcu8Y0YYPKgJ2MsDPpO9RJCQ8aPgl/eev&#10;bd9ZQ1uZEJUrZA25rv7L5DKBYLyu5+ThUT5ppVKt1HZy/RpA5TKuU+/UOrVcnwag4RAnGRdbZ329&#10;VcmwBii9dOhu19sbZQtv6N9Y4rxTVT8Lr0Gp/soSvtttgRUtvAal+OoSvtrcbLZt/RqU4mtL+Hpp&#10;p12pW/o1KKIkGS+hS9XaRmu+2hwyYnTXCd+sVrr19Ux5gYJoyKNLTTFiiVwVazF6yngXAApIkSSJ&#10;J2cTPEJDiMkWouSIE2+PhBEE3gQlTMBwab3ULW3Af/Wr6CvtUbSFkSGteAETsTSk+HhiyMlENvz7&#10;oNU3IGdv354+f3P6/PfTFy9On/+aza1VWXK7KAlNufc/ffPPqy+9v3/78f3Lb9OpF/HCxL/75at3&#10;f/z5IfWw4sIUZ9+9fvfm9dn3X//180uH9h2Ojkz4gMRYePv4xHvIYliggz8+4peTGESImBI7SShQ&#10;gtQsDv0dGVno/RmiyIFrYtuOjzmkGhfw3vSpRbgf8akkDo0PotgC9hijTcadVnig5jLMPJgmoXty&#10;PjVxDxE6ds3dQonl5c50AjmWuFS2ImzRPKQokSjECZaeesbGGDtW94QQy649MuRMsJH0nhCviYjT&#10;JANyZEVTIbRLYvDLzEUQ/G3ZpvfYazLqWnUbH9tI2BuIOsgPMLXMeA9NJYpdKgcopqbB95CMXCT7&#10;Mz40cR0hwdMhpszrBFgIl8wBh/UaTn8Aacbt9h6dxTaSSzJ26dxDjJnINhu3IhRPXNg+SSIT+7kY&#10;Q4gi75BJF7zH7B2i7sEPKFnp7scEW+4+Pxs8ggxrUioCRD2Zcocv72FmxW9/RkcIu1LNDo+tFLvD&#10;iTM6mtPQCu09jCk6QQHG3qPPHQyabGLZvCB9P4KssotdgXUf2bGq7hMssKebm+U8uUeEFbJ9HLIV&#10;fHqzhcQzQ0mM+CrN++B10+YdKHWxKwAO6HBsAvcJtHcQL06jHAjQYQT3Sq2HEbIKmLoX7nidcct/&#10;F9ljsC+fWjQusC9BBl9aBhK7KfNB2wwQtSYoAmaAoMtwpVsQsdxfiKjiqsWmTrmRvWkLN0B3ZDU9&#10;MUnO7YAWep/qf9f7QIdx9sMrx2a7nn7HrdhKVpfsdFYlk92F/mYVbrGraTEekI+/qWmjaXKIoY4s&#10;Z6ybnuamp/H/9z3Nqv1808ms6jduOhkfOoybTiY7XLmeTqZoXqCvUQce6UGPPvaJV576jAilfTmj&#10;eE/ogx8B7zNBFwaVnD7MxPkp4CSCS1XmYAILF3KkZTzO5BdERv0ITeB0qOwrJaHIVIfCmzABh0Z6&#10;2Klb4ek07rEgPewsl9XBZlpZBZLFeKmaj8NBlUzRtXpxgJer12xDkTJJCSjZy5AwJrNJbDhI1OeD&#10;ykj6WBeM5iChV3YtLDYdLG4r9XNXLbEAarlX4IXbg9f0hl+tgAgIwXkcNOeB8lPq6rl3tQmv09Or&#10;jGlFADTY8wgoPL2puK5cnlrdhT1tkTDCzSahLaMbPBHBa3AWnWr0IjQu6+vNwqUWPWUKPR+EVkGj&#10;fvtDLK7qa5BbzA00MTMFTbyThl/bqELIDNGk4Y/g0Bgu4wnEjlDvXIiG8HFlKHm64a+SWSZcyDYS&#10;UWpwnXTSbBATiblHSdzw1fJzN9BE5xDNrbwOCeGjJbcJaeVjIwdOt52MRyM8lKbbjRFl6fQWMnya&#10;K5xPtfjVwUqSTcHd/Sg48Y7olD9EEGLVelkZMCACvh2UU2sGBD6G5YmsiL+FwpSlXfNrlI6hdBzR&#10;SYSyimIm8xSuU3lOR9/lNjDusjWDQQ2TZIXwKFQF1jSqVU3zqpFyWFl1zxdSljOSZlEzrayiqqY7&#10;i1kzzMvAgi2vVuQNVnMTQ04zK3xapBdT7uY81y30CXmVAIPn9nNU3QuUfoNaMZlFTTFeTsMqZ2ej&#10;du2YL/AcahcpEkbWr83VLtgtrxHO6WDwSpUf5BajFoZG875SW9r6ML79LwAAAP//AwBQSwMEFAAG&#10;AAgAAAAhAIKCVzYIAQAALwIAAA4AAABkcnMvZTJvRG9jLnhtbJyRwUoDMRCG74LvEOZus12xytJs&#10;L0Xw5EUfYEwm3cBuEiZpV9/esS1ST0IvYf4Z+PLPP+vN5zSqA3EJKRpYLhpQFG1yIe4MvL893z2B&#10;KhWjwzFFMvBFBTb97c16zh21aUijI1YCiaWbs4Gh1txpXexAE5ZFyhRl6BNPWEXyTjvGWejTqNum&#10;Wek5scucLJUi3e1pCP2R7z3Z+up9oapGA+KtHl8Wp+2jyA8Dq/sH0P0aux1jHoI9e8ErrEwYovz8&#10;i9piRbXncAXKDshVWLY7VmdT9mrSGSCL/x9w8j5Y2ia7nyjWU8pMI1Y5cRlCLqC4C84Av7jlT3b6&#10;z8aXWurLO/ffAAAA//8DAFBLAwQUAAYACAAAACEAjcf0Ra8GAAABEwAAFQAAAGRycy9jaGFydHMv&#10;Y2hhcnQxLnhtbLxYX2/jNgx/H7DvkBnbYxzL/x1cOiROux3WrsXubgP2pthK4lWWfLLSazbsu4+y&#10;JNdpG+82YLuHq0yRFMkfKZF58+1jTScPRLQVZwsHuZ4zIazgZcV2C+fD+6tp6kxaiVmJKWdk4RxJ&#10;63x78eUXb4p5scdCvmtwQSaghLXzYuHspWzms1lb7EmNW5c3hMHelosaS/gUu1kp8CdQXtOZ73nx&#10;rFPiGAX4XyioccWsvPgceb7dVgVZ8+JQEya1FYJQLCEC7b5qWqutQLHwX2isq0Lwlm+lW/B6ppVZ&#10;p0AZima9VxcQpBJLgjIvnDxgunA8Z6aIFLOdJhA2/fBOEwU/sJKUORcM4Bjw18V8SSURDFTlnEmw&#10;2sSr/qyI11jcH5opmNuAk5uKVvLYue1cvAHd+Z5DPCY/kY+HSpB24RQofApB+E8D4CWzdOYbXMFZ&#10;FM5beaREO4Q8X3k768/tTLjClG5wca9iM2DuWZ/2leDzYCipgoob3Nw+iMlmhxYOlciZyEdYlfew&#10;2uwARyp9RYNVeQ8rXBQQSOAwC0uBfU3peQJLCSwPBEXzQKD0IrKUyFJiS4mdyZ5W7B4Cqf44ky2n&#10;32uCXekE6EpBOYMPkr+vJCVrQokk5SAXinlDuVwKghUjxUd+kF1KbbDIVT0qMqzXldBSBada+w7y&#10;q4HCM2R6aCGlSKk3H7A45pzyk7wDLIhQ+qry8cQELkpi1JuErhhcIfLt9keygxR7MGCbzfJ6Q1ul&#10;p23uQB+eM35VUQpm4zllJ4SZpZDtlhTyulXOzawk/N3zT9dkR1j5Azme2KR2fsZwlakyQ9orRcux&#10;/BHXpwYp+jsiXqXfEaHy4oXu1WGzoeRd9ftLVdcEQzyuK0aGVVvMyaNyQDkOq8lBVAvnj/wyjoJk&#10;iabr+Cqfhts4mmbrDE0T3w/zMAujdLX686n6IK2e3ah/d/0MKy8y8XrNPAgqWNUF19oJpB6qAneG&#10;t1L8RLbKhe3FFad7jL76evl1MIf/UKaA6faAK8dw4yu+RuZwj5n4oUQD0cgJ5JC6/hTLw8UNp5B/&#10;Ras0PHQ2NN1xlg8Zvquq3Z/j8Q3Pksk9/53jc3yB4bvjotoScZYv7PUxQqvyrG2R5aM7TM4dGhum&#10;y2JfMQ7ZUZ/VlxjW74+lGPMjNXy5gMqFNxezc4dn9nCK25pvBGZgRXWOG1lQbuUe3p2zbBaTldbH&#10;G16ejSWy4ORk3FRk0VmJ45jz8CLpzLk7FozvWDVydg9QWwAbBOqsSxalnDR7aG9eegTp+ZTb+qMr&#10;B1iaAoHrRhnGDvWLOslVneTDOgGuvk50S5RDblx4rveNsnFA+txC8twgiJM0ieIwieM0yILorLcm&#10;gp6Lnsn450Qsion7pD9J/SANLqdnhSyiiRtESYT8LDLHJSNCFt7YzcLA8yKUoiBMUORFI0IW6MgN&#10;0jT2kBfEfpyFfhaPCFnMI7c/w48yLx6zzpZo6GZJ6GWBH4d+mCZeGI4cZOs1dFEYeUmS+J7vJT5E&#10;Y0TIlq7vZtBJRmHohVo6HRHqKxi5SYziKPUC5KWpl/qjUragkTsUUeeOnWVzArlD85RzY1I2KZB7&#10;Gos0G5OyWZG5TyGP48D3IO7BuaRFNi1S1z8N4qiUzYvEBYiG6fRSCkr1qZL1h70VzHVgX9STlz8I&#10;Ui/Pw2m0hvyENMqnq8vAn14m/trPkiAK8nzw8kP7+A9f/nDQc8fzA6s+Hshb0zv+4Zl/0wRsmKZZ&#10;uJ4uvSSbLqEhyS6j9dpb+X+qxxr8eaUvMI1g3x58Zh9mGsD/vA8Do3vTdrj5pSrl3nSCkbEBP9pY&#10;QK5C/aIk1r3J6UaQ+GknASqHLTVc98tHddOfsg/0tAWGpn6neKDTgBayGyi1FXXFbvCjCe+Asez6&#10;+5NeEz/ecdNGbrSBkGtXtYSpQc3Q6sFYON8RGBExhcmcH6BdhdbznpT9dFnj37h4XxX3NzD4aeUw&#10;JWhlYMnzPQZzvd6UIAO9em8Ag0x4z/WeGnrbpZkDVAj7SMFbqPZs86uGl1+JMGLqyyCh9dANXdId&#10;07RCip56u922xPaNnkGN8ZsDldX1AwW7BnECdHpEoOZeg2Zg3yDi/woaM04MoDEz1SvQqMf8OS5G&#10;/v/BZZCSI7h0WysiPxFisNjoD4UHRNcEFVbDeVOtf67aW0bN8GU8K6u2WcGPGvft0uQuVKFGVtX+&#10;Wg2AtzAhQhE8A9GOrHY0fH0eBDM0Q3c5qV9C6BpLPBEwmi4c8bbUr5JKtg+N+sXl9BRI416m8+7p&#10;l6uLvwA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I3ubJsgAQAAFgIAACAAAABkcnMv&#10;Y2hhcnRzL19yZWxzL2NoYXJ0MS54bWwucmVsc6xRTUsDMRC9C/6HJeDRzbYHkWJaqq3QgxRse9vL&#10;NJndjc0mIRll++8dlYKFghcvA8lj3ryPh9nQu+IDU7bBKzEqK1Gg18FY3yqx2z7f3osiE3gDLnhU&#10;4ohZzKbXVw+v6IB4KXc25oJZfFaiI4oTKbPusIdchoiekSakHoifqZUR9AFalOOqupPpN4eYnnEW&#10;K6NEWpmxKLbHyJf/5g5NYzUugn7v0dOFEzI4XO/fUBOTQmqRlGisQ5Ys5dOk3mUOou4hWTBszXIo&#10;9QLzgUKs5zfjihLswXWQauRMyGayGvg/x8xz+biZb8rB5eHE/hIMC18OhMmDE/Kyw9F/OiROHtdc&#10;aLIGTzqUKEv5jfzMEz4quZ0vWfKszeknAAAA//8DAFBLAwQUAAYACAAAACEA1GVWlNsAAAAKAQAA&#10;DwAAAGRycy9kb3ducmV2LnhtbExPQU7DMBC8I/EHa5G4UacQkJXGqVArxK0SBcF1G5skqr2ObLcJ&#10;v2fhApfRjkYzO1OvZ+/E2cY0BNKwXBQgLLXBDNRpeHt9ulEgUkYy6AJZDV82wbq5vKixMmGiF3ve&#10;505wCKUKNfQ5j5WUqe2tx7QIoyXWPkP0mJnGTpqIE4d7J2+L4kF6HIg/9DjaTW/b4/7kNTyr7XHz&#10;PpXL0u8wljuZPtyd0vr6at6uGB5XILKd858DfjZwf2i42CGcyCThNPCa/IusKVUyPWi4L/iQTS3/&#10;T2i+AQAA//8DAFBLAQItABQABgAIAAAAIQBAH/RBMAEAAOACAAATAAAAAAAAAAAAAAAAAAAAAABb&#10;Q29udGVudF9UeXBlc10ueG1sUEsBAi0AFAAGAAgAAAAhADj9If/WAAAAlAEAAAsAAAAAAAAAAAAA&#10;AAAAYQEAAF9yZWxzLy5yZWxzUEsBAi0AFAAGAAgAAAAhAChH1fS5BgAAYx8AABwAAAAAAAAAAAAA&#10;AAAAYAIAAGRycy90aGVtZS90aGVtZU92ZXJyaWRlMS54bWxQSwECLQAUAAYACAAAACEAgoJXNggB&#10;AAAvAgAADgAAAAAAAAAAAAAAAABTCQAAZHJzL2Uyb0RvYy54bWxQSwECLQAUAAYACAAAACEAjcf0&#10;Ra8GAAABEwAAFQAAAAAAAAAAAAAAAACHCgAAZHJzL2NoYXJ0cy9jaGFydDEueG1sUEsBAi0AFAAG&#10;AAgAAAAhAKsWzUa5AAAAIgEAABkAAAAAAAAAAAAAAAAAaREAAGRycy9fcmVscy9lMm9Eb2MueG1s&#10;LnJlbHNQSwECLQAUAAYACAAAACEAje5smyABAAAWAgAAIAAAAAAAAAAAAAAAAABZEgAAZHJzL2No&#10;YXJ0cy9fcmVscy9jaGFydDEueG1sLnJlbHNQSwECLQAUAAYACAAAACEA1GVWlNsAAAAKAQAADwAA&#10;AAAAAAAAAAAAAAC3EwAAZHJzL2Rvd25yZXYueG1sUEsFBgAAAAAIAAgAFQIAAL8UAAAAAA==&#10;">
            <v:imagedata r:id="rId200" o:title=""/>
            <o:lock v:ext="edit" aspectratio="f"/>
          </v:shape>
        </w:pict>
      </w:r>
    </w:p>
    <w:p w14:paraId="37B2D097"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Figure 5</w:t>
      </w:r>
      <w:r>
        <w:rPr>
          <w:rFonts w:eastAsia="MS Mincho"/>
          <w:sz w:val="22"/>
          <w:szCs w:val="22"/>
          <w:lang w:val="en-US"/>
        </w:rPr>
        <w:t>.</w:t>
      </w:r>
      <w:r w:rsidRPr="009978E3">
        <w:rPr>
          <w:rFonts w:eastAsia="MS Mincho"/>
          <w:sz w:val="22"/>
          <w:szCs w:val="22"/>
          <w:lang w:val="en-US"/>
        </w:rPr>
        <w:t xml:space="preserve"> Relative frequency (</w:t>
      </w:r>
      <w:r>
        <w:rPr>
          <w:rFonts w:eastAsia="MS Mincho"/>
          <w:sz w:val="22"/>
          <w:szCs w:val="22"/>
          <w:lang w:val="en-US"/>
        </w:rPr>
        <w:t>per cent</w:t>
      </w:r>
      <w:r w:rsidRPr="009978E3">
        <w:rPr>
          <w:rFonts w:eastAsia="MS Mincho"/>
          <w:sz w:val="22"/>
          <w:szCs w:val="22"/>
          <w:lang w:val="en-US"/>
        </w:rPr>
        <w:t>) of the different phylum/class/order of the species identified in Madeira-Tore.</w:t>
      </w:r>
    </w:p>
    <w:p w14:paraId="61F90752" w14:textId="77777777" w:rsidR="006B3F46" w:rsidRPr="009978E3" w:rsidRDefault="006B3F46" w:rsidP="00907941">
      <w:pPr>
        <w:jc w:val="both"/>
        <w:rPr>
          <w:rFonts w:eastAsia="MS Mincho"/>
          <w:sz w:val="22"/>
          <w:szCs w:val="22"/>
          <w:lang w:val="en-US"/>
        </w:rPr>
      </w:pPr>
    </w:p>
    <w:p w14:paraId="299AC628" w14:textId="77777777" w:rsidR="006B3F46" w:rsidRPr="009978E3" w:rsidRDefault="006B3F46" w:rsidP="00907941">
      <w:pPr>
        <w:jc w:val="both"/>
        <w:rPr>
          <w:rFonts w:eastAsia="MS Mincho"/>
          <w:bCs/>
          <w:color w:val="000000"/>
          <w:sz w:val="22"/>
          <w:szCs w:val="22"/>
          <w:lang w:val="en-US"/>
        </w:rPr>
      </w:pPr>
    </w:p>
    <w:p w14:paraId="31B0BF8E"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Rights and permissions </w:t>
      </w:r>
    </w:p>
    <w:p w14:paraId="64B167F3" w14:textId="77777777" w:rsidR="006B3F46" w:rsidRPr="009978E3" w:rsidRDefault="006B3F46" w:rsidP="00907941">
      <w:pPr>
        <w:jc w:val="both"/>
        <w:rPr>
          <w:rFonts w:eastAsia="MS Mincho"/>
          <w:i/>
          <w:sz w:val="22"/>
          <w:szCs w:val="22"/>
          <w:lang w:val="en-US"/>
        </w:rPr>
      </w:pPr>
      <w:r w:rsidRPr="009978E3">
        <w:rPr>
          <w:sz w:val="22"/>
          <w:szCs w:val="22"/>
        </w:rPr>
        <w:t>Only processed and analysed information is included here</w:t>
      </w:r>
      <w:r>
        <w:rPr>
          <w:sz w:val="22"/>
          <w:szCs w:val="22"/>
        </w:rPr>
        <w:t>,</w:t>
      </w:r>
      <w:r w:rsidRPr="009978E3">
        <w:rPr>
          <w:sz w:val="22"/>
          <w:szCs w:val="22"/>
        </w:rPr>
        <w:t xml:space="preserve"> and the results from these analyses are publicly available.</w:t>
      </w:r>
    </w:p>
    <w:p w14:paraId="04EDCC6B" w14:textId="77777777" w:rsidR="006B3F46" w:rsidRPr="009978E3" w:rsidRDefault="006B3F46" w:rsidP="00907941">
      <w:pPr>
        <w:jc w:val="both"/>
        <w:rPr>
          <w:rFonts w:eastAsia="MS Mincho"/>
          <w:b/>
          <w:sz w:val="22"/>
          <w:szCs w:val="22"/>
          <w:lang w:val="en-US"/>
        </w:rPr>
      </w:pPr>
    </w:p>
    <w:p w14:paraId="31C7D101" w14:textId="77777777" w:rsidR="006B3F46" w:rsidRPr="009978E3" w:rsidRDefault="006B3F46" w:rsidP="00907941">
      <w:pPr>
        <w:jc w:val="both"/>
        <w:rPr>
          <w:rFonts w:eastAsia="MS Mincho"/>
          <w:b/>
          <w:sz w:val="22"/>
          <w:szCs w:val="22"/>
          <w:lang w:val="en-US"/>
        </w:rPr>
      </w:pPr>
    </w:p>
    <w:p w14:paraId="59A9ECAD" w14:textId="77777777" w:rsidR="006B3F46" w:rsidRPr="00F66EF7" w:rsidRDefault="006B3F46" w:rsidP="00907941">
      <w:pPr>
        <w:jc w:val="center"/>
        <w:rPr>
          <w:rFonts w:eastAsia="MS Mincho"/>
          <w:b/>
          <w:color w:val="000000"/>
          <w:sz w:val="22"/>
          <w:szCs w:val="22"/>
          <w:lang w:val="en-US"/>
        </w:rPr>
      </w:pPr>
      <w:r w:rsidRPr="009978E3">
        <w:rPr>
          <w:sz w:val="22"/>
          <w:szCs w:val="22"/>
        </w:rPr>
        <w:br w:type="page"/>
      </w:r>
      <w:r w:rsidRPr="009978E3">
        <w:rPr>
          <w:rFonts w:eastAsia="MS Mincho"/>
          <w:b/>
          <w:color w:val="000000"/>
          <w:sz w:val="22"/>
          <w:szCs w:val="22"/>
          <w:lang w:val="en-US"/>
        </w:rPr>
        <w:t xml:space="preserve">Area no.7: </w:t>
      </w:r>
      <w:r w:rsidRPr="0021277B">
        <w:rPr>
          <w:b/>
          <w:color w:val="000000"/>
          <w:sz w:val="22"/>
          <w:szCs w:val="22"/>
        </w:rPr>
        <w:t>Desertas</w:t>
      </w:r>
    </w:p>
    <w:p w14:paraId="2A3E4978"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Abstract</w:t>
      </w:r>
    </w:p>
    <w:p w14:paraId="32954C33" w14:textId="77777777" w:rsidR="006B3F46" w:rsidRPr="009978E3" w:rsidRDefault="006B3F46" w:rsidP="002E4B39">
      <w:pPr>
        <w:suppressLineNumbers/>
        <w:spacing w:after="120"/>
        <w:jc w:val="both"/>
        <w:rPr>
          <w:color w:val="000000"/>
          <w:sz w:val="22"/>
          <w:szCs w:val="22"/>
          <w:shd w:val="clear" w:color="auto" w:fill="FFFFFF"/>
        </w:rPr>
      </w:pPr>
      <w:r w:rsidRPr="009978E3">
        <w:rPr>
          <w:color w:val="000000"/>
          <w:sz w:val="22"/>
          <w:szCs w:val="22"/>
          <w:shd w:val="clear" w:color="auto" w:fill="FFFFFF"/>
        </w:rPr>
        <w:t xml:space="preserve">The Desertas Islands hold some of the most important </w:t>
      </w:r>
      <w:r>
        <w:rPr>
          <w:color w:val="000000"/>
          <w:sz w:val="22"/>
          <w:szCs w:val="22"/>
          <w:shd w:val="clear" w:color="auto" w:fill="FFFFFF"/>
        </w:rPr>
        <w:t xml:space="preserve">seabird </w:t>
      </w:r>
      <w:r w:rsidRPr="009978E3">
        <w:rPr>
          <w:color w:val="000000"/>
          <w:sz w:val="22"/>
          <w:szCs w:val="22"/>
          <w:shd w:val="clear" w:color="auto" w:fill="FFFFFF"/>
        </w:rPr>
        <w:t xml:space="preserve">colonies in the Atlantic, with large populations of Procellariiforms, including the only population of vulnerable Desertas </w:t>
      </w:r>
      <w:r>
        <w:rPr>
          <w:color w:val="000000"/>
          <w:sz w:val="22"/>
          <w:szCs w:val="22"/>
          <w:shd w:val="clear" w:color="auto" w:fill="FFFFFF"/>
        </w:rPr>
        <w:t>p</w:t>
      </w:r>
      <w:r w:rsidRPr="009978E3">
        <w:rPr>
          <w:color w:val="000000"/>
          <w:sz w:val="22"/>
          <w:szCs w:val="22"/>
          <w:shd w:val="clear" w:color="auto" w:fill="FFFFFF"/>
        </w:rPr>
        <w:t>etrel (</w:t>
      </w:r>
      <w:r w:rsidRPr="009978E3">
        <w:rPr>
          <w:i/>
          <w:color w:val="000000"/>
          <w:sz w:val="22"/>
          <w:szCs w:val="22"/>
          <w:shd w:val="clear" w:color="auto" w:fill="FFFFFF"/>
        </w:rPr>
        <w:t xml:space="preserve">Pterodroma deserta). </w:t>
      </w:r>
      <w:r w:rsidRPr="009978E3">
        <w:rPr>
          <w:color w:val="000000"/>
          <w:sz w:val="22"/>
          <w:szCs w:val="22"/>
          <w:shd w:val="clear" w:color="auto" w:fill="FFFFFF"/>
        </w:rPr>
        <w:t xml:space="preserve">They also contain important reproductive and resting habitats for the endangered </w:t>
      </w:r>
      <w:r w:rsidRPr="002E4B39">
        <w:rPr>
          <w:rFonts w:eastAsia="MS Mincho"/>
          <w:sz w:val="22"/>
          <w:szCs w:val="22"/>
          <w:lang w:val="en-US"/>
        </w:rPr>
        <w:t>monk</w:t>
      </w:r>
      <w:r w:rsidRPr="009978E3">
        <w:rPr>
          <w:color w:val="000000"/>
          <w:sz w:val="22"/>
          <w:szCs w:val="22"/>
          <w:shd w:val="clear" w:color="auto" w:fill="FFFFFF"/>
        </w:rPr>
        <w:t xml:space="preserve"> seal (</w:t>
      </w:r>
      <w:r w:rsidRPr="009978E3">
        <w:rPr>
          <w:i/>
          <w:color w:val="000000"/>
          <w:sz w:val="22"/>
          <w:szCs w:val="22"/>
          <w:shd w:val="clear" w:color="auto" w:fill="FFFFFF"/>
        </w:rPr>
        <w:t>Monachus monachus)</w:t>
      </w:r>
      <w:r w:rsidRPr="009978E3">
        <w:rPr>
          <w:color w:val="000000"/>
          <w:sz w:val="22"/>
          <w:szCs w:val="22"/>
          <w:shd w:val="clear" w:color="auto" w:fill="FFFFFF"/>
        </w:rPr>
        <w:t xml:space="preserve"> in the form of pupping caves and resting beaches. </w:t>
      </w:r>
    </w:p>
    <w:p w14:paraId="1C6AE9CD" w14:textId="77777777" w:rsidR="006B3F46" w:rsidRPr="009978E3" w:rsidRDefault="006B3F46" w:rsidP="00907941">
      <w:pPr>
        <w:jc w:val="both"/>
        <w:rPr>
          <w:rFonts w:eastAsia="MS Mincho"/>
          <w:color w:val="000000"/>
          <w:sz w:val="22"/>
          <w:szCs w:val="22"/>
          <w:lang w:val="en-US"/>
        </w:rPr>
      </w:pPr>
      <w:r w:rsidRPr="009978E3">
        <w:rPr>
          <w:rFonts w:eastAsia="MS Mincho"/>
          <w:b/>
          <w:color w:val="000000"/>
          <w:sz w:val="22"/>
          <w:szCs w:val="22"/>
          <w:lang w:val="en-US"/>
        </w:rPr>
        <w:t>Introduction</w:t>
      </w:r>
    </w:p>
    <w:p w14:paraId="4C98313E" w14:textId="77777777" w:rsidR="006B3F46" w:rsidRPr="009978E3" w:rsidRDefault="006B3F46" w:rsidP="002E4B39">
      <w:pPr>
        <w:suppressLineNumbers/>
        <w:spacing w:after="120"/>
        <w:jc w:val="both"/>
        <w:rPr>
          <w:rFonts w:eastAsia="MS Mincho"/>
          <w:color w:val="000000"/>
          <w:sz w:val="22"/>
          <w:szCs w:val="22"/>
          <w:lang w:val="en-US"/>
        </w:rPr>
      </w:pPr>
      <w:r w:rsidRPr="009978E3">
        <w:rPr>
          <w:color w:val="000000"/>
          <w:sz w:val="22"/>
          <w:szCs w:val="22"/>
          <w:shd w:val="clear" w:color="auto" w:fill="FFFFFF"/>
        </w:rPr>
        <w:t>The Desertas Islands hold some of the most important seabird colonies in the Atlantic. It is a g</w:t>
      </w:r>
      <w:r w:rsidRPr="009978E3">
        <w:rPr>
          <w:rFonts w:eastAsia="MS Mincho"/>
          <w:color w:val="000000"/>
          <w:sz w:val="22"/>
          <w:szCs w:val="22"/>
          <w:lang w:val="en-US"/>
        </w:rPr>
        <w:t xml:space="preserve">lobally important site for the </w:t>
      </w:r>
      <w:r w:rsidRPr="009978E3">
        <w:rPr>
          <w:color w:val="000000"/>
          <w:sz w:val="22"/>
          <w:szCs w:val="22"/>
          <w:shd w:val="clear" w:color="auto" w:fill="FFFFFF"/>
        </w:rPr>
        <w:t xml:space="preserve">vulnerable and endemic </w:t>
      </w:r>
      <w:r>
        <w:rPr>
          <w:color w:val="000000"/>
          <w:sz w:val="22"/>
          <w:szCs w:val="22"/>
          <w:shd w:val="clear" w:color="auto" w:fill="FFFFFF"/>
        </w:rPr>
        <w:t>D</w:t>
      </w:r>
      <w:r w:rsidRPr="009978E3">
        <w:rPr>
          <w:color w:val="000000"/>
          <w:sz w:val="22"/>
          <w:szCs w:val="22"/>
          <w:shd w:val="clear" w:color="auto" w:fill="FFFFFF"/>
        </w:rPr>
        <w:t>esertas petrel (</w:t>
      </w:r>
      <w:r w:rsidRPr="009978E3">
        <w:rPr>
          <w:i/>
          <w:color w:val="000000"/>
          <w:sz w:val="22"/>
          <w:szCs w:val="22"/>
          <w:shd w:val="clear" w:color="auto" w:fill="FFFFFF"/>
        </w:rPr>
        <w:t xml:space="preserve">Pterodroma deserta) </w:t>
      </w:r>
      <w:r w:rsidRPr="009978E3">
        <w:rPr>
          <w:color w:val="000000"/>
          <w:sz w:val="22"/>
          <w:szCs w:val="22"/>
          <w:shd w:val="clear" w:color="auto" w:fill="FFFFFF"/>
        </w:rPr>
        <w:t>(BirdLife International 2019a), with an estimated 160-180 breeding pairs (Menezes </w:t>
      </w:r>
      <w:r w:rsidRPr="0006066A">
        <w:rPr>
          <w:rStyle w:val="Emphasis"/>
          <w:color w:val="000000"/>
          <w:sz w:val="22"/>
          <w:szCs w:val="22"/>
          <w:shd w:val="clear" w:color="auto" w:fill="FFFFFF"/>
        </w:rPr>
        <w:t>et al</w:t>
      </w:r>
      <w:r w:rsidRPr="009978E3">
        <w:rPr>
          <w:i/>
          <w:color w:val="000000"/>
          <w:sz w:val="22"/>
          <w:szCs w:val="22"/>
          <w:shd w:val="clear" w:color="auto" w:fill="FFFFFF"/>
        </w:rPr>
        <w:t xml:space="preserve">. </w:t>
      </w:r>
      <w:r w:rsidRPr="009978E3">
        <w:rPr>
          <w:color w:val="000000"/>
          <w:sz w:val="22"/>
          <w:szCs w:val="22"/>
          <w:shd w:val="clear" w:color="auto" w:fill="FFFFFF"/>
        </w:rPr>
        <w:t>2010). It also has the largest colony of Bulwer's petrel (</w:t>
      </w:r>
      <w:r w:rsidRPr="009978E3">
        <w:rPr>
          <w:i/>
          <w:color w:val="000000"/>
          <w:sz w:val="22"/>
          <w:szCs w:val="22"/>
          <w:shd w:val="clear" w:color="auto" w:fill="FFFFFF"/>
        </w:rPr>
        <w:t>Bulweria bulwerii)</w:t>
      </w:r>
      <w:r w:rsidRPr="009978E3">
        <w:rPr>
          <w:color w:val="000000"/>
          <w:sz w:val="22"/>
          <w:szCs w:val="22"/>
          <w:shd w:val="clear" w:color="auto" w:fill="FFFFFF"/>
        </w:rPr>
        <w:t xml:space="preserve"> in the Atlantic (8,300 pairs: Catry </w:t>
      </w:r>
      <w:r w:rsidRPr="0006066A">
        <w:rPr>
          <w:i/>
          <w:color w:val="000000"/>
          <w:sz w:val="22"/>
          <w:szCs w:val="22"/>
          <w:shd w:val="clear" w:color="auto" w:fill="FFFFFF"/>
        </w:rPr>
        <w:t>et al</w:t>
      </w:r>
      <w:r w:rsidRPr="009978E3">
        <w:rPr>
          <w:color w:val="000000"/>
          <w:sz w:val="22"/>
          <w:szCs w:val="22"/>
          <w:shd w:val="clear" w:color="auto" w:fill="FFFFFF"/>
        </w:rPr>
        <w:t xml:space="preserve">. 2015); an important population of </w:t>
      </w:r>
      <w:r w:rsidRPr="009978E3">
        <w:rPr>
          <w:iCs/>
          <w:color w:val="000000"/>
          <w:sz w:val="22"/>
          <w:szCs w:val="22"/>
          <w:lang w:eastAsia="en-GB"/>
        </w:rPr>
        <w:t>Audubon’s shearwater</w:t>
      </w:r>
      <w:r w:rsidRPr="009978E3">
        <w:rPr>
          <w:i/>
          <w:iCs/>
          <w:color w:val="000000"/>
          <w:sz w:val="22"/>
          <w:szCs w:val="22"/>
          <w:lang w:eastAsia="en-GB"/>
        </w:rPr>
        <w:t xml:space="preserve"> </w:t>
      </w:r>
      <w:r>
        <w:rPr>
          <w:i/>
          <w:iCs/>
          <w:color w:val="000000"/>
          <w:sz w:val="22"/>
          <w:szCs w:val="22"/>
          <w:lang w:eastAsia="en-GB"/>
        </w:rPr>
        <w:t>(</w:t>
      </w:r>
      <w:r w:rsidRPr="009978E3">
        <w:rPr>
          <w:i/>
          <w:iCs/>
          <w:color w:val="000000"/>
          <w:sz w:val="22"/>
          <w:szCs w:val="22"/>
          <w:lang w:eastAsia="en-GB"/>
        </w:rPr>
        <w:t>Puffinus lherminieri baroli</w:t>
      </w:r>
      <w:r>
        <w:rPr>
          <w:i/>
          <w:iCs/>
          <w:color w:val="000000"/>
          <w:sz w:val="22"/>
          <w:szCs w:val="22"/>
          <w:lang w:eastAsia="en-GB"/>
        </w:rPr>
        <w:t>)</w:t>
      </w:r>
      <w:r w:rsidRPr="009978E3">
        <w:rPr>
          <w:iCs/>
          <w:color w:val="000000"/>
          <w:sz w:val="22"/>
          <w:szCs w:val="22"/>
          <w:lang w:eastAsia="en-GB"/>
        </w:rPr>
        <w:t xml:space="preserve"> – listed by OSPAR as a threatened and/or declining species</w:t>
      </w:r>
      <w:r w:rsidRPr="009978E3">
        <w:rPr>
          <w:color w:val="000000"/>
          <w:sz w:val="22"/>
          <w:szCs w:val="22"/>
          <w:shd w:val="clear" w:color="auto" w:fill="FFFFFF"/>
        </w:rPr>
        <w:t xml:space="preserve">; and the </w:t>
      </w:r>
      <w:r w:rsidRPr="009978E3">
        <w:rPr>
          <w:rFonts w:eastAsia="MS Mincho"/>
          <w:color w:val="000000"/>
          <w:sz w:val="22"/>
          <w:szCs w:val="22"/>
          <w:lang w:val="en-US"/>
        </w:rPr>
        <w:t>band-rumped storm-petrel (</w:t>
      </w:r>
      <w:r w:rsidRPr="009978E3">
        <w:rPr>
          <w:rFonts w:eastAsia="MS Mincho"/>
          <w:i/>
          <w:color w:val="000000"/>
          <w:sz w:val="22"/>
          <w:szCs w:val="22"/>
          <w:lang w:val="en-US"/>
        </w:rPr>
        <w:t xml:space="preserve">Hydrobates castro) </w:t>
      </w:r>
      <w:r w:rsidRPr="009978E3">
        <w:rPr>
          <w:rFonts w:eastAsia="MS Mincho"/>
          <w:color w:val="000000"/>
          <w:sz w:val="22"/>
          <w:szCs w:val="22"/>
          <w:lang w:val="en-US"/>
        </w:rPr>
        <w:t>(1,000 breeding pairs).</w:t>
      </w:r>
      <w:r w:rsidRPr="009978E3">
        <w:rPr>
          <w:rFonts w:eastAsia="MS Mincho"/>
          <w:i/>
          <w:color w:val="000000"/>
          <w:sz w:val="22"/>
          <w:szCs w:val="22"/>
          <w:lang w:val="en-US"/>
        </w:rPr>
        <w:t xml:space="preserve"> </w:t>
      </w:r>
      <w:r w:rsidRPr="009978E3">
        <w:rPr>
          <w:rFonts w:eastAsia="MS Mincho"/>
          <w:color w:val="000000"/>
          <w:sz w:val="22"/>
          <w:szCs w:val="22"/>
          <w:lang w:val="en-US"/>
        </w:rPr>
        <w:t>The area also contains an important population of 25-40 endangered Mediterranean monk seal (</w:t>
      </w:r>
      <w:r w:rsidRPr="009978E3">
        <w:rPr>
          <w:rFonts w:eastAsia="MS Mincho"/>
          <w:i/>
          <w:color w:val="000000"/>
          <w:sz w:val="22"/>
          <w:szCs w:val="22"/>
          <w:lang w:val="en-US"/>
        </w:rPr>
        <w:t>Monachus monachus)</w:t>
      </w:r>
      <w:r w:rsidRPr="009978E3">
        <w:rPr>
          <w:rFonts w:eastAsia="MS Mincho"/>
          <w:color w:val="000000"/>
          <w:sz w:val="22"/>
          <w:szCs w:val="22"/>
          <w:lang w:val="en-US"/>
        </w:rPr>
        <w:t xml:space="preserve"> (Pires </w:t>
      </w:r>
      <w:r w:rsidRPr="0006066A">
        <w:rPr>
          <w:rFonts w:eastAsia="MS Mincho"/>
          <w:i/>
          <w:color w:val="000000"/>
          <w:sz w:val="22"/>
          <w:szCs w:val="22"/>
          <w:lang w:val="en-US"/>
        </w:rPr>
        <w:t>et al</w:t>
      </w:r>
      <w:r w:rsidRPr="009978E3">
        <w:rPr>
          <w:rFonts w:eastAsia="MS Mincho"/>
          <w:color w:val="000000"/>
          <w:sz w:val="22"/>
          <w:szCs w:val="22"/>
          <w:lang w:val="en-US"/>
        </w:rPr>
        <w:t xml:space="preserve">. 2007, Pires 2011). The Madeira </w:t>
      </w:r>
      <w:r w:rsidRPr="009978E3">
        <w:rPr>
          <w:rFonts w:eastAsia="MS Mincho"/>
          <w:i/>
          <w:color w:val="000000"/>
          <w:sz w:val="22"/>
          <w:szCs w:val="22"/>
          <w:lang w:val="en-US"/>
        </w:rPr>
        <w:t>M. monachus</w:t>
      </w:r>
      <w:r w:rsidRPr="009978E3">
        <w:rPr>
          <w:rFonts w:eastAsia="MS Mincho"/>
          <w:color w:val="000000"/>
          <w:sz w:val="22"/>
          <w:szCs w:val="22"/>
          <w:lang w:val="en-US"/>
        </w:rPr>
        <w:t xml:space="preserve"> population is isolated from the other main areas of the species distribution in the Eastern Mediterranean as well as the only other and nearest Atlantic colony, roughly 1000 km south of Madeira, at Cap Blanc, Mauritania (Pires </w:t>
      </w:r>
      <w:r w:rsidRPr="0006066A">
        <w:rPr>
          <w:rFonts w:eastAsia="MS Mincho"/>
          <w:i/>
          <w:color w:val="000000"/>
          <w:sz w:val="22"/>
          <w:szCs w:val="22"/>
          <w:lang w:val="en-US"/>
        </w:rPr>
        <w:t>et al</w:t>
      </w:r>
      <w:r w:rsidRPr="009978E3">
        <w:rPr>
          <w:rFonts w:eastAsia="MS Mincho"/>
          <w:color w:val="000000"/>
          <w:sz w:val="22"/>
          <w:szCs w:val="22"/>
          <w:lang w:val="en-US"/>
        </w:rPr>
        <w:t xml:space="preserve">. 2008). </w:t>
      </w:r>
      <w:r w:rsidRPr="009978E3">
        <w:rPr>
          <w:color w:val="000000"/>
          <w:sz w:val="22"/>
          <w:szCs w:val="22"/>
          <w:shd w:val="clear" w:color="auto" w:fill="FFFFFF"/>
        </w:rPr>
        <w:t>T</w:t>
      </w:r>
      <w:r w:rsidRPr="009978E3">
        <w:rPr>
          <w:color w:val="000000"/>
          <w:sz w:val="22"/>
          <w:szCs w:val="22"/>
        </w:rPr>
        <w:t xml:space="preserve">he site has been classified as an Important Bird and Biodiversity Area by BirdLife International (BirdLife International 2019b) </w:t>
      </w:r>
      <w:hyperlink r:id="rId201" w:history="1">
        <w:r w:rsidRPr="009978E3">
          <w:rPr>
            <w:rStyle w:val="Hyperlink"/>
            <w:color w:val="000000"/>
            <w:sz w:val="22"/>
            <w:szCs w:val="22"/>
          </w:rPr>
          <w:t>http://datazone.birdlife.org/site/factsheet/desertas-iba-portugal</w:t>
        </w:r>
      </w:hyperlink>
      <w:r w:rsidRPr="00F66EF7">
        <w:rPr>
          <w:rFonts w:eastAsia="MS Mincho"/>
          <w:color w:val="000000"/>
          <w:sz w:val="22"/>
          <w:szCs w:val="22"/>
          <w:lang w:val="en-US"/>
        </w:rPr>
        <w:t>, as well as an Imp</w:t>
      </w:r>
      <w:r w:rsidRPr="009978E3">
        <w:rPr>
          <w:rFonts w:eastAsia="MS Mincho"/>
          <w:color w:val="000000"/>
          <w:sz w:val="22"/>
          <w:szCs w:val="22"/>
          <w:lang w:val="en-US"/>
        </w:rPr>
        <w:t xml:space="preserve">ortant Marine Mammal Area (IMMA) by the IUCN Joint SSC/WCPA Marine </w:t>
      </w:r>
      <w:r w:rsidRPr="002E4B39">
        <w:rPr>
          <w:rFonts w:eastAsia="MS Mincho"/>
          <w:sz w:val="22"/>
          <w:szCs w:val="22"/>
          <w:lang w:val="en-US"/>
        </w:rPr>
        <w:t>Mammal</w:t>
      </w:r>
      <w:r w:rsidRPr="009978E3">
        <w:rPr>
          <w:rFonts w:eastAsia="MS Mincho"/>
          <w:color w:val="000000"/>
          <w:sz w:val="22"/>
          <w:szCs w:val="22"/>
          <w:lang w:val="en-US"/>
        </w:rPr>
        <w:t xml:space="preserve"> Protected Areas Task Force (IUCN MMPATF 2019). </w:t>
      </w:r>
    </w:p>
    <w:p w14:paraId="4A96898B" w14:textId="77777777" w:rsidR="006B3F46" w:rsidRPr="0021277B" w:rsidRDefault="006B3F46" w:rsidP="00907941">
      <w:pPr>
        <w:jc w:val="both"/>
        <w:rPr>
          <w:snapToGrid w:val="0"/>
          <w:kern w:val="22"/>
          <w:sz w:val="22"/>
          <w:szCs w:val="22"/>
        </w:rPr>
      </w:pPr>
      <w:r w:rsidRPr="009978E3">
        <w:rPr>
          <w:rFonts w:eastAsia="MS Mincho"/>
          <w:b/>
          <w:color w:val="000000"/>
          <w:sz w:val="22"/>
          <w:szCs w:val="22"/>
          <w:lang w:val="en-US"/>
        </w:rPr>
        <w:t>Location</w:t>
      </w:r>
      <w:r>
        <w:rPr>
          <w:rFonts w:eastAsia="MS Mincho"/>
          <w:b/>
          <w:color w:val="000000"/>
          <w:sz w:val="22"/>
          <w:szCs w:val="22"/>
          <w:lang w:val="en-US"/>
        </w:rPr>
        <w:t xml:space="preserve">: </w:t>
      </w:r>
      <w:r w:rsidRPr="00980CD3">
        <w:rPr>
          <w:color w:val="000000"/>
          <w:sz w:val="22"/>
          <w:szCs w:val="22"/>
          <w:shd w:val="clear" w:color="auto" w:fill="FFFFFF"/>
        </w:rPr>
        <w:t xml:space="preserve">This area includes the marine areas adjacent to </w:t>
      </w:r>
      <w:r>
        <w:rPr>
          <w:color w:val="000000"/>
          <w:sz w:val="22"/>
          <w:szCs w:val="22"/>
          <w:shd w:val="clear" w:color="auto" w:fill="FFFFFF"/>
        </w:rPr>
        <w:t xml:space="preserve">the </w:t>
      </w:r>
      <w:r w:rsidRPr="00980CD3">
        <w:rPr>
          <w:color w:val="000000"/>
          <w:sz w:val="22"/>
          <w:szCs w:val="22"/>
          <w:shd w:val="clear" w:color="auto" w:fill="FFFFFF"/>
        </w:rPr>
        <w:t xml:space="preserve">Desertas </w:t>
      </w:r>
      <w:r>
        <w:rPr>
          <w:color w:val="000000"/>
          <w:sz w:val="22"/>
          <w:szCs w:val="22"/>
          <w:shd w:val="clear" w:color="auto" w:fill="FFFFFF"/>
        </w:rPr>
        <w:t>I</w:t>
      </w:r>
      <w:r w:rsidRPr="00980CD3">
        <w:rPr>
          <w:color w:val="000000"/>
          <w:sz w:val="22"/>
          <w:szCs w:val="22"/>
          <w:shd w:val="clear" w:color="auto" w:fill="FFFFFF"/>
        </w:rPr>
        <w:t>sland</w:t>
      </w:r>
      <w:r>
        <w:rPr>
          <w:color w:val="000000"/>
          <w:sz w:val="22"/>
          <w:szCs w:val="22"/>
          <w:shd w:val="clear" w:color="auto" w:fill="FFFFFF"/>
        </w:rPr>
        <w:t>s</w:t>
      </w:r>
      <w:r w:rsidRPr="00980CD3">
        <w:rPr>
          <w:color w:val="000000"/>
          <w:sz w:val="22"/>
          <w:szCs w:val="22"/>
          <w:shd w:val="clear" w:color="auto" w:fill="FFFFFF"/>
        </w:rPr>
        <w:t xml:space="preserve">. </w:t>
      </w:r>
      <w:r w:rsidRPr="0021277B">
        <w:rPr>
          <w:snapToGrid w:val="0"/>
          <w:kern w:val="22"/>
          <w:sz w:val="22"/>
          <w:szCs w:val="22"/>
        </w:rPr>
        <w:t>It has an area of 455 km</w:t>
      </w:r>
      <w:r w:rsidRPr="0021277B">
        <w:rPr>
          <w:snapToGrid w:val="0"/>
          <w:kern w:val="22"/>
          <w:sz w:val="22"/>
          <w:szCs w:val="22"/>
          <w:vertAlign w:val="superscript"/>
        </w:rPr>
        <w:t>2</w:t>
      </w:r>
      <w:r w:rsidRPr="0021277B">
        <w:rPr>
          <w:snapToGrid w:val="0"/>
          <w:kern w:val="22"/>
          <w:sz w:val="22"/>
          <w:szCs w:val="22"/>
        </w:rPr>
        <w:t xml:space="preserve"> and is located southeast of Madeira </w:t>
      </w:r>
      <w:r>
        <w:rPr>
          <w:snapToGrid w:val="0"/>
          <w:kern w:val="22"/>
          <w:sz w:val="22"/>
          <w:szCs w:val="22"/>
        </w:rPr>
        <w:t>I</w:t>
      </w:r>
      <w:r w:rsidRPr="0021277B">
        <w:rPr>
          <w:snapToGrid w:val="0"/>
          <w:kern w:val="22"/>
          <w:sz w:val="22"/>
          <w:szCs w:val="22"/>
        </w:rPr>
        <w:t>sland, Portugal (32.47N/-16.52W)</w:t>
      </w:r>
    </w:p>
    <w:p w14:paraId="0C276FBE" w14:textId="77777777" w:rsidR="006B3F46" w:rsidRPr="00D22192" w:rsidRDefault="006B3F46" w:rsidP="002E4B39">
      <w:pPr>
        <w:suppressLineNumbers/>
        <w:spacing w:after="120"/>
        <w:jc w:val="both"/>
        <w:rPr>
          <w:rFonts w:eastAsia="MS Mincho"/>
          <w:i/>
          <w:iCs/>
          <w:color w:val="000000"/>
          <w:sz w:val="22"/>
          <w:szCs w:val="22"/>
          <w:lang w:val="en-US"/>
        </w:rPr>
      </w:pPr>
      <w:r w:rsidRPr="004B1547">
        <w:rPr>
          <w:color w:val="000000"/>
          <w:sz w:val="22"/>
          <w:szCs w:val="22"/>
          <w:shd w:val="clear" w:color="auto" w:fill="FFFFFF"/>
        </w:rPr>
        <w:t xml:space="preserve"> (</w:t>
      </w:r>
      <w:r w:rsidRPr="002E4B39">
        <w:rPr>
          <w:rFonts w:eastAsia="MS Mincho"/>
          <w:sz w:val="22"/>
          <w:szCs w:val="22"/>
          <w:lang w:val="en-US"/>
        </w:rPr>
        <w:t>Figure</w:t>
      </w:r>
      <w:r w:rsidRPr="004B1547">
        <w:rPr>
          <w:color w:val="000000"/>
          <w:sz w:val="22"/>
          <w:szCs w:val="22"/>
          <w:shd w:val="clear" w:color="auto" w:fill="FFFFFF"/>
        </w:rPr>
        <w:t xml:space="preserve"> 1). </w:t>
      </w:r>
    </w:p>
    <w:p w14:paraId="0EEABEA6"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Feature description of the area</w:t>
      </w:r>
    </w:p>
    <w:p w14:paraId="5EA0A28C" w14:textId="77777777" w:rsidR="006B3F46" w:rsidRPr="009978E3" w:rsidRDefault="006B3F46" w:rsidP="002E4B39">
      <w:pPr>
        <w:suppressLineNumbers/>
        <w:spacing w:after="120"/>
        <w:jc w:val="both"/>
        <w:rPr>
          <w:iCs/>
          <w:color w:val="000000"/>
          <w:sz w:val="22"/>
          <w:szCs w:val="22"/>
          <w:lang w:eastAsia="en-GB"/>
        </w:rPr>
      </w:pPr>
      <w:r w:rsidRPr="009978E3">
        <w:rPr>
          <w:rFonts w:eastAsia="MS Mincho"/>
          <w:color w:val="000000"/>
          <w:sz w:val="22"/>
          <w:szCs w:val="22"/>
          <w:lang w:val="en-US"/>
        </w:rPr>
        <w:t xml:space="preserve">The Desertas (and specifically Bugio) contains the only breeding colony of </w:t>
      </w:r>
      <w:r w:rsidRPr="009978E3">
        <w:rPr>
          <w:color w:val="000000"/>
          <w:sz w:val="22"/>
          <w:szCs w:val="22"/>
          <w:shd w:val="clear" w:color="auto" w:fill="FFFFFF"/>
        </w:rPr>
        <w:t>Desertas petrel (</w:t>
      </w:r>
      <w:r w:rsidRPr="009978E3">
        <w:rPr>
          <w:i/>
          <w:color w:val="000000"/>
          <w:sz w:val="22"/>
          <w:szCs w:val="22"/>
          <w:shd w:val="clear" w:color="auto" w:fill="FFFFFF"/>
        </w:rPr>
        <w:t>Pterodroma deserta)</w:t>
      </w:r>
      <w:r w:rsidRPr="009978E3">
        <w:rPr>
          <w:color w:val="000000"/>
          <w:sz w:val="22"/>
          <w:szCs w:val="22"/>
          <w:shd w:val="clear" w:color="auto" w:fill="FFFFFF"/>
        </w:rPr>
        <w:t xml:space="preserve"> in the world</w:t>
      </w:r>
      <w:r w:rsidRPr="009978E3">
        <w:rPr>
          <w:i/>
          <w:color w:val="000000"/>
          <w:sz w:val="22"/>
          <w:szCs w:val="22"/>
          <w:shd w:val="clear" w:color="auto" w:fill="FFFFFF"/>
        </w:rPr>
        <w:t xml:space="preserve">, </w:t>
      </w:r>
      <w:r w:rsidRPr="009978E3">
        <w:rPr>
          <w:color w:val="000000"/>
          <w:sz w:val="22"/>
          <w:szCs w:val="22"/>
          <w:shd w:val="clear" w:color="auto" w:fill="FFFFFF"/>
        </w:rPr>
        <w:t xml:space="preserve">with 160-180 pairs. Birds return to their breeding grounds in early June. Incubation occurs between mid-July and </w:t>
      </w:r>
      <w:r>
        <w:rPr>
          <w:color w:val="000000"/>
          <w:sz w:val="22"/>
          <w:szCs w:val="22"/>
          <w:shd w:val="clear" w:color="auto" w:fill="FFFFFF"/>
        </w:rPr>
        <w:t xml:space="preserve">the </w:t>
      </w:r>
      <w:r w:rsidRPr="009978E3">
        <w:rPr>
          <w:color w:val="000000"/>
          <w:sz w:val="22"/>
          <w:szCs w:val="22"/>
          <w:shd w:val="clear" w:color="auto" w:fill="FFFFFF"/>
        </w:rPr>
        <w:t>end</w:t>
      </w:r>
      <w:r>
        <w:rPr>
          <w:color w:val="000000"/>
          <w:sz w:val="22"/>
          <w:szCs w:val="22"/>
          <w:shd w:val="clear" w:color="auto" w:fill="FFFFFF"/>
        </w:rPr>
        <w:t xml:space="preserve"> of </w:t>
      </w:r>
      <w:r w:rsidRPr="009978E3">
        <w:rPr>
          <w:color w:val="000000"/>
          <w:sz w:val="22"/>
          <w:szCs w:val="22"/>
          <w:shd w:val="clear" w:color="auto" w:fill="FFFFFF"/>
        </w:rPr>
        <w:t xml:space="preserve">August, and juveniles fledge throughout November-December. </w:t>
      </w:r>
      <w:r w:rsidRPr="009978E3">
        <w:rPr>
          <w:rFonts w:eastAsia="MS Mincho"/>
          <w:color w:val="000000"/>
          <w:sz w:val="22"/>
          <w:szCs w:val="22"/>
          <w:lang w:val="en-US"/>
        </w:rPr>
        <w:t>It is also globally important for a breeding</w:t>
      </w:r>
      <w:r w:rsidRPr="009978E3">
        <w:rPr>
          <w:color w:val="000000"/>
          <w:sz w:val="22"/>
          <w:szCs w:val="22"/>
          <w:shd w:val="clear" w:color="auto" w:fill="FFFFFF"/>
        </w:rPr>
        <w:t xml:space="preserve"> population of </w:t>
      </w:r>
      <w:r w:rsidRPr="009978E3">
        <w:rPr>
          <w:rFonts w:eastAsia="MS Mincho"/>
          <w:color w:val="000000"/>
          <w:sz w:val="22"/>
          <w:szCs w:val="22"/>
          <w:lang w:val="en-US"/>
        </w:rPr>
        <w:t>band-rumped storm-petrel (</w:t>
      </w:r>
      <w:r w:rsidRPr="009978E3">
        <w:rPr>
          <w:rFonts w:eastAsia="MS Mincho"/>
          <w:i/>
          <w:color w:val="000000"/>
          <w:sz w:val="22"/>
          <w:szCs w:val="22"/>
          <w:lang w:val="en-US"/>
        </w:rPr>
        <w:t xml:space="preserve">Hydrobates castro) </w:t>
      </w:r>
      <w:r w:rsidRPr="009978E3">
        <w:rPr>
          <w:rFonts w:eastAsia="MS Mincho"/>
          <w:color w:val="000000"/>
          <w:sz w:val="22"/>
          <w:szCs w:val="22"/>
          <w:lang w:val="en-US"/>
        </w:rPr>
        <w:t>(1,000 breeding pairs), and</w:t>
      </w:r>
      <w:r w:rsidRPr="009978E3">
        <w:rPr>
          <w:iCs/>
          <w:color w:val="000000"/>
          <w:sz w:val="22"/>
          <w:szCs w:val="22"/>
          <w:lang w:eastAsia="en-GB"/>
        </w:rPr>
        <w:t xml:space="preserve"> Audubon’s shearwater</w:t>
      </w:r>
      <w:r w:rsidRPr="009978E3">
        <w:rPr>
          <w:i/>
          <w:iCs/>
          <w:color w:val="000000"/>
          <w:sz w:val="22"/>
          <w:szCs w:val="22"/>
          <w:lang w:eastAsia="en-GB"/>
        </w:rPr>
        <w:t xml:space="preserve"> (Puffinus lherminieri baroli)</w:t>
      </w:r>
      <w:r>
        <w:rPr>
          <w:i/>
          <w:iCs/>
          <w:color w:val="000000"/>
          <w:sz w:val="22"/>
          <w:szCs w:val="22"/>
          <w:lang w:eastAsia="en-GB"/>
        </w:rPr>
        <w:t>,</w:t>
      </w:r>
      <w:r w:rsidRPr="009978E3">
        <w:rPr>
          <w:iCs/>
          <w:color w:val="000000"/>
          <w:sz w:val="22"/>
          <w:szCs w:val="22"/>
          <w:lang w:eastAsia="en-GB"/>
        </w:rPr>
        <w:t xml:space="preserve"> listed by OSPAR as a threatened and/or declining species. The Madeira population of </w:t>
      </w:r>
      <w:r w:rsidRPr="009978E3">
        <w:rPr>
          <w:i/>
          <w:iCs/>
          <w:color w:val="000000"/>
          <w:sz w:val="22"/>
          <w:szCs w:val="22"/>
          <w:lang w:eastAsia="en-GB"/>
        </w:rPr>
        <w:t xml:space="preserve">M. monachus </w:t>
      </w:r>
      <w:r w:rsidRPr="009978E3">
        <w:rPr>
          <w:iCs/>
          <w:color w:val="000000"/>
          <w:sz w:val="22"/>
          <w:szCs w:val="22"/>
          <w:lang w:eastAsia="en-GB"/>
        </w:rPr>
        <w:t xml:space="preserve">uses cave and beach habitats around the Desertas Islands, where mating behaviour has been observed and pupping occurs. Neves (1998) and Pires </w:t>
      </w:r>
      <w:r w:rsidRPr="0006066A">
        <w:rPr>
          <w:i/>
          <w:iCs/>
          <w:color w:val="000000"/>
          <w:sz w:val="22"/>
          <w:szCs w:val="22"/>
          <w:lang w:eastAsia="en-GB"/>
        </w:rPr>
        <w:t>et al</w:t>
      </w:r>
      <w:r w:rsidRPr="009978E3">
        <w:rPr>
          <w:iCs/>
          <w:color w:val="000000"/>
          <w:sz w:val="22"/>
          <w:szCs w:val="22"/>
          <w:lang w:eastAsia="en-GB"/>
        </w:rPr>
        <w:t xml:space="preserve">. (2007) further recorded and identified feeding sites near the coastline around </w:t>
      </w:r>
      <w:r>
        <w:rPr>
          <w:iCs/>
          <w:color w:val="000000"/>
          <w:sz w:val="22"/>
          <w:szCs w:val="22"/>
          <w:lang w:eastAsia="en-GB"/>
        </w:rPr>
        <w:t xml:space="preserve">the </w:t>
      </w:r>
      <w:r w:rsidRPr="009978E3">
        <w:rPr>
          <w:iCs/>
          <w:color w:val="000000"/>
          <w:sz w:val="22"/>
          <w:szCs w:val="22"/>
          <w:lang w:eastAsia="en-GB"/>
        </w:rPr>
        <w:t>Desertas Islands. Moreover, studies have shown that feeding occurs regularly inside of the 200 m depth around the Desertas Islands as well as Madeira (</w:t>
      </w:r>
      <w:r w:rsidRPr="009978E3">
        <w:rPr>
          <w:color w:val="000000"/>
          <w:sz w:val="22"/>
          <w:szCs w:val="22"/>
          <w:lang w:val="en-US" w:eastAsia="en-GB"/>
        </w:rPr>
        <w:t>IUCN MMPATF 2018</w:t>
      </w:r>
      <w:r w:rsidRPr="009978E3">
        <w:rPr>
          <w:iCs/>
          <w:color w:val="000000"/>
          <w:sz w:val="22"/>
          <w:szCs w:val="22"/>
          <w:lang w:eastAsia="en-GB"/>
        </w:rPr>
        <w:t>).</w:t>
      </w:r>
    </w:p>
    <w:p w14:paraId="3DDC581D" w14:textId="77777777" w:rsidR="006B3F46" w:rsidRPr="009978E3" w:rsidRDefault="006B3F46" w:rsidP="002E4B39">
      <w:pPr>
        <w:suppressLineNumbers/>
        <w:spacing w:after="120"/>
        <w:jc w:val="both"/>
        <w:rPr>
          <w:iCs/>
          <w:color w:val="000000"/>
          <w:sz w:val="22"/>
          <w:szCs w:val="22"/>
          <w:lang w:eastAsia="en-GB"/>
        </w:rPr>
      </w:pPr>
      <w:r w:rsidRPr="009978E3">
        <w:rPr>
          <w:color w:val="000000"/>
          <w:sz w:val="22"/>
          <w:szCs w:val="22"/>
          <w:shd w:val="clear" w:color="auto" w:fill="FFFFFF"/>
        </w:rPr>
        <w:t>The Desertas petrel (</w:t>
      </w:r>
      <w:r w:rsidRPr="009978E3">
        <w:rPr>
          <w:i/>
          <w:color w:val="000000"/>
          <w:sz w:val="22"/>
          <w:szCs w:val="22"/>
          <w:shd w:val="clear" w:color="auto" w:fill="FFFFFF"/>
        </w:rPr>
        <w:t xml:space="preserve">Pterodroma deserta) </w:t>
      </w:r>
      <w:r w:rsidRPr="009978E3">
        <w:rPr>
          <w:color w:val="000000"/>
          <w:sz w:val="22"/>
          <w:szCs w:val="22"/>
          <w:shd w:val="clear" w:color="auto" w:fill="FFFFFF"/>
        </w:rPr>
        <w:t xml:space="preserve">is listed as vulnerable because, although it appears to be stable, it has a very small population (Meirinho </w:t>
      </w:r>
      <w:r w:rsidRPr="0006066A">
        <w:rPr>
          <w:i/>
          <w:color w:val="000000"/>
          <w:sz w:val="22"/>
          <w:szCs w:val="22"/>
          <w:shd w:val="clear" w:color="auto" w:fill="FFFFFF"/>
        </w:rPr>
        <w:t>et al</w:t>
      </w:r>
      <w:r w:rsidRPr="009978E3">
        <w:rPr>
          <w:color w:val="000000"/>
          <w:sz w:val="22"/>
          <w:szCs w:val="22"/>
          <w:shd w:val="clear" w:color="auto" w:fill="FFFFFF"/>
        </w:rPr>
        <w:t xml:space="preserve">. 2014). It occupies a very small range on only one island when breeding and is susceptible to human impacts, introduced species and stochastic events, which could drive the species towards extinction in a very short time (BirdLife International 2019a). </w:t>
      </w:r>
      <w:r w:rsidRPr="009978E3">
        <w:rPr>
          <w:iCs/>
          <w:color w:val="000000"/>
          <w:sz w:val="22"/>
          <w:szCs w:val="22"/>
          <w:lang w:eastAsia="en-GB"/>
        </w:rPr>
        <w:t>The Audubon’s shearwater</w:t>
      </w:r>
      <w:r w:rsidRPr="009978E3">
        <w:rPr>
          <w:i/>
          <w:iCs/>
          <w:color w:val="000000"/>
          <w:sz w:val="22"/>
          <w:szCs w:val="22"/>
          <w:lang w:eastAsia="en-GB"/>
        </w:rPr>
        <w:t xml:space="preserve"> </w:t>
      </w:r>
      <w:r>
        <w:rPr>
          <w:i/>
          <w:iCs/>
          <w:color w:val="000000"/>
          <w:sz w:val="22"/>
          <w:szCs w:val="22"/>
          <w:lang w:eastAsia="en-GB"/>
        </w:rPr>
        <w:t>(</w:t>
      </w:r>
      <w:r w:rsidRPr="009978E3">
        <w:rPr>
          <w:i/>
          <w:iCs/>
          <w:color w:val="000000"/>
          <w:sz w:val="22"/>
          <w:szCs w:val="22"/>
          <w:lang w:eastAsia="en-GB"/>
        </w:rPr>
        <w:t>Puffinus lherminieri baroli</w:t>
      </w:r>
      <w:r>
        <w:rPr>
          <w:i/>
          <w:iCs/>
          <w:color w:val="000000"/>
          <w:sz w:val="22"/>
          <w:szCs w:val="22"/>
          <w:lang w:eastAsia="en-GB"/>
        </w:rPr>
        <w:t>)</w:t>
      </w:r>
      <w:r w:rsidRPr="009978E3">
        <w:rPr>
          <w:iCs/>
          <w:color w:val="000000"/>
          <w:sz w:val="22"/>
          <w:szCs w:val="22"/>
          <w:lang w:eastAsia="en-GB"/>
        </w:rPr>
        <w:t xml:space="preserve"> – listed by OSPAR as a threatened and/or declining species – has a </w:t>
      </w:r>
      <w:r w:rsidRPr="009978E3">
        <w:rPr>
          <w:color w:val="000000"/>
          <w:sz w:val="22"/>
          <w:szCs w:val="22"/>
          <w:lang w:eastAsia="en-GB"/>
        </w:rPr>
        <w:t>small population size and is considered rare</w:t>
      </w:r>
      <w:r w:rsidRPr="009978E3">
        <w:rPr>
          <w:iCs/>
          <w:color w:val="000000"/>
          <w:sz w:val="22"/>
          <w:szCs w:val="22"/>
          <w:lang w:eastAsia="en-GB"/>
        </w:rPr>
        <w:t xml:space="preserve">. Much of the suitable breeding habitat for this species has been rendered unsuitable due to the introduction of rats and cats, putting it at risk of further declines (OSPAR 2009). </w:t>
      </w:r>
      <w:r w:rsidRPr="009978E3">
        <w:rPr>
          <w:rFonts w:eastAsia="MS Mincho"/>
          <w:color w:val="000000"/>
          <w:sz w:val="22"/>
          <w:szCs w:val="22"/>
          <w:lang w:val="en-US"/>
        </w:rPr>
        <w:t xml:space="preserve">The area also contains an important population of 25-40 endangered Mediterranean monk seal </w:t>
      </w:r>
      <w:r>
        <w:rPr>
          <w:rFonts w:eastAsia="MS Mincho"/>
          <w:color w:val="000000"/>
          <w:sz w:val="22"/>
          <w:szCs w:val="22"/>
          <w:lang w:val="en-US"/>
        </w:rPr>
        <w:t>(</w:t>
      </w:r>
      <w:r w:rsidRPr="009978E3">
        <w:rPr>
          <w:rFonts w:eastAsia="MS Mincho"/>
          <w:i/>
          <w:color w:val="000000"/>
          <w:sz w:val="22"/>
          <w:szCs w:val="22"/>
          <w:lang w:val="en-US"/>
        </w:rPr>
        <w:t>Monachus monachus</w:t>
      </w:r>
      <w:r>
        <w:rPr>
          <w:rFonts w:eastAsia="MS Mincho"/>
          <w:i/>
          <w:color w:val="000000"/>
          <w:sz w:val="22"/>
          <w:szCs w:val="22"/>
          <w:lang w:val="en-US"/>
        </w:rPr>
        <w:t>)</w:t>
      </w:r>
      <w:r w:rsidRPr="009978E3">
        <w:rPr>
          <w:rFonts w:eastAsia="MS Mincho"/>
          <w:color w:val="000000"/>
          <w:sz w:val="22"/>
          <w:szCs w:val="22"/>
          <w:lang w:val="en-US"/>
        </w:rPr>
        <w:t xml:space="preserve">, which utilise cave and beach habitats respectively for pupping as well as resting (Pires </w:t>
      </w:r>
      <w:r w:rsidRPr="0006066A">
        <w:rPr>
          <w:rFonts w:eastAsia="MS Mincho"/>
          <w:i/>
          <w:color w:val="000000"/>
          <w:sz w:val="22"/>
          <w:szCs w:val="22"/>
          <w:lang w:val="en-US"/>
        </w:rPr>
        <w:t>et al</w:t>
      </w:r>
      <w:r w:rsidRPr="009978E3">
        <w:rPr>
          <w:rFonts w:eastAsia="MS Mincho"/>
          <w:color w:val="000000"/>
          <w:sz w:val="22"/>
          <w:szCs w:val="22"/>
          <w:lang w:val="en-US"/>
        </w:rPr>
        <w:t xml:space="preserve">. 2007, Hale </w:t>
      </w:r>
      <w:r w:rsidRPr="0006066A">
        <w:rPr>
          <w:rFonts w:eastAsia="MS Mincho"/>
          <w:i/>
          <w:color w:val="000000"/>
          <w:sz w:val="22"/>
          <w:szCs w:val="22"/>
          <w:lang w:val="en-US"/>
        </w:rPr>
        <w:t>et al</w:t>
      </w:r>
      <w:r w:rsidRPr="009978E3">
        <w:rPr>
          <w:rFonts w:eastAsia="MS Mincho"/>
          <w:color w:val="000000"/>
          <w:sz w:val="22"/>
          <w:szCs w:val="22"/>
          <w:lang w:val="en-US"/>
        </w:rPr>
        <w:t xml:space="preserve">. 2011, Pires </w:t>
      </w:r>
      <w:r w:rsidRPr="0006066A">
        <w:rPr>
          <w:rFonts w:eastAsia="MS Mincho"/>
          <w:i/>
          <w:color w:val="000000"/>
          <w:sz w:val="22"/>
          <w:szCs w:val="22"/>
          <w:lang w:val="en-US"/>
        </w:rPr>
        <w:t>et al</w:t>
      </w:r>
      <w:r w:rsidRPr="009978E3">
        <w:rPr>
          <w:rFonts w:eastAsia="MS Mincho"/>
          <w:color w:val="000000"/>
          <w:sz w:val="22"/>
          <w:szCs w:val="22"/>
          <w:lang w:val="en-US"/>
        </w:rPr>
        <w:t xml:space="preserve">. 2011; Figure 2). </w:t>
      </w:r>
      <w:r w:rsidRPr="009978E3">
        <w:rPr>
          <w:color w:val="000000"/>
          <w:sz w:val="22"/>
          <w:szCs w:val="22"/>
          <w:shd w:val="clear" w:color="auto" w:fill="FFFFFF"/>
        </w:rPr>
        <w:t xml:space="preserve">The endangered Mediterranean monk seal </w:t>
      </w:r>
      <w:r w:rsidRPr="009978E3">
        <w:rPr>
          <w:color w:val="000000"/>
          <w:sz w:val="22"/>
          <w:szCs w:val="22"/>
          <w:lang w:val="en-US" w:eastAsia="en-GB"/>
        </w:rPr>
        <w:t>is regarded as one of the most endangered pinniped species in the world, with approximately 600-700 animals in the global population, of which an estimated 350-450 of these are mature individuals (</w:t>
      </w:r>
      <w:r w:rsidRPr="009978E3">
        <w:rPr>
          <w:color w:val="000000"/>
          <w:sz w:val="22"/>
          <w:szCs w:val="22"/>
          <w:shd w:val="clear" w:color="auto" w:fill="FFFFFF"/>
        </w:rPr>
        <w:t>Karamanlidis &amp; Dendrinos, 2015</w:t>
      </w:r>
      <w:r w:rsidRPr="009978E3">
        <w:rPr>
          <w:color w:val="000000"/>
          <w:sz w:val="22"/>
          <w:szCs w:val="22"/>
          <w:lang w:val="en-US" w:eastAsia="en-GB"/>
        </w:rPr>
        <w:t xml:space="preserve">). The population has also been fragmented into three to four subpopulations, of which the Desertas supports an isolated population (25-40 individuals) separated by </w:t>
      </w:r>
      <w:r w:rsidRPr="009978E3">
        <w:rPr>
          <w:rFonts w:eastAsia="MS Mincho"/>
          <w:color w:val="000000"/>
          <w:sz w:val="22"/>
          <w:szCs w:val="22"/>
          <w:lang w:val="en-US"/>
        </w:rPr>
        <w:t xml:space="preserve">roughly 1000 km from the only other Atlantic breeding colony (250 </w:t>
      </w:r>
      <w:r w:rsidRPr="009978E3">
        <w:rPr>
          <w:color w:val="000000"/>
          <w:sz w:val="22"/>
          <w:szCs w:val="22"/>
          <w:lang w:val="en-US" w:eastAsia="en-GB"/>
        </w:rPr>
        <w:t>individuals</w:t>
      </w:r>
      <w:r w:rsidRPr="009978E3">
        <w:rPr>
          <w:rFonts w:eastAsia="MS Mincho"/>
          <w:color w:val="000000"/>
          <w:sz w:val="22"/>
          <w:szCs w:val="22"/>
          <w:lang w:val="en-US"/>
        </w:rPr>
        <w:t xml:space="preserve">) </w:t>
      </w:r>
      <w:r>
        <w:rPr>
          <w:rFonts w:eastAsia="MS Mincho"/>
          <w:color w:val="000000"/>
          <w:sz w:val="22"/>
          <w:szCs w:val="22"/>
          <w:lang w:val="en-US"/>
        </w:rPr>
        <w:t xml:space="preserve">to the south, </w:t>
      </w:r>
      <w:r w:rsidRPr="009978E3">
        <w:rPr>
          <w:rFonts w:eastAsia="MS Mincho"/>
          <w:color w:val="000000"/>
          <w:sz w:val="22"/>
          <w:szCs w:val="22"/>
          <w:lang w:val="en-US"/>
        </w:rPr>
        <w:t xml:space="preserve">in Cap Blanc, Mauritania (Pires </w:t>
      </w:r>
      <w:r w:rsidRPr="0006066A">
        <w:rPr>
          <w:rFonts w:eastAsia="MS Mincho"/>
          <w:i/>
          <w:color w:val="000000"/>
          <w:sz w:val="22"/>
          <w:szCs w:val="22"/>
          <w:lang w:val="en-US"/>
        </w:rPr>
        <w:t>et al</w:t>
      </w:r>
      <w:r w:rsidRPr="009978E3">
        <w:rPr>
          <w:rFonts w:eastAsia="MS Mincho"/>
          <w:color w:val="000000"/>
          <w:sz w:val="22"/>
          <w:szCs w:val="22"/>
          <w:lang w:val="en-US"/>
        </w:rPr>
        <w:t>. 2008).</w:t>
      </w:r>
    </w:p>
    <w:p w14:paraId="63D3C126"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Feature condition and future outlook of the area</w:t>
      </w:r>
    </w:p>
    <w:p w14:paraId="4DA5C737" w14:textId="77777777" w:rsidR="006B3F46" w:rsidRPr="009978E3" w:rsidRDefault="006B3F46" w:rsidP="002E4B39">
      <w:pPr>
        <w:suppressLineNumbers/>
        <w:spacing w:after="120"/>
        <w:jc w:val="both"/>
        <w:rPr>
          <w:rFonts w:eastAsia="MS Mincho"/>
          <w:color w:val="000000"/>
          <w:sz w:val="22"/>
          <w:szCs w:val="22"/>
          <w:lang w:val="en-US"/>
        </w:rPr>
      </w:pPr>
      <w:r>
        <w:rPr>
          <w:rFonts w:eastAsia="MS Mincho"/>
          <w:color w:val="000000"/>
          <w:sz w:val="22"/>
          <w:szCs w:val="22"/>
          <w:lang w:val="en-US"/>
        </w:rPr>
        <w:t>X</w:t>
      </w:r>
      <w:r w:rsidRPr="009978E3">
        <w:rPr>
          <w:rFonts w:eastAsia="MS Mincho"/>
          <w:color w:val="000000"/>
          <w:sz w:val="22"/>
          <w:szCs w:val="22"/>
          <w:lang w:val="en-US"/>
        </w:rPr>
        <w:t>everal projects regarding habitat restoration and scientific research (</w:t>
      </w:r>
      <w:r>
        <w:rPr>
          <w:rFonts w:eastAsia="MS Mincho"/>
          <w:color w:val="000000"/>
          <w:sz w:val="22"/>
          <w:szCs w:val="22"/>
          <w:lang w:val="en-US"/>
        </w:rPr>
        <w:t>e.g.</w:t>
      </w:r>
      <w:r w:rsidRPr="009978E3">
        <w:rPr>
          <w:rFonts w:eastAsia="MS Mincho"/>
          <w:color w:val="000000"/>
          <w:sz w:val="22"/>
          <w:szCs w:val="22"/>
          <w:lang w:val="en-US"/>
        </w:rPr>
        <w:t>, L</w:t>
      </w:r>
      <w:r>
        <w:rPr>
          <w:rFonts w:eastAsia="MS Mincho"/>
          <w:color w:val="000000"/>
          <w:sz w:val="22"/>
          <w:szCs w:val="22"/>
          <w:lang w:val="en-US"/>
        </w:rPr>
        <w:t>ife Recover Natura</w:t>
      </w:r>
      <w:r w:rsidRPr="009978E3">
        <w:rPr>
          <w:rFonts w:eastAsia="MS Mincho"/>
          <w:color w:val="000000"/>
          <w:sz w:val="22"/>
          <w:szCs w:val="22"/>
          <w:lang w:val="en-US"/>
        </w:rPr>
        <w:t xml:space="preserve"> </w:t>
      </w:r>
      <w:r>
        <w:rPr>
          <w:rFonts w:eastAsia="MS Mincho"/>
          <w:color w:val="000000"/>
          <w:sz w:val="22"/>
          <w:szCs w:val="22"/>
          <w:lang w:val="en-US"/>
        </w:rPr>
        <w:t>–</w:t>
      </w:r>
      <w:r w:rsidRPr="009978E3">
        <w:rPr>
          <w:rFonts w:eastAsia="MS Mincho"/>
          <w:color w:val="000000"/>
          <w:sz w:val="22"/>
          <w:szCs w:val="22"/>
          <w:lang w:val="en-US"/>
        </w:rPr>
        <w:t xml:space="preserve"> </w:t>
      </w:r>
      <w:hyperlink r:id="rId202" w:history="1">
        <w:r w:rsidRPr="009978E3">
          <w:rPr>
            <w:rStyle w:val="Hyperlink"/>
            <w:rFonts w:eastAsia="MS Mincho"/>
            <w:color w:val="000000"/>
            <w:sz w:val="22"/>
            <w:szCs w:val="22"/>
            <w:lang w:val="en-US"/>
          </w:rPr>
          <w:t>https://liferecovernatura.madeira.gov.pt/</w:t>
        </w:r>
      </w:hyperlink>
      <w:r w:rsidRPr="00F66EF7">
        <w:rPr>
          <w:rFonts w:eastAsia="MS Mincho"/>
          <w:color w:val="000000"/>
          <w:sz w:val="22"/>
          <w:szCs w:val="22"/>
          <w:lang w:val="en-US"/>
        </w:rPr>
        <w:t xml:space="preserve">). The population of </w:t>
      </w:r>
      <w:r>
        <w:rPr>
          <w:rFonts w:eastAsia="MS Mincho"/>
          <w:color w:val="000000"/>
          <w:sz w:val="22"/>
          <w:szCs w:val="22"/>
          <w:lang w:val="en-US"/>
        </w:rPr>
        <w:t xml:space="preserve">the </w:t>
      </w:r>
      <w:r w:rsidRPr="00F66EF7">
        <w:rPr>
          <w:rFonts w:eastAsia="MS Mincho"/>
          <w:color w:val="000000"/>
          <w:sz w:val="22"/>
          <w:szCs w:val="22"/>
          <w:lang w:val="en-US"/>
        </w:rPr>
        <w:t xml:space="preserve">Desertas petrel is now considered stable </w:t>
      </w:r>
      <w:r w:rsidRPr="002E4B39">
        <w:rPr>
          <w:rFonts w:eastAsia="MS Mincho"/>
          <w:sz w:val="22"/>
          <w:szCs w:val="22"/>
          <w:lang w:val="en-US"/>
        </w:rPr>
        <w:t>and</w:t>
      </w:r>
      <w:r w:rsidRPr="00F66EF7">
        <w:rPr>
          <w:rFonts w:eastAsia="MS Mincho"/>
          <w:color w:val="000000"/>
          <w:sz w:val="22"/>
          <w:szCs w:val="22"/>
          <w:lang w:val="en-US"/>
        </w:rPr>
        <w:t xml:space="preserve"> has benefited from manage</w:t>
      </w:r>
      <w:r w:rsidRPr="009978E3">
        <w:rPr>
          <w:rFonts w:eastAsia="MS Mincho"/>
          <w:color w:val="000000"/>
          <w:sz w:val="22"/>
          <w:szCs w:val="22"/>
          <w:lang w:val="en-US"/>
        </w:rPr>
        <w:t xml:space="preserve">ment measures under the project LIFE SOS Freira-do-Bugio - </w:t>
      </w:r>
      <w:hyperlink r:id="rId203" w:history="1">
        <w:r w:rsidRPr="009978E3">
          <w:rPr>
            <w:rStyle w:val="Hyperlink"/>
            <w:rFonts w:eastAsia="MS Mincho"/>
            <w:color w:val="000000"/>
            <w:sz w:val="22"/>
            <w:szCs w:val="22"/>
            <w:lang w:val="en-US"/>
          </w:rPr>
          <w:t>https://ifcn.madeira.gov.pt/biodiversidade/projetos/freira-do-bugio.html</w:t>
        </w:r>
      </w:hyperlink>
      <w:r w:rsidRPr="00F66EF7">
        <w:rPr>
          <w:rFonts w:eastAsia="MS Mincho"/>
          <w:color w:val="000000"/>
          <w:sz w:val="22"/>
          <w:szCs w:val="22"/>
          <w:lang w:val="en-US"/>
        </w:rPr>
        <w:t>). There are ongoing studies focusin</w:t>
      </w:r>
      <w:r w:rsidRPr="009978E3">
        <w:rPr>
          <w:rFonts w:eastAsia="MS Mincho"/>
          <w:color w:val="000000"/>
          <w:sz w:val="22"/>
          <w:szCs w:val="22"/>
          <w:lang w:val="en-US"/>
        </w:rPr>
        <w:t>g on the seabird community, in particular the Desertas petrel (</w:t>
      </w:r>
      <w:r>
        <w:rPr>
          <w:rFonts w:eastAsia="MS Mincho"/>
          <w:color w:val="000000"/>
          <w:sz w:val="22"/>
          <w:szCs w:val="22"/>
          <w:lang w:val="en-US"/>
        </w:rPr>
        <w:t>e.g.</w:t>
      </w:r>
      <w:r w:rsidRPr="009978E3">
        <w:rPr>
          <w:rFonts w:eastAsia="MS Mincho"/>
          <w:color w:val="000000"/>
          <w:sz w:val="22"/>
          <w:szCs w:val="22"/>
          <w:lang w:val="en-US"/>
        </w:rPr>
        <w:t xml:space="preserve">, Ramírez </w:t>
      </w:r>
      <w:r w:rsidRPr="0006066A">
        <w:rPr>
          <w:rFonts w:eastAsia="MS Mincho"/>
          <w:i/>
          <w:color w:val="000000"/>
          <w:sz w:val="22"/>
          <w:szCs w:val="22"/>
          <w:lang w:val="en-US"/>
        </w:rPr>
        <w:t>et al</w:t>
      </w:r>
      <w:r w:rsidRPr="009978E3">
        <w:rPr>
          <w:rFonts w:eastAsia="MS Mincho"/>
          <w:color w:val="000000"/>
          <w:sz w:val="22"/>
          <w:szCs w:val="22"/>
          <w:lang w:val="en-US"/>
        </w:rPr>
        <w:t xml:space="preserve">. 2013, Silva </w:t>
      </w:r>
      <w:r w:rsidRPr="0006066A">
        <w:rPr>
          <w:rFonts w:eastAsia="MS Mincho"/>
          <w:i/>
          <w:color w:val="000000"/>
          <w:sz w:val="22"/>
          <w:szCs w:val="22"/>
          <w:lang w:val="en-US"/>
        </w:rPr>
        <w:t>et al</w:t>
      </w:r>
      <w:r w:rsidRPr="009978E3">
        <w:rPr>
          <w:rFonts w:eastAsia="MS Mincho"/>
          <w:color w:val="000000"/>
          <w:sz w:val="22"/>
          <w:szCs w:val="22"/>
          <w:lang w:val="en-US"/>
        </w:rPr>
        <w:t xml:space="preserve">. 2019). For the Mediterranean monk seal, the Madeira subpopulation was once restricted to the remote Desertas Islands (Neves and Pires 1999); monk seals have recently recolonized the main island of Madeira (Pires, 2011), where suitable habitat for the species still exists (Karamanlidis </w:t>
      </w:r>
      <w:r w:rsidRPr="0006066A">
        <w:rPr>
          <w:rFonts w:eastAsia="MS Mincho"/>
          <w:i/>
          <w:color w:val="000000"/>
          <w:sz w:val="22"/>
          <w:szCs w:val="22"/>
          <w:lang w:val="en-US"/>
        </w:rPr>
        <w:t>et al</w:t>
      </w:r>
      <w:r w:rsidRPr="009978E3">
        <w:rPr>
          <w:rFonts w:eastAsia="MS Mincho"/>
          <w:color w:val="000000"/>
          <w:sz w:val="22"/>
          <w:szCs w:val="22"/>
          <w:lang w:val="en-US"/>
        </w:rPr>
        <w:t>. 2004). Recent observations and reports indicate that there are strong indications of pupping on the marine island (</w:t>
      </w:r>
      <w:r w:rsidRPr="009978E3">
        <w:rPr>
          <w:color w:val="000000"/>
          <w:sz w:val="22"/>
          <w:szCs w:val="22"/>
          <w:shd w:val="clear" w:color="auto" w:fill="FFFFFF"/>
        </w:rPr>
        <w:t>Karamanlidis &amp; Dendrinos, 2015</w:t>
      </w:r>
      <w:r w:rsidRPr="009978E3">
        <w:rPr>
          <w:rFonts w:eastAsia="MS Mincho"/>
          <w:color w:val="000000"/>
          <w:sz w:val="22"/>
          <w:szCs w:val="22"/>
          <w:lang w:val="en-US"/>
        </w:rPr>
        <w:t>). Both the populations of Monk seals and Desertas petrels are regularly monitored by IFCN (Madeiran Government).</w:t>
      </w:r>
    </w:p>
    <w:p w14:paraId="43C941A0"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 xml:space="preserve">Assessment of area </w:t>
      </w:r>
      <w:r w:rsidRPr="00BE3DB9">
        <w:rPr>
          <w:rFonts w:eastAsia="MS Mincho"/>
          <w:b/>
          <w:color w:val="000000"/>
          <w:sz w:val="22"/>
          <w:szCs w:val="22"/>
          <w:lang w:val="en-US"/>
        </w:rPr>
        <w:t>no.</w:t>
      </w:r>
      <w:r>
        <w:rPr>
          <w:rFonts w:eastAsia="MS Mincho"/>
          <w:b/>
          <w:color w:val="000000"/>
          <w:sz w:val="22"/>
          <w:szCs w:val="22"/>
          <w:lang w:val="en-US"/>
        </w:rPr>
        <w:t xml:space="preserve"> </w:t>
      </w:r>
      <w:r w:rsidRPr="00BE3DB9">
        <w:rPr>
          <w:rFonts w:eastAsia="MS Mincho"/>
          <w:b/>
          <w:color w:val="000000"/>
          <w:sz w:val="22"/>
          <w:szCs w:val="22"/>
          <w:lang w:val="en-US"/>
        </w:rPr>
        <w:t>7</w:t>
      </w:r>
      <w:r>
        <w:rPr>
          <w:rFonts w:eastAsia="MS Mincho"/>
          <w:b/>
          <w:color w:val="000000"/>
          <w:sz w:val="22"/>
          <w:szCs w:val="22"/>
          <w:lang w:val="en-US"/>
        </w:rPr>
        <w:t>,</w:t>
      </w:r>
      <w:r w:rsidRPr="00BE3DB9">
        <w:rPr>
          <w:rFonts w:eastAsia="MS Mincho"/>
          <w:b/>
          <w:color w:val="000000"/>
          <w:sz w:val="22"/>
          <w:szCs w:val="22"/>
          <w:lang w:val="en-US"/>
        </w:rPr>
        <w:t xml:space="preserve"> Desertas</w:t>
      </w:r>
      <w:r>
        <w:rPr>
          <w:rFonts w:eastAsia="MS Mincho"/>
          <w:b/>
          <w:color w:val="000000"/>
          <w:sz w:val="22"/>
          <w:szCs w:val="22"/>
          <w:lang w:val="en-US"/>
        </w:rPr>
        <w:t>,</w:t>
      </w:r>
      <w:r w:rsidRPr="00BE3DB9">
        <w:rPr>
          <w:rFonts w:eastAsia="MS Mincho"/>
          <w:b/>
          <w:color w:val="000000"/>
          <w:sz w:val="22"/>
          <w:szCs w:val="22"/>
          <w:lang w:val="en-US"/>
        </w:rPr>
        <w:t xml:space="preserve"> </w:t>
      </w:r>
      <w:r w:rsidRPr="009978E3">
        <w:rPr>
          <w:rFonts w:eastAsia="MS Mincho"/>
          <w:b/>
          <w:color w:val="000000"/>
          <w:sz w:val="22"/>
          <w:szCs w:val="22"/>
          <w:lang w:val="en-US"/>
        </w:rPr>
        <w:t xml:space="preserve">against CBD EBSA Criteria </w:t>
      </w:r>
    </w:p>
    <w:p w14:paraId="1AE77ED4"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2"/>
        <w:gridCol w:w="4286"/>
        <w:gridCol w:w="28"/>
        <w:gridCol w:w="1000"/>
        <w:gridCol w:w="257"/>
        <w:gridCol w:w="28"/>
        <w:gridCol w:w="742"/>
        <w:gridCol w:w="109"/>
        <w:gridCol w:w="663"/>
        <w:gridCol w:w="88"/>
        <w:gridCol w:w="723"/>
      </w:tblGrid>
      <w:tr w:rsidR="006B3F46" w:rsidRPr="0021277B" w14:paraId="439CA171" w14:textId="77777777" w:rsidTr="00907941">
        <w:tc>
          <w:tcPr>
            <w:tcW w:w="779" w:type="pct"/>
            <w:vMerge w:val="restart"/>
            <w:shd w:val="clear" w:color="auto" w:fill="auto"/>
          </w:tcPr>
          <w:p w14:paraId="3DF94D7A"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CBD EBSA Criteria</w:t>
            </w:r>
          </w:p>
          <w:p w14:paraId="201E1F95" w14:textId="77777777" w:rsidR="006B3F46" w:rsidRPr="0021277B" w:rsidRDefault="006B3F46" w:rsidP="00907941">
            <w:pPr>
              <w:widowControl w:val="0"/>
              <w:autoSpaceDE w:val="0"/>
              <w:autoSpaceDN w:val="0"/>
              <w:adjustRightInd w:val="0"/>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80" w:type="pct"/>
            <w:vMerge w:val="restart"/>
            <w:shd w:val="clear" w:color="auto" w:fill="auto"/>
          </w:tcPr>
          <w:p w14:paraId="3EAE5DF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Description</w:t>
            </w:r>
          </w:p>
          <w:p w14:paraId="42568C9D"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it-IT"/>
              </w:rPr>
              <w:t>(Annex I to decision IX/20)</w:t>
            </w:r>
          </w:p>
        </w:tc>
        <w:tc>
          <w:tcPr>
            <w:tcW w:w="1940" w:type="pct"/>
            <w:gridSpan w:val="9"/>
            <w:shd w:val="clear" w:color="auto" w:fill="auto"/>
          </w:tcPr>
          <w:p w14:paraId="0D5D475E"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4E879CF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593EB7FA" w14:textId="77777777" w:rsidTr="00907941">
        <w:tc>
          <w:tcPr>
            <w:tcW w:w="779" w:type="pct"/>
            <w:vMerge/>
            <w:shd w:val="clear" w:color="auto" w:fill="auto"/>
          </w:tcPr>
          <w:p w14:paraId="6AEA485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2280" w:type="pct"/>
            <w:vMerge/>
            <w:shd w:val="clear" w:color="auto" w:fill="auto"/>
          </w:tcPr>
          <w:p w14:paraId="38E6E93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547" w:type="pct"/>
            <w:gridSpan w:val="2"/>
            <w:shd w:val="clear" w:color="auto" w:fill="auto"/>
          </w:tcPr>
          <w:p w14:paraId="0D8E675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2B1FEF9E"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033846E9"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Medium</w:t>
            </w:r>
          </w:p>
        </w:tc>
        <w:tc>
          <w:tcPr>
            <w:tcW w:w="436" w:type="pct"/>
            <w:gridSpan w:val="2"/>
            <w:shd w:val="clear" w:color="auto" w:fill="auto"/>
          </w:tcPr>
          <w:p w14:paraId="2105093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4FF3F939" w14:textId="77777777" w:rsidTr="00907941">
        <w:tc>
          <w:tcPr>
            <w:tcW w:w="779" w:type="pct"/>
            <w:shd w:val="clear" w:color="auto" w:fill="auto"/>
          </w:tcPr>
          <w:p w14:paraId="5624E97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80" w:type="pct"/>
            <w:shd w:val="clear" w:color="auto" w:fill="auto"/>
          </w:tcPr>
          <w:p w14:paraId="611DF098"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54A3DA0C"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547" w:type="pct"/>
            <w:gridSpan w:val="3"/>
            <w:shd w:val="clear" w:color="auto" w:fill="auto"/>
          </w:tcPr>
          <w:p w14:paraId="2CF0EE9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1FE678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07D6A13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4D41DF99" w14:textId="77777777" w:rsidTr="00907941">
        <w:tc>
          <w:tcPr>
            <w:tcW w:w="5000" w:type="pct"/>
            <w:gridSpan w:val="11"/>
            <w:shd w:val="clear" w:color="auto" w:fill="auto"/>
          </w:tcPr>
          <w:p w14:paraId="5DACE0AA"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4C33B53F" w14:textId="77777777" w:rsidR="006B3F46" w:rsidRPr="0021277B" w:rsidRDefault="006B3F46" w:rsidP="00907941">
            <w:pPr>
              <w:widowControl w:val="0"/>
              <w:autoSpaceDE w:val="0"/>
              <w:autoSpaceDN w:val="0"/>
              <w:adjustRightInd w:val="0"/>
              <w:jc w:val="both"/>
              <w:rPr>
                <w:color w:val="000000"/>
                <w:sz w:val="22"/>
                <w:szCs w:val="22"/>
                <w:shd w:val="clear" w:color="auto" w:fill="FFFFFF"/>
              </w:rPr>
            </w:pPr>
            <w:r w:rsidRPr="0021277B">
              <w:rPr>
                <w:rFonts w:eastAsia="MS Mincho"/>
                <w:color w:val="000000"/>
                <w:sz w:val="22"/>
                <w:szCs w:val="22"/>
                <w:lang w:val="en-US"/>
              </w:rPr>
              <w:t xml:space="preserve">The Desertas (and specifically Bugio) contain the only breeding colony in the region (and in the world) of the endemic </w:t>
            </w:r>
            <w:r w:rsidRPr="0021277B">
              <w:rPr>
                <w:color w:val="000000"/>
                <w:sz w:val="22"/>
                <w:szCs w:val="22"/>
                <w:shd w:val="clear" w:color="auto" w:fill="FFFFFF"/>
              </w:rPr>
              <w:t>Desertas petrel (</w:t>
            </w:r>
            <w:r w:rsidRPr="0021277B">
              <w:rPr>
                <w:i/>
                <w:color w:val="000000"/>
                <w:sz w:val="22"/>
                <w:szCs w:val="22"/>
                <w:shd w:val="clear" w:color="auto" w:fill="FFFFFF"/>
              </w:rPr>
              <w:t>Pterodroma deserta)</w:t>
            </w:r>
            <w:r w:rsidRPr="0021277B">
              <w:rPr>
                <w:color w:val="000000"/>
                <w:sz w:val="22"/>
                <w:szCs w:val="22"/>
                <w:shd w:val="clear" w:color="auto" w:fill="FFFFFF"/>
              </w:rPr>
              <w:t xml:space="preserve"> (Menezes 2010, 2011; BirdLife International 2019a).</w:t>
            </w:r>
          </w:p>
          <w:p w14:paraId="76BD0368" w14:textId="77777777" w:rsidR="006B3F46" w:rsidRPr="0021277B" w:rsidRDefault="006B3F46" w:rsidP="00907941">
            <w:pPr>
              <w:widowControl w:val="0"/>
              <w:autoSpaceDE w:val="0"/>
              <w:autoSpaceDN w:val="0"/>
              <w:adjustRightInd w:val="0"/>
              <w:jc w:val="both"/>
              <w:rPr>
                <w:color w:val="000000"/>
                <w:sz w:val="22"/>
                <w:szCs w:val="22"/>
                <w:shd w:val="clear" w:color="auto" w:fill="FFFFFF"/>
              </w:rPr>
            </w:pPr>
          </w:p>
          <w:p w14:paraId="4C389E99" w14:textId="77777777" w:rsidR="006B3F46" w:rsidRPr="0021277B" w:rsidRDefault="006B3F46" w:rsidP="00907941">
            <w:pPr>
              <w:keepNext/>
              <w:keepLines/>
              <w:widowControl w:val="0"/>
              <w:autoSpaceDE w:val="0"/>
              <w:autoSpaceDN w:val="0"/>
              <w:adjustRightInd w:val="0"/>
              <w:jc w:val="both"/>
              <w:outlineLvl w:val="4"/>
              <w:rPr>
                <w:color w:val="000000"/>
                <w:sz w:val="22"/>
                <w:szCs w:val="22"/>
                <w:lang w:val="en-US" w:eastAsia="en-GB"/>
              </w:rPr>
            </w:pPr>
            <w:r w:rsidRPr="0021277B">
              <w:rPr>
                <w:color w:val="000000"/>
                <w:sz w:val="22"/>
                <w:szCs w:val="22"/>
                <w:shd w:val="clear" w:color="auto" w:fill="FFFFFF"/>
              </w:rPr>
              <w:t xml:space="preserve">The endangered Mediterranean monk seal </w:t>
            </w:r>
            <w:r w:rsidRPr="0021277B">
              <w:rPr>
                <w:color w:val="000000"/>
                <w:sz w:val="22"/>
                <w:szCs w:val="22"/>
                <w:lang w:val="en-US" w:eastAsia="en-GB"/>
              </w:rPr>
              <w:t>is regarded as one of the most endangered pinniped species in the world, with approximately 600-700 animals in the global population, of which an estimated 350-450 are mature individuals (</w:t>
            </w:r>
            <w:r w:rsidRPr="0021277B">
              <w:rPr>
                <w:color w:val="000000"/>
                <w:sz w:val="22"/>
                <w:szCs w:val="22"/>
                <w:shd w:val="clear" w:color="auto" w:fill="FFFFFF"/>
              </w:rPr>
              <w:t>Karamanlidis &amp; Dendrinos 2015</w:t>
            </w:r>
            <w:r w:rsidRPr="0021277B">
              <w:rPr>
                <w:color w:val="000000"/>
                <w:sz w:val="22"/>
                <w:szCs w:val="22"/>
                <w:lang w:val="en-US" w:eastAsia="en-GB"/>
              </w:rPr>
              <w:t xml:space="preserve">). The population has also been fragmented into three to four subpopulations, of which the Desertas supports an isolated population separated by </w:t>
            </w:r>
            <w:r w:rsidRPr="0021277B">
              <w:rPr>
                <w:rFonts w:eastAsia="MS Mincho"/>
                <w:color w:val="000000"/>
                <w:sz w:val="22"/>
                <w:szCs w:val="22"/>
                <w:lang w:val="en-US"/>
              </w:rPr>
              <w:t>roughly 1000 km from the only other Atlantic breeding colony</w:t>
            </w:r>
            <w:r>
              <w:rPr>
                <w:rFonts w:eastAsia="MS Mincho"/>
                <w:color w:val="000000"/>
                <w:sz w:val="22"/>
                <w:szCs w:val="22"/>
                <w:lang w:val="en-US"/>
              </w:rPr>
              <w:t xml:space="preserve"> to the south</w:t>
            </w:r>
            <w:r w:rsidRPr="0021277B">
              <w:rPr>
                <w:rFonts w:eastAsia="MS Mincho"/>
                <w:color w:val="000000"/>
                <w:sz w:val="22"/>
                <w:szCs w:val="22"/>
                <w:lang w:val="en-US"/>
              </w:rPr>
              <w:t xml:space="preserve"> in Cap Blanc, Mauritania (Pires </w:t>
            </w:r>
            <w:r w:rsidRPr="0006066A">
              <w:rPr>
                <w:rFonts w:eastAsia="MS Mincho"/>
                <w:i/>
                <w:color w:val="000000"/>
                <w:sz w:val="22"/>
                <w:szCs w:val="22"/>
                <w:lang w:val="en-US"/>
              </w:rPr>
              <w:t>et al</w:t>
            </w:r>
            <w:r w:rsidRPr="0021277B">
              <w:rPr>
                <w:rFonts w:eastAsia="MS Mincho"/>
                <w:i/>
                <w:color w:val="000000"/>
                <w:sz w:val="22"/>
                <w:szCs w:val="22"/>
                <w:lang w:val="en-US"/>
              </w:rPr>
              <w:t>.</w:t>
            </w:r>
            <w:r w:rsidRPr="0021277B">
              <w:rPr>
                <w:rFonts w:eastAsia="MS Mincho"/>
                <w:color w:val="000000"/>
                <w:sz w:val="22"/>
                <w:szCs w:val="22"/>
                <w:lang w:val="en-US"/>
              </w:rPr>
              <w:t xml:space="preserve"> 2008).</w:t>
            </w:r>
          </w:p>
          <w:p w14:paraId="33292A2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0B244673" w14:textId="77777777" w:rsidTr="00907941">
        <w:tc>
          <w:tcPr>
            <w:tcW w:w="779" w:type="pct"/>
            <w:shd w:val="clear" w:color="auto" w:fill="auto"/>
          </w:tcPr>
          <w:p w14:paraId="732BBF7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80" w:type="pct"/>
            <w:shd w:val="clear" w:color="auto" w:fill="auto"/>
          </w:tcPr>
          <w:p w14:paraId="705DB5C9"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tcPr>
          <w:p w14:paraId="5613D3A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51AAD22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14E10D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4AE9EC8A"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7EA4BF28" w14:textId="77777777" w:rsidTr="00907941">
        <w:tc>
          <w:tcPr>
            <w:tcW w:w="5000" w:type="pct"/>
            <w:gridSpan w:val="11"/>
            <w:shd w:val="clear" w:color="auto" w:fill="auto"/>
          </w:tcPr>
          <w:p w14:paraId="09AF54DD"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020E6E29" w14:textId="3D0AB15F" w:rsidR="006B3F46" w:rsidRPr="0021277B" w:rsidRDefault="006B3F46" w:rsidP="002E4B39">
            <w:pPr>
              <w:widowControl w:val="0"/>
              <w:autoSpaceDE w:val="0"/>
              <w:autoSpaceDN w:val="0"/>
              <w:adjustRightInd w:val="0"/>
              <w:jc w:val="both"/>
              <w:rPr>
                <w:rFonts w:eastAsia="MS Mincho"/>
                <w:b/>
                <w:bCs/>
                <w:color w:val="000000"/>
                <w:sz w:val="22"/>
                <w:szCs w:val="22"/>
                <w:lang w:val="en-US"/>
              </w:rPr>
            </w:pPr>
            <w:r w:rsidRPr="0021277B">
              <w:rPr>
                <w:rFonts w:eastAsia="MS Mincho"/>
                <w:color w:val="000000"/>
                <w:sz w:val="22"/>
                <w:szCs w:val="22"/>
                <w:lang w:val="en-US"/>
              </w:rPr>
              <w:t xml:space="preserve">The Desertas (and specifically Bugio) contain the only breeding colony of the </w:t>
            </w:r>
            <w:r w:rsidRPr="0021277B">
              <w:rPr>
                <w:color w:val="000000"/>
                <w:sz w:val="22"/>
                <w:szCs w:val="22"/>
                <w:shd w:val="clear" w:color="auto" w:fill="FFFFFF"/>
              </w:rPr>
              <w:t>Desertas petrel (</w:t>
            </w:r>
            <w:r w:rsidRPr="0021277B">
              <w:rPr>
                <w:i/>
                <w:color w:val="000000"/>
                <w:sz w:val="22"/>
                <w:szCs w:val="22"/>
                <w:shd w:val="clear" w:color="auto" w:fill="FFFFFF"/>
              </w:rPr>
              <w:t xml:space="preserve">Pterodroma deserta), </w:t>
            </w:r>
            <w:r w:rsidRPr="0021277B">
              <w:rPr>
                <w:color w:val="000000"/>
                <w:sz w:val="22"/>
                <w:szCs w:val="22"/>
                <w:shd w:val="clear" w:color="auto" w:fill="FFFFFF"/>
              </w:rPr>
              <w:t xml:space="preserve">with 160-180 pairs (Menezes </w:t>
            </w:r>
            <w:r w:rsidRPr="0006066A">
              <w:rPr>
                <w:i/>
                <w:color w:val="000000"/>
                <w:sz w:val="22"/>
                <w:szCs w:val="22"/>
                <w:shd w:val="clear" w:color="auto" w:fill="FFFFFF"/>
              </w:rPr>
              <w:t>et al</w:t>
            </w:r>
            <w:r w:rsidRPr="0021277B">
              <w:rPr>
                <w:color w:val="000000"/>
                <w:sz w:val="22"/>
                <w:szCs w:val="22"/>
                <w:shd w:val="clear" w:color="auto" w:fill="FFFFFF"/>
              </w:rPr>
              <w:t xml:space="preserve">. 2010). Birds return to their breeding grounds in early June. Incubation occurs between mid-July and </w:t>
            </w:r>
            <w:r>
              <w:rPr>
                <w:color w:val="000000"/>
                <w:sz w:val="22"/>
                <w:szCs w:val="22"/>
                <w:shd w:val="clear" w:color="auto" w:fill="FFFFFF"/>
              </w:rPr>
              <w:t xml:space="preserve">the </w:t>
            </w:r>
            <w:r w:rsidRPr="0021277B">
              <w:rPr>
                <w:color w:val="000000"/>
                <w:sz w:val="22"/>
                <w:szCs w:val="22"/>
                <w:shd w:val="clear" w:color="auto" w:fill="FFFFFF"/>
              </w:rPr>
              <w:t>end</w:t>
            </w:r>
            <w:r>
              <w:rPr>
                <w:color w:val="000000"/>
                <w:sz w:val="22"/>
                <w:szCs w:val="22"/>
                <w:shd w:val="clear" w:color="auto" w:fill="FFFFFF"/>
              </w:rPr>
              <w:t xml:space="preserve"> of </w:t>
            </w:r>
            <w:r w:rsidRPr="0021277B">
              <w:rPr>
                <w:color w:val="000000"/>
                <w:sz w:val="22"/>
                <w:szCs w:val="22"/>
                <w:shd w:val="clear" w:color="auto" w:fill="FFFFFF"/>
              </w:rPr>
              <w:t xml:space="preserve">August, and juveniles fledge throughout November-December. </w:t>
            </w:r>
            <w:r w:rsidRPr="0021277B">
              <w:rPr>
                <w:rFonts w:eastAsia="MS Mincho"/>
                <w:color w:val="000000"/>
                <w:sz w:val="22"/>
                <w:szCs w:val="22"/>
                <w:lang w:val="en-US"/>
              </w:rPr>
              <w:t>It is also globally important for the breeding</w:t>
            </w:r>
            <w:r w:rsidRPr="0021277B">
              <w:rPr>
                <w:color w:val="000000"/>
                <w:sz w:val="22"/>
                <w:szCs w:val="22"/>
                <w:shd w:val="clear" w:color="auto" w:fill="FFFFFF"/>
              </w:rPr>
              <w:t xml:space="preserve"> population of </w:t>
            </w:r>
            <w:r w:rsidRPr="0021277B">
              <w:rPr>
                <w:rFonts w:eastAsia="MS Mincho"/>
                <w:color w:val="000000"/>
                <w:sz w:val="22"/>
                <w:szCs w:val="22"/>
                <w:lang w:val="en-US"/>
              </w:rPr>
              <w:t>band-rumped storm-petrel (</w:t>
            </w:r>
            <w:r w:rsidRPr="0021277B">
              <w:rPr>
                <w:rFonts w:eastAsia="MS Mincho"/>
                <w:i/>
                <w:color w:val="000000"/>
                <w:sz w:val="22"/>
                <w:szCs w:val="22"/>
                <w:lang w:val="en-US"/>
              </w:rPr>
              <w:t xml:space="preserve">Hydrobates castro) </w:t>
            </w:r>
            <w:r w:rsidRPr="0021277B">
              <w:rPr>
                <w:rFonts w:eastAsia="MS Mincho"/>
                <w:color w:val="000000"/>
                <w:sz w:val="22"/>
                <w:szCs w:val="22"/>
                <w:lang w:val="en-US"/>
              </w:rPr>
              <w:t>(1,000 breeding pairs) and</w:t>
            </w:r>
            <w:r w:rsidRPr="0021277B">
              <w:rPr>
                <w:iCs/>
                <w:color w:val="000000"/>
                <w:sz w:val="22"/>
                <w:szCs w:val="22"/>
                <w:lang w:eastAsia="en-GB"/>
              </w:rPr>
              <w:t xml:space="preserve"> Audubon’s shearwater</w:t>
            </w:r>
            <w:r w:rsidRPr="0021277B">
              <w:rPr>
                <w:i/>
                <w:iCs/>
                <w:color w:val="000000"/>
                <w:sz w:val="22"/>
                <w:szCs w:val="22"/>
                <w:lang w:eastAsia="en-GB"/>
              </w:rPr>
              <w:t xml:space="preserve"> (Puffinus lherminieri baroli)</w:t>
            </w:r>
            <w:r w:rsidRPr="0021277B">
              <w:rPr>
                <w:iCs/>
                <w:color w:val="000000"/>
                <w:sz w:val="22"/>
                <w:szCs w:val="22"/>
                <w:lang w:eastAsia="en-GB"/>
              </w:rPr>
              <w:t xml:space="preserve"> – listed by OSPAR as a threatened and/or declining species. The Madeira population of </w:t>
            </w:r>
            <w:r w:rsidRPr="0021277B">
              <w:rPr>
                <w:i/>
                <w:iCs/>
                <w:color w:val="000000"/>
                <w:sz w:val="22"/>
                <w:szCs w:val="22"/>
                <w:lang w:eastAsia="en-GB"/>
              </w:rPr>
              <w:t xml:space="preserve">M. monachus </w:t>
            </w:r>
            <w:r w:rsidRPr="0021277B">
              <w:rPr>
                <w:iCs/>
                <w:color w:val="000000"/>
                <w:sz w:val="22"/>
                <w:szCs w:val="22"/>
                <w:lang w:eastAsia="en-GB"/>
              </w:rPr>
              <w:t xml:space="preserve">uses cave and beach habitats around the Desertas, where mating behaviour has been observed and pupping occurs. Neves (1998) and Pires </w:t>
            </w:r>
            <w:r w:rsidRPr="0006066A">
              <w:rPr>
                <w:i/>
                <w:iCs/>
                <w:color w:val="000000"/>
                <w:sz w:val="22"/>
                <w:szCs w:val="22"/>
                <w:lang w:eastAsia="en-GB"/>
              </w:rPr>
              <w:t>et al</w:t>
            </w:r>
            <w:r w:rsidRPr="0021277B">
              <w:rPr>
                <w:iCs/>
                <w:color w:val="000000"/>
                <w:sz w:val="22"/>
                <w:szCs w:val="22"/>
                <w:lang w:eastAsia="en-GB"/>
              </w:rPr>
              <w:t>. (2007) further recorded and identified feeding sites near the coastline around the Desertas Islands. Moreover, studies have shown that feeding occurs regularly inside of the 200 m depth around the islands of Desertas and Madeira (</w:t>
            </w:r>
            <w:r w:rsidRPr="0021277B">
              <w:rPr>
                <w:color w:val="000000"/>
                <w:sz w:val="22"/>
                <w:szCs w:val="22"/>
                <w:lang w:val="en-US" w:eastAsia="en-GB"/>
              </w:rPr>
              <w:t>IUCN MMPATF 2018</w:t>
            </w:r>
            <w:r w:rsidRPr="0021277B">
              <w:rPr>
                <w:iCs/>
                <w:color w:val="000000"/>
                <w:sz w:val="22"/>
                <w:szCs w:val="22"/>
                <w:lang w:eastAsia="en-GB"/>
              </w:rPr>
              <w:t>).</w:t>
            </w:r>
          </w:p>
        </w:tc>
      </w:tr>
      <w:tr w:rsidR="006B3F46" w:rsidRPr="0021277B" w14:paraId="504B0162" w14:textId="77777777" w:rsidTr="00907941">
        <w:tc>
          <w:tcPr>
            <w:tcW w:w="779" w:type="pct"/>
            <w:shd w:val="clear" w:color="auto" w:fill="auto"/>
          </w:tcPr>
          <w:p w14:paraId="11465E7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80" w:type="pct"/>
            <w:shd w:val="clear" w:color="auto" w:fill="auto"/>
          </w:tcPr>
          <w:p w14:paraId="53A1D7A9"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02DB5A9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342F37C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127BE73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36615D74"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434BFAE7" w14:textId="77777777" w:rsidTr="00907941">
        <w:tc>
          <w:tcPr>
            <w:tcW w:w="5000" w:type="pct"/>
            <w:gridSpan w:val="11"/>
            <w:shd w:val="clear" w:color="auto" w:fill="auto"/>
          </w:tcPr>
          <w:p w14:paraId="6880E910"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441A62C5" w14:textId="5E436466" w:rsidR="006B3F46" w:rsidRPr="0021277B" w:rsidRDefault="006B3F46" w:rsidP="002E4B39">
            <w:pPr>
              <w:widowControl w:val="0"/>
              <w:autoSpaceDE w:val="0"/>
              <w:autoSpaceDN w:val="0"/>
              <w:adjustRightInd w:val="0"/>
              <w:jc w:val="both"/>
              <w:rPr>
                <w:rFonts w:eastAsia="MS Mincho"/>
                <w:b/>
                <w:bCs/>
                <w:color w:val="000000"/>
                <w:sz w:val="22"/>
                <w:szCs w:val="22"/>
                <w:lang w:val="en-US"/>
              </w:rPr>
            </w:pPr>
            <w:r w:rsidRPr="0021277B">
              <w:rPr>
                <w:color w:val="000000"/>
                <w:sz w:val="22"/>
                <w:szCs w:val="22"/>
                <w:shd w:val="clear" w:color="auto" w:fill="FFFFFF"/>
              </w:rPr>
              <w:t xml:space="preserve">The Desertas hold some of the most important colonies of seabirds in the Atlantic, including the vulnerable and endemic Desertas petrel </w:t>
            </w:r>
            <w:r>
              <w:rPr>
                <w:color w:val="000000"/>
                <w:sz w:val="22"/>
                <w:szCs w:val="22"/>
                <w:shd w:val="clear" w:color="auto" w:fill="FFFFFF"/>
              </w:rPr>
              <w:t>(</w:t>
            </w:r>
            <w:r w:rsidRPr="0021277B">
              <w:rPr>
                <w:i/>
                <w:color w:val="000000"/>
                <w:sz w:val="22"/>
                <w:szCs w:val="22"/>
                <w:shd w:val="clear" w:color="auto" w:fill="FFFFFF"/>
              </w:rPr>
              <w:t>Pterodroma deserta</w:t>
            </w:r>
            <w:r>
              <w:rPr>
                <w:i/>
                <w:color w:val="000000"/>
                <w:sz w:val="22"/>
                <w:szCs w:val="22"/>
                <w:shd w:val="clear" w:color="auto" w:fill="FFFFFF"/>
              </w:rPr>
              <w:t>)</w:t>
            </w:r>
            <w:r w:rsidRPr="0021277B">
              <w:rPr>
                <w:i/>
                <w:color w:val="000000"/>
                <w:sz w:val="22"/>
                <w:szCs w:val="22"/>
                <w:shd w:val="clear" w:color="auto" w:fill="FFFFFF"/>
              </w:rPr>
              <w:t xml:space="preserve"> </w:t>
            </w:r>
            <w:r w:rsidRPr="0021277B">
              <w:rPr>
                <w:color w:val="000000"/>
                <w:sz w:val="22"/>
                <w:szCs w:val="22"/>
                <w:shd w:val="clear" w:color="auto" w:fill="FFFFFF"/>
              </w:rPr>
              <w:t xml:space="preserve">and </w:t>
            </w:r>
            <w:r w:rsidRPr="0021277B">
              <w:rPr>
                <w:iCs/>
                <w:color w:val="000000"/>
                <w:sz w:val="22"/>
                <w:szCs w:val="22"/>
                <w:lang w:eastAsia="en-GB"/>
              </w:rPr>
              <w:t>Audubon’s shearwater</w:t>
            </w:r>
            <w:r w:rsidRPr="0021277B">
              <w:rPr>
                <w:i/>
                <w:iCs/>
                <w:color w:val="000000"/>
                <w:sz w:val="22"/>
                <w:szCs w:val="22"/>
                <w:lang w:eastAsia="en-GB"/>
              </w:rPr>
              <w:t xml:space="preserve"> (Puffinus lherminieri baroli)</w:t>
            </w:r>
            <w:r w:rsidRPr="0021277B">
              <w:rPr>
                <w:iCs/>
                <w:color w:val="000000"/>
                <w:sz w:val="22"/>
                <w:szCs w:val="22"/>
                <w:lang w:eastAsia="en-GB"/>
              </w:rPr>
              <w:t xml:space="preserve"> – listed by OSPAR as a threatened and/or declining species (OSPAR 2009). </w:t>
            </w:r>
            <w:r w:rsidRPr="0021277B">
              <w:rPr>
                <w:color w:val="000000"/>
                <w:sz w:val="22"/>
                <w:szCs w:val="22"/>
                <w:shd w:val="clear" w:color="auto" w:fill="FFFFFF"/>
              </w:rPr>
              <w:t>The Mediterranean monk seal is a threatened species, assessed and Red Listed as endangered (Karamanlidis &amp; Dendrinos 2015)</w:t>
            </w:r>
            <w:r w:rsidRPr="0021277B">
              <w:rPr>
                <w:color w:val="000000"/>
                <w:sz w:val="22"/>
                <w:szCs w:val="22"/>
                <w:lang w:val="en-US" w:eastAsia="en-GB"/>
              </w:rPr>
              <w:t xml:space="preserve"> and is regarded as one of the most endangered pinniped species in the world.</w:t>
            </w:r>
          </w:p>
        </w:tc>
      </w:tr>
      <w:tr w:rsidR="006B3F46" w:rsidRPr="0021277B" w14:paraId="0A5C3D67" w14:textId="77777777" w:rsidTr="00907941">
        <w:tc>
          <w:tcPr>
            <w:tcW w:w="779" w:type="pct"/>
            <w:shd w:val="clear" w:color="auto" w:fill="auto"/>
          </w:tcPr>
          <w:p w14:paraId="54E559DE"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80" w:type="pct"/>
            <w:shd w:val="clear" w:color="auto" w:fill="auto"/>
          </w:tcPr>
          <w:p w14:paraId="7DB56D57"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34309EB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484497F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0A87746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0989E67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56BE8FD1" w14:textId="77777777" w:rsidTr="00907941">
        <w:tc>
          <w:tcPr>
            <w:tcW w:w="5000" w:type="pct"/>
            <w:gridSpan w:val="11"/>
            <w:shd w:val="clear" w:color="auto" w:fill="auto"/>
          </w:tcPr>
          <w:p w14:paraId="0FAC52CA"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60F0D5F7" w14:textId="77777777" w:rsidR="006B3F46" w:rsidRPr="0021277B" w:rsidRDefault="006B3F46" w:rsidP="002E4B39">
            <w:pPr>
              <w:suppressLineNumbers/>
              <w:spacing w:after="120"/>
              <w:jc w:val="both"/>
              <w:rPr>
                <w:color w:val="000000"/>
                <w:sz w:val="22"/>
                <w:szCs w:val="22"/>
                <w:shd w:val="clear" w:color="auto" w:fill="FFFFFF"/>
              </w:rPr>
            </w:pPr>
            <w:r w:rsidRPr="0021277B">
              <w:rPr>
                <w:color w:val="000000"/>
                <w:sz w:val="22"/>
                <w:szCs w:val="22"/>
                <w:shd w:val="clear" w:color="auto" w:fill="FFFFFF"/>
              </w:rPr>
              <w:t>The Desertas petrel (</w:t>
            </w:r>
            <w:r w:rsidRPr="0021277B">
              <w:rPr>
                <w:i/>
                <w:color w:val="000000"/>
                <w:sz w:val="22"/>
                <w:szCs w:val="22"/>
                <w:shd w:val="clear" w:color="auto" w:fill="FFFFFF"/>
              </w:rPr>
              <w:t xml:space="preserve">Pterodroma deserta) </w:t>
            </w:r>
            <w:r w:rsidRPr="0021277B">
              <w:rPr>
                <w:color w:val="000000"/>
                <w:sz w:val="22"/>
                <w:szCs w:val="22"/>
                <w:shd w:val="clear" w:color="auto" w:fill="FFFFFF"/>
              </w:rPr>
              <w:t>is listed as vulnerable because, although it appears to be stable, it has a very small population. It occupies a very small range on only one island when breeding and is susceptible to human impacts, introduced species and stochastic events, which could drive the species towards extinction in a very short time (BirdLife International 2019a</w:t>
            </w:r>
            <w:r>
              <w:rPr>
                <w:color w:val="000000"/>
                <w:sz w:val="22"/>
                <w:szCs w:val="22"/>
                <w:shd w:val="clear" w:color="auto" w:fill="FFFFFF"/>
              </w:rPr>
              <w:t>;</w:t>
            </w:r>
            <w:r w:rsidRPr="0021277B">
              <w:rPr>
                <w:color w:val="000000"/>
                <w:sz w:val="22"/>
                <w:szCs w:val="22"/>
                <w:shd w:val="clear" w:color="auto" w:fill="FFFFFF"/>
              </w:rPr>
              <w:t xml:space="preserve"> Dias </w:t>
            </w:r>
            <w:r w:rsidRPr="0006066A">
              <w:rPr>
                <w:i/>
                <w:color w:val="000000"/>
                <w:sz w:val="22"/>
                <w:szCs w:val="22"/>
                <w:shd w:val="clear" w:color="auto" w:fill="FFFFFF"/>
              </w:rPr>
              <w:t>et al</w:t>
            </w:r>
            <w:r w:rsidRPr="0021277B">
              <w:rPr>
                <w:color w:val="000000"/>
                <w:sz w:val="22"/>
                <w:szCs w:val="22"/>
                <w:shd w:val="clear" w:color="auto" w:fill="FFFFFF"/>
              </w:rPr>
              <w:t>. 2019</w:t>
            </w:r>
            <w:r>
              <w:rPr>
                <w:color w:val="000000"/>
                <w:sz w:val="22"/>
                <w:szCs w:val="22"/>
                <w:shd w:val="clear" w:color="auto" w:fill="FFFFFF"/>
              </w:rPr>
              <w:t>;</w:t>
            </w:r>
            <w:r w:rsidRPr="0021277B">
              <w:rPr>
                <w:color w:val="000000"/>
                <w:sz w:val="22"/>
                <w:szCs w:val="22"/>
                <w:shd w:val="clear" w:color="auto" w:fill="FFFFFF"/>
              </w:rPr>
              <w:t xml:space="preserve"> </w:t>
            </w:r>
            <w:r w:rsidRPr="002E4B39">
              <w:rPr>
                <w:rFonts w:eastAsia="MS Mincho"/>
                <w:sz w:val="22"/>
                <w:szCs w:val="22"/>
                <w:lang w:val="en-US"/>
              </w:rPr>
              <w:t>Rodríguez</w:t>
            </w:r>
            <w:r w:rsidRPr="0021277B">
              <w:rPr>
                <w:color w:val="000000"/>
                <w:sz w:val="22"/>
                <w:szCs w:val="22"/>
                <w:shd w:val="clear" w:color="auto" w:fill="FFFFFF"/>
              </w:rPr>
              <w:t xml:space="preserve"> </w:t>
            </w:r>
            <w:r w:rsidRPr="0006066A">
              <w:rPr>
                <w:i/>
                <w:color w:val="000000"/>
                <w:sz w:val="22"/>
                <w:szCs w:val="22"/>
                <w:shd w:val="clear" w:color="auto" w:fill="FFFFFF"/>
              </w:rPr>
              <w:t>et al</w:t>
            </w:r>
            <w:r w:rsidRPr="0021277B">
              <w:rPr>
                <w:color w:val="000000"/>
                <w:sz w:val="22"/>
                <w:szCs w:val="22"/>
                <w:shd w:val="clear" w:color="auto" w:fill="FFFFFF"/>
              </w:rPr>
              <w:t xml:space="preserve">. 2019). </w:t>
            </w:r>
          </w:p>
          <w:p w14:paraId="390171BA" w14:textId="77777777" w:rsidR="006B3F46" w:rsidRPr="0021277B" w:rsidRDefault="006B3F46" w:rsidP="002E4B39">
            <w:pPr>
              <w:suppressLineNumbers/>
              <w:spacing w:after="120"/>
              <w:jc w:val="both"/>
              <w:rPr>
                <w:iCs/>
                <w:color w:val="000000"/>
                <w:sz w:val="22"/>
                <w:szCs w:val="22"/>
                <w:lang w:eastAsia="en-GB"/>
              </w:rPr>
            </w:pPr>
            <w:r w:rsidRPr="002E4B39">
              <w:rPr>
                <w:rFonts w:eastAsia="MS Mincho"/>
                <w:iCs/>
                <w:sz w:val="22"/>
                <w:szCs w:val="22"/>
                <w:lang w:val="en-US" w:eastAsia="en-GB"/>
              </w:rPr>
              <w:t>The</w:t>
            </w:r>
            <w:r w:rsidRPr="0021277B">
              <w:rPr>
                <w:iCs/>
                <w:color w:val="000000"/>
                <w:sz w:val="22"/>
                <w:szCs w:val="22"/>
                <w:lang w:eastAsia="en-GB"/>
              </w:rPr>
              <w:t xml:space="preserve"> Audubon’s shearwater</w:t>
            </w:r>
            <w:r w:rsidRPr="0021277B">
              <w:rPr>
                <w:i/>
                <w:iCs/>
                <w:color w:val="000000"/>
                <w:sz w:val="22"/>
                <w:szCs w:val="22"/>
                <w:lang w:eastAsia="en-GB"/>
              </w:rPr>
              <w:t xml:space="preserve"> (Puffinus lherminieri baroli)</w:t>
            </w:r>
            <w:r w:rsidRPr="0021277B">
              <w:rPr>
                <w:iCs/>
                <w:color w:val="000000"/>
                <w:sz w:val="22"/>
                <w:szCs w:val="22"/>
                <w:lang w:eastAsia="en-GB"/>
              </w:rPr>
              <w:t xml:space="preserve"> – listed by OSPAR as a threatened and/or declining species – has a </w:t>
            </w:r>
            <w:r w:rsidRPr="0021277B">
              <w:rPr>
                <w:color w:val="000000"/>
                <w:sz w:val="22"/>
                <w:szCs w:val="22"/>
                <w:lang w:eastAsia="en-GB"/>
              </w:rPr>
              <w:t>small population size and is considered rare</w:t>
            </w:r>
            <w:r w:rsidRPr="0021277B">
              <w:rPr>
                <w:iCs/>
                <w:color w:val="000000"/>
                <w:sz w:val="22"/>
                <w:szCs w:val="22"/>
                <w:lang w:eastAsia="en-GB"/>
              </w:rPr>
              <w:t xml:space="preserve">. Much of the suitable breeding habitat for this species has been rendered unsuitable due to the introduction of rats and cats, putting it at risk of further declines (OSPAR 2009). </w:t>
            </w:r>
          </w:p>
          <w:p w14:paraId="27006F67" w14:textId="5A6F838E" w:rsidR="006B3F46" w:rsidRPr="0021277B" w:rsidRDefault="006B3F46" w:rsidP="002E4B39">
            <w:pPr>
              <w:suppressLineNumbers/>
              <w:spacing w:after="120"/>
              <w:jc w:val="both"/>
              <w:rPr>
                <w:rFonts w:eastAsia="MS Mincho"/>
                <w:b/>
                <w:bCs/>
                <w:color w:val="000000"/>
                <w:sz w:val="22"/>
                <w:szCs w:val="22"/>
                <w:lang w:val="en-US"/>
              </w:rPr>
            </w:pPr>
            <w:r w:rsidRPr="002E4B39">
              <w:rPr>
                <w:rFonts w:eastAsia="MS Mincho"/>
                <w:sz w:val="22"/>
                <w:szCs w:val="22"/>
                <w:lang w:val="en-US"/>
              </w:rPr>
              <w:t>The</w:t>
            </w:r>
            <w:r w:rsidRPr="0021277B">
              <w:rPr>
                <w:color w:val="000000"/>
                <w:sz w:val="22"/>
                <w:szCs w:val="22"/>
                <w:shd w:val="clear" w:color="auto" w:fill="FFFFFF"/>
              </w:rPr>
              <w:t xml:space="preserve"> endangered Mediterranean monk seal </w:t>
            </w:r>
            <w:r w:rsidRPr="0021277B">
              <w:rPr>
                <w:color w:val="000000"/>
                <w:sz w:val="22"/>
                <w:szCs w:val="22"/>
                <w:lang w:val="en-US" w:eastAsia="en-GB"/>
              </w:rPr>
              <w:t>is regarded as one of the most endangered pinniped species in the world, with approximately 600-700 animals in the global population, of which an estimated 350-450 are mature individuals (</w:t>
            </w:r>
            <w:r w:rsidRPr="0021277B">
              <w:rPr>
                <w:color w:val="000000"/>
                <w:sz w:val="22"/>
                <w:szCs w:val="22"/>
                <w:shd w:val="clear" w:color="auto" w:fill="FFFFFF"/>
              </w:rPr>
              <w:t>Karamanlidis &amp; Dendrinos 2015</w:t>
            </w:r>
            <w:r w:rsidRPr="0021277B">
              <w:rPr>
                <w:color w:val="000000"/>
                <w:sz w:val="22"/>
                <w:szCs w:val="22"/>
                <w:lang w:val="en-US" w:eastAsia="en-GB"/>
              </w:rPr>
              <w:t xml:space="preserve">). The population has also been fragmented into three to four subpopulations, of which the Desertas supports an isolated population separated by </w:t>
            </w:r>
            <w:r w:rsidRPr="0021277B">
              <w:rPr>
                <w:rFonts w:eastAsia="MS Mincho"/>
                <w:color w:val="000000"/>
                <w:sz w:val="22"/>
                <w:szCs w:val="22"/>
                <w:lang w:val="en-US"/>
              </w:rPr>
              <w:t xml:space="preserve">roughly 1000 kmfrom the only other Atlantic breeding colony </w:t>
            </w:r>
            <w:r>
              <w:rPr>
                <w:rFonts w:eastAsia="MS Mincho"/>
                <w:color w:val="000000"/>
                <w:sz w:val="22"/>
                <w:szCs w:val="22"/>
                <w:lang w:val="en-US"/>
              </w:rPr>
              <w:t xml:space="preserve">to the south </w:t>
            </w:r>
            <w:r w:rsidRPr="0021277B">
              <w:rPr>
                <w:rFonts w:eastAsia="MS Mincho"/>
                <w:color w:val="000000"/>
                <w:sz w:val="22"/>
                <w:szCs w:val="22"/>
                <w:lang w:val="en-US"/>
              </w:rPr>
              <w:t xml:space="preserve">in Cap Blanc, Mauritania (Pires </w:t>
            </w:r>
            <w:r w:rsidRPr="0006066A">
              <w:rPr>
                <w:rFonts w:eastAsia="MS Mincho"/>
                <w:i/>
                <w:color w:val="000000"/>
                <w:sz w:val="22"/>
                <w:szCs w:val="22"/>
                <w:lang w:val="en-US"/>
              </w:rPr>
              <w:t>et al</w:t>
            </w:r>
            <w:r w:rsidRPr="0021277B">
              <w:rPr>
                <w:rFonts w:eastAsia="MS Mincho"/>
                <w:i/>
                <w:color w:val="000000"/>
                <w:sz w:val="22"/>
                <w:szCs w:val="22"/>
                <w:lang w:val="en-US"/>
              </w:rPr>
              <w:t>.</w:t>
            </w:r>
            <w:r w:rsidRPr="0021277B">
              <w:rPr>
                <w:rFonts w:eastAsia="MS Mincho"/>
                <w:color w:val="000000"/>
                <w:sz w:val="22"/>
                <w:szCs w:val="22"/>
                <w:lang w:val="en-US"/>
              </w:rPr>
              <w:t xml:space="preserve"> 2008).</w:t>
            </w:r>
          </w:p>
        </w:tc>
      </w:tr>
      <w:tr w:rsidR="006B3F46" w:rsidRPr="0021277B" w14:paraId="50A13B96" w14:textId="77777777" w:rsidTr="00907941">
        <w:tc>
          <w:tcPr>
            <w:tcW w:w="779" w:type="pct"/>
            <w:shd w:val="clear" w:color="auto" w:fill="auto"/>
          </w:tcPr>
          <w:p w14:paraId="67A0371D"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80" w:type="pct"/>
            <w:shd w:val="clear" w:color="auto" w:fill="auto"/>
          </w:tcPr>
          <w:p w14:paraId="086F4CD9" w14:textId="77777777" w:rsidR="006B3F46" w:rsidRPr="0021277B" w:rsidRDefault="006B3F46" w:rsidP="00907941">
            <w:pPr>
              <w:widowControl w:val="0"/>
              <w:autoSpaceDE w:val="0"/>
              <w:autoSpaceDN w:val="0"/>
              <w:adjustRightInd w:val="0"/>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30E3D73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10" w:type="pct"/>
            <w:gridSpan w:val="2"/>
            <w:shd w:val="clear" w:color="auto" w:fill="auto"/>
          </w:tcPr>
          <w:p w14:paraId="2FC4C754"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B1FB3A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7A3B510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05AC94A2" w14:textId="77777777" w:rsidTr="00907941">
        <w:tc>
          <w:tcPr>
            <w:tcW w:w="5000" w:type="pct"/>
            <w:gridSpan w:val="11"/>
            <w:shd w:val="clear" w:color="auto" w:fill="auto"/>
          </w:tcPr>
          <w:p w14:paraId="5477B7A4"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0FCCF9BB" w14:textId="77777777" w:rsidR="006B3F46" w:rsidRPr="0021277B" w:rsidRDefault="006B3F46" w:rsidP="00907941">
            <w:pPr>
              <w:widowControl w:val="0"/>
              <w:autoSpaceDE w:val="0"/>
              <w:autoSpaceDN w:val="0"/>
              <w:adjustRightInd w:val="0"/>
              <w:rPr>
                <w:rFonts w:eastAsia="MS Mincho"/>
                <w:color w:val="000000"/>
                <w:sz w:val="22"/>
                <w:szCs w:val="22"/>
                <w:lang w:val="en-US"/>
              </w:rPr>
            </w:pPr>
          </w:p>
          <w:p w14:paraId="459524A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0A59DAE5" w14:textId="77777777" w:rsidTr="00907941">
        <w:tc>
          <w:tcPr>
            <w:tcW w:w="779" w:type="pct"/>
            <w:shd w:val="clear" w:color="auto" w:fill="auto"/>
          </w:tcPr>
          <w:p w14:paraId="48CEBC87"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80" w:type="pct"/>
            <w:shd w:val="clear" w:color="auto" w:fill="auto"/>
          </w:tcPr>
          <w:p w14:paraId="3E23714B"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70BE137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10" w:type="pct"/>
            <w:gridSpan w:val="2"/>
            <w:shd w:val="clear" w:color="auto" w:fill="auto"/>
          </w:tcPr>
          <w:p w14:paraId="46FD0E6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751D4C6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6" w:type="pct"/>
            <w:gridSpan w:val="2"/>
            <w:shd w:val="clear" w:color="auto" w:fill="auto"/>
          </w:tcPr>
          <w:p w14:paraId="0009930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7988B62B" w14:textId="77777777" w:rsidTr="00907941">
        <w:tc>
          <w:tcPr>
            <w:tcW w:w="5000" w:type="pct"/>
            <w:gridSpan w:val="11"/>
            <w:shd w:val="clear" w:color="auto" w:fill="auto"/>
          </w:tcPr>
          <w:p w14:paraId="342F3FE3"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13B2AD8B"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48B87919"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p>
          <w:p w14:paraId="680A987C"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r>
      <w:tr w:rsidR="006B3F46" w:rsidRPr="0021277B" w14:paraId="3208DD8F" w14:textId="77777777" w:rsidTr="00907941">
        <w:tc>
          <w:tcPr>
            <w:tcW w:w="783" w:type="pct"/>
            <w:shd w:val="clear" w:color="auto" w:fill="auto"/>
          </w:tcPr>
          <w:p w14:paraId="0CC189C2"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95" w:type="pct"/>
            <w:gridSpan w:val="2"/>
            <w:shd w:val="clear" w:color="auto" w:fill="auto"/>
          </w:tcPr>
          <w:p w14:paraId="77CE8DF2"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4A287F24"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sidRPr="0021277B">
              <w:rPr>
                <w:rFonts w:eastAsia="MS Mincho"/>
                <w:color w:val="000000"/>
                <w:sz w:val="22"/>
                <w:szCs w:val="22"/>
                <w:lang w:val="en-US"/>
              </w:rPr>
              <w:t>X</w:t>
            </w:r>
          </w:p>
        </w:tc>
        <w:tc>
          <w:tcPr>
            <w:tcW w:w="453" w:type="pct"/>
            <w:gridSpan w:val="2"/>
            <w:shd w:val="clear" w:color="auto" w:fill="auto"/>
          </w:tcPr>
          <w:p w14:paraId="0EA2563B"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tcPr>
          <w:p w14:paraId="04D2DA39"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385" w:type="pct"/>
            <w:shd w:val="clear" w:color="auto" w:fill="auto"/>
          </w:tcPr>
          <w:p w14:paraId="280A6672"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046C5AAF" w14:textId="77777777" w:rsidTr="00907941">
        <w:tc>
          <w:tcPr>
            <w:tcW w:w="5000" w:type="pct"/>
            <w:gridSpan w:val="11"/>
            <w:shd w:val="clear" w:color="auto" w:fill="auto"/>
          </w:tcPr>
          <w:p w14:paraId="19288EFE"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44026A29" w14:textId="77777777" w:rsidR="006B3F46" w:rsidRPr="0021277B" w:rsidRDefault="006B3F46" w:rsidP="00907941">
            <w:pPr>
              <w:widowControl w:val="0"/>
              <w:autoSpaceDE w:val="0"/>
              <w:autoSpaceDN w:val="0"/>
              <w:adjustRightInd w:val="0"/>
              <w:rPr>
                <w:rFonts w:eastAsia="MS Mincho"/>
                <w:color w:val="000000"/>
                <w:sz w:val="22"/>
                <w:szCs w:val="22"/>
                <w:lang w:val="en-US"/>
              </w:rPr>
            </w:pPr>
          </w:p>
          <w:p w14:paraId="2BAF701A" w14:textId="77777777" w:rsidR="006B3F46" w:rsidRPr="0021277B" w:rsidRDefault="006B3F46" w:rsidP="00907941">
            <w:pPr>
              <w:widowControl w:val="0"/>
              <w:autoSpaceDE w:val="0"/>
              <w:autoSpaceDN w:val="0"/>
              <w:adjustRightInd w:val="0"/>
              <w:rPr>
                <w:rFonts w:eastAsia="MS Mincho"/>
                <w:color w:val="000000"/>
                <w:sz w:val="22"/>
                <w:szCs w:val="22"/>
                <w:lang w:val="en-US"/>
              </w:rPr>
            </w:pPr>
          </w:p>
        </w:tc>
      </w:tr>
    </w:tbl>
    <w:p w14:paraId="4BDF98C1"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5BF41242"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Sharing experiences and information applying other criteria (Optional)</w:t>
      </w:r>
    </w:p>
    <w:p w14:paraId="3D6D4844" w14:textId="77777777" w:rsidR="006B3F46" w:rsidRPr="009978E3" w:rsidRDefault="006B3F46" w:rsidP="00907941">
      <w:pPr>
        <w:jc w:val="both"/>
        <w:rPr>
          <w:rFonts w:eastAsia="MS Mincho"/>
          <w:b/>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5"/>
        <w:gridCol w:w="4244"/>
        <w:gridCol w:w="970"/>
        <w:gridCol w:w="941"/>
        <w:gridCol w:w="990"/>
        <w:gridCol w:w="756"/>
      </w:tblGrid>
      <w:tr w:rsidR="006B3F46" w:rsidRPr="0021277B" w14:paraId="35CDA863" w14:textId="77777777" w:rsidTr="00907941">
        <w:tc>
          <w:tcPr>
            <w:tcW w:w="1530" w:type="dxa"/>
            <w:vMerge w:val="restart"/>
            <w:shd w:val="clear" w:color="auto" w:fill="auto"/>
          </w:tcPr>
          <w:p w14:paraId="247A2DD3"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Other Criteria</w:t>
            </w:r>
          </w:p>
          <w:p w14:paraId="7E3CB850" w14:textId="77777777" w:rsidR="006B3F46" w:rsidRPr="0021277B" w:rsidRDefault="006B3F46" w:rsidP="00907941">
            <w:pPr>
              <w:widowControl w:val="0"/>
              <w:autoSpaceDE w:val="0"/>
              <w:autoSpaceDN w:val="0"/>
              <w:adjustRightInd w:val="0"/>
              <w:rPr>
                <w:rFonts w:eastAsia="MS Mincho"/>
                <w:bCs/>
                <w:color w:val="000000"/>
                <w:sz w:val="22"/>
                <w:szCs w:val="22"/>
                <w:lang w:val="it-IT"/>
              </w:rPr>
            </w:pPr>
          </w:p>
        </w:tc>
        <w:tc>
          <w:tcPr>
            <w:tcW w:w="4356" w:type="dxa"/>
            <w:vMerge w:val="restart"/>
            <w:shd w:val="clear" w:color="auto" w:fill="auto"/>
          </w:tcPr>
          <w:p w14:paraId="7A77CBE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Description</w:t>
            </w:r>
          </w:p>
          <w:p w14:paraId="60D613B0"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3734" w:type="dxa"/>
            <w:gridSpan w:val="4"/>
            <w:shd w:val="clear" w:color="auto" w:fill="auto"/>
          </w:tcPr>
          <w:p w14:paraId="0FBE3EC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107A103D"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52ACB2DB" w14:textId="77777777" w:rsidTr="00907941">
        <w:tc>
          <w:tcPr>
            <w:tcW w:w="1530" w:type="dxa"/>
            <w:vMerge/>
            <w:shd w:val="clear" w:color="auto" w:fill="auto"/>
          </w:tcPr>
          <w:p w14:paraId="2DC1A898"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4356" w:type="dxa"/>
            <w:vMerge/>
            <w:shd w:val="clear" w:color="auto" w:fill="auto"/>
          </w:tcPr>
          <w:p w14:paraId="796DA5C2"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991" w:type="dxa"/>
            <w:shd w:val="clear" w:color="auto" w:fill="auto"/>
          </w:tcPr>
          <w:p w14:paraId="7E7CFBCF"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Don’t Know</w:t>
            </w:r>
          </w:p>
        </w:tc>
        <w:tc>
          <w:tcPr>
            <w:tcW w:w="961" w:type="dxa"/>
            <w:shd w:val="clear" w:color="auto" w:fill="auto"/>
          </w:tcPr>
          <w:p w14:paraId="1BD5299D"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Low</w:t>
            </w:r>
          </w:p>
        </w:tc>
        <w:tc>
          <w:tcPr>
            <w:tcW w:w="1011" w:type="dxa"/>
            <w:shd w:val="clear" w:color="auto" w:fill="auto"/>
          </w:tcPr>
          <w:p w14:paraId="5BAA37C9"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Medium</w:t>
            </w:r>
          </w:p>
        </w:tc>
        <w:tc>
          <w:tcPr>
            <w:tcW w:w="771" w:type="dxa"/>
            <w:shd w:val="clear" w:color="auto" w:fill="auto"/>
          </w:tcPr>
          <w:p w14:paraId="2C2B0C5D"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High</w:t>
            </w:r>
          </w:p>
          <w:p w14:paraId="0A86064F" w14:textId="77777777" w:rsidR="006B3F46" w:rsidRPr="0021277B" w:rsidRDefault="006B3F46" w:rsidP="00907941">
            <w:pPr>
              <w:rPr>
                <w:rFonts w:eastAsia="MS Mincho"/>
                <w:color w:val="000000"/>
                <w:sz w:val="22"/>
                <w:szCs w:val="22"/>
                <w:lang w:val="en-US"/>
              </w:rPr>
            </w:pPr>
          </w:p>
        </w:tc>
      </w:tr>
      <w:tr w:rsidR="006B3F46" w:rsidRPr="0021277B" w14:paraId="6792AC99" w14:textId="77777777" w:rsidTr="00907941">
        <w:tc>
          <w:tcPr>
            <w:tcW w:w="1530" w:type="dxa"/>
            <w:shd w:val="clear" w:color="auto" w:fill="auto"/>
          </w:tcPr>
          <w:p w14:paraId="46565134" w14:textId="77777777" w:rsidR="006B3F46" w:rsidRPr="0021277B" w:rsidRDefault="006B3F46" w:rsidP="00907941">
            <w:pPr>
              <w:widowControl w:val="0"/>
              <w:autoSpaceDE w:val="0"/>
              <w:autoSpaceDN w:val="0"/>
              <w:adjustRightInd w:val="0"/>
              <w:rPr>
                <w:rFonts w:eastAsia="MS Mincho"/>
                <w:bCs/>
                <w:i/>
                <w:color w:val="000000"/>
                <w:sz w:val="22"/>
                <w:szCs w:val="22"/>
                <w:lang w:val="en-US"/>
              </w:rPr>
            </w:pPr>
            <w:r w:rsidRPr="0021277B">
              <w:rPr>
                <w:rFonts w:eastAsia="MS Mincho"/>
                <w:bCs/>
                <w:i/>
                <w:color w:val="000000"/>
                <w:sz w:val="22"/>
                <w:szCs w:val="22"/>
                <w:lang w:val="en-US"/>
              </w:rPr>
              <w:t>IBA and IMMA criteria</w:t>
            </w:r>
          </w:p>
          <w:p w14:paraId="787602F7" w14:textId="77777777" w:rsidR="006B3F46" w:rsidRPr="0021277B" w:rsidRDefault="006B3F46" w:rsidP="00907941">
            <w:pPr>
              <w:widowControl w:val="0"/>
              <w:autoSpaceDE w:val="0"/>
              <w:autoSpaceDN w:val="0"/>
              <w:adjustRightInd w:val="0"/>
              <w:rPr>
                <w:rFonts w:eastAsia="MS Mincho"/>
                <w:bCs/>
                <w:i/>
                <w:color w:val="000000"/>
                <w:sz w:val="22"/>
                <w:szCs w:val="22"/>
                <w:lang w:val="en-US"/>
              </w:rPr>
            </w:pPr>
          </w:p>
        </w:tc>
        <w:tc>
          <w:tcPr>
            <w:tcW w:w="4356" w:type="dxa"/>
            <w:shd w:val="clear" w:color="auto" w:fill="auto"/>
          </w:tcPr>
          <w:p w14:paraId="625CBE15"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991" w:type="dxa"/>
            <w:shd w:val="clear" w:color="auto" w:fill="auto"/>
          </w:tcPr>
          <w:p w14:paraId="1AF50B5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961" w:type="dxa"/>
            <w:shd w:val="clear" w:color="auto" w:fill="auto"/>
          </w:tcPr>
          <w:p w14:paraId="45BFD42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1011" w:type="dxa"/>
            <w:shd w:val="clear" w:color="auto" w:fill="auto"/>
          </w:tcPr>
          <w:p w14:paraId="6B3BB39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771" w:type="dxa"/>
            <w:shd w:val="clear" w:color="auto" w:fill="auto"/>
          </w:tcPr>
          <w:p w14:paraId="6C6486C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745F628C" w14:textId="77777777" w:rsidTr="00907941">
        <w:tc>
          <w:tcPr>
            <w:tcW w:w="9620" w:type="dxa"/>
            <w:gridSpan w:val="6"/>
            <w:shd w:val="clear" w:color="auto" w:fill="auto"/>
          </w:tcPr>
          <w:p w14:paraId="00F4479F" w14:textId="77777777" w:rsidR="006B3F46" w:rsidRPr="0021277B" w:rsidRDefault="006B3F46" w:rsidP="00907941">
            <w:pPr>
              <w:jc w:val="both"/>
              <w:rPr>
                <w:rFonts w:eastAsia="MS Mincho"/>
                <w:bCs/>
                <w:color w:val="000000"/>
                <w:sz w:val="22"/>
                <w:szCs w:val="22"/>
                <w:lang w:val="en-US"/>
              </w:rPr>
            </w:pPr>
            <w:r w:rsidRPr="00F66EF7">
              <w:rPr>
                <w:color w:val="000000"/>
                <w:sz w:val="22"/>
                <w:szCs w:val="22"/>
                <w:shd w:val="clear" w:color="auto" w:fill="FFFFFF"/>
              </w:rPr>
              <w:t>T</w:t>
            </w:r>
            <w:r w:rsidRPr="009978E3">
              <w:rPr>
                <w:color w:val="000000"/>
                <w:sz w:val="22"/>
                <w:szCs w:val="22"/>
              </w:rPr>
              <w:t xml:space="preserve">he site has been classified as an Important Bird and Biodiversity Area by BirdLife International (BirdLife International 2019b), </w:t>
            </w:r>
            <w:hyperlink r:id="rId204" w:history="1">
              <w:r w:rsidRPr="009978E3">
                <w:rPr>
                  <w:rStyle w:val="Hyperlink"/>
                  <w:color w:val="000000"/>
                  <w:sz w:val="22"/>
                  <w:szCs w:val="22"/>
                </w:rPr>
                <w:t>http://datazone.birdlife.org/site/factsheet/desertas-iba-portugal</w:t>
              </w:r>
            </w:hyperlink>
            <w:r w:rsidRPr="00F66EF7">
              <w:rPr>
                <w:rFonts w:eastAsia="MS Mincho"/>
                <w:color w:val="000000"/>
                <w:sz w:val="22"/>
                <w:szCs w:val="22"/>
                <w:lang w:val="en-US"/>
              </w:rPr>
              <w:t xml:space="preserve">, as well as an Important Marine Mammal Area (IMMA) by the IUCN Joint SSC/WCPA Marine Mammal Protected Areas Task Force (IUCN MMPATF 2019). </w:t>
            </w:r>
          </w:p>
          <w:p w14:paraId="366C50AA"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r>
    </w:tbl>
    <w:p w14:paraId="0A548388" w14:textId="77777777" w:rsidR="006B3F46" w:rsidRPr="00F66EF7" w:rsidRDefault="006B3F46" w:rsidP="00907941">
      <w:pPr>
        <w:rPr>
          <w:rFonts w:eastAsia="MS Mincho"/>
          <w:b/>
          <w:color w:val="000000"/>
          <w:sz w:val="22"/>
          <w:szCs w:val="22"/>
          <w:lang w:val="en-US"/>
        </w:rPr>
      </w:pPr>
    </w:p>
    <w:p w14:paraId="6746B6D2" w14:textId="77777777" w:rsidR="006B3F46" w:rsidRPr="009978E3" w:rsidRDefault="006B3F46" w:rsidP="00907941">
      <w:pPr>
        <w:ind w:left="720" w:hanging="720"/>
        <w:jc w:val="both"/>
        <w:rPr>
          <w:rFonts w:eastAsia="MS Mincho"/>
          <w:b/>
          <w:color w:val="000000"/>
          <w:sz w:val="22"/>
          <w:szCs w:val="22"/>
          <w:lang w:val="en-US"/>
        </w:rPr>
      </w:pPr>
      <w:r w:rsidRPr="009978E3">
        <w:rPr>
          <w:rFonts w:eastAsia="MS Mincho"/>
          <w:b/>
          <w:color w:val="000000"/>
          <w:sz w:val="22"/>
          <w:szCs w:val="22"/>
          <w:lang w:val="en-US"/>
        </w:rPr>
        <w:t>References</w:t>
      </w:r>
    </w:p>
    <w:p w14:paraId="1EE07BE5" w14:textId="77777777" w:rsidR="006B3F46" w:rsidRPr="009978E3" w:rsidRDefault="006B3F46" w:rsidP="00907941">
      <w:pPr>
        <w:ind w:left="720" w:hanging="720"/>
        <w:jc w:val="both"/>
        <w:rPr>
          <w:color w:val="000000"/>
          <w:sz w:val="22"/>
          <w:szCs w:val="22"/>
          <w:shd w:val="clear" w:color="auto" w:fill="FFFFFF"/>
        </w:rPr>
      </w:pPr>
      <w:r w:rsidRPr="009978E3">
        <w:rPr>
          <w:color w:val="000000"/>
          <w:sz w:val="22"/>
          <w:szCs w:val="22"/>
          <w:shd w:val="clear" w:color="auto" w:fill="FFFFFF"/>
        </w:rPr>
        <w:t>BirdLife International (2019a) Species factsheet: </w:t>
      </w:r>
      <w:r w:rsidRPr="009978E3">
        <w:rPr>
          <w:i/>
          <w:iCs/>
          <w:color w:val="000000"/>
          <w:sz w:val="22"/>
          <w:szCs w:val="22"/>
          <w:shd w:val="clear" w:color="auto" w:fill="FFFFFF"/>
        </w:rPr>
        <w:t>Pterodroma deserta</w:t>
      </w:r>
      <w:r w:rsidRPr="009978E3">
        <w:rPr>
          <w:color w:val="000000"/>
          <w:sz w:val="22"/>
          <w:szCs w:val="22"/>
          <w:shd w:val="clear" w:color="auto" w:fill="FFFFFF"/>
        </w:rPr>
        <w:t>. Downloaded from </w:t>
      </w:r>
      <w:hyperlink r:id="rId205" w:tgtFrame="_blank" w:history="1">
        <w:r w:rsidRPr="009978E3">
          <w:rPr>
            <w:rStyle w:val="Hyperlink"/>
            <w:color w:val="000000"/>
            <w:sz w:val="22"/>
            <w:szCs w:val="22"/>
            <w:shd w:val="clear" w:color="auto" w:fill="FFFFFF"/>
          </w:rPr>
          <w:t>http://www.birdlife.org</w:t>
        </w:r>
      </w:hyperlink>
      <w:r w:rsidRPr="00F66EF7">
        <w:rPr>
          <w:color w:val="000000"/>
          <w:sz w:val="22"/>
          <w:szCs w:val="22"/>
          <w:shd w:val="clear" w:color="auto" w:fill="FFFFFF"/>
        </w:rPr>
        <w:t> on 28/08/2019.</w:t>
      </w:r>
    </w:p>
    <w:p w14:paraId="24FDBF5C" w14:textId="77777777" w:rsidR="006B3F46" w:rsidRPr="009978E3" w:rsidRDefault="006B3F46" w:rsidP="00907941">
      <w:pPr>
        <w:ind w:left="720" w:hanging="720"/>
        <w:jc w:val="both"/>
        <w:rPr>
          <w:color w:val="000000"/>
          <w:sz w:val="22"/>
          <w:szCs w:val="22"/>
          <w:shd w:val="clear" w:color="auto" w:fill="FFFFFF"/>
        </w:rPr>
      </w:pPr>
      <w:r w:rsidRPr="009978E3">
        <w:rPr>
          <w:color w:val="000000"/>
          <w:sz w:val="22"/>
          <w:szCs w:val="22"/>
          <w:shd w:val="clear" w:color="auto" w:fill="FFFFFF"/>
        </w:rPr>
        <w:t>BirdLife International (2019b) Important Bird Areas factsheet: Desertas. Downloaded from </w:t>
      </w:r>
      <w:hyperlink r:id="rId206" w:tgtFrame="_blank" w:history="1">
        <w:r w:rsidRPr="009978E3">
          <w:rPr>
            <w:rStyle w:val="Hyperlink"/>
            <w:color w:val="000000"/>
            <w:sz w:val="22"/>
            <w:szCs w:val="22"/>
            <w:shd w:val="clear" w:color="auto" w:fill="FFFFFF"/>
          </w:rPr>
          <w:t>http://www.birdlife.org</w:t>
        </w:r>
      </w:hyperlink>
      <w:r w:rsidRPr="00F66EF7">
        <w:rPr>
          <w:color w:val="000000"/>
          <w:sz w:val="22"/>
          <w:szCs w:val="22"/>
          <w:shd w:val="clear" w:color="auto" w:fill="FFFFFF"/>
        </w:rPr>
        <w:t> on 28/08/2019.</w:t>
      </w:r>
    </w:p>
    <w:p w14:paraId="35A2E49E" w14:textId="77777777" w:rsidR="006B3F46" w:rsidRPr="009978E3" w:rsidRDefault="006B3F46" w:rsidP="00907941">
      <w:pPr>
        <w:ind w:left="720" w:hanging="720"/>
        <w:jc w:val="both"/>
        <w:rPr>
          <w:color w:val="000000"/>
          <w:sz w:val="22"/>
          <w:szCs w:val="22"/>
          <w:lang w:val="pt-PT" w:eastAsia="en-GB"/>
        </w:rPr>
      </w:pPr>
      <w:r w:rsidRPr="009978E3">
        <w:rPr>
          <w:color w:val="000000"/>
          <w:sz w:val="22"/>
          <w:szCs w:val="22"/>
          <w:lang w:eastAsia="en-GB"/>
        </w:rPr>
        <w:t xml:space="preserve">Catry, P., Dias, M.P., Catry, T., Pedro, P., Tenreiro, P., Menezes, D., (2015). Bulwer’s petrels breeding numbers on the Desertas Islands (Madeira): improved estimates indicate the NE Atlantic population to be much larger than previously thought. </w:t>
      </w:r>
      <w:r w:rsidRPr="009978E3">
        <w:rPr>
          <w:color w:val="000000"/>
          <w:sz w:val="22"/>
          <w:szCs w:val="22"/>
          <w:lang w:val="pt-PT" w:eastAsia="en-GB"/>
        </w:rPr>
        <w:t>ISSN 0871-6595 Depósito legal 47713/91 Tiragem: 100 exemplares Impressão: Estria, Produções Gráficas, SA Disponível em www. spea. pt 10.</w:t>
      </w:r>
    </w:p>
    <w:p w14:paraId="45296414" w14:textId="77777777" w:rsidR="006B3F46" w:rsidRPr="009978E3" w:rsidRDefault="006B3F46" w:rsidP="00907941">
      <w:pPr>
        <w:ind w:left="720" w:hanging="720"/>
        <w:jc w:val="both"/>
        <w:rPr>
          <w:color w:val="000000"/>
          <w:sz w:val="22"/>
          <w:szCs w:val="22"/>
          <w:lang w:eastAsia="en-GB"/>
        </w:rPr>
      </w:pPr>
      <w:r w:rsidRPr="009978E3">
        <w:rPr>
          <w:color w:val="000000"/>
          <w:sz w:val="22"/>
          <w:szCs w:val="22"/>
          <w:lang w:eastAsia="en-GB"/>
        </w:rPr>
        <w:t xml:space="preserve">Dias, M.P., Martin, R., Pearmain, E.J., Burfield, I.J., Small, C., Phillips, R.A., Yates, O., Lascelles, B., Borboroglu, P.G., Croxall, J.P., (2019). Threats to seabirds: A global assessment. Biological Conservation in press. </w:t>
      </w:r>
      <w:hyperlink r:id="rId207" w:history="1">
        <w:r w:rsidRPr="009978E3">
          <w:rPr>
            <w:rStyle w:val="Hyperlink"/>
            <w:color w:val="000000"/>
            <w:sz w:val="22"/>
            <w:szCs w:val="22"/>
            <w:lang w:eastAsia="en-GB"/>
          </w:rPr>
          <w:t>https://doi.org/10.1016/j.biocon.2019.06.033</w:t>
        </w:r>
      </w:hyperlink>
      <w:r w:rsidRPr="00F66EF7">
        <w:rPr>
          <w:color w:val="000000"/>
          <w:sz w:val="22"/>
          <w:szCs w:val="22"/>
          <w:lang w:eastAsia="en-GB"/>
        </w:rPr>
        <w:t xml:space="preserve"> </w:t>
      </w:r>
    </w:p>
    <w:p w14:paraId="5FF13592" w14:textId="77777777" w:rsidR="006B3F46" w:rsidRPr="009978E3" w:rsidRDefault="006B3F46" w:rsidP="00907941">
      <w:pPr>
        <w:widowControl w:val="0"/>
        <w:autoSpaceDE w:val="0"/>
        <w:autoSpaceDN w:val="0"/>
        <w:adjustRightInd w:val="0"/>
        <w:ind w:left="810" w:hanging="810"/>
        <w:jc w:val="both"/>
        <w:rPr>
          <w:color w:val="000000"/>
          <w:sz w:val="22"/>
          <w:szCs w:val="22"/>
          <w:lang w:val="en-US" w:eastAsia="en-GB"/>
        </w:rPr>
      </w:pPr>
      <w:r w:rsidRPr="009978E3">
        <w:rPr>
          <w:color w:val="000000"/>
          <w:sz w:val="22"/>
          <w:szCs w:val="22"/>
          <w:lang w:val="en-US" w:eastAsia="en-GB"/>
        </w:rPr>
        <w:t>IUCN MMPATF (2018) Final Report of the IMMA Extraordinary Workshop for the Mediterranean Monk Seal, La Spezia, Italy, 5 April 2018.</w:t>
      </w:r>
    </w:p>
    <w:p w14:paraId="43A107DE" w14:textId="77777777" w:rsidR="006B3F46" w:rsidRPr="00F66EF7" w:rsidRDefault="006B3F46" w:rsidP="00907941">
      <w:pPr>
        <w:ind w:left="720" w:hanging="720"/>
        <w:jc w:val="both"/>
        <w:rPr>
          <w:color w:val="000000"/>
          <w:sz w:val="22"/>
          <w:szCs w:val="22"/>
          <w:lang w:eastAsia="en-GB"/>
        </w:rPr>
      </w:pPr>
      <w:r w:rsidRPr="009978E3">
        <w:rPr>
          <w:color w:val="000000"/>
          <w:sz w:val="22"/>
          <w:szCs w:val="22"/>
          <w:lang w:eastAsia="en-GB"/>
        </w:rPr>
        <w:t xml:space="preserve">IUCN MMPATF (2019) The IUCN Global Dataset of Important Marine Mammal Areas (IUCN-IMMA). Made available under agreement on terms and conditions of use by the IUCN Joint SSC/WCPA Marine Mammal Protected Areas Task Force and accessible via the IMMA e-Atlas </w:t>
      </w:r>
      <w:hyperlink r:id="rId208" w:history="1">
        <w:r w:rsidRPr="0021277B">
          <w:rPr>
            <w:rStyle w:val="Hyperlink"/>
            <w:sz w:val="22"/>
            <w:szCs w:val="22"/>
            <w:lang w:eastAsia="en-GB"/>
          </w:rPr>
          <w:t>http://www.marinemammalhabitat.org/imma-eatlas/</w:t>
        </w:r>
      </w:hyperlink>
    </w:p>
    <w:p w14:paraId="13B7A3B9" w14:textId="77777777" w:rsidR="006B3F46" w:rsidRPr="009978E3" w:rsidRDefault="006B3F46" w:rsidP="00907941">
      <w:pPr>
        <w:ind w:left="720" w:hanging="720"/>
        <w:jc w:val="both"/>
        <w:rPr>
          <w:color w:val="000000"/>
          <w:sz w:val="22"/>
          <w:szCs w:val="22"/>
          <w:shd w:val="clear" w:color="auto" w:fill="FFFFFF"/>
        </w:rPr>
      </w:pPr>
      <w:r w:rsidRPr="009978E3">
        <w:rPr>
          <w:color w:val="000000"/>
          <w:sz w:val="22"/>
          <w:szCs w:val="22"/>
          <w:shd w:val="clear" w:color="auto" w:fill="FFFFFF"/>
        </w:rPr>
        <w:t xml:space="preserve">Karamanlidis, A. &amp; Dendrinos, P. (2015) </w:t>
      </w:r>
      <w:r w:rsidRPr="009978E3">
        <w:rPr>
          <w:i/>
          <w:color w:val="000000"/>
          <w:sz w:val="22"/>
          <w:szCs w:val="22"/>
          <w:shd w:val="clear" w:color="auto" w:fill="FFFFFF"/>
        </w:rPr>
        <w:t>Monachus monachus</w:t>
      </w:r>
      <w:r w:rsidRPr="009978E3">
        <w:rPr>
          <w:color w:val="000000"/>
          <w:sz w:val="22"/>
          <w:szCs w:val="22"/>
          <w:shd w:val="clear" w:color="auto" w:fill="FFFFFF"/>
        </w:rPr>
        <w:t xml:space="preserve"> (errata version published in 2017). The IUCN Red List of Threatened Species 2015: e.T13653A117647375. </w:t>
      </w:r>
    </w:p>
    <w:p w14:paraId="07109C0B" w14:textId="77777777" w:rsidR="006B3F46" w:rsidRPr="009978E3" w:rsidRDefault="006B3F46" w:rsidP="00907941">
      <w:pPr>
        <w:ind w:left="720" w:hanging="720"/>
        <w:jc w:val="both"/>
        <w:rPr>
          <w:color w:val="000000"/>
          <w:sz w:val="22"/>
          <w:szCs w:val="22"/>
          <w:shd w:val="clear" w:color="auto" w:fill="FFFFFF"/>
          <w:lang w:val="pt-PT"/>
        </w:rPr>
      </w:pPr>
      <w:r w:rsidRPr="009978E3">
        <w:rPr>
          <w:color w:val="000000"/>
          <w:sz w:val="22"/>
          <w:szCs w:val="22"/>
          <w:shd w:val="clear" w:color="auto" w:fill="FFFFFF"/>
          <w:lang w:val="pt-PT"/>
        </w:rPr>
        <w:t xml:space="preserve">Karamanlidis, A.A., Pires, R., Silva, N.C., Neves, H.C. (2004). </w:t>
      </w:r>
      <w:r w:rsidRPr="009978E3">
        <w:rPr>
          <w:color w:val="000000"/>
          <w:sz w:val="22"/>
          <w:szCs w:val="22"/>
          <w:shd w:val="clear" w:color="auto" w:fill="FFFFFF"/>
        </w:rPr>
        <w:t xml:space="preserve">The availability of resting and pupping habitat for the Critically Endangered Mediterranean monk seal </w:t>
      </w:r>
      <w:r w:rsidRPr="009978E3">
        <w:rPr>
          <w:i/>
          <w:color w:val="000000"/>
          <w:sz w:val="22"/>
          <w:szCs w:val="22"/>
          <w:shd w:val="clear" w:color="auto" w:fill="FFFFFF"/>
        </w:rPr>
        <w:t>Monachus monachus</w:t>
      </w:r>
      <w:r w:rsidRPr="009978E3">
        <w:rPr>
          <w:color w:val="000000"/>
          <w:sz w:val="22"/>
          <w:szCs w:val="22"/>
          <w:shd w:val="clear" w:color="auto" w:fill="FFFFFF"/>
        </w:rPr>
        <w:t xml:space="preserve"> in the archipelago of Madeira. </w:t>
      </w:r>
      <w:r w:rsidRPr="009978E3">
        <w:rPr>
          <w:color w:val="000000"/>
          <w:sz w:val="22"/>
          <w:szCs w:val="22"/>
          <w:shd w:val="clear" w:color="auto" w:fill="FFFFFF"/>
          <w:lang w:val="pt-PT"/>
        </w:rPr>
        <w:t>Oryx 38, 180–185.</w:t>
      </w:r>
    </w:p>
    <w:p w14:paraId="233F0F70" w14:textId="77777777" w:rsidR="006B3F46" w:rsidRPr="009978E3" w:rsidRDefault="006B3F46" w:rsidP="00907941">
      <w:pPr>
        <w:ind w:left="720" w:hanging="720"/>
        <w:jc w:val="both"/>
        <w:rPr>
          <w:color w:val="000000"/>
          <w:sz w:val="22"/>
          <w:szCs w:val="22"/>
          <w:lang w:val="pt-PT"/>
        </w:rPr>
      </w:pPr>
      <w:r w:rsidRPr="009978E3">
        <w:rPr>
          <w:color w:val="000000"/>
          <w:sz w:val="22"/>
          <w:szCs w:val="22"/>
          <w:lang w:val="pt-PT"/>
        </w:rPr>
        <w:t xml:space="preserve">Meirinho, A., Barros, N., Oliveira, N., Catry, P., Lecoq, M., Paiva, V., Geraldes, P., Granadeiro, J.P., Ramírez, I., Andrade, J., (2014). Atlas das Aves Marinhas de Portugal. Sociedade Portuguesa para o Estudo das Aves. Lisboa </w:t>
      </w:r>
    </w:p>
    <w:p w14:paraId="4540136E" w14:textId="77777777" w:rsidR="006B3F46" w:rsidRPr="009978E3" w:rsidRDefault="006B3F46" w:rsidP="00907941">
      <w:pPr>
        <w:ind w:left="720" w:hanging="720"/>
        <w:jc w:val="both"/>
        <w:rPr>
          <w:color w:val="000000"/>
          <w:sz w:val="22"/>
          <w:szCs w:val="22"/>
          <w:shd w:val="clear" w:color="auto" w:fill="FFFFFF"/>
          <w:lang w:val="pt-PT"/>
        </w:rPr>
      </w:pPr>
      <w:r w:rsidRPr="009978E3">
        <w:rPr>
          <w:color w:val="000000"/>
          <w:sz w:val="22"/>
          <w:szCs w:val="22"/>
          <w:shd w:val="clear" w:color="auto" w:fill="FFFFFF"/>
          <w:lang w:val="pt-PT"/>
        </w:rPr>
        <w:t xml:space="preserve">Menezes D, Oliveira P &amp; Ramírez I (2010). Pterodromas do arquipélago da Madeira. Duas espécies em recuperação. Serviço do Parque Natural da Madeira, Funchal </w:t>
      </w:r>
    </w:p>
    <w:p w14:paraId="46363156" w14:textId="77777777" w:rsidR="006B3F46" w:rsidRPr="009978E3" w:rsidRDefault="006B3F46" w:rsidP="00907941">
      <w:pPr>
        <w:ind w:left="720" w:hanging="720"/>
        <w:jc w:val="both"/>
        <w:rPr>
          <w:color w:val="000000"/>
          <w:sz w:val="22"/>
          <w:szCs w:val="22"/>
          <w:shd w:val="clear" w:color="auto" w:fill="FFFFFF"/>
          <w:lang w:val="pt-PT"/>
        </w:rPr>
      </w:pPr>
      <w:r w:rsidRPr="009978E3">
        <w:rPr>
          <w:color w:val="000000"/>
          <w:sz w:val="22"/>
          <w:szCs w:val="22"/>
          <w:shd w:val="clear" w:color="auto" w:fill="FFFFFF"/>
          <w:lang w:val="pt-PT"/>
        </w:rPr>
        <w:t>Menezes D, Oliveira P &amp; Ramírez I (2011). Medidas Urgentes para a Recuperação da Freira do Bugio Pterodroma feae e do seu Habitat. Relatório Final. Serviço Parque Natural da Madeira/ Sociedade Portuguesa para o Estudo das Aves</w:t>
      </w:r>
    </w:p>
    <w:p w14:paraId="280F89EF" w14:textId="77777777" w:rsidR="006B3F46" w:rsidRPr="009978E3" w:rsidRDefault="006B3F46" w:rsidP="00907941">
      <w:pPr>
        <w:ind w:left="720" w:hanging="720"/>
        <w:jc w:val="both"/>
        <w:rPr>
          <w:color w:val="000000"/>
          <w:sz w:val="22"/>
          <w:szCs w:val="22"/>
          <w:lang w:eastAsia="en-GB"/>
        </w:rPr>
      </w:pPr>
      <w:r w:rsidRPr="009978E3">
        <w:rPr>
          <w:color w:val="000000"/>
          <w:sz w:val="22"/>
          <w:szCs w:val="22"/>
          <w:shd w:val="clear" w:color="auto" w:fill="FFFFFF"/>
        </w:rPr>
        <w:t xml:space="preserve">Neves, H. C. (1998). ‘Preliminary findings on the feeding behaviour and general ecology strategy of the Mediterranean monk seal </w:t>
      </w:r>
      <w:r w:rsidRPr="009978E3">
        <w:rPr>
          <w:i/>
          <w:color w:val="000000"/>
          <w:sz w:val="22"/>
          <w:szCs w:val="22"/>
          <w:shd w:val="clear" w:color="auto" w:fill="FFFFFF"/>
        </w:rPr>
        <w:t>Monachus monachus</w:t>
      </w:r>
      <w:r w:rsidRPr="009978E3">
        <w:rPr>
          <w:color w:val="000000"/>
          <w:sz w:val="22"/>
          <w:szCs w:val="22"/>
          <w:shd w:val="clear" w:color="auto" w:fill="FFFFFF"/>
        </w:rPr>
        <w:t xml:space="preserve"> – (Pinnipedia: Monachinae) on the Desertas Islands’. Boletim Museu Municipal do Funchal, 5: 263-271.</w:t>
      </w:r>
      <w:r w:rsidRPr="009978E3">
        <w:rPr>
          <w:color w:val="000000"/>
          <w:sz w:val="22"/>
          <w:szCs w:val="22"/>
          <w:lang w:eastAsia="en-GB"/>
        </w:rPr>
        <w:t xml:space="preserve"> </w:t>
      </w:r>
    </w:p>
    <w:p w14:paraId="772B598E" w14:textId="77777777" w:rsidR="006B3F46" w:rsidRPr="009978E3" w:rsidRDefault="006B3F46" w:rsidP="00907941">
      <w:pPr>
        <w:ind w:left="720" w:hanging="720"/>
        <w:jc w:val="both"/>
        <w:rPr>
          <w:color w:val="000000"/>
          <w:sz w:val="22"/>
          <w:szCs w:val="22"/>
          <w:shd w:val="clear" w:color="auto" w:fill="FFFFFF"/>
        </w:rPr>
      </w:pPr>
      <w:r w:rsidRPr="009978E3">
        <w:rPr>
          <w:color w:val="000000"/>
          <w:sz w:val="22"/>
          <w:szCs w:val="22"/>
          <w:lang w:eastAsia="en-GB"/>
        </w:rPr>
        <w:t xml:space="preserve">OSPAR (2009). Background document for Little Shearwater </w:t>
      </w:r>
      <w:r w:rsidRPr="009978E3">
        <w:rPr>
          <w:i/>
          <w:iCs/>
          <w:color w:val="000000"/>
          <w:sz w:val="22"/>
          <w:szCs w:val="22"/>
          <w:lang w:eastAsia="en-GB"/>
        </w:rPr>
        <w:t xml:space="preserve">Puffinus assimilis baroli. </w:t>
      </w:r>
      <w:r w:rsidRPr="009978E3">
        <w:rPr>
          <w:iCs/>
          <w:color w:val="000000"/>
          <w:sz w:val="22"/>
          <w:szCs w:val="22"/>
          <w:lang w:eastAsia="en-GB"/>
        </w:rPr>
        <w:t xml:space="preserve">Biodiversity Series. </w:t>
      </w:r>
    </w:p>
    <w:p w14:paraId="5517A494" w14:textId="77777777" w:rsidR="006B3F46" w:rsidRPr="009978E3" w:rsidRDefault="006B3F46" w:rsidP="00907941">
      <w:pPr>
        <w:ind w:left="720" w:hanging="720"/>
        <w:jc w:val="both"/>
        <w:rPr>
          <w:color w:val="000000"/>
          <w:sz w:val="22"/>
          <w:szCs w:val="22"/>
          <w:shd w:val="clear" w:color="auto" w:fill="FFFFFF"/>
          <w:lang w:val="pt-PT"/>
        </w:rPr>
      </w:pPr>
      <w:r w:rsidRPr="009978E3">
        <w:rPr>
          <w:color w:val="000000"/>
          <w:sz w:val="22"/>
          <w:szCs w:val="22"/>
          <w:shd w:val="clear" w:color="auto" w:fill="FFFFFF"/>
        </w:rPr>
        <w:t xml:space="preserve">Pires, R. (2011). Monk Seals of the archipelago of Madeira. </w:t>
      </w:r>
      <w:r w:rsidRPr="009978E3">
        <w:rPr>
          <w:color w:val="000000"/>
          <w:sz w:val="22"/>
          <w:szCs w:val="22"/>
          <w:shd w:val="clear" w:color="auto" w:fill="FFFFFF"/>
          <w:lang w:val="pt-PT"/>
        </w:rPr>
        <w:t>Funchal. Serviço do Parque Natural da Madeira, 63p</w:t>
      </w:r>
    </w:p>
    <w:p w14:paraId="0711B5AF" w14:textId="77777777" w:rsidR="006B3F46" w:rsidRPr="009978E3" w:rsidRDefault="006B3F46" w:rsidP="00907941">
      <w:pPr>
        <w:ind w:left="720" w:hanging="720"/>
        <w:jc w:val="both"/>
        <w:rPr>
          <w:color w:val="000000"/>
          <w:sz w:val="22"/>
          <w:szCs w:val="22"/>
          <w:shd w:val="clear" w:color="auto" w:fill="FFFFFF"/>
        </w:rPr>
      </w:pPr>
      <w:r w:rsidRPr="009978E3">
        <w:rPr>
          <w:color w:val="000000"/>
          <w:sz w:val="22"/>
          <w:szCs w:val="22"/>
          <w:shd w:val="clear" w:color="auto" w:fill="FFFFFF"/>
          <w:lang w:val="pt-PT"/>
        </w:rPr>
        <w:t xml:space="preserve">Pires, R., Costa Neves, H. &amp; A. Karamanlidis, (2007). </w:t>
      </w:r>
      <w:r w:rsidRPr="009978E3">
        <w:rPr>
          <w:color w:val="000000"/>
          <w:sz w:val="22"/>
          <w:szCs w:val="22"/>
          <w:shd w:val="clear" w:color="auto" w:fill="FFFFFF"/>
        </w:rPr>
        <w:t>‘Activity Patterns of the Mediterranean Monk Seal (</w:t>
      </w:r>
      <w:r w:rsidRPr="009978E3">
        <w:rPr>
          <w:i/>
          <w:color w:val="000000"/>
          <w:sz w:val="22"/>
          <w:szCs w:val="22"/>
          <w:shd w:val="clear" w:color="auto" w:fill="FFFFFF"/>
        </w:rPr>
        <w:t>Monachus monachus</w:t>
      </w:r>
      <w:r w:rsidRPr="009978E3">
        <w:rPr>
          <w:color w:val="000000"/>
          <w:sz w:val="22"/>
          <w:szCs w:val="22"/>
          <w:shd w:val="clear" w:color="auto" w:fill="FFFFFF"/>
        </w:rPr>
        <w:t>) in the Archipelago of Madeira’. Aquatic Mammals, 33(3): 327-336.</w:t>
      </w:r>
    </w:p>
    <w:p w14:paraId="4D73ADF9" w14:textId="77777777" w:rsidR="006B3F46" w:rsidRPr="009978E3" w:rsidRDefault="006B3F46" w:rsidP="00907941">
      <w:pPr>
        <w:ind w:left="720" w:hanging="720"/>
        <w:jc w:val="both"/>
        <w:rPr>
          <w:color w:val="000000"/>
          <w:sz w:val="22"/>
          <w:szCs w:val="22"/>
          <w:shd w:val="clear" w:color="auto" w:fill="FFFFFF"/>
        </w:rPr>
      </w:pPr>
      <w:r w:rsidRPr="009978E3">
        <w:rPr>
          <w:color w:val="000000"/>
          <w:sz w:val="22"/>
          <w:szCs w:val="22"/>
          <w:shd w:val="clear" w:color="auto" w:fill="FFFFFF"/>
          <w:lang w:val="pt-PT"/>
        </w:rPr>
        <w:t xml:space="preserve">Pires, R., Costa Neves, H. &amp; A. Karamanlidis, (2008). </w:t>
      </w:r>
      <w:r w:rsidRPr="009978E3">
        <w:rPr>
          <w:color w:val="000000"/>
          <w:sz w:val="22"/>
          <w:szCs w:val="22"/>
          <w:shd w:val="clear" w:color="auto" w:fill="FFFFFF"/>
        </w:rPr>
        <w:t xml:space="preserve">‘The Critically Endangered Mediterranean monk seal </w:t>
      </w:r>
      <w:r w:rsidRPr="009978E3">
        <w:rPr>
          <w:i/>
          <w:color w:val="000000"/>
          <w:sz w:val="22"/>
          <w:szCs w:val="22"/>
          <w:shd w:val="clear" w:color="auto" w:fill="FFFFFF"/>
        </w:rPr>
        <w:t>Monachus monachus</w:t>
      </w:r>
      <w:r w:rsidRPr="009978E3">
        <w:rPr>
          <w:color w:val="000000"/>
          <w:sz w:val="22"/>
          <w:szCs w:val="22"/>
          <w:shd w:val="clear" w:color="auto" w:fill="FFFFFF"/>
        </w:rPr>
        <w:t xml:space="preserve"> in the archipelago of Madeira: priorities for conservation’, Oryx, 42(2): 278– 285.</w:t>
      </w:r>
    </w:p>
    <w:p w14:paraId="69E61A86" w14:textId="77777777" w:rsidR="006B3F46" w:rsidRPr="00F66EF7" w:rsidRDefault="006B3F46" w:rsidP="00907941">
      <w:pPr>
        <w:ind w:left="720" w:hanging="720"/>
        <w:jc w:val="both"/>
        <w:rPr>
          <w:color w:val="000000"/>
          <w:sz w:val="22"/>
          <w:szCs w:val="22"/>
          <w:lang w:eastAsia="en-GB"/>
        </w:rPr>
      </w:pPr>
      <w:r w:rsidRPr="009978E3">
        <w:rPr>
          <w:color w:val="000000"/>
          <w:sz w:val="22"/>
          <w:szCs w:val="22"/>
          <w:lang w:val="pt-PT" w:eastAsia="en-GB"/>
        </w:rPr>
        <w:t xml:space="preserve">Ramírez, I., Paiva, V., Menezes, D., Silva, I., Phillips, R., Ramos, J., Garthe, S., (2013). </w:t>
      </w:r>
      <w:r w:rsidRPr="009978E3">
        <w:rPr>
          <w:color w:val="000000"/>
          <w:sz w:val="22"/>
          <w:szCs w:val="22"/>
          <w:lang w:eastAsia="en-GB"/>
        </w:rPr>
        <w:t xml:space="preserve">Year-round distribution and habitat preferences of the Bugio petrel. Marine Ecology Progress Series 476, 269–284. </w:t>
      </w:r>
      <w:hyperlink r:id="rId209" w:history="1">
        <w:r w:rsidRPr="009978E3">
          <w:rPr>
            <w:rStyle w:val="Hyperlink"/>
            <w:color w:val="000000"/>
            <w:sz w:val="22"/>
            <w:szCs w:val="22"/>
            <w:lang w:eastAsia="en-GB"/>
          </w:rPr>
          <w:t>https://doi.org/10.3354/meps10083</w:t>
        </w:r>
      </w:hyperlink>
    </w:p>
    <w:p w14:paraId="3B946431" w14:textId="77777777" w:rsidR="006B3F46" w:rsidRPr="009978E3" w:rsidRDefault="006B3F46" w:rsidP="00907941">
      <w:pPr>
        <w:ind w:left="720" w:hanging="720"/>
        <w:jc w:val="both"/>
        <w:rPr>
          <w:color w:val="000000"/>
          <w:sz w:val="22"/>
          <w:szCs w:val="22"/>
          <w:lang w:val="pt-PT"/>
        </w:rPr>
      </w:pPr>
      <w:r w:rsidRPr="009978E3">
        <w:rPr>
          <w:color w:val="000000"/>
          <w:sz w:val="22"/>
          <w:szCs w:val="22"/>
        </w:rPr>
        <w:t xml:space="preserve">Rodríguez, A., Arcos, J.M., Bretagnolle, V., Dias, M.P., Holmes, N.D., Louzao, M., Provencher, J., Raine, A.F., Ramírez, F., Rodríguez, B., Ronconi, R.A., Taylor, R.S., Bonnaud, E., Borrelle, S.B., Cortés, V., Descamps, S., Friesen, V.L., Genovart, M., Hedd, A., Hodum, P., Humphries, G.R.W., Le Corre, M., Lebarbenchon, C., Martin, R., Melvin, E.F., Montevecchi, W.A., Pinet, P., Pollet, I.L., Ramos, R., Russell, J.C., Ryan, P.G., Sanz-Aguilar, A., Spatz, D.R., Travers, M., Votier, S.C., Wanless, R.M., Woehler, E., Chiaradia, A., (2019). Future Directions in Conservation Research on Petrels and Shearwaters. Front. </w:t>
      </w:r>
      <w:r w:rsidRPr="009978E3">
        <w:rPr>
          <w:color w:val="000000"/>
          <w:sz w:val="22"/>
          <w:szCs w:val="22"/>
          <w:lang w:val="pt-PT"/>
        </w:rPr>
        <w:t xml:space="preserve">Mar. Sci. 6. </w:t>
      </w:r>
      <w:hyperlink r:id="rId210" w:history="1">
        <w:r w:rsidRPr="009978E3">
          <w:rPr>
            <w:rStyle w:val="Hyperlink"/>
            <w:color w:val="000000"/>
            <w:sz w:val="22"/>
            <w:szCs w:val="22"/>
            <w:lang w:val="pt-PT"/>
          </w:rPr>
          <w:t>https://doi.org/10.3389/fmars.2019.00094</w:t>
        </w:r>
      </w:hyperlink>
      <w:r w:rsidRPr="00F66EF7">
        <w:rPr>
          <w:color w:val="000000"/>
          <w:sz w:val="22"/>
          <w:szCs w:val="22"/>
          <w:lang w:val="pt-PT"/>
        </w:rPr>
        <w:t xml:space="preserve">  </w:t>
      </w:r>
    </w:p>
    <w:p w14:paraId="46D479A7" w14:textId="77777777" w:rsidR="006B3F46" w:rsidRPr="009978E3" w:rsidRDefault="006B3F46" w:rsidP="00907941">
      <w:pPr>
        <w:ind w:left="720" w:hanging="720"/>
        <w:jc w:val="both"/>
        <w:rPr>
          <w:color w:val="000000"/>
          <w:sz w:val="22"/>
          <w:szCs w:val="22"/>
          <w:lang w:val="pt-PT" w:eastAsia="en-GB"/>
        </w:rPr>
      </w:pPr>
      <w:r w:rsidRPr="009978E3">
        <w:rPr>
          <w:color w:val="000000"/>
          <w:sz w:val="22"/>
          <w:szCs w:val="22"/>
          <w:lang w:val="pt-PT"/>
        </w:rPr>
        <w:t xml:space="preserve">Silva, M., Catry, P., Menezes, D., Zino, F., Viveiros, C., Camara, J., Gouveia, P., Gomes, J., Catry, T., Granadeiro, J.P. (2019). </w:t>
      </w:r>
      <w:r w:rsidRPr="009978E3">
        <w:rPr>
          <w:color w:val="000000"/>
          <w:sz w:val="22"/>
          <w:szCs w:val="22"/>
        </w:rPr>
        <w:t>Mechanisms of breeding asynchrony in sympatric Portuguese seabirds, the endangered Zino’s Petrel (</w:t>
      </w:r>
      <w:r w:rsidRPr="009978E3">
        <w:rPr>
          <w:i/>
          <w:color w:val="000000"/>
          <w:sz w:val="22"/>
          <w:szCs w:val="22"/>
        </w:rPr>
        <w:t>Pterodroma madeira</w:t>
      </w:r>
      <w:r w:rsidRPr="009978E3">
        <w:rPr>
          <w:color w:val="000000"/>
          <w:sz w:val="22"/>
          <w:szCs w:val="22"/>
        </w:rPr>
        <w:t>) and Deserta´s Petrel (</w:t>
      </w:r>
      <w:r w:rsidRPr="009978E3">
        <w:rPr>
          <w:i/>
          <w:color w:val="000000"/>
          <w:sz w:val="22"/>
          <w:szCs w:val="22"/>
        </w:rPr>
        <w:t>Pterodroma deserta</w:t>
      </w:r>
      <w:r w:rsidRPr="009978E3">
        <w:rPr>
          <w:color w:val="000000"/>
          <w:sz w:val="22"/>
          <w:szCs w:val="22"/>
        </w:rPr>
        <w:t xml:space="preserve">). in SPEA (2019) (Eds). </w:t>
      </w:r>
      <w:r w:rsidRPr="009978E3">
        <w:rPr>
          <w:color w:val="000000"/>
          <w:sz w:val="22"/>
          <w:szCs w:val="22"/>
          <w:lang w:val="pt-PT"/>
        </w:rPr>
        <w:t>Livro de Resumos do X Congresso de Ornitologia da SPEA – 1.ª edição. Sociedade Portuguesa para o Estudo das Aves, Lisboa</w:t>
      </w:r>
    </w:p>
    <w:p w14:paraId="604BCAF1" w14:textId="77777777" w:rsidR="006B3F46" w:rsidRPr="009978E3" w:rsidRDefault="006B3F46" w:rsidP="00907941">
      <w:pPr>
        <w:rPr>
          <w:rFonts w:eastAsia="MS Mincho"/>
          <w:b/>
          <w:color w:val="000000"/>
          <w:sz w:val="22"/>
          <w:szCs w:val="22"/>
          <w:lang w:val="pt-PT"/>
        </w:rPr>
      </w:pPr>
    </w:p>
    <w:p w14:paraId="56B56022" w14:textId="77777777" w:rsidR="006B3F46" w:rsidRPr="009978E3" w:rsidRDefault="006B3F46" w:rsidP="00907941">
      <w:pPr>
        <w:rPr>
          <w:rFonts w:eastAsia="MS Mincho"/>
          <w:b/>
          <w:color w:val="000000"/>
          <w:sz w:val="22"/>
          <w:szCs w:val="22"/>
          <w:lang w:val="pt-PT"/>
        </w:rPr>
      </w:pPr>
      <w:r>
        <w:rPr>
          <w:rFonts w:eastAsia="MS Mincho"/>
          <w:b/>
          <w:color w:val="000000"/>
          <w:sz w:val="22"/>
          <w:szCs w:val="22"/>
          <w:lang w:val="pt-PT"/>
        </w:rPr>
        <w:br w:type="page"/>
      </w:r>
    </w:p>
    <w:p w14:paraId="0735D75D" w14:textId="77777777" w:rsidR="006B3F46" w:rsidRDefault="006B3F46" w:rsidP="00907941">
      <w:pPr>
        <w:rPr>
          <w:rFonts w:eastAsia="MS Mincho"/>
          <w:b/>
          <w:color w:val="000000"/>
          <w:sz w:val="22"/>
          <w:szCs w:val="22"/>
          <w:lang w:val="en-US"/>
        </w:rPr>
      </w:pPr>
      <w:r w:rsidRPr="009978E3">
        <w:rPr>
          <w:rFonts w:eastAsia="MS Mincho"/>
          <w:b/>
          <w:color w:val="000000"/>
          <w:sz w:val="22"/>
          <w:szCs w:val="22"/>
          <w:lang w:val="en-US"/>
        </w:rPr>
        <w:t>Maps and Figures</w:t>
      </w:r>
    </w:p>
    <w:p w14:paraId="3793CA8D" w14:textId="77777777" w:rsidR="006B3F46" w:rsidRDefault="006B3F46" w:rsidP="00907941">
      <w:pPr>
        <w:rPr>
          <w:rFonts w:eastAsia="MS Mincho"/>
          <w:b/>
          <w:color w:val="000000"/>
          <w:sz w:val="22"/>
          <w:szCs w:val="22"/>
          <w:lang w:val="en-US"/>
        </w:rPr>
      </w:pPr>
    </w:p>
    <w:p w14:paraId="3BCE4CCE" w14:textId="77777777" w:rsidR="006B3F46" w:rsidRDefault="009E53BE" w:rsidP="00907941">
      <w:pPr>
        <w:rPr>
          <w:rFonts w:eastAsia="MS Mincho"/>
          <w:b/>
          <w:color w:val="000000"/>
          <w:sz w:val="22"/>
          <w:szCs w:val="22"/>
          <w:lang w:val="en-US"/>
        </w:rPr>
      </w:pPr>
      <w:r>
        <w:pict w14:anchorId="42819DCE">
          <v:shape id="_x0000_i1107" type="#_x0000_t75" style="width:6in;height:6in">
            <v:imagedata r:id="rId211" o:title=""/>
          </v:shape>
        </w:pict>
      </w:r>
    </w:p>
    <w:p w14:paraId="74653C8C" w14:textId="77777777" w:rsidR="006B3F46" w:rsidRDefault="006B3F46" w:rsidP="00907941">
      <w:pPr>
        <w:rPr>
          <w:rFonts w:eastAsia="MS Mincho"/>
          <w:b/>
          <w:color w:val="000000"/>
          <w:sz w:val="22"/>
          <w:szCs w:val="22"/>
          <w:lang w:val="en-US"/>
        </w:rPr>
      </w:pPr>
    </w:p>
    <w:p w14:paraId="39F405FE" w14:textId="175D6858" w:rsidR="006B3F46" w:rsidRPr="009978E3" w:rsidRDefault="006B3F46" w:rsidP="002E4B39">
      <w:pPr>
        <w:jc w:val="center"/>
        <w:rPr>
          <w:rFonts w:eastAsia="MS Mincho"/>
          <w:bCs/>
          <w:color w:val="000000"/>
          <w:sz w:val="22"/>
          <w:szCs w:val="22"/>
          <w:lang w:val="en-US"/>
        </w:rPr>
      </w:pPr>
      <w:r w:rsidRPr="0021277B">
        <w:rPr>
          <w:rFonts w:eastAsia="MS Mincho"/>
          <w:b/>
          <w:bCs/>
          <w:color w:val="000000"/>
          <w:sz w:val="22"/>
          <w:szCs w:val="22"/>
          <w:lang w:val="en-US"/>
        </w:rPr>
        <w:t xml:space="preserve">Location of </w:t>
      </w:r>
      <w:r>
        <w:rPr>
          <w:rFonts w:eastAsia="MS Mincho"/>
          <w:b/>
          <w:bCs/>
          <w:color w:val="000000"/>
          <w:sz w:val="22"/>
          <w:szCs w:val="22"/>
          <w:lang w:val="en-US"/>
        </w:rPr>
        <w:t>a</w:t>
      </w:r>
      <w:r w:rsidRPr="0021277B">
        <w:rPr>
          <w:rFonts w:eastAsia="MS Mincho"/>
          <w:b/>
          <w:bCs/>
          <w:color w:val="000000"/>
          <w:sz w:val="22"/>
          <w:szCs w:val="22"/>
          <w:lang w:val="en-US"/>
        </w:rPr>
        <w:t>rea no. 7: Desertas</w:t>
      </w:r>
    </w:p>
    <w:p w14:paraId="6196A72E" w14:textId="77777777" w:rsidR="006B3F46" w:rsidRPr="0021277B" w:rsidRDefault="009E53BE" w:rsidP="00907941">
      <w:pPr>
        <w:rPr>
          <w:color w:val="000000"/>
          <w:sz w:val="22"/>
          <w:szCs w:val="22"/>
        </w:rPr>
      </w:pPr>
      <w:r>
        <w:rPr>
          <w:noProof/>
          <w:color w:val="000000"/>
          <w:sz w:val="22"/>
          <w:szCs w:val="22"/>
          <w:lang w:eastAsia="en-GB"/>
        </w:rPr>
        <w:pict w14:anchorId="018FCE6B">
          <v:shape id="_x0000_i1108" type="#_x0000_t75" alt="he location of the Desertas Islands Nature Reserve and the protected area at São Lourenço, in the archipelago of Madeira, with locations of the 16 individually coded caves that we consider offer good pupping conditions under all weather conditions (AW), or good pupping conditions only during calm weather (CW) (see text for details). " style="width:4in;height:9in;visibility:visible">
            <v:imagedata r:id="rId212" o:title="he location of the Desertas Islands Nature Reserve and the protected area at São Lourenço, in the archipelago of Madeira, with locations of the 16 individually coded caves that we consider offer good pupping conditions under all weather conditions (AW), o"/>
          </v:shape>
        </w:pict>
      </w:r>
    </w:p>
    <w:p w14:paraId="6B987B9B" w14:textId="77777777" w:rsidR="006B3F46" w:rsidRPr="00F66EF7" w:rsidRDefault="006B3F46" w:rsidP="00907941">
      <w:pPr>
        <w:rPr>
          <w:rFonts w:eastAsia="MS Mincho"/>
          <w:bCs/>
          <w:color w:val="000000"/>
          <w:sz w:val="22"/>
          <w:szCs w:val="22"/>
          <w:lang w:val="en-US"/>
        </w:rPr>
      </w:pPr>
    </w:p>
    <w:p w14:paraId="53CAD8BA" w14:textId="77777777" w:rsidR="006B3F46" w:rsidRPr="009978E3" w:rsidRDefault="006B3F46" w:rsidP="00907941">
      <w:pPr>
        <w:jc w:val="both"/>
        <w:rPr>
          <w:rFonts w:eastAsia="MS Mincho"/>
          <w:bCs/>
          <w:color w:val="000000"/>
          <w:sz w:val="22"/>
          <w:szCs w:val="22"/>
          <w:lang w:val="en-US"/>
        </w:rPr>
      </w:pPr>
      <w:r w:rsidRPr="009978E3">
        <w:rPr>
          <w:rFonts w:eastAsia="MS Mincho"/>
          <w:bCs/>
          <w:color w:val="000000"/>
          <w:sz w:val="22"/>
          <w:szCs w:val="22"/>
          <w:lang w:val="en-US"/>
        </w:rPr>
        <w:t xml:space="preserve">Figure 2. The location of the Desertas Islands Nature Reserve and the protected area at São Lourenço, in the archipelago of Madeira, with locations of the 16 individually coded caves that offer good pupping conditions for the monk seal </w:t>
      </w:r>
      <w:r w:rsidRPr="009978E3">
        <w:rPr>
          <w:i/>
          <w:color w:val="000000"/>
          <w:sz w:val="22"/>
          <w:szCs w:val="22"/>
          <w:shd w:val="clear" w:color="auto" w:fill="FFFFFF"/>
        </w:rPr>
        <w:t>Monachus monachus</w:t>
      </w:r>
      <w:r w:rsidRPr="009978E3">
        <w:rPr>
          <w:rFonts w:eastAsia="MS Mincho"/>
          <w:bCs/>
          <w:color w:val="000000"/>
          <w:sz w:val="22"/>
          <w:szCs w:val="22"/>
          <w:lang w:val="en-US"/>
        </w:rPr>
        <w:t xml:space="preserve"> under all weather conditions (AW), or good pupping conditions only during calm weather (CW) (</w:t>
      </w:r>
      <w:r w:rsidRPr="009978E3">
        <w:rPr>
          <w:color w:val="000000"/>
          <w:sz w:val="22"/>
          <w:szCs w:val="22"/>
          <w:shd w:val="clear" w:color="auto" w:fill="FFFFFF"/>
        </w:rPr>
        <w:t xml:space="preserve">Karamanlidis </w:t>
      </w:r>
      <w:r w:rsidRPr="0006066A">
        <w:rPr>
          <w:i/>
          <w:color w:val="000000"/>
          <w:sz w:val="22"/>
          <w:szCs w:val="22"/>
          <w:shd w:val="clear" w:color="auto" w:fill="FFFFFF"/>
        </w:rPr>
        <w:t>et al</w:t>
      </w:r>
      <w:r w:rsidRPr="009978E3">
        <w:rPr>
          <w:color w:val="000000"/>
          <w:sz w:val="22"/>
          <w:szCs w:val="22"/>
          <w:shd w:val="clear" w:color="auto" w:fill="FFFFFF"/>
        </w:rPr>
        <w:t>. 2004</w:t>
      </w:r>
      <w:r w:rsidRPr="009978E3">
        <w:rPr>
          <w:rFonts w:eastAsia="MS Mincho"/>
          <w:bCs/>
          <w:color w:val="000000"/>
          <w:sz w:val="22"/>
          <w:szCs w:val="22"/>
          <w:lang w:val="en-US"/>
        </w:rPr>
        <w:t>).</w:t>
      </w:r>
    </w:p>
    <w:p w14:paraId="27E9354F" w14:textId="77777777" w:rsidR="006B3F46" w:rsidRPr="009978E3" w:rsidRDefault="006B3F46" w:rsidP="00907941">
      <w:pPr>
        <w:jc w:val="center"/>
        <w:rPr>
          <w:rFonts w:eastAsia="MS Mincho"/>
          <w:b/>
          <w:sz w:val="22"/>
          <w:szCs w:val="22"/>
          <w:lang w:val="en-US"/>
        </w:rPr>
      </w:pPr>
      <w:r w:rsidRPr="009978E3">
        <w:rPr>
          <w:rFonts w:eastAsia="MS Mincho"/>
          <w:bCs/>
          <w:color w:val="000000"/>
          <w:sz w:val="22"/>
          <w:szCs w:val="22"/>
          <w:lang w:val="en-US"/>
        </w:rPr>
        <w:br w:type="page"/>
      </w:r>
      <w:r w:rsidRPr="009978E3">
        <w:rPr>
          <w:rFonts w:eastAsia="MS Mincho"/>
          <w:b/>
          <w:sz w:val="22"/>
          <w:szCs w:val="22"/>
          <w:lang w:val="en-US"/>
        </w:rPr>
        <w:t>Area no. 8: Oceanic Islands and Seamounts of the Canary Region</w:t>
      </w:r>
    </w:p>
    <w:p w14:paraId="260B5FA2"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 xml:space="preserve">Abstract </w:t>
      </w:r>
    </w:p>
    <w:p w14:paraId="1D608532" w14:textId="77777777" w:rsidR="006B3F46" w:rsidRPr="009978E3" w:rsidRDefault="006B3F46" w:rsidP="002E4B39">
      <w:pPr>
        <w:suppressLineNumbers/>
        <w:spacing w:after="120"/>
        <w:jc w:val="both"/>
        <w:rPr>
          <w:sz w:val="22"/>
          <w:szCs w:val="22"/>
          <w:lang w:val="en-US"/>
        </w:rPr>
      </w:pPr>
      <w:r w:rsidRPr="009978E3">
        <w:rPr>
          <w:rFonts w:eastAsia="Calibri"/>
          <w:sz w:val="22"/>
          <w:szCs w:val="22"/>
          <w:lang w:val="en-US"/>
        </w:rPr>
        <w:t xml:space="preserve">The area around the Canary Islands includes a set of islands and seamounts influenced by magma-driven processes over tens of millions of years over the Canary hotspot. The archipelago is made up of seven major islands, a group of islets in the northeast and </w:t>
      </w:r>
      <w:r>
        <w:rPr>
          <w:rFonts w:eastAsia="Calibri"/>
          <w:sz w:val="22"/>
          <w:szCs w:val="22"/>
          <w:lang w:val="en-US"/>
        </w:rPr>
        <w:t>three</w:t>
      </w:r>
      <w:r w:rsidRPr="009978E3">
        <w:rPr>
          <w:rFonts w:eastAsia="Calibri"/>
          <w:sz w:val="22"/>
          <w:szCs w:val="22"/>
          <w:lang w:val="en-US"/>
        </w:rPr>
        <w:t xml:space="preserve"> seamount</w:t>
      </w:r>
      <w:r>
        <w:rPr>
          <w:rFonts w:eastAsia="Calibri"/>
          <w:sz w:val="22"/>
          <w:szCs w:val="22"/>
          <w:lang w:val="en-US"/>
        </w:rPr>
        <w:t xml:space="preserve"> fields:</w:t>
      </w:r>
      <w:r w:rsidRPr="009978E3">
        <w:rPr>
          <w:rFonts w:eastAsia="Calibri"/>
          <w:sz w:val="22"/>
          <w:szCs w:val="22"/>
          <w:lang w:val="en-US"/>
        </w:rPr>
        <w:t xml:space="preserve"> one in the northeast of the archipelago, one in the southwest and another between the islands. Some of these seamounts (Concepción Bank, El Banquete and Amanay) as well as coastal areas of the Canary region have been intensively studied. </w:t>
      </w:r>
      <w:r>
        <w:rPr>
          <w:rFonts w:eastAsia="Calibri"/>
          <w:sz w:val="22"/>
          <w:szCs w:val="22"/>
          <w:lang w:val="en-US"/>
        </w:rPr>
        <w:t>Thirty-nine</w:t>
      </w:r>
      <w:r w:rsidRPr="009978E3">
        <w:rPr>
          <w:rFonts w:eastAsia="Calibri"/>
          <w:sz w:val="22"/>
          <w:szCs w:val="22"/>
          <w:lang w:val="en-US"/>
        </w:rPr>
        <w:t xml:space="preserve"> marine Special Areas of Conservation</w:t>
      </w:r>
      <w:r>
        <w:rPr>
          <w:rFonts w:eastAsia="Calibri"/>
          <w:sz w:val="22"/>
          <w:szCs w:val="22"/>
          <w:lang w:val="en-US"/>
        </w:rPr>
        <w:t xml:space="preserve"> and</w:t>
      </w:r>
      <w:r w:rsidRPr="009978E3">
        <w:rPr>
          <w:rFonts w:eastAsia="Calibri"/>
          <w:sz w:val="22"/>
          <w:szCs w:val="22"/>
          <w:lang w:val="en-US"/>
        </w:rPr>
        <w:t xml:space="preserve"> two </w:t>
      </w:r>
      <w:r w:rsidRPr="000A3C9E">
        <w:rPr>
          <w:snapToGrid w:val="0"/>
          <w:kern w:val="22"/>
          <w:sz w:val="22"/>
          <w:szCs w:val="22"/>
        </w:rPr>
        <w:t>Site</w:t>
      </w:r>
      <w:r>
        <w:rPr>
          <w:snapToGrid w:val="0"/>
          <w:kern w:val="22"/>
          <w:sz w:val="22"/>
          <w:szCs w:val="22"/>
        </w:rPr>
        <w:t>s</w:t>
      </w:r>
      <w:r w:rsidRPr="000A3C9E">
        <w:rPr>
          <w:snapToGrid w:val="0"/>
          <w:kern w:val="22"/>
          <w:sz w:val="22"/>
          <w:szCs w:val="22"/>
        </w:rPr>
        <w:t xml:space="preserve"> of Community </w:t>
      </w:r>
      <w:r>
        <w:rPr>
          <w:snapToGrid w:val="0"/>
          <w:kern w:val="22"/>
          <w:sz w:val="22"/>
          <w:szCs w:val="22"/>
        </w:rPr>
        <w:t>Importance</w:t>
      </w:r>
      <w:r w:rsidRPr="000A3C9E">
        <w:rPr>
          <w:snapToGrid w:val="0"/>
          <w:kern w:val="22"/>
          <w:sz w:val="22"/>
          <w:szCs w:val="22"/>
        </w:rPr>
        <w:t xml:space="preserve"> </w:t>
      </w:r>
      <w:r>
        <w:rPr>
          <w:snapToGrid w:val="0"/>
          <w:kern w:val="22"/>
          <w:sz w:val="22"/>
          <w:szCs w:val="22"/>
        </w:rPr>
        <w:t xml:space="preserve">(both </w:t>
      </w:r>
      <w:r>
        <w:rPr>
          <w:rFonts w:eastAsia="MS Mincho"/>
          <w:sz w:val="22"/>
          <w:szCs w:val="22"/>
          <w:lang w:val="en-US"/>
        </w:rPr>
        <w:t xml:space="preserve">under the </w:t>
      </w:r>
      <w:r w:rsidRPr="00055823">
        <w:rPr>
          <w:rFonts w:eastAsia="MS Mincho"/>
          <w:sz w:val="22"/>
          <w:szCs w:val="22"/>
          <w:lang w:val="en-US"/>
        </w:rPr>
        <w:t>Natura 2000 network</w:t>
      </w:r>
      <w:r>
        <w:rPr>
          <w:rFonts w:eastAsia="MS Mincho"/>
          <w:sz w:val="22"/>
          <w:szCs w:val="22"/>
          <w:lang w:val="en-US"/>
        </w:rPr>
        <w:t xml:space="preserve">), </w:t>
      </w:r>
      <w:r>
        <w:rPr>
          <w:rFonts w:eastAsia="Calibri"/>
          <w:sz w:val="22"/>
          <w:szCs w:val="22"/>
          <w:lang w:val="en-US"/>
        </w:rPr>
        <w:t>as well as</w:t>
      </w:r>
      <w:r w:rsidRPr="009978E3">
        <w:rPr>
          <w:rFonts w:eastAsia="Calibri"/>
          <w:sz w:val="22"/>
          <w:szCs w:val="22"/>
          <w:lang w:val="en-US"/>
        </w:rPr>
        <w:t xml:space="preserve"> three </w:t>
      </w:r>
      <w:r>
        <w:rPr>
          <w:rFonts w:eastAsia="Calibri"/>
          <w:sz w:val="22"/>
          <w:szCs w:val="22"/>
          <w:lang w:val="en-US"/>
        </w:rPr>
        <w:t>m</w:t>
      </w:r>
      <w:r w:rsidRPr="009978E3">
        <w:rPr>
          <w:rFonts w:eastAsia="Calibri"/>
          <w:sz w:val="22"/>
          <w:szCs w:val="22"/>
          <w:lang w:val="en-US"/>
        </w:rPr>
        <w:t xml:space="preserve">arine </w:t>
      </w:r>
      <w:r>
        <w:rPr>
          <w:rFonts w:eastAsia="Calibri"/>
          <w:sz w:val="22"/>
          <w:szCs w:val="22"/>
          <w:lang w:val="en-US"/>
        </w:rPr>
        <w:t>r</w:t>
      </w:r>
      <w:r w:rsidRPr="009978E3">
        <w:rPr>
          <w:rFonts w:eastAsia="Calibri"/>
          <w:sz w:val="22"/>
          <w:szCs w:val="22"/>
          <w:lang w:val="en-US"/>
        </w:rPr>
        <w:t>eserves are located in the area.</w:t>
      </w:r>
      <w:r w:rsidRPr="009978E3">
        <w:rPr>
          <w:rFonts w:eastAsia="MS Mincho"/>
          <w:sz w:val="22"/>
          <w:szCs w:val="22"/>
          <w:lang w:val="en-US"/>
        </w:rPr>
        <w:t xml:space="preserve"> This region, with its subtropical oceanographic conditions, represents the southern distribution limit for many pelagic and benthic species. </w:t>
      </w:r>
      <w:r>
        <w:rPr>
          <w:sz w:val="22"/>
          <w:szCs w:val="22"/>
          <w:lang w:val="en-US"/>
        </w:rPr>
        <w:t>It</w:t>
      </w:r>
      <w:r w:rsidRPr="009978E3">
        <w:rPr>
          <w:sz w:val="22"/>
          <w:szCs w:val="22"/>
          <w:lang w:val="en-US"/>
        </w:rPr>
        <w:t xml:space="preserve"> includes a variety of benthic habitats, including </w:t>
      </w:r>
      <w:r>
        <w:rPr>
          <w:sz w:val="22"/>
          <w:szCs w:val="22"/>
          <w:lang w:val="en-US"/>
        </w:rPr>
        <w:t>some</w:t>
      </w:r>
      <w:r w:rsidRPr="009978E3">
        <w:rPr>
          <w:sz w:val="22"/>
          <w:szCs w:val="22"/>
          <w:lang w:val="en-US"/>
        </w:rPr>
        <w:t xml:space="preserve"> that are considered hotspots of biodiversity. </w:t>
      </w:r>
      <w:r w:rsidRPr="004C68B8">
        <w:rPr>
          <w:snapToGrid w:val="0"/>
          <w:kern w:val="22"/>
          <w:sz w:val="22"/>
          <w:szCs w:val="22"/>
        </w:rPr>
        <w:t>These habitats serve as spawning grounds for several commercial species</w:t>
      </w:r>
      <w:r>
        <w:rPr>
          <w:snapToGrid w:val="0"/>
          <w:kern w:val="22"/>
          <w:sz w:val="22"/>
          <w:szCs w:val="22"/>
        </w:rPr>
        <w:t xml:space="preserve">. The area also includes </w:t>
      </w:r>
      <w:r w:rsidRPr="004C68B8">
        <w:rPr>
          <w:snapToGrid w:val="0"/>
          <w:kern w:val="22"/>
          <w:sz w:val="22"/>
          <w:szCs w:val="22"/>
        </w:rPr>
        <w:t>habitats for endangered, threatened and declining species and for migratory pelagic species, including cetaceans.</w:t>
      </w:r>
    </w:p>
    <w:p w14:paraId="03AB665A"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61823388" w14:textId="77777777" w:rsidR="006B3F46" w:rsidRPr="009978E3" w:rsidRDefault="006B3F46" w:rsidP="002E4B39">
      <w:pPr>
        <w:suppressLineNumbers/>
        <w:spacing w:after="120"/>
        <w:jc w:val="both"/>
        <w:rPr>
          <w:rFonts w:eastAsia="Calibri"/>
          <w:sz w:val="22"/>
          <w:szCs w:val="22"/>
          <w:lang w:val="en-US"/>
        </w:rPr>
      </w:pPr>
      <w:r w:rsidRPr="009978E3">
        <w:rPr>
          <w:rFonts w:eastAsia="Calibri"/>
          <w:sz w:val="22"/>
          <w:szCs w:val="22"/>
          <w:lang w:val="en-US"/>
        </w:rPr>
        <w:t xml:space="preserve">The area around the Canary Islands includes a set of islands and seamounts </w:t>
      </w:r>
      <w:r>
        <w:rPr>
          <w:rFonts w:eastAsia="Calibri"/>
          <w:sz w:val="22"/>
          <w:szCs w:val="22"/>
          <w:lang w:val="en-US"/>
        </w:rPr>
        <w:t>influenced by</w:t>
      </w:r>
      <w:r w:rsidRPr="009978E3">
        <w:rPr>
          <w:rFonts w:eastAsia="Calibri"/>
          <w:sz w:val="22"/>
          <w:szCs w:val="22"/>
          <w:lang w:val="en-US"/>
        </w:rPr>
        <w:t xml:space="preserve"> magma-driven processes over tens of millions of years over the Canary hotspot. This subtropical region is located 100 km off the northwestern coast of Africa. Due to its proximity to Africa and the Sahara Desert, the archipelago is in</w:t>
      </w:r>
      <w:r w:rsidRPr="009978E3">
        <w:rPr>
          <w:rFonts w:eastAsia="Calibri"/>
          <w:sz w:val="22"/>
          <w:szCs w:val="22"/>
          <w:lang w:val="es-ES"/>
        </w:rPr>
        <w:t>ﬂ</w:t>
      </w:r>
      <w:r w:rsidRPr="009978E3">
        <w:rPr>
          <w:rFonts w:eastAsia="Calibri"/>
          <w:sz w:val="22"/>
          <w:szCs w:val="22"/>
          <w:lang w:val="en-US"/>
        </w:rPr>
        <w:t xml:space="preserve">uenced by coastal upwelling that produces complex mesoscale variation in temperature and organic matter (Arístegui </w:t>
      </w:r>
      <w:r w:rsidRPr="0006066A">
        <w:rPr>
          <w:rFonts w:eastAsia="Calibri"/>
          <w:i/>
          <w:sz w:val="22"/>
          <w:szCs w:val="22"/>
          <w:lang w:val="en-US"/>
        </w:rPr>
        <w:t>et al</w:t>
      </w:r>
      <w:r w:rsidRPr="009978E3">
        <w:rPr>
          <w:rFonts w:eastAsia="Calibri"/>
          <w:sz w:val="22"/>
          <w:szCs w:val="22"/>
          <w:lang w:val="en-US"/>
        </w:rPr>
        <w:t xml:space="preserve">., 2009). The archipelago </w:t>
      </w:r>
      <w:r>
        <w:rPr>
          <w:rFonts w:eastAsia="Calibri"/>
          <w:sz w:val="22"/>
          <w:szCs w:val="22"/>
          <w:lang w:val="en-US"/>
        </w:rPr>
        <w:t>comprises</w:t>
      </w:r>
      <w:r w:rsidRPr="009978E3">
        <w:rPr>
          <w:rFonts w:eastAsia="Calibri"/>
          <w:sz w:val="22"/>
          <w:szCs w:val="22"/>
          <w:lang w:val="en-US"/>
        </w:rPr>
        <w:t xml:space="preserve"> seven major islands, a group of islets in the northeast and</w:t>
      </w:r>
      <w:r>
        <w:rPr>
          <w:rFonts w:eastAsia="Calibri"/>
          <w:sz w:val="22"/>
          <w:szCs w:val="22"/>
          <w:lang w:val="en-US"/>
        </w:rPr>
        <w:t>three</w:t>
      </w:r>
      <w:r w:rsidRPr="009978E3">
        <w:rPr>
          <w:rFonts w:eastAsia="Calibri"/>
          <w:sz w:val="22"/>
          <w:szCs w:val="22"/>
          <w:lang w:val="en-US"/>
        </w:rPr>
        <w:t xml:space="preserve"> seamounts</w:t>
      </w:r>
      <w:r>
        <w:rPr>
          <w:rFonts w:eastAsia="Calibri"/>
          <w:sz w:val="22"/>
          <w:szCs w:val="22"/>
          <w:lang w:val="en-US"/>
        </w:rPr>
        <w:t xml:space="preserve"> fields:</w:t>
      </w:r>
      <w:r w:rsidRPr="009978E3">
        <w:rPr>
          <w:rFonts w:eastAsia="Calibri"/>
          <w:sz w:val="22"/>
          <w:szCs w:val="22"/>
          <w:lang w:val="en-US"/>
        </w:rPr>
        <w:t xml:space="preserve"> one in the northeast of the archipelago, one in the southwest and another between the emerged islands. Some of these seamounts (Concepción Bank, El Banquete and Amanay) have been intensively studied over the years and even as a Site of Community Interest (SCI).</w:t>
      </w:r>
    </w:p>
    <w:p w14:paraId="20C31CF3" w14:textId="77777777" w:rsidR="006B3F46" w:rsidRPr="009978E3" w:rsidRDefault="006B3F46" w:rsidP="002E4B39">
      <w:pPr>
        <w:suppressLineNumbers/>
        <w:spacing w:after="120"/>
        <w:jc w:val="both"/>
        <w:rPr>
          <w:rFonts w:eastAsia="MS Mincho"/>
          <w:sz w:val="22"/>
          <w:szCs w:val="22"/>
          <w:lang w:val="en-US"/>
        </w:rPr>
      </w:pPr>
      <w:r w:rsidRPr="009978E3">
        <w:rPr>
          <w:rFonts w:eastAsia="Calibri"/>
          <w:sz w:val="22"/>
          <w:szCs w:val="22"/>
          <w:lang w:val="en-US"/>
        </w:rPr>
        <w:t xml:space="preserve">In total, the Canary Islands archipelago includes 39 marine Special Areas of Conservation, two </w:t>
      </w:r>
      <w:r>
        <w:rPr>
          <w:rFonts w:eastAsia="Calibri"/>
          <w:sz w:val="22"/>
          <w:szCs w:val="22"/>
          <w:lang w:val="en-US"/>
        </w:rPr>
        <w:t>Sites of Community Importance</w:t>
      </w:r>
      <w:r w:rsidRPr="009978E3">
        <w:rPr>
          <w:rFonts w:eastAsia="Calibri"/>
          <w:sz w:val="22"/>
          <w:szCs w:val="22"/>
          <w:lang w:val="en-US"/>
        </w:rPr>
        <w:t xml:space="preserve"> and three </w:t>
      </w:r>
      <w:r>
        <w:rPr>
          <w:rFonts w:eastAsia="Calibri"/>
          <w:sz w:val="22"/>
          <w:szCs w:val="22"/>
          <w:lang w:val="en-US"/>
        </w:rPr>
        <w:t>m</w:t>
      </w:r>
      <w:r w:rsidRPr="009978E3">
        <w:rPr>
          <w:rFonts w:eastAsia="Calibri"/>
          <w:sz w:val="22"/>
          <w:szCs w:val="22"/>
          <w:lang w:val="en-US"/>
        </w:rPr>
        <w:t xml:space="preserve">arine </w:t>
      </w:r>
      <w:r>
        <w:rPr>
          <w:rFonts w:eastAsia="Calibri"/>
          <w:sz w:val="22"/>
          <w:szCs w:val="22"/>
          <w:lang w:val="en-US"/>
        </w:rPr>
        <w:t>r</w:t>
      </w:r>
      <w:r w:rsidRPr="009978E3">
        <w:rPr>
          <w:rFonts w:eastAsia="Calibri"/>
          <w:sz w:val="22"/>
          <w:szCs w:val="22"/>
          <w:lang w:val="en-US"/>
        </w:rPr>
        <w:t>eserves; one of them, in the northeast of Lanzarote, is the largest marine reserve in Europe and covers 706.34 km</w:t>
      </w:r>
      <w:r w:rsidRPr="009978E3">
        <w:rPr>
          <w:rFonts w:eastAsia="Calibri"/>
          <w:sz w:val="22"/>
          <w:szCs w:val="22"/>
          <w:vertAlign w:val="superscript"/>
          <w:lang w:val="en-US"/>
        </w:rPr>
        <w:t>2</w:t>
      </w:r>
      <w:r w:rsidRPr="009978E3">
        <w:rPr>
          <w:rFonts w:eastAsia="Calibri"/>
          <w:sz w:val="22"/>
          <w:szCs w:val="22"/>
          <w:lang w:val="en-US"/>
        </w:rPr>
        <w:t xml:space="preserve">. Wave exposure also varies within the islands according to shoreline orientation. The northern and northeastern coasts of the islands are the most exposed to wave action due to dominant winds from the </w:t>
      </w:r>
      <w:r>
        <w:rPr>
          <w:rFonts w:eastAsia="Calibri"/>
          <w:sz w:val="22"/>
          <w:szCs w:val="22"/>
          <w:lang w:val="en-US"/>
        </w:rPr>
        <w:t>northeast</w:t>
      </w:r>
      <w:r w:rsidRPr="009978E3">
        <w:rPr>
          <w:rFonts w:eastAsia="Calibri"/>
          <w:sz w:val="22"/>
          <w:szCs w:val="22"/>
          <w:lang w:val="en-US"/>
        </w:rPr>
        <w:t xml:space="preserve"> and fetch (a measure of coastal exposure to wind and waves that corresponds to the length of water over which a given wind blows).</w:t>
      </w:r>
      <w:r>
        <w:rPr>
          <w:rFonts w:eastAsia="Calibri"/>
          <w:sz w:val="22"/>
          <w:szCs w:val="22"/>
          <w:lang w:val="en-US"/>
        </w:rPr>
        <w:t xml:space="preserve"> </w:t>
      </w:r>
      <w:r w:rsidRPr="009978E3">
        <w:rPr>
          <w:rFonts w:eastAsia="Calibri"/>
          <w:sz w:val="22"/>
          <w:szCs w:val="22"/>
          <w:lang w:val="en-US"/>
        </w:rPr>
        <w:t>Western–southwestern shores are more sheltered in comparison. The volcanic origin of the Canary Islands and associated geological processes mean the islands stand on narrow platforms</w:t>
      </w:r>
      <w:r>
        <w:rPr>
          <w:rFonts w:eastAsia="Calibri"/>
          <w:sz w:val="22"/>
          <w:szCs w:val="22"/>
          <w:lang w:val="en-US"/>
        </w:rPr>
        <w:t>, in between which</w:t>
      </w:r>
      <w:r w:rsidRPr="009978E3">
        <w:rPr>
          <w:rFonts w:eastAsia="Calibri"/>
          <w:sz w:val="22"/>
          <w:szCs w:val="22"/>
          <w:lang w:val="en-US"/>
        </w:rPr>
        <w:t xml:space="preserve"> </w:t>
      </w:r>
      <w:r>
        <w:rPr>
          <w:rFonts w:eastAsia="Calibri"/>
          <w:sz w:val="22"/>
          <w:szCs w:val="22"/>
          <w:lang w:val="en-US"/>
        </w:rPr>
        <w:t xml:space="preserve">the </w:t>
      </w:r>
      <w:r w:rsidRPr="009978E3">
        <w:rPr>
          <w:rFonts w:eastAsia="Calibri"/>
          <w:sz w:val="22"/>
          <w:szCs w:val="22"/>
          <w:lang w:val="en-US"/>
        </w:rPr>
        <w:t>waters reach</w:t>
      </w:r>
      <w:r>
        <w:rPr>
          <w:rFonts w:eastAsia="Calibri"/>
          <w:sz w:val="22"/>
          <w:szCs w:val="22"/>
          <w:lang w:val="en-US"/>
        </w:rPr>
        <w:t>es</w:t>
      </w:r>
      <w:r w:rsidRPr="009978E3">
        <w:rPr>
          <w:rFonts w:eastAsia="Calibri"/>
          <w:sz w:val="22"/>
          <w:szCs w:val="22"/>
          <w:lang w:val="en-US"/>
        </w:rPr>
        <w:t xml:space="preserve"> depths of up to 3000 m. The shallow seabed immediately surrounding the islands is characterized by a seascape of rocky platforms, large stones, pebbles and sandy patches. Erosion has generated a higher proportion of sandy or mixed substrates on the northern and eastern shores, especially around the two oldest islands of the archipelago, Lanzarote and Fuerteventura. By contrast, La Palma and El Hierro, the western islands, have narrower platforms and</w:t>
      </w:r>
      <w:r w:rsidRPr="009978E3">
        <w:rPr>
          <w:rFonts w:eastAsia="MS Mincho"/>
          <w:b/>
          <w:sz w:val="22"/>
          <w:szCs w:val="22"/>
          <w:lang w:val="en-US"/>
        </w:rPr>
        <w:t xml:space="preserve"> </w:t>
      </w:r>
      <w:r w:rsidRPr="009978E3">
        <w:rPr>
          <w:rFonts w:eastAsia="MS Mincho"/>
          <w:sz w:val="22"/>
          <w:szCs w:val="22"/>
          <w:lang w:val="en-US"/>
        </w:rPr>
        <w:t>are dominated by rocky bottoms.</w:t>
      </w:r>
    </w:p>
    <w:p w14:paraId="70F54E38" w14:textId="77777777" w:rsidR="006B3F46" w:rsidRPr="009978E3" w:rsidRDefault="006B3F46" w:rsidP="002E4B39">
      <w:pPr>
        <w:suppressLineNumbers/>
        <w:spacing w:after="120"/>
        <w:jc w:val="both"/>
        <w:rPr>
          <w:rFonts w:eastAsia="Calibri"/>
          <w:sz w:val="22"/>
          <w:szCs w:val="22"/>
          <w:lang w:val="en-US"/>
        </w:rPr>
      </w:pPr>
      <w:r w:rsidRPr="009978E3">
        <w:rPr>
          <w:rFonts w:eastAsia="Calibri"/>
          <w:sz w:val="22"/>
          <w:szCs w:val="22"/>
          <w:lang w:val="en-US"/>
        </w:rPr>
        <w:t>The geographic location of the Canary Islands archipelago and its lack of a continental shelf likely contribute</w:t>
      </w:r>
      <w:r>
        <w:rPr>
          <w:rFonts w:eastAsia="Calibri"/>
          <w:sz w:val="22"/>
          <w:szCs w:val="22"/>
          <w:lang w:val="en-US"/>
        </w:rPr>
        <w:t xml:space="preserve"> to</w:t>
      </w:r>
      <w:r w:rsidRPr="009978E3">
        <w:rPr>
          <w:rFonts w:eastAsia="Calibri"/>
          <w:sz w:val="22"/>
          <w:szCs w:val="22"/>
          <w:lang w:val="en-US"/>
        </w:rPr>
        <w:t xml:space="preserve"> its dissimilarity compared to other Spanish marine </w:t>
      </w:r>
      <w:r>
        <w:rPr>
          <w:rFonts w:eastAsia="Calibri"/>
          <w:sz w:val="22"/>
          <w:szCs w:val="22"/>
          <w:lang w:val="en-US"/>
        </w:rPr>
        <w:t>areas</w:t>
      </w:r>
      <w:r w:rsidRPr="009978E3">
        <w:rPr>
          <w:rFonts w:eastAsia="Calibri"/>
          <w:sz w:val="22"/>
          <w:szCs w:val="22"/>
          <w:lang w:val="en-US"/>
        </w:rPr>
        <w:t xml:space="preserve">. Moreover, this </w:t>
      </w:r>
      <w:r>
        <w:rPr>
          <w:rFonts w:eastAsia="Calibri"/>
          <w:sz w:val="22"/>
          <w:szCs w:val="22"/>
          <w:lang w:val="en-US"/>
        </w:rPr>
        <w:t>area</w:t>
      </w:r>
      <w:r w:rsidRPr="009978E3">
        <w:rPr>
          <w:rFonts w:eastAsia="Calibri"/>
          <w:sz w:val="22"/>
          <w:szCs w:val="22"/>
          <w:lang w:val="en-US"/>
        </w:rPr>
        <w:t xml:space="preserve"> is rich and diverse due to the effect of the Canary Current Large Marine Ecosystem (Arístegui </w:t>
      </w:r>
      <w:r w:rsidRPr="0006066A">
        <w:rPr>
          <w:rFonts w:eastAsia="Calibri"/>
          <w:i/>
          <w:sz w:val="22"/>
          <w:szCs w:val="22"/>
          <w:lang w:val="en-US"/>
        </w:rPr>
        <w:t>et al</w:t>
      </w:r>
      <w:r w:rsidRPr="009978E3">
        <w:rPr>
          <w:rFonts w:eastAsia="Calibri"/>
          <w:sz w:val="22"/>
          <w:szCs w:val="22"/>
          <w:lang w:val="en-US"/>
        </w:rPr>
        <w:t xml:space="preserve">., 2009; Hernández-Guerra </w:t>
      </w:r>
      <w:r w:rsidRPr="0006066A">
        <w:rPr>
          <w:rFonts w:eastAsia="Calibri"/>
          <w:i/>
          <w:sz w:val="22"/>
          <w:szCs w:val="22"/>
          <w:lang w:val="en-US"/>
        </w:rPr>
        <w:t>et al</w:t>
      </w:r>
      <w:r w:rsidRPr="009978E3">
        <w:rPr>
          <w:rFonts w:eastAsia="Calibri"/>
          <w:sz w:val="22"/>
          <w:szCs w:val="22"/>
          <w:lang w:val="en-US"/>
        </w:rPr>
        <w:t xml:space="preserve">., 2017), its </w:t>
      </w:r>
      <w:r>
        <w:rPr>
          <w:rFonts w:eastAsia="Calibri"/>
          <w:sz w:val="22"/>
          <w:szCs w:val="22"/>
          <w:lang w:val="en-US"/>
        </w:rPr>
        <w:t>location</w:t>
      </w:r>
      <w:r w:rsidRPr="009978E3">
        <w:rPr>
          <w:rFonts w:eastAsia="Calibri"/>
          <w:sz w:val="22"/>
          <w:szCs w:val="22"/>
          <w:lang w:val="en-US"/>
        </w:rPr>
        <w:t xml:space="preserve">, the great environmental heterogeneity of the archipelago, and the high diversity of habitats (Brito </w:t>
      </w:r>
      <w:r w:rsidRPr="0006066A">
        <w:rPr>
          <w:rFonts w:eastAsia="Calibri"/>
          <w:i/>
          <w:sz w:val="22"/>
          <w:szCs w:val="22"/>
          <w:lang w:val="en-US"/>
        </w:rPr>
        <w:t>et al</w:t>
      </w:r>
      <w:r w:rsidRPr="009978E3">
        <w:rPr>
          <w:rFonts w:eastAsia="Calibri"/>
          <w:sz w:val="22"/>
          <w:szCs w:val="22"/>
          <w:lang w:val="en-US"/>
        </w:rPr>
        <w:t>., 2001; Falcón, 2015).</w:t>
      </w:r>
    </w:p>
    <w:p w14:paraId="1B6B248F" w14:textId="77777777" w:rsidR="006B3F46" w:rsidRPr="009978E3" w:rsidRDefault="006B3F46" w:rsidP="002E4B39">
      <w:pPr>
        <w:suppressLineNumbers/>
        <w:spacing w:after="120"/>
        <w:jc w:val="both"/>
        <w:rPr>
          <w:rFonts w:eastAsia="MS Mincho"/>
          <w:sz w:val="22"/>
          <w:szCs w:val="22"/>
          <w:lang w:val="en-US" w:eastAsia="ja-JP"/>
        </w:rPr>
      </w:pPr>
      <w:r w:rsidRPr="002E4B39">
        <w:rPr>
          <w:rFonts w:eastAsia="MS Mincho"/>
          <w:sz w:val="22"/>
          <w:szCs w:val="22"/>
          <w:lang w:val="en-US"/>
        </w:rPr>
        <w:t>The</w:t>
      </w:r>
      <w:r w:rsidRPr="009978E3">
        <w:rPr>
          <w:rFonts w:eastAsia="MS Mincho"/>
          <w:sz w:val="22"/>
          <w:szCs w:val="22"/>
          <w:lang w:val="en-US"/>
        </w:rPr>
        <w:t xml:space="preserve"> Canary Islands archipelago belongs to the Northeastern Atlantic Warm Temperate Region, the biogeographic region with the highest seaweed richness on </w:t>
      </w:r>
      <w:r>
        <w:rPr>
          <w:rFonts w:eastAsia="MS Mincho"/>
          <w:sz w:val="22"/>
          <w:szCs w:val="22"/>
          <w:lang w:val="en-US"/>
        </w:rPr>
        <w:t>eastern</w:t>
      </w:r>
      <w:r w:rsidRPr="009978E3">
        <w:rPr>
          <w:rFonts w:eastAsia="MS Mincho"/>
          <w:sz w:val="22"/>
          <w:szCs w:val="22"/>
          <w:lang w:val="en-US"/>
        </w:rPr>
        <w:t xml:space="preserve"> side of the Atlantic (Hoek, 1984; Lüning, 1990). Flora and fauna around the Canary Islands consists of an ensemble of species from both warm temperate and tropical regions (Sansón </w:t>
      </w:r>
      <w:r w:rsidRPr="0006066A">
        <w:rPr>
          <w:rFonts w:eastAsia="MS Mincho"/>
          <w:i/>
          <w:sz w:val="22"/>
          <w:szCs w:val="22"/>
          <w:lang w:val="en-US"/>
        </w:rPr>
        <w:t>et al</w:t>
      </w:r>
      <w:r w:rsidRPr="009978E3">
        <w:rPr>
          <w:rFonts w:eastAsia="MS Mincho"/>
          <w:sz w:val="22"/>
          <w:szCs w:val="22"/>
          <w:lang w:val="en-US"/>
        </w:rPr>
        <w:t xml:space="preserve">., 2001; Brito and Ocaña, 2004; Sangil </w:t>
      </w:r>
      <w:r w:rsidRPr="0006066A">
        <w:rPr>
          <w:rFonts w:eastAsia="MS Mincho"/>
          <w:i/>
          <w:sz w:val="22"/>
          <w:szCs w:val="22"/>
          <w:lang w:val="en-US"/>
        </w:rPr>
        <w:t>et al</w:t>
      </w:r>
      <w:r w:rsidRPr="009978E3">
        <w:rPr>
          <w:rFonts w:eastAsia="MS Mincho"/>
          <w:sz w:val="22"/>
          <w:szCs w:val="22"/>
          <w:lang w:val="en-US"/>
        </w:rPr>
        <w:t xml:space="preserve">., 2011). </w:t>
      </w:r>
      <w:r w:rsidRPr="009978E3">
        <w:rPr>
          <w:rFonts w:eastAsia="MS Mincho"/>
          <w:sz w:val="22"/>
          <w:szCs w:val="22"/>
          <w:lang w:val="en-US" w:eastAsia="ja-JP"/>
        </w:rPr>
        <w:t xml:space="preserve">In recent years there have been many changes in the composition and richness of the habitats and marine communities of the region. The oceanographic conditions of the area (subtropical region with presence of upwelling) create unique conditions for the development of species with </w:t>
      </w:r>
      <w:r>
        <w:rPr>
          <w:rFonts w:eastAsia="MS Mincho"/>
          <w:sz w:val="22"/>
          <w:szCs w:val="22"/>
          <w:lang w:val="en-US" w:eastAsia="ja-JP"/>
        </w:rPr>
        <w:t>both</w:t>
      </w:r>
      <w:r w:rsidRPr="009978E3">
        <w:rPr>
          <w:rFonts w:eastAsia="MS Mincho"/>
          <w:sz w:val="22"/>
          <w:szCs w:val="22"/>
          <w:lang w:val="en-US" w:eastAsia="ja-JP"/>
        </w:rPr>
        <w:t xml:space="preserve"> tropical and temperate</w:t>
      </w:r>
      <w:r>
        <w:rPr>
          <w:rFonts w:eastAsia="MS Mincho"/>
          <w:sz w:val="22"/>
          <w:szCs w:val="22"/>
          <w:lang w:val="en-US" w:eastAsia="ja-JP"/>
        </w:rPr>
        <w:t xml:space="preserve"> affinity</w:t>
      </w:r>
      <w:r w:rsidRPr="009978E3">
        <w:rPr>
          <w:rFonts w:eastAsia="MS Mincho"/>
          <w:sz w:val="22"/>
          <w:szCs w:val="22"/>
          <w:lang w:val="en-US" w:eastAsia="ja-JP"/>
        </w:rPr>
        <w:t xml:space="preserve">. </w:t>
      </w:r>
      <w:r>
        <w:rPr>
          <w:rFonts w:eastAsia="MS Mincho"/>
          <w:sz w:val="22"/>
          <w:szCs w:val="22"/>
          <w:lang w:val="en-US" w:eastAsia="ja-JP"/>
        </w:rPr>
        <w:t>S</w:t>
      </w:r>
      <w:r w:rsidRPr="009978E3">
        <w:rPr>
          <w:rFonts w:eastAsia="MS Mincho"/>
          <w:sz w:val="22"/>
          <w:szCs w:val="22"/>
          <w:lang w:val="en-US" w:eastAsia="ja-JP"/>
        </w:rPr>
        <w:t xml:space="preserve">tudies </w:t>
      </w:r>
      <w:r>
        <w:rPr>
          <w:rFonts w:eastAsia="MS Mincho"/>
          <w:sz w:val="22"/>
          <w:szCs w:val="22"/>
          <w:lang w:val="en-US" w:eastAsia="ja-JP"/>
        </w:rPr>
        <w:t xml:space="preserve">currently </w:t>
      </w:r>
      <w:r w:rsidRPr="009978E3">
        <w:rPr>
          <w:rFonts w:eastAsia="MS Mincho"/>
          <w:sz w:val="22"/>
          <w:szCs w:val="22"/>
          <w:lang w:val="en-US" w:eastAsia="ja-JP"/>
        </w:rPr>
        <w:t>being carried out in deep areas will expand the information o</w:t>
      </w:r>
      <w:r>
        <w:rPr>
          <w:rFonts w:eastAsia="MS Mincho"/>
          <w:sz w:val="22"/>
          <w:szCs w:val="22"/>
          <w:lang w:val="en-US" w:eastAsia="ja-JP"/>
        </w:rPr>
        <w:t>n</w:t>
      </w:r>
      <w:r w:rsidRPr="009978E3">
        <w:rPr>
          <w:rFonts w:eastAsia="MS Mincho"/>
          <w:sz w:val="22"/>
          <w:szCs w:val="22"/>
          <w:lang w:val="en-US" w:eastAsia="ja-JP"/>
        </w:rPr>
        <w:t xml:space="preserve"> the different roles that the seamount and oceanic island play in the colonization and develop</w:t>
      </w:r>
      <w:r>
        <w:rPr>
          <w:rFonts w:eastAsia="MS Mincho"/>
          <w:sz w:val="22"/>
          <w:szCs w:val="22"/>
          <w:lang w:val="en-US" w:eastAsia="ja-JP"/>
        </w:rPr>
        <w:t>ment</w:t>
      </w:r>
      <w:r w:rsidRPr="009978E3">
        <w:rPr>
          <w:rFonts w:eastAsia="MS Mincho"/>
          <w:sz w:val="22"/>
          <w:szCs w:val="22"/>
          <w:lang w:val="en-US" w:eastAsia="ja-JP"/>
        </w:rPr>
        <w:t xml:space="preserve"> of benthic species and communities. </w:t>
      </w:r>
    </w:p>
    <w:p w14:paraId="04C040E7" w14:textId="77777777" w:rsidR="006B3F46" w:rsidRPr="009978E3" w:rsidRDefault="006B3F46" w:rsidP="002E4B39">
      <w:pPr>
        <w:suppressLineNumbers/>
        <w:spacing w:after="120"/>
        <w:jc w:val="both"/>
        <w:rPr>
          <w:rFonts w:eastAsia="MS Mincho"/>
          <w:sz w:val="22"/>
          <w:szCs w:val="22"/>
          <w:lang w:val="en-US" w:eastAsia="ja-JP"/>
        </w:rPr>
      </w:pPr>
      <w:r w:rsidRPr="009978E3">
        <w:rPr>
          <w:rFonts w:eastAsia="MS Mincho"/>
          <w:sz w:val="22"/>
          <w:szCs w:val="22"/>
          <w:lang w:val="en-US"/>
        </w:rPr>
        <w:t>The</w:t>
      </w:r>
      <w:r w:rsidRPr="009978E3">
        <w:rPr>
          <w:rFonts w:eastAsia="MS Mincho"/>
          <w:sz w:val="22"/>
          <w:szCs w:val="22"/>
          <w:lang w:val="en-US" w:eastAsia="ja-JP"/>
        </w:rPr>
        <w:t xml:space="preserve"> seamounts, located in flat abyssal areas, pose topographic obstacles that modify the circulation and lead to complex vortices and Taylor columns (Roden, 1986), whereby a rotating body of water is retained over the summit of a seamount. These effects promote blooms of primary production, with increases in zooplankton and suprabenthos, which lead to increases in the availability of food for wildlife (White </w:t>
      </w:r>
      <w:r w:rsidRPr="0006066A">
        <w:rPr>
          <w:rFonts w:eastAsia="MS Mincho"/>
          <w:i/>
          <w:sz w:val="22"/>
          <w:szCs w:val="22"/>
          <w:lang w:val="en-US" w:eastAsia="ja-JP"/>
        </w:rPr>
        <w:t>et al</w:t>
      </w:r>
      <w:r w:rsidRPr="009978E3">
        <w:rPr>
          <w:rFonts w:eastAsia="MS Mincho"/>
          <w:sz w:val="22"/>
          <w:szCs w:val="22"/>
          <w:lang w:val="en-US" w:eastAsia="ja-JP"/>
        </w:rPr>
        <w:t xml:space="preserve">., 2007). Taylor columns can also trap advected organisms and zooplankton with vertical migration. All these conditions translate into an external contribution of food for the seamount communities. In addition, the currents and steep slopes expose the rock and favour, together with the increase in production, the presence of sessile-gorgonian suspension feeders, corals, sponges, etc., and therefore the development of vulnerable habitats. The increase of food and the increase of the environmental complexity that these sessile benthic communities contribute favour the aggregations of demersal and benthopelagic fish and, consequently, the increase </w:t>
      </w:r>
      <w:r>
        <w:rPr>
          <w:rFonts w:eastAsia="MS Mincho"/>
          <w:sz w:val="22"/>
          <w:szCs w:val="22"/>
          <w:lang w:val="en-US" w:eastAsia="ja-JP"/>
        </w:rPr>
        <w:t>in</w:t>
      </w:r>
      <w:r w:rsidRPr="009978E3">
        <w:rPr>
          <w:rFonts w:eastAsia="MS Mincho"/>
          <w:sz w:val="22"/>
          <w:szCs w:val="22"/>
          <w:lang w:val="en-US" w:eastAsia="ja-JP"/>
        </w:rPr>
        <w:t xml:space="preserve"> the presence of migrant species such as pelagic sharks, tunas, cetaceans, turtles and seabirds. Finally, the particular conditions of isolation and high diversity of environments favo</w:t>
      </w:r>
      <w:r>
        <w:rPr>
          <w:rFonts w:eastAsia="MS Mincho"/>
          <w:sz w:val="22"/>
          <w:szCs w:val="22"/>
          <w:lang w:val="en-US" w:eastAsia="ja-JP"/>
        </w:rPr>
        <w:t>u</w:t>
      </w:r>
      <w:r w:rsidRPr="009978E3">
        <w:rPr>
          <w:rFonts w:eastAsia="MS Mincho"/>
          <w:sz w:val="22"/>
          <w:szCs w:val="22"/>
          <w:lang w:val="en-US" w:eastAsia="ja-JP"/>
        </w:rPr>
        <w:t xml:space="preserve">r the appearance of a large number of endemic species (Almón </w:t>
      </w:r>
      <w:r w:rsidRPr="0006066A">
        <w:rPr>
          <w:rFonts w:eastAsia="MS Mincho"/>
          <w:i/>
          <w:sz w:val="22"/>
          <w:szCs w:val="22"/>
          <w:lang w:val="en-US" w:eastAsia="ja-JP"/>
        </w:rPr>
        <w:t>et al</w:t>
      </w:r>
      <w:r w:rsidRPr="009978E3">
        <w:rPr>
          <w:rFonts w:eastAsia="MS Mincho"/>
          <w:sz w:val="22"/>
          <w:szCs w:val="22"/>
          <w:lang w:val="en-US" w:eastAsia="ja-JP"/>
        </w:rPr>
        <w:t>., 2014b).</w:t>
      </w:r>
    </w:p>
    <w:p w14:paraId="6AC12A28" w14:textId="77777777" w:rsidR="006B3F46" w:rsidRPr="009978E3" w:rsidRDefault="006B3F46" w:rsidP="002E4B39">
      <w:pPr>
        <w:suppressLineNumbers/>
        <w:spacing w:after="120"/>
        <w:jc w:val="both"/>
        <w:rPr>
          <w:rFonts w:eastAsia="MS Mincho"/>
          <w:sz w:val="22"/>
          <w:szCs w:val="22"/>
          <w:lang w:val="en-US" w:eastAsia="ja-JP"/>
        </w:rPr>
      </w:pPr>
      <w:r w:rsidRPr="009978E3">
        <w:rPr>
          <w:rFonts w:eastAsia="MS Mincho"/>
          <w:sz w:val="22"/>
          <w:szCs w:val="22"/>
          <w:lang w:val="en-US" w:eastAsia="ja-JP"/>
        </w:rPr>
        <w:t>The existence of anchialin</w:t>
      </w:r>
      <w:r>
        <w:rPr>
          <w:rFonts w:eastAsia="MS Mincho"/>
          <w:sz w:val="22"/>
          <w:szCs w:val="22"/>
          <w:lang w:val="en-US" w:eastAsia="ja-JP"/>
        </w:rPr>
        <w:t>e</w:t>
      </w:r>
      <w:r w:rsidRPr="009978E3">
        <w:rPr>
          <w:rFonts w:eastAsia="MS Mincho"/>
          <w:sz w:val="22"/>
          <w:szCs w:val="22"/>
          <w:lang w:val="en-US" w:eastAsia="ja-JP"/>
        </w:rPr>
        <w:t xml:space="preserve"> caves (volcanic tubes flooded by the sea) on islands such as Lanzarote, where there are conditions of isolation and specific environmental variables, propitiates the existence of endemic species such as </w:t>
      </w:r>
      <w:r w:rsidRPr="009978E3">
        <w:rPr>
          <w:rFonts w:eastAsia="MS Mincho"/>
          <w:i/>
          <w:sz w:val="22"/>
          <w:szCs w:val="22"/>
          <w:lang w:val="en-US" w:eastAsia="ja-JP"/>
        </w:rPr>
        <w:t>Munidopsis polymorpha</w:t>
      </w:r>
      <w:r w:rsidRPr="009978E3">
        <w:rPr>
          <w:rFonts w:eastAsia="MS Mincho"/>
          <w:sz w:val="22"/>
          <w:szCs w:val="22"/>
          <w:lang w:val="en-US" w:eastAsia="ja-JP"/>
        </w:rPr>
        <w:t xml:space="preserve"> (Koelbel, 1892), and others under study</w:t>
      </w:r>
      <w:r>
        <w:rPr>
          <w:rFonts w:eastAsia="MS Mincho"/>
          <w:sz w:val="22"/>
          <w:szCs w:val="22"/>
          <w:lang w:val="en-US" w:eastAsia="ja-JP"/>
        </w:rPr>
        <w:t>, such</w:t>
      </w:r>
      <w:r w:rsidRPr="009978E3">
        <w:rPr>
          <w:rFonts w:eastAsia="MS Mincho"/>
          <w:sz w:val="22"/>
          <w:szCs w:val="22"/>
          <w:lang w:val="en-US" w:eastAsia="ja-JP"/>
        </w:rPr>
        <w:t xml:space="preserve"> as several species of polychaetes.</w:t>
      </w:r>
    </w:p>
    <w:p w14:paraId="025EACCA" w14:textId="77777777" w:rsidR="006B3F46" w:rsidRPr="009978E3" w:rsidRDefault="006B3F46" w:rsidP="002E4B39">
      <w:pPr>
        <w:suppressLineNumbers/>
        <w:spacing w:after="120"/>
        <w:jc w:val="both"/>
        <w:rPr>
          <w:rFonts w:eastAsia="MS Mincho"/>
          <w:bCs/>
          <w:color w:val="000000"/>
          <w:sz w:val="22"/>
          <w:szCs w:val="22"/>
        </w:rPr>
      </w:pPr>
      <w:r w:rsidRPr="009978E3">
        <w:rPr>
          <w:rFonts w:eastAsia="MS Mincho"/>
          <w:bCs/>
          <w:color w:val="000000"/>
          <w:sz w:val="22"/>
          <w:szCs w:val="22"/>
          <w:lang w:val="en-US"/>
        </w:rPr>
        <w:t xml:space="preserve">The </w:t>
      </w:r>
      <w:r w:rsidRPr="002E4B39">
        <w:rPr>
          <w:rFonts w:eastAsia="MS Mincho"/>
          <w:sz w:val="22"/>
          <w:szCs w:val="22"/>
          <w:lang w:val="en-US"/>
        </w:rPr>
        <w:t>area</w:t>
      </w:r>
      <w:r w:rsidRPr="009978E3">
        <w:rPr>
          <w:rFonts w:eastAsia="MS Mincho"/>
          <w:bCs/>
          <w:color w:val="000000"/>
          <w:sz w:val="22"/>
          <w:szCs w:val="22"/>
          <w:lang w:val="en-US"/>
        </w:rPr>
        <w:t xml:space="preserve"> includes 13 Important Bird and Biodiversity Areas </w:t>
      </w:r>
      <w:r>
        <w:rPr>
          <w:rFonts w:eastAsia="MS Mincho"/>
          <w:bCs/>
          <w:color w:val="000000"/>
          <w:sz w:val="22"/>
          <w:szCs w:val="22"/>
          <w:lang w:val="en-US"/>
        </w:rPr>
        <w:t>(</w:t>
      </w:r>
      <w:r w:rsidRPr="009978E3">
        <w:rPr>
          <w:rFonts w:eastAsia="MS Mincho"/>
          <w:bCs/>
          <w:color w:val="000000"/>
          <w:sz w:val="22"/>
          <w:szCs w:val="22"/>
          <w:lang w:val="en-US"/>
        </w:rPr>
        <w:t>IBAs</w:t>
      </w:r>
      <w:r>
        <w:rPr>
          <w:rFonts w:eastAsia="MS Mincho"/>
          <w:bCs/>
          <w:color w:val="000000"/>
          <w:sz w:val="22"/>
          <w:szCs w:val="22"/>
          <w:lang w:val="en-US"/>
        </w:rPr>
        <w:t xml:space="preserve">, </w:t>
      </w:r>
      <w:r w:rsidRPr="009978E3">
        <w:rPr>
          <w:rFonts w:eastAsia="MS Mincho"/>
          <w:bCs/>
          <w:color w:val="000000"/>
          <w:sz w:val="22"/>
          <w:szCs w:val="22"/>
          <w:lang w:val="en-US"/>
        </w:rPr>
        <w:t>BirdL</w:t>
      </w:r>
      <w:r>
        <w:rPr>
          <w:rFonts w:eastAsia="MS Mincho"/>
          <w:bCs/>
          <w:color w:val="000000"/>
          <w:sz w:val="22"/>
          <w:szCs w:val="22"/>
          <w:lang w:val="en-US"/>
        </w:rPr>
        <w:t>i</w:t>
      </w:r>
      <w:r w:rsidRPr="009978E3">
        <w:rPr>
          <w:rFonts w:eastAsia="MS Mincho"/>
          <w:bCs/>
          <w:color w:val="000000"/>
          <w:sz w:val="22"/>
          <w:szCs w:val="22"/>
          <w:lang w:val="en-US"/>
        </w:rPr>
        <w:t xml:space="preserve">fe International 2019). Key species breeding in the Canary archipelago and using the area to forage, rest or commute are the Cory's </w:t>
      </w:r>
      <w:r>
        <w:rPr>
          <w:rFonts w:eastAsia="MS Mincho"/>
          <w:bCs/>
          <w:color w:val="000000"/>
          <w:sz w:val="22"/>
          <w:szCs w:val="22"/>
          <w:lang w:val="en-US"/>
        </w:rPr>
        <w:t>s</w:t>
      </w:r>
      <w:r w:rsidRPr="009978E3">
        <w:rPr>
          <w:rFonts w:eastAsia="MS Mincho"/>
          <w:bCs/>
          <w:color w:val="000000"/>
          <w:sz w:val="22"/>
          <w:szCs w:val="22"/>
          <w:lang w:val="en-US"/>
        </w:rPr>
        <w:t xml:space="preserve">hearwater </w:t>
      </w:r>
      <w:r>
        <w:rPr>
          <w:rFonts w:eastAsia="MS Mincho"/>
          <w:bCs/>
          <w:color w:val="000000"/>
          <w:sz w:val="22"/>
          <w:szCs w:val="22"/>
          <w:lang w:val="en-US"/>
        </w:rPr>
        <w:t>(</w:t>
      </w:r>
      <w:r w:rsidRPr="009978E3">
        <w:rPr>
          <w:rFonts w:eastAsia="MS Mincho"/>
          <w:bCs/>
          <w:i/>
          <w:color w:val="000000"/>
          <w:sz w:val="22"/>
          <w:szCs w:val="22"/>
          <w:lang w:val="en-US"/>
        </w:rPr>
        <w:t>Calonectris diomedea</w:t>
      </w:r>
      <w:r>
        <w:rPr>
          <w:rFonts w:eastAsia="MS Mincho"/>
          <w:bCs/>
          <w:i/>
          <w:color w:val="000000"/>
          <w:sz w:val="22"/>
          <w:szCs w:val="22"/>
          <w:lang w:val="en-US"/>
        </w:rPr>
        <w:t>)</w:t>
      </w:r>
      <w:r w:rsidRPr="009978E3">
        <w:rPr>
          <w:rFonts w:eastAsia="MS Mincho"/>
          <w:bCs/>
          <w:color w:val="000000"/>
          <w:sz w:val="22"/>
          <w:szCs w:val="22"/>
          <w:lang w:val="en-US"/>
        </w:rPr>
        <w:t xml:space="preserve">, </w:t>
      </w:r>
      <w:r>
        <w:rPr>
          <w:rFonts w:eastAsia="MS Mincho"/>
          <w:bCs/>
          <w:color w:val="000000"/>
          <w:sz w:val="22"/>
          <w:szCs w:val="22"/>
          <w:lang w:val="en-US"/>
        </w:rPr>
        <w:t>b</w:t>
      </w:r>
      <w:r w:rsidRPr="009978E3">
        <w:rPr>
          <w:rFonts w:eastAsia="MS Mincho"/>
          <w:bCs/>
          <w:color w:val="000000"/>
          <w:sz w:val="22"/>
          <w:szCs w:val="22"/>
          <w:lang w:val="en-US"/>
        </w:rPr>
        <w:t xml:space="preserve">and-rumped </w:t>
      </w:r>
      <w:r>
        <w:rPr>
          <w:rFonts w:eastAsia="MS Mincho"/>
          <w:bCs/>
          <w:color w:val="000000"/>
          <w:sz w:val="22"/>
          <w:szCs w:val="22"/>
          <w:lang w:val="en-US"/>
        </w:rPr>
        <w:t>s</w:t>
      </w:r>
      <w:r w:rsidRPr="009978E3">
        <w:rPr>
          <w:rFonts w:eastAsia="MS Mincho"/>
          <w:bCs/>
          <w:color w:val="000000"/>
          <w:sz w:val="22"/>
          <w:szCs w:val="22"/>
          <w:lang w:val="en-US"/>
        </w:rPr>
        <w:t xml:space="preserve">torm-petrel </w:t>
      </w:r>
      <w:r>
        <w:rPr>
          <w:rFonts w:eastAsia="MS Mincho"/>
          <w:bCs/>
          <w:color w:val="000000"/>
          <w:sz w:val="22"/>
          <w:szCs w:val="22"/>
          <w:lang w:val="en-US"/>
        </w:rPr>
        <w:t>(</w:t>
      </w:r>
      <w:r w:rsidRPr="009978E3">
        <w:rPr>
          <w:rFonts w:eastAsia="MS Mincho"/>
          <w:bCs/>
          <w:i/>
          <w:color w:val="000000"/>
          <w:sz w:val="22"/>
          <w:szCs w:val="22"/>
          <w:lang w:val="en-US"/>
        </w:rPr>
        <w:t>Hydrobates castro</w:t>
      </w:r>
      <w:r>
        <w:rPr>
          <w:rFonts w:eastAsia="MS Mincho"/>
          <w:bCs/>
          <w:i/>
          <w:color w:val="000000"/>
          <w:sz w:val="22"/>
          <w:szCs w:val="22"/>
          <w:lang w:val="en-US"/>
        </w:rPr>
        <w:t>)</w:t>
      </w:r>
      <w:r w:rsidRPr="009978E3">
        <w:rPr>
          <w:rFonts w:eastAsia="MS Mincho"/>
          <w:bCs/>
          <w:color w:val="000000"/>
          <w:sz w:val="22"/>
          <w:szCs w:val="22"/>
          <w:lang w:val="en-US"/>
        </w:rPr>
        <w:t xml:space="preserve">, </w:t>
      </w:r>
      <w:r>
        <w:rPr>
          <w:rFonts w:eastAsia="MS Mincho"/>
          <w:bCs/>
          <w:color w:val="000000"/>
          <w:sz w:val="22"/>
          <w:szCs w:val="22"/>
          <w:lang w:val="en-US"/>
        </w:rPr>
        <w:t>w</w:t>
      </w:r>
      <w:r w:rsidRPr="009978E3">
        <w:rPr>
          <w:rFonts w:eastAsia="MS Mincho"/>
          <w:bCs/>
          <w:color w:val="000000"/>
          <w:sz w:val="22"/>
          <w:szCs w:val="22"/>
          <w:lang w:val="en-US"/>
        </w:rPr>
        <w:t xml:space="preserve">hite-faced </w:t>
      </w:r>
      <w:r>
        <w:rPr>
          <w:rFonts w:eastAsia="MS Mincho"/>
          <w:bCs/>
          <w:color w:val="000000"/>
          <w:sz w:val="22"/>
          <w:szCs w:val="22"/>
          <w:lang w:val="en-US"/>
        </w:rPr>
        <w:t>s</w:t>
      </w:r>
      <w:r w:rsidRPr="009978E3">
        <w:rPr>
          <w:rFonts w:eastAsia="MS Mincho"/>
          <w:bCs/>
          <w:color w:val="000000"/>
          <w:sz w:val="22"/>
          <w:szCs w:val="22"/>
          <w:lang w:val="en-US"/>
        </w:rPr>
        <w:t xml:space="preserve">torm-petrel </w:t>
      </w:r>
      <w:r>
        <w:rPr>
          <w:rFonts w:eastAsia="MS Mincho"/>
          <w:bCs/>
          <w:color w:val="000000"/>
          <w:sz w:val="22"/>
          <w:szCs w:val="22"/>
          <w:lang w:val="en-US"/>
        </w:rPr>
        <w:t>(</w:t>
      </w:r>
      <w:r w:rsidRPr="009978E3">
        <w:rPr>
          <w:rFonts w:eastAsia="MS Mincho"/>
          <w:bCs/>
          <w:i/>
          <w:color w:val="000000"/>
          <w:sz w:val="22"/>
          <w:szCs w:val="22"/>
          <w:lang w:val="en-US"/>
        </w:rPr>
        <w:t>Pelagodroma marina</w:t>
      </w:r>
      <w:r>
        <w:rPr>
          <w:rFonts w:eastAsia="MS Mincho"/>
          <w:bCs/>
          <w:i/>
          <w:color w:val="000000"/>
          <w:sz w:val="22"/>
          <w:szCs w:val="22"/>
          <w:lang w:val="en-US"/>
        </w:rPr>
        <w:t>)</w:t>
      </w:r>
      <w:r w:rsidRPr="009978E3">
        <w:rPr>
          <w:rFonts w:eastAsia="MS Mincho"/>
          <w:bCs/>
          <w:color w:val="000000"/>
          <w:sz w:val="22"/>
          <w:szCs w:val="22"/>
          <w:lang w:val="en-US"/>
        </w:rPr>
        <w:t xml:space="preserve">, Audubon’s </w:t>
      </w:r>
      <w:r>
        <w:rPr>
          <w:rFonts w:eastAsia="MS Mincho"/>
          <w:bCs/>
          <w:color w:val="000000"/>
          <w:sz w:val="22"/>
          <w:szCs w:val="22"/>
          <w:lang w:val="en-US"/>
        </w:rPr>
        <w:t>s</w:t>
      </w:r>
      <w:r w:rsidRPr="009978E3">
        <w:rPr>
          <w:rFonts w:eastAsia="MS Mincho"/>
          <w:bCs/>
          <w:color w:val="000000"/>
          <w:sz w:val="22"/>
          <w:szCs w:val="22"/>
          <w:lang w:val="en-US"/>
        </w:rPr>
        <w:t xml:space="preserve">hearwater </w:t>
      </w:r>
      <w:r>
        <w:rPr>
          <w:rFonts w:eastAsia="MS Mincho"/>
          <w:bCs/>
          <w:color w:val="000000"/>
          <w:sz w:val="22"/>
          <w:szCs w:val="22"/>
          <w:lang w:val="en-US"/>
        </w:rPr>
        <w:t>(</w:t>
      </w:r>
      <w:r w:rsidRPr="009978E3">
        <w:rPr>
          <w:rFonts w:eastAsia="MS Mincho"/>
          <w:bCs/>
          <w:i/>
          <w:color w:val="000000"/>
          <w:sz w:val="22"/>
          <w:szCs w:val="22"/>
          <w:lang w:val="en-US"/>
        </w:rPr>
        <w:t>Puffinus lherminieri</w:t>
      </w:r>
      <w:r>
        <w:rPr>
          <w:rFonts w:eastAsia="MS Mincho"/>
          <w:bCs/>
          <w:i/>
          <w:color w:val="000000"/>
          <w:sz w:val="22"/>
          <w:szCs w:val="22"/>
          <w:lang w:val="en-US"/>
        </w:rPr>
        <w:t>)</w:t>
      </w:r>
      <w:r w:rsidRPr="009978E3">
        <w:rPr>
          <w:rFonts w:eastAsia="MS Mincho"/>
          <w:bCs/>
          <w:color w:val="000000"/>
          <w:sz w:val="22"/>
          <w:szCs w:val="22"/>
          <w:lang w:val="en-US"/>
        </w:rPr>
        <w:t xml:space="preserve">, Bulwer's </w:t>
      </w:r>
      <w:r>
        <w:rPr>
          <w:rFonts w:eastAsia="MS Mincho"/>
          <w:bCs/>
          <w:color w:val="000000"/>
          <w:sz w:val="22"/>
          <w:szCs w:val="22"/>
          <w:lang w:val="en-US"/>
        </w:rPr>
        <w:t>p</w:t>
      </w:r>
      <w:r w:rsidRPr="009978E3">
        <w:rPr>
          <w:rFonts w:eastAsia="MS Mincho"/>
          <w:bCs/>
          <w:color w:val="000000"/>
          <w:sz w:val="22"/>
          <w:szCs w:val="22"/>
          <w:lang w:val="en-US"/>
        </w:rPr>
        <w:t xml:space="preserve">etrel </w:t>
      </w:r>
      <w:r>
        <w:rPr>
          <w:rFonts w:eastAsia="MS Mincho"/>
          <w:bCs/>
          <w:color w:val="000000"/>
          <w:sz w:val="22"/>
          <w:szCs w:val="22"/>
          <w:lang w:val="en-US"/>
        </w:rPr>
        <w:t>(</w:t>
      </w:r>
      <w:r w:rsidRPr="009978E3">
        <w:rPr>
          <w:rFonts w:eastAsia="MS Mincho"/>
          <w:bCs/>
          <w:i/>
          <w:color w:val="000000"/>
          <w:sz w:val="22"/>
          <w:szCs w:val="22"/>
          <w:lang w:val="en-US"/>
        </w:rPr>
        <w:t>Bulweria bulwerii</w:t>
      </w:r>
      <w:r>
        <w:rPr>
          <w:rFonts w:eastAsia="MS Mincho"/>
          <w:bCs/>
          <w:i/>
          <w:color w:val="000000"/>
          <w:sz w:val="22"/>
          <w:szCs w:val="22"/>
          <w:lang w:val="en-US"/>
        </w:rPr>
        <w:t>)</w:t>
      </w:r>
      <w:r w:rsidRPr="009978E3">
        <w:rPr>
          <w:rFonts w:eastAsia="MS Mincho"/>
          <w:bCs/>
          <w:color w:val="000000"/>
          <w:sz w:val="22"/>
          <w:szCs w:val="22"/>
          <w:lang w:val="en-US"/>
        </w:rPr>
        <w:t xml:space="preserve">, </w:t>
      </w:r>
      <w:r>
        <w:rPr>
          <w:rFonts w:eastAsia="MS Mincho"/>
          <w:bCs/>
          <w:color w:val="000000"/>
          <w:sz w:val="22"/>
          <w:szCs w:val="22"/>
          <w:lang w:val="en-US"/>
        </w:rPr>
        <w:t>r</w:t>
      </w:r>
      <w:r w:rsidRPr="009978E3">
        <w:rPr>
          <w:rFonts w:eastAsia="MS Mincho"/>
          <w:bCs/>
          <w:color w:val="000000"/>
          <w:sz w:val="22"/>
          <w:szCs w:val="22"/>
          <w:lang w:val="en-US"/>
        </w:rPr>
        <w:t xml:space="preserve">oseate </w:t>
      </w:r>
      <w:r>
        <w:rPr>
          <w:rFonts w:eastAsia="MS Mincho"/>
          <w:bCs/>
          <w:color w:val="000000"/>
          <w:sz w:val="22"/>
          <w:szCs w:val="22"/>
          <w:lang w:val="en-US"/>
        </w:rPr>
        <w:t>t</w:t>
      </w:r>
      <w:r w:rsidRPr="009978E3">
        <w:rPr>
          <w:rFonts w:eastAsia="MS Mincho"/>
          <w:bCs/>
          <w:color w:val="000000"/>
          <w:sz w:val="22"/>
          <w:szCs w:val="22"/>
          <w:lang w:val="en-US"/>
        </w:rPr>
        <w:t xml:space="preserve">ern </w:t>
      </w:r>
      <w:r>
        <w:rPr>
          <w:rFonts w:eastAsia="MS Mincho"/>
          <w:bCs/>
          <w:color w:val="000000"/>
          <w:sz w:val="22"/>
          <w:szCs w:val="22"/>
          <w:lang w:val="en-US"/>
        </w:rPr>
        <w:t>(</w:t>
      </w:r>
      <w:r w:rsidRPr="009978E3">
        <w:rPr>
          <w:rFonts w:eastAsia="MS Mincho"/>
          <w:bCs/>
          <w:i/>
          <w:color w:val="000000"/>
          <w:sz w:val="22"/>
          <w:szCs w:val="22"/>
          <w:lang w:val="en-US"/>
        </w:rPr>
        <w:t>Sterna dougallii</w:t>
      </w:r>
      <w:r>
        <w:rPr>
          <w:rFonts w:eastAsia="MS Mincho"/>
          <w:bCs/>
          <w:i/>
          <w:color w:val="000000"/>
          <w:sz w:val="22"/>
          <w:szCs w:val="22"/>
          <w:lang w:val="en-US"/>
        </w:rPr>
        <w:t>)</w:t>
      </w:r>
      <w:r w:rsidRPr="009978E3">
        <w:rPr>
          <w:rFonts w:eastAsia="MS Mincho"/>
          <w:bCs/>
          <w:color w:val="000000"/>
          <w:sz w:val="22"/>
          <w:szCs w:val="22"/>
          <w:lang w:val="en-US"/>
        </w:rPr>
        <w:t xml:space="preserve"> and </w:t>
      </w:r>
      <w:r>
        <w:rPr>
          <w:rFonts w:eastAsia="MS Mincho"/>
          <w:bCs/>
          <w:color w:val="000000"/>
          <w:sz w:val="22"/>
          <w:szCs w:val="22"/>
          <w:lang w:val="en-US"/>
        </w:rPr>
        <w:t>c</w:t>
      </w:r>
      <w:r w:rsidRPr="009978E3">
        <w:rPr>
          <w:rFonts w:eastAsia="MS Mincho"/>
          <w:bCs/>
          <w:color w:val="000000"/>
          <w:sz w:val="22"/>
          <w:szCs w:val="22"/>
          <w:lang w:val="en-US"/>
        </w:rPr>
        <w:t xml:space="preserve">ommon </w:t>
      </w:r>
      <w:r>
        <w:rPr>
          <w:rFonts w:eastAsia="MS Mincho"/>
          <w:bCs/>
          <w:color w:val="000000"/>
          <w:sz w:val="22"/>
          <w:szCs w:val="22"/>
          <w:lang w:val="en-US"/>
        </w:rPr>
        <w:t>t</w:t>
      </w:r>
      <w:r w:rsidRPr="009978E3">
        <w:rPr>
          <w:rFonts w:eastAsia="MS Mincho"/>
          <w:bCs/>
          <w:color w:val="000000"/>
          <w:sz w:val="22"/>
          <w:szCs w:val="22"/>
          <w:lang w:val="en-US"/>
        </w:rPr>
        <w:t xml:space="preserve">ern </w:t>
      </w:r>
      <w:r>
        <w:rPr>
          <w:rFonts w:eastAsia="MS Mincho"/>
          <w:bCs/>
          <w:color w:val="000000"/>
          <w:sz w:val="22"/>
          <w:szCs w:val="22"/>
          <w:lang w:val="en-US"/>
        </w:rPr>
        <w:t>(</w:t>
      </w:r>
      <w:r w:rsidRPr="009978E3">
        <w:rPr>
          <w:rFonts w:eastAsia="MS Mincho"/>
          <w:bCs/>
          <w:i/>
          <w:color w:val="000000"/>
          <w:sz w:val="22"/>
          <w:szCs w:val="22"/>
          <w:lang w:val="en-US"/>
        </w:rPr>
        <w:t>Sterna hirundo</w:t>
      </w:r>
      <w:r>
        <w:rPr>
          <w:rFonts w:eastAsia="MS Mincho"/>
          <w:bCs/>
          <w:i/>
          <w:color w:val="000000"/>
          <w:sz w:val="22"/>
          <w:szCs w:val="22"/>
          <w:lang w:val="en-US"/>
        </w:rPr>
        <w:t>)</w:t>
      </w:r>
      <w:r w:rsidRPr="009978E3">
        <w:rPr>
          <w:rFonts w:eastAsia="MS Mincho"/>
          <w:bCs/>
          <w:color w:val="000000"/>
          <w:sz w:val="22"/>
          <w:szCs w:val="22"/>
          <w:lang w:val="en-US"/>
        </w:rPr>
        <w:t xml:space="preserve"> (BirdLIfe International 2019). All these species occur in regionally or globally significant numbers that meet the criteria to classify the IBAs in the region (BirdL</w:t>
      </w:r>
      <w:r>
        <w:rPr>
          <w:rFonts w:eastAsia="MS Mincho"/>
          <w:bCs/>
          <w:color w:val="000000"/>
          <w:sz w:val="22"/>
          <w:szCs w:val="22"/>
          <w:lang w:val="en-US"/>
        </w:rPr>
        <w:t>i</w:t>
      </w:r>
      <w:r w:rsidRPr="009978E3">
        <w:rPr>
          <w:rFonts w:eastAsia="MS Mincho"/>
          <w:bCs/>
          <w:color w:val="000000"/>
          <w:sz w:val="22"/>
          <w:szCs w:val="22"/>
          <w:lang w:val="en-US"/>
        </w:rPr>
        <w:t xml:space="preserve">fe International 2019; Donald </w:t>
      </w:r>
      <w:r w:rsidRPr="0006066A">
        <w:rPr>
          <w:rFonts w:eastAsia="MS Mincho"/>
          <w:bCs/>
          <w:i/>
          <w:color w:val="000000"/>
          <w:sz w:val="22"/>
          <w:szCs w:val="22"/>
          <w:lang w:val="en-US"/>
        </w:rPr>
        <w:t>et al</w:t>
      </w:r>
      <w:r w:rsidRPr="009978E3">
        <w:rPr>
          <w:rFonts w:eastAsia="MS Mincho"/>
          <w:bCs/>
          <w:color w:val="000000"/>
          <w:sz w:val="22"/>
          <w:szCs w:val="22"/>
          <w:lang w:val="en-US"/>
        </w:rPr>
        <w:t>. 2018).</w:t>
      </w:r>
    </w:p>
    <w:p w14:paraId="6F32F5DF"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Location</w:t>
      </w:r>
    </w:p>
    <w:p w14:paraId="110F579A"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The area is located in and around the Canary Islands, between the parallels 24º60’N and 32º27’N and meridians 20º96’W and 30º33’W. It includes volcanic edifices (</w:t>
      </w:r>
      <w:r>
        <w:rPr>
          <w:rFonts w:eastAsia="MS Mincho"/>
          <w:sz w:val="22"/>
          <w:szCs w:val="22"/>
          <w:lang w:val="en-US"/>
        </w:rPr>
        <w:t>e.g.,</w:t>
      </w:r>
      <w:r w:rsidRPr="009978E3">
        <w:rPr>
          <w:rFonts w:eastAsia="MS Mincho"/>
          <w:sz w:val="22"/>
          <w:szCs w:val="22"/>
          <w:lang w:val="en-US"/>
        </w:rPr>
        <w:t xml:space="preserve"> emerged islands, seamounts and banks) and has a maximum depth of 3000 m.</w:t>
      </w:r>
    </w:p>
    <w:p w14:paraId="14A0735C" w14:textId="77777777" w:rsidR="006B3F46" w:rsidRPr="009978E3" w:rsidRDefault="006B3F46" w:rsidP="00907941">
      <w:pPr>
        <w:jc w:val="both"/>
        <w:rPr>
          <w:rFonts w:eastAsia="MS Mincho"/>
          <w:b/>
          <w:sz w:val="22"/>
          <w:szCs w:val="22"/>
          <w:lang w:val="en-US"/>
        </w:rPr>
      </w:pPr>
    </w:p>
    <w:p w14:paraId="6A763DAD"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22965589" w14:textId="3577D67F" w:rsidR="006B3F46" w:rsidRPr="002E4B39" w:rsidRDefault="006B3F46" w:rsidP="002E4B39">
      <w:pPr>
        <w:pStyle w:val="ListParagraph"/>
        <w:numPr>
          <w:ilvl w:val="0"/>
          <w:numId w:val="22"/>
        </w:numPr>
        <w:spacing w:after="120"/>
        <w:ind w:leftChars="0" w:left="714" w:hanging="357"/>
        <w:rPr>
          <w:rFonts w:eastAsia="MS Mincho"/>
          <w:szCs w:val="22"/>
        </w:rPr>
      </w:pPr>
      <w:r w:rsidRPr="009978E3">
        <w:rPr>
          <w:rFonts w:eastAsia="MS Mincho"/>
          <w:szCs w:val="22"/>
        </w:rPr>
        <w:t>Variety of benthic habitat</w:t>
      </w:r>
      <w:r>
        <w:rPr>
          <w:rFonts w:eastAsia="MS Mincho"/>
          <w:szCs w:val="22"/>
        </w:rPr>
        <w:t>s</w:t>
      </w:r>
      <w:r w:rsidRPr="009978E3">
        <w:rPr>
          <w:rFonts w:eastAsia="MS Mincho"/>
          <w:szCs w:val="22"/>
        </w:rPr>
        <w:t xml:space="preserve"> that are considered</w:t>
      </w:r>
      <w:r>
        <w:rPr>
          <w:rFonts w:eastAsia="MS Mincho"/>
          <w:szCs w:val="22"/>
        </w:rPr>
        <w:t xml:space="preserve"> </w:t>
      </w:r>
      <w:r w:rsidRPr="009978E3">
        <w:rPr>
          <w:rFonts w:eastAsia="MS Mincho"/>
          <w:szCs w:val="22"/>
        </w:rPr>
        <w:t>hotspots of biodiversity</w:t>
      </w:r>
    </w:p>
    <w:p w14:paraId="7C5C3E42" w14:textId="77777777" w:rsidR="006B3F46" w:rsidRPr="009978E3" w:rsidRDefault="006B3F46" w:rsidP="002E4B39">
      <w:pPr>
        <w:suppressLineNumbers/>
        <w:spacing w:after="120"/>
        <w:jc w:val="both"/>
        <w:rPr>
          <w:sz w:val="22"/>
          <w:szCs w:val="22"/>
        </w:rPr>
      </w:pPr>
      <w:r w:rsidRPr="002E4B39">
        <w:rPr>
          <w:rFonts w:eastAsia="MS Mincho"/>
          <w:sz w:val="22"/>
          <w:szCs w:val="22"/>
          <w:lang w:val="en-US"/>
        </w:rPr>
        <w:t>The</w:t>
      </w:r>
      <w:r w:rsidRPr="009978E3">
        <w:rPr>
          <w:rFonts w:eastAsia="MS Mincho"/>
          <w:sz w:val="22"/>
          <w:szCs w:val="22"/>
        </w:rPr>
        <w:t xml:space="preserve"> Canary Islands is one of five archipelagos of Macaronesia, a biogeographic region of the North Atlantic</w:t>
      </w:r>
      <w:r>
        <w:rPr>
          <w:rFonts w:eastAsia="MS Mincho"/>
          <w:sz w:val="22"/>
          <w:szCs w:val="22"/>
        </w:rPr>
        <w:t>,</w:t>
      </w:r>
      <w:r w:rsidRPr="009978E3">
        <w:rPr>
          <w:rFonts w:eastAsia="MS Mincho"/>
          <w:sz w:val="22"/>
          <w:szCs w:val="22"/>
        </w:rPr>
        <w:t xml:space="preserve"> that share similar characteristics, such as vulcanological origin or the high number of endemic species. The area includes a great variety of benthic habitats, from typically infralittoral to bathyal depths (</w:t>
      </w:r>
      <w:r w:rsidRPr="009978E3">
        <w:rPr>
          <w:sz w:val="22"/>
          <w:szCs w:val="22"/>
        </w:rPr>
        <w:t xml:space="preserve">Aguilar </w:t>
      </w:r>
      <w:r w:rsidRPr="0006066A">
        <w:rPr>
          <w:i/>
          <w:sz w:val="22"/>
          <w:szCs w:val="22"/>
        </w:rPr>
        <w:t>et al</w:t>
      </w:r>
      <w:r w:rsidRPr="009978E3">
        <w:rPr>
          <w:sz w:val="22"/>
          <w:szCs w:val="22"/>
        </w:rPr>
        <w:t>., 2009; Brito, 2004)</w:t>
      </w:r>
      <w:r>
        <w:rPr>
          <w:sz w:val="22"/>
          <w:szCs w:val="22"/>
        </w:rPr>
        <w:t>,</w:t>
      </w:r>
      <w:r w:rsidRPr="009978E3">
        <w:rPr>
          <w:sz w:val="22"/>
          <w:szCs w:val="22"/>
        </w:rPr>
        <w:t xml:space="preserve"> a</w:t>
      </w:r>
      <w:r>
        <w:rPr>
          <w:sz w:val="22"/>
          <w:szCs w:val="22"/>
        </w:rPr>
        <w:t>s well as</w:t>
      </w:r>
      <w:r w:rsidRPr="009978E3">
        <w:rPr>
          <w:sz w:val="22"/>
          <w:szCs w:val="22"/>
        </w:rPr>
        <w:t xml:space="preserve"> seamounts or banks located on the northern and central areas of the islands (Almón </w:t>
      </w:r>
      <w:r w:rsidRPr="0006066A">
        <w:rPr>
          <w:i/>
          <w:sz w:val="22"/>
          <w:szCs w:val="22"/>
        </w:rPr>
        <w:t>et al</w:t>
      </w:r>
      <w:r w:rsidRPr="009978E3">
        <w:rPr>
          <w:sz w:val="22"/>
          <w:szCs w:val="22"/>
        </w:rPr>
        <w:t>., 2014a, 2014b). Research on seamount</w:t>
      </w:r>
      <w:r>
        <w:rPr>
          <w:sz w:val="22"/>
          <w:szCs w:val="22"/>
        </w:rPr>
        <w:t>s</w:t>
      </w:r>
      <w:r w:rsidRPr="009978E3">
        <w:rPr>
          <w:sz w:val="22"/>
          <w:szCs w:val="22"/>
        </w:rPr>
        <w:t xml:space="preserve"> located to the south of the islands ha</w:t>
      </w:r>
      <w:r>
        <w:rPr>
          <w:sz w:val="22"/>
          <w:szCs w:val="22"/>
        </w:rPr>
        <w:t>s</w:t>
      </w:r>
      <w:r w:rsidRPr="009978E3">
        <w:rPr>
          <w:sz w:val="22"/>
          <w:szCs w:val="22"/>
        </w:rPr>
        <w:t xml:space="preserve"> also been done in the framework of the </w:t>
      </w:r>
      <w:r w:rsidRPr="009978E3">
        <w:rPr>
          <w:color w:val="000000"/>
          <w:sz w:val="22"/>
          <w:szCs w:val="22"/>
        </w:rPr>
        <w:t xml:space="preserve">Drago0511 </w:t>
      </w:r>
      <w:r>
        <w:rPr>
          <w:color w:val="000000"/>
          <w:sz w:val="22"/>
          <w:szCs w:val="22"/>
        </w:rPr>
        <w:t xml:space="preserve">oceanographic </w:t>
      </w:r>
      <w:r w:rsidRPr="009978E3">
        <w:rPr>
          <w:color w:val="000000"/>
          <w:sz w:val="22"/>
          <w:szCs w:val="22"/>
        </w:rPr>
        <w:t>campaig</w:t>
      </w:r>
      <w:r>
        <w:rPr>
          <w:color w:val="000000"/>
          <w:sz w:val="22"/>
          <w:szCs w:val="22"/>
        </w:rPr>
        <w:t>n</w:t>
      </w:r>
      <w:r w:rsidRPr="009978E3">
        <w:rPr>
          <w:sz w:val="22"/>
          <w:szCs w:val="22"/>
        </w:rPr>
        <w:t xml:space="preserve">, </w:t>
      </w:r>
      <w:r>
        <w:rPr>
          <w:sz w:val="22"/>
          <w:szCs w:val="22"/>
        </w:rPr>
        <w:t>which yielded biological information that is yet to be analysed and published.</w:t>
      </w:r>
      <w:r w:rsidRPr="009978E3">
        <w:rPr>
          <w:sz w:val="22"/>
          <w:szCs w:val="22"/>
        </w:rPr>
        <w:t xml:space="preserve"> </w:t>
      </w:r>
    </w:p>
    <w:p w14:paraId="59E207B3"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The study area has a wide variety of communities due to the occurrence of a great bathymetric variation, coupled with different types of substrates. Several communities are included under the Habitats Directive habitat type 1170 "Reefs". Regarding the infralittoral and circalittoral areas, there are different species of erect algae (mainly fucoids and red macroalgae), black corals </w:t>
      </w:r>
      <w:r>
        <w:rPr>
          <w:rFonts w:eastAsia="MS Mincho"/>
          <w:sz w:val="22"/>
          <w:szCs w:val="22"/>
        </w:rPr>
        <w:t>(</w:t>
      </w:r>
      <w:r w:rsidRPr="009978E3">
        <w:rPr>
          <w:rFonts w:eastAsia="MS Mincho"/>
          <w:i/>
          <w:iCs/>
          <w:sz w:val="22"/>
          <w:szCs w:val="22"/>
        </w:rPr>
        <w:t>Antipathella wollastoni</w:t>
      </w:r>
      <w:r>
        <w:rPr>
          <w:rFonts w:eastAsia="MS Mincho"/>
          <w:i/>
          <w:iCs/>
          <w:sz w:val="22"/>
          <w:szCs w:val="22"/>
        </w:rPr>
        <w:t>)</w:t>
      </w:r>
      <w:r w:rsidRPr="009978E3">
        <w:rPr>
          <w:rFonts w:eastAsia="MS Mincho"/>
          <w:sz w:val="22"/>
          <w:szCs w:val="22"/>
        </w:rPr>
        <w:t xml:space="preserve">, </w:t>
      </w:r>
      <w:r w:rsidRPr="009978E3">
        <w:rPr>
          <w:rFonts w:eastAsia="MS Mincho"/>
          <w:i/>
          <w:iCs/>
          <w:sz w:val="22"/>
          <w:szCs w:val="22"/>
        </w:rPr>
        <w:t>Stichopathes</w:t>
      </w:r>
      <w:r w:rsidRPr="009978E3">
        <w:rPr>
          <w:rFonts w:eastAsia="MS Mincho"/>
          <w:sz w:val="22"/>
          <w:szCs w:val="22"/>
        </w:rPr>
        <w:t xml:space="preserve"> spp.</w:t>
      </w:r>
      <w:r>
        <w:rPr>
          <w:rFonts w:eastAsia="MS Mincho"/>
          <w:sz w:val="22"/>
          <w:szCs w:val="22"/>
        </w:rPr>
        <w:t xml:space="preserve"> </w:t>
      </w:r>
      <w:r w:rsidRPr="009978E3">
        <w:rPr>
          <w:rFonts w:eastAsia="MS Mincho"/>
          <w:sz w:val="22"/>
          <w:szCs w:val="22"/>
        </w:rPr>
        <w:t>on the rocky slopes and gorgonians (</w:t>
      </w:r>
      <w:r w:rsidRPr="009978E3">
        <w:rPr>
          <w:rFonts w:eastAsia="MS Mincho"/>
          <w:i/>
          <w:iCs/>
          <w:sz w:val="22"/>
          <w:szCs w:val="22"/>
        </w:rPr>
        <w:t>Leptogorgia</w:t>
      </w:r>
      <w:r w:rsidRPr="009978E3">
        <w:rPr>
          <w:rFonts w:eastAsia="MS Mincho"/>
          <w:sz w:val="22"/>
          <w:szCs w:val="22"/>
        </w:rPr>
        <w:t xml:space="preserve"> spp) in mixed substrates (Martín-García </w:t>
      </w:r>
      <w:r w:rsidRPr="0006066A">
        <w:rPr>
          <w:rFonts w:eastAsia="MS Mincho"/>
          <w:i/>
          <w:sz w:val="22"/>
          <w:szCs w:val="22"/>
        </w:rPr>
        <w:t>et al</w:t>
      </w:r>
      <w:r w:rsidRPr="009978E3">
        <w:rPr>
          <w:rFonts w:eastAsia="MS Mincho"/>
          <w:sz w:val="22"/>
          <w:szCs w:val="22"/>
        </w:rPr>
        <w:t>, 2016).</w:t>
      </w:r>
    </w:p>
    <w:p w14:paraId="07858888"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In the bathyal zone, we highlight the presence of rocky bottoms with corals (antipataria) and large hexactinellid sponges (</w:t>
      </w:r>
      <w:r w:rsidRPr="009978E3">
        <w:rPr>
          <w:rFonts w:eastAsia="MS Mincho"/>
          <w:i/>
          <w:iCs/>
          <w:sz w:val="22"/>
          <w:szCs w:val="22"/>
        </w:rPr>
        <w:t>Asconema</w:t>
      </w:r>
      <w:r w:rsidRPr="009978E3">
        <w:rPr>
          <w:rFonts w:eastAsia="MS Mincho"/>
          <w:sz w:val="22"/>
          <w:szCs w:val="22"/>
        </w:rPr>
        <w:t xml:space="preserve">), frequently observed on different substrates (rocky, soft and mixed sediments) of bathyal zones. Other important habitats and communities are gorgonian forests comprising </w:t>
      </w:r>
      <w:r w:rsidRPr="009978E3">
        <w:rPr>
          <w:rFonts w:eastAsia="MS Mincho"/>
          <w:i/>
          <w:iCs/>
          <w:sz w:val="22"/>
          <w:szCs w:val="22"/>
        </w:rPr>
        <w:t>Callogorgia verticillata</w:t>
      </w:r>
      <w:r w:rsidRPr="009978E3">
        <w:rPr>
          <w:rFonts w:eastAsia="MS Mincho"/>
          <w:sz w:val="22"/>
          <w:szCs w:val="22"/>
        </w:rPr>
        <w:t xml:space="preserve"> and </w:t>
      </w:r>
      <w:r w:rsidRPr="009978E3">
        <w:rPr>
          <w:rFonts w:eastAsia="MS Mincho"/>
          <w:i/>
          <w:iCs/>
          <w:sz w:val="22"/>
          <w:szCs w:val="22"/>
        </w:rPr>
        <w:t>Narella bellissima</w:t>
      </w:r>
      <w:r w:rsidRPr="009978E3">
        <w:rPr>
          <w:rFonts w:eastAsia="MS Mincho"/>
          <w:sz w:val="22"/>
          <w:szCs w:val="22"/>
        </w:rPr>
        <w:t xml:space="preserve"> species and accompanied by high densities of </w:t>
      </w:r>
      <w:r w:rsidRPr="009978E3">
        <w:rPr>
          <w:rFonts w:eastAsia="MS Mincho"/>
          <w:i/>
          <w:iCs/>
          <w:sz w:val="22"/>
          <w:szCs w:val="22"/>
        </w:rPr>
        <w:t>Bebryce mollis</w:t>
      </w:r>
      <w:r w:rsidRPr="009978E3">
        <w:rPr>
          <w:rFonts w:eastAsia="MS Mincho"/>
          <w:sz w:val="22"/>
          <w:szCs w:val="22"/>
        </w:rPr>
        <w:t xml:space="preserve"> and </w:t>
      </w:r>
      <w:r w:rsidRPr="009978E3">
        <w:rPr>
          <w:rFonts w:eastAsia="MS Mincho"/>
          <w:i/>
          <w:iCs/>
          <w:sz w:val="22"/>
          <w:szCs w:val="22"/>
        </w:rPr>
        <w:t xml:space="preserve">Eunicella </w:t>
      </w:r>
      <w:r>
        <w:rPr>
          <w:rFonts w:eastAsia="MS Mincho"/>
          <w:i/>
          <w:iCs/>
          <w:sz w:val="22"/>
          <w:szCs w:val="22"/>
        </w:rPr>
        <w:t>verrucose</w:t>
      </w:r>
      <w:r>
        <w:rPr>
          <w:rFonts w:eastAsia="MS Mincho"/>
          <w:sz w:val="22"/>
          <w:szCs w:val="22"/>
        </w:rPr>
        <w:t>, as well as</w:t>
      </w:r>
      <w:r w:rsidRPr="009978E3">
        <w:rPr>
          <w:rFonts w:eastAsia="MS Mincho"/>
          <w:sz w:val="22"/>
          <w:szCs w:val="22"/>
        </w:rPr>
        <w:t xml:space="preserve"> </w:t>
      </w:r>
      <w:r w:rsidRPr="009978E3">
        <w:rPr>
          <w:rFonts w:eastAsia="MS Mincho"/>
          <w:i/>
          <w:iCs/>
          <w:sz w:val="22"/>
          <w:szCs w:val="22"/>
        </w:rPr>
        <w:t>Pheronema carpenteri</w:t>
      </w:r>
      <w:r w:rsidRPr="009978E3">
        <w:rPr>
          <w:rFonts w:eastAsia="MS Mincho"/>
          <w:sz w:val="22"/>
          <w:szCs w:val="22"/>
        </w:rPr>
        <w:t xml:space="preserve"> and </w:t>
      </w:r>
      <w:r w:rsidRPr="009978E3">
        <w:rPr>
          <w:rFonts w:eastAsia="MS Mincho"/>
          <w:i/>
          <w:iCs/>
          <w:sz w:val="22"/>
          <w:szCs w:val="22"/>
        </w:rPr>
        <w:t>Paramuricea biscaya</w:t>
      </w:r>
      <w:r w:rsidRPr="009978E3">
        <w:rPr>
          <w:rFonts w:eastAsia="MS Mincho"/>
          <w:sz w:val="22"/>
          <w:szCs w:val="22"/>
        </w:rPr>
        <w:t xml:space="preserve"> on rocky bottoms between 500 and 1500 m, or those formed by lithistid sponges (</w:t>
      </w:r>
      <w:r w:rsidRPr="009978E3">
        <w:rPr>
          <w:rFonts w:eastAsia="MS Mincho"/>
          <w:i/>
          <w:iCs/>
          <w:sz w:val="22"/>
          <w:szCs w:val="22"/>
        </w:rPr>
        <w:t>Leiodermatium-Neophryssospongia</w:t>
      </w:r>
      <w:r w:rsidRPr="009978E3">
        <w:rPr>
          <w:rFonts w:eastAsia="MS Mincho"/>
          <w:sz w:val="22"/>
          <w:szCs w:val="22"/>
        </w:rPr>
        <w:t xml:space="preserve">). At the same depth range, siliceous sponges occur on rocky substrates covered by sediments. The anthozoan </w:t>
      </w:r>
      <w:r w:rsidRPr="009978E3">
        <w:rPr>
          <w:rFonts w:eastAsia="MS Mincho"/>
          <w:i/>
          <w:iCs/>
          <w:sz w:val="22"/>
          <w:szCs w:val="22"/>
        </w:rPr>
        <w:t>Viminella flagellum</w:t>
      </w:r>
      <w:r w:rsidRPr="009978E3">
        <w:rPr>
          <w:rFonts w:eastAsia="MS Mincho"/>
          <w:sz w:val="22"/>
          <w:szCs w:val="22"/>
        </w:rPr>
        <w:t xml:space="preserve"> is also present mixed with these sponges. </w:t>
      </w:r>
      <w:r w:rsidRPr="009978E3">
        <w:rPr>
          <w:rFonts w:eastAsia="MS Mincho"/>
          <w:i/>
          <w:iCs/>
          <w:sz w:val="22"/>
          <w:szCs w:val="22"/>
        </w:rPr>
        <w:t>Corallium niobe</w:t>
      </w:r>
      <w:r w:rsidRPr="009978E3">
        <w:rPr>
          <w:rFonts w:eastAsia="MS Mincho"/>
          <w:sz w:val="22"/>
          <w:szCs w:val="22"/>
        </w:rPr>
        <w:t xml:space="preserve"> and </w:t>
      </w:r>
      <w:r w:rsidRPr="009978E3">
        <w:rPr>
          <w:rFonts w:eastAsia="MS Mincho"/>
          <w:i/>
          <w:iCs/>
          <w:sz w:val="22"/>
          <w:szCs w:val="22"/>
        </w:rPr>
        <w:t>Corallium tricolor</w:t>
      </w:r>
      <w:r w:rsidRPr="009978E3">
        <w:rPr>
          <w:rFonts w:eastAsia="MS Mincho"/>
          <w:sz w:val="22"/>
          <w:szCs w:val="22"/>
        </w:rPr>
        <w:t xml:space="preserve"> are found on rocky substrate between 500 and 1600m depth. It </w:t>
      </w:r>
      <w:r>
        <w:rPr>
          <w:rFonts w:eastAsia="MS Mincho"/>
          <w:sz w:val="22"/>
          <w:szCs w:val="22"/>
        </w:rPr>
        <w:t>should be noted</w:t>
      </w:r>
      <w:r w:rsidRPr="009978E3">
        <w:rPr>
          <w:rFonts w:eastAsia="MS Mincho"/>
          <w:sz w:val="22"/>
          <w:szCs w:val="22"/>
        </w:rPr>
        <w:t xml:space="preserve"> that habitats included in the 1170 habitat type relate to the group of white cold-water corals (Scleractinia), such as </w:t>
      </w:r>
      <w:r w:rsidRPr="009978E3">
        <w:rPr>
          <w:rFonts w:eastAsia="MS Mincho"/>
          <w:i/>
          <w:iCs/>
          <w:sz w:val="22"/>
          <w:szCs w:val="22"/>
        </w:rPr>
        <w:t>Dendrophyllia cornigera</w:t>
      </w:r>
      <w:r w:rsidRPr="009978E3">
        <w:rPr>
          <w:rFonts w:eastAsia="MS Mincho"/>
          <w:sz w:val="22"/>
          <w:szCs w:val="22"/>
        </w:rPr>
        <w:t xml:space="preserve"> and </w:t>
      </w:r>
      <w:r w:rsidRPr="009978E3">
        <w:rPr>
          <w:rFonts w:eastAsia="MS Mincho"/>
          <w:i/>
          <w:iCs/>
          <w:sz w:val="22"/>
          <w:szCs w:val="22"/>
        </w:rPr>
        <w:t>Phakellia ventilabrum</w:t>
      </w:r>
      <w:r w:rsidRPr="009978E3">
        <w:rPr>
          <w:rFonts w:eastAsia="MS Mincho"/>
          <w:sz w:val="22"/>
          <w:szCs w:val="22"/>
        </w:rPr>
        <w:t xml:space="preserve">, which usually appear in the rocky reefs of the lower part of the continental shelf and upper area of the slope, and the deep coral reefs of </w:t>
      </w:r>
      <w:r w:rsidRPr="009978E3">
        <w:rPr>
          <w:rFonts w:eastAsia="MS Mincho"/>
          <w:i/>
          <w:iCs/>
          <w:sz w:val="22"/>
          <w:szCs w:val="22"/>
        </w:rPr>
        <w:t>Lophelia pertusa</w:t>
      </w:r>
      <w:r w:rsidRPr="009978E3">
        <w:rPr>
          <w:rFonts w:eastAsia="MS Mincho"/>
          <w:sz w:val="22"/>
          <w:szCs w:val="22"/>
        </w:rPr>
        <w:t xml:space="preserve"> and / or </w:t>
      </w:r>
      <w:r w:rsidRPr="009978E3">
        <w:rPr>
          <w:rFonts w:eastAsia="MS Mincho"/>
          <w:i/>
          <w:iCs/>
          <w:sz w:val="22"/>
          <w:szCs w:val="22"/>
        </w:rPr>
        <w:t>Madrepora oculata</w:t>
      </w:r>
      <w:r w:rsidRPr="009978E3">
        <w:rPr>
          <w:rFonts w:eastAsia="MS Mincho"/>
          <w:sz w:val="22"/>
          <w:szCs w:val="22"/>
        </w:rPr>
        <w:t>, and the habitat defined by a white coral of cold waters</w:t>
      </w:r>
      <w:r w:rsidRPr="009978E3">
        <w:rPr>
          <w:rFonts w:eastAsia="MS Mincho"/>
          <w:i/>
          <w:iCs/>
          <w:sz w:val="22"/>
          <w:szCs w:val="22"/>
        </w:rPr>
        <w:t xml:space="preserve"> Solenosmilia variabilis, </w:t>
      </w:r>
      <w:r w:rsidRPr="009978E3">
        <w:rPr>
          <w:sz w:val="22"/>
          <w:szCs w:val="22"/>
        </w:rPr>
        <w:t>the main framework building coral of reefs</w:t>
      </w:r>
      <w:r w:rsidRPr="009978E3">
        <w:rPr>
          <w:rFonts w:eastAsia="MS Mincho"/>
          <w:sz w:val="22"/>
          <w:szCs w:val="22"/>
        </w:rPr>
        <w:t xml:space="preserve"> in deeper areas between 1300 and 1700 m.</w:t>
      </w:r>
    </w:p>
    <w:p w14:paraId="529910B9"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In soft bottoms, considered </w:t>
      </w:r>
      <w:r>
        <w:rPr>
          <w:rFonts w:eastAsia="MS Mincho"/>
          <w:sz w:val="22"/>
          <w:szCs w:val="22"/>
        </w:rPr>
        <w:t>the “</w:t>
      </w:r>
      <w:r w:rsidRPr="009978E3">
        <w:rPr>
          <w:rFonts w:eastAsia="MS Mincho"/>
          <w:sz w:val="22"/>
          <w:szCs w:val="22"/>
        </w:rPr>
        <w:t>1110</w:t>
      </w:r>
      <w:r>
        <w:rPr>
          <w:rFonts w:eastAsia="MS Mincho"/>
          <w:sz w:val="22"/>
          <w:szCs w:val="22"/>
        </w:rPr>
        <w:t xml:space="preserve">” </w:t>
      </w:r>
      <w:r w:rsidRPr="009978E3">
        <w:rPr>
          <w:rFonts w:eastAsia="MS Mincho"/>
          <w:sz w:val="22"/>
          <w:szCs w:val="22"/>
        </w:rPr>
        <w:t>habitat type</w:t>
      </w:r>
      <w:r w:rsidRPr="00744281">
        <w:rPr>
          <w:rFonts w:eastAsia="MS Mincho"/>
          <w:sz w:val="22"/>
          <w:szCs w:val="22"/>
        </w:rPr>
        <w:t xml:space="preserve"> </w:t>
      </w:r>
      <w:r>
        <w:rPr>
          <w:rFonts w:eastAsia="MS Mincho"/>
          <w:sz w:val="22"/>
          <w:szCs w:val="22"/>
        </w:rPr>
        <w:t xml:space="preserve">under </w:t>
      </w:r>
      <w:r w:rsidRPr="009978E3">
        <w:rPr>
          <w:rFonts w:eastAsia="MS Mincho"/>
          <w:sz w:val="22"/>
          <w:szCs w:val="22"/>
        </w:rPr>
        <w:t xml:space="preserve">the Habitats Directive, we have found important communities at shallow depths, such as seagrass meadows of </w:t>
      </w:r>
      <w:r w:rsidRPr="009978E3">
        <w:rPr>
          <w:rFonts w:eastAsia="MS Mincho"/>
          <w:i/>
          <w:iCs/>
          <w:sz w:val="22"/>
          <w:szCs w:val="22"/>
        </w:rPr>
        <w:t>Cymodocea nodosa</w:t>
      </w:r>
      <w:r w:rsidRPr="009978E3">
        <w:rPr>
          <w:rFonts w:eastAsia="MS Mincho"/>
          <w:sz w:val="22"/>
          <w:szCs w:val="22"/>
        </w:rPr>
        <w:t xml:space="preserve"> and </w:t>
      </w:r>
      <w:r w:rsidRPr="009978E3">
        <w:rPr>
          <w:rFonts w:eastAsia="MS Mincho"/>
          <w:i/>
          <w:iCs/>
          <w:sz w:val="22"/>
          <w:szCs w:val="22"/>
        </w:rPr>
        <w:t>Halophila decipiens</w:t>
      </w:r>
      <w:r w:rsidRPr="009978E3">
        <w:rPr>
          <w:rFonts w:eastAsia="MS Mincho"/>
          <w:sz w:val="22"/>
          <w:szCs w:val="22"/>
        </w:rPr>
        <w:t xml:space="preserve"> sometimes mixed with the green algae </w:t>
      </w:r>
      <w:r w:rsidRPr="009978E3">
        <w:rPr>
          <w:rFonts w:eastAsia="MS Mincho"/>
          <w:i/>
          <w:iCs/>
          <w:sz w:val="22"/>
          <w:szCs w:val="22"/>
        </w:rPr>
        <w:t>Caulerpa prolifera</w:t>
      </w:r>
      <w:r w:rsidRPr="009978E3">
        <w:rPr>
          <w:rFonts w:eastAsia="MS Mincho"/>
          <w:sz w:val="22"/>
          <w:szCs w:val="22"/>
        </w:rPr>
        <w:t>, or the large populations of garden eels (</w:t>
      </w:r>
      <w:r w:rsidRPr="009978E3">
        <w:rPr>
          <w:rFonts w:eastAsia="MS Mincho"/>
          <w:i/>
          <w:iCs/>
          <w:sz w:val="22"/>
          <w:szCs w:val="22"/>
        </w:rPr>
        <w:t>Heteronger longissimus</w:t>
      </w:r>
      <w:r w:rsidRPr="009978E3">
        <w:rPr>
          <w:rFonts w:eastAsia="MS Mincho"/>
          <w:sz w:val="22"/>
          <w:szCs w:val="22"/>
        </w:rPr>
        <w:t xml:space="preserve">). The coral </w:t>
      </w:r>
      <w:r w:rsidRPr="009978E3">
        <w:rPr>
          <w:rFonts w:eastAsia="MS Mincho"/>
          <w:i/>
          <w:iCs/>
          <w:sz w:val="22"/>
          <w:szCs w:val="22"/>
        </w:rPr>
        <w:t>Flabellum</w:t>
      </w:r>
      <w:r>
        <w:rPr>
          <w:rFonts w:eastAsia="MS Mincho"/>
          <w:i/>
          <w:iCs/>
          <w:sz w:val="22"/>
          <w:szCs w:val="22"/>
        </w:rPr>
        <w:t>,</w:t>
      </w:r>
      <w:r w:rsidRPr="009978E3">
        <w:rPr>
          <w:rFonts w:eastAsia="MS Mincho"/>
          <w:sz w:val="22"/>
          <w:szCs w:val="22"/>
        </w:rPr>
        <w:t xml:space="preserve"> which lives on sandy bottoms, together with sea urchins, and the habitat defined by dead coral or rubble are all present in </w:t>
      </w:r>
      <w:r>
        <w:rPr>
          <w:rFonts w:eastAsia="MS Mincho"/>
          <w:sz w:val="22"/>
          <w:szCs w:val="22"/>
        </w:rPr>
        <w:t xml:space="preserve">the </w:t>
      </w:r>
      <w:r w:rsidRPr="009978E3">
        <w:rPr>
          <w:rFonts w:eastAsia="MS Mincho"/>
          <w:sz w:val="22"/>
          <w:szCs w:val="22"/>
        </w:rPr>
        <w:t xml:space="preserve">bathyal and muddy seabed (Martín-Sosa </w:t>
      </w:r>
      <w:r w:rsidRPr="0006066A">
        <w:rPr>
          <w:rFonts w:eastAsia="MS Mincho"/>
          <w:i/>
          <w:sz w:val="22"/>
          <w:szCs w:val="22"/>
        </w:rPr>
        <w:t>et al</w:t>
      </w:r>
      <w:r w:rsidRPr="009978E3">
        <w:rPr>
          <w:rFonts w:eastAsia="MS Mincho"/>
          <w:sz w:val="22"/>
          <w:szCs w:val="22"/>
        </w:rPr>
        <w:t xml:space="preserve">, 2013). </w:t>
      </w:r>
    </w:p>
    <w:p w14:paraId="4BDA7B2A" w14:textId="77777777" w:rsidR="006B3F46" w:rsidRPr="009978E3" w:rsidRDefault="006B3F46" w:rsidP="002E4B39">
      <w:pPr>
        <w:suppressLineNumbers/>
        <w:spacing w:after="120"/>
        <w:jc w:val="both"/>
        <w:rPr>
          <w:rFonts w:eastAsia="MS Mincho"/>
          <w:sz w:val="22"/>
          <w:szCs w:val="22"/>
          <w:lang w:val="en-US" w:eastAsia="ja-JP"/>
        </w:rPr>
      </w:pPr>
      <w:r>
        <w:rPr>
          <w:rFonts w:eastAsia="MS Mincho"/>
          <w:sz w:val="22"/>
          <w:szCs w:val="22"/>
        </w:rPr>
        <w:t>Three species of</w:t>
      </w:r>
      <w:r w:rsidRPr="009978E3">
        <w:rPr>
          <w:rFonts w:eastAsia="MS Mincho"/>
          <w:sz w:val="22"/>
          <w:szCs w:val="22"/>
        </w:rPr>
        <w:t xml:space="preserve"> seagrass meadows</w:t>
      </w:r>
      <w:r w:rsidRPr="009978E3">
        <w:rPr>
          <w:rFonts w:eastAsia="MS Mincho"/>
          <w:sz w:val="22"/>
          <w:szCs w:val="22"/>
          <w:lang w:val="en-US" w:eastAsia="ja-JP"/>
        </w:rPr>
        <w:t xml:space="preserve"> have been found in the Canary Islands: </w:t>
      </w:r>
      <w:r w:rsidRPr="009978E3">
        <w:rPr>
          <w:rFonts w:eastAsia="MS Mincho"/>
          <w:i/>
          <w:sz w:val="22"/>
          <w:szCs w:val="22"/>
          <w:lang w:val="en-US" w:eastAsia="ja-JP"/>
        </w:rPr>
        <w:t>Cymodocea nodosa</w:t>
      </w:r>
      <w:r w:rsidRPr="009978E3">
        <w:rPr>
          <w:rFonts w:eastAsia="MS Mincho"/>
          <w:sz w:val="22"/>
          <w:szCs w:val="22"/>
          <w:lang w:val="en-US" w:eastAsia="ja-JP"/>
        </w:rPr>
        <w:t xml:space="preserve">, </w:t>
      </w:r>
      <w:r w:rsidRPr="009978E3">
        <w:rPr>
          <w:rFonts w:eastAsia="MS Mincho"/>
          <w:i/>
          <w:sz w:val="22"/>
          <w:szCs w:val="22"/>
          <w:lang w:val="en-US" w:eastAsia="ja-JP"/>
        </w:rPr>
        <w:t>Halophila decipiens</w:t>
      </w:r>
      <w:r w:rsidRPr="009978E3">
        <w:rPr>
          <w:rFonts w:eastAsia="MS Mincho"/>
          <w:sz w:val="22"/>
          <w:szCs w:val="22"/>
          <w:lang w:val="en-US" w:eastAsia="ja-JP"/>
        </w:rPr>
        <w:t xml:space="preserve"> and </w:t>
      </w:r>
      <w:r w:rsidRPr="009978E3">
        <w:rPr>
          <w:rFonts w:eastAsia="MS Mincho"/>
          <w:i/>
          <w:sz w:val="22"/>
          <w:szCs w:val="22"/>
          <w:lang w:val="en-US" w:eastAsia="ja-JP"/>
        </w:rPr>
        <w:t>Zostera noltii</w:t>
      </w:r>
      <w:r w:rsidRPr="009978E3">
        <w:rPr>
          <w:rFonts w:eastAsia="MS Mincho"/>
          <w:sz w:val="22"/>
          <w:szCs w:val="22"/>
          <w:lang w:val="en-US" w:eastAsia="ja-JP"/>
        </w:rPr>
        <w:t xml:space="preserve">. However, </w:t>
      </w:r>
      <w:r w:rsidRPr="009978E3">
        <w:rPr>
          <w:rFonts w:eastAsia="MS Mincho"/>
          <w:i/>
          <w:sz w:val="22"/>
          <w:szCs w:val="22"/>
          <w:lang w:val="en-US" w:eastAsia="ja-JP"/>
        </w:rPr>
        <w:t>C. nodosa</w:t>
      </w:r>
      <w:r w:rsidRPr="009978E3">
        <w:rPr>
          <w:rFonts w:eastAsia="MS Mincho"/>
          <w:sz w:val="22"/>
          <w:szCs w:val="22"/>
          <w:lang w:val="en-US" w:eastAsia="ja-JP"/>
        </w:rPr>
        <w:t xml:space="preserve"> is the seagrass that forms the largest meadows throughout the Canary Islands, </w:t>
      </w:r>
      <w:r>
        <w:rPr>
          <w:rFonts w:eastAsia="MS Mincho"/>
          <w:sz w:val="22"/>
          <w:szCs w:val="22"/>
          <w:lang w:val="en-US" w:eastAsia="ja-JP"/>
        </w:rPr>
        <w:t>and it is of greater</w:t>
      </w:r>
      <w:r w:rsidRPr="009978E3">
        <w:rPr>
          <w:rFonts w:eastAsia="MS Mincho"/>
          <w:sz w:val="22"/>
          <w:szCs w:val="22"/>
          <w:lang w:val="en-US" w:eastAsia="ja-JP"/>
        </w:rPr>
        <w:t xml:space="preserve"> importance in marine ecosystems (Reyes </w:t>
      </w:r>
      <w:r w:rsidRPr="0006066A">
        <w:rPr>
          <w:rFonts w:eastAsia="MS Mincho"/>
          <w:i/>
          <w:sz w:val="22"/>
          <w:szCs w:val="22"/>
          <w:lang w:val="en-US" w:eastAsia="ja-JP"/>
        </w:rPr>
        <w:t>et al</w:t>
      </w:r>
      <w:r w:rsidRPr="009978E3">
        <w:rPr>
          <w:rFonts w:eastAsia="MS Mincho"/>
          <w:sz w:val="22"/>
          <w:szCs w:val="22"/>
          <w:lang w:val="en-US" w:eastAsia="ja-JP"/>
        </w:rPr>
        <w:t xml:space="preserve">. 1995, Barquín-Diez </w:t>
      </w:r>
      <w:r w:rsidRPr="0006066A">
        <w:rPr>
          <w:rFonts w:eastAsia="MS Mincho"/>
          <w:i/>
          <w:sz w:val="22"/>
          <w:szCs w:val="22"/>
          <w:lang w:val="en-US" w:eastAsia="ja-JP"/>
        </w:rPr>
        <w:t>et al</w:t>
      </w:r>
      <w:r w:rsidRPr="009978E3">
        <w:rPr>
          <w:rFonts w:eastAsia="MS Mincho"/>
          <w:sz w:val="22"/>
          <w:szCs w:val="22"/>
          <w:lang w:val="en-US" w:eastAsia="ja-JP"/>
        </w:rPr>
        <w:t xml:space="preserve">., 2005). Seagrass meadows play a crucial role in coastal areas because of their high primary production and their support to the increasing biodiversity (Mazzella </w:t>
      </w:r>
      <w:r w:rsidRPr="0006066A">
        <w:rPr>
          <w:rFonts w:eastAsia="MS Mincho"/>
          <w:i/>
          <w:sz w:val="22"/>
          <w:szCs w:val="22"/>
          <w:lang w:val="en-US" w:eastAsia="ja-JP"/>
        </w:rPr>
        <w:t>et al</w:t>
      </w:r>
      <w:r w:rsidRPr="009978E3">
        <w:rPr>
          <w:rFonts w:eastAsia="MS Mincho"/>
          <w:sz w:val="22"/>
          <w:szCs w:val="22"/>
          <w:lang w:val="en-US" w:eastAsia="ja-JP"/>
        </w:rPr>
        <w:t xml:space="preserve">., 1993) and food web complexity (Mazzella </w:t>
      </w:r>
      <w:r w:rsidRPr="0006066A">
        <w:rPr>
          <w:rFonts w:eastAsia="MS Mincho"/>
          <w:i/>
          <w:sz w:val="22"/>
          <w:szCs w:val="22"/>
          <w:lang w:val="en-US" w:eastAsia="ja-JP"/>
        </w:rPr>
        <w:t>et al</w:t>
      </w:r>
      <w:r w:rsidRPr="009978E3">
        <w:rPr>
          <w:rFonts w:eastAsia="MS Mincho"/>
          <w:sz w:val="22"/>
          <w:szCs w:val="22"/>
          <w:lang w:val="en-US" w:eastAsia="ja-JP"/>
        </w:rPr>
        <w:t xml:space="preserve">., 1992; Buia </w:t>
      </w:r>
      <w:r w:rsidRPr="0006066A">
        <w:rPr>
          <w:rFonts w:eastAsia="MS Mincho"/>
          <w:i/>
          <w:sz w:val="22"/>
          <w:szCs w:val="22"/>
          <w:lang w:val="en-US" w:eastAsia="ja-JP"/>
        </w:rPr>
        <w:t>et al</w:t>
      </w:r>
      <w:r w:rsidRPr="009978E3">
        <w:rPr>
          <w:rFonts w:eastAsia="MS Mincho"/>
          <w:sz w:val="22"/>
          <w:szCs w:val="22"/>
          <w:lang w:val="en-US" w:eastAsia="ja-JP"/>
        </w:rPr>
        <w:t>.,2000). But seagrass meadows are undergoing a world-wide decline, with global loss rates estimated at 2-5</w:t>
      </w:r>
      <w:r>
        <w:rPr>
          <w:rFonts w:eastAsia="MS Mincho"/>
          <w:sz w:val="22"/>
          <w:szCs w:val="22"/>
          <w:lang w:val="en-US" w:eastAsia="ja-JP"/>
        </w:rPr>
        <w:t xml:space="preserve"> per cent</w:t>
      </w:r>
      <w:r w:rsidRPr="009978E3">
        <w:rPr>
          <w:rFonts w:eastAsia="MS Mincho"/>
          <w:sz w:val="22"/>
          <w:szCs w:val="22"/>
          <w:lang w:val="en-US" w:eastAsia="ja-JP"/>
        </w:rPr>
        <w:t xml:space="preserve"> </w:t>
      </w:r>
      <w:r>
        <w:rPr>
          <w:rFonts w:eastAsia="MS Mincho"/>
          <w:sz w:val="22"/>
          <w:szCs w:val="22"/>
          <w:lang w:val="en-US" w:eastAsia="ja-JP"/>
        </w:rPr>
        <w:t xml:space="preserve">per </w:t>
      </w:r>
      <w:r w:rsidRPr="009978E3">
        <w:rPr>
          <w:rFonts w:eastAsia="MS Mincho"/>
          <w:sz w:val="22"/>
          <w:szCs w:val="22"/>
          <w:lang w:val="en-US" w:eastAsia="ja-JP"/>
        </w:rPr>
        <w:t>year, compared to 0.5</w:t>
      </w:r>
      <w:r>
        <w:rPr>
          <w:rFonts w:eastAsia="MS Mincho"/>
          <w:sz w:val="22"/>
          <w:szCs w:val="22"/>
          <w:lang w:val="en-US" w:eastAsia="ja-JP"/>
        </w:rPr>
        <w:t xml:space="preserve"> per cent</w:t>
      </w:r>
      <w:r w:rsidRPr="009978E3">
        <w:rPr>
          <w:rFonts w:eastAsia="MS Mincho"/>
          <w:sz w:val="22"/>
          <w:szCs w:val="22"/>
          <w:lang w:val="en-US" w:eastAsia="ja-JP"/>
        </w:rPr>
        <w:t xml:space="preserve"> </w:t>
      </w:r>
      <w:r>
        <w:rPr>
          <w:rFonts w:eastAsia="MS Mincho"/>
          <w:sz w:val="22"/>
          <w:szCs w:val="22"/>
          <w:lang w:val="en-US" w:eastAsia="ja-JP"/>
        </w:rPr>
        <w:t xml:space="preserve">per </w:t>
      </w:r>
      <w:r w:rsidRPr="009978E3">
        <w:rPr>
          <w:rFonts w:eastAsia="MS Mincho"/>
          <w:sz w:val="22"/>
          <w:szCs w:val="22"/>
          <w:lang w:val="en-US" w:eastAsia="ja-JP"/>
        </w:rPr>
        <w:t xml:space="preserve">year for tropical forests (Duarte &amp; Gattuso, 2008). In the Canaries, </w:t>
      </w:r>
      <w:r w:rsidRPr="009978E3">
        <w:rPr>
          <w:rFonts w:eastAsia="MS Mincho"/>
          <w:i/>
          <w:sz w:val="22"/>
          <w:szCs w:val="22"/>
          <w:lang w:val="en-US" w:eastAsia="ja-JP"/>
        </w:rPr>
        <w:t>Cymodocea</w:t>
      </w:r>
      <w:r w:rsidRPr="009978E3">
        <w:rPr>
          <w:rFonts w:eastAsia="MS Mincho"/>
          <w:sz w:val="22"/>
          <w:szCs w:val="22"/>
          <w:lang w:val="en-US" w:eastAsia="ja-JP"/>
        </w:rPr>
        <w:t xml:space="preserve"> meadows are considered a habitat in decline throughout the coastal areas; hence </w:t>
      </w:r>
      <w:r w:rsidRPr="009978E3">
        <w:rPr>
          <w:rFonts w:eastAsia="MS Mincho"/>
          <w:i/>
          <w:sz w:val="22"/>
          <w:szCs w:val="22"/>
          <w:lang w:val="en-US" w:eastAsia="ja-JP"/>
        </w:rPr>
        <w:t>Cymodocea nodosa</w:t>
      </w:r>
      <w:r w:rsidRPr="009978E3">
        <w:rPr>
          <w:rFonts w:eastAsia="MS Mincho"/>
          <w:sz w:val="22"/>
          <w:szCs w:val="22"/>
          <w:lang w:val="en-US" w:eastAsia="ja-JP"/>
        </w:rPr>
        <w:t xml:space="preserve"> </w:t>
      </w:r>
      <w:r>
        <w:rPr>
          <w:rFonts w:eastAsia="MS Mincho"/>
          <w:sz w:val="22"/>
          <w:szCs w:val="22"/>
          <w:lang w:val="en-US" w:eastAsia="ja-JP"/>
        </w:rPr>
        <w:t>has been</w:t>
      </w:r>
      <w:r w:rsidRPr="009978E3">
        <w:rPr>
          <w:rFonts w:eastAsia="MS Mincho"/>
          <w:sz w:val="22"/>
          <w:szCs w:val="22"/>
          <w:lang w:val="en-US" w:eastAsia="ja-JP"/>
        </w:rPr>
        <w:t xml:space="preserve"> legislated as an endangered species.</w:t>
      </w:r>
    </w:p>
    <w:p w14:paraId="6BC23363" w14:textId="77777777" w:rsidR="006B3F46" w:rsidRPr="009978E3" w:rsidRDefault="006B3F46" w:rsidP="002E4B39">
      <w:pPr>
        <w:suppressLineNumbers/>
        <w:spacing w:after="120"/>
        <w:jc w:val="both"/>
        <w:rPr>
          <w:rFonts w:eastAsia="MS Mincho"/>
          <w:sz w:val="22"/>
          <w:szCs w:val="22"/>
          <w:lang w:val="en-US" w:eastAsia="ja-JP"/>
        </w:rPr>
      </w:pPr>
      <w:r w:rsidRPr="009978E3">
        <w:rPr>
          <w:rFonts w:eastAsia="MS Mincho"/>
          <w:sz w:val="22"/>
          <w:szCs w:val="22"/>
          <w:lang w:val="en-US"/>
        </w:rPr>
        <w:t>Seaweed</w:t>
      </w:r>
      <w:r w:rsidRPr="009978E3">
        <w:rPr>
          <w:rFonts w:eastAsia="MS Mincho"/>
          <w:sz w:val="22"/>
          <w:szCs w:val="22"/>
          <w:lang w:val="en-US" w:eastAsia="ja-JP"/>
        </w:rPr>
        <w:t xml:space="preserve"> assemblages, dominated by the brown algae </w:t>
      </w:r>
      <w:r>
        <w:rPr>
          <w:rFonts w:eastAsia="MS Mincho"/>
          <w:sz w:val="22"/>
          <w:szCs w:val="22"/>
          <w:lang w:val="en-US" w:eastAsia="ja-JP"/>
        </w:rPr>
        <w:t>(</w:t>
      </w:r>
      <w:r w:rsidRPr="009978E3">
        <w:rPr>
          <w:rFonts w:eastAsia="MS Mincho"/>
          <w:i/>
          <w:sz w:val="22"/>
          <w:szCs w:val="22"/>
          <w:lang w:val="en-US" w:eastAsia="ja-JP"/>
        </w:rPr>
        <w:t>Cystoseira abies-marina</w:t>
      </w:r>
      <w:r>
        <w:rPr>
          <w:rFonts w:eastAsia="MS Mincho"/>
          <w:sz w:val="22"/>
          <w:szCs w:val="22"/>
          <w:lang w:val="en-US" w:eastAsia="ja-JP"/>
        </w:rPr>
        <w:t xml:space="preserve"> and</w:t>
      </w:r>
      <w:r w:rsidRPr="009978E3">
        <w:rPr>
          <w:rFonts w:eastAsia="MS Mincho"/>
          <w:sz w:val="22"/>
          <w:szCs w:val="22"/>
          <w:lang w:val="en-US" w:eastAsia="ja-JP"/>
        </w:rPr>
        <w:t xml:space="preserve"> </w:t>
      </w:r>
      <w:r w:rsidRPr="009978E3">
        <w:rPr>
          <w:rFonts w:eastAsia="MS Mincho"/>
          <w:i/>
          <w:sz w:val="22"/>
          <w:szCs w:val="22"/>
          <w:lang w:val="en-US" w:eastAsia="ja-JP"/>
        </w:rPr>
        <w:t xml:space="preserve">Lobophora </w:t>
      </w:r>
      <w:r>
        <w:rPr>
          <w:rFonts w:eastAsia="MS Mincho"/>
          <w:i/>
          <w:sz w:val="22"/>
          <w:szCs w:val="22"/>
          <w:lang w:val="en-US" w:eastAsia="ja-JP"/>
        </w:rPr>
        <w:t>variegate)</w:t>
      </w:r>
      <w:r w:rsidRPr="009978E3">
        <w:rPr>
          <w:rFonts w:eastAsia="MS Mincho"/>
          <w:sz w:val="22"/>
          <w:szCs w:val="22"/>
          <w:lang w:val="en-US" w:eastAsia="ja-JP"/>
        </w:rPr>
        <w:t>, red algae (</w:t>
      </w:r>
      <w:r w:rsidRPr="009978E3">
        <w:rPr>
          <w:rFonts w:eastAsia="MS Mincho"/>
          <w:i/>
          <w:sz w:val="22"/>
          <w:szCs w:val="22"/>
          <w:lang w:val="en-US" w:eastAsia="ja-JP"/>
        </w:rPr>
        <w:t>Gelidium</w:t>
      </w:r>
      <w:r w:rsidRPr="009978E3">
        <w:rPr>
          <w:rFonts w:eastAsia="MS Mincho"/>
          <w:sz w:val="22"/>
          <w:szCs w:val="22"/>
          <w:lang w:val="en-US" w:eastAsia="ja-JP"/>
        </w:rPr>
        <w:t xml:space="preserve"> spp.) or mixed species (</w:t>
      </w:r>
      <w:r w:rsidRPr="009978E3">
        <w:rPr>
          <w:rFonts w:eastAsia="MS Mincho"/>
          <w:i/>
          <w:sz w:val="22"/>
          <w:szCs w:val="22"/>
          <w:lang w:val="en-US" w:eastAsia="ja-JP"/>
        </w:rPr>
        <w:t>Dyctiota, Lobophora</w:t>
      </w:r>
      <w:r w:rsidRPr="009978E3">
        <w:rPr>
          <w:rFonts w:eastAsia="MS Mincho"/>
          <w:sz w:val="22"/>
          <w:szCs w:val="22"/>
          <w:lang w:val="en-US" w:eastAsia="ja-JP"/>
        </w:rPr>
        <w:t xml:space="preserve"> and filamentous red algae) cover a high proportion of the hard substrate with good conservation status in the infralittoral zone (Martín-García </w:t>
      </w:r>
      <w:r w:rsidRPr="0006066A">
        <w:rPr>
          <w:rFonts w:eastAsia="MS Mincho"/>
          <w:i/>
          <w:sz w:val="22"/>
          <w:szCs w:val="22"/>
          <w:lang w:val="en-US" w:eastAsia="ja-JP"/>
        </w:rPr>
        <w:t>et al</w:t>
      </w:r>
      <w:r w:rsidRPr="009978E3">
        <w:rPr>
          <w:rFonts w:eastAsia="MS Mincho"/>
          <w:sz w:val="22"/>
          <w:szCs w:val="22"/>
          <w:lang w:val="en-US" w:eastAsia="ja-JP"/>
        </w:rPr>
        <w:t>. 2016). These communities have high biological productivity</w:t>
      </w:r>
      <w:r>
        <w:rPr>
          <w:rFonts w:eastAsia="MS Mincho"/>
          <w:sz w:val="22"/>
          <w:szCs w:val="22"/>
          <w:lang w:val="en-US" w:eastAsia="ja-JP"/>
        </w:rPr>
        <w:t xml:space="preserve"> and</w:t>
      </w:r>
      <w:r w:rsidRPr="009978E3">
        <w:rPr>
          <w:rFonts w:eastAsia="MS Mincho"/>
          <w:sz w:val="22"/>
          <w:szCs w:val="22"/>
          <w:lang w:val="en-US" w:eastAsia="ja-JP"/>
        </w:rPr>
        <w:t xml:space="preserve"> represent refuge habitat for fish and juveniles of many species. In deeper bottoms (from 30 m depth) but in the infralittoral areas, there are vast areas of maërl (</w:t>
      </w:r>
      <w:r w:rsidRPr="009978E3">
        <w:rPr>
          <w:rFonts w:eastAsia="MS Mincho"/>
          <w:i/>
          <w:sz w:val="22"/>
          <w:szCs w:val="22"/>
          <w:lang w:val="en-US" w:eastAsia="ja-JP"/>
        </w:rPr>
        <w:t>Lithothamniun corallioides</w:t>
      </w:r>
      <w:r w:rsidRPr="009978E3">
        <w:rPr>
          <w:rFonts w:eastAsia="MS Mincho"/>
          <w:sz w:val="22"/>
          <w:szCs w:val="22"/>
          <w:lang w:val="en-US" w:eastAsia="ja-JP"/>
        </w:rPr>
        <w:t xml:space="preserve">, </w:t>
      </w:r>
      <w:r w:rsidRPr="009978E3">
        <w:rPr>
          <w:rFonts w:eastAsia="MS Mincho"/>
          <w:i/>
          <w:iCs/>
          <w:sz w:val="22"/>
          <w:szCs w:val="22"/>
          <w:lang w:val="en-US" w:eastAsia="ja-JP"/>
        </w:rPr>
        <w:t>Lithophyllum</w:t>
      </w:r>
      <w:r w:rsidRPr="009978E3">
        <w:rPr>
          <w:rFonts w:eastAsia="MS Mincho"/>
          <w:sz w:val="22"/>
          <w:szCs w:val="22"/>
          <w:lang w:val="en-US" w:eastAsia="ja-JP"/>
        </w:rPr>
        <w:t xml:space="preserve">, </w:t>
      </w:r>
      <w:r w:rsidRPr="009978E3">
        <w:rPr>
          <w:rFonts w:eastAsia="MS Mincho"/>
          <w:i/>
          <w:iCs/>
          <w:sz w:val="22"/>
          <w:szCs w:val="22"/>
          <w:lang w:val="en-US" w:eastAsia="ja-JP"/>
        </w:rPr>
        <w:t>Mesophyllum</w:t>
      </w:r>
      <w:r w:rsidRPr="009978E3">
        <w:rPr>
          <w:rFonts w:eastAsia="MS Mincho"/>
          <w:sz w:val="22"/>
          <w:szCs w:val="22"/>
          <w:lang w:val="en-US" w:eastAsia="ja-JP"/>
        </w:rPr>
        <w:t xml:space="preserve"> y </w:t>
      </w:r>
      <w:r w:rsidRPr="009978E3">
        <w:rPr>
          <w:rFonts w:eastAsia="MS Mincho"/>
          <w:i/>
          <w:iCs/>
          <w:sz w:val="22"/>
          <w:szCs w:val="22"/>
          <w:lang w:val="en-US" w:eastAsia="ja-JP"/>
        </w:rPr>
        <w:t>Peyssonnelia rosa-marina</w:t>
      </w:r>
      <w:r w:rsidRPr="009978E3">
        <w:rPr>
          <w:rFonts w:eastAsia="MS Mincho"/>
          <w:iCs/>
          <w:sz w:val="22"/>
          <w:szCs w:val="22"/>
          <w:lang w:val="en-US" w:eastAsia="ja-JP"/>
        </w:rPr>
        <w:t>)</w:t>
      </w:r>
      <w:r w:rsidRPr="009978E3">
        <w:rPr>
          <w:rFonts w:eastAsia="MS Mincho"/>
          <w:sz w:val="22"/>
          <w:szCs w:val="22"/>
          <w:lang w:val="en-US" w:eastAsia="ja-JP"/>
        </w:rPr>
        <w:t xml:space="preserve"> around the islands (Afonso-Carrillo &amp; Gil-Rodríguez, 1982), most of them understudied.  Maërl beds can harbour high densities of broodstock bivalves and act as nursery areas for the juvenile stages of commercial species (Barberá </w:t>
      </w:r>
      <w:r w:rsidRPr="0006066A">
        <w:rPr>
          <w:rFonts w:eastAsia="MS Mincho"/>
          <w:i/>
          <w:sz w:val="22"/>
          <w:szCs w:val="22"/>
          <w:lang w:val="en-US" w:eastAsia="ja-JP"/>
        </w:rPr>
        <w:t>et al</w:t>
      </w:r>
      <w:r w:rsidRPr="009978E3">
        <w:rPr>
          <w:rFonts w:eastAsia="MS Mincho"/>
          <w:sz w:val="22"/>
          <w:szCs w:val="22"/>
          <w:lang w:val="en-US" w:eastAsia="ja-JP"/>
        </w:rPr>
        <w:t>., 2003).</w:t>
      </w:r>
    </w:p>
    <w:p w14:paraId="19E7BC7B" w14:textId="77777777" w:rsidR="006B3F46" w:rsidRPr="009978E3" w:rsidRDefault="006B3F46" w:rsidP="002E4B39">
      <w:pPr>
        <w:suppressLineNumbers/>
        <w:spacing w:after="120"/>
        <w:jc w:val="both"/>
        <w:rPr>
          <w:rFonts w:eastAsia="MS Mincho"/>
          <w:sz w:val="22"/>
          <w:szCs w:val="22"/>
          <w:lang w:val="en-US" w:eastAsia="ja-JP"/>
        </w:rPr>
      </w:pPr>
      <w:r>
        <w:rPr>
          <w:rFonts w:eastAsia="MS Mincho"/>
          <w:sz w:val="22"/>
          <w:szCs w:val="22"/>
          <w:lang w:val="en-US" w:eastAsia="ja-JP"/>
        </w:rPr>
        <w:t>T</w:t>
      </w:r>
      <w:r w:rsidRPr="009978E3">
        <w:rPr>
          <w:rFonts w:eastAsia="MS Mincho"/>
          <w:sz w:val="22"/>
          <w:szCs w:val="22"/>
          <w:lang w:val="en-US" w:eastAsia="ja-JP"/>
        </w:rPr>
        <w:t xml:space="preserve">he </w:t>
      </w:r>
      <w:r w:rsidRPr="009978E3">
        <w:rPr>
          <w:rFonts w:eastAsia="MS Mincho"/>
          <w:sz w:val="22"/>
          <w:szCs w:val="22"/>
          <w:lang w:val="en-US"/>
        </w:rPr>
        <w:t>Canary</w:t>
      </w:r>
      <w:r w:rsidRPr="009978E3">
        <w:rPr>
          <w:rFonts w:eastAsia="MS Mincho"/>
          <w:sz w:val="22"/>
          <w:szCs w:val="22"/>
          <w:lang w:val="en-US" w:eastAsia="ja-JP"/>
        </w:rPr>
        <w:t xml:space="preserve"> Islands are considered a biodiversity hotspot.  The most recent revision on fishes </w:t>
      </w:r>
      <w:r>
        <w:rPr>
          <w:rFonts w:eastAsia="MS Mincho"/>
          <w:sz w:val="22"/>
          <w:szCs w:val="22"/>
          <w:lang w:val="en-US" w:eastAsia="ja-JP"/>
        </w:rPr>
        <w:t>in</w:t>
      </w:r>
      <w:r w:rsidRPr="009978E3">
        <w:rPr>
          <w:rFonts w:eastAsia="MS Mincho"/>
          <w:sz w:val="22"/>
          <w:szCs w:val="22"/>
          <w:lang w:val="en-US" w:eastAsia="ja-JP"/>
        </w:rPr>
        <w:t xml:space="preserve"> Spanish waters recorded a total of 1075 species, the Canary Islands being the most diverse, with 795 species, and also having the greatest species richness (see below </w:t>
      </w:r>
      <w:r>
        <w:rPr>
          <w:rFonts w:eastAsia="MS Mincho"/>
          <w:sz w:val="22"/>
          <w:szCs w:val="22"/>
          <w:lang w:val="en-US" w:eastAsia="ja-JP"/>
        </w:rPr>
        <w:t>T</w:t>
      </w:r>
      <w:r w:rsidRPr="009978E3">
        <w:rPr>
          <w:rFonts w:eastAsia="MS Mincho"/>
          <w:sz w:val="22"/>
          <w:szCs w:val="22"/>
          <w:lang w:val="en-US" w:eastAsia="ja-JP"/>
        </w:rPr>
        <w:t xml:space="preserve">able 1 from Báez </w:t>
      </w:r>
      <w:r w:rsidRPr="0006066A">
        <w:rPr>
          <w:rFonts w:eastAsia="MS Mincho"/>
          <w:i/>
          <w:sz w:val="22"/>
          <w:szCs w:val="22"/>
          <w:lang w:val="en-US" w:eastAsia="ja-JP"/>
        </w:rPr>
        <w:t>et al</w:t>
      </w:r>
      <w:r w:rsidRPr="009978E3">
        <w:rPr>
          <w:rFonts w:eastAsia="MS Mincho"/>
          <w:sz w:val="22"/>
          <w:szCs w:val="22"/>
          <w:lang w:val="en-US" w:eastAsia="ja-JP"/>
        </w:rPr>
        <w:t>., 2019).</w:t>
      </w:r>
    </w:p>
    <w:p w14:paraId="45ED83E7" w14:textId="77777777" w:rsidR="006B3F46" w:rsidRPr="00F66EF7" w:rsidRDefault="009E53BE" w:rsidP="00907941">
      <w:pPr>
        <w:autoSpaceDE w:val="0"/>
        <w:autoSpaceDN w:val="0"/>
        <w:adjustRightInd w:val="0"/>
        <w:rPr>
          <w:sz w:val="22"/>
          <w:szCs w:val="22"/>
          <w:lang w:val="en-US"/>
        </w:rPr>
      </w:pPr>
      <w:r>
        <w:rPr>
          <w:noProof/>
          <w:sz w:val="22"/>
          <w:szCs w:val="22"/>
          <w:lang w:val="fr-CA" w:eastAsia="fr-CA"/>
        </w:rPr>
        <w:pict w14:anchorId="04EE858A">
          <v:shape id="_x0000_i1109" type="#_x0000_t75" style="width:425.25pt;height:114.75pt;visibility:visible">
            <v:imagedata r:id="rId213" o:title=""/>
          </v:shape>
        </w:pict>
      </w:r>
    </w:p>
    <w:p w14:paraId="041167FE" w14:textId="77777777" w:rsidR="006B3F46" w:rsidRPr="009978E3" w:rsidRDefault="006B3F46" w:rsidP="002E4B39">
      <w:pPr>
        <w:suppressLineNumbers/>
        <w:spacing w:after="120"/>
        <w:jc w:val="both"/>
        <w:rPr>
          <w:rFonts w:eastAsia="MS Mincho"/>
          <w:sz w:val="22"/>
          <w:szCs w:val="22"/>
          <w:lang w:val="en-US" w:eastAsia="ja-JP"/>
        </w:rPr>
      </w:pPr>
      <w:r w:rsidRPr="009978E3">
        <w:rPr>
          <w:rFonts w:eastAsia="MS Mincho"/>
          <w:sz w:val="22"/>
          <w:szCs w:val="22"/>
          <w:lang w:val="en-US" w:eastAsia="ja-JP"/>
        </w:rPr>
        <w:t xml:space="preserve">Taking into account only the littoral zone (from shore to a depth of 200 m), a marine multi-taxon study of the Macaronesian ecoregion (Freitas </w:t>
      </w:r>
      <w:r w:rsidRPr="0006066A">
        <w:rPr>
          <w:rFonts w:eastAsia="MS Mincho"/>
          <w:i/>
          <w:sz w:val="22"/>
          <w:szCs w:val="22"/>
          <w:lang w:val="en-US" w:eastAsia="ja-JP"/>
        </w:rPr>
        <w:t>et al</w:t>
      </w:r>
      <w:r w:rsidRPr="009978E3">
        <w:rPr>
          <w:rFonts w:eastAsia="MS Mincho"/>
          <w:sz w:val="22"/>
          <w:szCs w:val="22"/>
          <w:lang w:val="en-US" w:eastAsia="ja-JP"/>
        </w:rPr>
        <w:t>. in press) shows that the Canary Islands are by far the most diverse archipelago for five of the six groups studied (85 echinoderms, 811 gastropods, 120 brachyurans (Crustacea:Decapoda), 465 polychaetes, 689 macroalgae)</w:t>
      </w:r>
      <w:r>
        <w:rPr>
          <w:rFonts w:eastAsia="MS Mincho"/>
          <w:sz w:val="22"/>
          <w:szCs w:val="22"/>
          <w:lang w:val="en-US" w:eastAsia="ja-JP"/>
        </w:rPr>
        <w:t xml:space="preserve">, </w:t>
      </w:r>
      <w:r w:rsidRPr="009978E3">
        <w:rPr>
          <w:rFonts w:eastAsia="MS Mincho"/>
          <w:sz w:val="22"/>
          <w:szCs w:val="22"/>
          <w:lang w:val="en-US" w:eastAsia="ja-JP"/>
        </w:rPr>
        <w:t xml:space="preserve">and </w:t>
      </w:r>
      <w:r>
        <w:rPr>
          <w:rFonts w:eastAsia="MS Mincho"/>
          <w:sz w:val="22"/>
          <w:szCs w:val="22"/>
          <w:lang w:val="en-US" w:eastAsia="ja-JP"/>
        </w:rPr>
        <w:t>they have a</w:t>
      </w:r>
      <w:r w:rsidRPr="009978E3">
        <w:rPr>
          <w:rFonts w:eastAsia="MS Mincho"/>
          <w:sz w:val="22"/>
          <w:szCs w:val="22"/>
          <w:lang w:val="en-US" w:eastAsia="ja-JP"/>
        </w:rPr>
        <w:t xml:space="preserve"> similar number of coastal fish (299) </w:t>
      </w:r>
      <w:r>
        <w:rPr>
          <w:rFonts w:eastAsia="MS Mincho"/>
          <w:sz w:val="22"/>
          <w:szCs w:val="22"/>
          <w:lang w:val="en-US" w:eastAsia="ja-JP"/>
        </w:rPr>
        <w:t>as</w:t>
      </w:r>
      <w:r w:rsidRPr="009978E3">
        <w:rPr>
          <w:rFonts w:eastAsia="MS Mincho"/>
          <w:sz w:val="22"/>
          <w:szCs w:val="22"/>
          <w:lang w:val="en-US" w:eastAsia="ja-JP"/>
        </w:rPr>
        <w:t xml:space="preserve"> Ca</w:t>
      </w:r>
      <w:r>
        <w:rPr>
          <w:rFonts w:eastAsia="MS Mincho"/>
          <w:sz w:val="22"/>
          <w:szCs w:val="22"/>
          <w:lang w:val="en-US" w:eastAsia="ja-JP"/>
        </w:rPr>
        <w:t>pe</w:t>
      </w:r>
      <w:r w:rsidRPr="009978E3">
        <w:rPr>
          <w:rFonts w:eastAsia="MS Mincho"/>
          <w:sz w:val="22"/>
          <w:szCs w:val="22"/>
          <w:lang w:val="en-US" w:eastAsia="ja-JP"/>
        </w:rPr>
        <w:t xml:space="preserve"> Verde (303), despite the latter</w:t>
      </w:r>
      <w:r>
        <w:rPr>
          <w:rFonts w:eastAsia="MS Mincho"/>
          <w:sz w:val="22"/>
          <w:szCs w:val="22"/>
          <w:lang w:val="en-US" w:eastAsia="ja-JP"/>
        </w:rPr>
        <w:t>’s</w:t>
      </w:r>
      <w:r w:rsidRPr="009978E3">
        <w:rPr>
          <w:rFonts w:eastAsia="MS Mincho"/>
          <w:sz w:val="22"/>
          <w:szCs w:val="22"/>
          <w:lang w:val="en-US" w:eastAsia="ja-JP"/>
        </w:rPr>
        <w:t xml:space="preserve"> locat</w:t>
      </w:r>
      <w:r>
        <w:rPr>
          <w:rFonts w:eastAsia="MS Mincho"/>
          <w:sz w:val="22"/>
          <w:szCs w:val="22"/>
          <w:lang w:val="en-US" w:eastAsia="ja-JP"/>
        </w:rPr>
        <w:t>ion</w:t>
      </w:r>
      <w:r w:rsidRPr="009978E3">
        <w:rPr>
          <w:rFonts w:eastAsia="MS Mincho"/>
          <w:sz w:val="22"/>
          <w:szCs w:val="22"/>
          <w:lang w:val="en-US" w:eastAsia="ja-JP"/>
        </w:rPr>
        <w:t xml:space="preserve"> in the tropical region. This same study highlights the importance of the Canary Islands in relation to the high number of species restricted to two or more of the Macaronesian archipelagos (130 of a total of 144 shared endemic species).</w:t>
      </w:r>
    </w:p>
    <w:p w14:paraId="66478FB1" w14:textId="77777777" w:rsidR="006B3F46" w:rsidRPr="009978E3" w:rsidRDefault="006B3F46" w:rsidP="006B3F46">
      <w:pPr>
        <w:pStyle w:val="ListParagraph"/>
        <w:numPr>
          <w:ilvl w:val="0"/>
          <w:numId w:val="22"/>
        </w:numPr>
        <w:ind w:leftChars="0"/>
        <w:contextualSpacing/>
        <w:rPr>
          <w:rFonts w:eastAsia="MS Mincho"/>
          <w:i/>
          <w:szCs w:val="22"/>
          <w:lang w:val="en-US"/>
        </w:rPr>
      </w:pPr>
      <w:r w:rsidRPr="009978E3">
        <w:rPr>
          <w:rFonts w:eastAsia="MS Mincho"/>
          <w:i/>
          <w:szCs w:val="22"/>
          <w:lang w:val="en-US"/>
        </w:rPr>
        <w:t>Important area for cetaceans</w:t>
      </w:r>
    </w:p>
    <w:p w14:paraId="27001F9E" w14:textId="77777777" w:rsidR="006B3F46" w:rsidRPr="009978E3" w:rsidRDefault="006B3F46" w:rsidP="002E4B39">
      <w:pPr>
        <w:suppressLineNumbers/>
        <w:spacing w:after="120"/>
        <w:jc w:val="both"/>
        <w:rPr>
          <w:sz w:val="22"/>
          <w:szCs w:val="22"/>
        </w:rPr>
      </w:pPr>
      <w:r w:rsidRPr="009978E3">
        <w:rPr>
          <w:sz w:val="22"/>
          <w:szCs w:val="22"/>
        </w:rPr>
        <w:t xml:space="preserve">The Canary Islands archipelago is one of the most important areas for cetaceans, with a high diversity of species, since the distributions of tropical and warm water species in this oceanic region overlap with those of large oceanic migrants (López, 2017). </w:t>
      </w:r>
    </w:p>
    <w:p w14:paraId="3A23FA8C" w14:textId="77777777" w:rsidR="006B3F46" w:rsidRPr="009978E3" w:rsidRDefault="006B3F46" w:rsidP="002E4B39">
      <w:pPr>
        <w:suppressLineNumbers/>
        <w:spacing w:after="120"/>
        <w:jc w:val="both"/>
        <w:rPr>
          <w:rFonts w:eastAsia="MS Mincho"/>
          <w:sz w:val="22"/>
          <w:szCs w:val="22"/>
          <w:lang w:val="en-US" w:eastAsia="ja-JP"/>
        </w:rPr>
      </w:pPr>
      <w:r w:rsidRPr="009978E3">
        <w:rPr>
          <w:rFonts w:eastAsia="MS Mincho"/>
          <w:sz w:val="22"/>
          <w:szCs w:val="22"/>
          <w:lang w:val="en-US"/>
        </w:rPr>
        <w:t>Around</w:t>
      </w:r>
      <w:r w:rsidRPr="009978E3">
        <w:rPr>
          <w:rFonts w:eastAsia="MS Mincho"/>
          <w:sz w:val="22"/>
          <w:szCs w:val="22"/>
          <w:lang w:val="en-US" w:eastAsia="ja-JP"/>
        </w:rPr>
        <w:t xml:space="preserve"> 30 species of cetaceans have been documented in the Canary Islands, making it one of the world’s marine mammal hotspots. The Canary Islands archipelago shows the highest diversity of cetaceans in Macaronesia and harbours five resident species. Due to the islands</w:t>
      </w:r>
      <w:r>
        <w:rPr>
          <w:rFonts w:eastAsia="MS Mincho"/>
          <w:sz w:val="22"/>
          <w:szCs w:val="22"/>
          <w:lang w:val="en-US" w:eastAsia="ja-JP"/>
        </w:rPr>
        <w:t>’ location</w:t>
      </w:r>
      <w:r w:rsidRPr="009978E3">
        <w:rPr>
          <w:rFonts w:eastAsia="MS Mincho"/>
          <w:sz w:val="22"/>
          <w:szCs w:val="22"/>
          <w:lang w:val="en-US" w:eastAsia="ja-JP"/>
        </w:rPr>
        <w:t xml:space="preserve">, </w:t>
      </w:r>
      <w:r>
        <w:rPr>
          <w:rFonts w:eastAsia="MS Mincho"/>
          <w:sz w:val="22"/>
          <w:szCs w:val="22"/>
          <w:lang w:val="en-US" w:eastAsia="ja-JP"/>
        </w:rPr>
        <w:t>they</w:t>
      </w:r>
      <w:r w:rsidRPr="009978E3">
        <w:rPr>
          <w:rFonts w:eastAsia="MS Mincho"/>
          <w:sz w:val="22"/>
          <w:szCs w:val="22"/>
          <w:lang w:val="en-US" w:eastAsia="ja-JP"/>
        </w:rPr>
        <w:t xml:space="preserve"> also harbour as many tropical marine mammal species as those </w:t>
      </w:r>
      <w:r>
        <w:rPr>
          <w:rFonts w:eastAsia="MS Mincho"/>
          <w:sz w:val="22"/>
          <w:szCs w:val="22"/>
          <w:lang w:val="en-US" w:eastAsia="ja-JP"/>
        </w:rPr>
        <w:t>in</w:t>
      </w:r>
      <w:r w:rsidRPr="009978E3">
        <w:rPr>
          <w:rFonts w:eastAsia="MS Mincho"/>
          <w:sz w:val="22"/>
          <w:szCs w:val="22"/>
          <w:lang w:val="en-US" w:eastAsia="ja-JP"/>
        </w:rPr>
        <w:t xml:space="preserve"> colder latitudes. Moreover, due to the steep slopes and canyons surrounding the islands, deep</w:t>
      </w:r>
      <w:r>
        <w:rPr>
          <w:rFonts w:eastAsia="MS Mincho"/>
          <w:sz w:val="22"/>
          <w:szCs w:val="22"/>
          <w:lang w:val="en-US" w:eastAsia="ja-JP"/>
        </w:rPr>
        <w:t>-</w:t>
      </w:r>
      <w:r w:rsidRPr="009978E3">
        <w:rPr>
          <w:rFonts w:eastAsia="MS Mincho"/>
          <w:sz w:val="22"/>
          <w:szCs w:val="22"/>
          <w:lang w:val="en-US" w:eastAsia="ja-JP"/>
        </w:rPr>
        <w:t>diving species are well represented, including two resident species of beaked whales: Blainville´s beaked whale  (</w:t>
      </w:r>
      <w:r w:rsidRPr="009978E3">
        <w:rPr>
          <w:rFonts w:eastAsia="MS Mincho"/>
          <w:i/>
          <w:sz w:val="22"/>
          <w:szCs w:val="22"/>
          <w:lang w:val="en-US" w:eastAsia="ja-JP"/>
        </w:rPr>
        <w:t>Mesoplodon densirostris</w:t>
      </w:r>
      <w:r w:rsidRPr="009978E3">
        <w:rPr>
          <w:rFonts w:eastAsia="MS Mincho"/>
          <w:sz w:val="22"/>
          <w:szCs w:val="22"/>
          <w:lang w:val="en-US" w:eastAsia="ja-JP"/>
        </w:rPr>
        <w:t>) and Cuvier´s beaked whale (</w:t>
      </w:r>
      <w:r w:rsidRPr="009978E3">
        <w:rPr>
          <w:rFonts w:eastAsia="MS Mincho"/>
          <w:i/>
          <w:sz w:val="22"/>
          <w:szCs w:val="22"/>
          <w:lang w:val="en-US" w:eastAsia="ja-JP"/>
        </w:rPr>
        <w:t>Ziphius cavirostris</w:t>
      </w:r>
      <w:r w:rsidRPr="009978E3">
        <w:rPr>
          <w:rFonts w:eastAsia="MS Mincho"/>
          <w:sz w:val="22"/>
          <w:szCs w:val="22"/>
          <w:lang w:val="en-US" w:eastAsia="ja-JP"/>
        </w:rPr>
        <w:t>) with an estimate of 103 (87-130) and 87 (78-106) off El Hierro island</w:t>
      </w:r>
      <w:r>
        <w:rPr>
          <w:rFonts w:eastAsia="MS Mincho"/>
          <w:sz w:val="22"/>
          <w:szCs w:val="22"/>
          <w:lang w:val="en-US" w:eastAsia="ja-JP"/>
        </w:rPr>
        <w:t>,</w:t>
      </w:r>
      <w:r w:rsidRPr="009978E3">
        <w:rPr>
          <w:rFonts w:eastAsia="MS Mincho"/>
          <w:sz w:val="22"/>
          <w:szCs w:val="22"/>
          <w:lang w:val="en-US" w:eastAsia="ja-JP"/>
        </w:rPr>
        <w:t xml:space="preserve"> respectively (Aparicio, 2008; Arranz, 2011; Reyes, 2017). In the Canary Islands, we can also find one the few resident populations of short-finned pilot whales </w:t>
      </w:r>
      <w:r w:rsidRPr="009978E3">
        <w:rPr>
          <w:rFonts w:eastAsia="MS Mincho"/>
          <w:i/>
          <w:sz w:val="22"/>
          <w:szCs w:val="22"/>
          <w:lang w:val="en-US" w:eastAsia="ja-JP"/>
        </w:rPr>
        <w:t>(Globicephala macrorhynchus</w:t>
      </w:r>
      <w:r w:rsidRPr="009978E3">
        <w:rPr>
          <w:rFonts w:eastAsia="MS Mincho"/>
          <w:sz w:val="22"/>
          <w:szCs w:val="22"/>
          <w:lang w:val="en-US" w:eastAsia="ja-JP"/>
        </w:rPr>
        <w:t xml:space="preserve">) of the world, with a population estimate of 391 (325-470) off Tenerife (Marrero </w:t>
      </w:r>
      <w:r w:rsidRPr="0006066A">
        <w:rPr>
          <w:rFonts w:eastAsia="MS Mincho"/>
          <w:i/>
          <w:sz w:val="22"/>
          <w:szCs w:val="22"/>
          <w:lang w:val="en-US" w:eastAsia="ja-JP"/>
        </w:rPr>
        <w:t>et al</w:t>
      </w:r>
      <w:r w:rsidRPr="009978E3">
        <w:rPr>
          <w:rFonts w:eastAsia="MS Mincho"/>
          <w:i/>
          <w:sz w:val="22"/>
          <w:szCs w:val="22"/>
          <w:lang w:val="en-US" w:eastAsia="ja-JP"/>
        </w:rPr>
        <w:t>.</w:t>
      </w:r>
      <w:r w:rsidRPr="009978E3">
        <w:rPr>
          <w:rFonts w:eastAsia="MS Mincho"/>
          <w:sz w:val="22"/>
          <w:szCs w:val="22"/>
          <w:lang w:val="en-US" w:eastAsia="ja-JP"/>
        </w:rPr>
        <w:t xml:space="preserve"> 2016).</w:t>
      </w:r>
    </w:p>
    <w:p w14:paraId="39224289" w14:textId="77777777" w:rsidR="006B3F46" w:rsidRPr="009978E3" w:rsidRDefault="006B3F46" w:rsidP="002E4B39">
      <w:pPr>
        <w:suppressLineNumbers/>
        <w:spacing w:after="120"/>
        <w:jc w:val="both"/>
        <w:rPr>
          <w:sz w:val="22"/>
          <w:szCs w:val="22"/>
        </w:rPr>
      </w:pPr>
      <w:r w:rsidRPr="009978E3">
        <w:rPr>
          <w:sz w:val="22"/>
          <w:szCs w:val="22"/>
        </w:rPr>
        <w:t xml:space="preserve">In </w:t>
      </w:r>
      <w:r w:rsidRPr="002E4B39">
        <w:rPr>
          <w:rFonts w:eastAsia="MS Mincho"/>
          <w:sz w:val="22"/>
          <w:szCs w:val="22"/>
          <w:lang w:val="en-US"/>
        </w:rPr>
        <w:t>summary</w:t>
      </w:r>
      <w:r w:rsidRPr="009978E3">
        <w:rPr>
          <w:sz w:val="22"/>
          <w:szCs w:val="22"/>
        </w:rPr>
        <w:t xml:space="preserve">, the </w:t>
      </w:r>
      <w:r w:rsidRPr="002E4B39">
        <w:rPr>
          <w:rFonts w:eastAsia="MS Mincho"/>
          <w:sz w:val="22"/>
          <w:szCs w:val="22"/>
          <w:lang w:val="en-US"/>
        </w:rPr>
        <w:t>following</w:t>
      </w:r>
      <w:r w:rsidRPr="009978E3">
        <w:rPr>
          <w:sz w:val="22"/>
          <w:szCs w:val="22"/>
        </w:rPr>
        <w:t xml:space="preserve"> species are common in the archipelago:</w:t>
      </w:r>
    </w:p>
    <w:p w14:paraId="4CC37E71"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Physeter macrocephalus</w:t>
      </w:r>
      <w:r w:rsidRPr="009978E3">
        <w:rPr>
          <w:rFonts w:eastAsia="MS Mincho"/>
          <w:i/>
          <w:sz w:val="22"/>
          <w:szCs w:val="22"/>
          <w:lang w:val="en-US"/>
        </w:rPr>
        <w:tab/>
      </w:r>
      <w:r w:rsidRPr="009978E3">
        <w:rPr>
          <w:rFonts w:eastAsia="MS Mincho"/>
          <w:i/>
          <w:sz w:val="22"/>
          <w:szCs w:val="22"/>
          <w:lang w:val="en-US"/>
        </w:rPr>
        <w:tab/>
        <w:t xml:space="preserve">Grampus griseus </w:t>
      </w:r>
      <w:r w:rsidRPr="009978E3">
        <w:rPr>
          <w:rFonts w:eastAsia="MS Mincho"/>
          <w:i/>
          <w:sz w:val="22"/>
          <w:szCs w:val="22"/>
          <w:lang w:val="en-US"/>
        </w:rPr>
        <w:tab/>
      </w:r>
      <w:r w:rsidRPr="009978E3">
        <w:rPr>
          <w:rFonts w:eastAsia="MS Mincho"/>
          <w:i/>
          <w:sz w:val="22"/>
          <w:szCs w:val="22"/>
          <w:lang w:val="en-US"/>
        </w:rPr>
        <w:tab/>
        <w:t xml:space="preserve">Globicephala macrorhynchus </w:t>
      </w:r>
    </w:p>
    <w:p w14:paraId="02D6950A"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 xml:space="preserve">Delphinus delphis </w:t>
      </w:r>
      <w:r w:rsidRPr="009978E3">
        <w:rPr>
          <w:rFonts w:eastAsia="MS Mincho"/>
          <w:i/>
          <w:sz w:val="22"/>
          <w:szCs w:val="22"/>
          <w:lang w:val="en-US"/>
        </w:rPr>
        <w:tab/>
      </w:r>
      <w:r w:rsidRPr="009978E3">
        <w:rPr>
          <w:rFonts w:eastAsia="MS Mincho"/>
          <w:i/>
          <w:sz w:val="22"/>
          <w:szCs w:val="22"/>
          <w:lang w:val="en-US"/>
        </w:rPr>
        <w:tab/>
      </w:r>
      <w:r w:rsidRPr="009978E3">
        <w:rPr>
          <w:rFonts w:eastAsia="MS Mincho"/>
          <w:i/>
          <w:sz w:val="22"/>
          <w:szCs w:val="22"/>
          <w:lang w:val="en-US"/>
        </w:rPr>
        <w:tab/>
        <w:t xml:space="preserve">Steno bradanensis </w:t>
      </w:r>
      <w:r w:rsidRPr="009978E3">
        <w:rPr>
          <w:rFonts w:eastAsia="MS Mincho"/>
          <w:i/>
          <w:sz w:val="22"/>
          <w:szCs w:val="22"/>
          <w:lang w:val="en-US"/>
        </w:rPr>
        <w:tab/>
      </w:r>
      <w:r w:rsidRPr="009978E3">
        <w:rPr>
          <w:rFonts w:eastAsia="MS Mincho"/>
          <w:i/>
          <w:sz w:val="22"/>
          <w:szCs w:val="22"/>
          <w:lang w:val="en-US"/>
        </w:rPr>
        <w:tab/>
        <w:t xml:space="preserve">Stenella coeruleoalba </w:t>
      </w:r>
    </w:p>
    <w:p w14:paraId="7D2047E4" w14:textId="77777777" w:rsidR="006B3F46" w:rsidRPr="009978E3" w:rsidRDefault="006B3F46" w:rsidP="00907941">
      <w:pPr>
        <w:jc w:val="both"/>
        <w:rPr>
          <w:rFonts w:eastAsia="MS Mincho"/>
          <w:i/>
          <w:sz w:val="22"/>
          <w:szCs w:val="22"/>
          <w:lang w:val="fr-CA"/>
        </w:rPr>
      </w:pPr>
      <w:r w:rsidRPr="009978E3">
        <w:rPr>
          <w:rFonts w:eastAsia="MS Mincho"/>
          <w:i/>
          <w:sz w:val="22"/>
          <w:szCs w:val="22"/>
          <w:lang w:val="fr-CA"/>
        </w:rPr>
        <w:t xml:space="preserve">Stenella frontalis </w:t>
      </w:r>
      <w:r w:rsidRPr="009978E3">
        <w:rPr>
          <w:rFonts w:eastAsia="MS Mincho"/>
          <w:i/>
          <w:sz w:val="22"/>
          <w:szCs w:val="22"/>
          <w:lang w:val="fr-CA"/>
        </w:rPr>
        <w:tab/>
      </w:r>
      <w:r w:rsidRPr="009978E3">
        <w:rPr>
          <w:rFonts w:eastAsia="MS Mincho"/>
          <w:i/>
          <w:sz w:val="22"/>
          <w:szCs w:val="22"/>
          <w:lang w:val="fr-CA"/>
        </w:rPr>
        <w:tab/>
      </w:r>
      <w:r w:rsidRPr="009978E3">
        <w:rPr>
          <w:rFonts w:eastAsia="MS Mincho"/>
          <w:i/>
          <w:sz w:val="22"/>
          <w:szCs w:val="22"/>
          <w:lang w:val="fr-CA"/>
        </w:rPr>
        <w:tab/>
        <w:t xml:space="preserve">Tursiops truncatus </w:t>
      </w:r>
      <w:r w:rsidRPr="009978E3">
        <w:rPr>
          <w:rFonts w:eastAsia="MS Mincho"/>
          <w:i/>
          <w:sz w:val="22"/>
          <w:szCs w:val="22"/>
          <w:lang w:val="fr-CA"/>
        </w:rPr>
        <w:tab/>
      </w:r>
      <w:r w:rsidRPr="009978E3">
        <w:rPr>
          <w:rFonts w:eastAsia="MS Mincho"/>
          <w:i/>
          <w:sz w:val="22"/>
          <w:szCs w:val="22"/>
          <w:lang w:val="fr-CA"/>
        </w:rPr>
        <w:tab/>
        <w:t xml:space="preserve">Balaenoptera acutorostrata </w:t>
      </w:r>
    </w:p>
    <w:p w14:paraId="5A72FCED" w14:textId="77777777" w:rsidR="006B3F46" w:rsidRPr="009978E3" w:rsidRDefault="006B3F46" w:rsidP="00907941">
      <w:pPr>
        <w:jc w:val="both"/>
        <w:rPr>
          <w:rFonts w:eastAsia="MS Mincho"/>
          <w:i/>
          <w:sz w:val="22"/>
          <w:szCs w:val="22"/>
          <w:lang w:val="fr-CA"/>
        </w:rPr>
      </w:pPr>
      <w:r w:rsidRPr="009978E3">
        <w:rPr>
          <w:rFonts w:eastAsia="MS Mincho"/>
          <w:i/>
          <w:sz w:val="22"/>
          <w:szCs w:val="22"/>
          <w:lang w:val="fr-CA"/>
        </w:rPr>
        <w:t xml:space="preserve">Balaenoptera physalus </w:t>
      </w:r>
      <w:r w:rsidRPr="009978E3">
        <w:rPr>
          <w:rFonts w:eastAsia="MS Mincho"/>
          <w:i/>
          <w:sz w:val="22"/>
          <w:szCs w:val="22"/>
          <w:lang w:val="fr-CA"/>
        </w:rPr>
        <w:tab/>
      </w:r>
      <w:r w:rsidRPr="009978E3">
        <w:rPr>
          <w:rFonts w:eastAsia="MS Mincho"/>
          <w:i/>
          <w:sz w:val="22"/>
          <w:szCs w:val="22"/>
          <w:lang w:val="fr-CA"/>
        </w:rPr>
        <w:tab/>
      </w:r>
      <w:r w:rsidRPr="009978E3">
        <w:rPr>
          <w:rFonts w:eastAsia="MS Mincho"/>
          <w:i/>
          <w:sz w:val="22"/>
          <w:szCs w:val="22"/>
          <w:lang w:val="fr-CA"/>
        </w:rPr>
        <w:tab/>
        <w:t xml:space="preserve">Balaenoptera edeni </w:t>
      </w:r>
      <w:r w:rsidRPr="009978E3">
        <w:rPr>
          <w:rFonts w:eastAsia="MS Mincho"/>
          <w:i/>
          <w:sz w:val="22"/>
          <w:szCs w:val="22"/>
          <w:lang w:val="fr-CA"/>
        </w:rPr>
        <w:tab/>
      </w:r>
      <w:r w:rsidRPr="009978E3">
        <w:rPr>
          <w:rFonts w:eastAsia="MS Mincho"/>
          <w:i/>
          <w:sz w:val="22"/>
          <w:szCs w:val="22"/>
          <w:lang w:val="fr-CA"/>
        </w:rPr>
        <w:tab/>
        <w:t xml:space="preserve">Ziphius cavirostris </w:t>
      </w:r>
    </w:p>
    <w:p w14:paraId="085DEDB0" w14:textId="77777777" w:rsidR="006B3F46" w:rsidRPr="009978E3" w:rsidRDefault="006B3F46" w:rsidP="00907941">
      <w:pPr>
        <w:jc w:val="both"/>
        <w:rPr>
          <w:rFonts w:eastAsia="MS Mincho"/>
          <w:i/>
          <w:sz w:val="22"/>
          <w:szCs w:val="22"/>
          <w:lang w:val="fr-CA"/>
        </w:rPr>
      </w:pPr>
      <w:r w:rsidRPr="009978E3">
        <w:rPr>
          <w:rFonts w:eastAsia="MS Mincho"/>
          <w:i/>
          <w:sz w:val="22"/>
          <w:szCs w:val="22"/>
          <w:lang w:val="fr-CA"/>
        </w:rPr>
        <w:t xml:space="preserve">Mesoplodon europaeus </w:t>
      </w:r>
    </w:p>
    <w:p w14:paraId="16742765" w14:textId="77777777" w:rsidR="006B3F46" w:rsidRPr="009978E3" w:rsidRDefault="006B3F46" w:rsidP="00907941">
      <w:pPr>
        <w:pStyle w:val="ListParagraph"/>
        <w:ind w:left="960"/>
        <w:rPr>
          <w:rFonts w:eastAsia="MS Mincho"/>
          <w:i/>
          <w:szCs w:val="22"/>
          <w:lang w:val="fr-CA"/>
        </w:rPr>
      </w:pPr>
    </w:p>
    <w:p w14:paraId="011818D9" w14:textId="77777777" w:rsidR="006B3F46" w:rsidRPr="009978E3" w:rsidRDefault="006B3F46" w:rsidP="002E4B39">
      <w:pPr>
        <w:suppressLineNumbers/>
        <w:spacing w:after="120"/>
        <w:jc w:val="both"/>
        <w:rPr>
          <w:sz w:val="22"/>
          <w:szCs w:val="22"/>
        </w:rPr>
      </w:pPr>
      <w:r w:rsidRPr="009978E3">
        <w:rPr>
          <w:sz w:val="22"/>
          <w:szCs w:val="22"/>
        </w:rPr>
        <w:t xml:space="preserve">Other </w:t>
      </w:r>
      <w:r w:rsidRPr="002E4B39">
        <w:rPr>
          <w:rFonts w:eastAsia="MS Mincho"/>
          <w:sz w:val="22"/>
          <w:szCs w:val="22"/>
          <w:lang w:val="en-US"/>
        </w:rPr>
        <w:t>species</w:t>
      </w:r>
      <w:r w:rsidRPr="009978E3">
        <w:rPr>
          <w:sz w:val="22"/>
          <w:szCs w:val="22"/>
        </w:rPr>
        <w:t xml:space="preserve"> are occasional visitors or have been observed anecdotally: </w:t>
      </w:r>
    </w:p>
    <w:p w14:paraId="3F89EC16" w14:textId="77777777" w:rsidR="006B3F46" w:rsidRPr="009978E3" w:rsidRDefault="006B3F46" w:rsidP="00907941">
      <w:pPr>
        <w:jc w:val="both"/>
        <w:rPr>
          <w:rFonts w:eastAsia="MS Mincho"/>
          <w:sz w:val="22"/>
          <w:szCs w:val="22"/>
          <w:lang w:val="es-ES"/>
        </w:rPr>
      </w:pPr>
      <w:r w:rsidRPr="009978E3">
        <w:rPr>
          <w:rFonts w:eastAsia="MS Mincho"/>
          <w:i/>
          <w:sz w:val="22"/>
          <w:szCs w:val="22"/>
          <w:lang w:val="es-ES"/>
        </w:rPr>
        <w:t>Balaenoptera musculus</w:t>
      </w:r>
      <w:r w:rsidRPr="009978E3">
        <w:rPr>
          <w:rFonts w:eastAsia="MS Mincho"/>
          <w:i/>
          <w:sz w:val="22"/>
          <w:szCs w:val="22"/>
          <w:lang w:val="es-ES"/>
        </w:rPr>
        <w:tab/>
      </w:r>
      <w:r w:rsidRPr="009978E3">
        <w:rPr>
          <w:rFonts w:eastAsia="MS Mincho"/>
          <w:sz w:val="22"/>
          <w:szCs w:val="22"/>
          <w:lang w:val="es-ES"/>
        </w:rPr>
        <w:tab/>
      </w:r>
      <w:r w:rsidRPr="009978E3">
        <w:rPr>
          <w:rFonts w:eastAsia="MS Mincho"/>
          <w:sz w:val="22"/>
          <w:szCs w:val="22"/>
          <w:lang w:val="es-ES"/>
        </w:rPr>
        <w:tab/>
      </w:r>
      <w:r w:rsidRPr="009978E3">
        <w:rPr>
          <w:rFonts w:eastAsia="MS Mincho"/>
          <w:i/>
          <w:sz w:val="22"/>
          <w:szCs w:val="22"/>
          <w:lang w:val="es-ES"/>
        </w:rPr>
        <w:t>Eubalaena glacialis</w:t>
      </w:r>
      <w:r w:rsidRPr="009978E3">
        <w:rPr>
          <w:rFonts w:eastAsia="MS Mincho"/>
          <w:sz w:val="22"/>
          <w:szCs w:val="22"/>
          <w:lang w:val="es-ES"/>
        </w:rPr>
        <w:t xml:space="preserve"> </w:t>
      </w:r>
      <w:r w:rsidRPr="009978E3">
        <w:rPr>
          <w:rFonts w:eastAsia="MS Mincho"/>
          <w:sz w:val="22"/>
          <w:szCs w:val="22"/>
          <w:lang w:val="es-ES"/>
        </w:rPr>
        <w:tab/>
      </w:r>
      <w:r w:rsidRPr="009978E3">
        <w:rPr>
          <w:rFonts w:eastAsia="MS Mincho"/>
          <w:sz w:val="22"/>
          <w:szCs w:val="22"/>
          <w:lang w:val="es-ES"/>
        </w:rPr>
        <w:tab/>
      </w:r>
      <w:r w:rsidRPr="009978E3">
        <w:rPr>
          <w:rFonts w:eastAsia="MS Mincho"/>
          <w:i/>
          <w:sz w:val="22"/>
          <w:szCs w:val="22"/>
          <w:lang w:val="es-ES"/>
        </w:rPr>
        <w:t>Megaptera novaeangliae</w:t>
      </w:r>
    </w:p>
    <w:p w14:paraId="2932E504" w14:textId="77777777" w:rsidR="006B3F46" w:rsidRPr="009978E3" w:rsidRDefault="006B3F46" w:rsidP="00907941">
      <w:pPr>
        <w:jc w:val="both"/>
        <w:rPr>
          <w:rFonts w:eastAsia="MS Mincho"/>
          <w:i/>
          <w:sz w:val="22"/>
          <w:szCs w:val="22"/>
          <w:lang w:val="es-ES"/>
        </w:rPr>
      </w:pPr>
      <w:r w:rsidRPr="009978E3">
        <w:rPr>
          <w:rFonts w:eastAsia="MS Mincho"/>
          <w:i/>
          <w:sz w:val="22"/>
          <w:szCs w:val="22"/>
          <w:lang w:val="es-ES"/>
        </w:rPr>
        <w:t>Kogia sima</w:t>
      </w:r>
      <w:r w:rsidRPr="009978E3">
        <w:rPr>
          <w:rFonts w:eastAsia="MS Mincho"/>
          <w:i/>
          <w:sz w:val="22"/>
          <w:szCs w:val="22"/>
          <w:lang w:val="es-ES"/>
        </w:rPr>
        <w:tab/>
      </w:r>
      <w:r w:rsidRPr="009978E3">
        <w:rPr>
          <w:rFonts w:eastAsia="MS Mincho"/>
          <w:i/>
          <w:sz w:val="22"/>
          <w:szCs w:val="22"/>
          <w:lang w:val="es-ES"/>
        </w:rPr>
        <w:tab/>
      </w:r>
      <w:r w:rsidRPr="009978E3">
        <w:rPr>
          <w:rFonts w:eastAsia="MS Mincho"/>
          <w:sz w:val="22"/>
          <w:szCs w:val="22"/>
          <w:lang w:val="es-ES"/>
        </w:rPr>
        <w:tab/>
      </w:r>
      <w:r w:rsidRPr="009978E3">
        <w:rPr>
          <w:rFonts w:eastAsia="MS Mincho"/>
          <w:sz w:val="22"/>
          <w:szCs w:val="22"/>
          <w:lang w:val="es-ES"/>
        </w:rPr>
        <w:tab/>
      </w:r>
      <w:r w:rsidRPr="009978E3">
        <w:rPr>
          <w:rFonts w:eastAsia="MS Mincho"/>
          <w:i/>
          <w:sz w:val="22"/>
          <w:szCs w:val="22"/>
          <w:lang w:val="es-ES"/>
        </w:rPr>
        <w:t>Kogia breviceps</w:t>
      </w:r>
      <w:r w:rsidRPr="009978E3">
        <w:rPr>
          <w:rFonts w:eastAsia="MS Mincho"/>
          <w:i/>
          <w:sz w:val="22"/>
          <w:szCs w:val="22"/>
          <w:lang w:val="es-ES"/>
        </w:rPr>
        <w:tab/>
      </w:r>
      <w:r w:rsidRPr="009978E3">
        <w:rPr>
          <w:rFonts w:eastAsia="MS Mincho"/>
          <w:sz w:val="22"/>
          <w:szCs w:val="22"/>
          <w:lang w:val="es-ES"/>
        </w:rPr>
        <w:tab/>
      </w:r>
      <w:r>
        <w:rPr>
          <w:rFonts w:eastAsia="MS Mincho"/>
          <w:sz w:val="22"/>
          <w:szCs w:val="22"/>
          <w:lang w:val="es-ES"/>
        </w:rPr>
        <w:tab/>
      </w:r>
      <w:r w:rsidRPr="009978E3">
        <w:rPr>
          <w:rFonts w:eastAsia="MS Mincho"/>
          <w:i/>
          <w:sz w:val="22"/>
          <w:szCs w:val="22"/>
          <w:lang w:val="es-ES"/>
        </w:rPr>
        <w:t>Lagenorhynchus acutus</w:t>
      </w:r>
    </w:p>
    <w:p w14:paraId="2088A485" w14:textId="77777777" w:rsidR="006B3F46" w:rsidRPr="009978E3" w:rsidRDefault="006B3F46" w:rsidP="00907941">
      <w:pPr>
        <w:jc w:val="both"/>
        <w:rPr>
          <w:rFonts w:eastAsia="MS Mincho"/>
          <w:i/>
          <w:sz w:val="22"/>
          <w:szCs w:val="22"/>
          <w:lang w:val="fr-CA"/>
        </w:rPr>
      </w:pPr>
      <w:r w:rsidRPr="009978E3">
        <w:rPr>
          <w:rFonts w:eastAsia="MS Mincho"/>
          <w:i/>
          <w:sz w:val="22"/>
          <w:szCs w:val="22"/>
          <w:lang w:val="fr-CA"/>
        </w:rPr>
        <w:t>Lagenodelphis hosei</w:t>
      </w:r>
      <w:r w:rsidRPr="009978E3">
        <w:rPr>
          <w:rFonts w:eastAsia="MS Mincho"/>
          <w:i/>
          <w:sz w:val="22"/>
          <w:szCs w:val="22"/>
          <w:lang w:val="fr-CA"/>
        </w:rPr>
        <w:tab/>
      </w:r>
      <w:r w:rsidRPr="009978E3">
        <w:rPr>
          <w:rFonts w:eastAsia="MS Mincho"/>
          <w:i/>
          <w:sz w:val="22"/>
          <w:szCs w:val="22"/>
          <w:lang w:val="fr-CA"/>
        </w:rPr>
        <w:tab/>
      </w:r>
      <w:r w:rsidRPr="009978E3">
        <w:rPr>
          <w:rFonts w:eastAsia="MS Mincho"/>
          <w:i/>
          <w:sz w:val="22"/>
          <w:szCs w:val="22"/>
          <w:lang w:val="fr-CA"/>
        </w:rPr>
        <w:tab/>
        <w:t>Lagenorhynchus albirostris</w:t>
      </w:r>
      <w:r w:rsidRPr="009978E3">
        <w:rPr>
          <w:rFonts w:eastAsia="MS Mincho"/>
          <w:i/>
          <w:sz w:val="22"/>
          <w:szCs w:val="22"/>
          <w:lang w:val="fr-CA"/>
        </w:rPr>
        <w:tab/>
        <w:t>Stenella attenuata</w:t>
      </w:r>
    </w:p>
    <w:p w14:paraId="351C4288" w14:textId="77777777" w:rsidR="006B3F46" w:rsidRPr="009978E3" w:rsidRDefault="006B3F46" w:rsidP="00907941">
      <w:pPr>
        <w:jc w:val="both"/>
        <w:rPr>
          <w:rFonts w:eastAsia="MS Mincho"/>
          <w:i/>
          <w:sz w:val="22"/>
          <w:szCs w:val="22"/>
          <w:lang w:val="es-ES"/>
        </w:rPr>
      </w:pPr>
      <w:r w:rsidRPr="009978E3">
        <w:rPr>
          <w:rFonts w:eastAsia="MS Mincho"/>
          <w:i/>
          <w:sz w:val="22"/>
          <w:szCs w:val="22"/>
          <w:lang w:val="es-ES"/>
        </w:rPr>
        <w:t>Stenella longirostris</w:t>
      </w:r>
      <w:r w:rsidRPr="009978E3">
        <w:rPr>
          <w:rFonts w:eastAsia="MS Mincho"/>
          <w:i/>
          <w:sz w:val="22"/>
          <w:szCs w:val="22"/>
          <w:lang w:val="es-ES"/>
        </w:rPr>
        <w:tab/>
      </w:r>
      <w:r w:rsidRPr="009978E3">
        <w:rPr>
          <w:rFonts w:eastAsia="MS Mincho"/>
          <w:i/>
          <w:sz w:val="22"/>
          <w:szCs w:val="22"/>
          <w:lang w:val="es-ES"/>
        </w:rPr>
        <w:tab/>
      </w:r>
      <w:r w:rsidRPr="009978E3">
        <w:rPr>
          <w:rFonts w:eastAsia="MS Mincho"/>
          <w:i/>
          <w:sz w:val="22"/>
          <w:szCs w:val="22"/>
          <w:lang w:val="es-ES"/>
        </w:rPr>
        <w:tab/>
        <w:t>Pseudorca crassidens</w:t>
      </w:r>
      <w:r w:rsidRPr="009978E3">
        <w:rPr>
          <w:rFonts w:eastAsia="MS Mincho"/>
          <w:i/>
          <w:sz w:val="22"/>
          <w:szCs w:val="22"/>
          <w:lang w:val="es-ES"/>
        </w:rPr>
        <w:tab/>
      </w:r>
      <w:r w:rsidRPr="009978E3">
        <w:rPr>
          <w:rFonts w:eastAsia="MS Mincho"/>
          <w:i/>
          <w:sz w:val="22"/>
          <w:szCs w:val="22"/>
          <w:lang w:val="es-ES"/>
        </w:rPr>
        <w:tab/>
        <w:t>Feresa attenuata</w:t>
      </w:r>
    </w:p>
    <w:p w14:paraId="1831286F"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Balaenoptera borealis</w:t>
      </w:r>
      <w:r w:rsidRPr="009978E3">
        <w:rPr>
          <w:rFonts w:eastAsia="MS Mincho"/>
          <w:i/>
          <w:sz w:val="22"/>
          <w:szCs w:val="22"/>
          <w:lang w:val="en-US"/>
        </w:rPr>
        <w:tab/>
      </w:r>
      <w:r w:rsidRPr="009978E3">
        <w:rPr>
          <w:rFonts w:eastAsia="MS Mincho"/>
          <w:i/>
          <w:sz w:val="22"/>
          <w:szCs w:val="22"/>
          <w:lang w:val="en-US"/>
        </w:rPr>
        <w:tab/>
      </w:r>
      <w:r w:rsidRPr="009978E3">
        <w:rPr>
          <w:rFonts w:eastAsia="MS Mincho"/>
          <w:i/>
          <w:sz w:val="22"/>
          <w:szCs w:val="22"/>
          <w:lang w:val="en-US"/>
        </w:rPr>
        <w:tab/>
        <w:t>Mesoplodon densirostris</w:t>
      </w:r>
      <w:r w:rsidRPr="009978E3">
        <w:rPr>
          <w:rFonts w:eastAsia="MS Mincho"/>
          <w:i/>
          <w:sz w:val="22"/>
          <w:szCs w:val="22"/>
          <w:lang w:val="en-US"/>
        </w:rPr>
        <w:tab/>
        <w:t>Hyperoodon ampullatus</w:t>
      </w:r>
    </w:p>
    <w:p w14:paraId="30E8F9AD" w14:textId="77777777" w:rsidR="006B3F46" w:rsidRPr="009978E3" w:rsidRDefault="006B3F46" w:rsidP="00907941">
      <w:pPr>
        <w:jc w:val="both"/>
        <w:rPr>
          <w:rFonts w:eastAsia="MS Mincho"/>
          <w:i/>
          <w:sz w:val="22"/>
          <w:szCs w:val="22"/>
          <w:lang w:val="en-US"/>
        </w:rPr>
      </w:pPr>
      <w:r w:rsidRPr="009978E3">
        <w:rPr>
          <w:rFonts w:eastAsia="MS Mincho"/>
          <w:i/>
          <w:sz w:val="22"/>
          <w:szCs w:val="22"/>
          <w:lang w:val="en-US"/>
        </w:rPr>
        <w:t>Mesoplodon bidens</w:t>
      </w:r>
      <w:r w:rsidRPr="009978E3">
        <w:rPr>
          <w:rFonts w:eastAsia="MS Mincho"/>
          <w:i/>
          <w:sz w:val="22"/>
          <w:szCs w:val="22"/>
          <w:lang w:val="en-US"/>
        </w:rPr>
        <w:tab/>
      </w:r>
      <w:r w:rsidRPr="009978E3">
        <w:rPr>
          <w:rFonts w:eastAsia="MS Mincho"/>
          <w:i/>
          <w:sz w:val="22"/>
          <w:szCs w:val="22"/>
          <w:lang w:val="en-US"/>
        </w:rPr>
        <w:tab/>
      </w:r>
      <w:r w:rsidRPr="009978E3">
        <w:rPr>
          <w:rFonts w:eastAsia="MS Mincho"/>
          <w:i/>
          <w:sz w:val="22"/>
          <w:szCs w:val="22"/>
          <w:lang w:val="en-US"/>
        </w:rPr>
        <w:tab/>
        <w:t>Mesoplodon mirus</w:t>
      </w:r>
    </w:p>
    <w:p w14:paraId="74BF2308" w14:textId="77777777" w:rsidR="006B3F46" w:rsidRPr="009978E3" w:rsidRDefault="006B3F46" w:rsidP="00907941">
      <w:pPr>
        <w:jc w:val="both"/>
        <w:rPr>
          <w:rFonts w:eastAsia="MS Mincho"/>
          <w:sz w:val="22"/>
          <w:szCs w:val="22"/>
          <w:lang w:val="en-US"/>
        </w:rPr>
      </w:pPr>
    </w:p>
    <w:p w14:paraId="6EDD441B" w14:textId="77777777" w:rsidR="006B3F46" w:rsidRPr="009978E3" w:rsidRDefault="006B3F46" w:rsidP="002E4B39">
      <w:pPr>
        <w:pStyle w:val="ListParagraph"/>
        <w:numPr>
          <w:ilvl w:val="0"/>
          <w:numId w:val="22"/>
        </w:numPr>
        <w:spacing w:after="120"/>
        <w:ind w:leftChars="0" w:left="714" w:hanging="357"/>
        <w:rPr>
          <w:rFonts w:eastAsia="MS Mincho"/>
          <w:i/>
          <w:szCs w:val="22"/>
          <w:lang w:val="en-US"/>
        </w:rPr>
      </w:pPr>
      <w:r w:rsidRPr="009978E3">
        <w:rPr>
          <w:rFonts w:eastAsia="MS Mincho"/>
          <w:i/>
          <w:szCs w:val="22"/>
          <w:lang w:val="en-US"/>
        </w:rPr>
        <w:t>Habitats for endangered, threatened and declining species</w:t>
      </w:r>
    </w:p>
    <w:p w14:paraId="19097AE1" w14:textId="77777777" w:rsidR="006B3F46" w:rsidRPr="00EC5399" w:rsidRDefault="006B3F46" w:rsidP="002E4B39">
      <w:pPr>
        <w:suppressLineNumbers/>
        <w:spacing w:after="120"/>
        <w:jc w:val="both"/>
        <w:rPr>
          <w:sz w:val="22"/>
          <w:szCs w:val="22"/>
          <w:lang w:val="en-US"/>
        </w:rPr>
      </w:pPr>
      <w:r w:rsidRPr="00EC5399">
        <w:rPr>
          <w:sz w:val="22"/>
          <w:szCs w:val="22"/>
          <w:lang w:val="en-US"/>
        </w:rPr>
        <w:t>Listed below are some examples of species registered in the area that need special attention:</w:t>
      </w:r>
    </w:p>
    <w:p w14:paraId="0E64C0FD" w14:textId="77777777" w:rsidR="006B3F46" w:rsidRPr="0021277B" w:rsidRDefault="006B3F46" w:rsidP="00907941">
      <w:pPr>
        <w:jc w:val="both"/>
        <w:rPr>
          <w:sz w:val="22"/>
          <w:szCs w:val="22"/>
          <w:u w:val="single"/>
          <w:lang w:val="en-US"/>
        </w:rPr>
      </w:pPr>
      <w:r w:rsidRPr="0021277B">
        <w:rPr>
          <w:sz w:val="22"/>
          <w:szCs w:val="22"/>
          <w:u w:val="single"/>
          <w:lang w:val="en-US"/>
        </w:rPr>
        <w:t xml:space="preserve">IUCN Red List of threatened species </w:t>
      </w:r>
    </w:p>
    <w:p w14:paraId="4A4C6A0C" w14:textId="77777777" w:rsidR="006B3F46" w:rsidRPr="00EC5399" w:rsidRDefault="006B3F46" w:rsidP="00907941">
      <w:pPr>
        <w:pStyle w:val="xxmsonormal"/>
        <w:shd w:val="clear" w:color="auto" w:fill="FFFFFF"/>
        <w:spacing w:before="0" w:beforeAutospacing="0" w:after="0" w:afterAutospacing="0"/>
        <w:rPr>
          <w:rFonts w:eastAsia="Malgun Gothic"/>
          <w:sz w:val="22"/>
          <w:szCs w:val="22"/>
          <w:lang w:val="en-US" w:eastAsia="en-US"/>
        </w:rPr>
      </w:pPr>
    </w:p>
    <w:p w14:paraId="708D3AC7" w14:textId="77777777" w:rsidR="006B3F46" w:rsidRPr="00EC5399" w:rsidRDefault="006B3F46" w:rsidP="00907941">
      <w:pPr>
        <w:jc w:val="both"/>
        <w:rPr>
          <w:rFonts w:eastAsia="MS Mincho"/>
          <w:i/>
          <w:sz w:val="22"/>
          <w:szCs w:val="22"/>
          <w:lang w:val="fr-CA"/>
        </w:rPr>
      </w:pPr>
      <w:r w:rsidRPr="00EC5399">
        <w:rPr>
          <w:rFonts w:eastAsia="MS Mincho"/>
          <w:i/>
          <w:sz w:val="22"/>
          <w:szCs w:val="22"/>
          <w:lang w:val="fr-CA"/>
        </w:rPr>
        <w:t>Physeter macrocephalus</w:t>
      </w:r>
      <w:r w:rsidRPr="00EC5399">
        <w:rPr>
          <w:rFonts w:eastAsia="MS Mincho"/>
          <w:i/>
          <w:sz w:val="22"/>
          <w:szCs w:val="22"/>
          <w:lang w:val="fr-CA"/>
        </w:rPr>
        <w:tab/>
      </w:r>
      <w:r w:rsidRPr="00EC5399">
        <w:rPr>
          <w:rFonts w:eastAsia="MS Mincho"/>
          <w:i/>
          <w:sz w:val="22"/>
          <w:szCs w:val="22"/>
          <w:lang w:val="fr-CA"/>
        </w:rPr>
        <w:tab/>
        <w:t>Balaenoptera physalus</w:t>
      </w:r>
      <w:r w:rsidRPr="00EC5399">
        <w:rPr>
          <w:rFonts w:eastAsia="MS Mincho"/>
          <w:i/>
          <w:sz w:val="22"/>
          <w:szCs w:val="22"/>
          <w:lang w:val="fr-CA"/>
        </w:rPr>
        <w:tab/>
      </w:r>
      <w:r w:rsidRPr="00EC5399">
        <w:rPr>
          <w:rFonts w:eastAsia="MS Mincho"/>
          <w:i/>
          <w:sz w:val="22"/>
          <w:szCs w:val="22"/>
          <w:lang w:val="fr-CA"/>
        </w:rPr>
        <w:tab/>
        <w:t>Caretta caretta</w:t>
      </w:r>
    </w:p>
    <w:p w14:paraId="7514DE20" w14:textId="77777777" w:rsidR="006B3F46" w:rsidRPr="00EC5399" w:rsidRDefault="006B3F46" w:rsidP="00907941">
      <w:pPr>
        <w:jc w:val="both"/>
        <w:rPr>
          <w:rFonts w:eastAsia="MS Mincho"/>
          <w:i/>
          <w:sz w:val="22"/>
          <w:szCs w:val="22"/>
          <w:lang w:val="en-US"/>
        </w:rPr>
      </w:pPr>
      <w:r w:rsidRPr="00EC5399">
        <w:rPr>
          <w:rFonts w:eastAsia="MS Mincho"/>
          <w:i/>
          <w:iCs/>
          <w:sz w:val="22"/>
          <w:szCs w:val="22"/>
          <w:lang w:val="en-US"/>
        </w:rPr>
        <w:t>Dermochelys coriacea</w:t>
      </w:r>
      <w:r w:rsidRPr="00EC5399">
        <w:rPr>
          <w:rFonts w:eastAsia="MS Mincho"/>
          <w:i/>
          <w:iCs/>
          <w:sz w:val="22"/>
          <w:szCs w:val="22"/>
          <w:lang w:val="en-US"/>
        </w:rPr>
        <w:tab/>
      </w:r>
      <w:r w:rsidRPr="00EC5399">
        <w:rPr>
          <w:rFonts w:eastAsia="MS Mincho"/>
          <w:i/>
          <w:iCs/>
          <w:sz w:val="22"/>
          <w:szCs w:val="22"/>
          <w:lang w:val="en-US"/>
        </w:rPr>
        <w:tab/>
      </w:r>
      <w:r w:rsidRPr="00EC5399">
        <w:rPr>
          <w:rFonts w:eastAsia="MS Mincho"/>
          <w:i/>
          <w:iCs/>
          <w:sz w:val="22"/>
          <w:szCs w:val="22"/>
          <w:lang w:val="en-US"/>
        </w:rPr>
        <w:tab/>
      </w:r>
      <w:r w:rsidRPr="00EC5399">
        <w:rPr>
          <w:rFonts w:eastAsia="MS Mincho"/>
          <w:i/>
          <w:sz w:val="22"/>
          <w:szCs w:val="22"/>
          <w:lang w:val="en-US"/>
        </w:rPr>
        <w:t>Squatina squatina</w:t>
      </w:r>
      <w:r w:rsidRPr="00EC5399">
        <w:rPr>
          <w:rFonts w:eastAsia="MS Mincho"/>
          <w:i/>
          <w:sz w:val="22"/>
          <w:szCs w:val="22"/>
          <w:lang w:val="en-US"/>
        </w:rPr>
        <w:tab/>
      </w:r>
      <w:r w:rsidRPr="00EC5399">
        <w:rPr>
          <w:rFonts w:eastAsia="MS Mincho"/>
          <w:i/>
          <w:sz w:val="22"/>
          <w:szCs w:val="22"/>
          <w:lang w:val="en-US"/>
        </w:rPr>
        <w:tab/>
        <w:t>Sardinella maderensis</w:t>
      </w:r>
    </w:p>
    <w:p w14:paraId="3C9A58F4" w14:textId="77777777" w:rsidR="006B3F46" w:rsidRPr="00EC5399" w:rsidRDefault="006B3F46" w:rsidP="00907941">
      <w:pPr>
        <w:jc w:val="both"/>
        <w:rPr>
          <w:rFonts w:eastAsia="MS Mincho"/>
          <w:i/>
          <w:sz w:val="22"/>
          <w:szCs w:val="22"/>
          <w:lang w:val="en-US"/>
        </w:rPr>
      </w:pPr>
      <w:r w:rsidRPr="00EC5399">
        <w:rPr>
          <w:rFonts w:eastAsia="MS Mincho"/>
          <w:i/>
          <w:sz w:val="22"/>
          <w:szCs w:val="22"/>
          <w:lang w:val="en-US"/>
        </w:rPr>
        <w:t>Megalops atlanticus</w:t>
      </w:r>
      <w:r w:rsidRPr="00EC5399">
        <w:rPr>
          <w:rFonts w:eastAsia="MS Mincho"/>
          <w:i/>
          <w:sz w:val="22"/>
          <w:szCs w:val="22"/>
          <w:lang w:val="en-US"/>
        </w:rPr>
        <w:tab/>
      </w:r>
      <w:r w:rsidRPr="00EC5399">
        <w:rPr>
          <w:rFonts w:eastAsia="MS Mincho"/>
          <w:i/>
          <w:sz w:val="22"/>
          <w:szCs w:val="22"/>
          <w:lang w:val="en-US"/>
        </w:rPr>
        <w:tab/>
      </w:r>
      <w:r w:rsidRPr="00EC5399">
        <w:rPr>
          <w:rFonts w:eastAsia="MS Mincho"/>
          <w:i/>
          <w:sz w:val="22"/>
          <w:szCs w:val="22"/>
          <w:lang w:val="en-US"/>
        </w:rPr>
        <w:tab/>
        <w:t>Trachurus trachurus</w:t>
      </w:r>
      <w:r w:rsidRPr="00EC5399">
        <w:rPr>
          <w:rFonts w:eastAsia="MS Mincho"/>
          <w:i/>
          <w:sz w:val="22"/>
          <w:szCs w:val="22"/>
          <w:lang w:val="en-US"/>
        </w:rPr>
        <w:tab/>
      </w:r>
      <w:r w:rsidRPr="00EC5399">
        <w:rPr>
          <w:rFonts w:eastAsia="MS Mincho"/>
          <w:i/>
          <w:sz w:val="22"/>
          <w:szCs w:val="22"/>
          <w:lang w:val="en-US"/>
        </w:rPr>
        <w:tab/>
        <w:t>Kajikia albida</w:t>
      </w:r>
      <w:r w:rsidRPr="00EC5399">
        <w:rPr>
          <w:rFonts w:eastAsia="MS Mincho"/>
          <w:i/>
          <w:sz w:val="22"/>
          <w:szCs w:val="22"/>
          <w:lang w:val="en-US"/>
        </w:rPr>
        <w:tab/>
      </w:r>
    </w:p>
    <w:p w14:paraId="08534EB4" w14:textId="77777777" w:rsidR="006B3F46" w:rsidRPr="00EC5399" w:rsidRDefault="006B3F46" w:rsidP="00907941">
      <w:pPr>
        <w:jc w:val="both"/>
        <w:rPr>
          <w:rFonts w:eastAsia="MS Mincho"/>
          <w:i/>
          <w:sz w:val="22"/>
          <w:szCs w:val="22"/>
          <w:lang w:val="en-US"/>
        </w:rPr>
      </w:pPr>
      <w:r w:rsidRPr="00EC5399">
        <w:rPr>
          <w:rFonts w:eastAsia="MS Mincho"/>
          <w:i/>
          <w:sz w:val="22"/>
          <w:szCs w:val="22"/>
          <w:lang w:val="en-US"/>
        </w:rPr>
        <w:t>Makaira nigricans</w:t>
      </w:r>
      <w:r w:rsidRPr="00EC5399">
        <w:rPr>
          <w:rFonts w:eastAsia="MS Mincho"/>
          <w:i/>
          <w:sz w:val="22"/>
          <w:szCs w:val="22"/>
          <w:lang w:val="en-US"/>
        </w:rPr>
        <w:tab/>
      </w:r>
      <w:r w:rsidRPr="00EC5399">
        <w:rPr>
          <w:rFonts w:eastAsia="MS Mincho"/>
          <w:i/>
          <w:sz w:val="22"/>
          <w:szCs w:val="22"/>
          <w:lang w:val="en-US"/>
        </w:rPr>
        <w:tab/>
      </w:r>
      <w:r w:rsidRPr="00EC5399">
        <w:rPr>
          <w:rFonts w:eastAsia="MS Mincho"/>
          <w:i/>
          <w:sz w:val="22"/>
          <w:szCs w:val="22"/>
          <w:lang w:val="en-US"/>
        </w:rPr>
        <w:tab/>
        <w:t>Bodianus scrofa</w:t>
      </w:r>
      <w:r w:rsidRPr="00EC5399">
        <w:rPr>
          <w:rFonts w:eastAsia="MS Mincho"/>
          <w:i/>
          <w:sz w:val="22"/>
          <w:szCs w:val="22"/>
          <w:lang w:val="en-US"/>
        </w:rPr>
        <w:tab/>
      </w:r>
      <w:r w:rsidRPr="00EC5399">
        <w:rPr>
          <w:rFonts w:eastAsia="MS Mincho"/>
          <w:i/>
          <w:sz w:val="22"/>
          <w:szCs w:val="22"/>
          <w:lang w:val="en-US"/>
        </w:rPr>
        <w:tab/>
      </w:r>
      <w:r w:rsidRPr="00EC5399">
        <w:rPr>
          <w:rFonts w:eastAsia="MS Mincho"/>
          <w:i/>
          <w:sz w:val="22"/>
          <w:szCs w:val="22"/>
          <w:lang w:val="en-US"/>
        </w:rPr>
        <w:tab/>
        <w:t>Pomatomus saltatrix</w:t>
      </w:r>
      <w:r w:rsidRPr="00EC5399">
        <w:rPr>
          <w:rFonts w:eastAsia="MS Mincho"/>
          <w:i/>
          <w:sz w:val="22"/>
          <w:szCs w:val="22"/>
          <w:lang w:val="en-US"/>
        </w:rPr>
        <w:tab/>
      </w:r>
    </w:p>
    <w:p w14:paraId="7EFEFC7E" w14:textId="77777777" w:rsidR="006B3F46" w:rsidRPr="00EC5399" w:rsidRDefault="006B3F46" w:rsidP="00907941">
      <w:pPr>
        <w:jc w:val="both"/>
        <w:rPr>
          <w:rFonts w:eastAsia="MS Mincho"/>
          <w:i/>
          <w:sz w:val="22"/>
          <w:szCs w:val="22"/>
          <w:lang w:val="en-US"/>
        </w:rPr>
      </w:pPr>
      <w:r w:rsidRPr="00EC5399">
        <w:rPr>
          <w:rFonts w:eastAsia="MS Mincho"/>
          <w:i/>
          <w:sz w:val="22"/>
          <w:szCs w:val="22"/>
          <w:lang w:val="en-US"/>
        </w:rPr>
        <w:t>Thunnus obesus</w:t>
      </w:r>
      <w:r w:rsidRPr="00EC5399">
        <w:rPr>
          <w:rFonts w:eastAsia="MS Mincho"/>
          <w:i/>
          <w:sz w:val="22"/>
          <w:szCs w:val="22"/>
          <w:lang w:val="en-US"/>
        </w:rPr>
        <w:tab/>
      </w:r>
      <w:r w:rsidRPr="00EC5399">
        <w:rPr>
          <w:rFonts w:eastAsia="MS Mincho"/>
          <w:i/>
          <w:sz w:val="22"/>
          <w:szCs w:val="22"/>
          <w:lang w:val="en-US"/>
        </w:rPr>
        <w:tab/>
      </w:r>
      <w:r w:rsidRPr="00EC5399">
        <w:rPr>
          <w:rFonts w:eastAsia="MS Mincho"/>
          <w:i/>
          <w:sz w:val="22"/>
          <w:szCs w:val="22"/>
          <w:lang w:val="en-US"/>
        </w:rPr>
        <w:tab/>
      </w:r>
      <w:r w:rsidRPr="00EC5399">
        <w:rPr>
          <w:rFonts w:eastAsia="MS Mincho"/>
          <w:i/>
          <w:sz w:val="22"/>
          <w:szCs w:val="22"/>
          <w:lang w:val="en-US"/>
        </w:rPr>
        <w:tab/>
        <w:t>Thunnus thynnus</w:t>
      </w:r>
      <w:r w:rsidRPr="00EC5399">
        <w:rPr>
          <w:rFonts w:eastAsia="MS Mincho"/>
          <w:i/>
          <w:sz w:val="22"/>
          <w:szCs w:val="22"/>
          <w:lang w:val="en-US"/>
        </w:rPr>
        <w:tab/>
      </w:r>
      <w:r w:rsidRPr="00EC5399">
        <w:rPr>
          <w:rFonts w:eastAsia="MS Mincho"/>
          <w:i/>
          <w:sz w:val="22"/>
          <w:szCs w:val="22"/>
          <w:lang w:val="en-US"/>
        </w:rPr>
        <w:tab/>
        <w:t>Epinephelus itajara</w:t>
      </w:r>
      <w:r w:rsidRPr="00EC5399">
        <w:rPr>
          <w:rFonts w:eastAsia="MS Mincho"/>
          <w:i/>
          <w:sz w:val="22"/>
          <w:szCs w:val="22"/>
          <w:lang w:val="en-US"/>
        </w:rPr>
        <w:tab/>
      </w:r>
    </w:p>
    <w:p w14:paraId="17297B51"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Epinephelus marginatus</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Mycteroperca fusca</w:t>
      </w:r>
      <w:r w:rsidRPr="00EC5399">
        <w:rPr>
          <w:rFonts w:eastAsia="MS Mincho"/>
          <w:i/>
          <w:sz w:val="22"/>
          <w:szCs w:val="22"/>
          <w:lang w:val="es-ES"/>
        </w:rPr>
        <w:tab/>
      </w:r>
      <w:r w:rsidRPr="00EC5399">
        <w:rPr>
          <w:rFonts w:eastAsia="MS Mincho"/>
          <w:i/>
          <w:sz w:val="22"/>
          <w:szCs w:val="22"/>
          <w:lang w:val="es-ES"/>
        </w:rPr>
        <w:tab/>
        <w:t>Dentex dentex</w:t>
      </w:r>
      <w:r w:rsidRPr="00EC5399">
        <w:rPr>
          <w:rFonts w:eastAsia="MS Mincho"/>
          <w:i/>
          <w:sz w:val="22"/>
          <w:szCs w:val="22"/>
          <w:lang w:val="es-ES"/>
        </w:rPr>
        <w:tab/>
      </w:r>
    </w:p>
    <w:p w14:paraId="2D6C8A8C"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Balistes capriscus</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Mola mola</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Carcharhinus falciformis</w:t>
      </w:r>
    </w:p>
    <w:p w14:paraId="380BF893"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Carcharhinus obscurus</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Sphyrna lewini</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Sphyrna zygaena</w:t>
      </w:r>
      <w:r w:rsidRPr="00EC5399">
        <w:rPr>
          <w:rFonts w:eastAsia="MS Mincho"/>
          <w:i/>
          <w:sz w:val="22"/>
          <w:szCs w:val="22"/>
          <w:lang w:val="es-ES"/>
        </w:rPr>
        <w:tab/>
      </w:r>
    </w:p>
    <w:p w14:paraId="3E4BDF77"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Galeorhinus galeus</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Mustelus mustelus</w:t>
      </w:r>
      <w:r w:rsidRPr="00EC5399">
        <w:rPr>
          <w:rFonts w:eastAsia="MS Mincho"/>
          <w:i/>
          <w:sz w:val="22"/>
          <w:szCs w:val="22"/>
          <w:lang w:val="es-ES"/>
        </w:rPr>
        <w:tab/>
      </w:r>
      <w:r w:rsidRPr="00EC5399">
        <w:rPr>
          <w:rFonts w:eastAsia="MS Mincho"/>
          <w:i/>
          <w:sz w:val="22"/>
          <w:szCs w:val="22"/>
          <w:lang w:val="es-ES"/>
        </w:rPr>
        <w:tab/>
        <w:t>Alopias superciliosus</w:t>
      </w:r>
      <w:r w:rsidRPr="00EC5399">
        <w:rPr>
          <w:rFonts w:eastAsia="MS Mincho"/>
          <w:i/>
          <w:sz w:val="22"/>
          <w:szCs w:val="22"/>
          <w:lang w:val="es-ES"/>
        </w:rPr>
        <w:tab/>
      </w:r>
    </w:p>
    <w:p w14:paraId="7FC8BDAE"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Alopias vulpinus</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Carcharodon carcharias</w:t>
      </w:r>
      <w:r w:rsidRPr="00EC5399">
        <w:rPr>
          <w:rFonts w:eastAsia="MS Mincho"/>
          <w:i/>
          <w:sz w:val="22"/>
          <w:szCs w:val="22"/>
          <w:lang w:val="es-ES"/>
        </w:rPr>
        <w:tab/>
        <w:t>Isurus oxyrinchus</w:t>
      </w:r>
      <w:r w:rsidRPr="00EC5399">
        <w:rPr>
          <w:rFonts w:eastAsia="MS Mincho"/>
          <w:i/>
          <w:sz w:val="22"/>
          <w:szCs w:val="22"/>
          <w:lang w:val="es-ES"/>
        </w:rPr>
        <w:tab/>
      </w:r>
    </w:p>
    <w:p w14:paraId="5321BA2A"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Gymnura altavela</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Manta birostris</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Mobula mobular</w:t>
      </w:r>
      <w:r w:rsidRPr="00EC5399">
        <w:rPr>
          <w:rFonts w:eastAsia="MS Mincho"/>
          <w:i/>
          <w:sz w:val="22"/>
          <w:szCs w:val="22"/>
          <w:lang w:val="es-ES"/>
        </w:rPr>
        <w:tab/>
      </w:r>
    </w:p>
    <w:p w14:paraId="4FEFC422"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Mobula tarapacana</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Rhincodon typus</w:t>
      </w:r>
      <w:r w:rsidRPr="00EC5399">
        <w:rPr>
          <w:rFonts w:eastAsia="MS Mincho"/>
          <w:i/>
          <w:sz w:val="22"/>
          <w:szCs w:val="22"/>
          <w:lang w:val="es-ES"/>
        </w:rPr>
        <w:tab/>
      </w:r>
      <w:r w:rsidRPr="00EC5399">
        <w:rPr>
          <w:rFonts w:eastAsia="MS Mincho"/>
          <w:i/>
          <w:sz w:val="22"/>
          <w:szCs w:val="22"/>
          <w:lang w:val="es-ES"/>
        </w:rPr>
        <w:tab/>
        <w:t>Pristis pristis</w:t>
      </w:r>
      <w:r w:rsidRPr="00EC5399">
        <w:rPr>
          <w:rFonts w:eastAsia="MS Mincho"/>
          <w:i/>
          <w:sz w:val="22"/>
          <w:szCs w:val="22"/>
          <w:lang w:val="es-ES"/>
        </w:rPr>
        <w:tab/>
      </w:r>
      <w:r w:rsidRPr="00EC5399">
        <w:rPr>
          <w:rFonts w:eastAsia="MS Mincho"/>
          <w:i/>
          <w:sz w:val="22"/>
          <w:szCs w:val="22"/>
          <w:lang w:val="es-ES"/>
        </w:rPr>
        <w:tab/>
      </w:r>
    </w:p>
    <w:p w14:paraId="3C443540"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Dipturus batis</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Leucoraja circularis</w:t>
      </w:r>
      <w:r w:rsidRPr="00EC5399">
        <w:rPr>
          <w:rFonts w:eastAsia="MS Mincho"/>
          <w:i/>
          <w:sz w:val="22"/>
          <w:szCs w:val="22"/>
          <w:lang w:val="es-ES"/>
        </w:rPr>
        <w:tab/>
      </w:r>
      <w:r w:rsidRPr="00EC5399">
        <w:rPr>
          <w:rFonts w:eastAsia="MS Mincho"/>
          <w:i/>
          <w:sz w:val="22"/>
          <w:szCs w:val="22"/>
          <w:lang w:val="es-ES"/>
        </w:rPr>
        <w:tab/>
        <w:t>Raja maderensis</w:t>
      </w:r>
      <w:r w:rsidRPr="00EC5399">
        <w:rPr>
          <w:rFonts w:eastAsia="MS Mincho"/>
          <w:i/>
          <w:sz w:val="22"/>
          <w:szCs w:val="22"/>
          <w:lang w:val="es-ES"/>
        </w:rPr>
        <w:tab/>
      </w:r>
    </w:p>
    <w:p w14:paraId="1FBBBD7B"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Rostroraja alba</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Rhinobatos rhinobatos</w:t>
      </w:r>
      <w:r w:rsidRPr="00EC5399">
        <w:rPr>
          <w:rFonts w:eastAsia="MS Mincho"/>
          <w:i/>
          <w:sz w:val="22"/>
          <w:szCs w:val="22"/>
          <w:lang w:val="es-ES"/>
        </w:rPr>
        <w:tab/>
      </w:r>
      <w:r w:rsidRPr="00EC5399">
        <w:rPr>
          <w:rFonts w:eastAsia="MS Mincho"/>
          <w:i/>
          <w:sz w:val="22"/>
          <w:szCs w:val="22"/>
          <w:lang w:val="es-ES"/>
        </w:rPr>
        <w:tab/>
        <w:t>Centrophorus granulosus</w:t>
      </w:r>
    </w:p>
    <w:p w14:paraId="0060DA60" w14:textId="77777777" w:rsidR="006B3F46" w:rsidRPr="00EC5399" w:rsidRDefault="006B3F46" w:rsidP="00907941">
      <w:pPr>
        <w:jc w:val="both"/>
        <w:rPr>
          <w:rFonts w:eastAsia="MS Mincho"/>
          <w:i/>
          <w:sz w:val="22"/>
          <w:szCs w:val="22"/>
          <w:lang w:val="es-ES"/>
        </w:rPr>
      </w:pPr>
      <w:r w:rsidRPr="00EC5399">
        <w:rPr>
          <w:rFonts w:eastAsia="MS Mincho"/>
          <w:i/>
          <w:sz w:val="22"/>
          <w:szCs w:val="22"/>
          <w:lang w:val="es-ES"/>
        </w:rPr>
        <w:t>Centrophorus squamosus</w:t>
      </w:r>
      <w:r w:rsidRPr="00EC5399">
        <w:rPr>
          <w:rFonts w:eastAsia="MS Mincho"/>
          <w:i/>
          <w:sz w:val="22"/>
          <w:szCs w:val="22"/>
          <w:lang w:val="es-ES"/>
        </w:rPr>
        <w:tab/>
      </w:r>
      <w:r w:rsidRPr="00EC5399">
        <w:rPr>
          <w:rFonts w:eastAsia="MS Mincho"/>
          <w:i/>
          <w:sz w:val="22"/>
          <w:szCs w:val="22"/>
          <w:lang w:val="es-ES"/>
        </w:rPr>
        <w:tab/>
        <w:t>Dalatias licha</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Centroscymnus owstoni</w:t>
      </w:r>
      <w:r w:rsidRPr="00EC5399">
        <w:rPr>
          <w:rFonts w:eastAsia="MS Mincho"/>
          <w:i/>
          <w:sz w:val="22"/>
          <w:szCs w:val="22"/>
          <w:lang w:val="es-ES"/>
        </w:rPr>
        <w:tab/>
      </w:r>
    </w:p>
    <w:p w14:paraId="1EA63B51" w14:textId="77777777" w:rsidR="006B3F46" w:rsidRPr="00EC5399" w:rsidRDefault="006B3F46" w:rsidP="00907941">
      <w:pPr>
        <w:jc w:val="both"/>
        <w:rPr>
          <w:sz w:val="22"/>
          <w:szCs w:val="22"/>
          <w:u w:val="single"/>
          <w:lang w:val="es-ES"/>
        </w:rPr>
      </w:pPr>
      <w:r w:rsidRPr="00EC5399">
        <w:rPr>
          <w:rFonts w:eastAsia="MS Mincho"/>
          <w:i/>
          <w:sz w:val="22"/>
          <w:szCs w:val="22"/>
          <w:lang w:val="es-ES"/>
        </w:rPr>
        <w:t>Squatina squatina</w:t>
      </w:r>
      <w:r w:rsidRPr="00EC5399">
        <w:rPr>
          <w:rFonts w:eastAsia="MS Mincho"/>
          <w:i/>
          <w:sz w:val="22"/>
          <w:szCs w:val="22"/>
          <w:lang w:val="es-ES"/>
        </w:rPr>
        <w:tab/>
      </w:r>
      <w:r w:rsidRPr="00EC5399">
        <w:rPr>
          <w:rFonts w:eastAsia="MS Mincho"/>
          <w:i/>
          <w:sz w:val="22"/>
          <w:szCs w:val="22"/>
          <w:lang w:val="es-ES"/>
        </w:rPr>
        <w:tab/>
      </w:r>
      <w:r w:rsidRPr="00EC5399">
        <w:rPr>
          <w:rFonts w:eastAsia="MS Mincho"/>
          <w:i/>
          <w:sz w:val="22"/>
          <w:szCs w:val="22"/>
          <w:lang w:val="es-ES"/>
        </w:rPr>
        <w:tab/>
        <w:t>Eunicella verrucosa</w:t>
      </w:r>
    </w:p>
    <w:p w14:paraId="6A3E4CDE" w14:textId="77777777" w:rsidR="006B3F46" w:rsidRPr="00EC5399" w:rsidRDefault="006B3F46" w:rsidP="00907941">
      <w:pPr>
        <w:pStyle w:val="xxmsonormal"/>
        <w:shd w:val="clear" w:color="auto" w:fill="FFFFFF"/>
        <w:spacing w:before="0" w:beforeAutospacing="0" w:after="0" w:afterAutospacing="0"/>
        <w:rPr>
          <w:rFonts w:eastAsia="Malgun Gothic"/>
          <w:sz w:val="22"/>
          <w:szCs w:val="22"/>
          <w:lang w:eastAsia="en-US"/>
        </w:rPr>
        <w:sectPr w:rsidR="006B3F46" w:rsidRPr="00EC5399" w:rsidSect="002E4B39">
          <w:headerReference w:type="even" r:id="rId214"/>
          <w:headerReference w:type="default" r:id="rId215"/>
          <w:footerReference w:type="default" r:id="rId216"/>
          <w:headerReference w:type="first" r:id="rId217"/>
          <w:footerReference w:type="first" r:id="rId218"/>
          <w:pgSz w:w="12242" w:h="15842" w:code="1"/>
          <w:pgMar w:top="1134" w:right="1418" w:bottom="1134" w:left="1418" w:header="567" w:footer="567" w:gutter="0"/>
          <w:cols w:space="708"/>
          <w:docGrid w:linePitch="360"/>
        </w:sectPr>
      </w:pPr>
    </w:p>
    <w:p w14:paraId="766A593E" w14:textId="720B29BD" w:rsidR="006B3F46" w:rsidRDefault="006B3F46" w:rsidP="00907941">
      <w:pPr>
        <w:jc w:val="both"/>
        <w:rPr>
          <w:sz w:val="22"/>
          <w:szCs w:val="22"/>
          <w:u w:val="single"/>
          <w:lang w:val="es-ES"/>
        </w:rPr>
      </w:pPr>
      <w:r w:rsidRPr="0021277B">
        <w:rPr>
          <w:sz w:val="22"/>
          <w:szCs w:val="22"/>
          <w:u w:val="single"/>
          <w:lang w:val="es-ES"/>
        </w:rPr>
        <w:t xml:space="preserve">OSPAR Species </w:t>
      </w:r>
    </w:p>
    <w:p w14:paraId="255B755B" w14:textId="77777777" w:rsidR="006B3F46" w:rsidRPr="00EC5399" w:rsidRDefault="006B3F46" w:rsidP="00907941">
      <w:pPr>
        <w:pStyle w:val="xxmsonormal"/>
        <w:shd w:val="clear" w:color="auto" w:fill="FFFFFF"/>
        <w:spacing w:before="0" w:beforeAutospacing="0" w:after="0" w:afterAutospacing="0"/>
        <w:rPr>
          <w:i/>
          <w:sz w:val="22"/>
          <w:szCs w:val="22"/>
        </w:rPr>
      </w:pPr>
      <w:r w:rsidRPr="00EC5399">
        <w:rPr>
          <w:i/>
          <w:sz w:val="22"/>
          <w:szCs w:val="22"/>
        </w:rPr>
        <w:t>Patella aspera</w:t>
      </w:r>
      <w:r w:rsidRPr="00EC5399">
        <w:rPr>
          <w:i/>
          <w:sz w:val="22"/>
          <w:szCs w:val="22"/>
        </w:rPr>
        <w:tab/>
      </w:r>
      <w:r w:rsidRPr="00EC5399">
        <w:rPr>
          <w:i/>
          <w:sz w:val="22"/>
          <w:szCs w:val="22"/>
        </w:rPr>
        <w:tab/>
      </w:r>
      <w:r w:rsidRPr="00EC5399">
        <w:rPr>
          <w:i/>
          <w:sz w:val="22"/>
          <w:szCs w:val="22"/>
        </w:rPr>
        <w:tab/>
      </w:r>
      <w:r w:rsidRPr="00EC5399">
        <w:rPr>
          <w:i/>
          <w:sz w:val="22"/>
          <w:szCs w:val="22"/>
        </w:rPr>
        <w:tab/>
        <w:t>Centroscymnus coelolepis</w:t>
      </w:r>
      <w:r w:rsidRPr="00EC5399">
        <w:rPr>
          <w:i/>
          <w:sz w:val="22"/>
          <w:szCs w:val="22"/>
        </w:rPr>
        <w:tab/>
        <w:t>Dipturus batis</w:t>
      </w:r>
    </w:p>
    <w:p w14:paraId="40B1D8A9" w14:textId="77777777" w:rsidR="006B3F46" w:rsidRPr="00EC5399" w:rsidRDefault="006B3F46" w:rsidP="00907941">
      <w:pPr>
        <w:pStyle w:val="xxmsonormal"/>
        <w:shd w:val="clear" w:color="auto" w:fill="FFFFFF"/>
        <w:spacing w:before="0" w:beforeAutospacing="0" w:after="0" w:afterAutospacing="0"/>
        <w:rPr>
          <w:i/>
          <w:sz w:val="22"/>
          <w:szCs w:val="22"/>
        </w:rPr>
      </w:pPr>
      <w:r w:rsidRPr="00EC5399">
        <w:rPr>
          <w:i/>
          <w:sz w:val="22"/>
          <w:szCs w:val="22"/>
        </w:rPr>
        <w:t>Raja montagui</w:t>
      </w:r>
      <w:r w:rsidRPr="00EC5399">
        <w:rPr>
          <w:sz w:val="22"/>
          <w:szCs w:val="22"/>
        </w:rPr>
        <w:t xml:space="preserve"> </w:t>
      </w:r>
      <w:r w:rsidRPr="00EC5399">
        <w:rPr>
          <w:sz w:val="22"/>
          <w:szCs w:val="22"/>
        </w:rPr>
        <w:tab/>
      </w:r>
      <w:r w:rsidRPr="00EC5399">
        <w:rPr>
          <w:sz w:val="22"/>
          <w:szCs w:val="22"/>
        </w:rPr>
        <w:tab/>
      </w:r>
      <w:r w:rsidRPr="00EC5399">
        <w:rPr>
          <w:sz w:val="22"/>
          <w:szCs w:val="22"/>
        </w:rPr>
        <w:tab/>
      </w:r>
      <w:r w:rsidRPr="00EC5399">
        <w:rPr>
          <w:sz w:val="22"/>
          <w:szCs w:val="22"/>
        </w:rPr>
        <w:tab/>
      </w:r>
      <w:r w:rsidRPr="00EC5399">
        <w:rPr>
          <w:i/>
          <w:sz w:val="22"/>
          <w:szCs w:val="22"/>
        </w:rPr>
        <w:t>Hippocampus hippocampus</w:t>
      </w:r>
      <w:r w:rsidRPr="00EC5399">
        <w:rPr>
          <w:i/>
          <w:sz w:val="22"/>
          <w:szCs w:val="22"/>
        </w:rPr>
        <w:tab/>
        <w:t>Raja clavata</w:t>
      </w:r>
    </w:p>
    <w:p w14:paraId="01D19281" w14:textId="77777777" w:rsidR="006B3F46" w:rsidRPr="00EC5399" w:rsidRDefault="006B3F46" w:rsidP="00907941">
      <w:pPr>
        <w:pStyle w:val="xxmsonormal"/>
        <w:shd w:val="clear" w:color="auto" w:fill="FFFFFF"/>
        <w:spacing w:before="0" w:beforeAutospacing="0" w:after="0" w:afterAutospacing="0"/>
        <w:rPr>
          <w:i/>
          <w:iCs/>
          <w:sz w:val="22"/>
          <w:szCs w:val="22"/>
          <w:lang w:val="en-US"/>
        </w:rPr>
      </w:pPr>
      <w:r w:rsidRPr="00EC5399">
        <w:rPr>
          <w:i/>
          <w:iCs/>
          <w:sz w:val="22"/>
          <w:szCs w:val="22"/>
          <w:lang w:val="en-US"/>
        </w:rPr>
        <w:t>Rostroraja alba</w:t>
      </w:r>
      <w:r w:rsidRPr="00EC5399">
        <w:rPr>
          <w:i/>
          <w:iCs/>
          <w:sz w:val="22"/>
          <w:szCs w:val="22"/>
          <w:lang w:val="en-US"/>
        </w:rPr>
        <w:tab/>
      </w:r>
      <w:r w:rsidRPr="00EC5399">
        <w:rPr>
          <w:i/>
          <w:iCs/>
          <w:sz w:val="22"/>
          <w:szCs w:val="22"/>
          <w:lang w:val="en-US"/>
        </w:rPr>
        <w:tab/>
      </w:r>
      <w:r w:rsidRPr="00EC5399">
        <w:rPr>
          <w:i/>
          <w:iCs/>
          <w:sz w:val="22"/>
          <w:szCs w:val="22"/>
          <w:lang w:val="en-US"/>
        </w:rPr>
        <w:tab/>
      </w:r>
      <w:r w:rsidRPr="00EC5399">
        <w:rPr>
          <w:i/>
          <w:iCs/>
          <w:sz w:val="22"/>
          <w:szCs w:val="22"/>
          <w:lang w:val="en-US"/>
        </w:rPr>
        <w:tab/>
        <w:t>Squatina squatina</w:t>
      </w:r>
      <w:r w:rsidRPr="00EC5399">
        <w:rPr>
          <w:i/>
          <w:iCs/>
          <w:sz w:val="22"/>
          <w:szCs w:val="22"/>
          <w:lang w:val="en-US"/>
        </w:rPr>
        <w:tab/>
      </w:r>
      <w:r w:rsidRPr="00EC5399">
        <w:rPr>
          <w:i/>
          <w:iCs/>
          <w:sz w:val="22"/>
          <w:szCs w:val="22"/>
          <w:lang w:val="en-US"/>
        </w:rPr>
        <w:tab/>
        <w:t>Thunnus thynnus</w:t>
      </w:r>
    </w:p>
    <w:p w14:paraId="5FEE20CC" w14:textId="77777777" w:rsidR="006B3F46" w:rsidRPr="00EC5399" w:rsidRDefault="006B3F46" w:rsidP="00907941">
      <w:pPr>
        <w:pStyle w:val="xxmsonormal"/>
        <w:shd w:val="clear" w:color="auto" w:fill="FFFFFF"/>
        <w:spacing w:before="0" w:beforeAutospacing="0" w:after="0" w:afterAutospacing="0"/>
        <w:rPr>
          <w:rFonts w:eastAsia="MS Mincho"/>
          <w:i/>
          <w:sz w:val="22"/>
          <w:szCs w:val="22"/>
          <w:lang w:val="fr-CA" w:eastAsia="en-US"/>
        </w:rPr>
      </w:pPr>
      <w:r w:rsidRPr="00EC5399">
        <w:rPr>
          <w:rFonts w:eastAsia="MS Mincho"/>
          <w:i/>
          <w:sz w:val="22"/>
          <w:szCs w:val="22"/>
          <w:lang w:val="fr-CA" w:eastAsia="en-US"/>
        </w:rPr>
        <w:t>Balaenoptera musculus</w:t>
      </w:r>
      <w:r w:rsidRPr="00EC5399">
        <w:rPr>
          <w:rFonts w:eastAsia="MS Mincho"/>
          <w:i/>
          <w:sz w:val="22"/>
          <w:szCs w:val="22"/>
          <w:lang w:val="fr-CA" w:eastAsia="en-US"/>
        </w:rPr>
        <w:tab/>
        <w:t>*</w:t>
      </w:r>
      <w:r w:rsidRPr="00EC5399">
        <w:rPr>
          <w:rFonts w:eastAsia="MS Mincho"/>
          <w:sz w:val="22"/>
          <w:szCs w:val="22"/>
          <w:lang w:val="fr-CA" w:eastAsia="en-US"/>
        </w:rPr>
        <w:tab/>
      </w:r>
      <w:r w:rsidRPr="00EC5399">
        <w:rPr>
          <w:rFonts w:eastAsia="MS Mincho"/>
          <w:sz w:val="22"/>
          <w:szCs w:val="22"/>
          <w:lang w:val="fr-CA" w:eastAsia="en-US"/>
        </w:rPr>
        <w:tab/>
      </w:r>
      <w:r w:rsidRPr="00EC5399">
        <w:rPr>
          <w:rFonts w:eastAsia="MS Mincho"/>
          <w:i/>
          <w:sz w:val="22"/>
          <w:szCs w:val="22"/>
          <w:lang w:val="fr-CA" w:eastAsia="en-US"/>
        </w:rPr>
        <w:t>Eubalaena glacialis*</w:t>
      </w:r>
      <w:r w:rsidRPr="00EC5399">
        <w:rPr>
          <w:rFonts w:eastAsia="MS Mincho"/>
          <w:i/>
          <w:sz w:val="22"/>
          <w:szCs w:val="22"/>
          <w:lang w:val="fr-CA" w:eastAsia="en-US"/>
        </w:rPr>
        <w:tab/>
      </w:r>
      <w:r w:rsidRPr="00EC5399">
        <w:rPr>
          <w:rFonts w:eastAsia="MS Mincho"/>
          <w:i/>
          <w:sz w:val="22"/>
          <w:szCs w:val="22"/>
          <w:lang w:val="fr-CA" w:eastAsia="en-US"/>
        </w:rPr>
        <w:tab/>
        <w:t>Caretta caretta</w:t>
      </w:r>
    </w:p>
    <w:p w14:paraId="4D6D2C52" w14:textId="77777777" w:rsidR="006B3F46" w:rsidRPr="00EC5399" w:rsidRDefault="006B3F46" w:rsidP="00907941">
      <w:pPr>
        <w:pStyle w:val="xxmsonormal"/>
        <w:shd w:val="clear" w:color="auto" w:fill="FFFFFF"/>
        <w:spacing w:before="0" w:beforeAutospacing="0" w:after="0" w:afterAutospacing="0"/>
        <w:rPr>
          <w:rFonts w:eastAsia="MS Mincho"/>
          <w:i/>
          <w:sz w:val="22"/>
          <w:szCs w:val="22"/>
          <w:lang w:val="en-US" w:eastAsia="en-US"/>
        </w:rPr>
      </w:pPr>
      <w:r w:rsidRPr="00EC5399">
        <w:rPr>
          <w:rFonts w:eastAsia="MS Mincho"/>
          <w:i/>
          <w:iCs/>
          <w:sz w:val="22"/>
          <w:szCs w:val="22"/>
          <w:lang w:val="en-US" w:eastAsia="en-US"/>
        </w:rPr>
        <w:t>Dermochelys coriacea</w:t>
      </w:r>
    </w:p>
    <w:p w14:paraId="704A1A15" w14:textId="77777777" w:rsidR="006B3F46" w:rsidRPr="00EC5399" w:rsidRDefault="006B3F46" w:rsidP="00907941">
      <w:pPr>
        <w:pStyle w:val="xxmsonormal"/>
        <w:shd w:val="clear" w:color="auto" w:fill="FFFFFF"/>
        <w:spacing w:before="0" w:beforeAutospacing="0" w:after="0" w:afterAutospacing="0"/>
        <w:rPr>
          <w:rFonts w:eastAsia="MS Mincho"/>
          <w:i/>
          <w:sz w:val="22"/>
          <w:szCs w:val="22"/>
          <w:lang w:val="en-US" w:eastAsia="en-US"/>
        </w:rPr>
      </w:pPr>
    </w:p>
    <w:p w14:paraId="65D77EBA" w14:textId="3400167B" w:rsidR="006B3F46" w:rsidRDefault="006B3F46" w:rsidP="00907941">
      <w:pPr>
        <w:pStyle w:val="xxmsonormal"/>
        <w:shd w:val="clear" w:color="auto" w:fill="FFFFFF"/>
        <w:spacing w:before="0" w:beforeAutospacing="0" w:after="0" w:afterAutospacing="0"/>
        <w:rPr>
          <w:rFonts w:eastAsia="MS Mincho"/>
          <w:sz w:val="22"/>
          <w:szCs w:val="22"/>
          <w:lang w:val="en-GB" w:eastAsia="en-US"/>
        </w:rPr>
      </w:pPr>
      <w:r w:rsidRPr="00EC5399">
        <w:rPr>
          <w:rFonts w:eastAsia="MS Mincho"/>
          <w:sz w:val="22"/>
          <w:szCs w:val="22"/>
          <w:lang w:val="en-GB" w:eastAsia="en-US"/>
        </w:rPr>
        <w:t>(* species with occasional presence)</w:t>
      </w:r>
    </w:p>
    <w:p w14:paraId="25FEE1C5" w14:textId="77777777" w:rsidR="009170B9" w:rsidRPr="00EC5399" w:rsidRDefault="009170B9" w:rsidP="00907941">
      <w:pPr>
        <w:pStyle w:val="xxmsonormal"/>
        <w:shd w:val="clear" w:color="auto" w:fill="FFFFFF"/>
        <w:spacing w:before="0" w:beforeAutospacing="0" w:after="0" w:afterAutospacing="0"/>
        <w:rPr>
          <w:sz w:val="22"/>
          <w:szCs w:val="22"/>
          <w:lang w:val="en-GB"/>
        </w:rPr>
      </w:pPr>
    </w:p>
    <w:p w14:paraId="11B3A6D6" w14:textId="77777777" w:rsidR="006B3F46" w:rsidRPr="0021277B" w:rsidRDefault="006B3F46" w:rsidP="00907941">
      <w:pPr>
        <w:jc w:val="both"/>
        <w:rPr>
          <w:sz w:val="22"/>
          <w:szCs w:val="22"/>
          <w:u w:val="single"/>
          <w:lang w:val="en-US"/>
        </w:rPr>
      </w:pPr>
      <w:r w:rsidRPr="0021277B">
        <w:rPr>
          <w:sz w:val="22"/>
          <w:szCs w:val="22"/>
          <w:u w:val="single"/>
          <w:lang w:val="en-US"/>
        </w:rPr>
        <w:t>OSPAR Habitats</w:t>
      </w:r>
    </w:p>
    <w:p w14:paraId="341421FB"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Coral gardens</w:t>
      </w:r>
      <w:r w:rsidRPr="00EC5399">
        <w:rPr>
          <w:rFonts w:eastAsia="MS Mincho"/>
          <w:sz w:val="22"/>
          <w:szCs w:val="22"/>
          <w:lang w:val="en-US"/>
        </w:rPr>
        <w:tab/>
      </w:r>
      <w:r w:rsidRPr="00EC5399">
        <w:rPr>
          <w:rFonts w:eastAsia="MS Mincho"/>
          <w:sz w:val="22"/>
          <w:szCs w:val="22"/>
          <w:lang w:val="en-US"/>
        </w:rPr>
        <w:tab/>
      </w:r>
      <w:r w:rsidRPr="00EC5399">
        <w:rPr>
          <w:rFonts w:eastAsia="MS Mincho"/>
          <w:sz w:val="22"/>
          <w:szCs w:val="22"/>
          <w:lang w:val="en-US"/>
        </w:rPr>
        <w:tab/>
      </w:r>
      <w:r w:rsidRPr="00EC5399">
        <w:rPr>
          <w:rFonts w:eastAsia="MS Mincho"/>
          <w:sz w:val="22"/>
          <w:szCs w:val="22"/>
          <w:lang w:val="en-US"/>
        </w:rPr>
        <w:tab/>
      </w:r>
    </w:p>
    <w:p w14:paraId="0368638B"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Deep-Sea Sponge Aggregations</w:t>
      </w:r>
      <w:r w:rsidRPr="00EC5399">
        <w:rPr>
          <w:rFonts w:eastAsia="MS Mincho"/>
          <w:sz w:val="22"/>
          <w:szCs w:val="22"/>
          <w:lang w:val="en-US"/>
        </w:rPr>
        <w:tab/>
      </w:r>
    </w:p>
    <w:p w14:paraId="56BF784D" w14:textId="77777777" w:rsidR="006B3F46" w:rsidRPr="00EC5399" w:rsidRDefault="006B3F46" w:rsidP="00907941">
      <w:pPr>
        <w:jc w:val="both"/>
        <w:rPr>
          <w:rFonts w:eastAsia="MS Mincho"/>
          <w:sz w:val="22"/>
          <w:szCs w:val="22"/>
          <w:lang w:val="en-US"/>
        </w:rPr>
      </w:pPr>
      <w:r w:rsidRPr="00EC5399">
        <w:rPr>
          <w:rFonts w:eastAsia="MS Mincho"/>
          <w:i/>
          <w:iCs/>
          <w:sz w:val="22"/>
          <w:szCs w:val="22"/>
          <w:lang w:val="en-US"/>
        </w:rPr>
        <w:t>Lophelia pertusa</w:t>
      </w:r>
      <w:r w:rsidRPr="00EC5399">
        <w:rPr>
          <w:rFonts w:eastAsia="MS Mincho"/>
          <w:sz w:val="22"/>
          <w:szCs w:val="22"/>
          <w:lang w:val="en-US"/>
        </w:rPr>
        <w:t xml:space="preserve"> Reefs</w:t>
      </w:r>
      <w:r w:rsidRPr="00EC5399">
        <w:rPr>
          <w:rFonts w:eastAsia="MS Mincho"/>
          <w:sz w:val="22"/>
          <w:szCs w:val="22"/>
          <w:lang w:val="en-US"/>
        </w:rPr>
        <w:tab/>
      </w:r>
      <w:r w:rsidRPr="00EC5399">
        <w:rPr>
          <w:rFonts w:eastAsia="MS Mincho"/>
          <w:sz w:val="22"/>
          <w:szCs w:val="22"/>
          <w:lang w:val="en-US"/>
        </w:rPr>
        <w:tab/>
      </w:r>
    </w:p>
    <w:p w14:paraId="0A7713A4"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Mäerl Beds</w:t>
      </w:r>
    </w:p>
    <w:p w14:paraId="1539431D"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Seamounts</w:t>
      </w:r>
    </w:p>
    <w:p w14:paraId="50D05C6B"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Sea-Pen &amp; Burrowing Megafauna Communities</w:t>
      </w:r>
      <w:r w:rsidRPr="00EC5399">
        <w:rPr>
          <w:rFonts w:eastAsia="MS Mincho"/>
          <w:sz w:val="22"/>
          <w:szCs w:val="22"/>
          <w:lang w:val="en-US"/>
        </w:rPr>
        <w:tab/>
      </w:r>
    </w:p>
    <w:p w14:paraId="64764724" w14:textId="77777777" w:rsidR="006B3F46" w:rsidRPr="00EC5399" w:rsidRDefault="006B3F46" w:rsidP="00907941">
      <w:pPr>
        <w:jc w:val="both"/>
        <w:rPr>
          <w:rFonts w:eastAsia="MS Mincho"/>
          <w:sz w:val="22"/>
          <w:szCs w:val="22"/>
          <w:lang w:val="fr-CA"/>
        </w:rPr>
      </w:pPr>
      <w:r w:rsidRPr="00EC5399">
        <w:rPr>
          <w:rFonts w:eastAsia="MS Mincho"/>
          <w:i/>
          <w:iCs/>
          <w:sz w:val="22"/>
          <w:szCs w:val="22"/>
          <w:lang w:val="fr-CA"/>
        </w:rPr>
        <w:t>Zostera</w:t>
      </w:r>
      <w:r w:rsidRPr="00EC5399">
        <w:rPr>
          <w:rFonts w:eastAsia="MS Mincho"/>
          <w:sz w:val="22"/>
          <w:szCs w:val="22"/>
          <w:lang w:val="fr-CA"/>
        </w:rPr>
        <w:t xml:space="preserve"> Beds</w:t>
      </w:r>
    </w:p>
    <w:p w14:paraId="28941ADA" w14:textId="77777777" w:rsidR="006B3F46" w:rsidRPr="00EC5399" w:rsidRDefault="006B3F46" w:rsidP="00907941">
      <w:pPr>
        <w:pStyle w:val="xxmsonormal"/>
        <w:shd w:val="clear" w:color="auto" w:fill="FFFFFF"/>
        <w:spacing w:before="0" w:beforeAutospacing="0" w:after="0" w:afterAutospacing="0"/>
        <w:jc w:val="both"/>
        <w:rPr>
          <w:rFonts w:eastAsia="Malgun Gothic"/>
          <w:i/>
          <w:sz w:val="22"/>
          <w:szCs w:val="22"/>
          <w:u w:val="single"/>
          <w:lang w:val="fr-CA" w:eastAsia="en-US"/>
        </w:rPr>
      </w:pPr>
    </w:p>
    <w:p w14:paraId="54D6F0D0" w14:textId="77777777" w:rsidR="006B3F46" w:rsidRPr="0021277B" w:rsidRDefault="006B3F46" w:rsidP="00907941">
      <w:pPr>
        <w:jc w:val="both"/>
        <w:rPr>
          <w:sz w:val="22"/>
          <w:szCs w:val="22"/>
          <w:u w:val="single"/>
          <w:lang w:val="fr-CA"/>
        </w:rPr>
      </w:pPr>
      <w:r w:rsidRPr="0021277B">
        <w:rPr>
          <w:sz w:val="22"/>
          <w:szCs w:val="22"/>
          <w:u w:val="single"/>
          <w:lang w:val="fr-CA"/>
        </w:rPr>
        <w:t>Habitat Directive Habitat Types</w:t>
      </w:r>
    </w:p>
    <w:p w14:paraId="54E150AD"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1110 Sandbanks which are slightly covered by sea water all the time</w:t>
      </w:r>
    </w:p>
    <w:p w14:paraId="62E0D303"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1170 Reefs</w:t>
      </w:r>
    </w:p>
    <w:p w14:paraId="660C15F2" w14:textId="77777777" w:rsidR="006B3F46" w:rsidRPr="00EC5399" w:rsidRDefault="006B3F46" w:rsidP="00907941">
      <w:pPr>
        <w:jc w:val="both"/>
        <w:rPr>
          <w:rFonts w:eastAsia="MS Mincho"/>
          <w:sz w:val="22"/>
          <w:szCs w:val="22"/>
          <w:lang w:val="en-US"/>
        </w:rPr>
      </w:pPr>
      <w:r w:rsidRPr="00EC5399">
        <w:rPr>
          <w:rFonts w:eastAsia="MS Mincho"/>
          <w:sz w:val="22"/>
          <w:szCs w:val="22"/>
          <w:lang w:val="en-US"/>
        </w:rPr>
        <w:t>8330 Submerged or partially submerged caves</w:t>
      </w:r>
    </w:p>
    <w:p w14:paraId="78B2C86A" w14:textId="77777777" w:rsidR="006B3F46" w:rsidRPr="00EC5399" w:rsidRDefault="006B3F46" w:rsidP="00907941">
      <w:pPr>
        <w:jc w:val="both"/>
        <w:rPr>
          <w:sz w:val="22"/>
          <w:szCs w:val="22"/>
          <w:u w:val="single"/>
          <w:lang w:val="en-US"/>
        </w:rPr>
      </w:pPr>
    </w:p>
    <w:p w14:paraId="7DBF9319" w14:textId="77777777" w:rsidR="006B3F46" w:rsidRPr="0021277B" w:rsidRDefault="006B3F46" w:rsidP="00907941">
      <w:pPr>
        <w:jc w:val="both"/>
        <w:rPr>
          <w:sz w:val="22"/>
          <w:szCs w:val="22"/>
          <w:u w:val="single"/>
          <w:lang w:val="fr-CA"/>
        </w:rPr>
      </w:pPr>
      <w:r w:rsidRPr="0021277B">
        <w:rPr>
          <w:sz w:val="22"/>
          <w:szCs w:val="22"/>
          <w:u w:val="single"/>
          <w:lang w:val="fr-CA"/>
        </w:rPr>
        <w:t>Habitat Directive Species (Annex IV)</w:t>
      </w:r>
    </w:p>
    <w:p w14:paraId="397B2B61" w14:textId="77777777" w:rsidR="006B3F46" w:rsidRPr="00EC5399" w:rsidRDefault="006B3F46" w:rsidP="00907941">
      <w:pPr>
        <w:jc w:val="both"/>
        <w:rPr>
          <w:rFonts w:eastAsia="MS Mincho"/>
          <w:i/>
          <w:iCs/>
          <w:sz w:val="22"/>
          <w:szCs w:val="22"/>
          <w:lang w:val="en-US"/>
        </w:rPr>
      </w:pPr>
      <w:r w:rsidRPr="00EC5399">
        <w:rPr>
          <w:rFonts w:eastAsia="MS Mincho"/>
          <w:i/>
          <w:iCs/>
          <w:sz w:val="22"/>
          <w:szCs w:val="22"/>
          <w:lang w:val="en-US"/>
        </w:rPr>
        <w:t>Caretta caretta</w:t>
      </w:r>
      <w:r w:rsidRPr="00EC5399">
        <w:rPr>
          <w:rFonts w:eastAsia="MS Mincho"/>
          <w:i/>
          <w:iCs/>
          <w:sz w:val="22"/>
          <w:szCs w:val="22"/>
          <w:lang w:val="en-US"/>
        </w:rPr>
        <w:tab/>
      </w:r>
      <w:r w:rsidRPr="00EC5399">
        <w:rPr>
          <w:rFonts w:eastAsia="MS Mincho"/>
          <w:i/>
          <w:iCs/>
          <w:sz w:val="22"/>
          <w:szCs w:val="22"/>
          <w:lang w:val="en-US"/>
        </w:rPr>
        <w:tab/>
      </w:r>
      <w:r w:rsidRPr="00EC5399">
        <w:rPr>
          <w:rFonts w:eastAsia="MS Mincho"/>
          <w:i/>
          <w:iCs/>
          <w:sz w:val="22"/>
          <w:szCs w:val="22"/>
          <w:lang w:val="en-US"/>
        </w:rPr>
        <w:tab/>
      </w:r>
      <w:r w:rsidRPr="00EC5399">
        <w:rPr>
          <w:rFonts w:eastAsia="MS Mincho"/>
          <w:i/>
          <w:iCs/>
          <w:sz w:val="22"/>
          <w:szCs w:val="22"/>
          <w:lang w:val="en-US"/>
        </w:rPr>
        <w:tab/>
      </w:r>
    </w:p>
    <w:p w14:paraId="453C0779" w14:textId="77777777" w:rsidR="006B3F46" w:rsidRPr="009978E3" w:rsidRDefault="006B3F46" w:rsidP="00907941">
      <w:pPr>
        <w:jc w:val="both"/>
        <w:rPr>
          <w:rFonts w:eastAsia="MS Mincho"/>
          <w:i/>
          <w:iCs/>
          <w:sz w:val="22"/>
          <w:szCs w:val="22"/>
          <w:lang w:val="en-US"/>
        </w:rPr>
      </w:pPr>
      <w:r w:rsidRPr="009978E3">
        <w:rPr>
          <w:rFonts w:eastAsia="MS Mincho"/>
          <w:i/>
          <w:iCs/>
          <w:sz w:val="22"/>
          <w:szCs w:val="22"/>
          <w:lang w:val="en-US"/>
        </w:rPr>
        <w:t>Centrostephanus longispinus</w:t>
      </w:r>
      <w:r w:rsidRPr="009978E3">
        <w:rPr>
          <w:rFonts w:eastAsia="MS Mincho"/>
          <w:i/>
          <w:iCs/>
          <w:sz w:val="22"/>
          <w:szCs w:val="22"/>
          <w:lang w:val="en-US"/>
        </w:rPr>
        <w:tab/>
      </w:r>
    </w:p>
    <w:p w14:paraId="2AF781A1" w14:textId="77777777" w:rsidR="006B3F46" w:rsidRPr="009978E3" w:rsidRDefault="006B3F46" w:rsidP="00907941">
      <w:pPr>
        <w:jc w:val="both"/>
        <w:rPr>
          <w:rFonts w:eastAsia="MS Mincho"/>
          <w:iCs/>
          <w:sz w:val="22"/>
          <w:szCs w:val="22"/>
          <w:lang w:val="en-US"/>
        </w:rPr>
      </w:pPr>
      <w:r w:rsidRPr="009978E3">
        <w:rPr>
          <w:rFonts w:eastAsia="MS Mincho"/>
          <w:i/>
          <w:iCs/>
          <w:sz w:val="22"/>
          <w:szCs w:val="22"/>
          <w:lang w:val="en-US"/>
        </w:rPr>
        <w:t>Cetacea (</w:t>
      </w:r>
      <w:r w:rsidRPr="009978E3">
        <w:rPr>
          <w:rFonts w:eastAsia="MS Mincho"/>
          <w:iCs/>
          <w:sz w:val="22"/>
          <w:szCs w:val="22"/>
          <w:lang w:val="en-US"/>
        </w:rPr>
        <w:t>all the species present)</w:t>
      </w:r>
    </w:p>
    <w:p w14:paraId="7434BAB4" w14:textId="77777777" w:rsidR="006B3F46" w:rsidRPr="009978E3" w:rsidRDefault="006B3F46" w:rsidP="00907941">
      <w:pPr>
        <w:jc w:val="both"/>
        <w:rPr>
          <w:rFonts w:eastAsia="MS Mincho"/>
          <w:sz w:val="22"/>
          <w:szCs w:val="22"/>
          <w:lang w:val="en-US"/>
        </w:rPr>
      </w:pPr>
    </w:p>
    <w:p w14:paraId="25EB7498"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Particular consideration should be given to the </w:t>
      </w:r>
      <w:r>
        <w:rPr>
          <w:rFonts w:eastAsia="MS Mincho"/>
          <w:sz w:val="22"/>
          <w:szCs w:val="22"/>
          <w:lang w:val="en-US"/>
        </w:rPr>
        <w:t>a</w:t>
      </w:r>
      <w:r w:rsidRPr="009978E3">
        <w:rPr>
          <w:rFonts w:eastAsia="MS Mincho"/>
          <w:sz w:val="22"/>
          <w:szCs w:val="22"/>
          <w:lang w:val="en-US"/>
        </w:rPr>
        <w:t>ngel shark (</w:t>
      </w:r>
      <w:r w:rsidRPr="009978E3">
        <w:rPr>
          <w:rFonts w:eastAsia="MS Mincho"/>
          <w:i/>
          <w:iCs/>
          <w:sz w:val="22"/>
          <w:szCs w:val="22"/>
          <w:lang w:val="en-US"/>
        </w:rPr>
        <w:t>Squatina squatina</w:t>
      </w:r>
      <w:r w:rsidRPr="009978E3">
        <w:rPr>
          <w:rFonts w:eastAsia="MS Mincho"/>
          <w:sz w:val="22"/>
          <w:szCs w:val="22"/>
          <w:lang w:val="en-US"/>
        </w:rPr>
        <w:t>)</w:t>
      </w:r>
      <w:r>
        <w:rPr>
          <w:rFonts w:eastAsia="MS Mincho"/>
          <w:sz w:val="22"/>
          <w:szCs w:val="22"/>
          <w:lang w:val="en-US"/>
        </w:rPr>
        <w:t>, which</w:t>
      </w:r>
      <w:r w:rsidRPr="009978E3">
        <w:rPr>
          <w:rFonts w:eastAsia="MS Mincho"/>
          <w:sz w:val="22"/>
          <w:szCs w:val="22"/>
          <w:lang w:val="en-US"/>
        </w:rPr>
        <w:t xml:space="preserve"> has been assessed as critically endangered by the International Union for Conservation of Nature (IUCN) (Ferretti </w:t>
      </w:r>
      <w:r w:rsidRPr="0006066A">
        <w:rPr>
          <w:rFonts w:eastAsia="MS Mincho"/>
          <w:i/>
          <w:sz w:val="22"/>
          <w:szCs w:val="22"/>
          <w:lang w:val="en-US"/>
        </w:rPr>
        <w:t>et al</w:t>
      </w:r>
      <w:r w:rsidRPr="009978E3">
        <w:rPr>
          <w:rFonts w:eastAsia="MS Mincho"/>
          <w:sz w:val="22"/>
          <w:szCs w:val="22"/>
          <w:lang w:val="en-US"/>
        </w:rPr>
        <w:t>.,2015) and belongs to the second</w:t>
      </w:r>
      <w:r>
        <w:rPr>
          <w:rFonts w:eastAsia="MS Mincho"/>
          <w:sz w:val="22"/>
          <w:szCs w:val="22"/>
          <w:lang w:val="en-US"/>
        </w:rPr>
        <w:t>-</w:t>
      </w:r>
      <w:r w:rsidRPr="009978E3">
        <w:rPr>
          <w:rFonts w:eastAsia="MS Mincho"/>
          <w:sz w:val="22"/>
          <w:szCs w:val="22"/>
          <w:lang w:val="en-US"/>
        </w:rPr>
        <w:t xml:space="preserve">most endangered shark family in the world (Dulvy </w:t>
      </w:r>
      <w:r w:rsidRPr="0006066A">
        <w:rPr>
          <w:rFonts w:eastAsia="MS Mincho"/>
          <w:i/>
          <w:sz w:val="22"/>
          <w:szCs w:val="22"/>
          <w:lang w:val="en-US"/>
        </w:rPr>
        <w:t>et al</w:t>
      </w:r>
      <w:r w:rsidRPr="009978E3">
        <w:rPr>
          <w:rFonts w:eastAsia="MS Mincho"/>
          <w:sz w:val="22"/>
          <w:szCs w:val="22"/>
          <w:lang w:val="en-US"/>
        </w:rPr>
        <w:t>., 2014).</w:t>
      </w:r>
      <w:r>
        <w:rPr>
          <w:rFonts w:eastAsia="MS Mincho"/>
          <w:sz w:val="22"/>
          <w:szCs w:val="22"/>
          <w:lang w:val="en-US"/>
        </w:rPr>
        <w:t>T</w:t>
      </w:r>
      <w:r w:rsidRPr="009978E3">
        <w:rPr>
          <w:rFonts w:eastAsia="MS Mincho"/>
          <w:sz w:val="22"/>
          <w:szCs w:val="22"/>
          <w:lang w:val="en-US"/>
        </w:rPr>
        <w:t>he Canary Islands angel shark population is frequent throughout the year</w:t>
      </w:r>
      <w:r>
        <w:rPr>
          <w:rFonts w:eastAsia="MS Mincho"/>
          <w:sz w:val="22"/>
          <w:szCs w:val="22"/>
          <w:lang w:val="en-US"/>
        </w:rPr>
        <w:t>,</w:t>
      </w:r>
      <w:r w:rsidRPr="009978E3">
        <w:rPr>
          <w:rFonts w:eastAsia="MS Mincho"/>
          <w:sz w:val="22"/>
          <w:szCs w:val="22"/>
          <w:lang w:val="en-US"/>
        </w:rPr>
        <w:t xml:space="preserve"> and </w:t>
      </w:r>
      <w:r>
        <w:rPr>
          <w:rFonts w:eastAsia="MS Mincho"/>
          <w:sz w:val="22"/>
          <w:szCs w:val="22"/>
          <w:lang w:val="en-US"/>
        </w:rPr>
        <w:t xml:space="preserve">angel shark </w:t>
      </w:r>
      <w:r w:rsidRPr="009978E3">
        <w:rPr>
          <w:rFonts w:eastAsia="MS Mincho"/>
          <w:sz w:val="22"/>
          <w:szCs w:val="22"/>
          <w:lang w:val="en-US"/>
        </w:rPr>
        <w:t xml:space="preserve">nursery areas </w:t>
      </w:r>
      <w:r>
        <w:rPr>
          <w:rFonts w:eastAsia="MS Mincho"/>
          <w:sz w:val="22"/>
          <w:szCs w:val="22"/>
          <w:lang w:val="en-US"/>
        </w:rPr>
        <w:t xml:space="preserve">can be found </w:t>
      </w:r>
      <w:r w:rsidRPr="009978E3">
        <w:rPr>
          <w:rFonts w:eastAsia="MS Mincho"/>
          <w:sz w:val="22"/>
          <w:szCs w:val="22"/>
          <w:lang w:val="en-US"/>
        </w:rPr>
        <w:t xml:space="preserve">around the islands (Escánez </w:t>
      </w:r>
      <w:r w:rsidRPr="0006066A">
        <w:rPr>
          <w:rFonts w:eastAsia="MS Mincho"/>
          <w:i/>
          <w:sz w:val="22"/>
          <w:szCs w:val="22"/>
          <w:lang w:val="en-US"/>
        </w:rPr>
        <w:t>et al</w:t>
      </w:r>
      <w:r w:rsidRPr="009978E3">
        <w:rPr>
          <w:rFonts w:eastAsia="MS Mincho"/>
          <w:sz w:val="22"/>
          <w:szCs w:val="22"/>
          <w:lang w:val="en-US"/>
        </w:rPr>
        <w:t xml:space="preserve">., 2016). </w:t>
      </w:r>
    </w:p>
    <w:p w14:paraId="54E49F98" w14:textId="77777777" w:rsidR="006B3F46" w:rsidRPr="009978E3" w:rsidRDefault="006B3F46" w:rsidP="00907941">
      <w:pPr>
        <w:jc w:val="both"/>
        <w:rPr>
          <w:sz w:val="22"/>
          <w:szCs w:val="22"/>
          <w:u w:val="single"/>
          <w:lang w:val="en-US"/>
        </w:rPr>
      </w:pPr>
    </w:p>
    <w:p w14:paraId="61CB62C8" w14:textId="77777777" w:rsidR="006B3F46" w:rsidRPr="009978E3" w:rsidRDefault="006B3F46" w:rsidP="006B3F46">
      <w:pPr>
        <w:pStyle w:val="ListParagraph"/>
        <w:numPr>
          <w:ilvl w:val="0"/>
          <w:numId w:val="22"/>
        </w:numPr>
        <w:ind w:leftChars="0"/>
        <w:contextualSpacing/>
        <w:rPr>
          <w:rFonts w:eastAsia="MS Mincho"/>
          <w:i/>
          <w:szCs w:val="22"/>
          <w:lang w:val="en-US"/>
        </w:rPr>
      </w:pPr>
      <w:r w:rsidRPr="009978E3">
        <w:rPr>
          <w:rFonts w:eastAsia="MS Mincho"/>
          <w:i/>
          <w:szCs w:val="22"/>
          <w:lang w:val="en-US"/>
        </w:rPr>
        <w:t>Spawning grounds for several fish species of commercial interest</w:t>
      </w:r>
    </w:p>
    <w:p w14:paraId="52998752" w14:textId="77777777" w:rsidR="006B3F46" w:rsidRPr="009978E3" w:rsidRDefault="006B3F46" w:rsidP="00907941">
      <w:pPr>
        <w:jc w:val="both"/>
        <w:rPr>
          <w:rFonts w:eastAsia="MS Mincho"/>
          <w:iCs/>
          <w:sz w:val="22"/>
          <w:szCs w:val="22"/>
        </w:rPr>
      </w:pPr>
      <w:r w:rsidRPr="009978E3">
        <w:rPr>
          <w:rFonts w:eastAsia="MS Mincho"/>
          <w:sz w:val="22"/>
          <w:szCs w:val="22"/>
        </w:rPr>
        <w:t xml:space="preserve">Several species (benthic, pelagic and demersal species) with commercial interest spawn in waters around the Canary Islands, such as small pelagic species like mackerel </w:t>
      </w:r>
      <w:r>
        <w:rPr>
          <w:rFonts w:eastAsia="MS Mincho"/>
          <w:sz w:val="22"/>
          <w:szCs w:val="22"/>
        </w:rPr>
        <w:t>(</w:t>
      </w:r>
      <w:r w:rsidRPr="009978E3">
        <w:rPr>
          <w:rFonts w:eastAsia="MS Mincho"/>
          <w:i/>
          <w:sz w:val="22"/>
          <w:szCs w:val="22"/>
        </w:rPr>
        <w:t xml:space="preserve">Trachurus picturatus </w:t>
      </w:r>
      <w:r w:rsidRPr="009978E3">
        <w:rPr>
          <w:rFonts w:eastAsia="MS Mincho"/>
          <w:iCs/>
          <w:sz w:val="22"/>
          <w:szCs w:val="22"/>
        </w:rPr>
        <w:t xml:space="preserve">and </w:t>
      </w:r>
      <w:r w:rsidRPr="009978E3">
        <w:rPr>
          <w:rFonts w:eastAsia="MS Mincho"/>
          <w:i/>
          <w:sz w:val="22"/>
          <w:szCs w:val="22"/>
        </w:rPr>
        <w:t>Scomber colias</w:t>
      </w:r>
      <w:r>
        <w:rPr>
          <w:rFonts w:eastAsia="MS Mincho"/>
          <w:i/>
          <w:sz w:val="22"/>
          <w:szCs w:val="22"/>
        </w:rPr>
        <w:t>)</w:t>
      </w:r>
      <w:r w:rsidRPr="009978E3">
        <w:rPr>
          <w:rFonts w:eastAsia="MS Mincho"/>
          <w:i/>
          <w:sz w:val="22"/>
          <w:szCs w:val="22"/>
        </w:rPr>
        <w:t xml:space="preserve">, </w:t>
      </w:r>
      <w:r w:rsidRPr="009978E3">
        <w:rPr>
          <w:rFonts w:eastAsia="MS Mincho"/>
          <w:iCs/>
          <w:sz w:val="22"/>
          <w:szCs w:val="22"/>
        </w:rPr>
        <w:t xml:space="preserve">whose breeding season is between November and March </w:t>
      </w:r>
      <w:r w:rsidRPr="009978E3">
        <w:rPr>
          <w:rFonts w:eastAsia="MS Mincho"/>
          <w:sz w:val="22"/>
          <w:szCs w:val="22"/>
        </w:rPr>
        <w:t>(Lorenzo &amp; Pajuelo, 1996).</w:t>
      </w:r>
    </w:p>
    <w:p w14:paraId="66E92782" w14:textId="77777777" w:rsidR="006B3F46" w:rsidRPr="009978E3" w:rsidRDefault="006B3F46" w:rsidP="00907941">
      <w:pPr>
        <w:autoSpaceDE w:val="0"/>
        <w:autoSpaceDN w:val="0"/>
        <w:adjustRightInd w:val="0"/>
        <w:rPr>
          <w:sz w:val="22"/>
          <w:szCs w:val="22"/>
          <w:lang w:val="en-US" w:eastAsia="es-ES"/>
        </w:rPr>
      </w:pPr>
    </w:p>
    <w:p w14:paraId="199D9473" w14:textId="77777777" w:rsidR="006B3F46" w:rsidRPr="009978E3" w:rsidRDefault="006B3F46" w:rsidP="006B3F46">
      <w:pPr>
        <w:pStyle w:val="ListParagraph"/>
        <w:numPr>
          <w:ilvl w:val="0"/>
          <w:numId w:val="22"/>
        </w:numPr>
        <w:ind w:leftChars="0"/>
        <w:contextualSpacing/>
        <w:rPr>
          <w:rFonts w:eastAsia="MS Mincho"/>
          <w:i/>
          <w:szCs w:val="22"/>
          <w:lang w:val="en-US"/>
        </w:rPr>
      </w:pPr>
      <w:r w:rsidRPr="009978E3">
        <w:rPr>
          <w:rFonts w:eastAsia="MS Mincho"/>
          <w:i/>
          <w:szCs w:val="22"/>
          <w:lang w:val="en-US"/>
        </w:rPr>
        <w:t>Seasonal migratory pathway for large migratory pelagic species</w:t>
      </w:r>
    </w:p>
    <w:p w14:paraId="4D54BAAC" w14:textId="77777777" w:rsidR="006B3F46" w:rsidRPr="009978E3" w:rsidRDefault="006B3F46" w:rsidP="00907941">
      <w:pPr>
        <w:jc w:val="both"/>
        <w:rPr>
          <w:rFonts w:eastAsia="MS Mincho"/>
          <w:iCs/>
          <w:sz w:val="22"/>
          <w:szCs w:val="22"/>
        </w:rPr>
      </w:pPr>
      <w:r w:rsidRPr="009978E3">
        <w:rPr>
          <w:rFonts w:eastAsia="MS Mincho"/>
          <w:sz w:val="22"/>
          <w:szCs w:val="22"/>
        </w:rPr>
        <w:t xml:space="preserve">Migrant species like sharks and tunas criss-cross the archipelago. The tuna species </w:t>
      </w:r>
      <w:r w:rsidRPr="009978E3">
        <w:rPr>
          <w:rFonts w:eastAsia="MS Mincho"/>
          <w:i/>
          <w:iCs/>
          <w:sz w:val="22"/>
          <w:szCs w:val="22"/>
        </w:rPr>
        <w:t>Thunnus obesus</w:t>
      </w:r>
      <w:r w:rsidRPr="009978E3">
        <w:rPr>
          <w:rFonts w:eastAsia="MS Mincho"/>
          <w:sz w:val="22"/>
          <w:szCs w:val="22"/>
        </w:rPr>
        <w:t xml:space="preserve">, </w:t>
      </w:r>
      <w:r w:rsidRPr="009978E3">
        <w:rPr>
          <w:rFonts w:eastAsia="MS Mincho"/>
          <w:i/>
          <w:sz w:val="22"/>
          <w:szCs w:val="22"/>
        </w:rPr>
        <w:t>T. alalunga</w:t>
      </w:r>
      <w:r w:rsidRPr="009978E3">
        <w:rPr>
          <w:rFonts w:eastAsia="MS Mincho"/>
          <w:sz w:val="22"/>
          <w:szCs w:val="22"/>
        </w:rPr>
        <w:t xml:space="preserve"> and </w:t>
      </w:r>
      <w:r w:rsidRPr="009978E3">
        <w:rPr>
          <w:rFonts w:eastAsia="MS Mincho"/>
          <w:i/>
          <w:sz w:val="22"/>
          <w:szCs w:val="22"/>
        </w:rPr>
        <w:t xml:space="preserve">T. thynnus </w:t>
      </w:r>
      <w:r w:rsidRPr="009978E3">
        <w:rPr>
          <w:rFonts w:eastAsia="MS Mincho"/>
          <w:iCs/>
          <w:sz w:val="22"/>
          <w:szCs w:val="22"/>
        </w:rPr>
        <w:t xml:space="preserve">represent an important economic resource with high presence in the catches of local </w:t>
      </w:r>
      <w:r w:rsidRPr="009978E3">
        <w:rPr>
          <w:sz w:val="22"/>
          <w:szCs w:val="22"/>
        </w:rPr>
        <w:t>artisanal</w:t>
      </w:r>
      <w:r w:rsidRPr="009978E3">
        <w:rPr>
          <w:rFonts w:eastAsia="MS Mincho"/>
          <w:iCs/>
          <w:sz w:val="22"/>
          <w:szCs w:val="22"/>
        </w:rPr>
        <w:t xml:space="preserve"> fisheries (Delgado de Molina, 2011).</w:t>
      </w:r>
    </w:p>
    <w:p w14:paraId="468A297B" w14:textId="77777777" w:rsidR="006B3F46" w:rsidRPr="009978E3" w:rsidRDefault="006B3F46" w:rsidP="00907941">
      <w:pPr>
        <w:autoSpaceDE w:val="0"/>
        <w:autoSpaceDN w:val="0"/>
        <w:adjustRightInd w:val="0"/>
        <w:rPr>
          <w:sz w:val="22"/>
          <w:szCs w:val="22"/>
          <w:lang w:val="en-US" w:eastAsia="es-ES"/>
        </w:rPr>
      </w:pPr>
    </w:p>
    <w:p w14:paraId="3D663B16"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15F587F2" w14:textId="77777777" w:rsidR="006B3F46" w:rsidRPr="00EC5399" w:rsidRDefault="006B3F46" w:rsidP="00907941">
      <w:pPr>
        <w:jc w:val="both"/>
        <w:rPr>
          <w:rFonts w:eastAsia="MS Mincho"/>
          <w:i/>
          <w:sz w:val="22"/>
          <w:szCs w:val="22"/>
          <w:lang w:val="en-US"/>
        </w:rPr>
      </w:pPr>
      <w:r w:rsidRPr="009978E3">
        <w:rPr>
          <w:sz w:val="22"/>
          <w:szCs w:val="22"/>
        </w:rPr>
        <w:t xml:space="preserve">Most of key threats to the marine environment and biodiversity around the Canary Islands are no different from those affecting coastal marine flora and fauna across the globe, but these have different </w:t>
      </w:r>
      <w:r w:rsidRPr="00EC5399">
        <w:rPr>
          <w:sz w:val="22"/>
          <w:szCs w:val="22"/>
        </w:rPr>
        <w:t xml:space="preserve">local importance and a different degree of ecological concern along the depth range. The main threats are described and summarised by Riera </w:t>
      </w:r>
      <w:r w:rsidRPr="00EC5399">
        <w:rPr>
          <w:i/>
          <w:sz w:val="22"/>
          <w:szCs w:val="22"/>
        </w:rPr>
        <w:t>et al</w:t>
      </w:r>
      <w:r w:rsidRPr="00EC5399">
        <w:rPr>
          <w:sz w:val="22"/>
          <w:szCs w:val="22"/>
        </w:rPr>
        <w:t>. (2014):</w:t>
      </w:r>
    </w:p>
    <w:p w14:paraId="076D174C" w14:textId="77777777" w:rsidR="006B3F46" w:rsidRPr="00EC5399" w:rsidRDefault="006B3F46" w:rsidP="00907941">
      <w:pPr>
        <w:jc w:val="both"/>
        <w:rPr>
          <w:rFonts w:eastAsia="MS Mincho"/>
          <w:i/>
          <w:sz w:val="22"/>
          <w:szCs w:val="22"/>
        </w:rPr>
      </w:pPr>
    </w:p>
    <w:p w14:paraId="7F2383EA" w14:textId="77777777" w:rsidR="006B3F46" w:rsidRPr="00EC5399" w:rsidRDefault="006B3F46" w:rsidP="006B3F46">
      <w:pPr>
        <w:pStyle w:val="ListParagraph"/>
        <w:numPr>
          <w:ilvl w:val="0"/>
          <w:numId w:val="43"/>
        </w:numPr>
        <w:ind w:leftChars="0" w:left="284"/>
        <w:contextualSpacing/>
        <w:rPr>
          <w:rFonts w:eastAsia="MS Mincho"/>
          <w:i/>
          <w:szCs w:val="22"/>
        </w:rPr>
      </w:pPr>
      <w:r w:rsidRPr="0021277B">
        <w:rPr>
          <w:i/>
          <w:szCs w:val="22"/>
          <w:lang w:val="en-US" w:eastAsia="es-ES"/>
        </w:rPr>
        <w:t>Climate change.</w:t>
      </w:r>
      <w:r w:rsidRPr="00EC5399">
        <w:rPr>
          <w:szCs w:val="22"/>
          <w:lang w:val="en-US" w:eastAsia="es-ES"/>
        </w:rPr>
        <w:t xml:space="preserve"> Climate change</w:t>
      </w:r>
      <w:r w:rsidRPr="00EC5399">
        <w:rPr>
          <w:szCs w:val="22"/>
        </w:rPr>
        <w:t xml:space="preserve"> arguably poses the greatest threat to the marine ecosystem around the Canary Islands, particularly the western islands (e.g., El Hierro, La Gomera and La Palma), which are less affected by the Saharan upwelling off the African coast (Barton </w:t>
      </w:r>
      <w:r w:rsidRPr="00EC5399">
        <w:rPr>
          <w:i/>
          <w:szCs w:val="22"/>
        </w:rPr>
        <w:t>et al</w:t>
      </w:r>
      <w:r w:rsidRPr="00EC5399">
        <w:rPr>
          <w:szCs w:val="22"/>
        </w:rPr>
        <w:t xml:space="preserve">., 1998). A progressive tropicalization of coastal ecosystems of the Canary archipelago has been observed in recent decades, and 78 per cent of the fish species newly recorded in recent years are considered to have tropical origins (Brito </w:t>
      </w:r>
      <w:r w:rsidRPr="00EC5399">
        <w:rPr>
          <w:i/>
          <w:szCs w:val="22"/>
        </w:rPr>
        <w:t>et al</w:t>
      </w:r>
      <w:r w:rsidRPr="00EC5399">
        <w:rPr>
          <w:szCs w:val="22"/>
        </w:rPr>
        <w:t xml:space="preserve">., 2005). Ocean warming has promoted the arrival of </w:t>
      </w:r>
      <w:r w:rsidRPr="0021277B">
        <w:rPr>
          <w:rFonts w:eastAsia="MS Mincho"/>
          <w:iCs/>
          <w:szCs w:val="22"/>
        </w:rPr>
        <w:t>tropical species</w:t>
      </w:r>
      <w:r w:rsidRPr="0021277B">
        <w:rPr>
          <w:rFonts w:eastAsia="MS Mincho"/>
          <w:i/>
          <w:szCs w:val="22"/>
        </w:rPr>
        <w:t>.</w:t>
      </w:r>
      <w:r w:rsidRPr="00EC5399">
        <w:rPr>
          <w:szCs w:val="22"/>
        </w:rPr>
        <w:t xml:space="preserve"> There are several cases occurring at present in coastal waters of the Canaries related to invasive algal species, including the green alga </w:t>
      </w:r>
      <w:r w:rsidRPr="00EC5399">
        <w:rPr>
          <w:i/>
          <w:szCs w:val="22"/>
        </w:rPr>
        <w:t>Caulerpa racemosa</w:t>
      </w:r>
      <w:r w:rsidRPr="00EC5399">
        <w:rPr>
          <w:szCs w:val="22"/>
        </w:rPr>
        <w:t xml:space="preserve"> aff. </w:t>
      </w:r>
      <w:r w:rsidRPr="00EC5399">
        <w:rPr>
          <w:i/>
          <w:szCs w:val="22"/>
        </w:rPr>
        <w:t>Cylindracea</w:t>
      </w:r>
      <w:r w:rsidRPr="00EC5399">
        <w:rPr>
          <w:szCs w:val="22"/>
        </w:rPr>
        <w:t xml:space="preserve">, the cyanobacteria </w:t>
      </w:r>
      <w:r w:rsidRPr="00EC5399">
        <w:rPr>
          <w:i/>
          <w:szCs w:val="22"/>
        </w:rPr>
        <w:t>Lyngbya majuscula</w:t>
      </w:r>
      <w:r w:rsidRPr="00EC5399">
        <w:rPr>
          <w:szCs w:val="22"/>
        </w:rPr>
        <w:t xml:space="preserve"> (Martín-García </w:t>
      </w:r>
      <w:r w:rsidRPr="00EC5399">
        <w:rPr>
          <w:i/>
          <w:szCs w:val="22"/>
        </w:rPr>
        <w:t>et al</w:t>
      </w:r>
      <w:r w:rsidRPr="00EC5399">
        <w:rPr>
          <w:szCs w:val="22"/>
        </w:rPr>
        <w:t xml:space="preserve">. 2014), or the proliferation of the green alga </w:t>
      </w:r>
      <w:r w:rsidRPr="00EC5399">
        <w:rPr>
          <w:i/>
          <w:szCs w:val="22"/>
        </w:rPr>
        <w:t>Penicillus capitatus</w:t>
      </w:r>
      <w:r w:rsidRPr="00EC5399">
        <w:rPr>
          <w:szCs w:val="22"/>
        </w:rPr>
        <w:t xml:space="preserve"> (Sangil </w:t>
      </w:r>
      <w:r w:rsidRPr="00EC5399">
        <w:rPr>
          <w:i/>
          <w:szCs w:val="22"/>
        </w:rPr>
        <w:t>et al</w:t>
      </w:r>
      <w:r w:rsidRPr="00EC5399">
        <w:rPr>
          <w:szCs w:val="22"/>
        </w:rPr>
        <w:t>., 2010).</w:t>
      </w:r>
    </w:p>
    <w:p w14:paraId="1088A8E3" w14:textId="77777777" w:rsidR="006B3F46" w:rsidRPr="0021277B" w:rsidRDefault="006B3F46" w:rsidP="00907941">
      <w:pPr>
        <w:pStyle w:val="ListParagraph"/>
        <w:ind w:left="960"/>
        <w:rPr>
          <w:i/>
          <w:szCs w:val="22"/>
          <w:lang w:val="en-US" w:eastAsia="es-ES"/>
        </w:rPr>
      </w:pPr>
    </w:p>
    <w:p w14:paraId="65C3D020" w14:textId="77777777" w:rsidR="006B3F46" w:rsidRPr="0021277B" w:rsidRDefault="006B3F46" w:rsidP="006B3F46">
      <w:pPr>
        <w:pStyle w:val="ListParagraph"/>
        <w:numPr>
          <w:ilvl w:val="0"/>
          <w:numId w:val="43"/>
        </w:numPr>
        <w:ind w:leftChars="0" w:left="284"/>
        <w:contextualSpacing/>
        <w:rPr>
          <w:i/>
          <w:szCs w:val="22"/>
          <w:lang w:val="en-US" w:eastAsia="es-ES"/>
        </w:rPr>
      </w:pPr>
      <w:r w:rsidRPr="0021277B">
        <w:rPr>
          <w:i/>
          <w:szCs w:val="22"/>
          <w:lang w:val="en-US" w:eastAsia="es-ES"/>
        </w:rPr>
        <w:t>Fishing activities.</w:t>
      </w:r>
      <w:r w:rsidRPr="00EC5399">
        <w:rPr>
          <w:szCs w:val="22"/>
        </w:rPr>
        <w:t xml:space="preserve"> Coastal fisheries have been massively overexploited in the Canary Islands due to pressure from artisanal fisheries and recreational fishers (Falcon </w:t>
      </w:r>
      <w:r w:rsidRPr="00EC5399">
        <w:rPr>
          <w:i/>
          <w:szCs w:val="22"/>
        </w:rPr>
        <w:t>et al</w:t>
      </w:r>
      <w:r w:rsidRPr="00EC5399">
        <w:rPr>
          <w:szCs w:val="22"/>
        </w:rPr>
        <w:t xml:space="preserve">., 1996). </w:t>
      </w:r>
      <w:r w:rsidRPr="0021277B">
        <w:rPr>
          <w:iCs/>
          <w:noProof/>
          <w:szCs w:val="22"/>
          <w:lang w:val="en-US" w:eastAsia="es-ES"/>
        </w:rPr>
        <w:t>The target species are demersal species of the central Atlantic. The shallowest seamounts have a higher level of richness of target species and are the most suscentible to fishing activity. In addition, the shallowest seamounts commonly host the most sensitive habitats formed by hard corals and gorgonians (IEO 2012).</w:t>
      </w:r>
    </w:p>
    <w:p w14:paraId="2414364A" w14:textId="77777777" w:rsidR="006B3F46" w:rsidRPr="0021277B" w:rsidRDefault="006B3F46" w:rsidP="00907941">
      <w:pPr>
        <w:ind w:left="284"/>
        <w:jc w:val="both"/>
        <w:rPr>
          <w:i/>
          <w:iCs/>
          <w:sz w:val="22"/>
          <w:szCs w:val="22"/>
          <w:lang w:val="en-US" w:eastAsia="es-ES"/>
        </w:rPr>
      </w:pPr>
    </w:p>
    <w:p w14:paraId="3673867B" w14:textId="77777777" w:rsidR="006B3F46" w:rsidRPr="0021277B" w:rsidRDefault="006B3F46" w:rsidP="006B3F46">
      <w:pPr>
        <w:pStyle w:val="ListParagraph"/>
        <w:numPr>
          <w:ilvl w:val="0"/>
          <w:numId w:val="43"/>
        </w:numPr>
        <w:ind w:leftChars="0" w:left="284"/>
        <w:contextualSpacing/>
        <w:rPr>
          <w:i/>
          <w:szCs w:val="22"/>
          <w:lang w:val="en-US" w:eastAsia="es-ES"/>
        </w:rPr>
      </w:pPr>
      <w:r w:rsidRPr="0021277B">
        <w:rPr>
          <w:i/>
          <w:iCs/>
          <w:szCs w:val="22"/>
        </w:rPr>
        <w:t>Coastal development pressure</w:t>
      </w:r>
      <w:r w:rsidRPr="00EC5399">
        <w:rPr>
          <w:szCs w:val="22"/>
        </w:rPr>
        <w:t xml:space="preserve"> on coastal ecosystems in the Canaries is driven by high human population density and continues to increase rapidly. About 9 per cent of the Canarian coast has been heavily transformed by the construction of rockwalls and other artificial structures on the shoreline. Highest concentrations of coastal structures (e.g., groins, dykes, breakwaters) and beach infrastructure (e.g., boardwalks) are located in tourist areas on the south coast of Tenerife and Gran Canaria, to protect and encourage use of artificial beaches. Likewise, a consistent increase in the number of harbours and marina facilities has occurred along the coast, without significant effort to understand the impacts of these coastal structures on marine biodiversity. Besides, impacts of land-based facilities and transport infrastructure associated with harbours would add additional impacts and pollution sources at different levels upon mesolittoral and sublittoral habitats. </w:t>
      </w:r>
    </w:p>
    <w:p w14:paraId="08FAEF1C" w14:textId="77777777" w:rsidR="006B3F46" w:rsidRPr="0021277B" w:rsidRDefault="006B3F46" w:rsidP="00907941">
      <w:pPr>
        <w:ind w:left="284"/>
        <w:jc w:val="both"/>
        <w:rPr>
          <w:i/>
          <w:sz w:val="22"/>
          <w:szCs w:val="22"/>
          <w:lang w:val="en-US" w:eastAsia="es-ES"/>
        </w:rPr>
      </w:pPr>
    </w:p>
    <w:p w14:paraId="1DB3B128" w14:textId="77777777" w:rsidR="006B3F46" w:rsidRPr="0021277B" w:rsidRDefault="006B3F46" w:rsidP="006B3F46">
      <w:pPr>
        <w:pStyle w:val="ListParagraph"/>
        <w:numPr>
          <w:ilvl w:val="0"/>
          <w:numId w:val="43"/>
        </w:numPr>
        <w:ind w:leftChars="0" w:left="284"/>
        <w:contextualSpacing/>
        <w:rPr>
          <w:i/>
          <w:szCs w:val="22"/>
          <w:lang w:val="en-US" w:eastAsia="es-ES"/>
        </w:rPr>
      </w:pPr>
      <w:r w:rsidRPr="0021277B">
        <w:rPr>
          <w:i/>
          <w:szCs w:val="22"/>
          <w:lang w:val="en-US" w:eastAsia="es-ES"/>
        </w:rPr>
        <w:t>Water pollution.</w:t>
      </w:r>
      <w:r w:rsidRPr="00EC5399">
        <w:rPr>
          <w:szCs w:val="22"/>
        </w:rPr>
        <w:t xml:space="preserve"> The waters surrounding the Canary Islands are oligotrophic, lacking the seasonal phytoplankton blooms that typify warm temperate seas elsewhere (Barton </w:t>
      </w:r>
      <w:r w:rsidRPr="00EC5399">
        <w:rPr>
          <w:i/>
          <w:szCs w:val="22"/>
        </w:rPr>
        <w:t>et al</w:t>
      </w:r>
      <w:r w:rsidRPr="00EC5399">
        <w:rPr>
          <w:szCs w:val="22"/>
        </w:rPr>
        <w:t xml:space="preserve">., 1998; Basterretxea and Arístegui, 2000). The archipelago also lacks permanent rivers, so nutrients and inorganic pollutants tend to enter the sea via smaller, isolated point sources like pipelines, sea-cage aquaculture (mainly for seabass </w:t>
      </w:r>
      <w:r w:rsidRPr="00EC5399">
        <w:rPr>
          <w:i/>
          <w:iCs/>
          <w:szCs w:val="22"/>
        </w:rPr>
        <w:t>Dicentrarchus labrax</w:t>
      </w:r>
      <w:r w:rsidRPr="00EC5399">
        <w:rPr>
          <w:szCs w:val="22"/>
        </w:rPr>
        <w:t xml:space="preserve"> and seabream </w:t>
      </w:r>
      <w:r w:rsidRPr="00EC5399">
        <w:rPr>
          <w:i/>
          <w:iCs/>
          <w:szCs w:val="22"/>
        </w:rPr>
        <w:t>Sparus aurata</w:t>
      </w:r>
      <w:r w:rsidRPr="00EC5399">
        <w:rPr>
          <w:szCs w:val="22"/>
        </w:rPr>
        <w:t xml:space="preserve">) or desalination plants. Organic and inorganic pollutants from intensive farming (mainly banana and tomato) along the coast also have an impact on marine waters but their effects are not well understood. Fortunately, the presence of continuous coastal currents around the Canary Islands facilitates the dispersion of pollutants. Thus, while impacts may be acute near highly concentrated point sources, broader impacts of pollution along coastlines have not been identified. </w:t>
      </w:r>
    </w:p>
    <w:p w14:paraId="11A016EA" w14:textId="77777777" w:rsidR="006B3F46" w:rsidRPr="00EC5399" w:rsidRDefault="006B3F46" w:rsidP="00907941">
      <w:pPr>
        <w:pStyle w:val="ListParagraph"/>
        <w:ind w:left="960"/>
        <w:rPr>
          <w:rFonts w:eastAsia="MS Mincho"/>
          <w:i/>
          <w:szCs w:val="22"/>
        </w:rPr>
      </w:pPr>
    </w:p>
    <w:p w14:paraId="459BB825" w14:textId="77777777" w:rsidR="006B3F46" w:rsidRPr="00EC5399" w:rsidRDefault="006B3F46" w:rsidP="006B3F46">
      <w:pPr>
        <w:pStyle w:val="ListParagraph"/>
        <w:numPr>
          <w:ilvl w:val="0"/>
          <w:numId w:val="43"/>
        </w:numPr>
        <w:ind w:leftChars="0" w:left="284"/>
        <w:contextualSpacing/>
        <w:rPr>
          <w:rFonts w:eastAsia="MS Mincho"/>
          <w:i/>
          <w:szCs w:val="22"/>
        </w:rPr>
      </w:pPr>
      <w:r w:rsidRPr="0021277B">
        <w:rPr>
          <w:i/>
          <w:iCs/>
          <w:szCs w:val="22"/>
          <w:lang w:val="en-US" w:eastAsia="es-ES"/>
        </w:rPr>
        <w:t xml:space="preserve">Shipping and </w:t>
      </w:r>
      <w:r w:rsidRPr="0021277B">
        <w:rPr>
          <w:i/>
          <w:iCs/>
          <w:szCs w:val="22"/>
        </w:rPr>
        <w:t>maritime traffic.</w:t>
      </w:r>
      <w:r w:rsidRPr="00EC5399">
        <w:rPr>
          <w:rFonts w:eastAsia="MS Mincho"/>
          <w:i/>
          <w:szCs w:val="22"/>
        </w:rPr>
        <w:t xml:space="preserve"> </w:t>
      </w:r>
      <w:r w:rsidRPr="00EC5399">
        <w:rPr>
          <w:szCs w:val="22"/>
        </w:rPr>
        <w:t>Chronic pollution derived from ship traffic is another potentially large but understudied threat to the marine environment of the islands. On average, 30,000 commercial vessels per year entered and exited local harbours (mostly in Gran Canaria and Tenerife) between 1998 and 2012 (ISTAC 2013). Aside from pollutant emissions from moving and docked ships, the impact for cetaceans posed by collisions and other disturbances (noise and vibration, human presence) is far from negligible. African hind (</w:t>
      </w:r>
      <w:r w:rsidRPr="00EC5399">
        <w:rPr>
          <w:i/>
          <w:iCs/>
          <w:szCs w:val="22"/>
        </w:rPr>
        <w:t>Cephalopholis taeniops)</w:t>
      </w:r>
      <w:r w:rsidRPr="00EC5399">
        <w:rPr>
          <w:szCs w:val="22"/>
        </w:rPr>
        <w:t xml:space="preserve"> </w:t>
      </w:r>
      <w:r w:rsidRPr="00EC5399">
        <w:rPr>
          <w:szCs w:val="22"/>
          <w:lang w:val="en-US"/>
        </w:rPr>
        <w:t xml:space="preserve">and </w:t>
      </w:r>
      <w:r w:rsidRPr="00EC5399">
        <w:rPr>
          <w:szCs w:val="22"/>
        </w:rPr>
        <w:t>the butterflyfish (</w:t>
      </w:r>
      <w:r w:rsidRPr="00EC5399">
        <w:rPr>
          <w:i/>
          <w:iCs/>
          <w:szCs w:val="22"/>
        </w:rPr>
        <w:t>Chaetodon sanctaehelenae)</w:t>
      </w:r>
      <w:r w:rsidRPr="00EC5399">
        <w:rPr>
          <w:szCs w:val="22"/>
        </w:rPr>
        <w:t xml:space="preserve"> are two examples of fish species believed to have arrived at the Canaries in ballast water (Brito </w:t>
      </w:r>
      <w:r w:rsidRPr="00EC5399">
        <w:rPr>
          <w:i/>
          <w:szCs w:val="22"/>
        </w:rPr>
        <w:t>et al</w:t>
      </w:r>
      <w:r w:rsidRPr="00EC5399">
        <w:rPr>
          <w:szCs w:val="22"/>
        </w:rPr>
        <w:t>., 2005, 2010).</w:t>
      </w:r>
    </w:p>
    <w:p w14:paraId="01F43292" w14:textId="77777777" w:rsidR="006B3F46" w:rsidRPr="00EC5399" w:rsidRDefault="006B3F46" w:rsidP="00907941">
      <w:pPr>
        <w:pStyle w:val="ListParagraph"/>
        <w:ind w:left="960"/>
        <w:rPr>
          <w:rFonts w:eastAsia="MS Mincho"/>
          <w:i/>
          <w:szCs w:val="22"/>
        </w:rPr>
      </w:pPr>
    </w:p>
    <w:p w14:paraId="1044B753" w14:textId="77777777" w:rsidR="006B3F46" w:rsidRPr="009978E3" w:rsidRDefault="006B3F46" w:rsidP="006B3F46">
      <w:pPr>
        <w:pStyle w:val="ListParagraph"/>
        <w:numPr>
          <w:ilvl w:val="0"/>
          <w:numId w:val="43"/>
        </w:numPr>
        <w:ind w:leftChars="0" w:left="284"/>
        <w:contextualSpacing/>
        <w:rPr>
          <w:szCs w:val="22"/>
        </w:rPr>
      </w:pPr>
      <w:r w:rsidRPr="0021277B">
        <w:rPr>
          <w:i/>
          <w:iCs/>
          <w:szCs w:val="22"/>
        </w:rPr>
        <w:t>Proliferation of the sea urchin Diadema africanum.</w:t>
      </w:r>
      <w:r w:rsidRPr="00EC5399">
        <w:rPr>
          <w:i/>
          <w:iCs/>
          <w:szCs w:val="22"/>
        </w:rPr>
        <w:t xml:space="preserve"> </w:t>
      </w:r>
      <w:r w:rsidRPr="00EC5399">
        <w:rPr>
          <w:szCs w:val="22"/>
        </w:rPr>
        <w:t>This species has been responsible for an acute impoverishment of coastal rocky substrates in all the islands</w:t>
      </w:r>
      <w:r w:rsidRPr="009978E3">
        <w:rPr>
          <w:szCs w:val="22"/>
        </w:rPr>
        <w:t xml:space="preserve"> of the archipelago, with the exception of El Hierro, where fishing pressure has been lower and more strictly regulated in recent decades (Tuya </w:t>
      </w:r>
      <w:r w:rsidRPr="0006066A">
        <w:rPr>
          <w:i/>
          <w:szCs w:val="22"/>
        </w:rPr>
        <w:t>et al</w:t>
      </w:r>
      <w:r w:rsidRPr="009978E3">
        <w:rPr>
          <w:szCs w:val="22"/>
        </w:rPr>
        <w:t xml:space="preserve">., 2004). Effects of ocean warming on recruitment and growth, topographic complexity, and release from predation due to overfishing of predators (sensu Ling </w:t>
      </w:r>
      <w:r w:rsidRPr="0006066A">
        <w:rPr>
          <w:i/>
          <w:szCs w:val="22"/>
        </w:rPr>
        <w:t>et al</w:t>
      </w:r>
      <w:r w:rsidRPr="009978E3">
        <w:rPr>
          <w:szCs w:val="22"/>
        </w:rPr>
        <w:t xml:space="preserve">., 2009) are all likely to have played a role in the explosion of </w:t>
      </w:r>
      <w:r w:rsidRPr="009978E3">
        <w:rPr>
          <w:i/>
          <w:iCs/>
          <w:szCs w:val="22"/>
        </w:rPr>
        <w:t>D. africanum</w:t>
      </w:r>
      <w:r w:rsidRPr="009978E3">
        <w:rPr>
          <w:szCs w:val="22"/>
        </w:rPr>
        <w:t xml:space="preserve"> populations in the Canaries (Hereu </w:t>
      </w:r>
      <w:r w:rsidRPr="0006066A">
        <w:rPr>
          <w:i/>
          <w:szCs w:val="22"/>
        </w:rPr>
        <w:t>et al</w:t>
      </w:r>
      <w:r w:rsidRPr="009978E3">
        <w:rPr>
          <w:szCs w:val="22"/>
        </w:rPr>
        <w:t xml:space="preserve">., 2004; Clemente </w:t>
      </w:r>
      <w:r w:rsidRPr="0006066A">
        <w:rPr>
          <w:i/>
          <w:szCs w:val="22"/>
        </w:rPr>
        <w:t>et al</w:t>
      </w:r>
      <w:r w:rsidRPr="009978E3">
        <w:rPr>
          <w:szCs w:val="22"/>
        </w:rPr>
        <w:t xml:space="preserve">., 2007), with the latter mechanism appearing most important (Tuya </w:t>
      </w:r>
      <w:r w:rsidRPr="0006066A">
        <w:rPr>
          <w:i/>
          <w:szCs w:val="22"/>
        </w:rPr>
        <w:t>et al</w:t>
      </w:r>
      <w:r w:rsidRPr="009978E3">
        <w:rPr>
          <w:szCs w:val="22"/>
        </w:rPr>
        <w:t xml:space="preserve">., 2004). </w:t>
      </w:r>
    </w:p>
    <w:p w14:paraId="3739AC0B" w14:textId="77777777" w:rsidR="006B3F46" w:rsidRPr="009978E3" w:rsidRDefault="006B3F46" w:rsidP="00907941">
      <w:pPr>
        <w:jc w:val="both"/>
        <w:rPr>
          <w:sz w:val="22"/>
          <w:szCs w:val="22"/>
        </w:rPr>
      </w:pPr>
    </w:p>
    <w:p w14:paraId="3A89F804" w14:textId="77777777" w:rsidR="006B3F46" w:rsidRPr="009978E3" w:rsidRDefault="006B3F46" w:rsidP="002E4B39">
      <w:pPr>
        <w:suppressLineNumbers/>
        <w:spacing w:after="120"/>
        <w:jc w:val="both"/>
        <w:rPr>
          <w:b/>
          <w:i/>
          <w:sz w:val="22"/>
          <w:szCs w:val="22"/>
          <w:lang w:val="en-US" w:eastAsia="es-ES"/>
        </w:rPr>
      </w:pPr>
      <w:r w:rsidRPr="009978E3">
        <w:rPr>
          <w:sz w:val="22"/>
          <w:szCs w:val="22"/>
        </w:rPr>
        <w:t xml:space="preserve">Extraction of construction materials from the seabed, and fuel prospecting and extraction, are two further </w:t>
      </w:r>
      <w:r w:rsidRPr="002E4B39">
        <w:rPr>
          <w:rFonts w:eastAsia="MS Mincho"/>
          <w:sz w:val="22"/>
          <w:szCs w:val="22"/>
          <w:lang w:val="en-US"/>
        </w:rPr>
        <w:t>disturbance</w:t>
      </w:r>
      <w:r w:rsidRPr="009978E3">
        <w:rPr>
          <w:sz w:val="22"/>
          <w:szCs w:val="22"/>
        </w:rPr>
        <w:t xml:space="preserve"> sources for the marine biota of the Canary Islands, with unknown impacts.</w:t>
      </w:r>
    </w:p>
    <w:p w14:paraId="45BB2D79" w14:textId="4939E992" w:rsidR="006B3F46" w:rsidRPr="009978E3" w:rsidRDefault="006B3F46" w:rsidP="002E4B39">
      <w:pPr>
        <w:suppressLineNumbers/>
        <w:spacing w:after="120"/>
        <w:jc w:val="both"/>
        <w:rPr>
          <w:rFonts w:eastAsia="MS Mincho"/>
          <w:b/>
          <w:sz w:val="22"/>
          <w:szCs w:val="22"/>
          <w:lang w:val="en-US"/>
        </w:rPr>
      </w:pPr>
      <w:r w:rsidRPr="009978E3">
        <w:rPr>
          <w:sz w:val="22"/>
          <w:szCs w:val="22"/>
        </w:rPr>
        <w:t xml:space="preserve">In </w:t>
      </w:r>
      <w:r w:rsidRPr="002E4B39">
        <w:rPr>
          <w:rFonts w:eastAsia="MS Mincho"/>
          <w:sz w:val="22"/>
          <w:szCs w:val="22"/>
          <w:lang w:val="en-US"/>
        </w:rPr>
        <w:t>general</w:t>
      </w:r>
      <w:r w:rsidRPr="009978E3">
        <w:rPr>
          <w:sz w:val="22"/>
          <w:szCs w:val="22"/>
        </w:rPr>
        <w:t xml:space="preserve">, most of the impact occurs in the coastal and infralittoral zones. At present, there are many studies that different research entities are carrying out to </w:t>
      </w:r>
      <w:r>
        <w:rPr>
          <w:sz w:val="22"/>
          <w:szCs w:val="22"/>
        </w:rPr>
        <w:t>better understand</w:t>
      </w:r>
      <w:r w:rsidRPr="009978E3">
        <w:rPr>
          <w:sz w:val="22"/>
          <w:szCs w:val="22"/>
        </w:rPr>
        <w:t xml:space="preserve"> the </w:t>
      </w:r>
      <w:r>
        <w:rPr>
          <w:sz w:val="22"/>
          <w:szCs w:val="22"/>
        </w:rPr>
        <w:t>impact</w:t>
      </w:r>
      <w:r w:rsidRPr="009978E3">
        <w:rPr>
          <w:sz w:val="22"/>
          <w:szCs w:val="22"/>
        </w:rPr>
        <w:t xml:space="preserve"> of </w:t>
      </w:r>
      <w:r>
        <w:rPr>
          <w:sz w:val="22"/>
          <w:szCs w:val="22"/>
        </w:rPr>
        <w:t xml:space="preserve">both </w:t>
      </w:r>
      <w:r w:rsidRPr="009978E3">
        <w:rPr>
          <w:sz w:val="22"/>
          <w:szCs w:val="22"/>
        </w:rPr>
        <w:t>climate change</w:t>
      </w:r>
      <w:r>
        <w:rPr>
          <w:sz w:val="22"/>
          <w:szCs w:val="22"/>
        </w:rPr>
        <w:t xml:space="preserve"> and </w:t>
      </w:r>
      <w:r w:rsidRPr="009978E3">
        <w:rPr>
          <w:sz w:val="22"/>
          <w:szCs w:val="22"/>
        </w:rPr>
        <w:t xml:space="preserve">invasive species </w:t>
      </w:r>
      <w:r>
        <w:rPr>
          <w:sz w:val="22"/>
          <w:szCs w:val="22"/>
        </w:rPr>
        <w:t>o</w:t>
      </w:r>
      <w:r w:rsidRPr="009978E3">
        <w:rPr>
          <w:sz w:val="22"/>
          <w:szCs w:val="22"/>
        </w:rPr>
        <w:t xml:space="preserve">n the shallowest waters of the archipelago. On the other hand, the human impacts and threats in deep waters, including seamounts, are insufficiently studied. The Spanish Institute of Oceanography (IEO) is currently working on the effects of fishing activities in some seamounts included in </w:t>
      </w:r>
      <w:r w:rsidRPr="00A57C78">
        <w:rPr>
          <w:sz w:val="22"/>
          <w:szCs w:val="22"/>
        </w:rPr>
        <w:t>Special Area</w:t>
      </w:r>
      <w:r>
        <w:rPr>
          <w:sz w:val="22"/>
          <w:szCs w:val="22"/>
        </w:rPr>
        <w:t>s</w:t>
      </w:r>
      <w:r w:rsidRPr="00A57C78">
        <w:rPr>
          <w:sz w:val="22"/>
          <w:szCs w:val="22"/>
        </w:rPr>
        <w:t xml:space="preserve"> of Conservation </w:t>
      </w:r>
      <w:r w:rsidRPr="009978E3">
        <w:rPr>
          <w:sz w:val="22"/>
          <w:szCs w:val="22"/>
        </w:rPr>
        <w:t xml:space="preserve">of the Canary Islands. There are more specific studies </w:t>
      </w:r>
      <w:r>
        <w:rPr>
          <w:sz w:val="22"/>
          <w:szCs w:val="22"/>
        </w:rPr>
        <w:t>of</w:t>
      </w:r>
      <w:r w:rsidRPr="009978E3">
        <w:rPr>
          <w:sz w:val="22"/>
          <w:szCs w:val="22"/>
        </w:rPr>
        <w:t xml:space="preserve"> biodiversity and oceanography of all seamounts of the region</w:t>
      </w:r>
      <w:r w:rsidR="005666D8">
        <w:rPr>
          <w:sz w:val="22"/>
          <w:szCs w:val="22"/>
        </w:rPr>
        <w:t>,</w:t>
      </w:r>
      <w:r w:rsidRPr="009978E3">
        <w:rPr>
          <w:sz w:val="22"/>
          <w:szCs w:val="22"/>
        </w:rPr>
        <w:t xml:space="preserve"> but these are isolated and scarce.</w:t>
      </w:r>
    </w:p>
    <w:p w14:paraId="38CC5C71"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9978E3">
        <w:rPr>
          <w:rFonts w:eastAsia="MS Mincho"/>
          <w:b/>
          <w:sz w:val="22"/>
          <w:szCs w:val="22"/>
          <w:lang w:val="en-US"/>
        </w:rPr>
        <w:t>rea no. 8</w:t>
      </w:r>
      <w:r>
        <w:rPr>
          <w:rFonts w:eastAsia="MS Mincho"/>
          <w:b/>
          <w:sz w:val="22"/>
          <w:szCs w:val="22"/>
          <w:lang w:val="en-US"/>
        </w:rPr>
        <w:t>,</w:t>
      </w:r>
      <w:r w:rsidRPr="009978E3">
        <w:rPr>
          <w:rFonts w:eastAsia="MS Mincho"/>
          <w:b/>
          <w:sz w:val="22"/>
          <w:szCs w:val="22"/>
          <w:lang w:val="en-US"/>
        </w:rPr>
        <w:t xml:space="preserve"> Oceanic Islands and Seamounts of the Canary Region</w:t>
      </w:r>
      <w:r>
        <w:rPr>
          <w:rFonts w:eastAsia="MS Mincho"/>
          <w:b/>
          <w:sz w:val="22"/>
          <w:szCs w:val="22"/>
          <w:lang w:val="en-US"/>
        </w:rPr>
        <w:t>, against CBD EBSA Criteria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21277B" w14:paraId="5BD64A9E" w14:textId="77777777" w:rsidTr="002E4B39">
        <w:tc>
          <w:tcPr>
            <w:tcW w:w="832" w:type="pct"/>
            <w:vMerge w:val="restart"/>
            <w:shd w:val="clear" w:color="auto" w:fill="auto"/>
          </w:tcPr>
          <w:p w14:paraId="791FEDE4" w14:textId="77777777" w:rsidR="006B3F46" w:rsidRPr="0021277B" w:rsidRDefault="006B3F46" w:rsidP="00907941">
            <w:pPr>
              <w:widowControl w:val="0"/>
              <w:autoSpaceDE w:val="0"/>
              <w:autoSpaceDN w:val="0"/>
              <w:adjustRightInd w:val="0"/>
              <w:rPr>
                <w:rFonts w:eastAsia="MS Mincho"/>
                <w:b/>
                <w:bCs/>
                <w:sz w:val="22"/>
                <w:szCs w:val="22"/>
                <w:lang w:val="it-IT"/>
              </w:rPr>
            </w:pPr>
            <w:r w:rsidRPr="0021277B">
              <w:rPr>
                <w:rFonts w:eastAsia="MS Mincho"/>
                <w:b/>
                <w:bCs/>
                <w:sz w:val="22"/>
                <w:szCs w:val="22"/>
                <w:lang w:val="it-IT"/>
              </w:rPr>
              <w:t>CBD EBSA Criteria</w:t>
            </w:r>
          </w:p>
          <w:p w14:paraId="58F63844" w14:textId="77777777" w:rsidR="006B3F46" w:rsidRPr="0021277B" w:rsidRDefault="006B3F46" w:rsidP="00907941">
            <w:pPr>
              <w:widowControl w:val="0"/>
              <w:autoSpaceDE w:val="0"/>
              <w:autoSpaceDN w:val="0"/>
              <w:adjustRightInd w:val="0"/>
              <w:rPr>
                <w:rFonts w:eastAsia="MS Mincho"/>
                <w:bCs/>
                <w:sz w:val="22"/>
                <w:szCs w:val="22"/>
                <w:lang w:val="it-IT"/>
              </w:rPr>
            </w:pPr>
            <w:r w:rsidRPr="0021277B">
              <w:rPr>
                <w:rFonts w:eastAsia="MS Mincho"/>
                <w:bCs/>
                <w:sz w:val="22"/>
                <w:szCs w:val="22"/>
                <w:lang w:val="it-IT"/>
              </w:rPr>
              <w:t>(Annex I to decision IX/20)</w:t>
            </w:r>
          </w:p>
        </w:tc>
        <w:tc>
          <w:tcPr>
            <w:tcW w:w="2232" w:type="pct"/>
            <w:vMerge w:val="restart"/>
            <w:shd w:val="clear" w:color="auto" w:fill="auto"/>
          </w:tcPr>
          <w:p w14:paraId="78D96D07"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Description</w:t>
            </w:r>
          </w:p>
          <w:p w14:paraId="4838AE10"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it-IT"/>
              </w:rPr>
              <w:t>(Annex I to decision IX/20)</w:t>
            </w:r>
          </w:p>
        </w:tc>
        <w:tc>
          <w:tcPr>
            <w:tcW w:w="1937" w:type="pct"/>
            <w:gridSpan w:val="9"/>
            <w:shd w:val="clear" w:color="auto" w:fill="auto"/>
          </w:tcPr>
          <w:p w14:paraId="417A73DA"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 xml:space="preserve">Ranking of criterion relevance </w:t>
            </w:r>
          </w:p>
          <w:p w14:paraId="11BB5C72"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Cs/>
                <w:sz w:val="22"/>
                <w:szCs w:val="22"/>
                <w:lang w:val="en-US"/>
              </w:rPr>
              <w:t>(please mark one column with an X)</w:t>
            </w:r>
          </w:p>
        </w:tc>
      </w:tr>
      <w:tr w:rsidR="006B3F46" w:rsidRPr="0021277B" w14:paraId="6F75CE1A" w14:textId="77777777" w:rsidTr="002E4B39">
        <w:tc>
          <w:tcPr>
            <w:tcW w:w="832" w:type="pct"/>
            <w:vMerge/>
            <w:shd w:val="clear" w:color="auto" w:fill="auto"/>
          </w:tcPr>
          <w:p w14:paraId="46F97AFF"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2232" w:type="pct"/>
            <w:vMerge/>
            <w:shd w:val="clear" w:color="auto" w:fill="auto"/>
          </w:tcPr>
          <w:p w14:paraId="6BF05C2E"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547" w:type="pct"/>
            <w:gridSpan w:val="2"/>
            <w:shd w:val="clear" w:color="auto" w:fill="auto"/>
          </w:tcPr>
          <w:p w14:paraId="7F0D3EDA"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No information</w:t>
            </w:r>
          </w:p>
        </w:tc>
        <w:tc>
          <w:tcPr>
            <w:tcW w:w="547" w:type="pct"/>
            <w:gridSpan w:val="3"/>
            <w:shd w:val="clear" w:color="auto" w:fill="auto"/>
          </w:tcPr>
          <w:p w14:paraId="3A3131FF"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Low</w:t>
            </w:r>
          </w:p>
        </w:tc>
        <w:tc>
          <w:tcPr>
            <w:tcW w:w="411" w:type="pct"/>
            <w:gridSpan w:val="2"/>
            <w:shd w:val="clear" w:color="auto" w:fill="auto"/>
          </w:tcPr>
          <w:p w14:paraId="0C57E6C5"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Medium</w:t>
            </w:r>
          </w:p>
        </w:tc>
        <w:tc>
          <w:tcPr>
            <w:tcW w:w="432" w:type="pct"/>
            <w:gridSpan w:val="2"/>
            <w:shd w:val="clear" w:color="auto" w:fill="auto"/>
          </w:tcPr>
          <w:p w14:paraId="233CD2F5"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High</w:t>
            </w:r>
          </w:p>
        </w:tc>
      </w:tr>
      <w:tr w:rsidR="006B3F46" w:rsidRPr="0021277B" w14:paraId="3828602C" w14:textId="77777777" w:rsidTr="002E4B39">
        <w:tc>
          <w:tcPr>
            <w:tcW w:w="832" w:type="pct"/>
            <w:shd w:val="clear" w:color="auto" w:fill="auto"/>
          </w:tcPr>
          <w:p w14:paraId="1570B821"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Uniqueness or rarity</w:t>
            </w:r>
          </w:p>
        </w:tc>
        <w:tc>
          <w:tcPr>
            <w:tcW w:w="2232" w:type="pct"/>
            <w:shd w:val="clear" w:color="auto" w:fill="auto"/>
          </w:tcPr>
          <w:p w14:paraId="2054870F"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65CDFF59" w14:textId="77777777" w:rsidR="006B3F46" w:rsidRPr="0021277B" w:rsidRDefault="006B3F46" w:rsidP="00907941">
            <w:pPr>
              <w:widowControl w:val="0"/>
              <w:autoSpaceDE w:val="0"/>
              <w:autoSpaceDN w:val="0"/>
              <w:adjustRightInd w:val="0"/>
              <w:rPr>
                <w:rFonts w:eastAsia="MS Mincho"/>
                <w:bCs/>
                <w:sz w:val="22"/>
                <w:szCs w:val="22"/>
                <w:lang w:val="en-US"/>
              </w:rPr>
            </w:pPr>
          </w:p>
          <w:p w14:paraId="2AC9DC50" w14:textId="77777777" w:rsidR="006B3F46" w:rsidRPr="0021277B" w:rsidRDefault="006B3F46" w:rsidP="00907941">
            <w:pPr>
              <w:widowControl w:val="0"/>
              <w:autoSpaceDE w:val="0"/>
              <w:autoSpaceDN w:val="0"/>
              <w:adjustRightInd w:val="0"/>
              <w:rPr>
                <w:rFonts w:eastAsia="MS Mincho"/>
                <w:bCs/>
                <w:sz w:val="22"/>
                <w:szCs w:val="22"/>
                <w:lang w:val="en-US"/>
              </w:rPr>
            </w:pPr>
          </w:p>
          <w:p w14:paraId="1D15C0E2"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 xml:space="preserve"> </w:t>
            </w:r>
          </w:p>
        </w:tc>
        <w:tc>
          <w:tcPr>
            <w:tcW w:w="547" w:type="pct"/>
            <w:gridSpan w:val="3"/>
            <w:shd w:val="clear" w:color="auto" w:fill="auto"/>
          </w:tcPr>
          <w:p w14:paraId="66954D14"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08BAF433"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07370CA4"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65ECA753"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42DBFA63"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0C217CA3"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7BB7366E"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2" w:type="pct"/>
            <w:gridSpan w:val="2"/>
            <w:shd w:val="clear" w:color="auto" w:fill="auto"/>
          </w:tcPr>
          <w:p w14:paraId="3EB00329"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017616A3"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2A4F1D6B"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05590EA6" w14:textId="77777777" w:rsidTr="00907941">
        <w:tc>
          <w:tcPr>
            <w:tcW w:w="5000" w:type="pct"/>
            <w:gridSpan w:val="11"/>
            <w:shd w:val="clear" w:color="auto" w:fill="auto"/>
          </w:tcPr>
          <w:p w14:paraId="7FFE5634" w14:textId="77777777" w:rsidR="006B3F46" w:rsidRPr="0021277B" w:rsidRDefault="006B3F46" w:rsidP="00907941">
            <w:pPr>
              <w:pStyle w:val="Default"/>
              <w:jc w:val="both"/>
              <w:rPr>
                <w:i/>
                <w:iCs/>
                <w:color w:val="auto"/>
                <w:sz w:val="22"/>
                <w:szCs w:val="22"/>
                <w:lang w:eastAsia="en-US"/>
              </w:rPr>
            </w:pPr>
            <w:r w:rsidRPr="0021277B">
              <w:rPr>
                <w:i/>
                <w:iCs/>
                <w:color w:val="auto"/>
                <w:sz w:val="22"/>
                <w:szCs w:val="22"/>
                <w:lang w:eastAsia="en-US"/>
              </w:rPr>
              <w:t>Explanation for ranking</w:t>
            </w:r>
          </w:p>
          <w:p w14:paraId="5B3E05B8" w14:textId="77777777" w:rsidR="006B3F46" w:rsidRPr="0021277B" w:rsidRDefault="006B3F46" w:rsidP="002E4B39">
            <w:pPr>
              <w:spacing w:after="120"/>
              <w:jc w:val="both"/>
              <w:rPr>
                <w:b/>
                <w:bCs/>
                <w:sz w:val="22"/>
                <w:szCs w:val="22"/>
              </w:rPr>
            </w:pPr>
            <w:r w:rsidRPr="0021277B">
              <w:rPr>
                <w:rFonts w:eastAsia="MS Mincho"/>
                <w:sz w:val="22"/>
                <w:szCs w:val="22"/>
                <w:lang w:val="en-US"/>
              </w:rPr>
              <w:t xml:space="preserve">Flora and fauna around the Canary Islands consists of an ensemble of species </w:t>
            </w:r>
            <w:r w:rsidRPr="0021277B">
              <w:rPr>
                <w:rFonts w:eastAsia="MS Mincho"/>
                <w:sz w:val="22"/>
                <w:szCs w:val="22"/>
                <w:lang w:val="en-US" w:eastAsia="ja-JP"/>
              </w:rPr>
              <w:t>with</w:t>
            </w:r>
            <w:r>
              <w:rPr>
                <w:rFonts w:eastAsia="MS Mincho"/>
                <w:sz w:val="22"/>
                <w:szCs w:val="22"/>
                <w:lang w:val="en-US" w:eastAsia="ja-JP"/>
              </w:rPr>
              <w:t xml:space="preserve"> either</w:t>
            </w:r>
            <w:r w:rsidRPr="0021277B">
              <w:rPr>
                <w:rFonts w:eastAsia="MS Mincho"/>
                <w:sz w:val="22"/>
                <w:szCs w:val="22"/>
                <w:lang w:val="en-US" w:eastAsia="ja-JP"/>
              </w:rPr>
              <w:t xml:space="preserve"> </w:t>
            </w:r>
            <w:r w:rsidRPr="00055DA2">
              <w:rPr>
                <w:rFonts w:eastAsia="MS Mincho"/>
                <w:sz w:val="22"/>
                <w:szCs w:val="22"/>
                <w:lang w:val="en-US" w:eastAsia="ja-JP"/>
              </w:rPr>
              <w:t xml:space="preserve">tropical </w:t>
            </w:r>
            <w:r>
              <w:rPr>
                <w:rFonts w:eastAsia="MS Mincho"/>
                <w:sz w:val="22"/>
                <w:szCs w:val="22"/>
                <w:lang w:val="en-US" w:eastAsia="ja-JP"/>
              </w:rPr>
              <w:t>or</w:t>
            </w:r>
            <w:r w:rsidRPr="00055DA2">
              <w:rPr>
                <w:rFonts w:eastAsia="MS Mincho"/>
                <w:sz w:val="22"/>
                <w:szCs w:val="22"/>
                <w:lang w:val="en-US" w:eastAsia="ja-JP"/>
              </w:rPr>
              <w:t xml:space="preserve"> warm temperate</w:t>
            </w:r>
            <w:r w:rsidRPr="0021277B">
              <w:rPr>
                <w:rFonts w:eastAsia="MS Mincho"/>
                <w:sz w:val="22"/>
                <w:szCs w:val="22"/>
                <w:lang w:val="en-US" w:eastAsia="ja-JP"/>
              </w:rPr>
              <w:t xml:space="preserve"> affinity </w:t>
            </w:r>
            <w:r w:rsidRPr="0021277B">
              <w:rPr>
                <w:rFonts w:eastAsia="MS Mincho"/>
                <w:sz w:val="22"/>
                <w:szCs w:val="22"/>
                <w:lang w:val="en-US"/>
              </w:rPr>
              <w:t xml:space="preserve">(Sansón </w:t>
            </w:r>
            <w:r w:rsidRPr="0006066A">
              <w:rPr>
                <w:rFonts w:eastAsia="MS Mincho"/>
                <w:i/>
                <w:sz w:val="22"/>
                <w:szCs w:val="22"/>
                <w:lang w:val="en-US"/>
              </w:rPr>
              <w:t>et al</w:t>
            </w:r>
            <w:r w:rsidRPr="0021277B">
              <w:rPr>
                <w:rFonts w:eastAsia="MS Mincho"/>
                <w:sz w:val="22"/>
                <w:szCs w:val="22"/>
                <w:lang w:val="en-US"/>
              </w:rPr>
              <w:t xml:space="preserve">., 2001; Brito and Ocaña, 2004; Sangil </w:t>
            </w:r>
            <w:r w:rsidRPr="0006066A">
              <w:rPr>
                <w:rFonts w:eastAsia="MS Mincho"/>
                <w:i/>
                <w:sz w:val="22"/>
                <w:szCs w:val="22"/>
                <w:lang w:val="en-US"/>
              </w:rPr>
              <w:t>et al</w:t>
            </w:r>
            <w:r w:rsidRPr="0021277B">
              <w:rPr>
                <w:rFonts w:eastAsia="MS Mincho"/>
                <w:sz w:val="22"/>
                <w:szCs w:val="22"/>
                <w:lang w:val="en-US"/>
              </w:rPr>
              <w:t>., 2011). The geographic location of the Canary Islands archipelago, its lack of a continental shelf and t</w:t>
            </w:r>
            <w:r w:rsidRPr="0021277B">
              <w:rPr>
                <w:rFonts w:eastAsia="MS Mincho"/>
                <w:sz w:val="22"/>
                <w:szCs w:val="22"/>
                <w:lang w:val="en-US" w:eastAsia="ja-JP"/>
              </w:rPr>
              <w:t xml:space="preserve">he oceanographic conditions of the area (subtropical region with presence of upwelling) </w:t>
            </w:r>
            <w:r w:rsidRPr="0021277B">
              <w:rPr>
                <w:rFonts w:eastAsia="MS Mincho"/>
                <w:sz w:val="22"/>
                <w:szCs w:val="22"/>
                <w:lang w:val="en-US"/>
              </w:rPr>
              <w:t>likely contributes to its dissimilarity compared to other marine Atlantic regions. This region</w:t>
            </w:r>
            <w:r>
              <w:rPr>
                <w:rFonts w:eastAsia="MS Mincho"/>
                <w:sz w:val="22"/>
                <w:szCs w:val="22"/>
                <w:lang w:val="en-US"/>
              </w:rPr>
              <w:t>,</w:t>
            </w:r>
            <w:r w:rsidRPr="0021277B">
              <w:rPr>
                <w:rFonts w:eastAsia="MS Mincho"/>
                <w:sz w:val="22"/>
                <w:szCs w:val="22"/>
                <w:lang w:val="en-US"/>
              </w:rPr>
              <w:t xml:space="preserve"> with subtropical oceanographic conditions, represents the southern distribution limit for many pelagic and benthic species.</w:t>
            </w:r>
          </w:p>
          <w:p w14:paraId="24CD8B62" w14:textId="77777777" w:rsidR="006B3F46" w:rsidRPr="0021277B" w:rsidRDefault="006B3F46" w:rsidP="002E4B39">
            <w:pPr>
              <w:widowControl w:val="0"/>
              <w:autoSpaceDE w:val="0"/>
              <w:autoSpaceDN w:val="0"/>
              <w:adjustRightInd w:val="0"/>
              <w:spacing w:after="120"/>
              <w:jc w:val="both"/>
              <w:rPr>
                <w:rFonts w:eastAsia="MS Mincho"/>
                <w:sz w:val="22"/>
                <w:szCs w:val="22"/>
                <w:lang w:val="en-US" w:eastAsia="ja-JP"/>
              </w:rPr>
            </w:pPr>
            <w:r w:rsidRPr="0021277B">
              <w:rPr>
                <w:rFonts w:eastAsia="MS Mincho"/>
                <w:sz w:val="22"/>
                <w:szCs w:val="22"/>
                <w:lang w:val="en-US"/>
              </w:rPr>
              <w:t xml:space="preserve">The Canary Islands archipelago belongs to the Northeastern Atlantic Warm Temperate Region, the biogeographic region with the highest seaweed richness on </w:t>
            </w:r>
            <w:r>
              <w:rPr>
                <w:rFonts w:eastAsia="MS Mincho"/>
                <w:sz w:val="22"/>
                <w:szCs w:val="22"/>
                <w:lang w:val="en-US"/>
              </w:rPr>
              <w:t>the eastern</w:t>
            </w:r>
            <w:r w:rsidRPr="0021277B">
              <w:rPr>
                <w:rFonts w:eastAsia="MS Mincho"/>
                <w:sz w:val="22"/>
                <w:szCs w:val="22"/>
                <w:lang w:val="en-US"/>
              </w:rPr>
              <w:t xml:space="preserve"> side of the Atlantic (Hoek, 1984; Lüning, 1990).</w:t>
            </w:r>
          </w:p>
          <w:p w14:paraId="5EFAE7D5" w14:textId="77777777" w:rsidR="006B3F46" w:rsidRPr="0021277B" w:rsidRDefault="006B3F46" w:rsidP="002E4B39">
            <w:pPr>
              <w:spacing w:after="120"/>
              <w:jc w:val="both"/>
              <w:rPr>
                <w:rFonts w:eastAsia="MS Mincho"/>
                <w:sz w:val="22"/>
                <w:szCs w:val="22"/>
                <w:lang w:val="en-US" w:eastAsia="ja-JP"/>
              </w:rPr>
            </w:pPr>
            <w:r w:rsidRPr="0021277B">
              <w:rPr>
                <w:sz w:val="22"/>
                <w:szCs w:val="22"/>
              </w:rPr>
              <w:t xml:space="preserve">Moreover, </w:t>
            </w:r>
            <w:r w:rsidRPr="0021277B">
              <w:rPr>
                <w:rFonts w:eastAsia="MS Mincho"/>
                <w:sz w:val="22"/>
                <w:szCs w:val="22"/>
                <w:lang w:val="en-US"/>
              </w:rPr>
              <w:t xml:space="preserve">the particular conditions of isolation </w:t>
            </w:r>
            <w:r w:rsidRPr="0021277B">
              <w:rPr>
                <w:sz w:val="22"/>
                <w:szCs w:val="22"/>
              </w:rPr>
              <w:t xml:space="preserve">that the area </w:t>
            </w:r>
            <w:r w:rsidRPr="000A1C87">
              <w:rPr>
                <w:sz w:val="22"/>
                <w:szCs w:val="22"/>
              </w:rPr>
              <w:t>suffer</w:t>
            </w:r>
            <w:r>
              <w:rPr>
                <w:sz w:val="22"/>
                <w:szCs w:val="22"/>
              </w:rPr>
              <w:t>s</w:t>
            </w:r>
            <w:r w:rsidRPr="00CA6D77">
              <w:rPr>
                <w:rFonts w:eastAsia="MS Mincho"/>
                <w:sz w:val="22"/>
                <w:szCs w:val="22"/>
                <w:lang w:val="en-US"/>
              </w:rPr>
              <w:t xml:space="preserve"> </w:t>
            </w:r>
            <w:r w:rsidRPr="0021277B">
              <w:rPr>
                <w:rFonts w:eastAsia="MS Mincho"/>
                <w:sz w:val="22"/>
                <w:szCs w:val="22"/>
                <w:lang w:val="en-US"/>
              </w:rPr>
              <w:t xml:space="preserve">and </w:t>
            </w:r>
            <w:r w:rsidRPr="0021277B">
              <w:rPr>
                <w:sz w:val="22"/>
                <w:szCs w:val="22"/>
              </w:rPr>
              <w:t xml:space="preserve">the </w:t>
            </w:r>
            <w:r w:rsidRPr="0021277B">
              <w:rPr>
                <w:rFonts w:eastAsia="MS Mincho"/>
                <w:sz w:val="22"/>
                <w:szCs w:val="22"/>
                <w:lang w:val="en-US"/>
              </w:rPr>
              <w:t xml:space="preserve">high diversity of environments </w:t>
            </w:r>
            <w:r w:rsidRPr="0021277B">
              <w:rPr>
                <w:sz w:val="22"/>
                <w:szCs w:val="22"/>
              </w:rPr>
              <w:t xml:space="preserve">occurring </w:t>
            </w:r>
            <w:r w:rsidRPr="0021277B">
              <w:rPr>
                <w:rFonts w:eastAsia="MS Mincho"/>
                <w:sz w:val="22"/>
                <w:szCs w:val="22"/>
                <w:lang w:val="en-US"/>
              </w:rPr>
              <w:t>favo</w:t>
            </w:r>
            <w:r>
              <w:rPr>
                <w:rFonts w:eastAsia="MS Mincho"/>
                <w:sz w:val="22"/>
                <w:szCs w:val="22"/>
                <w:lang w:val="en-US"/>
              </w:rPr>
              <w:t>u</w:t>
            </w:r>
            <w:r w:rsidRPr="0021277B">
              <w:rPr>
                <w:rFonts w:eastAsia="MS Mincho"/>
                <w:sz w:val="22"/>
                <w:szCs w:val="22"/>
                <w:lang w:val="en-US"/>
              </w:rPr>
              <w:t xml:space="preserve">r the appearance of </w:t>
            </w:r>
            <w:r>
              <w:rPr>
                <w:rFonts w:eastAsia="MS Mincho"/>
                <w:sz w:val="22"/>
                <w:szCs w:val="22"/>
                <w:lang w:val="en-US"/>
              </w:rPr>
              <w:t>many</w:t>
            </w:r>
            <w:r w:rsidRPr="0021277B">
              <w:rPr>
                <w:rFonts w:eastAsia="MS Mincho"/>
                <w:sz w:val="22"/>
                <w:szCs w:val="22"/>
                <w:lang w:val="en-US"/>
              </w:rPr>
              <w:t xml:space="preserve"> endemic species (</w:t>
            </w:r>
            <w:r w:rsidRPr="0021277B">
              <w:rPr>
                <w:rFonts w:eastAsia="MS Mincho"/>
                <w:sz w:val="22"/>
                <w:szCs w:val="22"/>
                <w:lang w:val="en-US" w:eastAsia="ja-JP"/>
              </w:rPr>
              <w:t xml:space="preserve">Almón </w:t>
            </w:r>
            <w:r w:rsidRPr="0006066A">
              <w:rPr>
                <w:rFonts w:eastAsia="MS Mincho"/>
                <w:i/>
                <w:sz w:val="22"/>
                <w:szCs w:val="22"/>
                <w:lang w:val="en-US" w:eastAsia="ja-JP"/>
              </w:rPr>
              <w:t>et al</w:t>
            </w:r>
            <w:r w:rsidRPr="0021277B">
              <w:rPr>
                <w:rFonts w:eastAsia="MS Mincho"/>
                <w:sz w:val="22"/>
                <w:szCs w:val="22"/>
                <w:lang w:val="en-US" w:eastAsia="ja-JP"/>
              </w:rPr>
              <w:t>., 2014b</w:t>
            </w:r>
            <w:r w:rsidRPr="0021277B">
              <w:rPr>
                <w:rFonts w:eastAsia="MS Mincho"/>
                <w:sz w:val="22"/>
                <w:szCs w:val="22"/>
                <w:lang w:val="en-US"/>
              </w:rPr>
              <w:t>).</w:t>
            </w:r>
            <w:r w:rsidRPr="0021277B">
              <w:rPr>
                <w:sz w:val="22"/>
                <w:szCs w:val="22"/>
              </w:rPr>
              <w:t xml:space="preserve"> In addition, </w:t>
            </w:r>
            <w:r w:rsidRPr="0021277B">
              <w:rPr>
                <w:rFonts w:eastAsia="MS Mincho"/>
                <w:sz w:val="22"/>
                <w:szCs w:val="22"/>
                <w:lang w:val="en-US" w:eastAsia="ja-JP"/>
              </w:rPr>
              <w:t>the existence of anchialin</w:t>
            </w:r>
            <w:r>
              <w:rPr>
                <w:rFonts w:eastAsia="MS Mincho"/>
                <w:sz w:val="22"/>
                <w:szCs w:val="22"/>
                <w:lang w:val="en-US" w:eastAsia="ja-JP"/>
              </w:rPr>
              <w:t>e</w:t>
            </w:r>
            <w:r w:rsidRPr="0021277B">
              <w:rPr>
                <w:rFonts w:eastAsia="MS Mincho"/>
                <w:sz w:val="22"/>
                <w:szCs w:val="22"/>
                <w:lang w:val="en-US" w:eastAsia="ja-JP"/>
              </w:rPr>
              <w:t xml:space="preserve"> caves (volcanic tubes flooded by the sea) on islands such as Lanzarote, where there are conditions of isolation and specific environmental variables, propitiates the existence of endemic species such as </w:t>
            </w:r>
            <w:r w:rsidRPr="0021277B">
              <w:rPr>
                <w:rFonts w:eastAsia="MS Mincho"/>
                <w:i/>
                <w:sz w:val="22"/>
                <w:szCs w:val="22"/>
                <w:lang w:val="en-US" w:eastAsia="ja-JP"/>
              </w:rPr>
              <w:t>Munidopsis polymorpha</w:t>
            </w:r>
            <w:r w:rsidRPr="0021277B">
              <w:rPr>
                <w:rFonts w:eastAsia="MS Mincho"/>
                <w:sz w:val="22"/>
                <w:szCs w:val="22"/>
                <w:lang w:val="en-US" w:eastAsia="ja-JP"/>
              </w:rPr>
              <w:t xml:space="preserve"> (Koelbel, 1892), and others under study</w:t>
            </w:r>
            <w:r>
              <w:rPr>
                <w:rFonts w:eastAsia="MS Mincho"/>
                <w:sz w:val="22"/>
                <w:szCs w:val="22"/>
                <w:lang w:val="en-US" w:eastAsia="ja-JP"/>
              </w:rPr>
              <w:t>, such</w:t>
            </w:r>
            <w:r w:rsidRPr="0021277B">
              <w:rPr>
                <w:rFonts w:eastAsia="MS Mincho"/>
                <w:sz w:val="22"/>
                <w:szCs w:val="22"/>
                <w:lang w:val="en-US" w:eastAsia="ja-JP"/>
              </w:rPr>
              <w:t xml:space="preserve"> as several species of polychaetes.</w:t>
            </w:r>
          </w:p>
          <w:p w14:paraId="4A828A99" w14:textId="77777777" w:rsidR="006B3F46" w:rsidRPr="0021277B" w:rsidRDefault="006B3F46" w:rsidP="002E4B39">
            <w:pPr>
              <w:widowControl w:val="0"/>
              <w:autoSpaceDE w:val="0"/>
              <w:autoSpaceDN w:val="0"/>
              <w:adjustRightInd w:val="0"/>
              <w:spacing w:after="120"/>
              <w:jc w:val="both"/>
              <w:rPr>
                <w:rFonts w:eastAsia="MS Mincho"/>
                <w:sz w:val="22"/>
                <w:szCs w:val="22"/>
                <w:lang w:val="en-US"/>
              </w:rPr>
            </w:pPr>
            <w:r w:rsidRPr="0021277B">
              <w:rPr>
                <w:rFonts w:eastAsia="MS Mincho"/>
                <w:sz w:val="22"/>
                <w:szCs w:val="22"/>
                <w:lang w:val="en-US"/>
              </w:rPr>
              <w:t xml:space="preserve">On the other hand, compared to the surrounding deep-sea environment, seamounts may </w:t>
            </w:r>
            <w:r w:rsidRPr="00B77452">
              <w:rPr>
                <w:rFonts w:eastAsia="MS Mincho"/>
                <w:sz w:val="22"/>
                <w:szCs w:val="22"/>
                <w:lang w:val="en-US"/>
              </w:rPr>
              <w:t>also</w:t>
            </w:r>
            <w:r w:rsidRPr="00810D0F">
              <w:rPr>
                <w:rFonts w:eastAsia="MS Mincho"/>
                <w:sz w:val="22"/>
                <w:szCs w:val="22"/>
                <w:lang w:val="en-US"/>
              </w:rPr>
              <w:t xml:space="preserve"> </w:t>
            </w:r>
            <w:r w:rsidRPr="0021277B">
              <w:rPr>
                <w:rFonts w:eastAsia="MS Mincho"/>
                <w:sz w:val="22"/>
                <w:szCs w:val="22"/>
                <w:lang w:val="en-US"/>
              </w:rPr>
              <w:t xml:space="preserve">form biological hotspots with a distinct, abundant and diverse fauna, and sometimes contain many species new to science. </w:t>
            </w:r>
          </w:p>
          <w:p w14:paraId="1E42D7AF" w14:textId="77777777" w:rsidR="006B3F46" w:rsidRPr="0021277B" w:rsidRDefault="006B3F46" w:rsidP="002E4B39">
            <w:pPr>
              <w:widowControl w:val="0"/>
              <w:autoSpaceDE w:val="0"/>
              <w:autoSpaceDN w:val="0"/>
              <w:adjustRightInd w:val="0"/>
              <w:spacing w:after="120"/>
              <w:jc w:val="both"/>
            </w:pPr>
            <w:r w:rsidRPr="0021277B">
              <w:rPr>
                <w:rFonts w:eastAsia="MS Mincho"/>
                <w:sz w:val="22"/>
                <w:szCs w:val="22"/>
                <w:lang w:val="en-US" w:eastAsia="ja-JP"/>
              </w:rPr>
              <w:t>One</w:t>
            </w:r>
            <w:r>
              <w:rPr>
                <w:rFonts w:eastAsia="MS Mincho"/>
                <w:sz w:val="22"/>
                <w:szCs w:val="22"/>
                <w:lang w:val="en-US" w:eastAsia="ja-JP"/>
              </w:rPr>
              <w:t xml:space="preserve"> of</w:t>
            </w:r>
            <w:r w:rsidRPr="0021277B">
              <w:rPr>
                <w:rFonts w:eastAsia="MS Mincho"/>
                <w:sz w:val="22"/>
                <w:szCs w:val="22"/>
                <w:lang w:val="en-US" w:eastAsia="ja-JP"/>
              </w:rPr>
              <w:t xml:space="preserve"> the few resident populations of short-finned pilot whales (</w:t>
            </w:r>
            <w:r w:rsidRPr="0021277B">
              <w:rPr>
                <w:rFonts w:eastAsia="MS Mincho"/>
                <w:i/>
                <w:sz w:val="22"/>
                <w:szCs w:val="22"/>
                <w:lang w:val="en-US" w:eastAsia="ja-JP"/>
              </w:rPr>
              <w:t>Globicephala macrorhynchus</w:t>
            </w:r>
            <w:r w:rsidRPr="0021277B">
              <w:rPr>
                <w:rFonts w:eastAsia="MS Mincho"/>
                <w:sz w:val="22"/>
                <w:szCs w:val="22"/>
                <w:lang w:val="en-US" w:eastAsia="ja-JP"/>
              </w:rPr>
              <w:t xml:space="preserve">) of the world can be found in </w:t>
            </w:r>
            <w:r>
              <w:rPr>
                <w:rFonts w:eastAsia="MS Mincho"/>
                <w:sz w:val="22"/>
                <w:szCs w:val="22"/>
                <w:lang w:val="en-US" w:eastAsia="ja-JP"/>
              </w:rPr>
              <w:t xml:space="preserve">the </w:t>
            </w:r>
            <w:r w:rsidRPr="0021277B">
              <w:rPr>
                <w:rFonts w:eastAsia="MS Mincho"/>
                <w:sz w:val="22"/>
                <w:szCs w:val="22"/>
                <w:lang w:val="en-US" w:eastAsia="ja-JP"/>
              </w:rPr>
              <w:t>water</w:t>
            </w:r>
            <w:r>
              <w:rPr>
                <w:rFonts w:eastAsia="MS Mincho"/>
                <w:sz w:val="22"/>
                <w:szCs w:val="22"/>
                <w:lang w:val="en-US" w:eastAsia="ja-JP"/>
              </w:rPr>
              <w:t>s</w:t>
            </w:r>
            <w:r w:rsidRPr="0021277B">
              <w:rPr>
                <w:rFonts w:eastAsia="MS Mincho"/>
                <w:sz w:val="22"/>
                <w:szCs w:val="22"/>
                <w:lang w:val="en-US" w:eastAsia="ja-JP"/>
              </w:rPr>
              <w:t xml:space="preserve"> around the islands, with a population estimate of 391 (325-470) off Tenerife (Marrero </w:t>
            </w:r>
            <w:r w:rsidRPr="0006066A">
              <w:rPr>
                <w:rFonts w:eastAsia="MS Mincho"/>
                <w:i/>
                <w:sz w:val="22"/>
                <w:szCs w:val="22"/>
                <w:lang w:val="en-US" w:eastAsia="ja-JP"/>
              </w:rPr>
              <w:t>et al</w:t>
            </w:r>
            <w:r w:rsidRPr="0021277B">
              <w:rPr>
                <w:rFonts w:eastAsia="MS Mincho"/>
                <w:sz w:val="22"/>
                <w:szCs w:val="22"/>
                <w:lang w:val="en-US" w:eastAsia="ja-JP"/>
              </w:rPr>
              <w:t>. 2016).</w:t>
            </w:r>
          </w:p>
        </w:tc>
      </w:tr>
      <w:tr w:rsidR="006B3F46" w:rsidRPr="0021277B" w14:paraId="509FE016" w14:textId="77777777" w:rsidTr="002E4B39">
        <w:tc>
          <w:tcPr>
            <w:tcW w:w="832" w:type="pct"/>
            <w:shd w:val="clear" w:color="auto" w:fill="auto"/>
          </w:tcPr>
          <w:p w14:paraId="4493A104"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Special importance for life-history stages of species</w:t>
            </w:r>
          </w:p>
        </w:tc>
        <w:tc>
          <w:tcPr>
            <w:tcW w:w="2232" w:type="pct"/>
            <w:shd w:val="clear" w:color="auto" w:fill="auto"/>
          </w:tcPr>
          <w:p w14:paraId="6E94DE75"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Areas that are required for a population to survive and thrive.</w:t>
            </w:r>
          </w:p>
        </w:tc>
        <w:tc>
          <w:tcPr>
            <w:tcW w:w="684" w:type="pct"/>
            <w:gridSpan w:val="3"/>
            <w:shd w:val="clear" w:color="auto" w:fill="auto"/>
          </w:tcPr>
          <w:p w14:paraId="60271DB2" w14:textId="77777777" w:rsidR="006B3F46" w:rsidRPr="0021277B" w:rsidRDefault="006B3F46" w:rsidP="00907941">
            <w:pPr>
              <w:widowControl w:val="0"/>
              <w:autoSpaceDE w:val="0"/>
              <w:autoSpaceDN w:val="0"/>
              <w:adjustRightInd w:val="0"/>
              <w:rPr>
                <w:rFonts w:eastAsia="MS Mincho"/>
                <w:bCs/>
                <w:sz w:val="22"/>
                <w:szCs w:val="22"/>
                <w:lang w:val="en-US"/>
              </w:rPr>
            </w:pPr>
          </w:p>
          <w:p w14:paraId="57AB24C8" w14:textId="77777777" w:rsidR="006B3F46" w:rsidRPr="0021277B" w:rsidRDefault="006B3F46" w:rsidP="00907941">
            <w:pPr>
              <w:widowControl w:val="0"/>
              <w:autoSpaceDE w:val="0"/>
              <w:autoSpaceDN w:val="0"/>
              <w:adjustRightInd w:val="0"/>
              <w:rPr>
                <w:rFonts w:eastAsia="MS Mincho"/>
                <w:bCs/>
                <w:sz w:val="22"/>
                <w:szCs w:val="22"/>
                <w:lang w:val="en-US"/>
              </w:rPr>
            </w:pPr>
          </w:p>
          <w:p w14:paraId="5BAEF4CE" w14:textId="77777777" w:rsidR="006B3F46" w:rsidRPr="0021277B" w:rsidRDefault="006B3F46" w:rsidP="00907941">
            <w:pPr>
              <w:widowControl w:val="0"/>
              <w:autoSpaceDE w:val="0"/>
              <w:autoSpaceDN w:val="0"/>
              <w:adjustRightInd w:val="0"/>
              <w:rPr>
                <w:rFonts w:eastAsia="MS Mincho"/>
                <w:bCs/>
                <w:sz w:val="22"/>
                <w:szCs w:val="22"/>
                <w:lang w:val="en-US"/>
              </w:rPr>
            </w:pPr>
          </w:p>
        </w:tc>
        <w:tc>
          <w:tcPr>
            <w:tcW w:w="410" w:type="pct"/>
            <w:gridSpan w:val="2"/>
            <w:shd w:val="clear" w:color="auto" w:fill="auto"/>
          </w:tcPr>
          <w:p w14:paraId="61F26F1B"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2C9D4AB5"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2947CAD0"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423C44DC"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1D2A87B6"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03A51827"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6F9C4B22"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2" w:type="pct"/>
            <w:gridSpan w:val="2"/>
            <w:shd w:val="clear" w:color="auto" w:fill="auto"/>
          </w:tcPr>
          <w:p w14:paraId="59FB55AE"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1A12D7A5"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5FE789D7"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76AEE50B" w14:textId="77777777" w:rsidTr="00907941">
        <w:tc>
          <w:tcPr>
            <w:tcW w:w="5000" w:type="pct"/>
            <w:gridSpan w:val="11"/>
            <w:shd w:val="clear" w:color="auto" w:fill="auto"/>
          </w:tcPr>
          <w:p w14:paraId="206483CF"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4B21718B"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 xml:space="preserve">Around 30 species of cetaceans have been documented in the Canary Islands, making it one of the world’s marine mammal hotspots. The Canary Islands archipelago shows the highest diversity of cetaceans in Macaronesia and harbours both migratory and five resident species. Due to the geographical </w:t>
            </w:r>
            <w:r>
              <w:rPr>
                <w:rFonts w:eastAsia="MS Mincho"/>
                <w:sz w:val="22"/>
                <w:szCs w:val="22"/>
                <w:lang w:val="en-US"/>
              </w:rPr>
              <w:t>location</w:t>
            </w:r>
            <w:r w:rsidRPr="0021277B">
              <w:rPr>
                <w:rFonts w:eastAsia="MS Mincho"/>
                <w:sz w:val="22"/>
                <w:szCs w:val="22"/>
                <w:lang w:val="en-US"/>
              </w:rPr>
              <w:t xml:space="preserve"> of the islands, </w:t>
            </w:r>
            <w:r>
              <w:rPr>
                <w:rFonts w:eastAsia="MS Mincho"/>
                <w:sz w:val="22"/>
                <w:szCs w:val="22"/>
                <w:lang w:val="en-US"/>
              </w:rPr>
              <w:t>they</w:t>
            </w:r>
            <w:r w:rsidRPr="0021277B">
              <w:rPr>
                <w:rFonts w:eastAsia="MS Mincho"/>
                <w:sz w:val="22"/>
                <w:szCs w:val="22"/>
                <w:lang w:val="en-US"/>
              </w:rPr>
              <w:t xml:space="preserve"> also harbour</w:t>
            </w:r>
            <w:r>
              <w:rPr>
                <w:rFonts w:eastAsia="MS Mincho"/>
                <w:sz w:val="22"/>
                <w:szCs w:val="22"/>
                <w:lang w:val="en-US"/>
              </w:rPr>
              <w:t xml:space="preserve"> </w:t>
            </w:r>
            <w:r w:rsidRPr="0021277B">
              <w:rPr>
                <w:rFonts w:eastAsia="MS Mincho"/>
                <w:sz w:val="22"/>
                <w:szCs w:val="22"/>
                <w:lang w:val="en-US"/>
              </w:rPr>
              <w:t xml:space="preserve">many tropical marine mammal species as </w:t>
            </w:r>
            <w:r>
              <w:rPr>
                <w:rFonts w:eastAsia="MS Mincho"/>
                <w:sz w:val="22"/>
                <w:szCs w:val="22"/>
                <w:lang w:val="en-US"/>
              </w:rPr>
              <w:t>well as marine mammals</w:t>
            </w:r>
            <w:r w:rsidRPr="0021277B">
              <w:rPr>
                <w:rFonts w:eastAsia="MS Mincho"/>
                <w:sz w:val="22"/>
                <w:szCs w:val="22"/>
                <w:lang w:val="en-US"/>
              </w:rPr>
              <w:t xml:space="preserve"> from colder latitudes. Moreover, due to the steep slopes and canyons surrounding the islands, deep</w:t>
            </w:r>
            <w:r>
              <w:rPr>
                <w:rFonts w:eastAsia="MS Mincho"/>
                <w:sz w:val="22"/>
                <w:szCs w:val="22"/>
                <w:lang w:val="en-US"/>
              </w:rPr>
              <w:t>-</w:t>
            </w:r>
            <w:r w:rsidRPr="0021277B">
              <w:rPr>
                <w:rFonts w:eastAsia="MS Mincho"/>
                <w:sz w:val="22"/>
                <w:szCs w:val="22"/>
                <w:lang w:val="en-US"/>
              </w:rPr>
              <w:t>diving species are well represented, including two resident species of beaked whales: Blainville´s beaked whale  (</w:t>
            </w:r>
            <w:r w:rsidRPr="0021277B">
              <w:rPr>
                <w:rFonts w:eastAsia="MS Mincho"/>
                <w:i/>
                <w:sz w:val="22"/>
                <w:szCs w:val="22"/>
                <w:lang w:val="en-US"/>
              </w:rPr>
              <w:t>Mesoplodon densirostris</w:t>
            </w:r>
            <w:r w:rsidRPr="0021277B">
              <w:rPr>
                <w:rFonts w:eastAsia="MS Mincho"/>
                <w:sz w:val="22"/>
                <w:szCs w:val="22"/>
                <w:lang w:val="en-US"/>
              </w:rPr>
              <w:t>) and Cuvier´s beaked whale (</w:t>
            </w:r>
            <w:r w:rsidRPr="0021277B">
              <w:rPr>
                <w:rFonts w:eastAsia="MS Mincho"/>
                <w:i/>
                <w:sz w:val="22"/>
                <w:szCs w:val="22"/>
                <w:lang w:val="en-US"/>
              </w:rPr>
              <w:t>Ziphius cavirostris</w:t>
            </w:r>
            <w:r w:rsidRPr="0021277B">
              <w:rPr>
                <w:rFonts w:eastAsia="MS Mincho"/>
                <w:sz w:val="22"/>
                <w:szCs w:val="22"/>
                <w:lang w:val="en-US"/>
              </w:rPr>
              <w:t>) with an estimate of 103 (87-130) and 87 (78-106) off El Hierro island</w:t>
            </w:r>
            <w:r>
              <w:rPr>
                <w:rFonts w:eastAsia="MS Mincho"/>
                <w:sz w:val="22"/>
                <w:szCs w:val="22"/>
                <w:lang w:val="en-US"/>
              </w:rPr>
              <w:t>,</w:t>
            </w:r>
            <w:r w:rsidRPr="0021277B">
              <w:rPr>
                <w:rFonts w:eastAsia="MS Mincho"/>
                <w:sz w:val="22"/>
                <w:szCs w:val="22"/>
                <w:lang w:val="en-US"/>
              </w:rPr>
              <w:t xml:space="preserve"> respectively (Aparicio, 2008; Arranz, 2011; Reyes, 2017).</w:t>
            </w:r>
          </w:p>
          <w:p w14:paraId="7234CB48" w14:textId="77777777" w:rsidR="006B3F46" w:rsidRPr="0021277B" w:rsidRDefault="006B3F46" w:rsidP="002E4B39">
            <w:pPr>
              <w:suppressLineNumbers/>
              <w:spacing w:after="120"/>
              <w:jc w:val="both"/>
              <w:rPr>
                <w:rFonts w:eastAsia="MS Mincho"/>
                <w:sz w:val="22"/>
                <w:szCs w:val="22"/>
                <w:lang w:val="en-US"/>
              </w:rPr>
            </w:pPr>
            <w:r>
              <w:rPr>
                <w:rFonts w:eastAsia="MS Mincho"/>
                <w:sz w:val="22"/>
                <w:szCs w:val="22"/>
              </w:rPr>
              <w:t xml:space="preserve">With regard </w:t>
            </w:r>
            <w:r w:rsidRPr="002E4B39">
              <w:rPr>
                <w:rFonts w:eastAsia="MS Mincho"/>
                <w:sz w:val="22"/>
                <w:szCs w:val="22"/>
                <w:lang w:val="en-US"/>
              </w:rPr>
              <w:t>to</w:t>
            </w:r>
            <w:r w:rsidRPr="0021277B">
              <w:rPr>
                <w:rFonts w:eastAsia="MS Mincho"/>
                <w:sz w:val="22"/>
                <w:szCs w:val="22"/>
              </w:rPr>
              <w:t xml:space="preserve"> other migrant species, tuna species (</w:t>
            </w:r>
            <w:r w:rsidRPr="0021277B">
              <w:rPr>
                <w:rFonts w:eastAsia="MS Mincho"/>
                <w:i/>
                <w:iCs/>
                <w:sz w:val="22"/>
                <w:szCs w:val="22"/>
              </w:rPr>
              <w:t>Thunnus obesus</w:t>
            </w:r>
            <w:r w:rsidRPr="0021277B">
              <w:rPr>
                <w:rFonts w:eastAsia="MS Mincho"/>
                <w:sz w:val="22"/>
                <w:szCs w:val="22"/>
              </w:rPr>
              <w:t xml:space="preserve">, </w:t>
            </w:r>
            <w:r w:rsidRPr="0021277B">
              <w:rPr>
                <w:rFonts w:eastAsia="MS Mincho"/>
                <w:i/>
                <w:sz w:val="22"/>
                <w:szCs w:val="22"/>
              </w:rPr>
              <w:t>T. alalunga</w:t>
            </w:r>
            <w:r w:rsidRPr="0021277B">
              <w:rPr>
                <w:rFonts w:eastAsia="MS Mincho"/>
                <w:sz w:val="22"/>
                <w:szCs w:val="22"/>
              </w:rPr>
              <w:t xml:space="preserve"> and </w:t>
            </w:r>
            <w:r w:rsidRPr="0021277B">
              <w:rPr>
                <w:rFonts w:eastAsia="MS Mincho"/>
                <w:i/>
                <w:sz w:val="22"/>
                <w:szCs w:val="22"/>
              </w:rPr>
              <w:t>T. thynnus</w:t>
            </w:r>
            <w:r w:rsidRPr="0021277B">
              <w:rPr>
                <w:rFonts w:eastAsia="MS Mincho"/>
                <w:iCs/>
                <w:sz w:val="22"/>
                <w:szCs w:val="22"/>
              </w:rPr>
              <w:t xml:space="preserve">) represent an important economic resource with </w:t>
            </w:r>
            <w:r>
              <w:rPr>
                <w:rFonts w:eastAsia="MS Mincho"/>
                <w:iCs/>
                <w:sz w:val="22"/>
                <w:szCs w:val="22"/>
              </w:rPr>
              <w:t>a frequent</w:t>
            </w:r>
            <w:r w:rsidRPr="0021277B">
              <w:rPr>
                <w:rFonts w:eastAsia="MS Mincho"/>
                <w:iCs/>
                <w:sz w:val="22"/>
                <w:szCs w:val="22"/>
              </w:rPr>
              <w:t xml:space="preserve"> presence in the catches of local </w:t>
            </w:r>
            <w:r w:rsidRPr="0021277B">
              <w:rPr>
                <w:sz w:val="22"/>
                <w:szCs w:val="22"/>
              </w:rPr>
              <w:t>artisanal</w:t>
            </w:r>
            <w:r w:rsidRPr="0021277B">
              <w:rPr>
                <w:rFonts w:eastAsia="MS Mincho"/>
                <w:iCs/>
                <w:sz w:val="22"/>
                <w:szCs w:val="22"/>
              </w:rPr>
              <w:t xml:space="preserve"> fisheries (Delgado de Molina, 2011).</w:t>
            </w:r>
            <w:r>
              <w:rPr>
                <w:rFonts w:eastAsia="MS Mincho"/>
                <w:sz w:val="22"/>
                <w:szCs w:val="22"/>
                <w:lang w:val="en-US"/>
              </w:rPr>
              <w:t>In a</w:t>
            </w:r>
            <w:r w:rsidRPr="0021277B">
              <w:rPr>
                <w:rFonts w:eastAsia="MS Mincho"/>
                <w:sz w:val="22"/>
                <w:szCs w:val="22"/>
                <w:lang w:val="en-US"/>
              </w:rPr>
              <w:t xml:space="preserve">ddition, habitat-forming species that characterize benthic habitats and offer substrate and refuge to other species spend their entire life cycle within the area. </w:t>
            </w:r>
          </w:p>
          <w:p w14:paraId="15B138BA" w14:textId="77777777" w:rsidR="006B3F46" w:rsidRPr="0021277B" w:rsidRDefault="006B3F46" w:rsidP="002E4B39">
            <w:pPr>
              <w:suppressLineNumbers/>
              <w:spacing w:after="120"/>
              <w:jc w:val="both"/>
              <w:rPr>
                <w:rFonts w:eastAsia="MS Mincho"/>
                <w:sz w:val="22"/>
                <w:szCs w:val="22"/>
              </w:rPr>
            </w:pPr>
            <w:r w:rsidRPr="0021277B">
              <w:rPr>
                <w:rFonts w:eastAsia="MS Mincho"/>
                <w:sz w:val="22"/>
                <w:szCs w:val="22"/>
              </w:rPr>
              <w:t xml:space="preserve">Regarding </w:t>
            </w:r>
            <w:r w:rsidRPr="002E4B39">
              <w:rPr>
                <w:rFonts w:eastAsia="MS Mincho"/>
                <w:sz w:val="22"/>
                <w:szCs w:val="22"/>
                <w:lang w:val="en-US"/>
              </w:rPr>
              <w:t>commercial</w:t>
            </w:r>
            <w:r w:rsidRPr="0021277B">
              <w:rPr>
                <w:rFonts w:eastAsia="MS Mincho"/>
                <w:sz w:val="22"/>
                <w:szCs w:val="22"/>
              </w:rPr>
              <w:t xml:space="preserve"> species, some spawn in waters around the Canary Islands, such as small pelagic species like mackerel </w:t>
            </w:r>
            <w:r>
              <w:rPr>
                <w:rFonts w:eastAsia="MS Mincho"/>
                <w:sz w:val="22"/>
                <w:szCs w:val="22"/>
              </w:rPr>
              <w:t>(</w:t>
            </w:r>
            <w:r w:rsidRPr="0021277B">
              <w:rPr>
                <w:rFonts w:eastAsia="MS Mincho"/>
                <w:i/>
                <w:sz w:val="22"/>
                <w:szCs w:val="22"/>
              </w:rPr>
              <w:t xml:space="preserve">Trachurus picturatus </w:t>
            </w:r>
            <w:r w:rsidRPr="0021277B">
              <w:rPr>
                <w:rFonts w:eastAsia="MS Mincho"/>
                <w:iCs/>
                <w:sz w:val="22"/>
                <w:szCs w:val="22"/>
              </w:rPr>
              <w:t xml:space="preserve">and </w:t>
            </w:r>
            <w:r w:rsidRPr="0021277B">
              <w:rPr>
                <w:rFonts w:eastAsia="MS Mincho"/>
                <w:i/>
                <w:sz w:val="22"/>
                <w:szCs w:val="22"/>
              </w:rPr>
              <w:t>Scomber colias</w:t>
            </w:r>
            <w:r>
              <w:rPr>
                <w:rFonts w:eastAsia="MS Mincho"/>
                <w:i/>
                <w:sz w:val="22"/>
                <w:szCs w:val="22"/>
              </w:rPr>
              <w:t>)</w:t>
            </w:r>
            <w:r w:rsidRPr="0021277B">
              <w:rPr>
                <w:rFonts w:eastAsia="MS Mincho"/>
                <w:i/>
                <w:sz w:val="22"/>
                <w:szCs w:val="22"/>
              </w:rPr>
              <w:t xml:space="preserve">, </w:t>
            </w:r>
            <w:r w:rsidRPr="0021277B">
              <w:rPr>
                <w:rFonts w:eastAsia="MS Mincho"/>
                <w:iCs/>
                <w:sz w:val="22"/>
                <w:szCs w:val="22"/>
              </w:rPr>
              <w:t xml:space="preserve">whose breeding season is between November and March </w:t>
            </w:r>
            <w:r w:rsidRPr="0021277B">
              <w:rPr>
                <w:rFonts w:eastAsia="MS Mincho"/>
                <w:sz w:val="22"/>
                <w:szCs w:val="22"/>
              </w:rPr>
              <w:t>(Lorenzo &amp; Pajuelo, 1996).</w:t>
            </w:r>
          </w:p>
          <w:p w14:paraId="4CB5D4BB" w14:textId="516C8B4B" w:rsidR="006B3F46" w:rsidRPr="0021277B" w:rsidRDefault="006B3F46" w:rsidP="002E4B39">
            <w:pPr>
              <w:suppressLineNumbers/>
              <w:spacing w:after="120"/>
              <w:jc w:val="both"/>
              <w:rPr>
                <w:rFonts w:eastAsia="MS Mincho"/>
                <w:b/>
                <w:bCs/>
                <w:sz w:val="22"/>
                <w:szCs w:val="22"/>
                <w:lang w:val="en-US"/>
              </w:rPr>
            </w:pPr>
            <w:r w:rsidRPr="0021277B">
              <w:rPr>
                <w:rFonts w:eastAsia="MS Mincho"/>
                <w:bCs/>
                <w:color w:val="000000"/>
                <w:sz w:val="22"/>
                <w:szCs w:val="22"/>
                <w:lang w:val="en-US"/>
              </w:rPr>
              <w:t xml:space="preserve">The area is a </w:t>
            </w:r>
            <w:r w:rsidRPr="002E4B39">
              <w:rPr>
                <w:rFonts w:eastAsia="MS Mincho"/>
                <w:sz w:val="22"/>
                <w:szCs w:val="22"/>
                <w:lang w:val="en-US"/>
              </w:rPr>
              <w:t>regionally</w:t>
            </w:r>
            <w:r w:rsidRPr="0021277B">
              <w:rPr>
                <w:rFonts w:eastAsia="MS Mincho"/>
                <w:bCs/>
                <w:color w:val="000000"/>
                <w:sz w:val="22"/>
                <w:szCs w:val="22"/>
                <w:lang w:val="en-US"/>
              </w:rPr>
              <w:t xml:space="preserve"> and globally important for the breeding populations of several species of seabirds, including the Cory's </w:t>
            </w:r>
            <w:r>
              <w:rPr>
                <w:rFonts w:eastAsia="MS Mincho"/>
                <w:bCs/>
                <w:color w:val="000000"/>
                <w:sz w:val="22"/>
                <w:szCs w:val="22"/>
                <w:lang w:val="en-US"/>
              </w:rPr>
              <w:t>s</w:t>
            </w:r>
            <w:r w:rsidRPr="0021277B">
              <w:rPr>
                <w:rFonts w:eastAsia="MS Mincho"/>
                <w:bCs/>
                <w:color w:val="000000"/>
                <w:sz w:val="22"/>
                <w:szCs w:val="22"/>
                <w:lang w:val="en-US"/>
              </w:rPr>
              <w:t xml:space="preserve">hearwater </w:t>
            </w:r>
            <w:r>
              <w:rPr>
                <w:rFonts w:eastAsia="MS Mincho"/>
                <w:bCs/>
                <w:color w:val="000000"/>
                <w:sz w:val="22"/>
                <w:szCs w:val="22"/>
                <w:lang w:val="en-US"/>
              </w:rPr>
              <w:t>(</w:t>
            </w:r>
            <w:r w:rsidRPr="0021277B">
              <w:rPr>
                <w:rFonts w:eastAsia="MS Mincho"/>
                <w:bCs/>
                <w:i/>
                <w:color w:val="000000"/>
                <w:sz w:val="22"/>
                <w:szCs w:val="22"/>
                <w:lang w:val="en-US"/>
              </w:rPr>
              <w:t>Calonectris diomedea</w:t>
            </w:r>
            <w:r>
              <w:rPr>
                <w:rFonts w:eastAsia="MS Mincho"/>
                <w:bCs/>
                <w:i/>
                <w:color w:val="000000"/>
                <w:sz w:val="22"/>
                <w:szCs w:val="22"/>
                <w:lang w:val="en-US"/>
              </w:rPr>
              <w:t>)</w:t>
            </w:r>
            <w:r w:rsidRPr="0021277B">
              <w:rPr>
                <w:rFonts w:eastAsia="MS Mincho"/>
                <w:bCs/>
                <w:color w:val="000000"/>
                <w:sz w:val="22"/>
                <w:szCs w:val="22"/>
                <w:lang w:val="en-US"/>
              </w:rPr>
              <w:t xml:space="preserve">, </w:t>
            </w:r>
            <w:r>
              <w:rPr>
                <w:rFonts w:eastAsia="MS Mincho"/>
                <w:bCs/>
                <w:color w:val="000000"/>
                <w:sz w:val="22"/>
                <w:szCs w:val="22"/>
                <w:lang w:val="en-US"/>
              </w:rPr>
              <w:t>b</w:t>
            </w:r>
            <w:r w:rsidRPr="0021277B">
              <w:rPr>
                <w:rFonts w:eastAsia="MS Mincho"/>
                <w:bCs/>
                <w:color w:val="000000"/>
                <w:sz w:val="22"/>
                <w:szCs w:val="22"/>
                <w:lang w:val="en-US"/>
              </w:rPr>
              <w:t xml:space="preserve">and-rumped </w:t>
            </w:r>
            <w:r>
              <w:rPr>
                <w:rFonts w:eastAsia="MS Mincho"/>
                <w:bCs/>
                <w:color w:val="000000"/>
                <w:sz w:val="22"/>
                <w:szCs w:val="22"/>
                <w:lang w:val="en-US"/>
              </w:rPr>
              <w:t>s</w:t>
            </w:r>
            <w:r w:rsidRPr="0021277B">
              <w:rPr>
                <w:rFonts w:eastAsia="MS Mincho"/>
                <w:bCs/>
                <w:color w:val="000000"/>
                <w:sz w:val="22"/>
                <w:szCs w:val="22"/>
                <w:lang w:val="en-US"/>
              </w:rPr>
              <w:t xml:space="preserve">torm-petrel </w:t>
            </w:r>
            <w:r>
              <w:rPr>
                <w:rFonts w:eastAsia="MS Mincho"/>
                <w:bCs/>
                <w:color w:val="000000"/>
                <w:sz w:val="22"/>
                <w:szCs w:val="22"/>
                <w:lang w:val="en-US"/>
              </w:rPr>
              <w:t>(</w:t>
            </w:r>
            <w:r w:rsidRPr="0021277B">
              <w:rPr>
                <w:rFonts w:eastAsia="MS Mincho"/>
                <w:bCs/>
                <w:i/>
                <w:color w:val="000000"/>
                <w:sz w:val="22"/>
                <w:szCs w:val="22"/>
                <w:lang w:val="en-US"/>
              </w:rPr>
              <w:t>Hydrobates castro</w:t>
            </w:r>
            <w:r>
              <w:rPr>
                <w:rFonts w:eastAsia="MS Mincho"/>
                <w:bCs/>
                <w:i/>
                <w:color w:val="000000"/>
                <w:sz w:val="22"/>
                <w:szCs w:val="22"/>
                <w:lang w:val="en-US"/>
              </w:rPr>
              <w:t>)</w:t>
            </w:r>
            <w:r w:rsidRPr="0021277B">
              <w:rPr>
                <w:rFonts w:eastAsia="MS Mincho"/>
                <w:bCs/>
                <w:color w:val="000000"/>
                <w:sz w:val="22"/>
                <w:szCs w:val="22"/>
                <w:lang w:val="en-US"/>
              </w:rPr>
              <w:t xml:space="preserve">, </w:t>
            </w:r>
            <w:r>
              <w:rPr>
                <w:rFonts w:eastAsia="MS Mincho"/>
                <w:bCs/>
                <w:color w:val="000000"/>
                <w:sz w:val="22"/>
                <w:szCs w:val="22"/>
                <w:lang w:val="en-US"/>
              </w:rPr>
              <w:t>w</w:t>
            </w:r>
            <w:r w:rsidRPr="0021277B">
              <w:rPr>
                <w:rFonts w:eastAsia="MS Mincho"/>
                <w:bCs/>
                <w:color w:val="000000"/>
                <w:sz w:val="22"/>
                <w:szCs w:val="22"/>
                <w:lang w:val="en-US"/>
              </w:rPr>
              <w:t xml:space="preserve">hite-faced </w:t>
            </w:r>
            <w:r>
              <w:rPr>
                <w:rFonts w:eastAsia="MS Mincho"/>
                <w:bCs/>
                <w:color w:val="000000"/>
                <w:sz w:val="22"/>
                <w:szCs w:val="22"/>
                <w:lang w:val="en-US"/>
              </w:rPr>
              <w:t>s</w:t>
            </w:r>
            <w:r w:rsidRPr="0021277B">
              <w:rPr>
                <w:rFonts w:eastAsia="MS Mincho"/>
                <w:bCs/>
                <w:color w:val="000000"/>
                <w:sz w:val="22"/>
                <w:szCs w:val="22"/>
                <w:lang w:val="en-US"/>
              </w:rPr>
              <w:t xml:space="preserve">torm-petrel </w:t>
            </w:r>
            <w:r>
              <w:rPr>
                <w:rFonts w:eastAsia="MS Mincho"/>
                <w:bCs/>
                <w:color w:val="000000"/>
                <w:sz w:val="22"/>
                <w:szCs w:val="22"/>
                <w:lang w:val="en-US"/>
              </w:rPr>
              <w:t>(</w:t>
            </w:r>
            <w:r w:rsidRPr="0021277B">
              <w:rPr>
                <w:rFonts w:eastAsia="MS Mincho"/>
                <w:bCs/>
                <w:i/>
                <w:color w:val="000000"/>
                <w:sz w:val="22"/>
                <w:szCs w:val="22"/>
                <w:lang w:val="en-US"/>
              </w:rPr>
              <w:t>Pelagodroma marina</w:t>
            </w:r>
            <w:r>
              <w:rPr>
                <w:rFonts w:eastAsia="MS Mincho"/>
                <w:bCs/>
                <w:i/>
                <w:color w:val="000000"/>
                <w:sz w:val="22"/>
                <w:szCs w:val="22"/>
                <w:lang w:val="en-US"/>
              </w:rPr>
              <w:t>)</w:t>
            </w:r>
            <w:r w:rsidRPr="0021277B">
              <w:rPr>
                <w:rFonts w:eastAsia="MS Mincho"/>
                <w:bCs/>
                <w:color w:val="000000"/>
                <w:sz w:val="22"/>
                <w:szCs w:val="22"/>
                <w:lang w:val="en-US"/>
              </w:rPr>
              <w:t xml:space="preserve">, Audubon’s </w:t>
            </w:r>
            <w:r>
              <w:rPr>
                <w:rFonts w:eastAsia="MS Mincho"/>
                <w:bCs/>
                <w:color w:val="000000"/>
                <w:sz w:val="22"/>
                <w:szCs w:val="22"/>
                <w:lang w:val="en-US"/>
              </w:rPr>
              <w:t>s</w:t>
            </w:r>
            <w:r w:rsidRPr="0021277B">
              <w:rPr>
                <w:rFonts w:eastAsia="MS Mincho"/>
                <w:bCs/>
                <w:color w:val="000000"/>
                <w:sz w:val="22"/>
                <w:szCs w:val="22"/>
                <w:lang w:val="en-US"/>
              </w:rPr>
              <w:t xml:space="preserve">hearwater </w:t>
            </w:r>
            <w:r>
              <w:rPr>
                <w:rFonts w:eastAsia="MS Mincho"/>
                <w:bCs/>
                <w:color w:val="000000"/>
                <w:sz w:val="22"/>
                <w:szCs w:val="22"/>
                <w:lang w:val="en-US"/>
              </w:rPr>
              <w:t>(</w:t>
            </w:r>
            <w:r w:rsidRPr="0021277B">
              <w:rPr>
                <w:rFonts w:eastAsia="MS Mincho"/>
                <w:bCs/>
                <w:i/>
                <w:color w:val="000000"/>
                <w:sz w:val="22"/>
                <w:szCs w:val="22"/>
                <w:lang w:val="en-US"/>
              </w:rPr>
              <w:t>Puffinus lherminieri</w:t>
            </w:r>
            <w:r>
              <w:rPr>
                <w:rFonts w:eastAsia="MS Mincho"/>
                <w:bCs/>
                <w:i/>
                <w:color w:val="000000"/>
                <w:sz w:val="22"/>
                <w:szCs w:val="22"/>
                <w:lang w:val="en-US"/>
              </w:rPr>
              <w:t>)</w:t>
            </w:r>
            <w:r w:rsidRPr="0021277B">
              <w:rPr>
                <w:rFonts w:eastAsia="MS Mincho"/>
                <w:bCs/>
                <w:color w:val="000000"/>
                <w:sz w:val="22"/>
                <w:szCs w:val="22"/>
                <w:lang w:val="en-US"/>
              </w:rPr>
              <w:t xml:space="preserve">, Bulwer's </w:t>
            </w:r>
            <w:r>
              <w:rPr>
                <w:rFonts w:eastAsia="MS Mincho"/>
                <w:bCs/>
                <w:color w:val="000000"/>
                <w:sz w:val="22"/>
                <w:szCs w:val="22"/>
                <w:lang w:val="en-US"/>
              </w:rPr>
              <w:t>p</w:t>
            </w:r>
            <w:r w:rsidRPr="0021277B">
              <w:rPr>
                <w:rFonts w:eastAsia="MS Mincho"/>
                <w:bCs/>
                <w:color w:val="000000"/>
                <w:sz w:val="22"/>
                <w:szCs w:val="22"/>
                <w:lang w:val="en-US"/>
              </w:rPr>
              <w:t xml:space="preserve">etrel </w:t>
            </w:r>
            <w:r>
              <w:rPr>
                <w:rFonts w:eastAsia="MS Mincho"/>
                <w:bCs/>
                <w:color w:val="000000"/>
                <w:sz w:val="22"/>
                <w:szCs w:val="22"/>
                <w:lang w:val="en-US"/>
              </w:rPr>
              <w:t>(</w:t>
            </w:r>
            <w:r w:rsidRPr="0021277B">
              <w:rPr>
                <w:rFonts w:eastAsia="MS Mincho"/>
                <w:bCs/>
                <w:i/>
                <w:color w:val="000000"/>
                <w:sz w:val="22"/>
                <w:szCs w:val="22"/>
                <w:lang w:val="en-US"/>
              </w:rPr>
              <w:t>Bulweria bulwerii</w:t>
            </w:r>
            <w:r>
              <w:rPr>
                <w:rFonts w:eastAsia="MS Mincho"/>
                <w:bCs/>
                <w:i/>
                <w:color w:val="000000"/>
                <w:sz w:val="22"/>
                <w:szCs w:val="22"/>
                <w:lang w:val="en-US"/>
              </w:rPr>
              <w:t>)</w:t>
            </w:r>
            <w:r w:rsidRPr="0021277B">
              <w:rPr>
                <w:rFonts w:eastAsia="MS Mincho"/>
                <w:bCs/>
                <w:color w:val="000000"/>
                <w:sz w:val="22"/>
                <w:szCs w:val="22"/>
                <w:lang w:val="en-US"/>
              </w:rPr>
              <w:t xml:space="preserve">, </w:t>
            </w:r>
            <w:r>
              <w:rPr>
                <w:rFonts w:eastAsia="MS Mincho"/>
                <w:bCs/>
                <w:color w:val="000000"/>
                <w:sz w:val="22"/>
                <w:szCs w:val="22"/>
                <w:lang w:val="en-US"/>
              </w:rPr>
              <w:t>r</w:t>
            </w:r>
            <w:r w:rsidRPr="0021277B">
              <w:rPr>
                <w:rFonts w:eastAsia="MS Mincho"/>
                <w:bCs/>
                <w:color w:val="000000"/>
                <w:sz w:val="22"/>
                <w:szCs w:val="22"/>
                <w:lang w:val="en-US"/>
              </w:rPr>
              <w:t xml:space="preserve">oseate </w:t>
            </w:r>
            <w:r>
              <w:rPr>
                <w:rFonts w:eastAsia="MS Mincho"/>
                <w:bCs/>
                <w:color w:val="000000"/>
                <w:sz w:val="22"/>
                <w:szCs w:val="22"/>
                <w:lang w:val="en-US"/>
              </w:rPr>
              <w:t>t</w:t>
            </w:r>
            <w:r w:rsidRPr="0021277B">
              <w:rPr>
                <w:rFonts w:eastAsia="MS Mincho"/>
                <w:bCs/>
                <w:color w:val="000000"/>
                <w:sz w:val="22"/>
                <w:szCs w:val="22"/>
                <w:lang w:val="en-US"/>
              </w:rPr>
              <w:t xml:space="preserve">ern </w:t>
            </w:r>
            <w:r>
              <w:rPr>
                <w:rFonts w:eastAsia="MS Mincho"/>
                <w:bCs/>
                <w:color w:val="000000"/>
                <w:sz w:val="22"/>
                <w:szCs w:val="22"/>
                <w:lang w:val="en-US"/>
              </w:rPr>
              <w:t>(</w:t>
            </w:r>
            <w:r w:rsidRPr="0021277B">
              <w:rPr>
                <w:rFonts w:eastAsia="MS Mincho"/>
                <w:bCs/>
                <w:i/>
                <w:color w:val="000000"/>
                <w:sz w:val="22"/>
                <w:szCs w:val="22"/>
                <w:lang w:val="en-US"/>
              </w:rPr>
              <w:t>Sterna dougallii</w:t>
            </w:r>
            <w:r>
              <w:rPr>
                <w:rFonts w:eastAsia="MS Mincho"/>
                <w:bCs/>
                <w:i/>
                <w:color w:val="000000"/>
                <w:sz w:val="22"/>
                <w:szCs w:val="22"/>
                <w:lang w:val="en-US"/>
              </w:rPr>
              <w:t>)</w:t>
            </w:r>
            <w:r w:rsidRPr="0021277B">
              <w:rPr>
                <w:rFonts w:eastAsia="MS Mincho"/>
                <w:bCs/>
                <w:color w:val="000000"/>
                <w:sz w:val="22"/>
                <w:szCs w:val="22"/>
                <w:lang w:val="en-US"/>
              </w:rPr>
              <w:t xml:space="preserve"> and </w:t>
            </w:r>
            <w:r>
              <w:rPr>
                <w:rFonts w:eastAsia="MS Mincho"/>
                <w:bCs/>
                <w:color w:val="000000"/>
                <w:sz w:val="22"/>
                <w:szCs w:val="22"/>
                <w:lang w:val="en-US"/>
              </w:rPr>
              <w:t>c</w:t>
            </w:r>
            <w:r w:rsidRPr="0021277B">
              <w:rPr>
                <w:rFonts w:eastAsia="MS Mincho"/>
                <w:bCs/>
                <w:color w:val="000000"/>
                <w:sz w:val="22"/>
                <w:szCs w:val="22"/>
                <w:lang w:val="en-US"/>
              </w:rPr>
              <w:t xml:space="preserve">ommon </w:t>
            </w:r>
            <w:r>
              <w:rPr>
                <w:rFonts w:eastAsia="MS Mincho"/>
                <w:bCs/>
                <w:color w:val="000000"/>
                <w:sz w:val="22"/>
                <w:szCs w:val="22"/>
                <w:lang w:val="en-US"/>
              </w:rPr>
              <w:t>t</w:t>
            </w:r>
            <w:r w:rsidRPr="0021277B">
              <w:rPr>
                <w:rFonts w:eastAsia="MS Mincho"/>
                <w:bCs/>
                <w:color w:val="000000"/>
                <w:sz w:val="22"/>
                <w:szCs w:val="22"/>
                <w:lang w:val="en-US"/>
              </w:rPr>
              <w:t xml:space="preserve">ern </w:t>
            </w:r>
            <w:r>
              <w:rPr>
                <w:rFonts w:eastAsia="MS Mincho"/>
                <w:bCs/>
                <w:color w:val="000000"/>
                <w:sz w:val="22"/>
                <w:szCs w:val="22"/>
                <w:lang w:val="en-US"/>
              </w:rPr>
              <w:t>(</w:t>
            </w:r>
            <w:r w:rsidRPr="0021277B">
              <w:rPr>
                <w:rFonts w:eastAsia="MS Mincho"/>
                <w:bCs/>
                <w:i/>
                <w:color w:val="000000"/>
                <w:sz w:val="22"/>
                <w:szCs w:val="22"/>
                <w:lang w:val="en-US"/>
              </w:rPr>
              <w:t>Sterna hirundo</w:t>
            </w:r>
            <w:r>
              <w:rPr>
                <w:rFonts w:eastAsia="MS Mincho"/>
                <w:bCs/>
                <w:i/>
                <w:color w:val="000000"/>
                <w:sz w:val="22"/>
                <w:szCs w:val="22"/>
                <w:lang w:val="en-US"/>
              </w:rPr>
              <w:t>)</w:t>
            </w:r>
            <w:r w:rsidRPr="0021277B">
              <w:rPr>
                <w:rFonts w:eastAsia="MS Mincho"/>
                <w:bCs/>
                <w:color w:val="000000"/>
                <w:sz w:val="22"/>
                <w:szCs w:val="22"/>
                <w:lang w:val="en-US"/>
              </w:rPr>
              <w:t xml:space="preserve"> (BirdL</w:t>
            </w:r>
            <w:r>
              <w:rPr>
                <w:rFonts w:eastAsia="MS Mincho"/>
                <w:bCs/>
                <w:color w:val="000000"/>
                <w:sz w:val="22"/>
                <w:szCs w:val="22"/>
                <w:lang w:val="en-US"/>
              </w:rPr>
              <w:t>i</w:t>
            </w:r>
            <w:r w:rsidRPr="0021277B">
              <w:rPr>
                <w:rFonts w:eastAsia="MS Mincho"/>
                <w:bCs/>
                <w:color w:val="000000"/>
                <w:sz w:val="22"/>
                <w:szCs w:val="22"/>
                <w:lang w:val="en-US"/>
              </w:rPr>
              <w:t>fe International 2019).</w:t>
            </w:r>
          </w:p>
        </w:tc>
      </w:tr>
      <w:tr w:rsidR="006B3F46" w:rsidRPr="0021277B" w14:paraId="596B5D6F" w14:textId="77777777" w:rsidTr="002E4B39">
        <w:tc>
          <w:tcPr>
            <w:tcW w:w="832" w:type="pct"/>
            <w:shd w:val="clear" w:color="auto" w:fill="auto"/>
          </w:tcPr>
          <w:p w14:paraId="2E95D268"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Importance for threatened, endangered or declining species and/or habitats</w:t>
            </w:r>
          </w:p>
        </w:tc>
        <w:tc>
          <w:tcPr>
            <w:tcW w:w="2232" w:type="pct"/>
            <w:shd w:val="clear" w:color="auto" w:fill="auto"/>
          </w:tcPr>
          <w:p w14:paraId="44B5998D"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05D091CA"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2D75A483"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1534FCED"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2" w:type="pct"/>
            <w:gridSpan w:val="2"/>
            <w:shd w:val="clear" w:color="auto" w:fill="auto"/>
          </w:tcPr>
          <w:p w14:paraId="2CD7C094"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6C03B53F"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654D16AA"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25EBE194" w14:textId="77777777" w:rsidTr="00907941">
        <w:tc>
          <w:tcPr>
            <w:tcW w:w="5000" w:type="pct"/>
            <w:gridSpan w:val="11"/>
            <w:shd w:val="clear" w:color="auto" w:fill="auto"/>
          </w:tcPr>
          <w:p w14:paraId="06EC57D3"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33F1EDBB" w14:textId="77777777" w:rsidR="006B3F46" w:rsidRPr="0021277B" w:rsidRDefault="006B3F46" w:rsidP="002E4B39">
            <w:pPr>
              <w:suppressLineNumbers/>
              <w:spacing w:after="120"/>
              <w:jc w:val="both"/>
              <w:rPr>
                <w:sz w:val="22"/>
                <w:szCs w:val="22"/>
              </w:rPr>
            </w:pPr>
            <w:r w:rsidRPr="0021277B">
              <w:rPr>
                <w:sz w:val="22"/>
                <w:szCs w:val="22"/>
              </w:rPr>
              <w:t>More than 50 species consider</w:t>
            </w:r>
            <w:r>
              <w:rPr>
                <w:sz w:val="22"/>
                <w:szCs w:val="22"/>
              </w:rPr>
              <w:t xml:space="preserve">ed </w:t>
            </w:r>
            <w:r w:rsidRPr="0021277B">
              <w:rPr>
                <w:sz w:val="22"/>
                <w:szCs w:val="22"/>
              </w:rPr>
              <w:t>threatened, endangered or declining</w:t>
            </w:r>
            <w:r>
              <w:rPr>
                <w:sz w:val="22"/>
                <w:szCs w:val="22"/>
              </w:rPr>
              <w:t>,</w:t>
            </w:r>
            <w:r w:rsidRPr="0021277B">
              <w:rPr>
                <w:sz w:val="22"/>
                <w:szCs w:val="22"/>
              </w:rPr>
              <w:t xml:space="preserve"> based on different international regulations and agreements</w:t>
            </w:r>
            <w:r>
              <w:rPr>
                <w:sz w:val="22"/>
                <w:szCs w:val="22"/>
              </w:rPr>
              <w:t>,</w:t>
            </w:r>
            <w:r w:rsidRPr="0021277B">
              <w:rPr>
                <w:sz w:val="22"/>
                <w:szCs w:val="22"/>
              </w:rPr>
              <w:t xml:space="preserve"> are present in the area, mainly marine mammals and sharks, but also including benthic species as well as other fish and reptiles (</w:t>
            </w:r>
            <w:r w:rsidRPr="0021277B">
              <w:rPr>
                <w:sz w:val="22"/>
                <w:szCs w:val="22"/>
                <w:lang w:val="en-US"/>
              </w:rPr>
              <w:t xml:space="preserve">Aguilar </w:t>
            </w:r>
            <w:r w:rsidRPr="0006066A">
              <w:rPr>
                <w:i/>
                <w:sz w:val="22"/>
                <w:szCs w:val="22"/>
                <w:lang w:val="en-US"/>
              </w:rPr>
              <w:t>et al</w:t>
            </w:r>
            <w:r w:rsidRPr="0021277B">
              <w:rPr>
                <w:sz w:val="22"/>
                <w:szCs w:val="22"/>
                <w:lang w:val="en-US"/>
              </w:rPr>
              <w:t xml:space="preserve">., 2009; Almón </w:t>
            </w:r>
            <w:r w:rsidRPr="0006066A">
              <w:rPr>
                <w:i/>
                <w:sz w:val="22"/>
                <w:szCs w:val="22"/>
                <w:lang w:val="en-US"/>
              </w:rPr>
              <w:t>et al</w:t>
            </w:r>
            <w:r w:rsidRPr="0021277B">
              <w:rPr>
                <w:sz w:val="22"/>
                <w:szCs w:val="22"/>
                <w:lang w:val="en-US"/>
              </w:rPr>
              <w:t xml:space="preserve">., 2014a, 2014b; </w:t>
            </w:r>
            <w:r w:rsidRPr="002E4B39">
              <w:rPr>
                <w:rFonts w:eastAsia="MS Mincho"/>
                <w:sz w:val="22"/>
                <w:szCs w:val="22"/>
                <w:lang w:val="en-US"/>
              </w:rPr>
              <w:t>IUCN</w:t>
            </w:r>
            <w:r w:rsidRPr="0021277B">
              <w:rPr>
                <w:sz w:val="22"/>
                <w:szCs w:val="22"/>
                <w:lang w:val="en-US"/>
              </w:rPr>
              <w:t>, 2019; Habitat Directive, 1992, OSPAR 2008)</w:t>
            </w:r>
            <w:r w:rsidRPr="0021277B">
              <w:rPr>
                <w:sz w:val="22"/>
                <w:szCs w:val="22"/>
              </w:rPr>
              <w:t>.</w:t>
            </w:r>
          </w:p>
          <w:p w14:paraId="3DAB67E9"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 xml:space="preserve">Particular consideration should be given to the </w:t>
            </w:r>
            <w:r>
              <w:rPr>
                <w:rFonts w:eastAsia="MS Mincho"/>
                <w:sz w:val="22"/>
                <w:szCs w:val="22"/>
                <w:lang w:val="en-US"/>
              </w:rPr>
              <w:t>a</w:t>
            </w:r>
            <w:r w:rsidRPr="0021277B">
              <w:rPr>
                <w:rFonts w:eastAsia="MS Mincho"/>
                <w:sz w:val="22"/>
                <w:szCs w:val="22"/>
                <w:lang w:val="en-US"/>
              </w:rPr>
              <w:t>ngel shark (</w:t>
            </w:r>
            <w:r w:rsidRPr="0021277B">
              <w:rPr>
                <w:rFonts w:eastAsia="MS Mincho"/>
                <w:i/>
                <w:iCs/>
                <w:sz w:val="22"/>
                <w:szCs w:val="22"/>
                <w:lang w:val="en-US"/>
              </w:rPr>
              <w:t>Squatina squatina</w:t>
            </w:r>
            <w:r w:rsidRPr="0021277B">
              <w:rPr>
                <w:rFonts w:eastAsia="MS Mincho"/>
                <w:sz w:val="22"/>
                <w:szCs w:val="22"/>
                <w:lang w:val="en-US"/>
              </w:rPr>
              <w:t>)</w:t>
            </w:r>
            <w:r>
              <w:rPr>
                <w:rFonts w:eastAsia="MS Mincho"/>
                <w:sz w:val="22"/>
                <w:szCs w:val="22"/>
                <w:lang w:val="en-US"/>
              </w:rPr>
              <w:t>, which</w:t>
            </w:r>
            <w:r w:rsidRPr="0021277B">
              <w:rPr>
                <w:rFonts w:eastAsia="MS Mincho"/>
                <w:sz w:val="22"/>
                <w:szCs w:val="22"/>
                <w:lang w:val="en-US"/>
              </w:rPr>
              <w:t xml:space="preserve"> has been assessed as critically endangered by the International Union for Conservation of Nature (IUCN) (Ferretti </w:t>
            </w:r>
            <w:r w:rsidRPr="0006066A">
              <w:rPr>
                <w:rFonts w:eastAsia="MS Mincho"/>
                <w:i/>
                <w:sz w:val="22"/>
                <w:szCs w:val="22"/>
                <w:lang w:val="en-US"/>
              </w:rPr>
              <w:t>et al</w:t>
            </w:r>
            <w:r w:rsidRPr="0021277B">
              <w:rPr>
                <w:rFonts w:eastAsia="MS Mincho"/>
                <w:sz w:val="22"/>
                <w:szCs w:val="22"/>
                <w:lang w:val="en-US"/>
              </w:rPr>
              <w:t>.,</w:t>
            </w:r>
            <w:r>
              <w:rPr>
                <w:rFonts w:eastAsia="MS Mincho"/>
                <w:sz w:val="22"/>
                <w:szCs w:val="22"/>
                <w:lang w:val="en-US"/>
              </w:rPr>
              <w:t xml:space="preserve"> </w:t>
            </w:r>
            <w:r w:rsidRPr="0021277B">
              <w:rPr>
                <w:rFonts w:eastAsia="MS Mincho"/>
                <w:sz w:val="22"/>
                <w:szCs w:val="22"/>
                <w:lang w:val="en-US"/>
              </w:rPr>
              <w:t>2015) and belongs to the second</w:t>
            </w:r>
            <w:r>
              <w:rPr>
                <w:rFonts w:eastAsia="MS Mincho"/>
                <w:sz w:val="22"/>
                <w:szCs w:val="22"/>
                <w:lang w:val="en-US"/>
              </w:rPr>
              <w:t>-</w:t>
            </w:r>
            <w:r w:rsidRPr="0021277B">
              <w:rPr>
                <w:rFonts w:eastAsia="MS Mincho"/>
                <w:sz w:val="22"/>
                <w:szCs w:val="22"/>
                <w:lang w:val="en-US"/>
              </w:rPr>
              <w:t xml:space="preserve">most endangered shark family in the world (Dulvy </w:t>
            </w:r>
            <w:r w:rsidRPr="0006066A">
              <w:rPr>
                <w:rFonts w:eastAsia="MS Mincho"/>
                <w:i/>
                <w:sz w:val="22"/>
                <w:szCs w:val="22"/>
                <w:lang w:val="en-US"/>
              </w:rPr>
              <w:t>et al</w:t>
            </w:r>
            <w:r w:rsidRPr="0021277B">
              <w:rPr>
                <w:rFonts w:eastAsia="MS Mincho"/>
                <w:sz w:val="22"/>
                <w:szCs w:val="22"/>
                <w:lang w:val="en-US"/>
              </w:rPr>
              <w:t>., 2014).</w:t>
            </w:r>
            <w:r>
              <w:rPr>
                <w:rFonts w:eastAsia="MS Mincho"/>
                <w:sz w:val="22"/>
                <w:szCs w:val="22"/>
                <w:lang w:val="en-US"/>
              </w:rPr>
              <w:t>T</w:t>
            </w:r>
            <w:r w:rsidRPr="0021277B">
              <w:rPr>
                <w:rFonts w:eastAsia="MS Mincho"/>
                <w:sz w:val="22"/>
                <w:szCs w:val="22"/>
                <w:lang w:val="en-US"/>
              </w:rPr>
              <w:t>he Canary Islands angel shark population is frequent throughout the year</w:t>
            </w:r>
            <w:r>
              <w:rPr>
                <w:rFonts w:eastAsia="MS Mincho"/>
                <w:sz w:val="22"/>
                <w:szCs w:val="22"/>
                <w:lang w:val="en-US"/>
              </w:rPr>
              <w:t>,</w:t>
            </w:r>
            <w:r w:rsidRPr="0021277B">
              <w:rPr>
                <w:rFonts w:eastAsia="MS Mincho"/>
                <w:sz w:val="22"/>
                <w:szCs w:val="22"/>
                <w:lang w:val="en-US"/>
              </w:rPr>
              <w:t xml:space="preserve"> and different </w:t>
            </w:r>
            <w:r>
              <w:rPr>
                <w:rFonts w:eastAsia="MS Mincho"/>
                <w:sz w:val="22"/>
                <w:szCs w:val="22"/>
                <w:lang w:val="en-US"/>
              </w:rPr>
              <w:t xml:space="preserve">angel shark </w:t>
            </w:r>
            <w:r w:rsidRPr="0021277B">
              <w:rPr>
                <w:rFonts w:eastAsia="MS Mincho"/>
                <w:sz w:val="22"/>
                <w:szCs w:val="22"/>
                <w:lang w:val="en-US"/>
              </w:rPr>
              <w:t xml:space="preserve">nursery areas </w:t>
            </w:r>
            <w:r>
              <w:rPr>
                <w:rFonts w:eastAsia="MS Mincho"/>
                <w:sz w:val="22"/>
                <w:szCs w:val="22"/>
                <w:lang w:val="en-US"/>
              </w:rPr>
              <w:t xml:space="preserve">can be found </w:t>
            </w:r>
            <w:r w:rsidRPr="0021277B">
              <w:rPr>
                <w:rFonts w:eastAsia="MS Mincho"/>
                <w:sz w:val="22"/>
                <w:szCs w:val="22"/>
                <w:lang w:val="en-US"/>
              </w:rPr>
              <w:t xml:space="preserve">around the islands (Escánez </w:t>
            </w:r>
            <w:r w:rsidRPr="0006066A">
              <w:rPr>
                <w:rFonts w:eastAsia="MS Mincho"/>
                <w:i/>
                <w:sz w:val="22"/>
                <w:szCs w:val="22"/>
                <w:lang w:val="en-US"/>
              </w:rPr>
              <w:t>et al</w:t>
            </w:r>
            <w:r w:rsidRPr="0021277B">
              <w:rPr>
                <w:rFonts w:eastAsia="MS Mincho"/>
                <w:sz w:val="22"/>
                <w:szCs w:val="22"/>
                <w:lang w:val="en-US"/>
              </w:rPr>
              <w:t xml:space="preserve">., 2016). </w:t>
            </w:r>
          </w:p>
          <w:p w14:paraId="6F18CFE1" w14:textId="4C28AF30" w:rsidR="006B3F46" w:rsidRPr="0021277B" w:rsidRDefault="006B3F46" w:rsidP="002E4B39">
            <w:pPr>
              <w:suppressLineNumbers/>
              <w:spacing w:after="120"/>
              <w:jc w:val="both"/>
              <w:rPr>
                <w:rFonts w:eastAsia="MS Mincho"/>
                <w:sz w:val="22"/>
                <w:szCs w:val="22"/>
                <w:lang w:val="en-US" w:eastAsia="ja-JP"/>
              </w:rPr>
            </w:pPr>
            <w:r w:rsidRPr="0021277B">
              <w:rPr>
                <w:rFonts w:eastAsia="MS Mincho"/>
                <w:bCs/>
                <w:color w:val="000000"/>
                <w:sz w:val="22"/>
                <w:szCs w:val="22"/>
                <w:lang w:val="en-US"/>
              </w:rPr>
              <w:t>The area contains globally important breeding population</w:t>
            </w:r>
            <w:r>
              <w:rPr>
                <w:rFonts w:eastAsia="MS Mincho"/>
                <w:bCs/>
                <w:color w:val="000000"/>
                <w:sz w:val="22"/>
                <w:szCs w:val="22"/>
                <w:lang w:val="en-US"/>
              </w:rPr>
              <w:t>s</w:t>
            </w:r>
            <w:r w:rsidRPr="0021277B">
              <w:rPr>
                <w:rFonts w:eastAsia="MS Mincho"/>
                <w:bCs/>
                <w:color w:val="000000"/>
                <w:sz w:val="22"/>
                <w:szCs w:val="22"/>
                <w:lang w:val="en-US"/>
              </w:rPr>
              <w:t xml:space="preserve"> of </w:t>
            </w:r>
            <w:r>
              <w:rPr>
                <w:rFonts w:eastAsia="MS Mincho"/>
                <w:bCs/>
                <w:color w:val="000000"/>
                <w:sz w:val="22"/>
                <w:szCs w:val="22"/>
                <w:lang w:val="en-US"/>
              </w:rPr>
              <w:t>l</w:t>
            </w:r>
            <w:r w:rsidRPr="0021277B">
              <w:rPr>
                <w:rFonts w:eastAsia="MS Mincho"/>
                <w:bCs/>
                <w:color w:val="000000"/>
                <w:sz w:val="22"/>
                <w:szCs w:val="22"/>
                <w:lang w:val="en-US"/>
              </w:rPr>
              <w:t xml:space="preserve">ittle </w:t>
            </w:r>
            <w:r>
              <w:rPr>
                <w:rFonts w:eastAsia="MS Mincho"/>
                <w:bCs/>
                <w:color w:val="000000"/>
                <w:sz w:val="22"/>
                <w:szCs w:val="22"/>
                <w:lang w:val="en-US"/>
              </w:rPr>
              <w:t>s</w:t>
            </w:r>
            <w:r w:rsidRPr="0021277B">
              <w:rPr>
                <w:rFonts w:eastAsia="MS Mincho"/>
                <w:bCs/>
                <w:color w:val="000000"/>
                <w:sz w:val="22"/>
                <w:szCs w:val="22"/>
                <w:lang w:val="en-US"/>
              </w:rPr>
              <w:t xml:space="preserve">hearwater </w:t>
            </w:r>
            <w:r>
              <w:rPr>
                <w:rFonts w:eastAsia="MS Mincho"/>
                <w:bCs/>
                <w:color w:val="000000"/>
                <w:sz w:val="22"/>
                <w:szCs w:val="22"/>
                <w:lang w:val="en-US"/>
              </w:rPr>
              <w:t>(</w:t>
            </w:r>
            <w:r w:rsidRPr="0021277B">
              <w:rPr>
                <w:rFonts w:eastAsia="MS Mincho"/>
                <w:bCs/>
                <w:i/>
                <w:color w:val="000000"/>
                <w:sz w:val="22"/>
                <w:szCs w:val="22"/>
                <w:lang w:val="en-US"/>
              </w:rPr>
              <w:t>Puffinus lherminieri baroli</w:t>
            </w:r>
            <w:r>
              <w:rPr>
                <w:rFonts w:eastAsia="MS Mincho"/>
                <w:bCs/>
                <w:i/>
                <w:color w:val="000000"/>
                <w:sz w:val="22"/>
                <w:szCs w:val="22"/>
                <w:lang w:val="en-US"/>
              </w:rPr>
              <w:t>)</w:t>
            </w:r>
            <w:r w:rsidRPr="0021277B">
              <w:rPr>
                <w:rFonts w:eastAsia="MS Mincho"/>
                <w:bCs/>
                <w:color w:val="000000"/>
                <w:sz w:val="22"/>
                <w:szCs w:val="22"/>
                <w:lang w:val="en-US"/>
              </w:rPr>
              <w:t xml:space="preserve"> and </w:t>
            </w:r>
            <w:r>
              <w:rPr>
                <w:rFonts w:eastAsia="MS Mincho"/>
                <w:bCs/>
                <w:color w:val="000000"/>
                <w:sz w:val="22"/>
                <w:szCs w:val="22"/>
                <w:lang w:val="en-US"/>
              </w:rPr>
              <w:t>r</w:t>
            </w:r>
            <w:r w:rsidRPr="0021277B">
              <w:rPr>
                <w:rFonts w:eastAsia="MS Mincho"/>
                <w:bCs/>
                <w:color w:val="000000"/>
                <w:sz w:val="22"/>
                <w:szCs w:val="22"/>
                <w:lang w:val="en-US"/>
              </w:rPr>
              <w:t xml:space="preserve">oseate </w:t>
            </w:r>
            <w:r>
              <w:rPr>
                <w:rFonts w:eastAsia="MS Mincho"/>
                <w:bCs/>
                <w:color w:val="000000"/>
                <w:sz w:val="22"/>
                <w:szCs w:val="22"/>
                <w:lang w:val="en-US"/>
              </w:rPr>
              <w:t>t</w:t>
            </w:r>
            <w:r w:rsidRPr="0021277B">
              <w:rPr>
                <w:rFonts w:eastAsia="MS Mincho"/>
                <w:bCs/>
                <w:color w:val="000000"/>
                <w:sz w:val="22"/>
                <w:szCs w:val="22"/>
                <w:lang w:val="en-US"/>
              </w:rPr>
              <w:t xml:space="preserve">ern </w:t>
            </w:r>
            <w:r>
              <w:rPr>
                <w:rFonts w:eastAsia="MS Mincho"/>
                <w:bCs/>
                <w:color w:val="000000"/>
                <w:sz w:val="22"/>
                <w:szCs w:val="22"/>
                <w:lang w:val="en-US"/>
              </w:rPr>
              <w:t>(</w:t>
            </w:r>
            <w:r w:rsidRPr="0021277B">
              <w:rPr>
                <w:rFonts w:eastAsia="MS Mincho"/>
                <w:bCs/>
                <w:i/>
                <w:color w:val="000000"/>
                <w:sz w:val="22"/>
                <w:szCs w:val="22"/>
                <w:lang w:val="en-US"/>
              </w:rPr>
              <w:t>Sterna dougallii</w:t>
            </w:r>
            <w:r>
              <w:rPr>
                <w:rFonts w:eastAsia="MS Mincho"/>
                <w:bCs/>
                <w:i/>
                <w:color w:val="000000"/>
                <w:sz w:val="22"/>
                <w:szCs w:val="22"/>
                <w:lang w:val="en-US"/>
              </w:rPr>
              <w:t>),</w:t>
            </w:r>
            <w:r w:rsidRPr="0021277B">
              <w:rPr>
                <w:rFonts w:eastAsia="MS Mincho"/>
                <w:bCs/>
                <w:color w:val="000000"/>
                <w:sz w:val="22"/>
                <w:szCs w:val="22"/>
                <w:lang w:val="en-US"/>
              </w:rPr>
              <w:t xml:space="preserve"> both </w:t>
            </w:r>
            <w:r>
              <w:rPr>
                <w:rFonts w:eastAsia="MS Mincho"/>
                <w:bCs/>
                <w:color w:val="000000"/>
                <w:sz w:val="22"/>
                <w:szCs w:val="22"/>
                <w:lang w:val="en-US"/>
              </w:rPr>
              <w:t xml:space="preserve">of which are </w:t>
            </w:r>
            <w:r w:rsidRPr="0021277B">
              <w:rPr>
                <w:rFonts w:eastAsia="MS Mincho"/>
                <w:bCs/>
                <w:color w:val="000000"/>
                <w:sz w:val="22"/>
                <w:szCs w:val="22"/>
                <w:lang w:val="en-US"/>
              </w:rPr>
              <w:t xml:space="preserve">listed by OSPAR as </w:t>
            </w:r>
            <w:r>
              <w:rPr>
                <w:rFonts w:eastAsia="MS Mincho"/>
                <w:bCs/>
                <w:color w:val="000000"/>
                <w:sz w:val="22"/>
                <w:szCs w:val="22"/>
                <w:lang w:val="en-US"/>
              </w:rPr>
              <w:t>t</w:t>
            </w:r>
            <w:r w:rsidRPr="0021277B">
              <w:rPr>
                <w:rFonts w:eastAsia="MS Mincho"/>
                <w:bCs/>
                <w:color w:val="000000"/>
                <w:sz w:val="22"/>
                <w:szCs w:val="22"/>
                <w:lang w:val="en-US"/>
              </w:rPr>
              <w:t xml:space="preserve">hreatened and/or </w:t>
            </w:r>
            <w:r>
              <w:rPr>
                <w:rFonts w:eastAsia="MS Mincho"/>
                <w:bCs/>
                <w:color w:val="000000"/>
                <w:sz w:val="22"/>
                <w:szCs w:val="22"/>
                <w:lang w:val="en-US"/>
              </w:rPr>
              <w:t>d</w:t>
            </w:r>
            <w:r w:rsidRPr="0021277B">
              <w:rPr>
                <w:rFonts w:eastAsia="MS Mincho"/>
                <w:bCs/>
                <w:color w:val="000000"/>
                <w:sz w:val="22"/>
                <w:szCs w:val="22"/>
                <w:lang w:val="en-US"/>
              </w:rPr>
              <w:t xml:space="preserve">eclining </w:t>
            </w:r>
            <w:r>
              <w:rPr>
                <w:rFonts w:eastAsia="MS Mincho"/>
                <w:bCs/>
                <w:color w:val="000000"/>
                <w:sz w:val="22"/>
                <w:szCs w:val="22"/>
                <w:lang w:val="en-US"/>
              </w:rPr>
              <w:t>s</w:t>
            </w:r>
            <w:r w:rsidRPr="0021277B">
              <w:rPr>
                <w:rFonts w:eastAsia="MS Mincho"/>
                <w:bCs/>
                <w:color w:val="000000"/>
                <w:sz w:val="22"/>
                <w:szCs w:val="22"/>
                <w:lang w:val="en-US"/>
              </w:rPr>
              <w:t>pecies (OSPAR 2009a,</w:t>
            </w:r>
            <w:r>
              <w:rPr>
                <w:rFonts w:eastAsia="MS Mincho"/>
                <w:bCs/>
                <w:color w:val="000000"/>
                <w:sz w:val="22"/>
                <w:szCs w:val="22"/>
                <w:lang w:val="en-US"/>
              </w:rPr>
              <w:t xml:space="preserve"> </w:t>
            </w:r>
            <w:r w:rsidRPr="0021277B">
              <w:rPr>
                <w:rFonts w:eastAsia="MS Mincho"/>
                <w:bCs/>
                <w:color w:val="000000"/>
                <w:sz w:val="22"/>
                <w:szCs w:val="22"/>
                <w:lang w:val="en-US"/>
              </w:rPr>
              <w:t>b).</w:t>
            </w:r>
          </w:p>
        </w:tc>
      </w:tr>
      <w:tr w:rsidR="006B3F46" w:rsidRPr="0021277B" w14:paraId="32B75B6E" w14:textId="77777777" w:rsidTr="002E4B39">
        <w:tc>
          <w:tcPr>
            <w:tcW w:w="832" w:type="pct"/>
            <w:shd w:val="clear" w:color="auto" w:fill="auto"/>
          </w:tcPr>
          <w:p w14:paraId="6539A189"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Vulnerability, fragility, sensitivity, or slow recovery</w:t>
            </w:r>
          </w:p>
        </w:tc>
        <w:tc>
          <w:tcPr>
            <w:tcW w:w="2232" w:type="pct"/>
            <w:shd w:val="clear" w:color="auto" w:fill="auto"/>
          </w:tcPr>
          <w:p w14:paraId="6EF6FC81"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1441C4BF"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3A258BCF"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4D71556C"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2" w:type="pct"/>
            <w:gridSpan w:val="2"/>
            <w:shd w:val="clear" w:color="auto" w:fill="auto"/>
          </w:tcPr>
          <w:p w14:paraId="0FE6E62E"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2819334D"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69D1DA7A"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1C455F3C" w14:textId="77777777" w:rsidTr="00907941">
        <w:tc>
          <w:tcPr>
            <w:tcW w:w="5000" w:type="pct"/>
            <w:gridSpan w:val="11"/>
            <w:shd w:val="clear" w:color="auto" w:fill="auto"/>
          </w:tcPr>
          <w:p w14:paraId="3F3B4E06" w14:textId="77777777" w:rsidR="006B3F46" w:rsidRPr="0021277B" w:rsidRDefault="006B3F46" w:rsidP="00907941">
            <w:pPr>
              <w:widowControl w:val="0"/>
              <w:autoSpaceDE w:val="0"/>
              <w:autoSpaceDN w:val="0"/>
              <w:adjustRightInd w:val="0"/>
              <w:rPr>
                <w:rFonts w:eastAsia="MS Mincho"/>
                <w:i/>
                <w:iCs/>
                <w:sz w:val="22"/>
                <w:szCs w:val="22"/>
                <w:lang w:val="en-US" w:eastAsia="ja-JP"/>
              </w:rPr>
            </w:pPr>
            <w:r w:rsidRPr="0021277B">
              <w:rPr>
                <w:rFonts w:eastAsia="MS Mincho"/>
                <w:i/>
                <w:iCs/>
                <w:sz w:val="22"/>
                <w:szCs w:val="22"/>
                <w:lang w:val="en-US" w:eastAsia="ja-JP"/>
              </w:rPr>
              <w:t>Explanation for ranking</w:t>
            </w:r>
          </w:p>
          <w:p w14:paraId="612D0575" w14:textId="77777777" w:rsidR="006B3F46" w:rsidRPr="0021277B" w:rsidRDefault="006B3F46" w:rsidP="002E4B39">
            <w:pPr>
              <w:suppressLineNumbers/>
              <w:spacing w:after="120"/>
              <w:jc w:val="both"/>
              <w:rPr>
                <w:sz w:val="22"/>
                <w:szCs w:val="22"/>
              </w:rPr>
            </w:pPr>
            <w:r w:rsidRPr="0021277B">
              <w:rPr>
                <w:rFonts w:eastAsia="MS Mincho"/>
                <w:sz w:val="22"/>
                <w:szCs w:val="22"/>
                <w:lang w:val="en-US" w:eastAsia="ja-JP"/>
              </w:rPr>
              <w:t xml:space="preserve">A high diversity and abundance of marine benthic habitat-forming species </w:t>
            </w:r>
            <w:r>
              <w:rPr>
                <w:rFonts w:eastAsia="MS Mincho"/>
                <w:sz w:val="22"/>
                <w:szCs w:val="22"/>
                <w:lang w:val="en-US" w:eastAsia="ja-JP"/>
              </w:rPr>
              <w:t>that are</w:t>
            </w:r>
            <w:r w:rsidRPr="0021277B">
              <w:rPr>
                <w:rFonts w:eastAsia="MS Mincho"/>
                <w:sz w:val="22"/>
                <w:szCs w:val="22"/>
                <w:lang w:val="en-US" w:eastAsia="ja-JP"/>
              </w:rPr>
              <w:t xml:space="preserve"> slow-growing and </w:t>
            </w:r>
            <w:r>
              <w:rPr>
                <w:rFonts w:eastAsia="MS Mincho"/>
                <w:sz w:val="22"/>
                <w:szCs w:val="22"/>
                <w:lang w:val="en-US" w:eastAsia="ja-JP"/>
              </w:rPr>
              <w:t xml:space="preserve">have </w:t>
            </w:r>
            <w:r w:rsidRPr="0021277B">
              <w:rPr>
                <w:rFonts w:eastAsia="MS Mincho"/>
                <w:sz w:val="22"/>
                <w:szCs w:val="22"/>
                <w:lang w:val="en-US" w:eastAsia="ja-JP"/>
              </w:rPr>
              <w:t>a very high longevity (</w:t>
            </w:r>
            <w:r>
              <w:rPr>
                <w:rFonts w:eastAsia="MS Mincho"/>
                <w:sz w:val="22"/>
                <w:szCs w:val="22"/>
                <w:lang w:val="en-US" w:eastAsia="ja-JP"/>
              </w:rPr>
              <w:t xml:space="preserve">e.g., </w:t>
            </w:r>
            <w:r w:rsidRPr="0021277B">
              <w:rPr>
                <w:rFonts w:eastAsia="MS Mincho"/>
                <w:sz w:val="22"/>
                <w:szCs w:val="22"/>
                <w:lang w:val="en-US" w:eastAsia="ja-JP"/>
              </w:rPr>
              <w:t>coral gardens, blacks coral forests) are located all around the islands as well as on seamounts (</w:t>
            </w:r>
            <w:r>
              <w:rPr>
                <w:rFonts w:eastAsia="MS Mincho"/>
                <w:sz w:val="22"/>
                <w:szCs w:val="22"/>
                <w:lang w:val="en-US" w:eastAsia="ja-JP"/>
              </w:rPr>
              <w:t>e.g.,</w:t>
            </w:r>
            <w:r w:rsidRPr="0021277B">
              <w:rPr>
                <w:rFonts w:eastAsia="MS Mincho"/>
                <w:sz w:val="22"/>
                <w:szCs w:val="22"/>
                <w:lang w:val="en-US" w:eastAsia="ja-JP"/>
              </w:rPr>
              <w:t xml:space="preserve"> coral reefs, coral gardens, black coral forest, sponge grounds) (Aguilar </w:t>
            </w:r>
            <w:r w:rsidRPr="0006066A">
              <w:rPr>
                <w:rFonts w:eastAsia="MS Mincho"/>
                <w:i/>
                <w:sz w:val="22"/>
                <w:szCs w:val="22"/>
                <w:lang w:val="en-US" w:eastAsia="ja-JP"/>
              </w:rPr>
              <w:t>et al</w:t>
            </w:r>
            <w:r w:rsidRPr="0021277B">
              <w:rPr>
                <w:rFonts w:eastAsia="MS Mincho"/>
                <w:sz w:val="22"/>
                <w:szCs w:val="22"/>
                <w:lang w:val="en-US" w:eastAsia="ja-JP"/>
              </w:rPr>
              <w:t xml:space="preserve">., 2009; Brito, 2004; Martín-Sosa </w:t>
            </w:r>
            <w:r w:rsidRPr="0006066A">
              <w:rPr>
                <w:rFonts w:eastAsia="MS Mincho"/>
                <w:i/>
                <w:sz w:val="22"/>
                <w:szCs w:val="22"/>
                <w:lang w:val="en-US" w:eastAsia="ja-JP"/>
              </w:rPr>
              <w:t>et al</w:t>
            </w:r>
            <w:r w:rsidRPr="0021277B">
              <w:rPr>
                <w:rFonts w:eastAsia="MS Mincho"/>
                <w:sz w:val="22"/>
                <w:szCs w:val="22"/>
                <w:lang w:val="en-US" w:eastAsia="ja-JP"/>
              </w:rPr>
              <w:t xml:space="preserve">, 2013; Almón </w:t>
            </w:r>
            <w:r w:rsidRPr="0006066A">
              <w:rPr>
                <w:rFonts w:eastAsia="MS Mincho"/>
                <w:i/>
                <w:sz w:val="22"/>
                <w:szCs w:val="22"/>
                <w:lang w:val="en-US" w:eastAsia="ja-JP"/>
              </w:rPr>
              <w:t>et al</w:t>
            </w:r>
            <w:r w:rsidRPr="0021277B">
              <w:rPr>
                <w:rFonts w:eastAsia="MS Mincho"/>
                <w:sz w:val="22"/>
                <w:szCs w:val="22"/>
                <w:lang w:val="en-US" w:eastAsia="ja-JP"/>
              </w:rPr>
              <w:t xml:space="preserve">., 2014a, 2014b; Martín-García </w:t>
            </w:r>
            <w:r w:rsidRPr="0006066A">
              <w:rPr>
                <w:rFonts w:eastAsia="MS Mincho"/>
                <w:i/>
                <w:sz w:val="22"/>
                <w:szCs w:val="22"/>
                <w:lang w:val="en-US" w:eastAsia="ja-JP"/>
              </w:rPr>
              <w:t>et al</w:t>
            </w:r>
            <w:r w:rsidRPr="0021277B">
              <w:rPr>
                <w:rFonts w:eastAsia="MS Mincho"/>
                <w:sz w:val="22"/>
                <w:szCs w:val="22"/>
                <w:lang w:val="en-US" w:eastAsia="ja-JP"/>
              </w:rPr>
              <w:t xml:space="preserve">, 2016) </w:t>
            </w:r>
            <w:r w:rsidRPr="0021277B">
              <w:rPr>
                <w:sz w:val="22"/>
                <w:szCs w:val="22"/>
              </w:rPr>
              <w:t xml:space="preserve">and are vulnerable and </w:t>
            </w:r>
            <w:r w:rsidRPr="002E4B39">
              <w:rPr>
                <w:rFonts w:eastAsia="MS Mincho"/>
                <w:sz w:val="22"/>
                <w:szCs w:val="22"/>
                <w:lang w:val="en-US"/>
              </w:rPr>
              <w:t>sensitive</w:t>
            </w:r>
            <w:r w:rsidRPr="0021277B">
              <w:rPr>
                <w:sz w:val="22"/>
                <w:szCs w:val="22"/>
              </w:rPr>
              <w:t xml:space="preserve"> to fishing activities.</w:t>
            </w:r>
          </w:p>
          <w:p w14:paraId="7E8054E2" w14:textId="4FD59057" w:rsidR="006B3F46" w:rsidRPr="0021277B" w:rsidRDefault="006B3F46" w:rsidP="002E4B39">
            <w:pPr>
              <w:suppressLineNumbers/>
              <w:spacing w:after="120"/>
              <w:jc w:val="both"/>
              <w:rPr>
                <w:rFonts w:eastAsia="MS Mincho"/>
                <w:sz w:val="22"/>
                <w:szCs w:val="22"/>
                <w:lang w:val="en-US" w:eastAsia="ja-JP"/>
              </w:rPr>
            </w:pPr>
            <w:r w:rsidRPr="0021277B">
              <w:rPr>
                <w:rFonts w:eastAsia="MS Mincho"/>
                <w:bCs/>
                <w:color w:val="000000"/>
                <w:sz w:val="22"/>
                <w:szCs w:val="22"/>
                <w:lang w:val="en-US"/>
              </w:rPr>
              <w:t xml:space="preserve">The Macaronesian </w:t>
            </w:r>
            <w:r w:rsidRPr="002E4B39">
              <w:rPr>
                <w:rFonts w:eastAsia="MS Mincho"/>
                <w:sz w:val="22"/>
                <w:szCs w:val="22"/>
                <w:lang w:val="en-US"/>
              </w:rPr>
              <w:t>population</w:t>
            </w:r>
            <w:r w:rsidRPr="0021277B">
              <w:rPr>
                <w:rFonts w:eastAsia="MS Mincho"/>
                <w:bCs/>
                <w:color w:val="000000"/>
                <w:sz w:val="22"/>
                <w:szCs w:val="22"/>
                <w:lang w:val="en-US"/>
              </w:rPr>
              <w:t xml:space="preserve"> of </w:t>
            </w:r>
            <w:r>
              <w:rPr>
                <w:rFonts w:eastAsia="MS Mincho"/>
                <w:bCs/>
                <w:color w:val="000000"/>
                <w:sz w:val="22"/>
                <w:szCs w:val="22"/>
                <w:lang w:val="en-US"/>
              </w:rPr>
              <w:t>l</w:t>
            </w:r>
            <w:r w:rsidRPr="0021277B">
              <w:rPr>
                <w:rFonts w:eastAsia="MS Mincho"/>
                <w:bCs/>
                <w:color w:val="000000"/>
                <w:sz w:val="22"/>
                <w:szCs w:val="22"/>
                <w:lang w:val="en-US"/>
              </w:rPr>
              <w:t xml:space="preserve">ittle </w:t>
            </w:r>
            <w:r>
              <w:rPr>
                <w:rFonts w:eastAsia="MS Mincho"/>
                <w:bCs/>
                <w:color w:val="000000"/>
                <w:sz w:val="22"/>
                <w:szCs w:val="22"/>
                <w:lang w:val="en-US"/>
              </w:rPr>
              <w:t>s</w:t>
            </w:r>
            <w:r w:rsidRPr="0021277B">
              <w:rPr>
                <w:rFonts w:eastAsia="MS Mincho"/>
                <w:bCs/>
                <w:color w:val="000000"/>
                <w:sz w:val="22"/>
                <w:szCs w:val="22"/>
                <w:lang w:val="en-US"/>
              </w:rPr>
              <w:t xml:space="preserve">hearwater </w:t>
            </w:r>
            <w:r>
              <w:rPr>
                <w:rFonts w:eastAsia="MS Mincho"/>
                <w:bCs/>
                <w:color w:val="000000"/>
                <w:sz w:val="22"/>
                <w:szCs w:val="22"/>
                <w:lang w:val="en-US"/>
              </w:rPr>
              <w:t>(</w:t>
            </w:r>
            <w:r w:rsidRPr="0021277B">
              <w:rPr>
                <w:rFonts w:eastAsia="MS Mincho"/>
                <w:bCs/>
                <w:i/>
                <w:color w:val="000000"/>
                <w:sz w:val="22"/>
                <w:szCs w:val="22"/>
                <w:lang w:val="en-US"/>
              </w:rPr>
              <w:t>Puffinus lherminieri baroli</w:t>
            </w:r>
            <w:r>
              <w:rPr>
                <w:rFonts w:eastAsia="MS Mincho"/>
                <w:bCs/>
                <w:color w:val="000000"/>
                <w:sz w:val="22"/>
                <w:szCs w:val="22"/>
                <w:lang w:val="en-US"/>
              </w:rPr>
              <w:t>)</w:t>
            </w:r>
            <w:r w:rsidRPr="0021277B">
              <w:rPr>
                <w:rFonts w:eastAsia="MS Mincho"/>
                <w:bCs/>
                <w:color w:val="000000"/>
                <w:sz w:val="22"/>
                <w:szCs w:val="22"/>
                <w:lang w:val="en-US"/>
              </w:rPr>
              <w:t xml:space="preserve"> </w:t>
            </w:r>
            <w:r>
              <w:rPr>
                <w:rFonts w:eastAsia="MS Mincho"/>
                <w:bCs/>
                <w:color w:val="000000"/>
                <w:sz w:val="22"/>
                <w:szCs w:val="22"/>
                <w:lang w:val="en-US"/>
              </w:rPr>
              <w:t>is</w:t>
            </w:r>
            <w:r w:rsidRPr="0021277B">
              <w:rPr>
                <w:rFonts w:eastAsia="MS Mincho"/>
                <w:bCs/>
                <w:color w:val="000000"/>
                <w:sz w:val="22"/>
                <w:szCs w:val="22"/>
                <w:lang w:val="en-US"/>
              </w:rPr>
              <w:t xml:space="preserve"> listed by OSPAR as a </w:t>
            </w:r>
            <w:r>
              <w:rPr>
                <w:rFonts w:eastAsia="MS Mincho"/>
                <w:bCs/>
                <w:color w:val="000000"/>
                <w:sz w:val="22"/>
                <w:szCs w:val="22"/>
                <w:lang w:val="en-US"/>
              </w:rPr>
              <w:t>t</w:t>
            </w:r>
            <w:r w:rsidRPr="0021277B">
              <w:rPr>
                <w:rFonts w:eastAsia="MS Mincho"/>
                <w:bCs/>
                <w:color w:val="000000"/>
                <w:sz w:val="22"/>
                <w:szCs w:val="22"/>
                <w:lang w:val="en-US"/>
              </w:rPr>
              <w:t xml:space="preserve">hreatened and/or </w:t>
            </w:r>
            <w:r>
              <w:rPr>
                <w:rFonts w:eastAsia="MS Mincho"/>
                <w:bCs/>
                <w:color w:val="000000"/>
                <w:sz w:val="22"/>
                <w:szCs w:val="22"/>
                <w:lang w:val="en-US"/>
              </w:rPr>
              <w:t>d</w:t>
            </w:r>
            <w:r w:rsidRPr="0021277B">
              <w:rPr>
                <w:rFonts w:eastAsia="MS Mincho"/>
                <w:bCs/>
                <w:color w:val="000000"/>
                <w:sz w:val="22"/>
                <w:szCs w:val="22"/>
                <w:lang w:val="en-US"/>
              </w:rPr>
              <w:t xml:space="preserve">eclining </w:t>
            </w:r>
            <w:r>
              <w:rPr>
                <w:rFonts w:eastAsia="MS Mincho"/>
                <w:bCs/>
                <w:color w:val="000000"/>
                <w:sz w:val="22"/>
                <w:szCs w:val="22"/>
                <w:lang w:val="en-US"/>
              </w:rPr>
              <w:t>s</w:t>
            </w:r>
            <w:r w:rsidRPr="0021277B">
              <w:rPr>
                <w:rFonts w:eastAsia="MS Mincho"/>
                <w:bCs/>
                <w:color w:val="000000"/>
                <w:sz w:val="22"/>
                <w:szCs w:val="22"/>
                <w:lang w:val="en-US"/>
              </w:rPr>
              <w:t>pecies</w:t>
            </w:r>
            <w:r>
              <w:rPr>
                <w:rFonts w:eastAsia="MS Mincho"/>
                <w:bCs/>
                <w:color w:val="000000"/>
                <w:sz w:val="22"/>
                <w:szCs w:val="22"/>
                <w:lang w:val="en-US"/>
              </w:rPr>
              <w:t>.</w:t>
            </w:r>
            <w:r w:rsidRPr="0021277B">
              <w:rPr>
                <w:rFonts w:eastAsia="MS Mincho"/>
                <w:bCs/>
                <w:color w:val="000000"/>
                <w:sz w:val="22"/>
                <w:szCs w:val="22"/>
                <w:lang w:val="en-US"/>
              </w:rPr>
              <w:t xml:space="preserve"> </w:t>
            </w:r>
            <w:r w:rsidRPr="00B0436D">
              <w:rPr>
                <w:rFonts w:eastAsia="MS Mincho"/>
                <w:bCs/>
                <w:color w:val="000000"/>
                <w:sz w:val="22"/>
                <w:szCs w:val="22"/>
                <w:lang w:val="en-US"/>
              </w:rPr>
              <w:t>–</w:t>
            </w:r>
            <w:r w:rsidRPr="0021277B">
              <w:rPr>
                <w:rFonts w:eastAsia="MS Mincho"/>
                <w:bCs/>
                <w:color w:val="000000"/>
                <w:sz w:val="22"/>
                <w:szCs w:val="22"/>
                <w:lang w:val="en-US"/>
              </w:rPr>
              <w:t xml:space="preserve"> </w:t>
            </w:r>
            <w:r>
              <w:rPr>
                <w:rFonts w:eastAsia="MS Mincho"/>
                <w:bCs/>
                <w:color w:val="000000"/>
                <w:sz w:val="22"/>
                <w:szCs w:val="22"/>
                <w:lang w:val="en-US"/>
              </w:rPr>
              <w:t xml:space="preserve">It </w:t>
            </w:r>
            <w:r w:rsidRPr="0021277B">
              <w:rPr>
                <w:rFonts w:eastAsia="MS Mincho"/>
                <w:bCs/>
                <w:color w:val="000000"/>
                <w:sz w:val="22"/>
                <w:szCs w:val="22"/>
                <w:lang w:val="en-US"/>
              </w:rPr>
              <w:t>has a small population size and is considered rare</w:t>
            </w:r>
            <w:r>
              <w:rPr>
                <w:rFonts w:eastAsia="MS Mincho"/>
                <w:bCs/>
                <w:color w:val="000000"/>
                <w:sz w:val="22"/>
                <w:szCs w:val="22"/>
                <w:lang w:val="en-US"/>
              </w:rPr>
              <w:t xml:space="preserve">, primarily </w:t>
            </w:r>
            <w:r w:rsidRPr="0021277B">
              <w:rPr>
                <w:rFonts w:eastAsia="MS Mincho"/>
                <w:bCs/>
                <w:color w:val="000000"/>
                <w:sz w:val="22"/>
                <w:szCs w:val="22"/>
                <w:lang w:val="en-US"/>
              </w:rPr>
              <w:t xml:space="preserve">because the suitable breeding habitat for this species has been rendered unsuitable due to the introduction of rats and cats, putting it at risk of further declines (OSPAR 2009a). The </w:t>
            </w:r>
            <w:r>
              <w:rPr>
                <w:rFonts w:eastAsia="MS Mincho"/>
                <w:bCs/>
                <w:color w:val="000000"/>
                <w:sz w:val="22"/>
                <w:szCs w:val="22"/>
                <w:lang w:val="en-US"/>
              </w:rPr>
              <w:t>r</w:t>
            </w:r>
            <w:r w:rsidRPr="0021277B">
              <w:rPr>
                <w:rFonts w:eastAsia="MS Mincho"/>
                <w:bCs/>
                <w:color w:val="000000"/>
                <w:sz w:val="22"/>
                <w:szCs w:val="22"/>
                <w:lang w:val="en-US"/>
              </w:rPr>
              <w:t xml:space="preserve">oseate </w:t>
            </w:r>
            <w:r>
              <w:rPr>
                <w:rFonts w:eastAsia="MS Mincho"/>
                <w:bCs/>
                <w:color w:val="000000"/>
                <w:sz w:val="22"/>
                <w:szCs w:val="22"/>
                <w:lang w:val="en-US"/>
              </w:rPr>
              <w:t>t</w:t>
            </w:r>
            <w:r w:rsidRPr="0021277B">
              <w:rPr>
                <w:rFonts w:eastAsia="MS Mincho"/>
                <w:bCs/>
                <w:color w:val="000000"/>
                <w:sz w:val="22"/>
                <w:szCs w:val="22"/>
                <w:lang w:val="en-US"/>
              </w:rPr>
              <w:t xml:space="preserve">ern </w:t>
            </w:r>
            <w:r>
              <w:rPr>
                <w:rFonts w:eastAsia="MS Mincho"/>
                <w:bCs/>
                <w:color w:val="000000"/>
                <w:sz w:val="22"/>
                <w:szCs w:val="22"/>
                <w:lang w:val="en-US"/>
              </w:rPr>
              <w:t>(</w:t>
            </w:r>
            <w:r w:rsidRPr="0021277B">
              <w:rPr>
                <w:rFonts w:eastAsia="MS Mincho"/>
                <w:bCs/>
                <w:i/>
                <w:color w:val="000000"/>
                <w:sz w:val="22"/>
                <w:szCs w:val="22"/>
                <w:lang w:val="en-US"/>
              </w:rPr>
              <w:t>Sterna dougallii</w:t>
            </w:r>
            <w:r>
              <w:rPr>
                <w:rFonts w:eastAsia="MS Mincho"/>
                <w:bCs/>
                <w:i/>
                <w:color w:val="000000"/>
                <w:sz w:val="22"/>
                <w:szCs w:val="22"/>
                <w:lang w:val="en-US"/>
              </w:rPr>
              <w:t>)</w:t>
            </w:r>
            <w:r w:rsidRPr="0021277B">
              <w:rPr>
                <w:rFonts w:eastAsia="MS Mincho"/>
                <w:bCs/>
                <w:color w:val="000000"/>
                <w:sz w:val="22"/>
                <w:szCs w:val="22"/>
                <w:lang w:val="en-US"/>
              </w:rPr>
              <w:t xml:space="preserve"> is also listed by OSPAR as a </w:t>
            </w:r>
            <w:r>
              <w:rPr>
                <w:rFonts w:eastAsia="MS Mincho"/>
                <w:bCs/>
                <w:color w:val="000000"/>
                <w:sz w:val="22"/>
                <w:szCs w:val="22"/>
                <w:lang w:val="en-US"/>
              </w:rPr>
              <w:t>t</w:t>
            </w:r>
            <w:r w:rsidRPr="0021277B">
              <w:rPr>
                <w:rFonts w:eastAsia="MS Mincho"/>
                <w:bCs/>
                <w:color w:val="000000"/>
                <w:sz w:val="22"/>
                <w:szCs w:val="22"/>
                <w:lang w:val="en-US"/>
              </w:rPr>
              <w:t xml:space="preserve">hreatened and/or </w:t>
            </w:r>
            <w:r>
              <w:rPr>
                <w:rFonts w:eastAsia="MS Mincho"/>
                <w:bCs/>
                <w:color w:val="000000"/>
                <w:sz w:val="22"/>
                <w:szCs w:val="22"/>
                <w:lang w:val="en-US"/>
              </w:rPr>
              <w:t>d</w:t>
            </w:r>
            <w:r w:rsidRPr="0021277B">
              <w:rPr>
                <w:rFonts w:eastAsia="MS Mincho"/>
                <w:bCs/>
                <w:color w:val="000000"/>
                <w:sz w:val="22"/>
                <w:szCs w:val="22"/>
                <w:lang w:val="en-US"/>
              </w:rPr>
              <w:t xml:space="preserve">eclining </w:t>
            </w:r>
            <w:r>
              <w:rPr>
                <w:rFonts w:eastAsia="MS Mincho"/>
                <w:bCs/>
                <w:color w:val="000000"/>
                <w:sz w:val="22"/>
                <w:szCs w:val="22"/>
                <w:lang w:val="en-US"/>
              </w:rPr>
              <w:t>s</w:t>
            </w:r>
            <w:r w:rsidRPr="0021277B">
              <w:rPr>
                <w:rFonts w:eastAsia="MS Mincho"/>
                <w:bCs/>
                <w:color w:val="000000"/>
                <w:sz w:val="22"/>
                <w:szCs w:val="22"/>
                <w:lang w:val="en-US"/>
              </w:rPr>
              <w:t>pecies and ha</w:t>
            </w:r>
            <w:r>
              <w:rPr>
                <w:rFonts w:eastAsia="MS Mincho"/>
                <w:bCs/>
                <w:color w:val="000000"/>
                <w:sz w:val="22"/>
                <w:szCs w:val="22"/>
                <w:lang w:val="en-US"/>
              </w:rPr>
              <w:t>s</w:t>
            </w:r>
            <w:r w:rsidRPr="0021277B">
              <w:rPr>
                <w:rFonts w:eastAsia="MS Mincho"/>
                <w:bCs/>
                <w:color w:val="000000"/>
                <w:sz w:val="22"/>
                <w:szCs w:val="22"/>
                <w:lang w:val="en-US"/>
              </w:rPr>
              <w:t xml:space="preserve"> comparatively low adult survival rates (Green 1995), and therefore need</w:t>
            </w:r>
            <w:r>
              <w:rPr>
                <w:rFonts w:eastAsia="MS Mincho"/>
                <w:bCs/>
                <w:color w:val="000000"/>
                <w:sz w:val="22"/>
                <w:szCs w:val="22"/>
                <w:lang w:val="en-US"/>
              </w:rPr>
              <w:t>s</w:t>
            </w:r>
            <w:r w:rsidRPr="0021277B">
              <w:rPr>
                <w:rFonts w:eastAsia="MS Mincho"/>
                <w:bCs/>
                <w:color w:val="000000"/>
                <w:sz w:val="22"/>
                <w:szCs w:val="22"/>
                <w:lang w:val="en-US"/>
              </w:rPr>
              <w:t xml:space="preserve"> to maintain exceptionally high productivity to achieve population stability (Newton 2004). </w:t>
            </w:r>
            <w:r>
              <w:rPr>
                <w:rFonts w:eastAsia="MS Mincho"/>
                <w:bCs/>
                <w:color w:val="000000"/>
                <w:sz w:val="22"/>
                <w:szCs w:val="22"/>
                <w:lang w:val="en-US"/>
              </w:rPr>
              <w:t>It is</w:t>
            </w:r>
            <w:r w:rsidRPr="0021277B">
              <w:rPr>
                <w:rFonts w:eastAsia="MS Mincho"/>
                <w:bCs/>
                <w:color w:val="000000"/>
                <w:sz w:val="22"/>
                <w:szCs w:val="22"/>
                <w:lang w:val="en-US"/>
              </w:rPr>
              <w:t xml:space="preserve"> threatened by predation and disturbance at the breeding colonies</w:t>
            </w:r>
            <w:r>
              <w:rPr>
                <w:rFonts w:eastAsia="MS Mincho"/>
                <w:bCs/>
                <w:color w:val="000000"/>
                <w:sz w:val="22"/>
                <w:szCs w:val="22"/>
                <w:lang w:val="en-US"/>
              </w:rPr>
              <w:t>,</w:t>
            </w:r>
            <w:r w:rsidRPr="0021277B">
              <w:rPr>
                <w:rFonts w:eastAsia="MS Mincho"/>
                <w:bCs/>
                <w:color w:val="000000"/>
                <w:sz w:val="22"/>
                <w:szCs w:val="22"/>
                <w:lang w:val="en-US"/>
              </w:rPr>
              <w:t xml:space="preserve"> in particular (OSPAR 2009b, Dias </w:t>
            </w:r>
            <w:r w:rsidRPr="0006066A">
              <w:rPr>
                <w:rFonts w:eastAsia="MS Mincho"/>
                <w:bCs/>
                <w:i/>
                <w:color w:val="000000"/>
                <w:sz w:val="22"/>
                <w:szCs w:val="22"/>
                <w:lang w:val="en-US"/>
              </w:rPr>
              <w:t>et al</w:t>
            </w:r>
            <w:r w:rsidRPr="0021277B">
              <w:rPr>
                <w:rFonts w:eastAsia="MS Mincho"/>
                <w:bCs/>
                <w:color w:val="000000"/>
                <w:sz w:val="22"/>
                <w:szCs w:val="22"/>
                <w:lang w:val="en-US"/>
              </w:rPr>
              <w:t>. 2019).</w:t>
            </w:r>
          </w:p>
        </w:tc>
      </w:tr>
      <w:tr w:rsidR="006B3F46" w:rsidRPr="0021277B" w14:paraId="159CCAFC" w14:textId="77777777" w:rsidTr="002E4B39">
        <w:tc>
          <w:tcPr>
            <w:tcW w:w="832" w:type="pct"/>
            <w:shd w:val="clear" w:color="auto" w:fill="auto"/>
          </w:tcPr>
          <w:p w14:paraId="2C634176"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Biological productivity</w:t>
            </w:r>
          </w:p>
        </w:tc>
        <w:tc>
          <w:tcPr>
            <w:tcW w:w="2232" w:type="pct"/>
            <w:shd w:val="clear" w:color="auto" w:fill="auto"/>
          </w:tcPr>
          <w:p w14:paraId="76D31C56" w14:textId="77777777" w:rsidR="006B3F46" w:rsidRPr="0021277B" w:rsidRDefault="006B3F46" w:rsidP="00907941">
            <w:pPr>
              <w:widowControl w:val="0"/>
              <w:autoSpaceDE w:val="0"/>
              <w:autoSpaceDN w:val="0"/>
              <w:adjustRightInd w:val="0"/>
              <w:rPr>
                <w:rFonts w:eastAsia="MS Mincho"/>
                <w:bCs/>
                <w:sz w:val="22"/>
                <w:szCs w:val="22"/>
              </w:rPr>
            </w:pPr>
            <w:r w:rsidRPr="0021277B">
              <w:rPr>
                <w:rFonts w:eastAsia="MS Mincho"/>
                <w:bCs/>
                <w:sz w:val="22"/>
                <w:szCs w:val="22"/>
              </w:rPr>
              <w:t xml:space="preserve">Area containing species, populations or communities with comparatively higher natural biological productivity. </w:t>
            </w:r>
          </w:p>
        </w:tc>
        <w:tc>
          <w:tcPr>
            <w:tcW w:w="684" w:type="pct"/>
            <w:gridSpan w:val="3"/>
            <w:shd w:val="clear" w:color="auto" w:fill="auto"/>
          </w:tcPr>
          <w:p w14:paraId="1BF31298"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571D14BA"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11B116AA"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2" w:type="pct"/>
            <w:gridSpan w:val="2"/>
            <w:shd w:val="clear" w:color="auto" w:fill="auto"/>
          </w:tcPr>
          <w:p w14:paraId="51BF2B3C"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2DEA6E78"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4C2868F1" w14:textId="77777777" w:rsidTr="00907941">
        <w:tc>
          <w:tcPr>
            <w:tcW w:w="5000" w:type="pct"/>
            <w:gridSpan w:val="11"/>
            <w:shd w:val="clear" w:color="auto" w:fill="auto"/>
          </w:tcPr>
          <w:p w14:paraId="3B23F3C6" w14:textId="77777777" w:rsidR="006B3F46" w:rsidRPr="0021277B" w:rsidRDefault="006B3F46" w:rsidP="00907941">
            <w:pPr>
              <w:jc w:val="both"/>
              <w:rPr>
                <w:rFonts w:eastAsia="MS Mincho"/>
                <w:sz w:val="22"/>
                <w:szCs w:val="22"/>
                <w:lang w:val="en-US" w:eastAsia="ja-JP"/>
              </w:rPr>
            </w:pPr>
            <w:r w:rsidRPr="0021277B">
              <w:rPr>
                <w:i/>
                <w:iCs/>
                <w:sz w:val="22"/>
                <w:szCs w:val="22"/>
              </w:rPr>
              <w:t>Explanation for ranking</w:t>
            </w:r>
          </w:p>
          <w:p w14:paraId="6D4BBEAE" w14:textId="77777777" w:rsidR="006B3F46" w:rsidRPr="0021277B" w:rsidRDefault="006B3F46" w:rsidP="002E4B39">
            <w:pPr>
              <w:suppressLineNumbers/>
              <w:spacing w:after="120"/>
              <w:jc w:val="both"/>
              <w:rPr>
                <w:rFonts w:eastAsia="MS Mincho"/>
                <w:sz w:val="22"/>
                <w:szCs w:val="22"/>
                <w:lang w:val="en-US" w:eastAsia="ja-JP"/>
              </w:rPr>
            </w:pPr>
            <w:r w:rsidRPr="0021277B">
              <w:rPr>
                <w:rFonts w:eastAsia="Calibri"/>
                <w:sz w:val="22"/>
                <w:szCs w:val="22"/>
                <w:lang w:val="en-US"/>
              </w:rPr>
              <w:t xml:space="preserve">Due </w:t>
            </w:r>
            <w:r w:rsidRPr="002E4B39">
              <w:rPr>
                <w:rFonts w:eastAsia="MS Mincho"/>
                <w:sz w:val="22"/>
                <w:szCs w:val="22"/>
                <w:lang w:val="en-US"/>
              </w:rPr>
              <w:t>to</w:t>
            </w:r>
            <w:r w:rsidRPr="0021277B">
              <w:rPr>
                <w:rFonts w:eastAsia="Calibri"/>
                <w:sz w:val="22"/>
                <w:szCs w:val="22"/>
                <w:lang w:val="en-US"/>
              </w:rPr>
              <w:t xml:space="preserve"> its relative</w:t>
            </w:r>
            <w:r>
              <w:rPr>
                <w:rFonts w:eastAsia="Calibri"/>
                <w:sz w:val="22"/>
                <w:szCs w:val="22"/>
                <w:lang w:val="en-US"/>
              </w:rPr>
              <w:t xml:space="preserve"> </w:t>
            </w:r>
            <w:r w:rsidRPr="0021277B">
              <w:rPr>
                <w:rFonts w:eastAsia="Calibri"/>
                <w:sz w:val="22"/>
                <w:szCs w:val="22"/>
                <w:lang w:val="en-US"/>
              </w:rPr>
              <w:t>proximity to Africa and the Sahara Desert, the archipelago is in</w:t>
            </w:r>
            <w:r w:rsidRPr="0021277B">
              <w:rPr>
                <w:rFonts w:eastAsia="Calibri"/>
                <w:sz w:val="22"/>
                <w:szCs w:val="22"/>
                <w:lang w:val="es-ES"/>
              </w:rPr>
              <w:t>ﬂ</w:t>
            </w:r>
            <w:r w:rsidRPr="0021277B">
              <w:rPr>
                <w:rFonts w:eastAsia="Calibri"/>
                <w:sz w:val="22"/>
                <w:szCs w:val="22"/>
                <w:lang w:val="en-US"/>
              </w:rPr>
              <w:t xml:space="preserve">uenced by coastal upwelling that produces complex mesoscale variation in temperature and organic matter (Arístegui </w:t>
            </w:r>
            <w:r w:rsidRPr="0006066A">
              <w:rPr>
                <w:rFonts w:eastAsia="Calibri"/>
                <w:i/>
                <w:sz w:val="22"/>
                <w:szCs w:val="22"/>
                <w:lang w:val="en-US"/>
              </w:rPr>
              <w:t>et al</w:t>
            </w:r>
            <w:r w:rsidRPr="0021277B">
              <w:rPr>
                <w:rFonts w:eastAsia="Calibri"/>
                <w:sz w:val="22"/>
                <w:szCs w:val="22"/>
                <w:lang w:val="en-US"/>
              </w:rPr>
              <w:t>., 2009). Additionally, t</w:t>
            </w:r>
            <w:r w:rsidRPr="0021277B">
              <w:rPr>
                <w:rFonts w:eastAsia="MS Mincho"/>
                <w:sz w:val="22"/>
                <w:szCs w:val="22"/>
                <w:lang w:val="en-US" w:eastAsia="ja-JP"/>
              </w:rPr>
              <w:t xml:space="preserve">he seamounts, located in flat abyssal areas, pose topographic obstacles that modify the circulation and lead to complex vortices and Taylor columns (Roden, 1986), whereby a rotating body of water is retained over the summit of a seamount. These effects promote blooms of primary production, with increases in zooplankton and suprabenthos, which lead to increases in the availability of food for wildlife (White </w:t>
            </w:r>
            <w:r w:rsidRPr="0006066A">
              <w:rPr>
                <w:rFonts w:eastAsia="MS Mincho"/>
                <w:i/>
                <w:sz w:val="22"/>
                <w:szCs w:val="22"/>
                <w:lang w:val="en-US" w:eastAsia="ja-JP"/>
              </w:rPr>
              <w:t>et al</w:t>
            </w:r>
            <w:r w:rsidRPr="0021277B">
              <w:rPr>
                <w:rFonts w:eastAsia="MS Mincho"/>
                <w:sz w:val="22"/>
                <w:szCs w:val="22"/>
                <w:lang w:val="en-US" w:eastAsia="ja-JP"/>
              </w:rPr>
              <w:t>., 2007). Taylor columns can also trap advected organisms and zooplankton with vertical migration. All these conditions translate into an external contribution of food for the seamount communities.</w:t>
            </w:r>
          </w:p>
          <w:p w14:paraId="46FBFD12" w14:textId="4F0F3385" w:rsidR="006B3F46" w:rsidRPr="0021277B" w:rsidRDefault="006B3F46" w:rsidP="002E4B39">
            <w:pPr>
              <w:suppressLineNumbers/>
              <w:spacing w:after="120"/>
              <w:jc w:val="both"/>
              <w:rPr>
                <w:rFonts w:eastAsia="MS Mincho"/>
                <w:sz w:val="22"/>
                <w:szCs w:val="22"/>
                <w:lang w:val="en-US" w:eastAsia="ja-JP"/>
              </w:rPr>
            </w:pPr>
            <w:r w:rsidRPr="0021277B">
              <w:rPr>
                <w:rFonts w:eastAsia="MS Mincho"/>
                <w:sz w:val="22"/>
                <w:szCs w:val="22"/>
                <w:lang w:val="en-US"/>
              </w:rPr>
              <w:t>Seagrass</w:t>
            </w:r>
            <w:r w:rsidRPr="0021277B">
              <w:rPr>
                <w:rFonts w:eastAsia="MS Mincho"/>
                <w:sz w:val="22"/>
                <w:szCs w:val="22"/>
                <w:lang w:val="en-US" w:eastAsia="ja-JP"/>
              </w:rPr>
              <w:t xml:space="preserve"> meadows play a crucial role in coastal areas because of their high primary production and their support to the increasing biodiversity (Mazzella </w:t>
            </w:r>
            <w:r w:rsidRPr="0006066A">
              <w:rPr>
                <w:rFonts w:eastAsia="MS Mincho"/>
                <w:i/>
                <w:sz w:val="22"/>
                <w:szCs w:val="22"/>
                <w:lang w:val="en-US" w:eastAsia="ja-JP"/>
              </w:rPr>
              <w:t>et al</w:t>
            </w:r>
            <w:r w:rsidRPr="0021277B">
              <w:rPr>
                <w:rFonts w:eastAsia="MS Mincho"/>
                <w:sz w:val="22"/>
                <w:szCs w:val="22"/>
                <w:lang w:val="en-US" w:eastAsia="ja-JP"/>
              </w:rPr>
              <w:t xml:space="preserve">., 1993) and food web complexity (Mazzella </w:t>
            </w:r>
            <w:r w:rsidRPr="0006066A">
              <w:rPr>
                <w:rFonts w:eastAsia="MS Mincho"/>
                <w:i/>
                <w:sz w:val="22"/>
                <w:szCs w:val="22"/>
                <w:lang w:val="en-US" w:eastAsia="ja-JP"/>
              </w:rPr>
              <w:t>et al</w:t>
            </w:r>
            <w:r w:rsidRPr="0021277B">
              <w:rPr>
                <w:rFonts w:eastAsia="MS Mincho"/>
                <w:sz w:val="22"/>
                <w:szCs w:val="22"/>
                <w:lang w:val="en-US" w:eastAsia="ja-JP"/>
              </w:rPr>
              <w:t xml:space="preserve">., 1992; Buia </w:t>
            </w:r>
            <w:r w:rsidRPr="0006066A">
              <w:rPr>
                <w:rFonts w:eastAsia="MS Mincho"/>
                <w:i/>
                <w:sz w:val="22"/>
                <w:szCs w:val="22"/>
                <w:lang w:val="en-US" w:eastAsia="ja-JP"/>
              </w:rPr>
              <w:t>et al</w:t>
            </w:r>
            <w:r w:rsidRPr="0021277B">
              <w:rPr>
                <w:rFonts w:eastAsia="MS Mincho"/>
                <w:sz w:val="22"/>
                <w:szCs w:val="22"/>
                <w:lang w:val="en-US" w:eastAsia="ja-JP"/>
              </w:rPr>
              <w:t>.,</w:t>
            </w:r>
            <w:r>
              <w:rPr>
                <w:rFonts w:eastAsia="MS Mincho"/>
                <w:sz w:val="22"/>
                <w:szCs w:val="22"/>
                <w:lang w:val="en-US" w:eastAsia="ja-JP"/>
              </w:rPr>
              <w:t xml:space="preserve"> </w:t>
            </w:r>
            <w:r w:rsidRPr="0021277B">
              <w:rPr>
                <w:rFonts w:eastAsia="MS Mincho"/>
                <w:sz w:val="22"/>
                <w:szCs w:val="22"/>
                <w:lang w:val="en-US" w:eastAsia="ja-JP"/>
              </w:rPr>
              <w:t>2000). But seagrass meadows are undergoing a worldwide decline, with global loss rates estimated at 2-5</w:t>
            </w:r>
            <w:r>
              <w:rPr>
                <w:rFonts w:eastAsia="MS Mincho"/>
                <w:sz w:val="22"/>
                <w:szCs w:val="22"/>
                <w:lang w:val="en-US" w:eastAsia="ja-JP"/>
              </w:rPr>
              <w:t xml:space="preserve"> per cent</w:t>
            </w:r>
            <w:r w:rsidRPr="0021277B">
              <w:rPr>
                <w:rFonts w:eastAsia="MS Mincho"/>
                <w:sz w:val="22"/>
                <w:szCs w:val="22"/>
                <w:lang w:val="en-US" w:eastAsia="ja-JP"/>
              </w:rPr>
              <w:t xml:space="preserve"> </w:t>
            </w:r>
            <w:r>
              <w:rPr>
                <w:rFonts w:eastAsia="MS Mincho"/>
                <w:sz w:val="22"/>
                <w:szCs w:val="22"/>
                <w:lang w:val="en-US" w:eastAsia="ja-JP"/>
              </w:rPr>
              <w:t xml:space="preserve">per </w:t>
            </w:r>
            <w:r w:rsidRPr="0021277B">
              <w:rPr>
                <w:rFonts w:eastAsia="MS Mincho"/>
                <w:sz w:val="22"/>
                <w:szCs w:val="22"/>
                <w:lang w:val="en-US" w:eastAsia="ja-JP"/>
              </w:rPr>
              <w:t>year, compared to 0.5</w:t>
            </w:r>
            <w:r>
              <w:rPr>
                <w:rFonts w:eastAsia="MS Mincho"/>
                <w:sz w:val="22"/>
                <w:szCs w:val="22"/>
                <w:lang w:val="en-US" w:eastAsia="ja-JP"/>
              </w:rPr>
              <w:t xml:space="preserve"> per cent</w:t>
            </w:r>
            <w:r w:rsidRPr="0021277B">
              <w:rPr>
                <w:rFonts w:eastAsia="MS Mincho"/>
                <w:sz w:val="22"/>
                <w:szCs w:val="22"/>
                <w:lang w:val="en-US" w:eastAsia="ja-JP"/>
              </w:rPr>
              <w:t xml:space="preserve"> </w:t>
            </w:r>
            <w:r>
              <w:rPr>
                <w:rFonts w:eastAsia="MS Mincho"/>
                <w:sz w:val="22"/>
                <w:szCs w:val="22"/>
                <w:lang w:val="en-US" w:eastAsia="ja-JP"/>
              </w:rPr>
              <w:t xml:space="preserve">per </w:t>
            </w:r>
            <w:r w:rsidRPr="0021277B">
              <w:rPr>
                <w:rFonts w:eastAsia="MS Mincho"/>
                <w:sz w:val="22"/>
                <w:szCs w:val="22"/>
                <w:lang w:val="en-US" w:eastAsia="ja-JP"/>
              </w:rPr>
              <w:t>year for tropical forests (Duarte &amp; Gattuso, 2008).</w:t>
            </w:r>
          </w:p>
        </w:tc>
      </w:tr>
      <w:tr w:rsidR="006B3F46" w:rsidRPr="0021277B" w14:paraId="45441ABA" w14:textId="77777777" w:rsidTr="002E4B39">
        <w:tc>
          <w:tcPr>
            <w:tcW w:w="832" w:type="pct"/>
            <w:shd w:val="clear" w:color="auto" w:fill="auto"/>
          </w:tcPr>
          <w:p w14:paraId="454EB161"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Biological diversity</w:t>
            </w:r>
          </w:p>
        </w:tc>
        <w:tc>
          <w:tcPr>
            <w:tcW w:w="2232" w:type="pct"/>
            <w:shd w:val="clear" w:color="auto" w:fill="auto"/>
          </w:tcPr>
          <w:p w14:paraId="76F7A92E"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16224CD7"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3CEA82C9"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0BA83915"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2" w:type="pct"/>
            <w:gridSpan w:val="2"/>
            <w:shd w:val="clear" w:color="auto" w:fill="auto"/>
          </w:tcPr>
          <w:p w14:paraId="4FA288DC" w14:textId="77777777" w:rsidR="006B3F46" w:rsidRPr="0021277B" w:rsidRDefault="006B3F46" w:rsidP="00907941">
            <w:pPr>
              <w:widowControl w:val="0"/>
              <w:autoSpaceDE w:val="0"/>
              <w:autoSpaceDN w:val="0"/>
              <w:adjustRightInd w:val="0"/>
              <w:jc w:val="center"/>
              <w:rPr>
                <w:rFonts w:eastAsia="MS Mincho"/>
                <w:bCs/>
                <w:sz w:val="22"/>
                <w:szCs w:val="22"/>
                <w:lang w:val="en-US"/>
              </w:rPr>
            </w:pPr>
          </w:p>
          <w:p w14:paraId="29693C89"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7EFC5624" w14:textId="77777777" w:rsidTr="00907941">
        <w:tc>
          <w:tcPr>
            <w:tcW w:w="5000" w:type="pct"/>
            <w:gridSpan w:val="11"/>
            <w:shd w:val="clear" w:color="auto" w:fill="auto"/>
          </w:tcPr>
          <w:p w14:paraId="60C22BEF" w14:textId="77777777" w:rsidR="006B3F46" w:rsidRPr="0021277B" w:rsidRDefault="006B3F46" w:rsidP="00907941">
            <w:pPr>
              <w:widowControl w:val="0"/>
              <w:autoSpaceDE w:val="0"/>
              <w:autoSpaceDN w:val="0"/>
              <w:adjustRightInd w:val="0"/>
              <w:rPr>
                <w:rFonts w:eastAsia="MS Mincho"/>
                <w:sz w:val="22"/>
                <w:szCs w:val="22"/>
                <w:lang w:val="en-US" w:eastAsia="ja-JP"/>
              </w:rPr>
            </w:pPr>
            <w:r w:rsidRPr="0021277B">
              <w:rPr>
                <w:i/>
                <w:iCs/>
                <w:sz w:val="22"/>
                <w:szCs w:val="22"/>
              </w:rPr>
              <w:t>Explanation for ranking</w:t>
            </w:r>
          </w:p>
          <w:p w14:paraId="141C4BEA" w14:textId="77777777" w:rsidR="006B3F46" w:rsidRPr="0021277B" w:rsidRDefault="006B3F46" w:rsidP="002E4B39">
            <w:pPr>
              <w:suppressLineNumbers/>
              <w:spacing w:after="120"/>
              <w:jc w:val="both"/>
              <w:rPr>
                <w:rFonts w:eastAsia="MS Mincho"/>
                <w:sz w:val="22"/>
                <w:szCs w:val="22"/>
              </w:rPr>
            </w:pPr>
            <w:r w:rsidRPr="0021277B">
              <w:rPr>
                <w:rFonts w:eastAsia="MS Mincho"/>
                <w:sz w:val="22"/>
                <w:szCs w:val="22"/>
                <w:lang w:val="en-US" w:eastAsia="ja-JP"/>
              </w:rPr>
              <w:t xml:space="preserve">The high biodiversity of the area is due to the effect of the Canary Current Large Marine Ecosystem on this area (Arístegui </w:t>
            </w:r>
            <w:r w:rsidRPr="0006066A">
              <w:rPr>
                <w:rFonts w:eastAsia="MS Mincho"/>
                <w:i/>
                <w:sz w:val="22"/>
                <w:szCs w:val="22"/>
                <w:lang w:val="en-US" w:eastAsia="ja-JP"/>
              </w:rPr>
              <w:t>et al</w:t>
            </w:r>
            <w:r w:rsidRPr="0021277B">
              <w:rPr>
                <w:rFonts w:eastAsia="MS Mincho"/>
                <w:sz w:val="22"/>
                <w:szCs w:val="22"/>
                <w:lang w:val="en-US" w:eastAsia="ja-JP"/>
              </w:rPr>
              <w:t xml:space="preserve">., 2009; Hernández-Guerra </w:t>
            </w:r>
            <w:r w:rsidRPr="0006066A">
              <w:rPr>
                <w:rFonts w:eastAsia="MS Mincho"/>
                <w:i/>
                <w:sz w:val="22"/>
                <w:szCs w:val="22"/>
                <w:lang w:val="en-US" w:eastAsia="ja-JP"/>
              </w:rPr>
              <w:t>et al</w:t>
            </w:r>
            <w:r w:rsidRPr="0021277B">
              <w:rPr>
                <w:rFonts w:eastAsia="MS Mincho"/>
                <w:sz w:val="22"/>
                <w:szCs w:val="22"/>
                <w:lang w:val="en-US" w:eastAsia="ja-JP"/>
              </w:rPr>
              <w:t xml:space="preserve">., 2017), its </w:t>
            </w:r>
            <w:r>
              <w:rPr>
                <w:rFonts w:eastAsia="MS Mincho"/>
                <w:sz w:val="22"/>
                <w:szCs w:val="22"/>
                <w:lang w:val="en-US" w:eastAsia="ja-JP"/>
              </w:rPr>
              <w:t>location</w:t>
            </w:r>
            <w:r w:rsidRPr="0021277B">
              <w:rPr>
                <w:rFonts w:eastAsia="MS Mincho"/>
                <w:sz w:val="22"/>
                <w:szCs w:val="22"/>
                <w:lang w:val="en-US" w:eastAsia="ja-JP"/>
              </w:rPr>
              <w:t xml:space="preserve">, the great environmental </w:t>
            </w:r>
            <w:r w:rsidRPr="0021277B">
              <w:rPr>
                <w:rFonts w:eastAsia="MS Mincho"/>
                <w:sz w:val="22"/>
                <w:szCs w:val="22"/>
                <w:lang w:val="en-US"/>
              </w:rPr>
              <w:t>heterogeneity</w:t>
            </w:r>
            <w:r w:rsidRPr="0021277B">
              <w:rPr>
                <w:rFonts w:eastAsia="MS Mincho"/>
                <w:sz w:val="22"/>
                <w:szCs w:val="22"/>
                <w:lang w:val="en-US" w:eastAsia="ja-JP"/>
              </w:rPr>
              <w:t xml:space="preserve"> of the archipelago, and the high diversity of benthic habitats (Brito </w:t>
            </w:r>
            <w:r w:rsidRPr="0006066A">
              <w:rPr>
                <w:rFonts w:eastAsia="MS Mincho"/>
                <w:i/>
                <w:sz w:val="22"/>
                <w:szCs w:val="22"/>
                <w:lang w:val="en-US" w:eastAsia="ja-JP"/>
              </w:rPr>
              <w:t>et al</w:t>
            </w:r>
            <w:r w:rsidRPr="0021277B">
              <w:rPr>
                <w:rFonts w:eastAsia="MS Mincho"/>
                <w:sz w:val="22"/>
                <w:szCs w:val="22"/>
                <w:lang w:val="en-US" w:eastAsia="ja-JP"/>
              </w:rPr>
              <w:t xml:space="preserve">., 2001; Falcón, 2015). </w:t>
            </w:r>
          </w:p>
          <w:p w14:paraId="36834E12" w14:textId="77777777" w:rsidR="006B3F46" w:rsidRPr="0021277B" w:rsidRDefault="006B3F46" w:rsidP="002E4B39">
            <w:pPr>
              <w:suppressLineNumbers/>
              <w:spacing w:after="120"/>
              <w:jc w:val="both"/>
              <w:rPr>
                <w:rFonts w:eastAsia="MS Mincho"/>
                <w:sz w:val="22"/>
                <w:szCs w:val="22"/>
                <w:lang w:val="en-US" w:eastAsia="ja-JP"/>
              </w:rPr>
            </w:pPr>
            <w:r w:rsidRPr="0021277B">
              <w:rPr>
                <w:rFonts w:eastAsia="MS Mincho"/>
                <w:sz w:val="22"/>
                <w:szCs w:val="22"/>
                <w:lang w:val="en-US"/>
              </w:rPr>
              <w:t>Among</w:t>
            </w:r>
            <w:r w:rsidRPr="0021277B">
              <w:rPr>
                <w:rFonts w:eastAsia="MS Mincho"/>
                <w:sz w:val="22"/>
                <w:szCs w:val="22"/>
                <w:lang w:val="en-US" w:eastAsia="ja-JP"/>
              </w:rPr>
              <w:t xml:space="preserve"> the high diversity of benthic habitats both on hard and soft bottoms around the area, we find: black</w:t>
            </w:r>
            <w:r>
              <w:rPr>
                <w:rFonts w:eastAsia="MS Mincho"/>
                <w:sz w:val="22"/>
                <w:szCs w:val="22"/>
                <w:lang w:val="en-US" w:eastAsia="ja-JP"/>
              </w:rPr>
              <w:t>-</w:t>
            </w:r>
            <w:r w:rsidRPr="0021277B">
              <w:rPr>
                <w:rFonts w:eastAsia="MS Mincho"/>
                <w:sz w:val="22"/>
                <w:szCs w:val="22"/>
                <w:lang w:val="en-US" w:eastAsia="ja-JP"/>
              </w:rPr>
              <w:t>coral forest</w:t>
            </w:r>
            <w:r>
              <w:rPr>
                <w:rFonts w:eastAsia="MS Mincho"/>
                <w:sz w:val="22"/>
                <w:szCs w:val="22"/>
                <w:lang w:val="en-US" w:eastAsia="ja-JP"/>
              </w:rPr>
              <w:t>s</w:t>
            </w:r>
            <w:r w:rsidRPr="0021277B">
              <w:rPr>
                <w:rFonts w:eastAsia="MS Mincho"/>
                <w:sz w:val="22"/>
                <w:szCs w:val="22"/>
                <w:lang w:val="en-US" w:eastAsia="ja-JP"/>
              </w:rPr>
              <w:t xml:space="preserve"> (</w:t>
            </w:r>
            <w:r w:rsidRPr="0021277B">
              <w:rPr>
                <w:rFonts w:eastAsia="MS Mincho"/>
                <w:i/>
                <w:sz w:val="22"/>
                <w:szCs w:val="22"/>
                <w:lang w:val="en-US" w:eastAsia="ja-JP"/>
              </w:rPr>
              <w:t>Antipathella wollastoni, Stichopathes spp</w:t>
            </w:r>
            <w:r w:rsidRPr="0021277B">
              <w:rPr>
                <w:rFonts w:eastAsia="MS Mincho"/>
                <w:sz w:val="22"/>
                <w:szCs w:val="22"/>
                <w:lang w:val="en-US" w:eastAsia="ja-JP"/>
              </w:rPr>
              <w:t>.), gorgonian gardens (</w:t>
            </w:r>
            <w:r w:rsidRPr="0021277B">
              <w:rPr>
                <w:rFonts w:eastAsia="MS Mincho"/>
                <w:i/>
                <w:sz w:val="22"/>
                <w:szCs w:val="22"/>
                <w:lang w:val="en-US" w:eastAsia="ja-JP"/>
              </w:rPr>
              <w:t>Leptogorgia spp Callogorgia verticillata, Narella bellissima, Bebryce mollis, Eunicella verrucose, Paramuricea biscaya, Viminella flagellum</w:t>
            </w:r>
            <w:r w:rsidRPr="0021277B">
              <w:rPr>
                <w:rFonts w:eastAsia="MS Mincho"/>
                <w:sz w:val="22"/>
                <w:szCs w:val="22"/>
                <w:lang w:val="en-US" w:eastAsia="ja-JP"/>
              </w:rPr>
              <w:t>), mixed corals (</w:t>
            </w:r>
            <w:r w:rsidRPr="0021277B">
              <w:rPr>
                <w:rFonts w:eastAsia="MS Mincho"/>
                <w:i/>
                <w:sz w:val="22"/>
                <w:szCs w:val="22"/>
                <w:lang w:val="en-US" w:eastAsia="ja-JP"/>
              </w:rPr>
              <w:t>Dendrophyllia cornigera</w:t>
            </w:r>
            <w:r w:rsidRPr="0021277B">
              <w:rPr>
                <w:rFonts w:eastAsia="MS Mincho"/>
                <w:sz w:val="22"/>
                <w:szCs w:val="22"/>
                <w:lang w:val="en-US" w:eastAsia="ja-JP"/>
              </w:rPr>
              <w:t>) and sponge (</w:t>
            </w:r>
            <w:r w:rsidRPr="0021277B">
              <w:rPr>
                <w:rFonts w:eastAsia="MS Mincho"/>
                <w:i/>
                <w:sz w:val="22"/>
                <w:szCs w:val="22"/>
                <w:lang w:val="en-US" w:eastAsia="ja-JP"/>
              </w:rPr>
              <w:t>Phakellia ventilabrum</w:t>
            </w:r>
            <w:r w:rsidRPr="0021277B">
              <w:rPr>
                <w:rFonts w:eastAsia="MS Mincho"/>
                <w:sz w:val="22"/>
                <w:szCs w:val="22"/>
                <w:lang w:val="en-US" w:eastAsia="ja-JP"/>
              </w:rPr>
              <w:t xml:space="preserve">) </w:t>
            </w:r>
            <w:r>
              <w:rPr>
                <w:rFonts w:eastAsia="MS Mincho"/>
                <w:sz w:val="22"/>
                <w:szCs w:val="22"/>
                <w:lang w:val="en-US" w:eastAsia="ja-JP"/>
              </w:rPr>
              <w:t xml:space="preserve">and sponge </w:t>
            </w:r>
            <w:r w:rsidRPr="0021277B">
              <w:rPr>
                <w:rFonts w:eastAsia="MS Mincho"/>
                <w:sz w:val="22"/>
                <w:szCs w:val="22"/>
                <w:lang w:val="en-US" w:eastAsia="ja-JP"/>
              </w:rPr>
              <w:t>assemblages (large hexactinellid sponge</w:t>
            </w:r>
            <w:r>
              <w:rPr>
                <w:rFonts w:eastAsia="MS Mincho"/>
                <w:sz w:val="22"/>
                <w:szCs w:val="22"/>
                <w:lang w:val="en-US" w:eastAsia="ja-JP"/>
              </w:rPr>
              <w:t xml:space="preserve">, </w:t>
            </w:r>
            <w:r w:rsidRPr="0021277B">
              <w:rPr>
                <w:rFonts w:eastAsia="MS Mincho"/>
                <w:i/>
                <w:sz w:val="22"/>
                <w:szCs w:val="22"/>
                <w:lang w:val="en-US" w:eastAsia="ja-JP"/>
              </w:rPr>
              <w:t>Asconema setubalense</w:t>
            </w:r>
            <w:r>
              <w:rPr>
                <w:rFonts w:eastAsia="MS Mincho"/>
                <w:i/>
                <w:sz w:val="22"/>
                <w:szCs w:val="22"/>
                <w:lang w:val="en-US" w:eastAsia="ja-JP"/>
              </w:rPr>
              <w:t>,</w:t>
            </w:r>
            <w:r>
              <w:rPr>
                <w:rFonts w:eastAsia="MS Mincho"/>
                <w:sz w:val="22"/>
                <w:szCs w:val="22"/>
                <w:lang w:val="en-US" w:eastAsia="ja-JP"/>
              </w:rPr>
              <w:t xml:space="preserve"> </w:t>
            </w:r>
            <w:r w:rsidRPr="0021277B">
              <w:rPr>
                <w:rFonts w:eastAsia="MS Mincho"/>
                <w:sz w:val="22"/>
                <w:szCs w:val="22"/>
                <w:lang w:val="en-US" w:eastAsia="ja-JP"/>
              </w:rPr>
              <w:t xml:space="preserve"> and lithistid sponges</w:t>
            </w:r>
            <w:r>
              <w:rPr>
                <w:rFonts w:eastAsia="MS Mincho"/>
                <w:sz w:val="22"/>
                <w:szCs w:val="22"/>
                <w:lang w:val="en-US" w:eastAsia="ja-JP"/>
              </w:rPr>
              <w:t>,</w:t>
            </w:r>
            <w:r w:rsidRPr="0021277B">
              <w:rPr>
                <w:rFonts w:eastAsia="MS Mincho"/>
                <w:sz w:val="22"/>
                <w:szCs w:val="22"/>
                <w:lang w:val="en-US" w:eastAsia="ja-JP"/>
              </w:rPr>
              <w:t xml:space="preserve"> </w:t>
            </w:r>
            <w:r w:rsidRPr="0021277B">
              <w:rPr>
                <w:rFonts w:eastAsia="MS Mincho"/>
                <w:i/>
                <w:sz w:val="22"/>
                <w:szCs w:val="22"/>
                <w:lang w:val="en-US" w:eastAsia="ja-JP"/>
              </w:rPr>
              <w:t>Leiodermatium-Neophryssospongia</w:t>
            </w:r>
            <w:r w:rsidRPr="0021277B">
              <w:rPr>
                <w:rFonts w:eastAsia="MS Mincho"/>
                <w:sz w:val="22"/>
                <w:szCs w:val="22"/>
                <w:lang w:val="en-US" w:eastAsia="ja-JP"/>
              </w:rPr>
              <w:t>), deep coral reefs (</w:t>
            </w:r>
            <w:r w:rsidRPr="0021277B">
              <w:rPr>
                <w:rFonts w:eastAsia="MS Mincho"/>
                <w:i/>
                <w:sz w:val="22"/>
                <w:szCs w:val="22"/>
                <w:lang w:val="en-US" w:eastAsia="ja-JP"/>
              </w:rPr>
              <w:t>Lophelia pertusa, Madrepora oculate, Solenosmilia variabilis</w:t>
            </w:r>
            <w:r w:rsidRPr="0021277B">
              <w:rPr>
                <w:rFonts w:eastAsia="MS Mincho"/>
                <w:sz w:val="22"/>
                <w:szCs w:val="22"/>
                <w:lang w:val="en-US" w:eastAsia="ja-JP"/>
              </w:rPr>
              <w:t>), seagrass meadows (</w:t>
            </w:r>
            <w:r w:rsidRPr="0021277B">
              <w:rPr>
                <w:rFonts w:eastAsia="MS Mincho"/>
                <w:i/>
                <w:sz w:val="22"/>
                <w:szCs w:val="22"/>
                <w:lang w:val="en-US" w:eastAsia="ja-JP"/>
              </w:rPr>
              <w:t>Cymodocea nodosa</w:t>
            </w:r>
            <w:r w:rsidRPr="0021277B">
              <w:rPr>
                <w:rFonts w:eastAsia="MS Mincho"/>
                <w:sz w:val="22"/>
                <w:szCs w:val="22"/>
                <w:lang w:val="en-US" w:eastAsia="ja-JP"/>
              </w:rPr>
              <w:t xml:space="preserve">) and </w:t>
            </w:r>
            <w:r w:rsidRPr="0021277B">
              <w:rPr>
                <w:rFonts w:eastAsia="MS Mincho"/>
                <w:i/>
                <w:sz w:val="22"/>
                <w:szCs w:val="22"/>
                <w:lang w:val="en-US" w:eastAsia="ja-JP"/>
              </w:rPr>
              <w:t>Halophila decipiens</w:t>
            </w:r>
            <w:r w:rsidRPr="0021277B">
              <w:rPr>
                <w:rFonts w:eastAsia="MS Mincho"/>
                <w:sz w:val="22"/>
                <w:szCs w:val="22"/>
                <w:lang w:val="en-US" w:eastAsia="ja-JP"/>
              </w:rPr>
              <w:t xml:space="preserve"> sometimes mixed with green algae (</w:t>
            </w:r>
            <w:r w:rsidRPr="0021277B">
              <w:rPr>
                <w:rFonts w:eastAsia="MS Mincho"/>
                <w:i/>
                <w:sz w:val="22"/>
                <w:szCs w:val="22"/>
                <w:lang w:val="en-US" w:eastAsia="ja-JP"/>
              </w:rPr>
              <w:t>Caulerpa prolifera</w:t>
            </w:r>
            <w:r w:rsidRPr="0021277B">
              <w:rPr>
                <w:rFonts w:eastAsia="MS Mincho"/>
                <w:sz w:val="22"/>
                <w:szCs w:val="22"/>
                <w:lang w:val="en-US" w:eastAsia="ja-JP"/>
              </w:rPr>
              <w:t xml:space="preserve">) (Aguilar </w:t>
            </w:r>
            <w:r w:rsidRPr="0006066A">
              <w:rPr>
                <w:rFonts w:eastAsia="MS Mincho"/>
                <w:i/>
                <w:sz w:val="22"/>
                <w:szCs w:val="22"/>
                <w:lang w:val="en-US" w:eastAsia="ja-JP"/>
              </w:rPr>
              <w:t>et al</w:t>
            </w:r>
            <w:r w:rsidRPr="0021277B">
              <w:rPr>
                <w:rFonts w:eastAsia="MS Mincho"/>
                <w:sz w:val="22"/>
                <w:szCs w:val="22"/>
                <w:lang w:val="en-US" w:eastAsia="ja-JP"/>
              </w:rPr>
              <w:t xml:space="preserve">., 2009; Brito, 2004; Martín-Sosa </w:t>
            </w:r>
            <w:r w:rsidRPr="0006066A">
              <w:rPr>
                <w:rFonts w:eastAsia="MS Mincho"/>
                <w:i/>
                <w:sz w:val="22"/>
                <w:szCs w:val="22"/>
                <w:lang w:val="en-US" w:eastAsia="ja-JP"/>
              </w:rPr>
              <w:t>et al</w:t>
            </w:r>
            <w:r w:rsidRPr="0021277B">
              <w:rPr>
                <w:rFonts w:eastAsia="MS Mincho"/>
                <w:sz w:val="22"/>
                <w:szCs w:val="22"/>
                <w:lang w:val="en-US" w:eastAsia="ja-JP"/>
              </w:rPr>
              <w:t xml:space="preserve">, 2013; Almón </w:t>
            </w:r>
            <w:r w:rsidRPr="0006066A">
              <w:rPr>
                <w:rFonts w:eastAsia="MS Mincho"/>
                <w:i/>
                <w:sz w:val="22"/>
                <w:szCs w:val="22"/>
                <w:lang w:val="en-US" w:eastAsia="ja-JP"/>
              </w:rPr>
              <w:t>et al</w:t>
            </w:r>
            <w:r w:rsidRPr="0021277B">
              <w:rPr>
                <w:rFonts w:eastAsia="MS Mincho"/>
                <w:sz w:val="22"/>
                <w:szCs w:val="22"/>
                <w:lang w:val="en-US" w:eastAsia="ja-JP"/>
              </w:rPr>
              <w:t xml:space="preserve">., 2014a, 2014b; Martín-García </w:t>
            </w:r>
            <w:r w:rsidRPr="0006066A">
              <w:rPr>
                <w:rFonts w:eastAsia="MS Mincho"/>
                <w:i/>
                <w:sz w:val="22"/>
                <w:szCs w:val="22"/>
                <w:lang w:val="en-US" w:eastAsia="ja-JP"/>
              </w:rPr>
              <w:t>et al</w:t>
            </w:r>
            <w:r w:rsidRPr="0021277B">
              <w:rPr>
                <w:rFonts w:eastAsia="MS Mincho"/>
                <w:sz w:val="22"/>
                <w:szCs w:val="22"/>
                <w:lang w:val="en-US" w:eastAsia="ja-JP"/>
              </w:rPr>
              <w:t>, 2016).</w:t>
            </w:r>
          </w:p>
          <w:p w14:paraId="2E29158F" w14:textId="77777777" w:rsidR="006B3F46" w:rsidRPr="0021277B" w:rsidRDefault="006B3F46" w:rsidP="002E4B39">
            <w:pPr>
              <w:suppressLineNumbers/>
              <w:spacing w:after="120"/>
              <w:jc w:val="both"/>
              <w:rPr>
                <w:rFonts w:eastAsia="MS Mincho"/>
                <w:sz w:val="22"/>
                <w:szCs w:val="22"/>
                <w:lang w:val="en-US" w:eastAsia="ja-JP"/>
              </w:rPr>
            </w:pPr>
            <w:r w:rsidRPr="0021277B">
              <w:rPr>
                <w:rFonts w:eastAsia="MS Mincho"/>
                <w:sz w:val="22"/>
                <w:szCs w:val="22"/>
                <w:lang w:val="en-US" w:eastAsia="ja-JP"/>
              </w:rPr>
              <w:t>Considering the diversity of multi-taxon species and compar</w:t>
            </w:r>
            <w:r>
              <w:rPr>
                <w:rFonts w:eastAsia="MS Mincho"/>
                <w:sz w:val="22"/>
                <w:szCs w:val="22"/>
                <w:lang w:val="en-US" w:eastAsia="ja-JP"/>
              </w:rPr>
              <w:t>ed</w:t>
            </w:r>
            <w:r w:rsidRPr="0021277B">
              <w:rPr>
                <w:rFonts w:eastAsia="MS Mincho"/>
                <w:sz w:val="22"/>
                <w:szCs w:val="22"/>
                <w:lang w:val="en-US" w:eastAsia="ja-JP"/>
              </w:rPr>
              <w:t xml:space="preserve"> to other areas of the Macaronesian, the Canary Islands are by far the most diverse archipelago for five of the six groups studied (85 echinoderms, 811 gastropods, 120 brachyurans (Crustacea:Decapoda), 465 polychaetes, 689 macroalgae) (Freitas </w:t>
            </w:r>
            <w:r w:rsidRPr="0006066A">
              <w:rPr>
                <w:rFonts w:eastAsia="MS Mincho"/>
                <w:i/>
                <w:sz w:val="22"/>
                <w:szCs w:val="22"/>
                <w:lang w:val="en-US" w:eastAsia="ja-JP"/>
              </w:rPr>
              <w:t>et al</w:t>
            </w:r>
            <w:r w:rsidRPr="0021277B">
              <w:rPr>
                <w:rFonts w:eastAsia="MS Mincho"/>
                <w:sz w:val="22"/>
                <w:szCs w:val="22"/>
                <w:lang w:val="en-US" w:eastAsia="ja-JP"/>
              </w:rPr>
              <w:t xml:space="preserve">. in </w:t>
            </w:r>
            <w:r w:rsidRPr="0021277B">
              <w:rPr>
                <w:rFonts w:eastAsia="MS Mincho"/>
                <w:sz w:val="22"/>
                <w:szCs w:val="22"/>
                <w:lang w:val="en-US"/>
              </w:rPr>
              <w:t>press</w:t>
            </w:r>
            <w:r w:rsidRPr="0021277B">
              <w:rPr>
                <w:rFonts w:eastAsia="MS Mincho"/>
                <w:sz w:val="22"/>
                <w:szCs w:val="22"/>
                <w:lang w:val="en-US" w:eastAsia="ja-JP"/>
              </w:rPr>
              <w:t>)</w:t>
            </w:r>
            <w:r>
              <w:rPr>
                <w:rFonts w:eastAsia="MS Mincho"/>
                <w:sz w:val="22"/>
                <w:szCs w:val="22"/>
                <w:lang w:val="en-US" w:eastAsia="ja-JP"/>
              </w:rPr>
              <w:t>.</w:t>
            </w:r>
          </w:p>
          <w:p w14:paraId="15D3F21F" w14:textId="15384DF6" w:rsidR="006B3F46" w:rsidRPr="0021277B" w:rsidRDefault="006B3F46" w:rsidP="002E4B39">
            <w:pPr>
              <w:suppressLineNumbers/>
              <w:spacing w:after="120"/>
              <w:jc w:val="both"/>
              <w:rPr>
                <w:rFonts w:eastAsia="MS Mincho"/>
                <w:b/>
                <w:bCs/>
                <w:sz w:val="22"/>
                <w:szCs w:val="22"/>
                <w:lang w:val="en-US"/>
              </w:rPr>
            </w:pPr>
            <w:r w:rsidRPr="0021277B">
              <w:rPr>
                <w:rFonts w:eastAsia="MS Mincho"/>
                <w:sz w:val="22"/>
                <w:szCs w:val="22"/>
                <w:lang w:val="en-US"/>
              </w:rPr>
              <w:t>Regarding</w:t>
            </w:r>
            <w:r w:rsidRPr="0021277B">
              <w:rPr>
                <w:rFonts w:eastAsia="MS Mincho"/>
                <w:sz w:val="22"/>
                <w:szCs w:val="22"/>
                <w:lang w:val="en-US" w:eastAsia="ja-JP"/>
              </w:rPr>
              <w:t xml:space="preserve"> the diversity of fish species, the Canary Islands are considered a biodiversity hotspot, with 795 species, (Báez </w:t>
            </w:r>
            <w:r w:rsidRPr="0006066A">
              <w:rPr>
                <w:rFonts w:eastAsia="MS Mincho"/>
                <w:i/>
                <w:sz w:val="22"/>
                <w:szCs w:val="22"/>
                <w:lang w:val="en-US" w:eastAsia="ja-JP"/>
              </w:rPr>
              <w:t>et al</w:t>
            </w:r>
            <w:r w:rsidRPr="0021277B">
              <w:rPr>
                <w:rFonts w:eastAsia="MS Mincho"/>
                <w:sz w:val="22"/>
                <w:szCs w:val="22"/>
                <w:lang w:val="en-US" w:eastAsia="ja-JP"/>
              </w:rPr>
              <w:t xml:space="preserve">., 2019). </w:t>
            </w:r>
          </w:p>
        </w:tc>
      </w:tr>
      <w:tr w:rsidR="006B3F46" w:rsidRPr="0021277B" w14:paraId="5AC67314" w14:textId="77777777" w:rsidTr="002E4B39">
        <w:tc>
          <w:tcPr>
            <w:tcW w:w="832" w:type="pct"/>
            <w:shd w:val="clear" w:color="auto" w:fill="auto"/>
          </w:tcPr>
          <w:p w14:paraId="31819CD6" w14:textId="77777777" w:rsidR="006B3F46" w:rsidRPr="0021277B" w:rsidRDefault="006B3F46" w:rsidP="00907941">
            <w:pPr>
              <w:widowControl w:val="0"/>
              <w:autoSpaceDE w:val="0"/>
              <w:autoSpaceDN w:val="0"/>
              <w:adjustRightInd w:val="0"/>
              <w:jc w:val="both"/>
              <w:rPr>
                <w:rFonts w:eastAsia="MS Mincho"/>
                <w:b/>
                <w:sz w:val="22"/>
                <w:szCs w:val="22"/>
                <w:lang w:val="en-US"/>
              </w:rPr>
            </w:pPr>
            <w:r w:rsidRPr="0021277B">
              <w:rPr>
                <w:rFonts w:eastAsia="MS Mincho"/>
                <w:b/>
                <w:sz w:val="22"/>
                <w:szCs w:val="22"/>
                <w:lang w:val="en-US"/>
              </w:rPr>
              <w:t>Naturalness</w:t>
            </w:r>
          </w:p>
        </w:tc>
        <w:tc>
          <w:tcPr>
            <w:tcW w:w="2247" w:type="pct"/>
            <w:gridSpan w:val="2"/>
            <w:shd w:val="clear" w:color="auto" w:fill="auto"/>
          </w:tcPr>
          <w:p w14:paraId="546A9E06" w14:textId="77777777" w:rsidR="006B3F46" w:rsidRPr="0021277B" w:rsidRDefault="006B3F46" w:rsidP="00907941">
            <w:pPr>
              <w:widowControl w:val="0"/>
              <w:autoSpaceDE w:val="0"/>
              <w:autoSpaceDN w:val="0"/>
              <w:adjustRightInd w:val="0"/>
              <w:rPr>
                <w:rFonts w:eastAsia="MS Mincho"/>
                <w:sz w:val="22"/>
                <w:szCs w:val="22"/>
                <w:lang w:val="en-US"/>
              </w:rPr>
            </w:pPr>
            <w:r w:rsidRPr="0021277B">
              <w:rPr>
                <w:rFonts w:eastAsia="MS Mincho"/>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193D35AE" w14:textId="77777777" w:rsidR="006B3F46" w:rsidRPr="0021277B" w:rsidRDefault="006B3F46" w:rsidP="00907941">
            <w:pPr>
              <w:widowControl w:val="0"/>
              <w:autoSpaceDE w:val="0"/>
              <w:autoSpaceDN w:val="0"/>
              <w:adjustRightInd w:val="0"/>
              <w:jc w:val="center"/>
              <w:rPr>
                <w:rFonts w:eastAsia="MS Mincho"/>
                <w:sz w:val="22"/>
                <w:szCs w:val="22"/>
                <w:lang w:val="en-US"/>
              </w:rPr>
            </w:pPr>
          </w:p>
        </w:tc>
        <w:tc>
          <w:tcPr>
            <w:tcW w:w="453" w:type="pct"/>
            <w:gridSpan w:val="2"/>
            <w:shd w:val="clear" w:color="auto" w:fill="auto"/>
          </w:tcPr>
          <w:p w14:paraId="5C412475" w14:textId="77777777" w:rsidR="006B3F46" w:rsidRPr="0021277B" w:rsidRDefault="006B3F46" w:rsidP="00907941">
            <w:pPr>
              <w:widowControl w:val="0"/>
              <w:autoSpaceDE w:val="0"/>
              <w:autoSpaceDN w:val="0"/>
              <w:adjustRightInd w:val="0"/>
              <w:jc w:val="center"/>
              <w:rPr>
                <w:rFonts w:eastAsia="MS Mincho"/>
                <w:sz w:val="22"/>
                <w:szCs w:val="22"/>
                <w:lang w:val="en-US"/>
              </w:rPr>
            </w:pPr>
          </w:p>
          <w:p w14:paraId="4A208AF3" w14:textId="77777777" w:rsidR="006B3F46" w:rsidRPr="0021277B" w:rsidRDefault="006B3F46" w:rsidP="00907941">
            <w:pPr>
              <w:widowControl w:val="0"/>
              <w:autoSpaceDE w:val="0"/>
              <w:autoSpaceDN w:val="0"/>
              <w:adjustRightInd w:val="0"/>
              <w:jc w:val="center"/>
              <w:rPr>
                <w:rFonts w:eastAsia="MS Mincho"/>
                <w:sz w:val="22"/>
                <w:szCs w:val="22"/>
                <w:lang w:val="en-US"/>
              </w:rPr>
            </w:pPr>
          </w:p>
        </w:tc>
        <w:tc>
          <w:tcPr>
            <w:tcW w:w="400" w:type="pct"/>
            <w:gridSpan w:val="2"/>
            <w:shd w:val="clear" w:color="auto" w:fill="auto"/>
          </w:tcPr>
          <w:p w14:paraId="5D7F5C13" w14:textId="77777777" w:rsidR="006B3F46" w:rsidRPr="0021277B" w:rsidRDefault="006B3F46" w:rsidP="00907941">
            <w:pPr>
              <w:widowControl w:val="0"/>
              <w:autoSpaceDE w:val="0"/>
              <w:autoSpaceDN w:val="0"/>
              <w:adjustRightInd w:val="0"/>
              <w:jc w:val="center"/>
              <w:rPr>
                <w:rFonts w:eastAsia="MS Mincho"/>
                <w:sz w:val="22"/>
                <w:szCs w:val="22"/>
                <w:lang w:val="en-US"/>
              </w:rPr>
            </w:pPr>
            <w:r w:rsidRPr="0021277B">
              <w:rPr>
                <w:rFonts w:eastAsia="MS Mincho"/>
                <w:sz w:val="22"/>
                <w:szCs w:val="22"/>
                <w:lang w:val="en-US"/>
              </w:rPr>
              <w:t>X</w:t>
            </w:r>
          </w:p>
        </w:tc>
        <w:tc>
          <w:tcPr>
            <w:tcW w:w="385" w:type="pct"/>
            <w:shd w:val="clear" w:color="auto" w:fill="auto"/>
          </w:tcPr>
          <w:p w14:paraId="79FC2FE6" w14:textId="77777777" w:rsidR="006B3F46" w:rsidRPr="0021277B" w:rsidRDefault="006B3F46" w:rsidP="00907941">
            <w:pPr>
              <w:widowControl w:val="0"/>
              <w:autoSpaceDE w:val="0"/>
              <w:autoSpaceDN w:val="0"/>
              <w:adjustRightInd w:val="0"/>
              <w:jc w:val="center"/>
              <w:rPr>
                <w:rFonts w:eastAsia="MS Mincho"/>
                <w:sz w:val="22"/>
                <w:szCs w:val="22"/>
                <w:lang w:val="en-US"/>
              </w:rPr>
            </w:pPr>
          </w:p>
        </w:tc>
      </w:tr>
      <w:tr w:rsidR="006B3F46" w:rsidRPr="0021277B" w14:paraId="5C421CAE" w14:textId="77777777" w:rsidTr="00907941">
        <w:tc>
          <w:tcPr>
            <w:tcW w:w="5000" w:type="pct"/>
            <w:gridSpan w:val="11"/>
            <w:shd w:val="clear" w:color="auto" w:fill="auto"/>
          </w:tcPr>
          <w:p w14:paraId="0A39AF18"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0A6EEB36" w14:textId="2C138546" w:rsidR="006B3F46" w:rsidRPr="0021277B" w:rsidRDefault="006B3F46" w:rsidP="002E4B39">
            <w:pPr>
              <w:suppressLineNumbers/>
              <w:spacing w:after="120"/>
              <w:jc w:val="both"/>
              <w:rPr>
                <w:rFonts w:eastAsia="MS Mincho"/>
                <w:sz w:val="22"/>
                <w:szCs w:val="22"/>
                <w:lang w:val="en-US"/>
              </w:rPr>
            </w:pPr>
            <w:r>
              <w:rPr>
                <w:rFonts w:eastAsia="MS Mincho"/>
                <w:sz w:val="22"/>
                <w:szCs w:val="22"/>
                <w:lang w:val="en-US" w:eastAsia="ja-JP"/>
              </w:rPr>
              <w:t xml:space="preserve">Climate </w:t>
            </w:r>
            <w:r>
              <w:rPr>
                <w:rFonts w:eastAsia="MS Mincho"/>
                <w:sz w:val="22"/>
                <w:szCs w:val="22"/>
                <w:lang w:val="en-US"/>
              </w:rPr>
              <w:t>change</w:t>
            </w:r>
            <w:r w:rsidRPr="0021277B">
              <w:rPr>
                <w:rFonts w:eastAsia="MS Mincho"/>
                <w:sz w:val="22"/>
                <w:szCs w:val="22"/>
                <w:lang w:val="en-US" w:eastAsia="ja-JP"/>
              </w:rPr>
              <w:t xml:space="preserve"> (Barton </w:t>
            </w:r>
            <w:r w:rsidRPr="0006066A">
              <w:rPr>
                <w:rFonts w:eastAsia="MS Mincho"/>
                <w:i/>
                <w:sz w:val="22"/>
                <w:szCs w:val="22"/>
                <w:lang w:val="en-US" w:eastAsia="ja-JP"/>
              </w:rPr>
              <w:t>et al</w:t>
            </w:r>
            <w:r w:rsidRPr="0021277B">
              <w:rPr>
                <w:rFonts w:eastAsia="MS Mincho"/>
                <w:sz w:val="22"/>
                <w:szCs w:val="22"/>
                <w:lang w:val="en-US" w:eastAsia="ja-JP"/>
              </w:rPr>
              <w:t xml:space="preserve">., 1998), artisanal fisheries and recreational fishers (Falcon </w:t>
            </w:r>
            <w:r w:rsidRPr="0006066A">
              <w:rPr>
                <w:rFonts w:eastAsia="MS Mincho"/>
                <w:i/>
                <w:sz w:val="22"/>
                <w:szCs w:val="22"/>
                <w:lang w:val="en-US" w:eastAsia="ja-JP"/>
              </w:rPr>
              <w:t>et al</w:t>
            </w:r>
            <w:r w:rsidRPr="0021277B">
              <w:rPr>
                <w:rFonts w:eastAsia="MS Mincho"/>
                <w:sz w:val="22"/>
                <w:szCs w:val="22"/>
                <w:lang w:val="en-US" w:eastAsia="ja-JP"/>
              </w:rPr>
              <w:t xml:space="preserve">., 1996), water pollution, the </w:t>
            </w:r>
            <w:r>
              <w:rPr>
                <w:rFonts w:eastAsia="MS Mincho"/>
                <w:sz w:val="22"/>
                <w:szCs w:val="22"/>
                <w:lang w:val="en-US" w:eastAsia="ja-JP"/>
              </w:rPr>
              <w:t>introduction of invasive alien</w:t>
            </w:r>
            <w:r w:rsidRPr="0021277B">
              <w:rPr>
                <w:rFonts w:eastAsia="MS Mincho"/>
                <w:sz w:val="22"/>
                <w:szCs w:val="22"/>
                <w:lang w:val="en-US" w:eastAsia="ja-JP"/>
              </w:rPr>
              <w:t xml:space="preserve"> species (Occhipinti-Ambrogi and Savini, 2003; Molnar </w:t>
            </w:r>
            <w:r w:rsidRPr="0006066A">
              <w:rPr>
                <w:rFonts w:eastAsia="MS Mincho"/>
                <w:i/>
                <w:sz w:val="22"/>
                <w:szCs w:val="22"/>
                <w:lang w:val="en-US" w:eastAsia="ja-JP"/>
              </w:rPr>
              <w:t>et al</w:t>
            </w:r>
            <w:r w:rsidRPr="0021277B">
              <w:rPr>
                <w:rFonts w:eastAsia="MS Mincho"/>
                <w:sz w:val="22"/>
                <w:szCs w:val="22"/>
                <w:lang w:val="en-US" w:eastAsia="ja-JP"/>
              </w:rPr>
              <w:t xml:space="preserve">., 2008) and the proliferation of the sea urchin </w:t>
            </w:r>
            <w:r>
              <w:rPr>
                <w:rFonts w:eastAsia="MS Mincho"/>
                <w:sz w:val="22"/>
                <w:szCs w:val="22"/>
                <w:lang w:val="en-US" w:eastAsia="ja-JP"/>
              </w:rPr>
              <w:t>(</w:t>
            </w:r>
            <w:r w:rsidRPr="0021277B">
              <w:rPr>
                <w:rFonts w:eastAsia="MS Mincho"/>
                <w:i/>
                <w:iCs/>
                <w:sz w:val="22"/>
                <w:szCs w:val="22"/>
                <w:lang w:val="en-US" w:eastAsia="ja-JP"/>
              </w:rPr>
              <w:t>Diadema africanum</w:t>
            </w:r>
            <w:r>
              <w:rPr>
                <w:rFonts w:eastAsia="MS Mincho"/>
                <w:i/>
                <w:iCs/>
                <w:sz w:val="22"/>
                <w:szCs w:val="22"/>
                <w:lang w:val="en-US" w:eastAsia="ja-JP"/>
              </w:rPr>
              <w:t>)</w:t>
            </w:r>
            <w:r w:rsidRPr="0021277B">
              <w:rPr>
                <w:rFonts w:eastAsia="MS Mincho"/>
                <w:sz w:val="22"/>
                <w:szCs w:val="22"/>
                <w:lang w:val="en-US" w:eastAsia="ja-JP"/>
              </w:rPr>
              <w:t xml:space="preserve"> (Tuya </w:t>
            </w:r>
            <w:r w:rsidRPr="0006066A">
              <w:rPr>
                <w:rFonts w:eastAsia="MS Mincho"/>
                <w:i/>
                <w:sz w:val="22"/>
                <w:szCs w:val="22"/>
                <w:lang w:val="en-US" w:eastAsia="ja-JP"/>
              </w:rPr>
              <w:t>et al</w:t>
            </w:r>
            <w:r w:rsidRPr="0021277B">
              <w:rPr>
                <w:rFonts w:eastAsia="MS Mincho"/>
                <w:sz w:val="22"/>
                <w:szCs w:val="22"/>
                <w:lang w:val="en-US" w:eastAsia="ja-JP"/>
              </w:rPr>
              <w:t xml:space="preserve">., 2004, Hereu </w:t>
            </w:r>
            <w:r w:rsidRPr="0006066A">
              <w:rPr>
                <w:rFonts w:eastAsia="MS Mincho"/>
                <w:i/>
                <w:sz w:val="22"/>
                <w:szCs w:val="22"/>
                <w:lang w:val="en-US" w:eastAsia="ja-JP"/>
              </w:rPr>
              <w:t>et al</w:t>
            </w:r>
            <w:r w:rsidRPr="0021277B">
              <w:rPr>
                <w:rFonts w:eastAsia="MS Mincho"/>
                <w:sz w:val="22"/>
                <w:szCs w:val="22"/>
                <w:lang w:val="en-US" w:eastAsia="ja-JP"/>
              </w:rPr>
              <w:t xml:space="preserve">., 2004; Clemente </w:t>
            </w:r>
            <w:r w:rsidRPr="0006066A">
              <w:rPr>
                <w:rFonts w:eastAsia="MS Mincho"/>
                <w:i/>
                <w:sz w:val="22"/>
                <w:szCs w:val="22"/>
                <w:lang w:val="en-US" w:eastAsia="ja-JP"/>
              </w:rPr>
              <w:t>et al</w:t>
            </w:r>
            <w:r w:rsidRPr="0021277B">
              <w:rPr>
                <w:rFonts w:eastAsia="MS Mincho"/>
                <w:sz w:val="22"/>
                <w:szCs w:val="22"/>
                <w:lang w:val="en-US" w:eastAsia="ja-JP"/>
              </w:rPr>
              <w:t>., 2007) have impacted the Canaries communities. Therefore, the area displays characteristics of a medium</w:t>
            </w:r>
            <w:r>
              <w:rPr>
                <w:rFonts w:eastAsia="MS Mincho"/>
                <w:sz w:val="22"/>
                <w:szCs w:val="22"/>
                <w:lang w:val="en-US" w:eastAsia="ja-JP"/>
              </w:rPr>
              <w:t>-</w:t>
            </w:r>
            <w:r w:rsidRPr="0021277B">
              <w:rPr>
                <w:rFonts w:eastAsia="MS Mincho"/>
                <w:sz w:val="22"/>
                <w:szCs w:val="22"/>
                <w:lang w:val="en-US" w:eastAsia="ja-JP"/>
              </w:rPr>
              <w:t>level of naturalness, since one of the most serious threats for marine diversity in other areas, trawling</w:t>
            </w:r>
            <w:r>
              <w:rPr>
                <w:rFonts w:eastAsia="MS Mincho"/>
                <w:sz w:val="22"/>
                <w:szCs w:val="22"/>
                <w:lang w:val="en-US" w:eastAsia="ja-JP"/>
              </w:rPr>
              <w:t>,</w:t>
            </w:r>
            <w:r w:rsidRPr="0021277B">
              <w:rPr>
                <w:rFonts w:eastAsia="MS Mincho"/>
                <w:sz w:val="22"/>
                <w:szCs w:val="22"/>
                <w:lang w:val="en-US" w:eastAsia="ja-JP"/>
              </w:rPr>
              <w:t xml:space="preserve"> is prohibited.</w:t>
            </w:r>
          </w:p>
        </w:tc>
      </w:tr>
    </w:tbl>
    <w:p w14:paraId="6F53238A"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sz w:val="22"/>
          <w:szCs w:val="22"/>
          <w:lang w:val="en-US"/>
        </w:rPr>
      </w:pPr>
    </w:p>
    <w:p w14:paraId="63874749" w14:textId="77777777" w:rsidR="006B3F46" w:rsidRPr="009978E3" w:rsidRDefault="006B3F46" w:rsidP="00907941">
      <w:pPr>
        <w:rPr>
          <w:rFonts w:eastAsia="MS Mincho"/>
          <w:b/>
          <w:sz w:val="22"/>
          <w:szCs w:val="22"/>
          <w:lang w:val="en-US"/>
        </w:rPr>
      </w:pPr>
      <w:r w:rsidRPr="009978E3">
        <w:rPr>
          <w:rFonts w:eastAsia="MS Mincho"/>
          <w:b/>
          <w:sz w:val="22"/>
          <w:szCs w:val="22"/>
          <w:lang w:val="en-US"/>
        </w:rPr>
        <w:t>References</w:t>
      </w:r>
    </w:p>
    <w:p w14:paraId="57C6B9EC"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Afonso-Carrillo J., Gil-Rodríguez MC. 1982. Sobre la presencia de un fondo de “Maerl” en las Islas Canarias. Collectanea Botanica 13: 703–708.</w:t>
      </w:r>
    </w:p>
    <w:p w14:paraId="7DD77CFB" w14:textId="77777777" w:rsidR="006B3F46" w:rsidRPr="0021277B" w:rsidRDefault="006B3F46" w:rsidP="00907941">
      <w:pPr>
        <w:ind w:left="709" w:hanging="709"/>
        <w:jc w:val="both"/>
        <w:rPr>
          <w:sz w:val="22"/>
          <w:szCs w:val="22"/>
          <w:lang w:val="fr-CA"/>
        </w:rPr>
      </w:pPr>
      <w:r w:rsidRPr="0021277B">
        <w:rPr>
          <w:sz w:val="22"/>
          <w:szCs w:val="22"/>
          <w:lang w:val="fr-CA"/>
        </w:rPr>
        <w:t>Aguilar, R., De la Torriente, A., Peñalver, J., López, J., Greenberg, R., Calzadilla, C., 2009. Propuesta de Áreas de Importancia Ecológica. Islas Canarias. OCEANA.</w:t>
      </w:r>
    </w:p>
    <w:p w14:paraId="4EE298C0" w14:textId="77777777" w:rsidR="006B3F46" w:rsidRPr="0021277B" w:rsidRDefault="006B3F46" w:rsidP="00907941">
      <w:pPr>
        <w:ind w:left="709" w:hanging="709"/>
        <w:jc w:val="both"/>
        <w:rPr>
          <w:sz w:val="22"/>
          <w:szCs w:val="22"/>
          <w:lang w:val="fr-CA"/>
        </w:rPr>
      </w:pPr>
      <w:r w:rsidRPr="0021277B">
        <w:rPr>
          <w:sz w:val="22"/>
          <w:szCs w:val="22"/>
          <w:lang w:val="fr-CA"/>
        </w:rPr>
        <w:t xml:space="preserve">Almón, B., Arcos, J.M., Martín, V., Pantoja, J., Consuegra, E. Martín Sosa, P., González-Porto, M., 2014 (a). Banco de la Concepción, Proyecto LIFE + INDEMARES. Ed. Fundación Biodiversidad del Ministerio de Agricultura, Alimentación y Medio Ambiente. 2014. </w:t>
      </w:r>
    </w:p>
    <w:p w14:paraId="660AE96C" w14:textId="77777777" w:rsidR="006B3F46" w:rsidRPr="0021277B" w:rsidRDefault="006B3F46" w:rsidP="00907941">
      <w:pPr>
        <w:ind w:left="709" w:hanging="709"/>
        <w:jc w:val="both"/>
        <w:rPr>
          <w:sz w:val="22"/>
          <w:szCs w:val="22"/>
          <w:lang w:val="fr-CA"/>
        </w:rPr>
      </w:pPr>
      <w:r w:rsidRPr="0021277B">
        <w:rPr>
          <w:sz w:val="22"/>
          <w:szCs w:val="22"/>
          <w:lang w:val="fr-CA"/>
        </w:rPr>
        <w:t>Almón, B., Garrido, M., Meseguer, C., Arcos, J.M., Martín, V., Pantoja, J., Consuegra, E., 2014 (b). Espacio Marino del Oriente y Sur de Lanzarote-Fuerteventura. Proyecto LIFE + INDEMARES. Ed. Fundación Biodiversidad del Ministerio de Agricultura, Alimentación y Medio Ambiente. 2014.</w:t>
      </w:r>
    </w:p>
    <w:p w14:paraId="4BA9AEBF" w14:textId="77777777" w:rsidR="006B3F46" w:rsidRPr="009978E3" w:rsidRDefault="006B3F46" w:rsidP="00907941">
      <w:pPr>
        <w:ind w:left="709" w:hanging="709"/>
        <w:jc w:val="both"/>
        <w:rPr>
          <w:rFonts w:eastAsia="MS Mincho"/>
          <w:sz w:val="22"/>
          <w:szCs w:val="22"/>
          <w:lang w:val="es-ES"/>
        </w:rPr>
      </w:pPr>
      <w:r w:rsidRPr="00F66EF7">
        <w:rPr>
          <w:rFonts w:eastAsia="MS Mincho"/>
          <w:sz w:val="22"/>
          <w:szCs w:val="22"/>
          <w:lang w:val="fr-CA"/>
        </w:rPr>
        <w:t xml:space="preserve">Aparicio, C. 2008. </w:t>
      </w:r>
      <w:r w:rsidRPr="009978E3">
        <w:rPr>
          <w:rFonts w:eastAsia="MS Mincho"/>
          <w:sz w:val="22"/>
          <w:szCs w:val="22"/>
          <w:lang w:val="es-ES"/>
        </w:rPr>
        <w:t>Estudio de las poblaciones de los zifios de Blainville y de Cuvier (</w:t>
      </w:r>
      <w:r w:rsidRPr="009978E3">
        <w:rPr>
          <w:rFonts w:eastAsia="MS Mincho"/>
          <w:i/>
          <w:iCs/>
          <w:sz w:val="22"/>
          <w:szCs w:val="22"/>
          <w:lang w:val="es-ES"/>
        </w:rPr>
        <w:t xml:space="preserve">Mesoplodon densirostris </w:t>
      </w:r>
      <w:r w:rsidRPr="009978E3">
        <w:rPr>
          <w:rFonts w:eastAsia="MS Mincho"/>
          <w:sz w:val="22"/>
          <w:szCs w:val="22"/>
          <w:lang w:val="es-ES"/>
        </w:rPr>
        <w:t xml:space="preserve">y </w:t>
      </w:r>
      <w:r w:rsidRPr="009978E3">
        <w:rPr>
          <w:rFonts w:eastAsia="MS Mincho"/>
          <w:i/>
          <w:iCs/>
          <w:sz w:val="22"/>
          <w:szCs w:val="22"/>
          <w:lang w:val="es-ES"/>
        </w:rPr>
        <w:t>Ziphius cavirostris</w:t>
      </w:r>
      <w:r w:rsidRPr="009978E3">
        <w:rPr>
          <w:rFonts w:eastAsia="MS Mincho"/>
          <w:sz w:val="22"/>
          <w:szCs w:val="22"/>
          <w:lang w:val="es-ES"/>
        </w:rPr>
        <w:t>) en El Hierro. PhD thesis, Universidad La Laguna, Spain.</w:t>
      </w:r>
    </w:p>
    <w:p w14:paraId="47A1BF69" w14:textId="77777777" w:rsidR="006B3F46" w:rsidRPr="009978E3" w:rsidRDefault="006B3F46" w:rsidP="00907941">
      <w:pPr>
        <w:ind w:left="709" w:hanging="709"/>
        <w:jc w:val="both"/>
        <w:rPr>
          <w:sz w:val="22"/>
          <w:szCs w:val="22"/>
          <w:lang w:val="es-ES"/>
        </w:rPr>
      </w:pPr>
      <w:r w:rsidRPr="009978E3">
        <w:rPr>
          <w:sz w:val="22"/>
          <w:szCs w:val="22"/>
          <w:lang w:val="es-ES"/>
        </w:rPr>
        <w:t xml:space="preserve">Arístegui, J., Barton, E.D., Alvarez-Salgado, X.A., Santos, A.M.P., Figueiras, F.G. </w:t>
      </w:r>
      <w:r w:rsidRPr="0006066A">
        <w:rPr>
          <w:i/>
          <w:sz w:val="22"/>
          <w:szCs w:val="22"/>
          <w:lang w:val="es-ES"/>
        </w:rPr>
        <w:t>et al</w:t>
      </w:r>
      <w:r w:rsidRPr="009978E3">
        <w:rPr>
          <w:sz w:val="22"/>
          <w:szCs w:val="22"/>
          <w:lang w:val="es-ES"/>
        </w:rPr>
        <w:t xml:space="preserve">., 2009. </w:t>
      </w:r>
      <w:r w:rsidRPr="009978E3">
        <w:rPr>
          <w:sz w:val="22"/>
          <w:szCs w:val="22"/>
          <w:lang w:val="en-US"/>
        </w:rPr>
        <w:t xml:space="preserve">Sub-regional ecosystem variability in the Canary Current upwelling (Review). </w:t>
      </w:r>
      <w:r w:rsidRPr="009978E3">
        <w:rPr>
          <w:sz w:val="22"/>
          <w:szCs w:val="22"/>
          <w:lang w:val="es-ES"/>
        </w:rPr>
        <w:t>Progress in Oceanography 83, 33-48.</w:t>
      </w:r>
    </w:p>
    <w:p w14:paraId="2338F9CF"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Arranz, P. 2011. Descripción de la selección y uso del hábitat de los Zifios de Blainville (</w:t>
      </w:r>
      <w:r w:rsidRPr="009978E3">
        <w:rPr>
          <w:rFonts w:eastAsia="MS Mincho"/>
          <w:i/>
          <w:iCs/>
          <w:sz w:val="22"/>
          <w:szCs w:val="22"/>
          <w:lang w:val="es-ES"/>
        </w:rPr>
        <w:t>Mesoplodon densirostris</w:t>
      </w:r>
      <w:r w:rsidRPr="009978E3">
        <w:rPr>
          <w:rFonts w:eastAsia="MS Mincho"/>
          <w:sz w:val="22"/>
          <w:szCs w:val="22"/>
          <w:lang w:val="es-ES"/>
        </w:rPr>
        <w:t>) y de Cuvier (</w:t>
      </w:r>
      <w:r w:rsidRPr="009978E3">
        <w:rPr>
          <w:rFonts w:eastAsia="MS Mincho"/>
          <w:i/>
          <w:iCs/>
          <w:sz w:val="22"/>
          <w:szCs w:val="22"/>
          <w:lang w:val="es-ES"/>
        </w:rPr>
        <w:t>Ziphius cavirostris</w:t>
      </w:r>
      <w:r w:rsidRPr="009978E3">
        <w:rPr>
          <w:rFonts w:eastAsia="MS Mincho"/>
          <w:sz w:val="22"/>
          <w:szCs w:val="22"/>
          <w:lang w:val="es-ES"/>
        </w:rPr>
        <w:t>) en la isla de El Hierro. Propuestas de conservación. PhD thesis, Universidad de la Laguna, España.</w:t>
      </w:r>
    </w:p>
    <w:p w14:paraId="5BD44BCB" w14:textId="77777777" w:rsidR="006B3F46" w:rsidRPr="009978E3" w:rsidRDefault="006B3F46" w:rsidP="00907941">
      <w:pPr>
        <w:ind w:left="709" w:hanging="709"/>
        <w:jc w:val="both"/>
        <w:rPr>
          <w:sz w:val="22"/>
          <w:szCs w:val="22"/>
          <w:lang w:val="es-ES"/>
        </w:rPr>
      </w:pPr>
      <w:r w:rsidRPr="009978E3">
        <w:rPr>
          <w:sz w:val="22"/>
          <w:szCs w:val="22"/>
          <w:lang w:val="es-ES"/>
        </w:rPr>
        <w:t xml:space="preserve">Báez, J., Rodríguez-Cabello, C., Bañón, R., Brito, A., Falcón, J., Maño, T., Baro, J., Macías, D., Meléndez, M., Camiñas, J., Arias-García, A., Gil, J., Farias, C., Artexe, I., &amp; Sánchez, F. (2019). </w:t>
      </w:r>
      <w:r w:rsidRPr="009978E3">
        <w:rPr>
          <w:sz w:val="22"/>
          <w:szCs w:val="22"/>
          <w:lang w:val="en-US"/>
        </w:rPr>
        <w:t xml:space="preserve">Updating the national checklist of marine fishes in Spanish waters: An approach to priority hotspots and lessons for conservation. </w:t>
      </w:r>
      <w:r w:rsidRPr="009978E3">
        <w:rPr>
          <w:sz w:val="22"/>
          <w:szCs w:val="22"/>
          <w:lang w:val="es-ES"/>
        </w:rPr>
        <w:t>Mediterranean Marine Science, 20(2), 260-270. doi:http://dx.doi.org/10.12681/mms.18626</w:t>
      </w:r>
    </w:p>
    <w:p w14:paraId="7A6CA387"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Barberá C, Bordehore C, Borg JA, Glémarec M, Grall J, Hall-Spencer JM, De la Huz CH, Lanfranco E, Lastra M, Moore PG, Mora J, Pita ME, Ramos-Esplá AA, Rizzo M, Sánchez-Mata A, Seva A, Schembri PJ, Valle C. 2003. </w:t>
      </w:r>
      <w:r w:rsidRPr="009978E3">
        <w:rPr>
          <w:rFonts w:eastAsia="MS Mincho"/>
          <w:sz w:val="22"/>
          <w:szCs w:val="22"/>
          <w:lang w:val="en-US"/>
        </w:rPr>
        <w:t>Conservation and management of northeast Atlantic and Mediterranean maërl beds. Aquatic Conservation: Marine and Freshwater Ecosystems 13: 65-76.</w:t>
      </w:r>
    </w:p>
    <w:p w14:paraId="34CA6AC1"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n-US"/>
        </w:rPr>
        <w:t xml:space="preserve">Barton, E., 1998. Eastern boundary of the North Atlantic: Northwest Africa and Iberia. Coastal segment (18, E). In: Robinson, A., Brink, K.H. (Eds.), The Sea, vol. 11. </w:t>
      </w:r>
      <w:r w:rsidRPr="009978E3">
        <w:rPr>
          <w:rFonts w:eastAsia="MS Mincho"/>
          <w:sz w:val="22"/>
          <w:szCs w:val="22"/>
          <w:lang w:val="es-ES"/>
        </w:rPr>
        <w:t>John Wiley &amp; Sons Inc., pp. 633–657.</w:t>
      </w:r>
    </w:p>
    <w:p w14:paraId="546E3991"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n-US"/>
        </w:rPr>
        <w:t>Basterretxea, G., Aristegui, J., 2000. Mesoscale variability in phytoplankton biomass distribution and photosynthetic parameters in the Canary-NW African coastal transition zone. Marine Ecology-progress Series - MAR ECOL-PROGR SER. 197. 27-40.</w:t>
      </w:r>
    </w:p>
    <w:p w14:paraId="23A34625" w14:textId="77777777" w:rsidR="006B3F46" w:rsidRPr="009978E3" w:rsidRDefault="006B3F46" w:rsidP="00907941">
      <w:pPr>
        <w:ind w:left="720" w:hanging="720"/>
        <w:rPr>
          <w:rFonts w:eastAsia="MS Mincho"/>
          <w:sz w:val="22"/>
          <w:szCs w:val="22"/>
          <w:lang w:val="en-US"/>
        </w:rPr>
      </w:pPr>
      <w:r w:rsidRPr="009978E3">
        <w:rPr>
          <w:rFonts w:eastAsia="MS Mincho"/>
          <w:sz w:val="22"/>
          <w:szCs w:val="22"/>
          <w:lang w:val="en-US"/>
        </w:rPr>
        <w:t>BirdLife International, 2019. Marine IBA e-atlas. Downloaded from</w:t>
      </w:r>
      <w:r>
        <w:rPr>
          <w:rFonts w:eastAsia="MS Mincho"/>
          <w:sz w:val="22"/>
          <w:szCs w:val="22"/>
          <w:lang w:val="en-US"/>
        </w:rPr>
        <w:t xml:space="preserve"> </w:t>
      </w:r>
      <w:hyperlink r:id="rId219" w:history="1">
        <w:r w:rsidRPr="006A4B2D">
          <w:rPr>
            <w:rStyle w:val="Hyperlink"/>
            <w:rFonts w:eastAsia="MS Mincho"/>
            <w:sz w:val="22"/>
            <w:szCs w:val="22"/>
            <w:lang w:val="en-US"/>
          </w:rPr>
          <w:t>https://maps.birdlife.org/marineIBAs/default.html on 26/09/2019</w:t>
        </w:r>
      </w:hyperlink>
      <w:r w:rsidRPr="00F66EF7">
        <w:rPr>
          <w:rFonts w:eastAsia="MS Mincho"/>
          <w:sz w:val="22"/>
          <w:szCs w:val="22"/>
          <w:lang w:val="en-US"/>
        </w:rPr>
        <w:t>.</w:t>
      </w:r>
    </w:p>
    <w:p w14:paraId="49C6C472"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Brito, A., Falcón, J., Herrera, R., 2005. Sobre la tropicalización reciente de la ictiofauna litoral de las islas Canarias y su relación con cambios ambientales y actividades antrópicas. Vieraea. 33. 515-525.</w:t>
      </w:r>
    </w:p>
    <w:p w14:paraId="696B1C6F" w14:textId="77777777" w:rsidR="006B3F46" w:rsidRPr="009978E3" w:rsidRDefault="006B3F46" w:rsidP="00907941">
      <w:pPr>
        <w:ind w:left="709" w:hanging="709"/>
        <w:jc w:val="both"/>
        <w:rPr>
          <w:sz w:val="22"/>
          <w:szCs w:val="22"/>
          <w:lang w:val="es-ES"/>
        </w:rPr>
      </w:pPr>
      <w:r w:rsidRPr="009978E3">
        <w:rPr>
          <w:sz w:val="22"/>
          <w:szCs w:val="22"/>
          <w:lang w:val="es-ES"/>
        </w:rPr>
        <w:t>Brito, A., Falcón, J.M., Aguilar, N., Pascual, P., 2001. Fauna vertebrada marina. En: Fenández-Palacios, J. M. y Martín Esquivel, J. L. (Coord.). Naturaleza de las Islas Canarias. Ecología y Conservación. pp. 219-229. J. Editorial Turquesa. Santa Cruz de Tenerife.</w:t>
      </w:r>
    </w:p>
    <w:p w14:paraId="4D2EB20E"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 xml:space="preserve">Brito, A., Ocaña, O., 2004. Corales de las Islas Canarias. In: Lemus, Francisco (Ed.), La Laguna, p.477.  </w:t>
      </w:r>
    </w:p>
    <w:p w14:paraId="137193DD"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n-US"/>
        </w:rPr>
        <w:t xml:space="preserve">Clark MR, Tittensor D, Rogers AD, Brewin P, Schlacher T, Rowden A, Stocks K, Consalvey M (2006). Seamounts, deep-sea corals and fisheries: vulnerability of deep-sea corals to fishing on seamounts beyond areas of national jurisdiction. </w:t>
      </w:r>
      <w:r w:rsidRPr="009978E3">
        <w:rPr>
          <w:rFonts w:eastAsia="MS Mincho"/>
          <w:sz w:val="22"/>
          <w:szCs w:val="22"/>
          <w:lang w:val="es-ES"/>
        </w:rPr>
        <w:t xml:space="preserve">UNEPWCMC, Cambridge, UK. </w:t>
      </w:r>
    </w:p>
    <w:p w14:paraId="0742316C" w14:textId="77777777" w:rsidR="006B3F46" w:rsidRPr="009978E3" w:rsidRDefault="006B3F46" w:rsidP="00907941">
      <w:pPr>
        <w:ind w:left="709" w:hanging="709"/>
        <w:jc w:val="both"/>
        <w:rPr>
          <w:rFonts w:eastAsia="MS Mincho"/>
          <w:sz w:val="22"/>
          <w:szCs w:val="22"/>
          <w:lang w:val="fr-CA"/>
        </w:rPr>
      </w:pPr>
      <w:r w:rsidRPr="009978E3">
        <w:rPr>
          <w:rFonts w:eastAsia="MS Mincho"/>
          <w:sz w:val="22"/>
          <w:szCs w:val="22"/>
          <w:lang w:val="es-ES"/>
        </w:rPr>
        <w:t xml:space="preserve">Clemente, Sabrina &amp; Hernández, José. (2007). Evolución de las poblaciones del erizo Diadema aff. antillarum en Canarias y valoración de la depredación como factor de control. </w:t>
      </w:r>
      <w:r w:rsidRPr="009978E3">
        <w:rPr>
          <w:rFonts w:eastAsia="MS Mincho"/>
          <w:sz w:val="22"/>
          <w:szCs w:val="22"/>
          <w:lang w:val="fr-CA"/>
        </w:rPr>
        <w:t>10.13140/RG.2.2.35756.36489.</w:t>
      </w:r>
    </w:p>
    <w:p w14:paraId="116EAF30"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fr-CA"/>
        </w:rPr>
        <w:t xml:space="preserve">Delgado de Molina, A. 2011. Historia y situación actual de la pesquería de túnidos de las Islas Canarias. </w:t>
      </w:r>
      <w:r w:rsidRPr="009978E3">
        <w:rPr>
          <w:rFonts w:eastAsia="MS Mincho"/>
          <w:sz w:val="22"/>
          <w:szCs w:val="22"/>
          <w:lang w:val="en-US"/>
        </w:rPr>
        <w:t>Biología y estudio poblacional del patudo (Thunnus obesus (Lowe, 1869)) capturado en aguas próximas al Archipiélago Canario. Tesis doctoral.</w:t>
      </w:r>
    </w:p>
    <w:p w14:paraId="5E438BB1" w14:textId="77777777" w:rsidR="006B3F46" w:rsidRPr="009978E3" w:rsidRDefault="006B3F46" w:rsidP="00907941">
      <w:pPr>
        <w:autoSpaceDE w:val="0"/>
        <w:autoSpaceDN w:val="0"/>
        <w:adjustRightInd w:val="0"/>
        <w:ind w:left="720" w:hanging="720"/>
        <w:rPr>
          <w:rFonts w:eastAsia="MS Mincho"/>
          <w:sz w:val="22"/>
          <w:szCs w:val="22"/>
          <w:lang w:val="en-US"/>
        </w:rPr>
      </w:pPr>
      <w:r w:rsidRPr="009978E3">
        <w:rPr>
          <w:rFonts w:eastAsia="MS Mincho"/>
          <w:sz w:val="22"/>
          <w:szCs w:val="22"/>
          <w:lang w:val="en-US"/>
        </w:rPr>
        <w:t xml:space="preserve">Dias, M.P., Martin, R., Pearmain, E.J., Burfield, I.J., Small, C., Phillips, R.A., Yates, O., Lascelles, B., Borboroglu, P.G., Croxall, J.P., (2019). Threats to seabirds: A global assessment. Biological Conservation in press. </w:t>
      </w:r>
      <w:hyperlink r:id="rId220" w:history="1">
        <w:r w:rsidRPr="009978E3">
          <w:rPr>
            <w:rFonts w:eastAsia="MS Mincho"/>
            <w:sz w:val="22"/>
            <w:szCs w:val="22"/>
            <w:lang w:val="en-US"/>
          </w:rPr>
          <w:t>https://doi.org/10.1016/j.biocon.2019.06.033</w:t>
        </w:r>
      </w:hyperlink>
      <w:r w:rsidRPr="00F66EF7">
        <w:rPr>
          <w:rFonts w:eastAsia="MS Mincho"/>
          <w:sz w:val="22"/>
          <w:szCs w:val="22"/>
          <w:lang w:val="en-US"/>
        </w:rPr>
        <w:t xml:space="preserve"> </w:t>
      </w:r>
    </w:p>
    <w:p w14:paraId="6052FB89"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n-US"/>
        </w:rPr>
        <w:t xml:space="preserve">Dulvy, N.K., Fowler, S.L., Musick, J.A., Cavanagh, R.D., Kyne, P.M., Harrison, L.R., ... Francis, M.P. (2014). Extinction risk and conservation of the world’s sharks and rays. </w:t>
      </w:r>
      <w:r w:rsidRPr="009978E3">
        <w:rPr>
          <w:rFonts w:eastAsia="MS Mincho"/>
          <w:sz w:val="22"/>
          <w:szCs w:val="22"/>
          <w:lang w:val="es-ES"/>
        </w:rPr>
        <w:t>Elife,3, e00590.https://doi.org/10.7554/eLife.00590.001</w:t>
      </w:r>
    </w:p>
    <w:p w14:paraId="6A88A8BC"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Escánez, A., Crespo, A., Rodríguez, S., Oñate, M. &amp; Marrero, J. (2016). Estudio del primer área de cría del Angelote (Squatina squatina) descubierta en Canarias. </w:t>
      </w:r>
      <w:r w:rsidRPr="009978E3">
        <w:rPr>
          <w:rFonts w:eastAsia="MS Mincho"/>
          <w:sz w:val="22"/>
          <w:szCs w:val="22"/>
          <w:lang w:val="en-US"/>
        </w:rPr>
        <w:t>Chronica naturae, 6, 50-62</w:t>
      </w:r>
    </w:p>
    <w:p w14:paraId="17BE18B4"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n-US"/>
        </w:rPr>
        <w:t xml:space="preserve">Falcón, J., Bortone, S., Brito, A., Bundrick, C., 1996. Structure of and relationships within and between the littoral, rock- substrate fish communities off four islands in the Canarian Archipelago. </w:t>
      </w:r>
      <w:r w:rsidRPr="009978E3">
        <w:rPr>
          <w:rFonts w:eastAsia="MS Mincho"/>
          <w:sz w:val="22"/>
          <w:szCs w:val="22"/>
          <w:lang w:val="es-ES"/>
        </w:rPr>
        <w:t>Marine Biology. 125. 215-231.</w:t>
      </w:r>
    </w:p>
    <w:p w14:paraId="72C67426" w14:textId="77777777" w:rsidR="006B3F46" w:rsidRPr="009978E3" w:rsidRDefault="006B3F46" w:rsidP="00907941">
      <w:pPr>
        <w:ind w:left="709" w:hanging="709"/>
        <w:jc w:val="both"/>
        <w:rPr>
          <w:sz w:val="22"/>
          <w:szCs w:val="22"/>
          <w:lang w:val="es-ES"/>
        </w:rPr>
      </w:pPr>
      <w:r w:rsidRPr="009978E3">
        <w:rPr>
          <w:sz w:val="22"/>
          <w:szCs w:val="22"/>
          <w:lang w:val="es-ES"/>
        </w:rPr>
        <w:t>Falcón, J.M., 2015. Ictiofauna de las Islas Canarias. Análisis biogeográfico. Doctoral thesis. Universidad de La Laguna. 310 pp.</w:t>
      </w:r>
    </w:p>
    <w:p w14:paraId="4262CFF0"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fr-CA"/>
        </w:rPr>
        <w:t xml:space="preserve">Ferretti, F., Morey, G., Serena, F., Mancusi, C., Fowler, S.L., Dipper, F. &amp; Ellis, J. (2015). </w:t>
      </w:r>
      <w:r w:rsidRPr="009978E3">
        <w:rPr>
          <w:rFonts w:eastAsia="MS Mincho"/>
          <w:sz w:val="22"/>
          <w:szCs w:val="22"/>
          <w:lang w:val="en-US"/>
        </w:rPr>
        <w:t xml:space="preserve">Squatina squatina. The IUCN Red List of Threatened Species 2015. </w:t>
      </w:r>
      <w:hyperlink r:id="rId221" w:history="1">
        <w:r w:rsidRPr="009978E3">
          <w:rPr>
            <w:rStyle w:val="Hyperlink"/>
            <w:rFonts w:eastAsia="MS Mincho"/>
            <w:sz w:val="22"/>
            <w:szCs w:val="22"/>
            <w:lang w:val="en-US"/>
          </w:rPr>
          <w:t>http://dx.doi.org/10.2305/IUCN.UK.2015-1.RLTS.T39332A48933059</w:t>
        </w:r>
      </w:hyperlink>
      <w:r w:rsidRPr="00F66EF7">
        <w:rPr>
          <w:rFonts w:eastAsia="MS Mincho"/>
          <w:sz w:val="22"/>
          <w:szCs w:val="22"/>
          <w:lang w:val="en-US"/>
        </w:rPr>
        <w:t>.</w:t>
      </w:r>
    </w:p>
    <w:p w14:paraId="63D00706" w14:textId="77777777" w:rsidR="006B3F46" w:rsidRPr="009978E3" w:rsidRDefault="006B3F46" w:rsidP="00907941">
      <w:pPr>
        <w:ind w:left="709" w:hanging="709"/>
        <w:jc w:val="both"/>
        <w:rPr>
          <w:sz w:val="22"/>
          <w:szCs w:val="22"/>
          <w:lang w:val="es-ES"/>
        </w:rPr>
      </w:pPr>
      <w:r w:rsidRPr="009978E3">
        <w:rPr>
          <w:sz w:val="22"/>
          <w:szCs w:val="22"/>
          <w:lang w:val="en-US"/>
        </w:rPr>
        <w:t xml:space="preserve">Freitas </w:t>
      </w:r>
      <w:r w:rsidRPr="0006066A">
        <w:rPr>
          <w:i/>
          <w:sz w:val="22"/>
          <w:szCs w:val="22"/>
          <w:lang w:val="en-US"/>
        </w:rPr>
        <w:t>et al</w:t>
      </w:r>
      <w:r w:rsidRPr="009978E3">
        <w:rPr>
          <w:sz w:val="22"/>
          <w:szCs w:val="22"/>
          <w:lang w:val="en-US"/>
        </w:rPr>
        <w:t xml:space="preserve">. in press. Restructuring of the ‘Macaronesia’ biogeographic unit: A marine multi-taxon biogeographical approach. </w:t>
      </w:r>
      <w:r w:rsidRPr="009978E3">
        <w:rPr>
          <w:sz w:val="22"/>
          <w:szCs w:val="22"/>
          <w:lang w:val="es-ES"/>
        </w:rPr>
        <w:t>Biological reviews.</w:t>
      </w:r>
    </w:p>
    <w:p w14:paraId="3EAA4D0B" w14:textId="77777777" w:rsidR="006B3F46" w:rsidRPr="009978E3" w:rsidRDefault="006B3F46" w:rsidP="00907941">
      <w:pPr>
        <w:autoSpaceDE w:val="0"/>
        <w:autoSpaceDN w:val="0"/>
        <w:adjustRightInd w:val="0"/>
        <w:ind w:left="720" w:hanging="720"/>
        <w:rPr>
          <w:sz w:val="22"/>
          <w:szCs w:val="22"/>
          <w:lang w:val="es-ES"/>
        </w:rPr>
      </w:pPr>
      <w:r w:rsidRPr="009978E3">
        <w:rPr>
          <w:sz w:val="22"/>
          <w:szCs w:val="22"/>
          <w:lang w:val="es-ES"/>
        </w:rPr>
        <w:t>Green, R.E., 1995. Demography of Roseate Terns in Britain and Ireland. Pp 8-11 in: Ratcliffe, N. (ed) Proceedings of the 6th Roseate Tern Workshop. RSBP: Sandy, UK.</w:t>
      </w:r>
    </w:p>
    <w:p w14:paraId="265A6D00" w14:textId="77777777" w:rsidR="006B3F46" w:rsidRPr="009978E3" w:rsidRDefault="006B3F46" w:rsidP="00907941">
      <w:pPr>
        <w:autoSpaceDE w:val="0"/>
        <w:autoSpaceDN w:val="0"/>
        <w:adjustRightInd w:val="0"/>
        <w:ind w:left="720" w:hanging="720"/>
        <w:rPr>
          <w:sz w:val="22"/>
          <w:szCs w:val="22"/>
          <w:lang w:val="es-ES"/>
        </w:rPr>
      </w:pPr>
      <w:r w:rsidRPr="009978E3">
        <w:rPr>
          <w:sz w:val="22"/>
          <w:szCs w:val="22"/>
          <w:lang w:val="es-ES"/>
        </w:rPr>
        <w:t>Habitat Directive, 1992. Council Directive 92/43/EEC of 21 May 1992 on the conservation of natural habitats and of wild fauna and flora. OJ L 206, 22 July 1992</w:t>
      </w:r>
    </w:p>
    <w:p w14:paraId="76144FD8"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 xml:space="preserve">Hereu, Bernat &amp; Zabala, M. &amp; Linares, Cristina &amp; Sala, Enric. </w:t>
      </w:r>
      <w:r w:rsidRPr="009978E3">
        <w:rPr>
          <w:rFonts w:eastAsia="MS Mincho"/>
          <w:sz w:val="22"/>
          <w:szCs w:val="22"/>
          <w:lang w:val="en-US"/>
        </w:rPr>
        <w:t xml:space="preserve">(2004). Temporal and spatial variability in settlement of the sea urchin Paracentrotus lividus in the NW Mediterranean. </w:t>
      </w:r>
      <w:r w:rsidRPr="009978E3">
        <w:rPr>
          <w:rFonts w:eastAsia="MS Mincho"/>
          <w:sz w:val="22"/>
          <w:szCs w:val="22"/>
          <w:lang w:val="es-ES"/>
        </w:rPr>
        <w:t>Marine Biology. 144. 1011-1018.</w:t>
      </w:r>
    </w:p>
    <w:p w14:paraId="0448102D" w14:textId="77777777" w:rsidR="006B3F46" w:rsidRPr="009978E3" w:rsidRDefault="006B3F46" w:rsidP="00907941">
      <w:pPr>
        <w:ind w:left="709" w:hanging="709"/>
        <w:jc w:val="both"/>
        <w:rPr>
          <w:sz w:val="22"/>
          <w:szCs w:val="22"/>
          <w:lang w:val="en-US"/>
        </w:rPr>
      </w:pPr>
      <w:r w:rsidRPr="009978E3">
        <w:rPr>
          <w:sz w:val="22"/>
          <w:szCs w:val="22"/>
          <w:lang w:val="es-ES"/>
        </w:rPr>
        <w:t xml:space="preserve">Hernández-Guerra, A., Espino-Falcón E., Vélez-Belchí, P., Pérez-Hernández, M.D., Martínez-Marrero, A. </w:t>
      </w:r>
      <w:r w:rsidRPr="0006066A">
        <w:rPr>
          <w:i/>
          <w:sz w:val="22"/>
          <w:szCs w:val="22"/>
          <w:lang w:val="es-ES"/>
        </w:rPr>
        <w:t>et al</w:t>
      </w:r>
      <w:r w:rsidRPr="009978E3">
        <w:rPr>
          <w:sz w:val="22"/>
          <w:szCs w:val="22"/>
          <w:lang w:val="es-ES"/>
        </w:rPr>
        <w:t xml:space="preserve">., 2017. </w:t>
      </w:r>
      <w:r w:rsidRPr="009978E3">
        <w:rPr>
          <w:sz w:val="22"/>
          <w:szCs w:val="22"/>
          <w:lang w:val="en-US"/>
        </w:rPr>
        <w:t>Recirculation of the Canary Current in fall 2014. Journal of Marine Systems, 174, 25-39.</w:t>
      </w:r>
    </w:p>
    <w:p w14:paraId="5BA147D1" w14:textId="77777777" w:rsidR="006B3F46" w:rsidRPr="009978E3" w:rsidRDefault="006B3F46" w:rsidP="00907941">
      <w:pPr>
        <w:ind w:left="709" w:hanging="709"/>
        <w:jc w:val="both"/>
        <w:rPr>
          <w:sz w:val="22"/>
          <w:szCs w:val="22"/>
          <w:lang w:val="en-US"/>
        </w:rPr>
      </w:pPr>
      <w:r w:rsidRPr="009978E3">
        <w:rPr>
          <w:sz w:val="22"/>
          <w:szCs w:val="22"/>
          <w:lang w:val="es-ES"/>
        </w:rPr>
        <w:t xml:space="preserve">Hernández-Molina, F. &amp; Larter, R.D. &amp; Rebesco, Michele &amp; Maldonado, A.. </w:t>
      </w:r>
      <w:r w:rsidRPr="009978E3">
        <w:rPr>
          <w:sz w:val="22"/>
          <w:szCs w:val="22"/>
          <w:lang w:val="en-US"/>
        </w:rPr>
        <w:t>(2006). Miocene reversal of bottom water flow along the Pacific Margin of the Antarctic Peninsula: Stratigraphic evidence from a contourite sedimentary tail. Marine Geology. 228. 93-116.</w:t>
      </w:r>
    </w:p>
    <w:p w14:paraId="554D02FA"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Hernández-Molina, F. &amp; Larter, R.D. &amp; Rebesco, Michele &amp; Maldonado, A., 2006. </w:t>
      </w:r>
      <w:r w:rsidRPr="009978E3">
        <w:rPr>
          <w:rFonts w:eastAsia="MS Mincho"/>
          <w:sz w:val="22"/>
          <w:szCs w:val="22"/>
          <w:lang w:val="en-US"/>
        </w:rPr>
        <w:t>Miocene reversal of bottom water flow along the Pacific Margin of the Antarctic Peninsula: Stratigraphic evidence from a contourite sedimentary tail. Marine Geology. 228. 93-116.</w:t>
      </w:r>
    </w:p>
    <w:p w14:paraId="067819CC" w14:textId="77777777" w:rsidR="006B3F46" w:rsidRPr="0021277B" w:rsidRDefault="006B3F46" w:rsidP="00907941">
      <w:pPr>
        <w:ind w:left="709" w:hanging="709"/>
        <w:jc w:val="both"/>
        <w:rPr>
          <w:rFonts w:eastAsia="MS Mincho"/>
          <w:sz w:val="22"/>
          <w:szCs w:val="22"/>
          <w:lang w:val="fr-CA"/>
        </w:rPr>
      </w:pPr>
      <w:r w:rsidRPr="009978E3">
        <w:rPr>
          <w:rFonts w:eastAsia="MS Mincho"/>
          <w:sz w:val="22"/>
          <w:szCs w:val="22"/>
          <w:lang w:val="en-US"/>
        </w:rPr>
        <w:t xml:space="preserve">Hoek, C., 1984. World-wide latitudinal and longitudinal seaweed distribution patterns and their possible causes, as illustrated by the distribution of Rhodophytan genera. </w:t>
      </w:r>
      <w:r w:rsidRPr="0021277B">
        <w:rPr>
          <w:rFonts w:eastAsia="MS Mincho"/>
          <w:sz w:val="22"/>
          <w:szCs w:val="22"/>
          <w:lang w:val="fr-CA"/>
        </w:rPr>
        <w:t xml:space="preserve">Helgoländer Meeresun. 38 (2) 227–257. </w:t>
      </w:r>
    </w:p>
    <w:p w14:paraId="48826CF1" w14:textId="77777777" w:rsidR="006B3F46" w:rsidRPr="009978E3" w:rsidRDefault="006B3F46" w:rsidP="00907941">
      <w:pPr>
        <w:ind w:left="709" w:hanging="709"/>
        <w:jc w:val="both"/>
        <w:rPr>
          <w:rFonts w:eastAsia="MS Mincho"/>
          <w:sz w:val="22"/>
          <w:szCs w:val="22"/>
          <w:lang w:val="es-ES"/>
        </w:rPr>
      </w:pPr>
      <w:r w:rsidRPr="00F66EF7">
        <w:rPr>
          <w:rFonts w:eastAsia="MS Mincho"/>
          <w:sz w:val="22"/>
          <w:szCs w:val="22"/>
          <w:lang w:val="es-ES"/>
        </w:rPr>
        <w:t>IEO. 2012. Informe sobre la actividad pesquera del buque palan</w:t>
      </w:r>
      <w:r w:rsidRPr="009978E3">
        <w:rPr>
          <w:rFonts w:eastAsia="MS Mincho"/>
          <w:sz w:val="22"/>
          <w:szCs w:val="22"/>
          <w:lang w:val="es-ES"/>
        </w:rPr>
        <w:t>grero “Maransa” en aguas internacionales del área de CECAF (División FAO 34). Centro Oceanográfico de Canarias, Santa Cruz de Tenerife, 57 pp.</w:t>
      </w:r>
    </w:p>
    <w:p w14:paraId="4E9A3E7B"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IUCN 2019. The IUCN Red List of Threatened Species. Version 2019-2. http://www.iucnredlist.org. Downloaded on 18 July 2019.</w:t>
      </w:r>
    </w:p>
    <w:p w14:paraId="0E5BC1DD"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n-US"/>
        </w:rPr>
        <w:t>Lorenzo, J. &amp; Pajuelo, J., 2010. Growth and reproductive biology of chub mackerel Scomber japonicus off the Canary Islands. South African Journal of Marine Science. June 1996. 275-280.</w:t>
      </w:r>
    </w:p>
    <w:p w14:paraId="7128F234"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n-US"/>
        </w:rPr>
        <w:t xml:space="preserve">Lüning, K., 1990. Seaweeds. Their Environment, Biogeography and Ecophysiology. </w:t>
      </w:r>
      <w:r w:rsidRPr="009978E3">
        <w:rPr>
          <w:rFonts w:eastAsia="MS Mincho"/>
          <w:sz w:val="22"/>
          <w:szCs w:val="22"/>
          <w:lang w:val="es-ES"/>
        </w:rPr>
        <w:t xml:space="preserve">Wiley, NewYork,527pp. </w:t>
      </w:r>
    </w:p>
    <w:p w14:paraId="4AE0BA90"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Marrero Pérez, J., Crespo Torres, A., Escánez Pérez, A. y Albaladejo Robles, G. 2016. MITCALD. Determinación de factores de riesgo para la conservación de la población de Calderón tropical (Globicephala macrorhynchus) en el ZEC ES-7020017. TENERIFE. Contaminación acústica, interacciones tróficas y colisiones (Memoria técnica). Informe de Asociación Tonina para la Fundación Biodiversidad-MAGRAMA.</w:t>
      </w:r>
    </w:p>
    <w:p w14:paraId="2A6201F4"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 xml:space="preserve">Martín-García L., Barquín-Diez J., Brito-Izquierdo T. 2016. Bionomía bentónica de las Reservas Marinas de Canarias (España). Comunidades y hábitats bentónicos del infralitoral. Ministerio de Agricultura y Pesca, Alimentación y Medio Ambiente. 181 pp. </w:t>
      </w:r>
    </w:p>
    <w:p w14:paraId="0CF1A6BD"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Martín-García L., Barquín-Diez J., Brito-Izquierdo T. 2016. Bionomía bentónica de las Reservas Marinas de Canarias (España). Comunidades y hábitats bentónicos del infralitoral. Ministerio de Agricultura y Pesca, Alimentación y Medio Ambiente. </w:t>
      </w:r>
      <w:r w:rsidRPr="009978E3">
        <w:rPr>
          <w:rFonts w:eastAsia="MS Mincho"/>
          <w:sz w:val="22"/>
          <w:szCs w:val="22"/>
          <w:lang w:val="en-US"/>
        </w:rPr>
        <w:t xml:space="preserve">181 pp. </w:t>
      </w:r>
    </w:p>
    <w:p w14:paraId="2D9663DF"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 xml:space="preserve">Martín-García L., Herrera R., Moro-Abad L., Sangil C., Barquín-Diez J., 2014. </w:t>
      </w:r>
      <w:r w:rsidRPr="009978E3">
        <w:rPr>
          <w:rFonts w:eastAsia="MS Mincho"/>
          <w:sz w:val="22"/>
          <w:szCs w:val="22"/>
          <w:lang w:val="en-US"/>
        </w:rPr>
        <w:t xml:space="preserve">Predicting the potential habitat of the harmful cyanobacteria Lyngbya majuscula in the Canary Islands (Spain). </w:t>
      </w:r>
      <w:r w:rsidRPr="009978E3">
        <w:rPr>
          <w:rFonts w:eastAsia="MS Mincho"/>
          <w:sz w:val="22"/>
          <w:szCs w:val="22"/>
          <w:lang w:val="es-ES"/>
        </w:rPr>
        <w:t>Harmful Algae 34: 76-86.</w:t>
      </w:r>
    </w:p>
    <w:p w14:paraId="7D82393A"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n-US"/>
        </w:rPr>
        <w:t>Molnar, Jennifer &amp; Gamboa, Rebecca &amp; Revenga, Carmen &amp; Spalding, Mark. (2008). Assessing the global threat of invasive species to marine biodiversity. Frontiers in Ecology and The Environment - FRONT ECOL ENVIRON. 6. 485-492.</w:t>
      </w:r>
    </w:p>
    <w:p w14:paraId="07DA5066"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Navarro, P. G., Ramírez, R., Tuya, F., Fernández-Gil, C., Sánchez-Jerez, P. &amp; Haroun, R. J. 2005. </w:t>
      </w:r>
      <w:r w:rsidRPr="009978E3">
        <w:rPr>
          <w:rFonts w:eastAsia="MS Mincho"/>
          <w:sz w:val="22"/>
          <w:szCs w:val="22"/>
          <w:lang w:val="en-US"/>
        </w:rPr>
        <w:t xml:space="preserve">Hierarchical analysis of spatial distribution patterns of patellid limpets in the Canary Islands. Journal of Molluscan Studies, 71: 67-73.  </w:t>
      </w:r>
    </w:p>
    <w:p w14:paraId="5D4B02F0" w14:textId="77777777" w:rsidR="006B3F46" w:rsidRPr="009978E3" w:rsidRDefault="006B3F46" w:rsidP="00907941">
      <w:pPr>
        <w:autoSpaceDE w:val="0"/>
        <w:autoSpaceDN w:val="0"/>
        <w:adjustRightInd w:val="0"/>
        <w:ind w:left="720" w:hanging="720"/>
        <w:rPr>
          <w:rFonts w:eastAsia="MS Mincho"/>
          <w:sz w:val="22"/>
          <w:szCs w:val="22"/>
          <w:lang w:val="en-US"/>
        </w:rPr>
      </w:pPr>
      <w:r w:rsidRPr="009978E3">
        <w:rPr>
          <w:rFonts w:eastAsia="MS Mincho"/>
          <w:sz w:val="22"/>
          <w:szCs w:val="22"/>
          <w:lang w:val="en-US"/>
        </w:rPr>
        <w:t xml:space="preserve">Newton, S.F.m (2004). Roseate Tern </w:t>
      </w:r>
      <w:r w:rsidRPr="009978E3">
        <w:rPr>
          <w:rFonts w:eastAsia="MS Mincho"/>
          <w:i/>
          <w:iCs/>
          <w:sz w:val="22"/>
          <w:szCs w:val="22"/>
          <w:lang w:val="en-US"/>
        </w:rPr>
        <w:t xml:space="preserve">Sterna dougallii </w:t>
      </w:r>
      <w:r w:rsidRPr="009978E3">
        <w:rPr>
          <w:rFonts w:eastAsia="MS Mincho"/>
          <w:sz w:val="22"/>
          <w:szCs w:val="22"/>
          <w:lang w:val="en-US"/>
        </w:rPr>
        <w:t>pp 302-314 in: Mitchell, P.L., Newton, S.F., Ratcliffe, N. and Dunn, T.C. (eds.) Seabird Populations of Britain and Ireland T &amp; AD Poyser, London.</w:t>
      </w:r>
    </w:p>
    <w:p w14:paraId="21BC9FA2" w14:textId="77777777" w:rsidR="006B3F46" w:rsidRPr="009978E3" w:rsidRDefault="006B3F46" w:rsidP="00907941">
      <w:pPr>
        <w:autoSpaceDE w:val="0"/>
        <w:autoSpaceDN w:val="0"/>
        <w:adjustRightInd w:val="0"/>
        <w:ind w:left="720" w:hanging="720"/>
        <w:rPr>
          <w:rFonts w:eastAsia="MS Mincho"/>
          <w:sz w:val="22"/>
          <w:szCs w:val="22"/>
          <w:lang w:val="en-US"/>
        </w:rPr>
      </w:pPr>
      <w:r w:rsidRPr="009978E3">
        <w:rPr>
          <w:rFonts w:eastAsia="MS Mincho"/>
          <w:sz w:val="22"/>
          <w:szCs w:val="22"/>
          <w:lang w:val="en-US"/>
        </w:rPr>
        <w:t>Occhipinti, A., Savini, D., 2003. Biological invasions as a component of global change in stressed marine ecosystems. Marine pollution bulletin. 46. 542-51.</w:t>
      </w:r>
    </w:p>
    <w:p w14:paraId="5C44D9A6" w14:textId="77777777" w:rsidR="006B3F46" w:rsidRPr="009978E3" w:rsidRDefault="006B3F46" w:rsidP="00907941">
      <w:pPr>
        <w:pStyle w:val="Heading1"/>
        <w:shd w:val="clear" w:color="auto" w:fill="FFFFFF"/>
        <w:spacing w:before="0"/>
        <w:textAlignment w:val="baseline"/>
        <w:rPr>
          <w:rFonts w:eastAsia="MS Mincho"/>
          <w:b w:val="0"/>
          <w:bCs/>
          <w:szCs w:val="22"/>
          <w:lang w:val="en-US"/>
        </w:rPr>
      </w:pPr>
      <w:r w:rsidRPr="009978E3">
        <w:rPr>
          <w:rFonts w:eastAsia="MS Mincho"/>
          <w:b w:val="0"/>
          <w:bCs/>
          <w:szCs w:val="22"/>
          <w:lang w:val="en-US"/>
        </w:rPr>
        <w:t>OSPAR, 2008. List of Threatened and/or Declining Species &amp; Habitats</w:t>
      </w:r>
    </w:p>
    <w:p w14:paraId="585EA04D"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n-US"/>
        </w:rPr>
        <w:t xml:space="preserve">OSPAR, 2009a. Background document for Little Shearwater </w:t>
      </w:r>
      <w:r w:rsidRPr="009978E3">
        <w:rPr>
          <w:rFonts w:eastAsia="MS Mincho"/>
          <w:i/>
          <w:iCs/>
          <w:sz w:val="22"/>
          <w:szCs w:val="22"/>
          <w:lang w:val="en-US"/>
        </w:rPr>
        <w:t>Puffinus assimilis baroli</w:t>
      </w:r>
      <w:r w:rsidRPr="009978E3">
        <w:rPr>
          <w:rFonts w:eastAsia="MS Mincho"/>
          <w:sz w:val="22"/>
          <w:szCs w:val="22"/>
          <w:lang w:val="en-US"/>
        </w:rPr>
        <w:t xml:space="preserve">. Biodiversity Series, 13p. </w:t>
      </w:r>
    </w:p>
    <w:p w14:paraId="4138927F"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n-US"/>
        </w:rPr>
        <w:t>OSPAR, 2009b. Background document for Roseate Tern Sterna dougallii. Biodiversity Series. 29p</w:t>
      </w:r>
    </w:p>
    <w:p w14:paraId="3258FAE3"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 xml:space="preserve">Ramírez R, F Tuya &amp; RJ Haroun. </w:t>
      </w:r>
      <w:r w:rsidRPr="009978E3">
        <w:rPr>
          <w:rFonts w:eastAsia="MS Mincho"/>
          <w:sz w:val="22"/>
          <w:szCs w:val="22"/>
          <w:lang w:val="en-US"/>
        </w:rPr>
        <w:t xml:space="preserve">2009. Spatial patterns in the population structure of the whelk Stramonita haemastoma (Linnaeus, 1766) (Gastropoda: Muricidae) in the Canarian Archipelago (eastern Atlantic). </w:t>
      </w:r>
      <w:r w:rsidRPr="009978E3">
        <w:rPr>
          <w:rFonts w:eastAsia="MS Mincho"/>
          <w:sz w:val="22"/>
          <w:szCs w:val="22"/>
          <w:lang w:val="es-ES"/>
        </w:rPr>
        <w:t>Scientia Marina 73: 431-437.</w:t>
      </w:r>
    </w:p>
    <w:p w14:paraId="1A9DADC2"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n-US"/>
        </w:rPr>
        <w:t>Reyes, C. 2017. Abundance estimate, survival and site fidelity patterns of Blainville’s (</w:t>
      </w:r>
      <w:r w:rsidRPr="009978E3">
        <w:rPr>
          <w:rFonts w:eastAsia="MS Mincho"/>
          <w:i/>
          <w:iCs/>
          <w:sz w:val="22"/>
          <w:szCs w:val="22"/>
          <w:lang w:val="en-US"/>
        </w:rPr>
        <w:t>Mesoplodon densirostris</w:t>
      </w:r>
      <w:r w:rsidRPr="009978E3">
        <w:rPr>
          <w:rFonts w:eastAsia="MS Mincho"/>
          <w:sz w:val="22"/>
          <w:szCs w:val="22"/>
          <w:lang w:val="en-US"/>
        </w:rPr>
        <w:t>) and Cuvier’s (</w:t>
      </w:r>
      <w:r w:rsidRPr="009978E3">
        <w:rPr>
          <w:rFonts w:eastAsia="MS Mincho"/>
          <w:i/>
          <w:iCs/>
          <w:sz w:val="22"/>
          <w:szCs w:val="22"/>
          <w:lang w:val="en-US"/>
        </w:rPr>
        <w:t>Ziphius cavirostris</w:t>
      </w:r>
      <w:r w:rsidRPr="009978E3">
        <w:rPr>
          <w:rFonts w:eastAsia="MS Mincho"/>
          <w:sz w:val="22"/>
          <w:szCs w:val="22"/>
          <w:lang w:val="en-US"/>
        </w:rPr>
        <w:t>) beaked whales off El Hierro (Canary Islands). MSc in Biology, University of St Andrews, Scotland.</w:t>
      </w:r>
    </w:p>
    <w:p w14:paraId="2E1FB668"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Riera R., Becerro M.A., Stuart-Smith R.D., Delgado J.D., Edgar G.J., 2014. </w:t>
      </w:r>
      <w:r w:rsidRPr="009978E3">
        <w:rPr>
          <w:rFonts w:eastAsia="MS Mincho"/>
          <w:sz w:val="22"/>
          <w:szCs w:val="22"/>
          <w:lang w:val="en-US"/>
        </w:rPr>
        <w:t xml:space="preserve">Out of sight, out of mind: threats to the marine biodiversity of the Canary Islands (NE Atlantic Ocean). Mar Pollut Bull. 86(1-2): 9-18. doi: 10.1016/j.marpolbul.2014.07.014. </w:t>
      </w:r>
    </w:p>
    <w:p w14:paraId="11A57FD6" w14:textId="77777777" w:rsidR="006B3F46" w:rsidRPr="009978E3" w:rsidRDefault="006B3F46" w:rsidP="00907941">
      <w:pPr>
        <w:ind w:left="709" w:hanging="709"/>
        <w:rPr>
          <w:sz w:val="22"/>
          <w:szCs w:val="22"/>
          <w:lang w:val="en-US"/>
        </w:rPr>
      </w:pPr>
      <w:r w:rsidRPr="009978E3">
        <w:rPr>
          <w:sz w:val="22"/>
          <w:szCs w:val="22"/>
          <w:lang w:val="en-US"/>
        </w:rPr>
        <w:t xml:space="preserve">Roden, GI. 1986.: Aspects of aeanic Low and thermohaline struc- tw in the vicinity of munounti. In: Uchida, R.N.; Hay4 S.; Boehlert G.W. (edn.), Environment and &amp;a of Seuncuh m the North Pacific. US Dep. Commer. NOM Tech. Re NMFS 43. </w:t>
      </w:r>
    </w:p>
    <w:p w14:paraId="1525F63C"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Sangil C., Sansón M., Afonso-Carrillo J., Martín-García L., 2010. </w:t>
      </w:r>
      <w:r w:rsidRPr="009978E3">
        <w:rPr>
          <w:rFonts w:eastAsia="MS Mincho"/>
          <w:sz w:val="22"/>
          <w:szCs w:val="22"/>
          <w:lang w:val="en-US"/>
        </w:rPr>
        <w:t>Extensive off-shore meadows of Penicillus capitatus</w:t>
      </w:r>
    </w:p>
    <w:p w14:paraId="6C6405D4"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 xml:space="preserve">Sangil, C., Sansón, M., Afonso-Carrillo, J., 2011. </w:t>
      </w:r>
      <w:r w:rsidRPr="009978E3">
        <w:rPr>
          <w:rFonts w:eastAsia="MS Mincho"/>
          <w:sz w:val="22"/>
          <w:szCs w:val="22"/>
          <w:lang w:val="en-US"/>
        </w:rPr>
        <w:t xml:space="preserve">Spatial variation patterns of subtidal seaweed assemblages along a subtropical oceanic archipelago: thermal gradient vs herbivore pressure. </w:t>
      </w:r>
      <w:r w:rsidRPr="009978E3">
        <w:rPr>
          <w:rFonts w:eastAsia="MS Mincho"/>
          <w:sz w:val="22"/>
          <w:szCs w:val="22"/>
          <w:lang w:val="es-ES"/>
        </w:rPr>
        <w:t xml:space="preserve">Estuarine.Coast.ShelfSci. 94, 322–333. </w:t>
      </w:r>
    </w:p>
    <w:p w14:paraId="54409265" w14:textId="77777777" w:rsidR="006B3F46" w:rsidRPr="009978E3" w:rsidRDefault="006B3F46" w:rsidP="00907941">
      <w:pPr>
        <w:ind w:left="709" w:hanging="709"/>
        <w:jc w:val="both"/>
        <w:rPr>
          <w:rFonts w:eastAsia="MS Mincho"/>
          <w:sz w:val="22"/>
          <w:szCs w:val="22"/>
          <w:lang w:val="en-US"/>
        </w:rPr>
      </w:pPr>
      <w:r w:rsidRPr="009978E3">
        <w:rPr>
          <w:rFonts w:eastAsia="MS Mincho"/>
          <w:sz w:val="22"/>
          <w:szCs w:val="22"/>
          <w:lang w:val="es-ES"/>
        </w:rPr>
        <w:t xml:space="preserve">Sangil, C., Sansón, M., Afonso-Carrillo, J., 2011. </w:t>
      </w:r>
      <w:r w:rsidRPr="009978E3">
        <w:rPr>
          <w:rFonts w:eastAsia="MS Mincho"/>
          <w:sz w:val="22"/>
          <w:szCs w:val="22"/>
          <w:lang w:val="en-US"/>
        </w:rPr>
        <w:t xml:space="preserve">Spatial variation patterns of subtidal seaweed assemblages along a subtropical oceanic archipelago: thermal gradient vs herbivore pressure. Estuarine.Coast.ShelfSci. 94, 322–333. </w:t>
      </w:r>
    </w:p>
    <w:p w14:paraId="4C3D1A9C"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s-ES"/>
        </w:rPr>
        <w:t xml:space="preserve">Sansón, M., Reyes, J., Afonso-Carrillo, J., 2001. Flora marina. In: Fernández- Palacios, J. M., Martín Esquivel, J. L. (Eds.), Naturaleza de las Islas Canarias: Ecología y Conservación. Turquesa,Santa Cruz de Tenerife, pp.193–198. </w:t>
      </w:r>
    </w:p>
    <w:p w14:paraId="5F32BE6B" w14:textId="77777777" w:rsidR="006B3F46" w:rsidRPr="009978E3" w:rsidRDefault="006B3F46" w:rsidP="00907941">
      <w:pPr>
        <w:ind w:left="709" w:hanging="709"/>
        <w:jc w:val="both"/>
        <w:rPr>
          <w:rFonts w:eastAsia="MS Mincho"/>
          <w:sz w:val="22"/>
          <w:szCs w:val="22"/>
          <w:lang w:val="es-ES"/>
        </w:rPr>
      </w:pPr>
      <w:r w:rsidRPr="009978E3">
        <w:rPr>
          <w:rFonts w:eastAsia="MS Mincho"/>
          <w:sz w:val="22"/>
          <w:szCs w:val="22"/>
          <w:lang w:val="en-US"/>
        </w:rPr>
        <w:t xml:space="preserve">Tuya, F., Boyra, A., Sanchez-Jerez, P., Barberá, C., Haroun, R.J., 2004, Relationships between rocky-reef fish assemblages, the sea urchin Diadema antillarum and macroalgae throughout the Canarian archipelago. </w:t>
      </w:r>
      <w:r w:rsidRPr="009978E3">
        <w:rPr>
          <w:rFonts w:eastAsia="MS Mincho"/>
          <w:sz w:val="22"/>
          <w:szCs w:val="22"/>
          <w:lang w:val="es-ES"/>
        </w:rPr>
        <w:t>Mar. Ecol. Prog. Ser. 278, 157–169.</w:t>
      </w:r>
    </w:p>
    <w:p w14:paraId="38BFF05B" w14:textId="77777777" w:rsidR="006B3F46" w:rsidRPr="009978E3" w:rsidRDefault="006B3F46" w:rsidP="00907941">
      <w:pPr>
        <w:ind w:left="709" w:hanging="709"/>
        <w:jc w:val="both"/>
        <w:rPr>
          <w:sz w:val="22"/>
          <w:szCs w:val="22"/>
          <w:lang w:val="en-US"/>
        </w:rPr>
      </w:pPr>
      <w:r w:rsidRPr="009978E3">
        <w:rPr>
          <w:sz w:val="22"/>
          <w:szCs w:val="22"/>
          <w:lang w:val="en-US"/>
        </w:rPr>
        <w:t>White, M., Bashmachnikov, I., Arístegui, J. &amp; Martins, A. 2007. Physical Processes and Seamount Productivity. Chapter 4 in Pitcher, T.J., Morato, T., Hart, P.J.B., Clark, M.R., Haggan, N. &amp; Santos, R.S. (eds) Seamounts: Ecology, Fisheries and Conservation. Fish and Aquatic Resources Series, Blackwell, Oxford, UK. Pp 65-84.</w:t>
      </w:r>
    </w:p>
    <w:p w14:paraId="36749299" w14:textId="77777777" w:rsidR="006B3F46" w:rsidRPr="009978E3" w:rsidRDefault="006B3F46" w:rsidP="00907941">
      <w:pPr>
        <w:ind w:left="709" w:hanging="709"/>
        <w:jc w:val="both"/>
        <w:rPr>
          <w:sz w:val="22"/>
          <w:szCs w:val="22"/>
          <w:lang w:val="en-US"/>
        </w:rPr>
      </w:pPr>
      <w:r w:rsidRPr="009978E3">
        <w:rPr>
          <w:sz w:val="22"/>
          <w:szCs w:val="22"/>
          <w:lang w:val="en-US"/>
        </w:rPr>
        <w:t>Wilkens, Horst &amp; Iliffe, Thomas &amp; Oromí, Pedro &amp; Martinez, Alejandro &amp; Tysall, Terrence &amp; Koenemann, Stefan., 2009. The Corona lava tube, Lanzarote: Geology, habitat diversity and biogeography. Marine Biodiversity. 39. 155-167.</w:t>
      </w:r>
    </w:p>
    <w:p w14:paraId="3128D29F" w14:textId="77777777" w:rsidR="006B3F46" w:rsidRPr="009978E3" w:rsidRDefault="006B3F46" w:rsidP="00907941">
      <w:pPr>
        <w:ind w:left="709" w:hanging="709"/>
        <w:jc w:val="both"/>
        <w:rPr>
          <w:rFonts w:eastAsia="MS Mincho"/>
          <w:sz w:val="22"/>
          <w:szCs w:val="22"/>
          <w:lang w:val="es-ES"/>
        </w:rPr>
      </w:pPr>
    </w:p>
    <w:p w14:paraId="0624EBD7" w14:textId="77777777" w:rsidR="006B3F46" w:rsidRPr="009978E3" w:rsidRDefault="006B3F46" w:rsidP="00907941">
      <w:pPr>
        <w:spacing w:after="120"/>
        <w:ind w:left="709" w:hanging="709"/>
        <w:jc w:val="both"/>
        <w:rPr>
          <w:rFonts w:eastAsia="MS Mincho"/>
          <w:sz w:val="22"/>
          <w:szCs w:val="22"/>
          <w:lang w:val="es-ES"/>
        </w:rPr>
      </w:pPr>
    </w:p>
    <w:p w14:paraId="517854EC" w14:textId="77777777" w:rsidR="006B3F46" w:rsidRPr="009978E3" w:rsidRDefault="006B3F46" w:rsidP="00907941">
      <w:pPr>
        <w:spacing w:after="120"/>
        <w:jc w:val="both"/>
        <w:rPr>
          <w:rFonts w:eastAsia="MS Mincho"/>
          <w:sz w:val="22"/>
          <w:szCs w:val="22"/>
          <w:lang w:val="es-ES"/>
        </w:rPr>
      </w:pPr>
      <w:r>
        <w:rPr>
          <w:rFonts w:eastAsia="MS Mincho"/>
          <w:sz w:val="22"/>
          <w:szCs w:val="22"/>
          <w:lang w:val="es-ES"/>
        </w:rPr>
        <w:br w:type="page"/>
      </w:r>
    </w:p>
    <w:p w14:paraId="105EB5F5" w14:textId="77777777" w:rsidR="006B3F46" w:rsidRDefault="006B3F46" w:rsidP="00907941">
      <w:pPr>
        <w:rPr>
          <w:rFonts w:eastAsia="MS Mincho"/>
          <w:b/>
          <w:sz w:val="22"/>
          <w:szCs w:val="22"/>
          <w:lang w:val="en-US"/>
        </w:rPr>
      </w:pPr>
      <w:r w:rsidRPr="009978E3">
        <w:rPr>
          <w:rFonts w:eastAsia="MS Mincho"/>
          <w:b/>
          <w:color w:val="000000"/>
          <w:sz w:val="22"/>
          <w:szCs w:val="22"/>
          <w:lang w:val="en-US"/>
        </w:rPr>
        <w:t>Maps and Figures</w:t>
      </w:r>
    </w:p>
    <w:p w14:paraId="1C7731C7" w14:textId="77777777" w:rsidR="006B3F46" w:rsidRDefault="006B3F46" w:rsidP="00907941">
      <w:pPr>
        <w:rPr>
          <w:rFonts w:eastAsia="MS Mincho"/>
          <w:b/>
          <w:sz w:val="22"/>
          <w:szCs w:val="22"/>
          <w:lang w:val="en-US"/>
        </w:rPr>
      </w:pPr>
    </w:p>
    <w:p w14:paraId="23BD547E" w14:textId="77777777" w:rsidR="006B3F46" w:rsidRPr="009978E3" w:rsidRDefault="009E53BE" w:rsidP="00907941">
      <w:pPr>
        <w:rPr>
          <w:rFonts w:eastAsia="MS Mincho"/>
          <w:b/>
          <w:sz w:val="22"/>
          <w:szCs w:val="22"/>
          <w:lang w:val="en-US"/>
        </w:rPr>
      </w:pPr>
      <w:r>
        <w:pict w14:anchorId="4D85A81F">
          <v:shape id="_x0000_i1110" type="#_x0000_t75" style="width:6in;height:6in">
            <v:imagedata r:id="rId222" o:title=""/>
          </v:shape>
        </w:pict>
      </w:r>
    </w:p>
    <w:p w14:paraId="315F3E44" w14:textId="77777777" w:rsidR="006B3F46" w:rsidRPr="009978E3" w:rsidRDefault="006B3F46" w:rsidP="00907941">
      <w:pPr>
        <w:rPr>
          <w:rFonts w:eastAsia="MS Mincho"/>
          <w:b/>
          <w:sz w:val="22"/>
          <w:szCs w:val="22"/>
          <w:lang w:val="en-US"/>
        </w:rPr>
      </w:pPr>
    </w:p>
    <w:p w14:paraId="2DE47E09" w14:textId="77777777" w:rsidR="006B3F46" w:rsidRPr="0021277B" w:rsidRDefault="006B3F46" w:rsidP="00907941">
      <w:pPr>
        <w:jc w:val="center"/>
        <w:rPr>
          <w:rFonts w:eastAsia="MS Mincho"/>
          <w:b/>
          <w:bCs/>
          <w:sz w:val="22"/>
          <w:szCs w:val="22"/>
          <w:lang w:val="en-US"/>
        </w:rPr>
      </w:pPr>
      <w:r w:rsidRPr="0021277B">
        <w:rPr>
          <w:rFonts w:eastAsia="MS Mincho"/>
          <w:b/>
          <w:bCs/>
          <w:sz w:val="22"/>
          <w:szCs w:val="22"/>
          <w:lang w:val="en-US"/>
        </w:rPr>
        <w:t xml:space="preserve">Location of </w:t>
      </w:r>
      <w:r>
        <w:rPr>
          <w:rFonts w:eastAsia="MS Mincho"/>
          <w:b/>
          <w:bCs/>
          <w:sz w:val="22"/>
          <w:szCs w:val="22"/>
          <w:lang w:val="en-US"/>
        </w:rPr>
        <w:t>a</w:t>
      </w:r>
      <w:r w:rsidRPr="0021277B">
        <w:rPr>
          <w:rFonts w:eastAsia="MS Mincho"/>
          <w:b/>
          <w:bCs/>
          <w:sz w:val="22"/>
          <w:szCs w:val="22"/>
          <w:lang w:val="en-US"/>
        </w:rPr>
        <w:t xml:space="preserve">rea no. 8: Oceanic Islands and Seamounts of the Canary Region </w:t>
      </w:r>
    </w:p>
    <w:p w14:paraId="4480443B" w14:textId="77777777" w:rsidR="006B3F46" w:rsidRPr="009978E3" w:rsidRDefault="006B3F46" w:rsidP="00907941">
      <w:pPr>
        <w:rPr>
          <w:rFonts w:eastAsia="MS Mincho"/>
          <w:b/>
          <w:sz w:val="22"/>
          <w:szCs w:val="22"/>
          <w:lang w:val="en-US"/>
        </w:rPr>
      </w:pPr>
    </w:p>
    <w:p w14:paraId="07C6710A" w14:textId="77777777" w:rsidR="006B3F46" w:rsidRPr="0021277B" w:rsidRDefault="009E53BE" w:rsidP="00907941">
      <w:pPr>
        <w:jc w:val="both"/>
        <w:rPr>
          <w:rFonts w:eastAsia="MS Mincho"/>
          <w:sz w:val="22"/>
          <w:szCs w:val="22"/>
          <w:lang w:val="en-US" w:eastAsia="ja-JP"/>
        </w:rPr>
      </w:pPr>
      <w:r>
        <w:rPr>
          <w:rFonts w:eastAsia="MS Mincho"/>
          <w:noProof/>
          <w:sz w:val="22"/>
          <w:szCs w:val="22"/>
          <w:lang w:val="fr-CA" w:eastAsia="fr-CA"/>
        </w:rPr>
        <w:pict w14:anchorId="1B8F79F3">
          <v:shape id="_x0000_i1111" type="#_x0000_t75" style="width:441.75pt;height:239.25pt;visibility:visible">
            <v:imagedata r:id="rId223" o:title="" croptop="18326f" cropbottom="27261f" cropleft="43808f" cropright="11376f"/>
          </v:shape>
        </w:pict>
      </w:r>
    </w:p>
    <w:p w14:paraId="62EB4BCC" w14:textId="77777777" w:rsidR="006B3F46" w:rsidRPr="0021277B" w:rsidRDefault="006B3F46" w:rsidP="00907941">
      <w:pPr>
        <w:jc w:val="center"/>
        <w:rPr>
          <w:rFonts w:eastAsia="MS Mincho"/>
          <w:sz w:val="22"/>
          <w:szCs w:val="22"/>
          <w:lang w:val="en-US"/>
        </w:rPr>
      </w:pPr>
      <w:r w:rsidRPr="0021277B">
        <w:rPr>
          <w:rFonts w:eastAsia="MS Mincho"/>
          <w:sz w:val="22"/>
          <w:szCs w:val="22"/>
          <w:lang w:val="en-US"/>
        </w:rPr>
        <w:t xml:space="preserve">Sketch with the main hydrodynamic features related to an incoming flow with a seamount (summary using data from several authors) (Hernández-Molina </w:t>
      </w:r>
      <w:r w:rsidRPr="0006066A">
        <w:rPr>
          <w:rFonts w:eastAsia="MS Mincho"/>
          <w:i/>
          <w:sz w:val="22"/>
          <w:szCs w:val="22"/>
          <w:lang w:val="en-US"/>
        </w:rPr>
        <w:t>et al</w:t>
      </w:r>
      <w:r>
        <w:rPr>
          <w:rFonts w:eastAsia="MS Mincho"/>
          <w:sz w:val="22"/>
          <w:szCs w:val="22"/>
          <w:lang w:val="en-US"/>
        </w:rPr>
        <w:t>.</w:t>
      </w:r>
      <w:r w:rsidRPr="0021277B">
        <w:rPr>
          <w:rFonts w:eastAsia="MS Mincho"/>
          <w:sz w:val="22"/>
          <w:szCs w:val="22"/>
          <w:lang w:val="en-US"/>
        </w:rPr>
        <w:t>, 2006)</w:t>
      </w:r>
    </w:p>
    <w:p w14:paraId="77C7AFAA" w14:textId="77777777" w:rsidR="006B3F46" w:rsidRPr="0021277B" w:rsidRDefault="006B3F46" w:rsidP="00907941">
      <w:pPr>
        <w:jc w:val="center"/>
        <w:rPr>
          <w:rFonts w:eastAsia="MS Mincho"/>
          <w:sz w:val="22"/>
          <w:szCs w:val="22"/>
          <w:lang w:val="en-US"/>
        </w:rPr>
      </w:pPr>
    </w:p>
    <w:p w14:paraId="42AB15CD" w14:textId="77777777" w:rsidR="006B3F46" w:rsidRPr="00F66EF7" w:rsidRDefault="006B3F46" w:rsidP="00907941">
      <w:pPr>
        <w:rPr>
          <w:rFonts w:eastAsia="MS Mincho"/>
          <w:b/>
          <w:sz w:val="22"/>
          <w:szCs w:val="22"/>
          <w:lang w:val="en-US"/>
        </w:rPr>
      </w:pPr>
    </w:p>
    <w:p w14:paraId="38703BDB" w14:textId="77777777" w:rsidR="006B3F46" w:rsidRPr="0021277B" w:rsidRDefault="009E53BE" w:rsidP="00907941">
      <w:pPr>
        <w:jc w:val="both"/>
        <w:rPr>
          <w:rFonts w:eastAsia="MS Mincho"/>
          <w:sz w:val="22"/>
          <w:szCs w:val="22"/>
          <w:lang w:val="en-US" w:eastAsia="ja-JP"/>
        </w:rPr>
      </w:pPr>
      <w:r>
        <w:rPr>
          <w:noProof/>
          <w:sz w:val="22"/>
          <w:szCs w:val="22"/>
          <w:lang w:val="fr-CA" w:eastAsia="fr-CA"/>
        </w:rPr>
        <w:pict w14:anchorId="6A461AD8">
          <v:shape id="_x0000_i1112" type="#_x0000_t75" alt="Fig. 2 Schematic cross-section of the anchialine portions of the Corona lava tube. a Cueva de Los Lagos. b Jameos del Agua lagoon (dotted transversal lines represent the approximated area occupied by the tourist complex). c Position of the carpet of diatoms in the lagoon. d Túnel de la Atlántida. e Lago Escondido. f Dome room. g Montaña" style="width:448.5pt;height:115.5pt;visibility:visible">
            <v:imagedata r:id="rId224" o:title="Fig"/>
          </v:shape>
        </w:pict>
      </w:r>
    </w:p>
    <w:p w14:paraId="44B506FE" w14:textId="77777777" w:rsidR="006B3F46" w:rsidRPr="0021277B" w:rsidRDefault="006B3F46" w:rsidP="00907941">
      <w:pPr>
        <w:jc w:val="both"/>
        <w:rPr>
          <w:sz w:val="22"/>
          <w:szCs w:val="22"/>
        </w:rPr>
      </w:pPr>
      <w:r w:rsidRPr="0021277B">
        <w:rPr>
          <w:sz w:val="22"/>
          <w:szCs w:val="22"/>
        </w:rPr>
        <w:t>Schematic cross-section of the anchialine portions of the Corona lava tube. A</w:t>
      </w:r>
      <w:r>
        <w:rPr>
          <w:sz w:val="22"/>
          <w:szCs w:val="22"/>
        </w:rPr>
        <w:t>:</w:t>
      </w:r>
      <w:r w:rsidRPr="0021277B">
        <w:rPr>
          <w:sz w:val="22"/>
          <w:szCs w:val="22"/>
        </w:rPr>
        <w:t xml:space="preserve"> Cueva de Los Lagos. B</w:t>
      </w:r>
      <w:r>
        <w:rPr>
          <w:sz w:val="22"/>
          <w:szCs w:val="22"/>
        </w:rPr>
        <w:t>:</w:t>
      </w:r>
      <w:r w:rsidRPr="0021277B">
        <w:rPr>
          <w:sz w:val="22"/>
          <w:szCs w:val="22"/>
        </w:rPr>
        <w:t xml:space="preserve"> Jameos del Agua lagoon (dotted transversal lines represent the approximated area occupied by the tourist complex). C</w:t>
      </w:r>
      <w:r>
        <w:rPr>
          <w:sz w:val="22"/>
          <w:szCs w:val="22"/>
        </w:rPr>
        <w:t>:</w:t>
      </w:r>
      <w:r w:rsidRPr="0021277B">
        <w:rPr>
          <w:sz w:val="22"/>
          <w:szCs w:val="22"/>
        </w:rPr>
        <w:t xml:space="preserve"> Position of the carpet of diatoms in the lagoon. </w:t>
      </w:r>
      <w:r w:rsidRPr="0021277B">
        <w:rPr>
          <w:sz w:val="22"/>
          <w:szCs w:val="22"/>
          <w:lang w:val="fr-CA"/>
        </w:rPr>
        <w:t>D</w:t>
      </w:r>
      <w:r>
        <w:rPr>
          <w:sz w:val="22"/>
          <w:szCs w:val="22"/>
          <w:lang w:val="fr-CA"/>
        </w:rPr>
        <w:t> :</w:t>
      </w:r>
      <w:r w:rsidRPr="0021277B">
        <w:rPr>
          <w:sz w:val="22"/>
          <w:szCs w:val="22"/>
          <w:lang w:val="fr-CA"/>
        </w:rPr>
        <w:t xml:space="preserve"> Túnel de la Atlántida. E</w:t>
      </w:r>
      <w:r>
        <w:rPr>
          <w:sz w:val="22"/>
          <w:szCs w:val="22"/>
          <w:lang w:val="fr-CA"/>
        </w:rPr>
        <w:t> :</w:t>
      </w:r>
      <w:r w:rsidRPr="0021277B">
        <w:rPr>
          <w:sz w:val="22"/>
          <w:szCs w:val="22"/>
          <w:lang w:val="fr-CA"/>
        </w:rPr>
        <w:t xml:space="preserve"> Lago Escondido. F</w:t>
      </w:r>
      <w:r>
        <w:rPr>
          <w:sz w:val="22"/>
          <w:szCs w:val="22"/>
          <w:lang w:val="fr-CA"/>
        </w:rPr>
        <w:t> :</w:t>
      </w:r>
      <w:r w:rsidRPr="0021277B">
        <w:rPr>
          <w:sz w:val="22"/>
          <w:szCs w:val="22"/>
          <w:lang w:val="fr-CA"/>
        </w:rPr>
        <w:t xml:space="preserve"> Dome room. </w:t>
      </w:r>
      <w:r w:rsidRPr="0021277B">
        <w:rPr>
          <w:sz w:val="22"/>
          <w:szCs w:val="22"/>
        </w:rPr>
        <w:t>G</w:t>
      </w:r>
      <w:r>
        <w:rPr>
          <w:sz w:val="22"/>
          <w:szCs w:val="22"/>
        </w:rPr>
        <w:t>:</w:t>
      </w:r>
      <w:r w:rsidRPr="0021277B">
        <w:rPr>
          <w:sz w:val="22"/>
          <w:szCs w:val="22"/>
        </w:rPr>
        <w:t xml:space="preserve"> Montaña (Wilkens </w:t>
      </w:r>
      <w:r w:rsidRPr="0006066A">
        <w:rPr>
          <w:i/>
          <w:sz w:val="22"/>
          <w:szCs w:val="22"/>
        </w:rPr>
        <w:t>et al</w:t>
      </w:r>
      <w:r>
        <w:rPr>
          <w:sz w:val="22"/>
          <w:szCs w:val="22"/>
        </w:rPr>
        <w:t>.</w:t>
      </w:r>
      <w:r w:rsidRPr="0021277B">
        <w:rPr>
          <w:sz w:val="22"/>
          <w:szCs w:val="22"/>
        </w:rPr>
        <w:t>, 2009).</w:t>
      </w:r>
    </w:p>
    <w:p w14:paraId="6FDA0E38" w14:textId="77777777" w:rsidR="006B3F46" w:rsidRPr="0021277B" w:rsidRDefault="006B3F46" w:rsidP="00907941">
      <w:pPr>
        <w:jc w:val="both"/>
        <w:rPr>
          <w:sz w:val="22"/>
          <w:szCs w:val="22"/>
        </w:rPr>
      </w:pPr>
    </w:p>
    <w:p w14:paraId="1B607348" w14:textId="77777777" w:rsidR="006B3F46" w:rsidRPr="00F66EF7" w:rsidRDefault="006B3F46" w:rsidP="00907941">
      <w:pPr>
        <w:rPr>
          <w:rFonts w:eastAsia="MS Mincho"/>
          <w:b/>
          <w:sz w:val="22"/>
          <w:szCs w:val="22"/>
          <w:lang w:val="en-US"/>
        </w:rPr>
      </w:pPr>
    </w:p>
    <w:p w14:paraId="5E334B39" w14:textId="77777777" w:rsidR="006B3F46" w:rsidRPr="00F66EF7" w:rsidRDefault="009E53BE" w:rsidP="00907941">
      <w:pPr>
        <w:jc w:val="both"/>
        <w:rPr>
          <w:rFonts w:eastAsia="MS Mincho"/>
          <w:sz w:val="22"/>
          <w:szCs w:val="22"/>
          <w:lang w:val="en-US"/>
        </w:rPr>
      </w:pPr>
      <w:r>
        <w:rPr>
          <w:rFonts w:eastAsia="MS Mincho"/>
          <w:noProof/>
          <w:sz w:val="22"/>
          <w:szCs w:val="22"/>
          <w:lang w:val="fr-CA" w:eastAsia="fr-CA"/>
        </w:rPr>
        <w:pict w14:anchorId="1E80B9D2">
          <v:shape id="0 Imagen" o:spid="_x0000_i1113" type="#_x0000_t75" style="width:453pt;height:318.75pt;visibility:visible">
            <v:imagedata r:id="rId225" o:title="mapa EBSA CANARIAS 2"/>
          </v:shape>
        </w:pict>
      </w:r>
    </w:p>
    <w:p w14:paraId="70D9C124" w14:textId="77777777" w:rsidR="006B3F46" w:rsidRPr="00F66EF7" w:rsidRDefault="006B3F46" w:rsidP="00907941">
      <w:pPr>
        <w:rPr>
          <w:rFonts w:eastAsia="MS Mincho"/>
          <w:b/>
          <w:sz w:val="22"/>
          <w:szCs w:val="22"/>
          <w:lang w:val="en-US"/>
        </w:rPr>
      </w:pPr>
    </w:p>
    <w:p w14:paraId="6CD37072" w14:textId="77777777" w:rsidR="006B3F46" w:rsidRPr="009978E3" w:rsidRDefault="006B3F46" w:rsidP="00907941">
      <w:pPr>
        <w:jc w:val="center"/>
        <w:rPr>
          <w:rFonts w:eastAsia="MS Mincho"/>
          <w:b/>
          <w:sz w:val="22"/>
          <w:szCs w:val="22"/>
          <w:lang w:val="en-US"/>
        </w:rPr>
      </w:pPr>
      <w:r w:rsidRPr="00B0436D">
        <w:rPr>
          <w:rFonts w:eastAsia="MS Mincho"/>
          <w:sz w:val="22"/>
          <w:szCs w:val="22"/>
          <w:lang w:val="en-US"/>
        </w:rPr>
        <w:t>Oceanic Islands and Seamounts of the Canary Region</w:t>
      </w:r>
    </w:p>
    <w:p w14:paraId="068DB4B0" w14:textId="77777777" w:rsidR="006B3F46" w:rsidRPr="0021277B" w:rsidRDefault="006B3F46" w:rsidP="00907941">
      <w:pPr>
        <w:jc w:val="both"/>
        <w:rPr>
          <w:rFonts w:eastAsia="MS Mincho"/>
          <w:sz w:val="22"/>
          <w:szCs w:val="22"/>
          <w:lang w:val="en-US" w:eastAsia="ja-JP"/>
        </w:rPr>
      </w:pPr>
    </w:p>
    <w:p w14:paraId="05596D60" w14:textId="77777777" w:rsidR="006B3F46" w:rsidRPr="0021277B" w:rsidRDefault="006B3F46" w:rsidP="00907941">
      <w:pPr>
        <w:jc w:val="both"/>
        <w:rPr>
          <w:rFonts w:eastAsia="MS Mincho"/>
          <w:sz w:val="22"/>
          <w:szCs w:val="22"/>
          <w:lang w:val="en-US" w:eastAsia="ja-JP"/>
        </w:rPr>
      </w:pPr>
    </w:p>
    <w:p w14:paraId="52C5C082" w14:textId="77777777" w:rsidR="006B3F46" w:rsidRPr="0021277B" w:rsidRDefault="009E53BE" w:rsidP="00907941">
      <w:pPr>
        <w:jc w:val="both"/>
        <w:rPr>
          <w:rFonts w:eastAsia="MS Mincho"/>
          <w:sz w:val="22"/>
          <w:szCs w:val="22"/>
          <w:lang w:val="en-US" w:eastAsia="ja-JP"/>
        </w:rPr>
      </w:pPr>
      <w:r>
        <w:rPr>
          <w:rFonts w:eastAsia="MS Mincho"/>
          <w:noProof/>
          <w:sz w:val="22"/>
          <w:szCs w:val="22"/>
          <w:lang w:val="fr-CA" w:eastAsia="fr-CA"/>
        </w:rPr>
        <w:pict w14:anchorId="4B656F9A">
          <v:shape id="1 Imagen" o:spid="_x0000_i1114" type="#_x0000_t75" style="width:453pt;height:191.25pt;visibility:visible">
            <v:imagedata r:id="rId226" o:title="mapa sebadales"/>
          </v:shape>
        </w:pict>
      </w:r>
    </w:p>
    <w:p w14:paraId="077723C1" w14:textId="77777777" w:rsidR="006B3F46" w:rsidRPr="0021277B" w:rsidRDefault="006B3F46" w:rsidP="00907941">
      <w:pPr>
        <w:jc w:val="center"/>
        <w:rPr>
          <w:rFonts w:eastAsia="MS Mincho"/>
          <w:sz w:val="22"/>
          <w:szCs w:val="22"/>
          <w:lang w:val="en-US" w:eastAsia="ja-JP"/>
        </w:rPr>
      </w:pPr>
      <w:r w:rsidRPr="0021277B">
        <w:rPr>
          <w:rFonts w:eastAsia="MS Mincho"/>
          <w:sz w:val="22"/>
          <w:szCs w:val="22"/>
          <w:lang w:val="en-US" w:eastAsia="ja-JP"/>
        </w:rPr>
        <w:t xml:space="preserve">Distribution of Cymodocea seagrasses in the Canary Islands. They appear in the soft bottom of the southeast of the islands, except </w:t>
      </w:r>
      <w:r>
        <w:rPr>
          <w:rFonts w:eastAsia="MS Mincho"/>
          <w:sz w:val="22"/>
          <w:szCs w:val="22"/>
          <w:lang w:val="en-US" w:eastAsia="ja-JP"/>
        </w:rPr>
        <w:t>in</w:t>
      </w:r>
      <w:r w:rsidRPr="0021277B">
        <w:rPr>
          <w:rFonts w:eastAsia="MS Mincho"/>
          <w:sz w:val="22"/>
          <w:szCs w:val="22"/>
          <w:lang w:val="en-US" w:eastAsia="ja-JP"/>
        </w:rPr>
        <w:t xml:space="preserve"> La Palma and El Hierro (in the southwest).</w:t>
      </w:r>
    </w:p>
    <w:p w14:paraId="00A36581" w14:textId="77777777" w:rsidR="006B3F46" w:rsidRPr="0021277B" w:rsidRDefault="006B3F46" w:rsidP="00907941">
      <w:pPr>
        <w:jc w:val="center"/>
        <w:rPr>
          <w:rFonts w:eastAsia="MS Mincho"/>
          <w:sz w:val="22"/>
          <w:szCs w:val="22"/>
          <w:lang w:val="en-US" w:eastAsia="ja-JP"/>
        </w:rPr>
      </w:pPr>
    </w:p>
    <w:p w14:paraId="1779B6CB" w14:textId="77777777" w:rsidR="006B3F46" w:rsidRPr="0021277B" w:rsidRDefault="006B3F46" w:rsidP="00907941">
      <w:pPr>
        <w:autoSpaceDE w:val="0"/>
        <w:autoSpaceDN w:val="0"/>
        <w:adjustRightInd w:val="0"/>
        <w:rPr>
          <w:rFonts w:eastAsia="MS Mincho"/>
          <w:sz w:val="22"/>
          <w:szCs w:val="22"/>
          <w:lang w:val="en-US" w:eastAsia="ja-JP"/>
        </w:rPr>
      </w:pPr>
    </w:p>
    <w:p w14:paraId="336654AD" w14:textId="77777777" w:rsidR="006B3F46" w:rsidRPr="0021277B" w:rsidRDefault="006B3F46" w:rsidP="00907941">
      <w:pPr>
        <w:autoSpaceDE w:val="0"/>
        <w:autoSpaceDN w:val="0"/>
        <w:adjustRightInd w:val="0"/>
        <w:rPr>
          <w:rFonts w:eastAsia="MS Mincho"/>
          <w:sz w:val="22"/>
          <w:szCs w:val="22"/>
          <w:lang w:val="en-US" w:eastAsia="ja-JP"/>
        </w:rPr>
      </w:pPr>
    </w:p>
    <w:p w14:paraId="77CB4866" w14:textId="77777777" w:rsidR="006B3F46" w:rsidRPr="0021277B" w:rsidRDefault="009E53BE" w:rsidP="00907941">
      <w:pPr>
        <w:autoSpaceDE w:val="0"/>
        <w:autoSpaceDN w:val="0"/>
        <w:adjustRightInd w:val="0"/>
        <w:jc w:val="center"/>
        <w:rPr>
          <w:rFonts w:eastAsia="MS Mincho"/>
          <w:sz w:val="22"/>
          <w:szCs w:val="22"/>
          <w:lang w:val="en-US" w:eastAsia="ja-JP"/>
        </w:rPr>
      </w:pPr>
      <w:r>
        <w:rPr>
          <w:rFonts w:eastAsia="MS Mincho"/>
          <w:noProof/>
          <w:sz w:val="22"/>
          <w:szCs w:val="22"/>
          <w:lang w:val="fr-CA" w:eastAsia="fr-CA"/>
        </w:rPr>
        <w:pict w14:anchorId="0D773746">
          <v:shape id="Imagen 12" o:spid="_x0000_i1115" type="#_x0000_t75" style="width:184.5pt;height:294.75pt;visibility:visible">
            <v:imagedata r:id="rId227" o:title=""/>
          </v:shape>
        </w:pict>
      </w:r>
    </w:p>
    <w:p w14:paraId="4CA5678E" w14:textId="77777777" w:rsidR="006B3F46" w:rsidRPr="0021277B" w:rsidRDefault="006B3F46" w:rsidP="00907941">
      <w:pPr>
        <w:autoSpaceDE w:val="0"/>
        <w:autoSpaceDN w:val="0"/>
        <w:adjustRightInd w:val="0"/>
        <w:jc w:val="center"/>
        <w:rPr>
          <w:rFonts w:eastAsia="MS Mincho"/>
          <w:sz w:val="22"/>
          <w:szCs w:val="22"/>
          <w:lang w:val="en-US" w:eastAsia="ja-JP"/>
        </w:rPr>
      </w:pPr>
      <w:r w:rsidRPr="0021277B">
        <w:rPr>
          <w:rFonts w:eastAsia="MS Mincho"/>
          <w:sz w:val="22"/>
          <w:szCs w:val="22"/>
          <w:lang w:val="en-US" w:eastAsia="ja-JP"/>
        </w:rPr>
        <w:t>Distribution of algae assemblages in the infralittoral zone of La Palma.  All the islands of the archipelago present vast extensions of seaweeds on hard substrate in the infralittoral zone.</w:t>
      </w:r>
    </w:p>
    <w:p w14:paraId="00828370" w14:textId="77777777" w:rsidR="006B3F46" w:rsidRPr="0021277B" w:rsidRDefault="006B3F46" w:rsidP="00907941">
      <w:pPr>
        <w:jc w:val="center"/>
        <w:rPr>
          <w:rFonts w:eastAsia="MS Mincho"/>
          <w:sz w:val="22"/>
          <w:szCs w:val="22"/>
          <w:lang w:val="en-US" w:eastAsia="ja-JP"/>
        </w:rPr>
      </w:pPr>
    </w:p>
    <w:p w14:paraId="29F912CA" w14:textId="77777777" w:rsidR="006B3F46" w:rsidRPr="0021277B" w:rsidRDefault="006B3F46" w:rsidP="00907941">
      <w:pPr>
        <w:widowControl w:val="0"/>
        <w:autoSpaceDE w:val="0"/>
        <w:autoSpaceDN w:val="0"/>
        <w:adjustRightInd w:val="0"/>
        <w:rPr>
          <w:rFonts w:eastAsia="MS Mincho"/>
          <w:sz w:val="22"/>
          <w:szCs w:val="22"/>
          <w:lang w:val="en-US" w:eastAsia="ja-JP"/>
        </w:rPr>
      </w:pPr>
    </w:p>
    <w:p w14:paraId="5352A494" w14:textId="77777777" w:rsidR="006B3F46" w:rsidRPr="0021277B" w:rsidRDefault="009E53BE" w:rsidP="00907941">
      <w:pPr>
        <w:autoSpaceDE w:val="0"/>
        <w:autoSpaceDN w:val="0"/>
        <w:adjustRightInd w:val="0"/>
        <w:jc w:val="center"/>
        <w:rPr>
          <w:rFonts w:eastAsia="MS Mincho"/>
          <w:sz w:val="22"/>
          <w:szCs w:val="22"/>
          <w:lang w:val="en-US" w:eastAsia="ja-JP"/>
        </w:rPr>
      </w:pPr>
      <w:r>
        <w:rPr>
          <w:rFonts w:eastAsia="MS Mincho"/>
          <w:noProof/>
          <w:sz w:val="22"/>
          <w:szCs w:val="22"/>
          <w:lang w:val="fr-CA" w:eastAsia="fr-CA"/>
        </w:rPr>
        <w:pict w14:anchorId="3190211E">
          <v:shape id="Imagen 6" o:spid="_x0000_i1116" type="#_x0000_t75" style="width:369.75pt;height:267pt;visibility:visible">
            <v:imagedata r:id="rId228" o:title=""/>
          </v:shape>
        </w:pict>
      </w:r>
    </w:p>
    <w:p w14:paraId="248094E7" w14:textId="77777777" w:rsidR="006B3F46" w:rsidRPr="00F66EF7" w:rsidRDefault="006B3F46" w:rsidP="00907941">
      <w:pPr>
        <w:jc w:val="center"/>
        <w:rPr>
          <w:rFonts w:eastAsia="MS Mincho"/>
          <w:b/>
          <w:sz w:val="22"/>
          <w:szCs w:val="22"/>
          <w:lang w:val="en-US"/>
        </w:rPr>
      </w:pPr>
      <w:r w:rsidRPr="0021277B">
        <w:rPr>
          <w:rFonts w:eastAsia="MS Mincho"/>
          <w:sz w:val="22"/>
          <w:szCs w:val="22"/>
          <w:lang w:val="en-US" w:eastAsia="ja-JP"/>
        </w:rPr>
        <w:t>Benthic habitats identified in the Concepcion Bank</w:t>
      </w:r>
    </w:p>
    <w:p w14:paraId="73DD1684" w14:textId="77777777" w:rsidR="006B3F46" w:rsidRPr="009978E3" w:rsidRDefault="006B3F46" w:rsidP="00907941">
      <w:pPr>
        <w:rPr>
          <w:rFonts w:eastAsia="MS Mincho"/>
          <w:b/>
          <w:sz w:val="22"/>
          <w:szCs w:val="22"/>
          <w:lang w:val="en-US"/>
        </w:rPr>
      </w:pPr>
    </w:p>
    <w:p w14:paraId="03B5B36D" w14:textId="77777777" w:rsidR="006B3F46" w:rsidRPr="009978E3" w:rsidRDefault="006B3F46" w:rsidP="00907941">
      <w:pPr>
        <w:rPr>
          <w:rFonts w:eastAsia="MS Mincho"/>
          <w:b/>
          <w:sz w:val="22"/>
          <w:szCs w:val="22"/>
          <w:lang w:val="en-US"/>
        </w:rPr>
      </w:pPr>
    </w:p>
    <w:p w14:paraId="6CB11E9B" w14:textId="77777777" w:rsidR="006B3F46" w:rsidRPr="0021277B" w:rsidRDefault="009E53BE" w:rsidP="00907941">
      <w:pPr>
        <w:autoSpaceDE w:val="0"/>
        <w:autoSpaceDN w:val="0"/>
        <w:adjustRightInd w:val="0"/>
        <w:jc w:val="center"/>
        <w:rPr>
          <w:rFonts w:eastAsia="MS Mincho"/>
          <w:sz w:val="22"/>
          <w:szCs w:val="22"/>
          <w:lang w:val="en-US" w:eastAsia="ja-JP"/>
        </w:rPr>
      </w:pPr>
      <w:r>
        <w:rPr>
          <w:rFonts w:eastAsia="MS Mincho"/>
          <w:noProof/>
          <w:sz w:val="22"/>
          <w:szCs w:val="22"/>
          <w:lang w:val="fr-CA" w:eastAsia="fr-CA"/>
        </w:rPr>
        <w:pict w14:anchorId="01534795">
          <v:shape id="Imagen 3" o:spid="_x0000_i1117" type="#_x0000_t75" style="width:356.25pt;height:278.25pt;visibility:visible">
            <v:imagedata r:id="rId229" o:title="" cropleft="3145f"/>
          </v:shape>
        </w:pict>
      </w:r>
    </w:p>
    <w:p w14:paraId="61F0217C" w14:textId="77777777" w:rsidR="006B3F46" w:rsidRPr="00F66EF7" w:rsidRDefault="006B3F46" w:rsidP="00907941">
      <w:pPr>
        <w:jc w:val="center"/>
        <w:rPr>
          <w:rFonts w:eastAsia="MS Mincho"/>
          <w:b/>
          <w:sz w:val="22"/>
          <w:szCs w:val="22"/>
          <w:lang w:val="en-US"/>
        </w:rPr>
      </w:pPr>
      <w:r w:rsidRPr="0021277B">
        <w:rPr>
          <w:rFonts w:eastAsia="MS Mincho"/>
          <w:sz w:val="22"/>
          <w:szCs w:val="22"/>
          <w:lang w:val="en-US" w:eastAsia="ja-JP"/>
        </w:rPr>
        <w:t>Benthic habitats identified in the Concepcion Bank, Amanay and Banquete</w:t>
      </w:r>
    </w:p>
    <w:p w14:paraId="54417194" w14:textId="77777777" w:rsidR="006B3F46" w:rsidRPr="009978E3" w:rsidRDefault="006B3F46" w:rsidP="00907941">
      <w:pPr>
        <w:rPr>
          <w:sz w:val="22"/>
          <w:szCs w:val="22"/>
        </w:rPr>
      </w:pPr>
    </w:p>
    <w:p w14:paraId="6DAF2B4E" w14:textId="77777777" w:rsidR="006B3F46" w:rsidRPr="00F66EF7" w:rsidRDefault="009E53BE" w:rsidP="00907941">
      <w:pPr>
        <w:jc w:val="center"/>
        <w:rPr>
          <w:rFonts w:eastAsia="MS Mincho"/>
          <w:b/>
          <w:sz w:val="22"/>
          <w:szCs w:val="22"/>
          <w:lang w:val="en-US"/>
        </w:rPr>
      </w:pPr>
      <w:r>
        <w:rPr>
          <w:noProof/>
          <w:sz w:val="22"/>
          <w:szCs w:val="22"/>
          <w:lang w:val="fr-CA" w:eastAsia="fr-CA"/>
        </w:rPr>
        <w:pict w14:anchorId="72EDBDC6">
          <v:shape id="_x0000_i1118" type="#_x0000_t75" style="width:330.75pt;height:297pt;visibility:visible">
            <v:imagedata r:id="rId230" o:title="" cropbottom="23963f"/>
          </v:shape>
        </w:pict>
      </w:r>
    </w:p>
    <w:p w14:paraId="741D48CB" w14:textId="77777777" w:rsidR="006B3F46" w:rsidRPr="009978E3" w:rsidRDefault="006B3F46" w:rsidP="00907941">
      <w:pPr>
        <w:jc w:val="center"/>
        <w:rPr>
          <w:rFonts w:eastAsia="MS Mincho"/>
          <w:b/>
          <w:sz w:val="22"/>
          <w:szCs w:val="22"/>
          <w:lang w:val="en-US"/>
        </w:rPr>
      </w:pPr>
    </w:p>
    <w:p w14:paraId="227E7E85" w14:textId="77777777" w:rsidR="006B3F46" w:rsidRPr="009978E3" w:rsidRDefault="006B3F46" w:rsidP="00907941">
      <w:pPr>
        <w:rPr>
          <w:sz w:val="22"/>
          <w:szCs w:val="22"/>
        </w:rPr>
      </w:pPr>
      <w:r w:rsidRPr="009978E3">
        <w:rPr>
          <w:sz w:val="22"/>
          <w:szCs w:val="22"/>
        </w:rPr>
        <w:t>Location of marine IBAs within the area (source: BirdLife International 2019): Acantilados de Santo Domingo y Roque de Garachico, Aguas de La Gomera – Teno, Aguas y acantilados del Norte de La Palma, Anaga rocky islets, Banco de La Concepcion, Costa y Aguas de Mogán - La Aldea, El Roque coastal cliffs, Estrecho de la Bocaina, Island of Lobos, La Playa islet, Lanzarote islets, Salmor rocky islets and Western coast of El Hierro</w:t>
      </w:r>
    </w:p>
    <w:p w14:paraId="69C88802" w14:textId="77777777" w:rsidR="006B3F46" w:rsidRPr="009978E3" w:rsidRDefault="006B3F46" w:rsidP="00907941">
      <w:pPr>
        <w:jc w:val="center"/>
        <w:rPr>
          <w:rFonts w:eastAsia="MS Mincho"/>
          <w:b/>
          <w:sz w:val="22"/>
          <w:szCs w:val="22"/>
          <w:lang w:val="en-US"/>
        </w:rPr>
      </w:pPr>
    </w:p>
    <w:p w14:paraId="4D16B0CF" w14:textId="77777777" w:rsidR="006B3F46" w:rsidRPr="009978E3" w:rsidRDefault="006B3F46" w:rsidP="00907941">
      <w:pPr>
        <w:rPr>
          <w:rFonts w:eastAsia="MS Mincho"/>
          <w:b/>
          <w:sz w:val="22"/>
          <w:szCs w:val="22"/>
          <w:lang w:val="en-US"/>
        </w:rPr>
      </w:pPr>
      <w:r w:rsidRPr="009978E3">
        <w:rPr>
          <w:rFonts w:eastAsia="MS Mincho"/>
          <w:b/>
          <w:sz w:val="22"/>
          <w:szCs w:val="22"/>
          <w:lang w:val="en-US"/>
        </w:rPr>
        <w:t xml:space="preserve">Rights and permissions </w:t>
      </w:r>
    </w:p>
    <w:p w14:paraId="7A89C73E" w14:textId="77777777" w:rsidR="006B3F46" w:rsidRPr="009978E3" w:rsidRDefault="006B3F46" w:rsidP="00907941">
      <w:pPr>
        <w:rPr>
          <w:sz w:val="22"/>
          <w:szCs w:val="22"/>
        </w:rPr>
      </w:pPr>
      <w:r w:rsidRPr="009978E3">
        <w:rPr>
          <w:sz w:val="22"/>
          <w:szCs w:val="22"/>
        </w:rPr>
        <w:t>All the quoted documents and sites are public and subject to specific copyrights that have to be respected case by case.</w:t>
      </w:r>
    </w:p>
    <w:p w14:paraId="12AD91C2" w14:textId="77777777" w:rsidR="006B3F46" w:rsidRPr="009978E3" w:rsidRDefault="006B3F46" w:rsidP="00907941">
      <w:pPr>
        <w:jc w:val="center"/>
        <w:rPr>
          <w:rFonts w:eastAsia="MS Mincho"/>
          <w:b/>
          <w:sz w:val="22"/>
          <w:szCs w:val="22"/>
          <w:lang w:val="en-US"/>
        </w:rPr>
      </w:pPr>
      <w:r w:rsidRPr="009978E3">
        <w:rPr>
          <w:sz w:val="22"/>
          <w:szCs w:val="22"/>
        </w:rPr>
        <w:br w:type="page"/>
      </w:r>
      <w:r w:rsidRPr="009978E3">
        <w:rPr>
          <w:rFonts w:eastAsia="MS Mincho"/>
          <w:b/>
          <w:sz w:val="22"/>
          <w:szCs w:val="22"/>
          <w:lang w:val="en-US"/>
        </w:rPr>
        <w:t>Area no. 9:  Tropic Seamount</w:t>
      </w:r>
    </w:p>
    <w:p w14:paraId="2AE14173"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 xml:space="preserve">Abstract </w:t>
      </w:r>
    </w:p>
    <w:p w14:paraId="1E98B145" w14:textId="77777777" w:rsidR="006B3F46" w:rsidRPr="002A7C1C" w:rsidRDefault="006B3F46" w:rsidP="002E4B39">
      <w:pPr>
        <w:suppressLineNumbers/>
        <w:spacing w:after="120"/>
        <w:jc w:val="both"/>
        <w:rPr>
          <w:sz w:val="22"/>
          <w:szCs w:val="22"/>
          <w:lang w:eastAsia="en-GB"/>
        </w:rPr>
      </w:pPr>
      <w:r w:rsidRPr="002A7C1C">
        <w:rPr>
          <w:sz w:val="22"/>
          <w:szCs w:val="22"/>
          <w:lang w:eastAsia="en-GB"/>
        </w:rPr>
        <w:t xml:space="preserve">The Tropic Seamount is home to numerous vulnerable taxa, including high-density octocoral gardens, </w:t>
      </w:r>
      <w:r w:rsidRPr="002A7C1C">
        <w:rPr>
          <w:i/>
          <w:sz w:val="22"/>
          <w:szCs w:val="22"/>
          <w:lang w:eastAsia="en-GB"/>
        </w:rPr>
        <w:t>Solenosmilia variabilis</w:t>
      </w:r>
      <w:r w:rsidRPr="002A7C1C">
        <w:rPr>
          <w:sz w:val="22"/>
          <w:szCs w:val="22"/>
          <w:lang w:eastAsia="en-GB"/>
        </w:rPr>
        <w:t xml:space="preserve"> patch reefs, xenophyophores, crinoid fields and deep-sea sponge grounds. A recent study offered the first biological insight to ground-truth the occurrence of potential vulnerable ecosystems on the Tropic Seamount, alongside predictive models to increase the spatial coverage beyond surveys conducted by both remotely operated and a</w:t>
      </w:r>
      <w:r w:rsidRPr="0021277B">
        <w:rPr>
          <w:snapToGrid w:val="0"/>
          <w:kern w:val="22"/>
          <w:sz w:val="22"/>
          <w:szCs w:val="22"/>
        </w:rPr>
        <w:t>utonomous underwater vehicles</w:t>
      </w:r>
      <w:r w:rsidRPr="002A7C1C">
        <w:rPr>
          <w:sz w:val="22"/>
          <w:szCs w:val="22"/>
          <w:lang w:eastAsia="en-GB"/>
        </w:rPr>
        <w:t xml:space="preserve">. Predicted habitat for the glass sponge </w:t>
      </w:r>
      <w:r w:rsidRPr="002A7C1C">
        <w:rPr>
          <w:i/>
          <w:sz w:val="22"/>
          <w:szCs w:val="22"/>
          <w:lang w:eastAsia="en-GB"/>
        </w:rPr>
        <w:t>Poliopogon amadou</w:t>
      </w:r>
      <w:r w:rsidRPr="002A7C1C">
        <w:rPr>
          <w:sz w:val="22"/>
          <w:szCs w:val="22"/>
          <w:lang w:eastAsia="en-GB"/>
        </w:rPr>
        <w:t xml:space="preserve">, a biogeographically restricted hexactinellid forming extensive near-monospecific grounds, was found to favour the deep seamount flanks of this area within a very narrow </w:t>
      </w:r>
      <w:r w:rsidRPr="002E4B39">
        <w:rPr>
          <w:rFonts w:eastAsia="MS Mincho"/>
          <w:sz w:val="22"/>
          <w:szCs w:val="22"/>
          <w:lang w:val="en-US"/>
        </w:rPr>
        <w:t>oceanographic</w:t>
      </w:r>
      <w:r w:rsidRPr="002A7C1C">
        <w:rPr>
          <w:sz w:val="22"/>
          <w:szCs w:val="22"/>
          <w:lang w:eastAsia="en-GB"/>
        </w:rPr>
        <w:t xml:space="preserve"> regime. </w:t>
      </w:r>
    </w:p>
    <w:p w14:paraId="3085FEE6"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1F90850A" w14:textId="77777777" w:rsidR="006B3F46" w:rsidRPr="009978E3" w:rsidRDefault="006B3F46" w:rsidP="002E4B39">
      <w:pPr>
        <w:suppressLineNumbers/>
        <w:spacing w:after="120"/>
        <w:jc w:val="both"/>
        <w:rPr>
          <w:sz w:val="22"/>
          <w:szCs w:val="22"/>
          <w:lang w:eastAsia="en-GB"/>
        </w:rPr>
      </w:pPr>
      <w:r w:rsidRPr="009978E3">
        <w:rPr>
          <w:sz w:val="22"/>
          <w:szCs w:val="22"/>
          <w:lang w:eastAsia="en-GB"/>
        </w:rPr>
        <w:t>The Tropic Seamount</w:t>
      </w:r>
      <w:r>
        <w:rPr>
          <w:sz w:val="22"/>
          <w:szCs w:val="22"/>
          <w:lang w:eastAsia="en-GB"/>
        </w:rPr>
        <w:t xml:space="preserve">, located in the North-East Atlantic </w:t>
      </w:r>
      <w:r w:rsidRPr="009978E3">
        <w:rPr>
          <w:sz w:val="22"/>
          <w:szCs w:val="22"/>
          <w:lang w:eastAsia="en-GB"/>
        </w:rPr>
        <w:t xml:space="preserve">(23°55’ N, 20°45’ W), is a four-armed, star-shaped guyot dated to 91.1 - 0.2 Ma (van den Bogaard, 2013). With a flat-topped summit (slope of 0.5°–4°) sitting at approximately 1,000 m water depth, </w:t>
      </w:r>
      <w:r>
        <w:rPr>
          <w:sz w:val="22"/>
          <w:szCs w:val="22"/>
          <w:lang w:eastAsia="en-GB"/>
        </w:rPr>
        <w:t>and</w:t>
      </w:r>
      <w:r w:rsidRPr="009978E3">
        <w:rPr>
          <w:sz w:val="22"/>
          <w:szCs w:val="22"/>
          <w:lang w:eastAsia="en-GB"/>
        </w:rPr>
        <w:t xml:space="preserve"> its base rooted at approximately 4,200 m depth, the seamount presents a truncated cone slightly elongated along a north-south axis, measuring about 42 km in length and 37 km in width (Palomino </w:t>
      </w:r>
      <w:r w:rsidRPr="0006066A">
        <w:rPr>
          <w:i/>
          <w:sz w:val="22"/>
          <w:szCs w:val="22"/>
          <w:lang w:eastAsia="en-GB"/>
        </w:rPr>
        <w:t>et al</w:t>
      </w:r>
      <w:r w:rsidRPr="009978E3">
        <w:rPr>
          <w:sz w:val="22"/>
          <w:szCs w:val="22"/>
          <w:lang w:eastAsia="en-GB"/>
        </w:rPr>
        <w:t xml:space="preserve">., 2016). The flanks of the seamount are divided by four ridges 10–13 km in length, with slopes ranging from 5° to 45°. Radiating from the summit, the flanks also exhibit gullies measuring 3–10 km in length (Palomino </w:t>
      </w:r>
      <w:r w:rsidRPr="0006066A">
        <w:rPr>
          <w:i/>
          <w:sz w:val="22"/>
          <w:szCs w:val="22"/>
          <w:lang w:eastAsia="en-GB"/>
        </w:rPr>
        <w:t>et al</w:t>
      </w:r>
      <w:r w:rsidRPr="009978E3">
        <w:rPr>
          <w:sz w:val="22"/>
          <w:szCs w:val="22"/>
          <w:lang w:eastAsia="en-GB"/>
        </w:rPr>
        <w:t>., 2016). The seamount is thought to have once been an oceanic island that eroded and subsided to its present depth at 1,000 m (Schmincke and Graf, 2000).</w:t>
      </w:r>
    </w:p>
    <w:p w14:paraId="4218A4F6" w14:textId="77777777" w:rsidR="006B3F46" w:rsidRPr="009978E3" w:rsidRDefault="006B3F46" w:rsidP="002E4B39">
      <w:pPr>
        <w:suppressLineNumbers/>
        <w:spacing w:after="120"/>
        <w:jc w:val="both"/>
        <w:rPr>
          <w:sz w:val="22"/>
          <w:szCs w:val="22"/>
          <w:lang w:eastAsia="en-GB"/>
        </w:rPr>
      </w:pPr>
      <w:r w:rsidRPr="009978E3">
        <w:rPr>
          <w:sz w:val="22"/>
          <w:szCs w:val="22"/>
          <w:lang w:eastAsia="en-GB"/>
        </w:rPr>
        <w:t xml:space="preserve">This seamount sits between the seasonally productive waters off the </w:t>
      </w:r>
      <w:r>
        <w:rPr>
          <w:sz w:val="22"/>
          <w:szCs w:val="22"/>
          <w:lang w:eastAsia="en-GB"/>
        </w:rPr>
        <w:t>north-western</w:t>
      </w:r>
      <w:r w:rsidRPr="009978E3">
        <w:rPr>
          <w:sz w:val="22"/>
          <w:szCs w:val="22"/>
          <w:lang w:eastAsia="en-GB"/>
        </w:rPr>
        <w:t xml:space="preserve"> African coast and the more oligotrophic waters of the North Atlantic subtropical gyre (Henderiks, 2001). The surface waters are supplied by the Canary Current (CC), which flows south-westward along the African coast, turning west to join the North Equatorial Current at 20°–25° N. Below the seasonal thermocline and waters influenced by coastal upwelling (&lt;100 m), the North Atlantic Central Water (NACW) and South Atlantic Central Water (SACW) lie above ~700 m. The NACW is characterized by a higher level of dissolved oxygen than the SACW. Intermediate depths, 700–1,600 m, are ventilated by the lower salinity Antarctic Intermediate Water (AAIW). Deeper layers, from ~1,600 m to the seafloor, are defined by the Upper North Atlantic Deep Water (NADW), which is the shallowest deep-water mass influenced by the Mediterranean Water (MW) (Hernández-Guerra </w:t>
      </w:r>
      <w:r w:rsidRPr="0006066A">
        <w:rPr>
          <w:i/>
          <w:sz w:val="22"/>
          <w:szCs w:val="22"/>
          <w:lang w:eastAsia="en-GB"/>
        </w:rPr>
        <w:t>et al</w:t>
      </w:r>
      <w:r w:rsidRPr="009978E3">
        <w:rPr>
          <w:sz w:val="22"/>
          <w:szCs w:val="22"/>
          <w:lang w:eastAsia="en-GB"/>
        </w:rPr>
        <w:t xml:space="preserve">., 2001; Knoll </w:t>
      </w:r>
      <w:r w:rsidRPr="0006066A">
        <w:rPr>
          <w:i/>
          <w:sz w:val="22"/>
          <w:szCs w:val="22"/>
          <w:lang w:eastAsia="en-GB"/>
        </w:rPr>
        <w:t>et al</w:t>
      </w:r>
      <w:r w:rsidRPr="009978E3">
        <w:rPr>
          <w:sz w:val="22"/>
          <w:szCs w:val="22"/>
          <w:lang w:eastAsia="en-GB"/>
        </w:rPr>
        <w:t xml:space="preserve">., 2002; Hernández-Guerra </w:t>
      </w:r>
      <w:r w:rsidRPr="0006066A">
        <w:rPr>
          <w:i/>
          <w:sz w:val="22"/>
          <w:szCs w:val="22"/>
          <w:lang w:eastAsia="en-GB"/>
        </w:rPr>
        <w:t>et al</w:t>
      </w:r>
      <w:r w:rsidRPr="009978E3">
        <w:rPr>
          <w:sz w:val="22"/>
          <w:szCs w:val="22"/>
          <w:lang w:eastAsia="en-GB"/>
        </w:rPr>
        <w:t xml:space="preserve">., 2005; Pastor </w:t>
      </w:r>
      <w:r w:rsidRPr="0006066A">
        <w:rPr>
          <w:i/>
          <w:sz w:val="22"/>
          <w:szCs w:val="22"/>
          <w:lang w:eastAsia="en-GB"/>
        </w:rPr>
        <w:t>et al</w:t>
      </w:r>
      <w:r w:rsidRPr="009978E3">
        <w:rPr>
          <w:sz w:val="22"/>
          <w:szCs w:val="22"/>
          <w:lang w:eastAsia="en-GB"/>
        </w:rPr>
        <w:t xml:space="preserve">., 2012; Bashmachnikov </w:t>
      </w:r>
      <w:r w:rsidRPr="0006066A">
        <w:rPr>
          <w:i/>
          <w:sz w:val="22"/>
          <w:szCs w:val="22"/>
          <w:lang w:eastAsia="en-GB"/>
        </w:rPr>
        <w:t>et al</w:t>
      </w:r>
      <w:r w:rsidRPr="009978E3">
        <w:rPr>
          <w:sz w:val="22"/>
          <w:szCs w:val="22"/>
          <w:lang w:eastAsia="en-GB"/>
        </w:rPr>
        <w:t xml:space="preserve">., 2015; Pastor </w:t>
      </w:r>
      <w:r w:rsidRPr="0006066A">
        <w:rPr>
          <w:i/>
          <w:sz w:val="22"/>
          <w:szCs w:val="22"/>
          <w:lang w:eastAsia="en-GB"/>
        </w:rPr>
        <w:t>et al</w:t>
      </w:r>
      <w:r w:rsidRPr="009978E3">
        <w:rPr>
          <w:sz w:val="22"/>
          <w:szCs w:val="22"/>
          <w:lang w:eastAsia="en-GB"/>
        </w:rPr>
        <w:t xml:space="preserve">., 2015). The influence of the MW decreases southward and seasonally, stretching south in winter (Pastor </w:t>
      </w:r>
      <w:r w:rsidRPr="0006066A">
        <w:rPr>
          <w:i/>
          <w:sz w:val="22"/>
          <w:szCs w:val="22"/>
          <w:lang w:eastAsia="en-GB"/>
        </w:rPr>
        <w:t>et al</w:t>
      </w:r>
      <w:r w:rsidRPr="009978E3">
        <w:rPr>
          <w:sz w:val="22"/>
          <w:szCs w:val="22"/>
          <w:lang w:eastAsia="en-GB"/>
        </w:rPr>
        <w:t xml:space="preserve">., 2012). Phytoplankton-enriched waters from upwelling events extend offshore to the study area (Hernández-Guerra </w:t>
      </w:r>
      <w:r w:rsidRPr="0006066A">
        <w:rPr>
          <w:i/>
          <w:sz w:val="22"/>
          <w:szCs w:val="22"/>
          <w:lang w:eastAsia="en-GB"/>
        </w:rPr>
        <w:t>et al</w:t>
      </w:r>
      <w:r w:rsidRPr="009978E3">
        <w:rPr>
          <w:sz w:val="22"/>
          <w:szCs w:val="22"/>
          <w:lang w:eastAsia="en-GB"/>
        </w:rPr>
        <w:t>., 2005). Dissolved oxygen levels at the seamount drop to 2.5–3.5 mg ml</w:t>
      </w:r>
      <w:r w:rsidRPr="009978E3">
        <w:rPr>
          <w:rFonts w:eastAsia="Arial"/>
          <w:sz w:val="22"/>
          <w:szCs w:val="22"/>
          <w:vertAlign w:val="superscript"/>
          <w:lang w:eastAsia="en-GB"/>
        </w:rPr>
        <w:t>-</w:t>
      </w:r>
      <w:r w:rsidRPr="009978E3">
        <w:rPr>
          <w:sz w:val="22"/>
          <w:szCs w:val="22"/>
          <w:vertAlign w:val="superscript"/>
          <w:lang w:eastAsia="en-GB"/>
        </w:rPr>
        <w:t>1</w:t>
      </w:r>
      <w:r w:rsidRPr="009978E3">
        <w:rPr>
          <w:sz w:val="22"/>
          <w:szCs w:val="22"/>
          <w:lang w:eastAsia="en-GB"/>
        </w:rPr>
        <w:t xml:space="preserve"> in the core of the oxygen minimum zone in ~750 m and rise to 5 mg ml</w:t>
      </w:r>
      <w:r w:rsidRPr="009978E3">
        <w:rPr>
          <w:rFonts w:eastAsia="Arial"/>
          <w:sz w:val="22"/>
          <w:szCs w:val="22"/>
          <w:vertAlign w:val="superscript"/>
          <w:lang w:eastAsia="en-GB"/>
        </w:rPr>
        <w:t>-</w:t>
      </w:r>
      <w:r w:rsidRPr="009978E3">
        <w:rPr>
          <w:sz w:val="22"/>
          <w:szCs w:val="22"/>
          <w:vertAlign w:val="superscript"/>
          <w:lang w:eastAsia="en-GB"/>
        </w:rPr>
        <w:t>1</w:t>
      </w:r>
      <w:r w:rsidRPr="009978E3">
        <w:rPr>
          <w:sz w:val="22"/>
          <w:szCs w:val="22"/>
          <w:lang w:eastAsia="en-GB"/>
        </w:rPr>
        <w:t xml:space="preserve"> at 3,000 m (Koschinsky </w:t>
      </w:r>
      <w:r w:rsidRPr="0006066A">
        <w:rPr>
          <w:i/>
          <w:sz w:val="22"/>
          <w:szCs w:val="22"/>
          <w:lang w:eastAsia="en-GB"/>
        </w:rPr>
        <w:t>et al</w:t>
      </w:r>
      <w:r w:rsidRPr="009978E3">
        <w:rPr>
          <w:sz w:val="22"/>
          <w:szCs w:val="22"/>
          <w:lang w:eastAsia="en-GB"/>
        </w:rPr>
        <w:t>., 1996).</w:t>
      </w:r>
    </w:p>
    <w:p w14:paraId="467D56E5" w14:textId="77777777" w:rsidR="006B3F46" w:rsidRPr="009978E3" w:rsidRDefault="006B3F46" w:rsidP="00907941">
      <w:pPr>
        <w:jc w:val="both"/>
        <w:rPr>
          <w:rFonts w:eastAsia="MS Mincho"/>
          <w:b/>
          <w:sz w:val="22"/>
          <w:szCs w:val="22"/>
          <w:lang w:val="en-US"/>
        </w:rPr>
      </w:pPr>
    </w:p>
    <w:p w14:paraId="517B6DC0"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Location</w:t>
      </w:r>
    </w:p>
    <w:p w14:paraId="072E416F" w14:textId="77777777" w:rsidR="006B3F46" w:rsidRPr="009978E3" w:rsidRDefault="006B3F46" w:rsidP="002E4B39">
      <w:pPr>
        <w:suppressLineNumbers/>
        <w:spacing w:after="120"/>
        <w:jc w:val="both"/>
        <w:rPr>
          <w:sz w:val="22"/>
          <w:szCs w:val="22"/>
          <w:lang w:eastAsia="en-GB"/>
        </w:rPr>
      </w:pPr>
      <w:r w:rsidRPr="009978E3">
        <w:rPr>
          <w:sz w:val="22"/>
          <w:szCs w:val="22"/>
          <w:lang w:eastAsia="en-GB"/>
        </w:rPr>
        <w:t xml:space="preserve">The </w:t>
      </w:r>
      <w:r w:rsidRPr="002E4B39">
        <w:rPr>
          <w:rFonts w:eastAsia="MS Mincho"/>
          <w:sz w:val="22"/>
          <w:szCs w:val="22"/>
          <w:lang w:val="en-US"/>
        </w:rPr>
        <w:t>Tropic</w:t>
      </w:r>
      <w:r w:rsidRPr="009978E3">
        <w:rPr>
          <w:sz w:val="22"/>
          <w:szCs w:val="22"/>
          <w:lang w:eastAsia="en-GB"/>
        </w:rPr>
        <w:t xml:space="preserve"> Seamount is located in the </w:t>
      </w:r>
      <w:r>
        <w:rPr>
          <w:sz w:val="22"/>
          <w:szCs w:val="22"/>
          <w:lang w:eastAsia="en-GB"/>
        </w:rPr>
        <w:t>North-East</w:t>
      </w:r>
      <w:r w:rsidRPr="009978E3">
        <w:rPr>
          <w:sz w:val="22"/>
          <w:szCs w:val="22"/>
          <w:lang w:eastAsia="en-GB"/>
        </w:rPr>
        <w:t xml:space="preserve"> Atlantic (23°55’ N, 20°45’ W</w:t>
      </w:r>
      <w:r w:rsidRPr="0021277B">
        <w:rPr>
          <w:sz w:val="22"/>
          <w:szCs w:val="22"/>
          <w:lang w:eastAsia="en-GB"/>
        </w:rPr>
        <w:t>),</w:t>
      </w:r>
      <w:r w:rsidRPr="00F66EF7">
        <w:rPr>
          <w:sz w:val="22"/>
          <w:szCs w:val="22"/>
          <w:lang w:eastAsia="en-GB"/>
        </w:rPr>
        <w:t xml:space="preserve"> along the north</w:t>
      </w:r>
      <w:r>
        <w:rPr>
          <w:sz w:val="22"/>
          <w:szCs w:val="22"/>
          <w:lang w:eastAsia="en-GB"/>
        </w:rPr>
        <w:t>-</w:t>
      </w:r>
      <w:r w:rsidRPr="00F66EF7">
        <w:rPr>
          <w:sz w:val="22"/>
          <w:szCs w:val="22"/>
          <w:lang w:eastAsia="en-GB"/>
        </w:rPr>
        <w:t>western African continental margin.</w:t>
      </w:r>
    </w:p>
    <w:p w14:paraId="19044589" w14:textId="77777777" w:rsidR="006B3F46" w:rsidRPr="00EE19B3" w:rsidRDefault="006B3F46" w:rsidP="00907941">
      <w:pPr>
        <w:jc w:val="both"/>
        <w:rPr>
          <w:rFonts w:eastAsia="MS Mincho"/>
          <w:b/>
          <w:sz w:val="22"/>
          <w:szCs w:val="22"/>
          <w:lang w:val="en-US"/>
        </w:rPr>
      </w:pPr>
      <w:r w:rsidRPr="00EE19B3">
        <w:rPr>
          <w:rFonts w:eastAsia="MS Mincho"/>
          <w:b/>
          <w:sz w:val="22"/>
          <w:szCs w:val="22"/>
          <w:lang w:val="en-US"/>
        </w:rPr>
        <w:t>Feature description of the area</w:t>
      </w:r>
    </w:p>
    <w:p w14:paraId="53EC467A" w14:textId="77777777" w:rsidR="006B3F46" w:rsidRPr="00EE19B3" w:rsidRDefault="006B3F46" w:rsidP="002E4B39">
      <w:pPr>
        <w:suppressLineNumbers/>
        <w:spacing w:after="120"/>
        <w:jc w:val="both"/>
        <w:rPr>
          <w:rFonts w:eastAsia="MS Mincho"/>
          <w:bCs/>
          <w:sz w:val="22"/>
          <w:szCs w:val="22"/>
          <w:lang w:val="en-US"/>
        </w:rPr>
      </w:pPr>
      <w:r w:rsidRPr="00EE19B3">
        <w:rPr>
          <w:rFonts w:eastAsia="MS Mincho"/>
          <w:bCs/>
          <w:sz w:val="22"/>
          <w:szCs w:val="22"/>
          <w:lang w:val="en-US"/>
        </w:rPr>
        <w:t xml:space="preserve">The field observations summarized </w:t>
      </w:r>
      <w:r w:rsidRPr="0021277B">
        <w:rPr>
          <w:rFonts w:eastAsia="MS Mincho"/>
          <w:bCs/>
          <w:sz w:val="22"/>
          <w:szCs w:val="22"/>
          <w:lang w:val="en-US"/>
        </w:rPr>
        <w:t>below</w:t>
      </w:r>
      <w:r w:rsidRPr="00EE19B3">
        <w:rPr>
          <w:rFonts w:eastAsia="MS Mincho"/>
          <w:bCs/>
          <w:sz w:val="22"/>
          <w:szCs w:val="22"/>
          <w:lang w:val="en-US"/>
        </w:rPr>
        <w:t xml:space="preserve"> and detailed in </w:t>
      </w:r>
      <w:r w:rsidRPr="00EE19B3">
        <w:rPr>
          <w:rFonts w:eastAsia="Calibri"/>
          <w:bCs/>
          <w:sz w:val="22"/>
          <w:szCs w:val="22"/>
        </w:rPr>
        <w:t xml:space="preserve">Ramiro-Sánchez </w:t>
      </w:r>
      <w:r w:rsidRPr="0006066A">
        <w:rPr>
          <w:rFonts w:eastAsia="Calibri"/>
          <w:bCs/>
          <w:i/>
          <w:sz w:val="22"/>
          <w:szCs w:val="22"/>
        </w:rPr>
        <w:t>et al</w:t>
      </w:r>
      <w:r w:rsidRPr="00EE19B3">
        <w:rPr>
          <w:rFonts w:eastAsia="Calibri"/>
          <w:bCs/>
          <w:sz w:val="22"/>
          <w:szCs w:val="22"/>
        </w:rPr>
        <w:t xml:space="preserve">. (2019) were collected at sea during RRS </w:t>
      </w:r>
      <w:r w:rsidRPr="00EE19B3">
        <w:rPr>
          <w:rFonts w:eastAsia="Calibri"/>
          <w:bCs/>
          <w:i/>
          <w:iCs/>
          <w:sz w:val="22"/>
          <w:szCs w:val="22"/>
        </w:rPr>
        <w:t>James Cook</w:t>
      </w:r>
      <w:r w:rsidRPr="00EE19B3">
        <w:rPr>
          <w:rFonts w:eastAsia="Calibri"/>
          <w:bCs/>
          <w:sz w:val="22"/>
          <w:szCs w:val="22"/>
        </w:rPr>
        <w:t xml:space="preserve"> research cruise JC142 led by Dr Bramley Murton (National</w:t>
      </w:r>
      <w:r>
        <w:rPr>
          <w:rFonts w:eastAsia="Calibri"/>
          <w:bCs/>
          <w:sz w:val="22"/>
          <w:szCs w:val="22"/>
        </w:rPr>
        <w:t xml:space="preserve"> </w:t>
      </w:r>
      <w:r w:rsidRPr="00EE19B3">
        <w:rPr>
          <w:rFonts w:eastAsia="Calibri"/>
          <w:bCs/>
          <w:sz w:val="22"/>
          <w:szCs w:val="22"/>
        </w:rPr>
        <w:t xml:space="preserve">Oceanography </w:t>
      </w:r>
      <w:r w:rsidRPr="002E4B39">
        <w:rPr>
          <w:rFonts w:eastAsia="MS Mincho"/>
          <w:sz w:val="22"/>
          <w:szCs w:val="22"/>
          <w:lang w:val="en-US"/>
        </w:rPr>
        <w:t>Centre</w:t>
      </w:r>
      <w:r w:rsidRPr="00EE19B3">
        <w:rPr>
          <w:rFonts w:eastAsia="Calibri"/>
          <w:bCs/>
          <w:sz w:val="22"/>
          <w:szCs w:val="22"/>
        </w:rPr>
        <w:t>, U</w:t>
      </w:r>
      <w:r w:rsidRPr="0021277B">
        <w:rPr>
          <w:rFonts w:eastAsia="Calibri"/>
          <w:bCs/>
          <w:sz w:val="22"/>
          <w:szCs w:val="22"/>
        </w:rPr>
        <w:t xml:space="preserve">nited </w:t>
      </w:r>
      <w:r w:rsidRPr="00EE19B3">
        <w:rPr>
          <w:rFonts w:eastAsia="Calibri"/>
          <w:bCs/>
          <w:sz w:val="22"/>
          <w:szCs w:val="22"/>
        </w:rPr>
        <w:t>K</w:t>
      </w:r>
      <w:r w:rsidRPr="0021277B">
        <w:rPr>
          <w:rFonts w:eastAsia="Calibri"/>
          <w:bCs/>
          <w:sz w:val="22"/>
          <w:szCs w:val="22"/>
        </w:rPr>
        <w:t>ingdom of Great Britain and Northern Ireland</w:t>
      </w:r>
      <w:r w:rsidRPr="00EE19B3">
        <w:rPr>
          <w:rFonts w:eastAsia="Calibri"/>
          <w:bCs/>
          <w:sz w:val="22"/>
          <w:szCs w:val="22"/>
        </w:rPr>
        <w:t>).</w:t>
      </w:r>
    </w:p>
    <w:p w14:paraId="217A13C3" w14:textId="519840CB" w:rsidR="006B3F46" w:rsidRPr="009978E3" w:rsidRDefault="006B3F46" w:rsidP="002E4B39">
      <w:pPr>
        <w:suppressLineNumbers/>
        <w:spacing w:after="120"/>
        <w:jc w:val="both"/>
        <w:rPr>
          <w:sz w:val="22"/>
          <w:szCs w:val="22"/>
          <w:lang w:eastAsia="en-GB"/>
        </w:rPr>
      </w:pPr>
      <w:r w:rsidRPr="00EC5399">
        <w:rPr>
          <w:sz w:val="22"/>
          <w:szCs w:val="22"/>
          <w:lang w:eastAsia="en-GB"/>
        </w:rPr>
        <w:t>Remotely operated vehicle images showed high diversity of Vulnerable Marine Ecosystem (VME) indicator taxa on Tropic Seamount (</w:t>
      </w:r>
      <w:r w:rsidRPr="0021277B">
        <w:rPr>
          <w:sz w:val="22"/>
          <w:szCs w:val="22"/>
          <w:lang w:eastAsia="en-GB"/>
        </w:rPr>
        <w:t>Figure 2</w:t>
      </w:r>
      <w:r w:rsidRPr="00EC5399">
        <w:rPr>
          <w:sz w:val="22"/>
          <w:szCs w:val="22"/>
          <w:lang w:eastAsia="en-GB"/>
        </w:rPr>
        <w:t>). Coral debris was observed in still images mainly on the summit dives but also on some of the ridges to a depth of 1,800 m. Fifteen cold-water coral species were observed, including one scleractinian, 12 octocorals and two black corals (</w:t>
      </w:r>
      <w:r w:rsidRPr="0021277B">
        <w:rPr>
          <w:sz w:val="22"/>
          <w:szCs w:val="22"/>
          <w:lang w:eastAsia="en-GB"/>
        </w:rPr>
        <w:t>Table 1</w:t>
      </w:r>
      <w:r w:rsidRPr="00EC5399">
        <w:rPr>
          <w:sz w:val="22"/>
          <w:szCs w:val="22"/>
          <w:lang w:eastAsia="en-GB"/>
        </w:rPr>
        <w:t>).</w:t>
      </w:r>
      <w:r w:rsidRPr="009978E3">
        <w:rPr>
          <w:sz w:val="22"/>
          <w:szCs w:val="22"/>
          <w:lang w:eastAsia="en-GB"/>
        </w:rPr>
        <w:t xml:space="preserve"> The main scleractinian coral identified from the images was </w:t>
      </w:r>
      <w:r w:rsidRPr="009978E3">
        <w:rPr>
          <w:i/>
          <w:sz w:val="22"/>
          <w:szCs w:val="22"/>
          <w:lang w:eastAsia="en-GB"/>
        </w:rPr>
        <w:t>Solenosmilia variabilis</w:t>
      </w:r>
      <w:r w:rsidRPr="009978E3">
        <w:rPr>
          <w:sz w:val="22"/>
          <w:szCs w:val="22"/>
          <w:lang w:eastAsia="en-GB"/>
        </w:rPr>
        <w:t xml:space="preserve"> (Duncan, 1873), which was normally present on ledges, forming patches at depths from 1,000 to 1,800 m. Octocoral composition varied with depth, with </w:t>
      </w:r>
      <w:r w:rsidRPr="009978E3">
        <w:rPr>
          <w:i/>
          <w:sz w:val="22"/>
          <w:szCs w:val="22"/>
          <w:lang w:eastAsia="en-GB"/>
        </w:rPr>
        <w:t>Acanella arbuscula</w:t>
      </w:r>
      <w:r w:rsidRPr="009978E3">
        <w:rPr>
          <w:sz w:val="22"/>
          <w:szCs w:val="22"/>
          <w:lang w:eastAsia="en-GB"/>
        </w:rPr>
        <w:t xml:space="preserve"> (Johnson, 1862), </w:t>
      </w:r>
      <w:r w:rsidRPr="009978E3">
        <w:rPr>
          <w:i/>
          <w:sz w:val="22"/>
          <w:szCs w:val="22"/>
          <w:lang w:eastAsia="en-GB"/>
        </w:rPr>
        <w:t>Metallogorgia melanotrichos</w:t>
      </w:r>
      <w:r w:rsidRPr="009978E3">
        <w:rPr>
          <w:sz w:val="22"/>
          <w:szCs w:val="22"/>
          <w:lang w:eastAsia="en-GB"/>
        </w:rPr>
        <w:t xml:space="preserve"> (Wright and Studer, 1889), </w:t>
      </w:r>
      <w:r w:rsidRPr="009978E3">
        <w:rPr>
          <w:i/>
          <w:sz w:val="22"/>
          <w:szCs w:val="22"/>
          <w:lang w:eastAsia="en-GB"/>
        </w:rPr>
        <w:t>Corallium tricolor</w:t>
      </w:r>
      <w:r w:rsidRPr="009978E3">
        <w:rPr>
          <w:sz w:val="22"/>
          <w:szCs w:val="22"/>
          <w:lang w:eastAsia="en-GB"/>
        </w:rPr>
        <w:t xml:space="preserve"> (Johnson, 1899), and species from the genus </w:t>
      </w:r>
      <w:r w:rsidRPr="009978E3">
        <w:rPr>
          <w:i/>
          <w:sz w:val="22"/>
          <w:szCs w:val="22"/>
          <w:lang w:eastAsia="en-GB"/>
        </w:rPr>
        <w:t>Chrysogorgia</w:t>
      </w:r>
      <w:r w:rsidRPr="009978E3">
        <w:rPr>
          <w:sz w:val="22"/>
          <w:szCs w:val="22"/>
          <w:lang w:eastAsia="en-GB"/>
        </w:rPr>
        <w:t xml:space="preserve"> (Duchassaing and Michelotti, 1864), </w:t>
      </w:r>
      <w:r w:rsidRPr="009978E3">
        <w:rPr>
          <w:i/>
          <w:sz w:val="22"/>
          <w:szCs w:val="22"/>
          <w:lang w:eastAsia="en-GB"/>
        </w:rPr>
        <w:t>Iridogorgia</w:t>
      </w:r>
      <w:r w:rsidRPr="009978E3">
        <w:rPr>
          <w:sz w:val="22"/>
          <w:szCs w:val="22"/>
          <w:lang w:eastAsia="en-GB"/>
        </w:rPr>
        <w:t xml:space="preserve"> (Verrill, 1883), and </w:t>
      </w:r>
      <w:r w:rsidRPr="009978E3">
        <w:rPr>
          <w:i/>
          <w:sz w:val="22"/>
          <w:szCs w:val="22"/>
          <w:lang w:eastAsia="en-GB"/>
        </w:rPr>
        <w:t>Thouarella</w:t>
      </w:r>
      <w:r w:rsidRPr="009978E3">
        <w:rPr>
          <w:sz w:val="22"/>
          <w:szCs w:val="22"/>
          <w:lang w:eastAsia="en-GB"/>
        </w:rPr>
        <w:t xml:space="preserve"> (Gray, 1870) generally present at depths of 1,010–3,000 m on rocky substrates. The octocorals </w:t>
      </w:r>
      <w:r w:rsidRPr="009978E3">
        <w:rPr>
          <w:i/>
          <w:sz w:val="22"/>
          <w:szCs w:val="22"/>
          <w:lang w:eastAsia="en-GB"/>
        </w:rPr>
        <w:t>Narella bellissima</w:t>
      </w:r>
      <w:r w:rsidRPr="009978E3">
        <w:rPr>
          <w:sz w:val="22"/>
          <w:szCs w:val="22"/>
          <w:lang w:eastAsia="en-GB"/>
        </w:rPr>
        <w:t xml:space="preserve"> (Kükenthal, 1915), </w:t>
      </w:r>
      <w:r w:rsidRPr="009978E3">
        <w:rPr>
          <w:i/>
          <w:sz w:val="22"/>
          <w:szCs w:val="22"/>
          <w:lang w:eastAsia="en-GB"/>
        </w:rPr>
        <w:t>Acanthogorgia armata</w:t>
      </w:r>
      <w:r w:rsidRPr="009978E3">
        <w:rPr>
          <w:sz w:val="22"/>
          <w:szCs w:val="22"/>
          <w:lang w:eastAsia="en-GB"/>
        </w:rPr>
        <w:t xml:space="preserve"> (Verrill, 1878) and </w:t>
      </w:r>
      <w:r w:rsidRPr="009978E3">
        <w:rPr>
          <w:i/>
          <w:sz w:val="22"/>
          <w:szCs w:val="22"/>
          <w:lang w:eastAsia="en-GB"/>
        </w:rPr>
        <w:t>cf.</w:t>
      </w:r>
      <w:r w:rsidRPr="009978E3">
        <w:rPr>
          <w:sz w:val="22"/>
          <w:szCs w:val="22"/>
          <w:lang w:eastAsia="en-GB"/>
        </w:rPr>
        <w:t xml:space="preserve"> </w:t>
      </w:r>
      <w:r w:rsidRPr="009978E3">
        <w:rPr>
          <w:i/>
          <w:iCs/>
          <w:sz w:val="22"/>
          <w:szCs w:val="22"/>
          <w:lang w:eastAsia="en-GB"/>
        </w:rPr>
        <w:t>Swiftia</w:t>
      </w:r>
      <w:r w:rsidRPr="009978E3">
        <w:rPr>
          <w:sz w:val="22"/>
          <w:szCs w:val="22"/>
          <w:lang w:eastAsia="en-GB"/>
        </w:rPr>
        <w:t xml:space="preserve"> (Duchassaing and Michelotti, 1864) were commonly observed at depths up to 3,600 m associated </w:t>
      </w:r>
      <w:r>
        <w:rPr>
          <w:sz w:val="22"/>
          <w:szCs w:val="22"/>
          <w:lang w:eastAsia="en-GB"/>
        </w:rPr>
        <w:t>with</w:t>
      </w:r>
      <w:r w:rsidRPr="009978E3">
        <w:rPr>
          <w:sz w:val="22"/>
          <w:szCs w:val="22"/>
          <w:lang w:eastAsia="en-GB"/>
        </w:rPr>
        <w:t xml:space="preserve"> volcanic substrates. Unidentified black coral species belonging to the genus </w:t>
      </w:r>
      <w:r w:rsidRPr="009978E3">
        <w:rPr>
          <w:i/>
          <w:sz w:val="22"/>
          <w:szCs w:val="22"/>
          <w:lang w:eastAsia="en-GB"/>
        </w:rPr>
        <w:t>Parantipathes</w:t>
      </w:r>
      <w:r w:rsidRPr="009978E3">
        <w:rPr>
          <w:sz w:val="22"/>
          <w:szCs w:val="22"/>
          <w:lang w:eastAsia="en-GB"/>
        </w:rPr>
        <w:t xml:space="preserve"> (Brooke, 1889) and </w:t>
      </w:r>
      <w:r w:rsidRPr="009978E3">
        <w:rPr>
          <w:i/>
          <w:sz w:val="22"/>
          <w:szCs w:val="22"/>
          <w:lang w:eastAsia="en-GB"/>
        </w:rPr>
        <w:t>Bathypathes</w:t>
      </w:r>
      <w:r w:rsidRPr="009978E3">
        <w:rPr>
          <w:sz w:val="22"/>
          <w:szCs w:val="22"/>
          <w:lang w:eastAsia="en-GB"/>
        </w:rPr>
        <w:t xml:space="preserve"> (Brooke, 1889) were also observed. Extensive coral gardens, another type of animal forest (Rossi </w:t>
      </w:r>
      <w:r w:rsidRPr="0006066A">
        <w:rPr>
          <w:i/>
          <w:sz w:val="22"/>
          <w:szCs w:val="22"/>
          <w:lang w:eastAsia="en-GB"/>
        </w:rPr>
        <w:t>et al</w:t>
      </w:r>
      <w:r w:rsidRPr="009978E3">
        <w:rPr>
          <w:sz w:val="22"/>
          <w:szCs w:val="22"/>
          <w:lang w:eastAsia="en-GB"/>
        </w:rPr>
        <w:t>., 2017), dominated by bamboo corals (Familiy Isididae)</w:t>
      </w:r>
      <w:r>
        <w:rPr>
          <w:sz w:val="22"/>
          <w:szCs w:val="22"/>
          <w:lang w:eastAsia="en-GB"/>
        </w:rPr>
        <w:t>―</w:t>
      </w:r>
      <w:r w:rsidRPr="009978E3">
        <w:rPr>
          <w:sz w:val="22"/>
          <w:szCs w:val="22"/>
          <w:lang w:eastAsia="en-GB"/>
        </w:rPr>
        <w:t xml:space="preserve">tentatively assigned based on branching patterns to the genus </w:t>
      </w:r>
      <w:r w:rsidRPr="009978E3">
        <w:rPr>
          <w:i/>
          <w:sz w:val="22"/>
          <w:szCs w:val="22"/>
          <w:lang w:eastAsia="en-GB"/>
        </w:rPr>
        <w:t>Keratoisis</w:t>
      </w:r>
      <w:r w:rsidRPr="009978E3">
        <w:rPr>
          <w:sz w:val="22"/>
          <w:szCs w:val="22"/>
          <w:lang w:eastAsia="en-GB"/>
        </w:rPr>
        <w:t xml:space="preserve"> (Wright, 1869) and </w:t>
      </w:r>
      <w:r w:rsidRPr="009978E3">
        <w:rPr>
          <w:i/>
          <w:sz w:val="22"/>
          <w:szCs w:val="22"/>
          <w:lang w:eastAsia="en-GB"/>
        </w:rPr>
        <w:t>Lepidisis</w:t>
      </w:r>
      <w:r w:rsidRPr="009978E3">
        <w:rPr>
          <w:sz w:val="22"/>
          <w:szCs w:val="22"/>
          <w:lang w:eastAsia="en-GB"/>
        </w:rPr>
        <w:t xml:space="preserve"> (Verrill, 1883)</w:t>
      </w:r>
      <w:r w:rsidR="00807BA4">
        <w:rPr>
          <w:sz w:val="22"/>
          <w:szCs w:val="22"/>
          <w:lang w:eastAsia="en-GB"/>
        </w:rPr>
        <w:t xml:space="preserve"> </w:t>
      </w:r>
      <w:r w:rsidRPr="002E4B39">
        <w:rPr>
          <w:rFonts w:eastAsia="MS Mincho"/>
          <w:sz w:val="22"/>
          <w:szCs w:val="22"/>
          <w:lang w:val="en-US"/>
        </w:rPr>
        <w:t>based</w:t>
      </w:r>
      <w:r w:rsidRPr="009978E3">
        <w:rPr>
          <w:sz w:val="22"/>
          <w:szCs w:val="22"/>
          <w:lang w:eastAsia="en-GB"/>
        </w:rPr>
        <w:t xml:space="preserve"> on ROV images </w:t>
      </w:r>
      <w:r>
        <w:rPr>
          <w:sz w:val="22"/>
          <w:szCs w:val="22"/>
          <w:lang w:eastAsia="en-GB"/>
        </w:rPr>
        <w:t>―</w:t>
      </w:r>
      <w:r w:rsidRPr="009978E3">
        <w:rPr>
          <w:sz w:val="22"/>
          <w:szCs w:val="22"/>
          <w:lang w:eastAsia="en-GB"/>
        </w:rPr>
        <w:t>were recorded at 2,500–3,500 m depth.</w:t>
      </w:r>
    </w:p>
    <w:p w14:paraId="47EB1FB8" w14:textId="77777777" w:rsidR="006B3F46" w:rsidRPr="009978E3" w:rsidRDefault="006B3F46" w:rsidP="002E4B39">
      <w:pPr>
        <w:suppressLineNumbers/>
        <w:spacing w:after="120"/>
        <w:jc w:val="both"/>
        <w:rPr>
          <w:sz w:val="22"/>
          <w:szCs w:val="22"/>
          <w:lang w:eastAsia="en-GB"/>
        </w:rPr>
      </w:pPr>
      <w:r w:rsidRPr="009978E3">
        <w:rPr>
          <w:sz w:val="22"/>
          <w:szCs w:val="22"/>
          <w:lang w:eastAsia="en-GB"/>
        </w:rPr>
        <w:t xml:space="preserve">Deep-sea </w:t>
      </w:r>
      <w:r w:rsidRPr="002E4B39">
        <w:rPr>
          <w:rFonts w:eastAsia="MS Mincho"/>
          <w:sz w:val="22"/>
          <w:szCs w:val="22"/>
          <w:lang w:val="en-US"/>
        </w:rPr>
        <w:t>squid</w:t>
      </w:r>
      <w:r w:rsidRPr="009978E3">
        <w:rPr>
          <w:sz w:val="22"/>
          <w:szCs w:val="22"/>
          <w:lang w:eastAsia="en-GB"/>
        </w:rPr>
        <w:t xml:space="preserve"> eggs from an unidentified species were observed laying on bamboo corals on several occasions, indicating a spawning and/or nursery ground. Cold-water coral composition for Tropic Seamount is comparable to that reported for the la Concepción Bank and El Hierro ridge (Northern Seamounts group WSSP) and to the Canary Island slopes, with dominance of octocorals (Brito and Ocanña, 2004; Almón </w:t>
      </w:r>
      <w:r w:rsidRPr="0006066A">
        <w:rPr>
          <w:i/>
          <w:sz w:val="22"/>
          <w:szCs w:val="22"/>
          <w:lang w:eastAsia="en-GB"/>
        </w:rPr>
        <w:t>et al</w:t>
      </w:r>
      <w:r w:rsidRPr="009978E3">
        <w:rPr>
          <w:sz w:val="22"/>
          <w:szCs w:val="22"/>
          <w:lang w:eastAsia="en-GB"/>
        </w:rPr>
        <w:t xml:space="preserve">., 2014; Álvarez </w:t>
      </w:r>
      <w:r w:rsidRPr="0006066A">
        <w:rPr>
          <w:i/>
          <w:sz w:val="22"/>
          <w:szCs w:val="22"/>
          <w:lang w:eastAsia="en-GB"/>
        </w:rPr>
        <w:t>et al</w:t>
      </w:r>
      <w:r w:rsidRPr="009978E3">
        <w:rPr>
          <w:sz w:val="22"/>
          <w:szCs w:val="22"/>
          <w:lang w:eastAsia="en-GB"/>
        </w:rPr>
        <w:t xml:space="preserve">., 2016). Dense assemblages of bamboo corals of the genus </w:t>
      </w:r>
      <w:r w:rsidRPr="009978E3">
        <w:rPr>
          <w:i/>
          <w:sz w:val="22"/>
          <w:szCs w:val="22"/>
          <w:lang w:eastAsia="en-GB"/>
        </w:rPr>
        <w:t>Keratoisis</w:t>
      </w:r>
      <w:r w:rsidRPr="009978E3">
        <w:rPr>
          <w:sz w:val="22"/>
          <w:szCs w:val="22"/>
          <w:lang w:eastAsia="en-GB"/>
        </w:rPr>
        <w:t xml:space="preserve"> have also been reported for Cape Verde seamounts between 1,900 and 3,699 m (Hansteen </w:t>
      </w:r>
      <w:r w:rsidRPr="0006066A">
        <w:rPr>
          <w:i/>
          <w:sz w:val="22"/>
          <w:szCs w:val="22"/>
          <w:lang w:eastAsia="en-GB"/>
        </w:rPr>
        <w:t>et al</w:t>
      </w:r>
      <w:r w:rsidRPr="009978E3">
        <w:rPr>
          <w:sz w:val="22"/>
          <w:szCs w:val="22"/>
          <w:lang w:eastAsia="en-GB"/>
        </w:rPr>
        <w:t>., 2014).</w:t>
      </w:r>
    </w:p>
    <w:p w14:paraId="2756DE82" w14:textId="77777777" w:rsidR="006B3F46" w:rsidRPr="009978E3" w:rsidRDefault="006B3F46" w:rsidP="002E4B39">
      <w:pPr>
        <w:suppressLineNumbers/>
        <w:spacing w:after="120"/>
        <w:jc w:val="both"/>
        <w:rPr>
          <w:sz w:val="22"/>
          <w:szCs w:val="22"/>
          <w:lang w:eastAsia="en-GB"/>
        </w:rPr>
      </w:pPr>
      <w:r w:rsidRPr="002E4B39">
        <w:rPr>
          <w:rFonts w:eastAsia="MS Mincho"/>
          <w:sz w:val="22"/>
          <w:szCs w:val="22"/>
          <w:lang w:val="en-US"/>
        </w:rPr>
        <w:t>Besides</w:t>
      </w:r>
      <w:r w:rsidRPr="009978E3">
        <w:rPr>
          <w:sz w:val="22"/>
          <w:szCs w:val="22"/>
          <w:lang w:eastAsia="en-GB"/>
        </w:rPr>
        <w:t xml:space="preserve"> </w:t>
      </w:r>
      <w:r w:rsidRPr="009978E3">
        <w:rPr>
          <w:i/>
          <w:sz w:val="22"/>
          <w:szCs w:val="22"/>
          <w:lang w:eastAsia="en-GB"/>
        </w:rPr>
        <w:t>Poliopogon amadou</w:t>
      </w:r>
      <w:r w:rsidRPr="009978E3">
        <w:rPr>
          <w:sz w:val="22"/>
          <w:szCs w:val="22"/>
          <w:lang w:eastAsia="en-GB"/>
        </w:rPr>
        <w:t xml:space="preserve">, other sponges seen included the hexactinellid </w:t>
      </w:r>
      <w:r w:rsidRPr="009978E3">
        <w:rPr>
          <w:i/>
          <w:sz w:val="22"/>
          <w:szCs w:val="22"/>
          <w:lang w:eastAsia="en-GB"/>
        </w:rPr>
        <w:t>Pheronema carpenteri</w:t>
      </w:r>
      <w:r w:rsidRPr="009978E3">
        <w:rPr>
          <w:sz w:val="22"/>
          <w:szCs w:val="22"/>
          <w:lang w:eastAsia="en-GB"/>
        </w:rPr>
        <w:t xml:space="preserve"> (Thomson, 1869), </w:t>
      </w:r>
      <w:r w:rsidRPr="009978E3">
        <w:rPr>
          <w:i/>
          <w:sz w:val="22"/>
          <w:szCs w:val="22"/>
          <w:lang w:eastAsia="en-GB"/>
        </w:rPr>
        <w:t>Stylocordyla pellita</w:t>
      </w:r>
      <w:r w:rsidRPr="009978E3">
        <w:rPr>
          <w:sz w:val="22"/>
          <w:szCs w:val="22"/>
          <w:lang w:eastAsia="en-GB"/>
        </w:rPr>
        <w:t xml:space="preserve"> (Topsent, 1904), </w:t>
      </w:r>
      <w:r w:rsidRPr="009978E3">
        <w:rPr>
          <w:i/>
          <w:sz w:val="22"/>
          <w:szCs w:val="22"/>
          <w:lang w:eastAsia="en-GB"/>
        </w:rPr>
        <w:t>Hertwigia falcifera</w:t>
      </w:r>
      <w:r w:rsidRPr="009978E3">
        <w:rPr>
          <w:sz w:val="22"/>
          <w:szCs w:val="22"/>
          <w:lang w:eastAsia="en-GB"/>
        </w:rPr>
        <w:t xml:space="preserve"> (Schmidt, 1880), </w:t>
      </w:r>
      <w:r w:rsidRPr="009978E3">
        <w:rPr>
          <w:i/>
          <w:sz w:val="22"/>
          <w:szCs w:val="22"/>
          <w:lang w:eastAsia="en-GB"/>
        </w:rPr>
        <w:t>Aphrocallistes beatrix</w:t>
      </w:r>
      <w:r w:rsidRPr="009978E3">
        <w:rPr>
          <w:sz w:val="22"/>
          <w:szCs w:val="22"/>
          <w:lang w:eastAsia="en-GB"/>
        </w:rPr>
        <w:t xml:space="preserve"> (Gray, 1858), and species from the genus </w:t>
      </w:r>
      <w:r w:rsidRPr="009978E3">
        <w:rPr>
          <w:i/>
          <w:sz w:val="22"/>
          <w:szCs w:val="22"/>
          <w:lang w:eastAsia="en-GB"/>
        </w:rPr>
        <w:t>Euplectella</w:t>
      </w:r>
      <w:r w:rsidRPr="009978E3">
        <w:rPr>
          <w:sz w:val="22"/>
          <w:szCs w:val="22"/>
          <w:lang w:eastAsia="en-GB"/>
        </w:rPr>
        <w:t xml:space="preserve"> (Owen, 1841); </w:t>
      </w:r>
      <w:r w:rsidRPr="009978E3">
        <w:rPr>
          <w:i/>
          <w:sz w:val="22"/>
          <w:szCs w:val="22"/>
          <w:lang w:eastAsia="en-GB"/>
        </w:rPr>
        <w:t>Hyalonema</w:t>
      </w:r>
      <w:r w:rsidRPr="009978E3">
        <w:rPr>
          <w:sz w:val="22"/>
          <w:szCs w:val="22"/>
          <w:lang w:eastAsia="en-GB"/>
        </w:rPr>
        <w:t xml:space="preserve"> (Gray, 1832); </w:t>
      </w:r>
      <w:r w:rsidRPr="009978E3">
        <w:rPr>
          <w:i/>
          <w:sz w:val="22"/>
          <w:szCs w:val="22"/>
          <w:lang w:eastAsia="en-GB"/>
        </w:rPr>
        <w:t>Caulophacus</w:t>
      </w:r>
      <w:r w:rsidRPr="009978E3">
        <w:rPr>
          <w:sz w:val="22"/>
          <w:szCs w:val="22"/>
          <w:lang w:eastAsia="en-GB"/>
        </w:rPr>
        <w:t xml:space="preserve"> (Schulze, 1886); </w:t>
      </w:r>
      <w:r w:rsidRPr="009978E3">
        <w:rPr>
          <w:i/>
          <w:sz w:val="22"/>
          <w:szCs w:val="22"/>
          <w:lang w:eastAsia="en-GB"/>
        </w:rPr>
        <w:t>Asconema</w:t>
      </w:r>
      <w:r w:rsidRPr="009978E3">
        <w:rPr>
          <w:sz w:val="22"/>
          <w:szCs w:val="22"/>
          <w:lang w:eastAsia="en-GB"/>
        </w:rPr>
        <w:t xml:space="preserve"> (Kent, 1870); and </w:t>
      </w:r>
      <w:r w:rsidRPr="009978E3">
        <w:rPr>
          <w:i/>
          <w:sz w:val="22"/>
          <w:szCs w:val="22"/>
          <w:lang w:eastAsia="en-GB"/>
        </w:rPr>
        <w:t>Phakellia</w:t>
      </w:r>
      <w:r w:rsidRPr="009978E3">
        <w:rPr>
          <w:sz w:val="22"/>
          <w:szCs w:val="22"/>
          <w:lang w:eastAsia="en-GB"/>
        </w:rPr>
        <w:t xml:space="preserve"> (Bowerbank, 1862). Demosponges and other undetermined massive and encrusting sponges were also observed.</w:t>
      </w:r>
    </w:p>
    <w:p w14:paraId="64F1C19C" w14:textId="77777777" w:rsidR="006B3F46" w:rsidRPr="009978E3" w:rsidRDefault="006B3F46" w:rsidP="002E4B39">
      <w:pPr>
        <w:suppressLineNumbers/>
        <w:spacing w:after="120"/>
        <w:jc w:val="both"/>
        <w:rPr>
          <w:sz w:val="22"/>
          <w:szCs w:val="22"/>
          <w:lang w:eastAsia="en-GB"/>
        </w:rPr>
      </w:pPr>
      <w:r w:rsidRPr="002E4B39">
        <w:rPr>
          <w:rFonts w:eastAsia="MS Mincho"/>
          <w:sz w:val="22"/>
          <w:szCs w:val="22"/>
          <w:lang w:val="en-US"/>
        </w:rPr>
        <w:t>Xenophyophore</w:t>
      </w:r>
      <w:r w:rsidRPr="009978E3">
        <w:rPr>
          <w:sz w:val="22"/>
          <w:szCs w:val="22"/>
          <w:lang w:eastAsia="en-GB"/>
        </w:rPr>
        <w:t xml:space="preserve"> and crinoid fields were </w:t>
      </w:r>
      <w:r w:rsidRPr="00EC5399">
        <w:rPr>
          <w:sz w:val="22"/>
          <w:szCs w:val="22"/>
          <w:lang w:eastAsia="en-GB"/>
        </w:rPr>
        <w:t>also observed (</w:t>
      </w:r>
      <w:r w:rsidRPr="0021277B">
        <w:rPr>
          <w:sz w:val="22"/>
          <w:szCs w:val="22"/>
          <w:lang w:eastAsia="en-GB"/>
        </w:rPr>
        <w:t>Table 1</w:t>
      </w:r>
      <w:r w:rsidRPr="00EC5399">
        <w:rPr>
          <w:sz w:val="22"/>
          <w:szCs w:val="22"/>
          <w:lang w:eastAsia="en-GB"/>
        </w:rPr>
        <w:t xml:space="preserve">). Among crinoids, the most common species were fields of stalked </w:t>
      </w:r>
      <w:r w:rsidRPr="00EC5399">
        <w:rPr>
          <w:i/>
          <w:sz w:val="22"/>
          <w:szCs w:val="22"/>
          <w:lang w:eastAsia="en-GB"/>
        </w:rPr>
        <w:t>Endoxocrinus (Diplocrinus) wyvillethomsoni</w:t>
      </w:r>
      <w:r w:rsidRPr="00EC5399">
        <w:rPr>
          <w:sz w:val="22"/>
          <w:szCs w:val="22"/>
          <w:lang w:eastAsia="en-GB"/>
        </w:rPr>
        <w:t xml:space="preserve"> (Thomson, 1872) (Isselicrinidae), and two thalassometrid feather stars: </w:t>
      </w:r>
      <w:r w:rsidRPr="00EC5399">
        <w:rPr>
          <w:i/>
          <w:sz w:val="22"/>
          <w:szCs w:val="22"/>
          <w:lang w:eastAsia="en-GB"/>
        </w:rPr>
        <w:t>Koehlermetra porrecta</w:t>
      </w:r>
      <w:r w:rsidRPr="00EC5399">
        <w:rPr>
          <w:sz w:val="22"/>
          <w:szCs w:val="22"/>
          <w:lang w:eastAsia="en-GB"/>
        </w:rPr>
        <w:t xml:space="preserve"> (Carpenter, 1888), an orange species with 20 or more arms, and a yellow species, perhaps </w:t>
      </w:r>
      <w:r w:rsidRPr="00EC5399">
        <w:rPr>
          <w:i/>
          <w:sz w:val="22"/>
          <w:szCs w:val="22"/>
          <w:lang w:eastAsia="en-GB"/>
        </w:rPr>
        <w:t>Thalassometra lusitanica</w:t>
      </w:r>
      <w:r w:rsidRPr="00EC5399">
        <w:rPr>
          <w:sz w:val="22"/>
          <w:szCs w:val="22"/>
          <w:lang w:eastAsia="en-GB"/>
        </w:rPr>
        <w:t xml:space="preserve"> (Carpenter, 1884). The stalked species, </w:t>
      </w:r>
      <w:r w:rsidRPr="00EC5399">
        <w:rPr>
          <w:i/>
          <w:sz w:val="22"/>
          <w:szCs w:val="22"/>
          <w:lang w:eastAsia="en-GB"/>
        </w:rPr>
        <w:t>E. wyvillethomsoni</w:t>
      </w:r>
      <w:r w:rsidRPr="00EC5399">
        <w:rPr>
          <w:sz w:val="22"/>
          <w:szCs w:val="22"/>
          <w:lang w:eastAsia="en-GB"/>
        </w:rPr>
        <w:t>, is the only</w:t>
      </w:r>
      <w:r w:rsidRPr="009978E3">
        <w:rPr>
          <w:sz w:val="22"/>
          <w:szCs w:val="22"/>
          <w:lang w:eastAsia="en-GB"/>
        </w:rPr>
        <w:t xml:space="preserve"> member of the order Isocrinida found in the </w:t>
      </w:r>
      <w:r>
        <w:rPr>
          <w:sz w:val="22"/>
          <w:szCs w:val="22"/>
          <w:lang w:eastAsia="en-GB"/>
        </w:rPr>
        <w:t>North-east</w:t>
      </w:r>
      <w:r w:rsidRPr="009978E3">
        <w:rPr>
          <w:sz w:val="22"/>
          <w:szCs w:val="22"/>
          <w:lang w:eastAsia="en-GB"/>
        </w:rPr>
        <w:t xml:space="preserve"> Atlantic occurring along the eastern Atlantic margin from west of Ile d’Ouessant, France (49° N) to south of the Canary Islands off the coast of Morocco (25° N) at depths from 1,246 to 2,070 m (Roux, 1985). </w:t>
      </w:r>
      <w:r w:rsidRPr="009978E3">
        <w:rPr>
          <w:i/>
          <w:sz w:val="22"/>
          <w:szCs w:val="22"/>
          <w:lang w:eastAsia="en-GB"/>
        </w:rPr>
        <w:t>Koehlermetra porrecta</w:t>
      </w:r>
      <w:r w:rsidRPr="009978E3">
        <w:rPr>
          <w:sz w:val="22"/>
          <w:szCs w:val="22"/>
          <w:lang w:eastAsia="en-GB"/>
        </w:rPr>
        <w:t xml:space="preserve"> occurs in the eastern Atlantic from George Bligh Bank (</w:t>
      </w:r>
      <w:r>
        <w:rPr>
          <w:sz w:val="22"/>
          <w:szCs w:val="22"/>
          <w:lang w:eastAsia="en-GB"/>
        </w:rPr>
        <w:t>north-eastern</w:t>
      </w:r>
      <w:r w:rsidRPr="009978E3">
        <w:rPr>
          <w:sz w:val="22"/>
          <w:szCs w:val="22"/>
          <w:lang w:eastAsia="en-GB"/>
        </w:rPr>
        <w:t xml:space="preserve"> end of the Rockall Plateau) to Ascension Island, over a depth range of at least 768–1,448 m (possibly 755–1,769 m) (Carpenter, 1888; Bullimore </w:t>
      </w:r>
      <w:r w:rsidRPr="0006066A">
        <w:rPr>
          <w:i/>
          <w:sz w:val="22"/>
          <w:szCs w:val="22"/>
          <w:lang w:eastAsia="en-GB"/>
        </w:rPr>
        <w:t>et al</w:t>
      </w:r>
      <w:r w:rsidRPr="009978E3">
        <w:rPr>
          <w:sz w:val="22"/>
          <w:szCs w:val="22"/>
          <w:lang w:eastAsia="en-GB"/>
        </w:rPr>
        <w:t xml:space="preserve">., 2013; Narayanaswamy </w:t>
      </w:r>
      <w:r w:rsidRPr="0006066A">
        <w:rPr>
          <w:i/>
          <w:sz w:val="22"/>
          <w:szCs w:val="22"/>
          <w:lang w:eastAsia="en-GB"/>
        </w:rPr>
        <w:t>et al</w:t>
      </w:r>
      <w:r w:rsidRPr="009978E3">
        <w:rPr>
          <w:sz w:val="22"/>
          <w:szCs w:val="22"/>
          <w:lang w:eastAsia="en-GB"/>
        </w:rPr>
        <w:t xml:space="preserve">., 2013). Stevenson </w:t>
      </w:r>
      <w:r w:rsidRPr="0006066A">
        <w:rPr>
          <w:i/>
          <w:sz w:val="22"/>
          <w:szCs w:val="22"/>
          <w:lang w:eastAsia="en-GB"/>
        </w:rPr>
        <w:t>et al</w:t>
      </w:r>
      <w:r w:rsidRPr="009978E3">
        <w:rPr>
          <w:sz w:val="22"/>
          <w:szCs w:val="22"/>
          <w:lang w:eastAsia="en-GB"/>
        </w:rPr>
        <w:t xml:space="preserve">. (2017) reported large populations of </w:t>
      </w:r>
      <w:r w:rsidRPr="009978E3">
        <w:rPr>
          <w:i/>
          <w:sz w:val="22"/>
          <w:szCs w:val="22"/>
          <w:lang w:eastAsia="en-GB"/>
        </w:rPr>
        <w:t>K. porrecta</w:t>
      </w:r>
      <w:r w:rsidRPr="009978E3">
        <w:rPr>
          <w:sz w:val="22"/>
          <w:szCs w:val="22"/>
          <w:lang w:eastAsia="en-GB"/>
        </w:rPr>
        <w:t xml:space="preserve"> </w:t>
      </w:r>
      <w:r>
        <w:rPr>
          <w:sz w:val="22"/>
          <w:szCs w:val="22"/>
          <w:lang w:eastAsia="en-GB"/>
        </w:rPr>
        <w:t>at</w:t>
      </w:r>
      <w:r w:rsidRPr="009978E3">
        <w:rPr>
          <w:sz w:val="22"/>
          <w:szCs w:val="22"/>
          <w:lang w:eastAsia="en-GB"/>
        </w:rPr>
        <w:t xml:space="preserve"> 778–941 m in the Bay of Biscay. Records of </w:t>
      </w:r>
      <w:r w:rsidRPr="009978E3">
        <w:rPr>
          <w:i/>
          <w:sz w:val="22"/>
          <w:szCs w:val="22"/>
          <w:lang w:eastAsia="en-GB"/>
        </w:rPr>
        <w:t>Thalassometra lusitanica</w:t>
      </w:r>
      <w:r w:rsidRPr="009978E3">
        <w:rPr>
          <w:sz w:val="22"/>
          <w:szCs w:val="22"/>
          <w:lang w:eastAsia="en-GB"/>
        </w:rPr>
        <w:t xml:space="preserve"> range from the Canary Islands and Morocco to off Cape Carvoeiro, Portugal, at depths of 1,229–1,716 m (possibly 914–1,912 m), with one record </w:t>
      </w:r>
      <w:r>
        <w:rPr>
          <w:sz w:val="22"/>
          <w:szCs w:val="22"/>
          <w:lang w:eastAsia="en-GB"/>
        </w:rPr>
        <w:t>at</w:t>
      </w:r>
      <w:r w:rsidRPr="009978E3">
        <w:rPr>
          <w:sz w:val="22"/>
          <w:szCs w:val="22"/>
          <w:lang w:eastAsia="en-GB"/>
        </w:rPr>
        <w:t xml:space="preserve"> 2,165 m (Clark, 1950, 1980).</w:t>
      </w:r>
    </w:p>
    <w:p w14:paraId="18E49835" w14:textId="77777777" w:rsidR="006B3F46" w:rsidRPr="009978E3" w:rsidRDefault="006B3F46" w:rsidP="002E4B39">
      <w:pPr>
        <w:suppressLineNumbers/>
        <w:spacing w:after="120"/>
        <w:jc w:val="both"/>
        <w:rPr>
          <w:rFonts w:eastAsia="MS Mincho"/>
          <w:i/>
          <w:sz w:val="22"/>
          <w:szCs w:val="22"/>
          <w:lang w:val="en-US"/>
        </w:rPr>
      </w:pPr>
      <w:r w:rsidRPr="009978E3">
        <w:rPr>
          <w:sz w:val="22"/>
          <w:szCs w:val="22"/>
          <w:lang w:eastAsia="en-GB"/>
        </w:rPr>
        <w:t xml:space="preserve">For the depths where </w:t>
      </w:r>
      <w:r w:rsidRPr="009978E3">
        <w:rPr>
          <w:i/>
          <w:sz w:val="22"/>
          <w:szCs w:val="22"/>
          <w:lang w:eastAsia="en-GB"/>
        </w:rPr>
        <w:t>P. amadou</w:t>
      </w:r>
      <w:r w:rsidRPr="009978E3">
        <w:rPr>
          <w:sz w:val="22"/>
          <w:szCs w:val="22"/>
          <w:lang w:eastAsia="en-GB"/>
        </w:rPr>
        <w:t xml:space="preserve"> was recorded (1,960 – 3,660 m), the </w:t>
      </w:r>
      <w:r w:rsidRPr="00974BBB">
        <w:rPr>
          <w:sz w:val="22"/>
          <w:szCs w:val="22"/>
          <w:lang w:eastAsia="en-GB"/>
        </w:rPr>
        <w:t xml:space="preserve">conductivity, temperature, and depth </w:t>
      </w:r>
      <w:r>
        <w:rPr>
          <w:sz w:val="22"/>
          <w:szCs w:val="22"/>
          <w:lang w:eastAsia="en-GB"/>
        </w:rPr>
        <w:t>(</w:t>
      </w:r>
      <w:r w:rsidRPr="009978E3">
        <w:rPr>
          <w:sz w:val="22"/>
          <w:szCs w:val="22"/>
          <w:lang w:eastAsia="en-GB"/>
        </w:rPr>
        <w:t>CTD</w:t>
      </w:r>
      <w:r>
        <w:rPr>
          <w:sz w:val="22"/>
          <w:szCs w:val="22"/>
          <w:lang w:eastAsia="en-GB"/>
        </w:rPr>
        <w:t>)</w:t>
      </w:r>
      <w:r w:rsidRPr="009978E3">
        <w:rPr>
          <w:sz w:val="22"/>
          <w:szCs w:val="22"/>
          <w:lang w:eastAsia="en-GB"/>
        </w:rPr>
        <w:t xml:space="preserve"> casts registered temperatures ranging from 2.5° to 4° C, salinity values between 34.91 and 35.05 psu, and oxygen levels between 6.5 and 6.9 mg/ml</w:t>
      </w:r>
      <w:r w:rsidRPr="009978E3">
        <w:rPr>
          <w:sz w:val="22"/>
          <w:szCs w:val="22"/>
          <w:vertAlign w:val="superscript"/>
          <w:lang w:eastAsia="en-GB"/>
        </w:rPr>
        <w:t>-1</w:t>
      </w:r>
      <w:r w:rsidRPr="009978E3">
        <w:rPr>
          <w:sz w:val="22"/>
          <w:szCs w:val="22"/>
          <w:lang w:eastAsia="en-GB"/>
        </w:rPr>
        <w:t>. The casts showed an inflection point in these parameters at ~2,500 m, where oxygen reached values of 6.8 mg/ml</w:t>
      </w:r>
      <w:r w:rsidRPr="009978E3">
        <w:rPr>
          <w:sz w:val="22"/>
          <w:szCs w:val="22"/>
          <w:vertAlign w:val="superscript"/>
          <w:lang w:eastAsia="en-GB"/>
        </w:rPr>
        <w:t>-1</w:t>
      </w:r>
      <w:r w:rsidRPr="009978E3">
        <w:rPr>
          <w:sz w:val="22"/>
          <w:szCs w:val="22"/>
          <w:lang w:eastAsia="en-GB"/>
        </w:rPr>
        <w:t>, the temperature was ~3.25° C and salinity 34.99 psu. Hydrodynamic modelling revealed a strong influence of tides on surface and bottom currents, with a NE-SW current rotating anticlockwise over the diurnal tidal cycle. The elongated ridges extending outward from the star-shaped seamount cause high current variability. The eastern and western flanks dissipate higher energy, whereas the northern and southern spurs dissipate less energy. The distribution of sediment-covered and sediment-poor areas coincided with this energy distribution, which is observable on the ROV videos and the backscatter intensity. The summit had a variable layer of biogenic silty fine sand forming ripples aligned with the (varying) peak current velocity. Numerical modelling indicates the presence of a weak Taylor Cap on the summit of the seamount (Cooper and Spearman, 2017).</w:t>
      </w:r>
    </w:p>
    <w:p w14:paraId="3A323DEA"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347E1DE3" w14:textId="77777777" w:rsidR="006B3F46" w:rsidRPr="009978E3" w:rsidRDefault="006B3F46" w:rsidP="002E4B39">
      <w:pPr>
        <w:suppressLineNumbers/>
        <w:spacing w:after="120"/>
        <w:jc w:val="both"/>
        <w:rPr>
          <w:sz w:val="22"/>
          <w:szCs w:val="22"/>
          <w:lang w:eastAsia="en-GB"/>
        </w:rPr>
      </w:pPr>
      <w:r w:rsidRPr="009978E3">
        <w:rPr>
          <w:sz w:val="22"/>
          <w:szCs w:val="22"/>
          <w:lang w:eastAsia="en-GB"/>
        </w:rPr>
        <w:t xml:space="preserve">The sponge grounds of </w:t>
      </w:r>
      <w:r w:rsidRPr="009978E3">
        <w:rPr>
          <w:i/>
          <w:sz w:val="22"/>
          <w:szCs w:val="22"/>
          <w:lang w:eastAsia="en-GB"/>
        </w:rPr>
        <w:t>P. amadou</w:t>
      </w:r>
      <w:r w:rsidRPr="009978E3">
        <w:rPr>
          <w:sz w:val="22"/>
          <w:szCs w:val="22"/>
          <w:lang w:eastAsia="en-GB"/>
        </w:rPr>
        <w:t xml:space="preserve"> were one of the most frequent and extensive </w:t>
      </w:r>
      <w:r>
        <w:rPr>
          <w:sz w:val="22"/>
          <w:szCs w:val="22"/>
          <w:lang w:eastAsia="en-GB"/>
        </w:rPr>
        <w:t xml:space="preserve">vulnerable ecosystems </w:t>
      </w:r>
      <w:r w:rsidRPr="009978E3">
        <w:rPr>
          <w:sz w:val="22"/>
          <w:szCs w:val="22"/>
          <w:lang w:eastAsia="en-GB"/>
        </w:rPr>
        <w:t xml:space="preserve">observed on the Tropic Seamount, with different body sizes (from approximately 5 cm up to 55 cm) indicating a stable population with on-going recruitment. The depths of most VME indicator taxa on Tropic Seamount make these seamount habitats de facto refuges from the impacts of bottom fisheries, as supported by a lack of evidence for any contact with bottom-fishing gear from the ROV images and from fishing records across </w:t>
      </w:r>
      <w:r w:rsidRPr="002E4B39">
        <w:rPr>
          <w:rFonts w:eastAsia="MS Mincho"/>
          <w:sz w:val="22"/>
          <w:szCs w:val="22"/>
          <w:lang w:val="en-US"/>
        </w:rPr>
        <w:t>the</w:t>
      </w:r>
      <w:r w:rsidRPr="009978E3">
        <w:rPr>
          <w:sz w:val="22"/>
          <w:szCs w:val="22"/>
          <w:lang w:eastAsia="en-GB"/>
        </w:rPr>
        <w:t xml:space="preserve"> wider CECAF area (FAO Fiaf/R1184, 2016). </w:t>
      </w:r>
    </w:p>
    <w:p w14:paraId="663BC499" w14:textId="77777777" w:rsidR="006B3F46" w:rsidRPr="009978E3" w:rsidRDefault="006B3F46" w:rsidP="002E4B39">
      <w:pPr>
        <w:suppressLineNumbers/>
        <w:spacing w:after="120"/>
        <w:jc w:val="both"/>
        <w:rPr>
          <w:sz w:val="22"/>
          <w:szCs w:val="22"/>
          <w:lang w:eastAsia="en-GB"/>
        </w:rPr>
      </w:pPr>
      <w:r w:rsidRPr="009978E3">
        <w:rPr>
          <w:sz w:val="22"/>
          <w:szCs w:val="22"/>
          <w:lang w:eastAsia="en-GB"/>
        </w:rPr>
        <w:t xml:space="preserve">Predicted habitat for </w:t>
      </w:r>
      <w:r w:rsidRPr="009978E3">
        <w:rPr>
          <w:i/>
          <w:sz w:val="22"/>
          <w:szCs w:val="22"/>
          <w:lang w:eastAsia="en-GB"/>
        </w:rPr>
        <w:t>P. amadou</w:t>
      </w:r>
      <w:r w:rsidRPr="009978E3">
        <w:rPr>
          <w:sz w:val="22"/>
          <w:szCs w:val="22"/>
          <w:lang w:eastAsia="en-GB"/>
        </w:rPr>
        <w:t xml:space="preserve"> was found to be favourable on the deep flanks of the seamount within a very narrow oceanographic regime. Other  vulnerable taxa observed on Tropic Seamount, such as coral gardens and patches of </w:t>
      </w:r>
      <w:r w:rsidRPr="009978E3">
        <w:rPr>
          <w:i/>
          <w:sz w:val="22"/>
          <w:szCs w:val="22"/>
          <w:lang w:eastAsia="en-GB"/>
        </w:rPr>
        <w:t>S. variabilis</w:t>
      </w:r>
      <w:r>
        <w:rPr>
          <w:i/>
          <w:sz w:val="22"/>
          <w:szCs w:val="22"/>
          <w:lang w:eastAsia="en-GB"/>
        </w:rPr>
        <w:t>,</w:t>
      </w:r>
      <w:r w:rsidRPr="009978E3">
        <w:rPr>
          <w:sz w:val="22"/>
          <w:szCs w:val="22"/>
          <w:lang w:eastAsia="en-GB"/>
        </w:rPr>
        <w:t xml:space="preserve"> are also likely to provide important ecosystem functions on the seamount—indeed one type of coral garden hosted a nursery ground for deep-sea squid, and here too, predictive species and habitat models could greatly aid in building the evidence base for the occurrence of vulnerable </w:t>
      </w:r>
      <w:r w:rsidRPr="002E4B39">
        <w:rPr>
          <w:rFonts w:eastAsia="MS Mincho"/>
          <w:sz w:val="22"/>
          <w:szCs w:val="22"/>
          <w:lang w:val="en-US"/>
        </w:rPr>
        <w:t>taxa</w:t>
      </w:r>
      <w:r w:rsidRPr="009978E3">
        <w:rPr>
          <w:sz w:val="22"/>
          <w:szCs w:val="22"/>
          <w:lang w:eastAsia="en-GB"/>
        </w:rPr>
        <w:t>.</w:t>
      </w:r>
    </w:p>
    <w:p w14:paraId="08ACB65E" w14:textId="27510424" w:rsidR="006B3F46" w:rsidRPr="009978E3" w:rsidRDefault="006B3F46" w:rsidP="002E4B39">
      <w:pPr>
        <w:rPr>
          <w:rFonts w:eastAsia="MS Mincho"/>
          <w:b/>
          <w:bCs/>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9978E3">
        <w:rPr>
          <w:rFonts w:eastAsia="MS Mincho"/>
          <w:b/>
          <w:sz w:val="22"/>
          <w:szCs w:val="22"/>
          <w:lang w:val="en-US"/>
        </w:rPr>
        <w:t>rea no. 9</w:t>
      </w:r>
      <w:r>
        <w:rPr>
          <w:rFonts w:eastAsia="MS Mincho"/>
          <w:b/>
          <w:sz w:val="22"/>
          <w:szCs w:val="22"/>
          <w:lang w:val="en-US"/>
        </w:rPr>
        <w:t>,</w:t>
      </w:r>
      <w:r w:rsidRPr="009978E3">
        <w:rPr>
          <w:rFonts w:eastAsia="MS Mincho"/>
          <w:b/>
          <w:sz w:val="22"/>
          <w:szCs w:val="22"/>
          <w:lang w:val="en-US"/>
        </w:rPr>
        <w:t xml:space="preserve"> Tropic Seamount</w:t>
      </w:r>
      <w:r>
        <w:rPr>
          <w:rFonts w:eastAsia="MS Mincho"/>
          <w:b/>
          <w:sz w:val="22"/>
          <w:szCs w:val="22"/>
          <w:lang w:val="en-US"/>
        </w:rPr>
        <w:t>, against CBD EBSA Criteria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6B3F46" w:rsidRPr="0021277B" w14:paraId="08617132" w14:textId="77777777" w:rsidTr="00907941">
        <w:tc>
          <w:tcPr>
            <w:tcW w:w="779" w:type="pct"/>
            <w:vMerge w:val="restart"/>
            <w:shd w:val="clear" w:color="auto" w:fill="auto"/>
          </w:tcPr>
          <w:p w14:paraId="64DCDD22" w14:textId="77777777" w:rsidR="006B3F46" w:rsidRPr="0021277B" w:rsidRDefault="006B3F46" w:rsidP="00907941">
            <w:pPr>
              <w:widowControl w:val="0"/>
              <w:autoSpaceDE w:val="0"/>
              <w:autoSpaceDN w:val="0"/>
              <w:adjustRightInd w:val="0"/>
              <w:rPr>
                <w:rFonts w:eastAsia="MS Mincho"/>
                <w:b/>
                <w:bCs/>
                <w:sz w:val="22"/>
                <w:szCs w:val="22"/>
                <w:lang w:val="it-IT"/>
              </w:rPr>
            </w:pPr>
            <w:r w:rsidRPr="0021277B">
              <w:rPr>
                <w:rFonts w:eastAsia="MS Mincho"/>
                <w:b/>
                <w:bCs/>
                <w:sz w:val="22"/>
                <w:szCs w:val="22"/>
                <w:lang w:val="it-IT"/>
              </w:rPr>
              <w:t>CBD EBSA Criteria</w:t>
            </w:r>
          </w:p>
          <w:p w14:paraId="081C48E8" w14:textId="77777777" w:rsidR="006B3F46" w:rsidRPr="0021277B" w:rsidRDefault="006B3F46" w:rsidP="00907941">
            <w:pPr>
              <w:widowControl w:val="0"/>
              <w:autoSpaceDE w:val="0"/>
              <w:autoSpaceDN w:val="0"/>
              <w:adjustRightInd w:val="0"/>
              <w:rPr>
                <w:rFonts w:eastAsia="MS Mincho"/>
                <w:bCs/>
                <w:sz w:val="22"/>
                <w:szCs w:val="22"/>
                <w:lang w:val="it-IT"/>
              </w:rPr>
            </w:pPr>
            <w:r w:rsidRPr="0021277B">
              <w:rPr>
                <w:rFonts w:eastAsia="MS Mincho"/>
                <w:bCs/>
                <w:sz w:val="22"/>
                <w:szCs w:val="22"/>
                <w:lang w:val="it-IT"/>
              </w:rPr>
              <w:t>(Annex I to decision IX/20)</w:t>
            </w:r>
          </w:p>
        </w:tc>
        <w:tc>
          <w:tcPr>
            <w:tcW w:w="2280" w:type="pct"/>
            <w:vMerge w:val="restart"/>
            <w:shd w:val="clear" w:color="auto" w:fill="auto"/>
          </w:tcPr>
          <w:p w14:paraId="4025A0CE"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Description</w:t>
            </w:r>
          </w:p>
          <w:p w14:paraId="7E96E556"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it-IT"/>
              </w:rPr>
              <w:t>(Annex I to decision IX/20)</w:t>
            </w:r>
          </w:p>
        </w:tc>
        <w:tc>
          <w:tcPr>
            <w:tcW w:w="1940" w:type="pct"/>
            <w:gridSpan w:val="9"/>
            <w:shd w:val="clear" w:color="auto" w:fill="auto"/>
          </w:tcPr>
          <w:p w14:paraId="7DE900A9"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 xml:space="preserve">Ranking of criterion relevance </w:t>
            </w:r>
          </w:p>
          <w:p w14:paraId="6ECB4D4D"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Cs/>
                <w:sz w:val="22"/>
                <w:szCs w:val="22"/>
                <w:lang w:val="en-US"/>
              </w:rPr>
              <w:t>(please mark one column with an X)</w:t>
            </w:r>
          </w:p>
        </w:tc>
      </w:tr>
      <w:tr w:rsidR="006B3F46" w:rsidRPr="0021277B" w14:paraId="094D75DC" w14:textId="77777777" w:rsidTr="00907941">
        <w:tc>
          <w:tcPr>
            <w:tcW w:w="779" w:type="pct"/>
            <w:vMerge/>
            <w:shd w:val="clear" w:color="auto" w:fill="auto"/>
          </w:tcPr>
          <w:p w14:paraId="1D404623"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2280" w:type="pct"/>
            <w:vMerge/>
            <w:shd w:val="clear" w:color="auto" w:fill="auto"/>
          </w:tcPr>
          <w:p w14:paraId="45CF5E51"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547" w:type="pct"/>
            <w:gridSpan w:val="2"/>
            <w:shd w:val="clear" w:color="auto" w:fill="auto"/>
          </w:tcPr>
          <w:p w14:paraId="3F622CB5"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No information</w:t>
            </w:r>
          </w:p>
        </w:tc>
        <w:tc>
          <w:tcPr>
            <w:tcW w:w="547" w:type="pct"/>
            <w:gridSpan w:val="3"/>
            <w:shd w:val="clear" w:color="auto" w:fill="auto"/>
          </w:tcPr>
          <w:p w14:paraId="3459E915"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Low</w:t>
            </w:r>
          </w:p>
        </w:tc>
        <w:tc>
          <w:tcPr>
            <w:tcW w:w="411" w:type="pct"/>
            <w:gridSpan w:val="2"/>
            <w:shd w:val="clear" w:color="auto" w:fill="auto"/>
          </w:tcPr>
          <w:p w14:paraId="784F8F7C"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Medium</w:t>
            </w:r>
          </w:p>
        </w:tc>
        <w:tc>
          <w:tcPr>
            <w:tcW w:w="436" w:type="pct"/>
            <w:gridSpan w:val="2"/>
            <w:shd w:val="clear" w:color="auto" w:fill="auto"/>
          </w:tcPr>
          <w:p w14:paraId="1F40857B"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High</w:t>
            </w:r>
          </w:p>
        </w:tc>
      </w:tr>
      <w:tr w:rsidR="006B3F46" w:rsidRPr="0021277B" w14:paraId="2F57A2CC" w14:textId="77777777" w:rsidTr="00907941">
        <w:tc>
          <w:tcPr>
            <w:tcW w:w="779" w:type="pct"/>
            <w:shd w:val="clear" w:color="auto" w:fill="auto"/>
          </w:tcPr>
          <w:p w14:paraId="7BAF38E8"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Uniqueness or rarity</w:t>
            </w:r>
          </w:p>
        </w:tc>
        <w:tc>
          <w:tcPr>
            <w:tcW w:w="2280" w:type="pct"/>
            <w:shd w:val="clear" w:color="auto" w:fill="auto"/>
          </w:tcPr>
          <w:p w14:paraId="0C272122"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542ECAC6" w14:textId="77777777" w:rsidR="006B3F46" w:rsidRPr="0021277B" w:rsidRDefault="006B3F46" w:rsidP="00907941">
            <w:pPr>
              <w:widowControl w:val="0"/>
              <w:autoSpaceDE w:val="0"/>
              <w:autoSpaceDN w:val="0"/>
              <w:adjustRightInd w:val="0"/>
              <w:rPr>
                <w:rFonts w:eastAsia="MS Mincho"/>
                <w:bCs/>
                <w:sz w:val="22"/>
                <w:szCs w:val="22"/>
                <w:lang w:val="en-US"/>
              </w:rPr>
            </w:pPr>
          </w:p>
        </w:tc>
        <w:tc>
          <w:tcPr>
            <w:tcW w:w="547" w:type="pct"/>
            <w:gridSpan w:val="3"/>
            <w:shd w:val="clear" w:color="auto" w:fill="auto"/>
          </w:tcPr>
          <w:p w14:paraId="2225FB54"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2627807C"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6" w:type="pct"/>
            <w:gridSpan w:val="2"/>
            <w:shd w:val="clear" w:color="auto" w:fill="auto"/>
          </w:tcPr>
          <w:p w14:paraId="5478ED03"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p w14:paraId="3E296F5F" w14:textId="77777777" w:rsidR="006B3F46" w:rsidRPr="0021277B" w:rsidRDefault="006B3F46" w:rsidP="00907941">
            <w:pPr>
              <w:rPr>
                <w:rFonts w:eastAsia="MS Mincho"/>
                <w:sz w:val="22"/>
                <w:szCs w:val="22"/>
                <w:lang w:val="en-US"/>
              </w:rPr>
            </w:pPr>
          </w:p>
          <w:p w14:paraId="56A25CD6" w14:textId="77777777" w:rsidR="006B3F46" w:rsidRPr="0021277B" w:rsidRDefault="006B3F46" w:rsidP="00907941">
            <w:pPr>
              <w:rPr>
                <w:rFonts w:eastAsia="MS Mincho"/>
                <w:sz w:val="22"/>
                <w:szCs w:val="22"/>
                <w:lang w:val="en-US"/>
              </w:rPr>
            </w:pPr>
          </w:p>
          <w:p w14:paraId="2DD068F7" w14:textId="77777777" w:rsidR="006B3F46" w:rsidRPr="0021277B" w:rsidRDefault="006B3F46" w:rsidP="00907941">
            <w:pPr>
              <w:rPr>
                <w:rFonts w:eastAsia="MS Mincho"/>
                <w:sz w:val="22"/>
                <w:szCs w:val="22"/>
                <w:lang w:val="en-US"/>
              </w:rPr>
            </w:pPr>
          </w:p>
        </w:tc>
      </w:tr>
      <w:tr w:rsidR="006B3F46" w:rsidRPr="0021277B" w14:paraId="4081183E" w14:textId="77777777" w:rsidTr="00907941">
        <w:tc>
          <w:tcPr>
            <w:tcW w:w="5000" w:type="pct"/>
            <w:gridSpan w:val="11"/>
            <w:shd w:val="clear" w:color="auto" w:fill="auto"/>
          </w:tcPr>
          <w:p w14:paraId="500D487F"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118BEFF4" w14:textId="6A189073" w:rsidR="006B3F46" w:rsidRPr="0021277B" w:rsidRDefault="006B3F46" w:rsidP="002E4B39">
            <w:pPr>
              <w:suppressLineNumbers/>
              <w:spacing w:after="120"/>
              <w:jc w:val="both"/>
              <w:rPr>
                <w:rFonts w:eastAsia="MS Mincho"/>
                <w:b/>
                <w:bCs/>
                <w:sz w:val="22"/>
                <w:szCs w:val="22"/>
                <w:lang w:val="en-US"/>
              </w:rPr>
            </w:pPr>
            <w:r w:rsidRPr="0021277B">
              <w:rPr>
                <w:color w:val="201F1E"/>
                <w:sz w:val="22"/>
                <w:szCs w:val="22"/>
                <w:bdr w:val="none" w:sz="0" w:space="0" w:color="auto" w:frame="1"/>
              </w:rPr>
              <w:t>The Tropic Seamount harbours diverse and near pristine benthic communities that include several vulnerable taxa</w:t>
            </w:r>
            <w:r>
              <w:rPr>
                <w:color w:val="201F1E"/>
                <w:sz w:val="22"/>
                <w:szCs w:val="22"/>
                <w:bdr w:val="none" w:sz="0" w:space="0" w:color="auto" w:frame="1"/>
              </w:rPr>
              <w:t>,</w:t>
            </w:r>
            <w:r w:rsidRPr="0021277B">
              <w:rPr>
                <w:color w:val="201F1E"/>
                <w:sz w:val="22"/>
                <w:szCs w:val="22"/>
                <w:bdr w:val="none" w:sz="0" w:space="0" w:color="auto" w:frame="1"/>
              </w:rPr>
              <w:t xml:space="preserve"> such as the reef-building coral </w:t>
            </w:r>
            <w:r w:rsidRPr="0021277B">
              <w:rPr>
                <w:i/>
                <w:iCs/>
                <w:color w:val="201F1E"/>
                <w:sz w:val="22"/>
                <w:szCs w:val="22"/>
                <w:bdr w:val="none" w:sz="0" w:space="0" w:color="auto" w:frame="1"/>
              </w:rPr>
              <w:t>Solenosmilia variabilis</w:t>
            </w:r>
            <w:r w:rsidRPr="0021277B">
              <w:rPr>
                <w:color w:val="201F1E"/>
                <w:sz w:val="22"/>
                <w:szCs w:val="22"/>
                <w:bdr w:val="none" w:sz="0" w:space="0" w:color="auto" w:frame="1"/>
              </w:rPr>
              <w:t>, several species of octocorals and black corals, sponge grounds and crinoid fields. Of particular note on this seamount are the very rare and unusual occurrences of the sponge </w:t>
            </w:r>
            <w:r w:rsidRPr="0021277B">
              <w:rPr>
                <w:i/>
                <w:iCs/>
                <w:color w:val="201F1E"/>
                <w:sz w:val="22"/>
                <w:szCs w:val="22"/>
                <w:bdr w:val="none" w:sz="0" w:space="0" w:color="auto" w:frame="1"/>
              </w:rPr>
              <w:t>Poliopogon amadou</w:t>
            </w:r>
            <w:r w:rsidRPr="0021277B">
              <w:rPr>
                <w:color w:val="201F1E"/>
                <w:sz w:val="22"/>
                <w:szCs w:val="22"/>
                <w:bdr w:val="none" w:sz="0" w:space="0" w:color="auto" w:frame="1"/>
              </w:rPr>
              <w:t> forming a diverse animal forest with associated crinoid fields and other vulnerable taxa. This biogeographically unique occurrence appears to be strongly related to the specific oceanographic characteristics and hydrography of the Tropic Seamount (Ramiro-</w:t>
            </w:r>
            <w:r w:rsidRPr="002E4B39">
              <w:rPr>
                <w:rFonts w:eastAsia="MS Mincho"/>
                <w:sz w:val="22"/>
                <w:szCs w:val="22"/>
                <w:lang w:val="en-US"/>
              </w:rPr>
              <w:t>Sánchez</w:t>
            </w:r>
            <w:r w:rsidRPr="0021277B">
              <w:rPr>
                <w:color w:val="201F1E"/>
                <w:sz w:val="22"/>
                <w:szCs w:val="22"/>
                <w:bdr w:val="none" w:sz="0" w:space="0" w:color="auto" w:frame="1"/>
              </w:rPr>
              <w:t xml:space="preserve"> </w:t>
            </w:r>
            <w:r w:rsidRPr="0006066A">
              <w:rPr>
                <w:i/>
                <w:color w:val="201F1E"/>
                <w:sz w:val="22"/>
                <w:szCs w:val="22"/>
                <w:bdr w:val="none" w:sz="0" w:space="0" w:color="auto" w:frame="1"/>
              </w:rPr>
              <w:t>et al</w:t>
            </w:r>
            <w:r w:rsidRPr="0021277B">
              <w:rPr>
                <w:color w:val="201F1E"/>
                <w:sz w:val="22"/>
                <w:szCs w:val="22"/>
                <w:bdr w:val="none" w:sz="0" w:space="0" w:color="auto" w:frame="1"/>
              </w:rPr>
              <w:t>. 2019).</w:t>
            </w:r>
          </w:p>
        </w:tc>
      </w:tr>
      <w:tr w:rsidR="006B3F46" w:rsidRPr="0021277B" w14:paraId="3D9476B7" w14:textId="77777777" w:rsidTr="00907941">
        <w:tc>
          <w:tcPr>
            <w:tcW w:w="779" w:type="pct"/>
            <w:shd w:val="clear" w:color="auto" w:fill="auto"/>
          </w:tcPr>
          <w:p w14:paraId="338BC9A2"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Special importance for life-history stages of species</w:t>
            </w:r>
          </w:p>
        </w:tc>
        <w:tc>
          <w:tcPr>
            <w:tcW w:w="2280" w:type="pct"/>
            <w:shd w:val="clear" w:color="auto" w:fill="auto"/>
          </w:tcPr>
          <w:p w14:paraId="14C30DCB"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Areas that are required for a population to survive and thrive.</w:t>
            </w:r>
          </w:p>
        </w:tc>
        <w:tc>
          <w:tcPr>
            <w:tcW w:w="684" w:type="pct"/>
            <w:gridSpan w:val="3"/>
            <w:shd w:val="clear" w:color="auto" w:fill="auto"/>
          </w:tcPr>
          <w:p w14:paraId="19F4D23B"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c>
          <w:tcPr>
            <w:tcW w:w="410" w:type="pct"/>
            <w:gridSpan w:val="2"/>
            <w:shd w:val="clear" w:color="auto" w:fill="auto"/>
          </w:tcPr>
          <w:p w14:paraId="6031DEB9"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743A4F5F"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6" w:type="pct"/>
            <w:gridSpan w:val="2"/>
            <w:shd w:val="clear" w:color="auto" w:fill="auto"/>
          </w:tcPr>
          <w:p w14:paraId="7C03EC7D"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r>
      <w:tr w:rsidR="006B3F46" w:rsidRPr="0021277B" w14:paraId="508C58B9" w14:textId="77777777" w:rsidTr="00907941">
        <w:tc>
          <w:tcPr>
            <w:tcW w:w="5000" w:type="pct"/>
            <w:gridSpan w:val="11"/>
            <w:shd w:val="clear" w:color="auto" w:fill="auto"/>
          </w:tcPr>
          <w:p w14:paraId="039B1556"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409FE120" w14:textId="4B6A6E88" w:rsidR="006B3F46" w:rsidRPr="0021277B" w:rsidRDefault="006B3F46" w:rsidP="002E4B39">
            <w:pPr>
              <w:widowControl w:val="0"/>
              <w:autoSpaceDE w:val="0"/>
              <w:autoSpaceDN w:val="0"/>
              <w:adjustRightInd w:val="0"/>
              <w:jc w:val="both"/>
              <w:rPr>
                <w:rFonts w:eastAsia="MS Mincho"/>
                <w:b/>
                <w:bCs/>
                <w:sz w:val="22"/>
                <w:szCs w:val="22"/>
                <w:lang w:val="en-US"/>
              </w:rPr>
            </w:pPr>
            <w:r w:rsidRPr="0021277B">
              <w:rPr>
                <w:sz w:val="22"/>
                <w:szCs w:val="22"/>
                <w:lang w:eastAsia="en-GB"/>
              </w:rPr>
              <w:t>Deep-sea squid eggs from an unidentified species were observed laying on bamboo corals on several occasions, indicating a spawning and/or nursery ground (</w:t>
            </w:r>
            <w:r w:rsidRPr="0021277B">
              <w:rPr>
                <w:rFonts w:eastAsia="Calibri"/>
                <w:bCs/>
                <w:sz w:val="22"/>
                <w:szCs w:val="22"/>
              </w:rPr>
              <w:t xml:space="preserve">Ramiro-Sánchez </w:t>
            </w:r>
            <w:r w:rsidRPr="0006066A">
              <w:rPr>
                <w:rFonts w:eastAsia="Calibri"/>
                <w:bCs/>
                <w:i/>
                <w:sz w:val="22"/>
                <w:szCs w:val="22"/>
              </w:rPr>
              <w:t>et al</w:t>
            </w:r>
            <w:r w:rsidRPr="0021277B">
              <w:rPr>
                <w:rFonts w:eastAsia="Calibri"/>
                <w:bCs/>
                <w:sz w:val="22"/>
                <w:szCs w:val="22"/>
              </w:rPr>
              <w:t>. 2019)</w:t>
            </w:r>
            <w:r w:rsidRPr="0021277B">
              <w:rPr>
                <w:sz w:val="22"/>
                <w:szCs w:val="22"/>
                <w:lang w:eastAsia="en-GB"/>
              </w:rPr>
              <w:t xml:space="preserve">. However, the limited extent of surveys to date preclude our providing a ranking on this criterion. </w:t>
            </w:r>
          </w:p>
        </w:tc>
      </w:tr>
      <w:tr w:rsidR="006B3F46" w:rsidRPr="0021277B" w14:paraId="32D22699" w14:textId="77777777" w:rsidTr="00907941">
        <w:tc>
          <w:tcPr>
            <w:tcW w:w="779" w:type="pct"/>
            <w:shd w:val="clear" w:color="auto" w:fill="auto"/>
          </w:tcPr>
          <w:p w14:paraId="333491B7"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Importance for threatened, endangered or declining species and/or habitats</w:t>
            </w:r>
          </w:p>
        </w:tc>
        <w:tc>
          <w:tcPr>
            <w:tcW w:w="2280" w:type="pct"/>
            <w:shd w:val="clear" w:color="auto" w:fill="auto"/>
          </w:tcPr>
          <w:p w14:paraId="02C6F186"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252C6591"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334134E2"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67969E56"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6" w:type="pct"/>
            <w:gridSpan w:val="2"/>
            <w:shd w:val="clear" w:color="auto" w:fill="auto"/>
          </w:tcPr>
          <w:p w14:paraId="18453A16"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1B0917BA" w14:textId="77777777" w:rsidTr="00907941">
        <w:tc>
          <w:tcPr>
            <w:tcW w:w="5000" w:type="pct"/>
            <w:gridSpan w:val="11"/>
            <w:shd w:val="clear" w:color="auto" w:fill="auto"/>
          </w:tcPr>
          <w:p w14:paraId="431F95CC"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19E5AC20" w14:textId="4D1F40AE" w:rsidR="006B3F46" w:rsidRPr="0021277B" w:rsidRDefault="006B3F46" w:rsidP="002E4B39">
            <w:pPr>
              <w:suppressLineNumbers/>
              <w:spacing w:after="120"/>
              <w:jc w:val="both"/>
              <w:rPr>
                <w:rFonts w:eastAsia="MS Mincho"/>
                <w:b/>
                <w:bCs/>
                <w:sz w:val="22"/>
                <w:szCs w:val="22"/>
                <w:lang w:val="en-US"/>
              </w:rPr>
            </w:pPr>
            <w:r w:rsidRPr="0021277B">
              <w:rPr>
                <w:sz w:val="22"/>
                <w:szCs w:val="22"/>
                <w:lang w:eastAsia="en-GB"/>
              </w:rPr>
              <w:t>The Tropic Seamount hosts numerous VME indicator taxa (</w:t>
            </w:r>
            <w:r w:rsidRPr="0021277B">
              <w:rPr>
                <w:rFonts w:eastAsia="Calibri"/>
                <w:bCs/>
                <w:sz w:val="22"/>
                <w:szCs w:val="22"/>
              </w:rPr>
              <w:t xml:space="preserve">Ramiro-Sánchez </w:t>
            </w:r>
            <w:r w:rsidRPr="0006066A">
              <w:rPr>
                <w:rFonts w:eastAsia="Calibri"/>
                <w:bCs/>
                <w:i/>
                <w:sz w:val="22"/>
                <w:szCs w:val="22"/>
              </w:rPr>
              <w:t>et al</w:t>
            </w:r>
            <w:r w:rsidRPr="0021277B">
              <w:rPr>
                <w:rFonts w:eastAsia="Calibri"/>
                <w:bCs/>
                <w:sz w:val="22"/>
                <w:szCs w:val="22"/>
              </w:rPr>
              <w:t>. 2019)</w:t>
            </w:r>
            <w:r w:rsidRPr="0021277B">
              <w:rPr>
                <w:rFonts w:eastAsia="MS Mincho"/>
                <w:sz w:val="22"/>
                <w:szCs w:val="22"/>
                <w:lang w:val="en-US"/>
              </w:rPr>
              <w:t xml:space="preserve"> that h</w:t>
            </w:r>
            <w:r w:rsidRPr="0021277B">
              <w:rPr>
                <w:sz w:val="22"/>
                <w:szCs w:val="22"/>
                <w:lang w:eastAsia="en-GB"/>
              </w:rPr>
              <w:t xml:space="preserve">ave international conservation and management significance through this designation, and therefore the Seamount is a significant area for the survival of these protected species. These underwater mountains provide hard substrata for VME indicator taxa, such as corals, sponges and other species—like the ones found on Tropic Seamount—to settle and grow (Rogers </w:t>
            </w:r>
            <w:r w:rsidRPr="0006066A">
              <w:rPr>
                <w:i/>
                <w:sz w:val="22"/>
                <w:szCs w:val="22"/>
                <w:lang w:eastAsia="en-GB"/>
              </w:rPr>
              <w:t>et al</w:t>
            </w:r>
            <w:r w:rsidRPr="0021277B">
              <w:rPr>
                <w:sz w:val="22"/>
                <w:szCs w:val="22"/>
                <w:lang w:eastAsia="en-GB"/>
              </w:rPr>
              <w:t xml:space="preserve">., 2007; Samadi </w:t>
            </w:r>
            <w:r w:rsidRPr="0006066A">
              <w:rPr>
                <w:i/>
                <w:sz w:val="22"/>
                <w:szCs w:val="22"/>
                <w:lang w:eastAsia="en-GB"/>
              </w:rPr>
              <w:t>et al</w:t>
            </w:r>
            <w:r w:rsidRPr="0021277B">
              <w:rPr>
                <w:sz w:val="22"/>
                <w:szCs w:val="22"/>
                <w:lang w:eastAsia="en-GB"/>
              </w:rPr>
              <w:t xml:space="preserve">., 2007; Clark </w:t>
            </w:r>
            <w:r w:rsidRPr="0006066A">
              <w:rPr>
                <w:i/>
                <w:sz w:val="22"/>
                <w:szCs w:val="22"/>
                <w:lang w:eastAsia="en-GB"/>
              </w:rPr>
              <w:t>et al</w:t>
            </w:r>
            <w:r w:rsidRPr="0021277B">
              <w:rPr>
                <w:sz w:val="22"/>
                <w:szCs w:val="22"/>
                <w:lang w:eastAsia="en-GB"/>
              </w:rPr>
              <w:t>., 2012). Seamounts are often characterised by particular hydrograph</w:t>
            </w:r>
            <w:r>
              <w:rPr>
                <w:sz w:val="22"/>
                <w:szCs w:val="22"/>
                <w:lang w:eastAsia="en-GB"/>
              </w:rPr>
              <w:t>ical conditions that</w:t>
            </w:r>
            <w:r w:rsidRPr="0021277B">
              <w:rPr>
                <w:sz w:val="22"/>
                <w:szCs w:val="22"/>
                <w:lang w:eastAsia="en-GB"/>
              </w:rPr>
              <w:t xml:space="preserve"> enhanc</w:t>
            </w:r>
            <w:r>
              <w:rPr>
                <w:sz w:val="22"/>
                <w:szCs w:val="22"/>
                <w:lang w:eastAsia="en-GB"/>
              </w:rPr>
              <w:t>e</w:t>
            </w:r>
            <w:r w:rsidRPr="0021277B">
              <w:rPr>
                <w:sz w:val="22"/>
                <w:szCs w:val="22"/>
                <w:lang w:eastAsia="en-GB"/>
              </w:rPr>
              <w:t xml:space="preserve"> the flow of currents, and ultimately, the availability of food to suspension feeders (Watling and Auster, 2017). High densities of corals and sponges can be found on those features (Genin </w:t>
            </w:r>
            <w:r w:rsidRPr="0006066A">
              <w:rPr>
                <w:i/>
                <w:sz w:val="22"/>
                <w:szCs w:val="22"/>
                <w:lang w:eastAsia="en-GB"/>
              </w:rPr>
              <w:t>et al</w:t>
            </w:r>
            <w:r w:rsidRPr="0021277B">
              <w:rPr>
                <w:sz w:val="22"/>
                <w:szCs w:val="22"/>
                <w:lang w:eastAsia="en-GB"/>
              </w:rPr>
              <w:t xml:space="preserve">., 1986; Rogers </w:t>
            </w:r>
            <w:r w:rsidRPr="0006066A">
              <w:rPr>
                <w:i/>
                <w:sz w:val="22"/>
                <w:szCs w:val="22"/>
                <w:lang w:eastAsia="en-GB"/>
              </w:rPr>
              <w:t>et al</w:t>
            </w:r>
            <w:r w:rsidRPr="0021277B">
              <w:rPr>
                <w:sz w:val="22"/>
                <w:szCs w:val="22"/>
                <w:lang w:eastAsia="en-GB"/>
              </w:rPr>
              <w:t xml:space="preserve">., 2007; Roberts </w:t>
            </w:r>
            <w:r w:rsidRPr="0006066A">
              <w:rPr>
                <w:i/>
                <w:sz w:val="22"/>
                <w:szCs w:val="22"/>
                <w:lang w:eastAsia="en-GB"/>
              </w:rPr>
              <w:t>et al</w:t>
            </w:r>
            <w:r w:rsidRPr="0021277B">
              <w:rPr>
                <w:sz w:val="22"/>
                <w:szCs w:val="22"/>
                <w:lang w:eastAsia="en-GB"/>
              </w:rPr>
              <w:t xml:space="preserve">., 2009; Henry </w:t>
            </w:r>
            <w:r w:rsidRPr="0006066A">
              <w:rPr>
                <w:i/>
                <w:sz w:val="22"/>
                <w:szCs w:val="22"/>
                <w:lang w:eastAsia="en-GB"/>
              </w:rPr>
              <w:t>et al</w:t>
            </w:r>
            <w:r w:rsidRPr="0021277B">
              <w:rPr>
                <w:sz w:val="22"/>
                <w:szCs w:val="22"/>
                <w:lang w:eastAsia="en-GB"/>
              </w:rPr>
              <w:t xml:space="preserve">., 2013; Victorero </w:t>
            </w:r>
            <w:r w:rsidRPr="0006066A">
              <w:rPr>
                <w:i/>
                <w:sz w:val="22"/>
                <w:szCs w:val="22"/>
                <w:lang w:eastAsia="en-GB"/>
              </w:rPr>
              <w:t>et al</w:t>
            </w:r>
            <w:r w:rsidRPr="0021277B">
              <w:rPr>
                <w:sz w:val="22"/>
                <w:szCs w:val="22"/>
                <w:lang w:eastAsia="en-GB"/>
              </w:rPr>
              <w:t xml:space="preserve">., 2018), although benthic assemblages and biomass may vary among seamounts in less productive regions, where substratum is not suitable, or where </w:t>
            </w:r>
            <w:r w:rsidRPr="002E4B39">
              <w:rPr>
                <w:rFonts w:eastAsia="MS Mincho"/>
                <w:sz w:val="22"/>
                <w:szCs w:val="22"/>
                <w:lang w:val="en-US"/>
              </w:rPr>
              <w:t>seamounts</w:t>
            </w:r>
            <w:r w:rsidRPr="0021277B">
              <w:rPr>
                <w:sz w:val="22"/>
                <w:szCs w:val="22"/>
                <w:lang w:eastAsia="en-GB"/>
              </w:rPr>
              <w:t xml:space="preserve"> are not adjacent to continental slopes (Rowden </w:t>
            </w:r>
            <w:r w:rsidRPr="0006066A">
              <w:rPr>
                <w:i/>
                <w:sz w:val="22"/>
                <w:szCs w:val="22"/>
                <w:lang w:eastAsia="en-GB"/>
              </w:rPr>
              <w:t>et al</w:t>
            </w:r>
            <w:r w:rsidRPr="0021277B">
              <w:rPr>
                <w:sz w:val="22"/>
                <w:szCs w:val="22"/>
                <w:lang w:eastAsia="en-GB"/>
              </w:rPr>
              <w:t>., 2010).</w:t>
            </w:r>
          </w:p>
        </w:tc>
      </w:tr>
      <w:tr w:rsidR="006B3F46" w:rsidRPr="0021277B" w14:paraId="7DD43F0D" w14:textId="77777777" w:rsidTr="00907941">
        <w:tc>
          <w:tcPr>
            <w:tcW w:w="779" w:type="pct"/>
            <w:shd w:val="clear" w:color="auto" w:fill="auto"/>
          </w:tcPr>
          <w:p w14:paraId="46DFF4B7"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Vulnerability, fragility, sensitivity, or slow recovery</w:t>
            </w:r>
          </w:p>
        </w:tc>
        <w:tc>
          <w:tcPr>
            <w:tcW w:w="2280" w:type="pct"/>
            <w:shd w:val="clear" w:color="auto" w:fill="auto"/>
          </w:tcPr>
          <w:p w14:paraId="18BBE886"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7BD42090"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13F223E2"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4B575A69"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6" w:type="pct"/>
            <w:gridSpan w:val="2"/>
            <w:shd w:val="clear" w:color="auto" w:fill="auto"/>
          </w:tcPr>
          <w:p w14:paraId="713448A8"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7612BD8D" w14:textId="77777777" w:rsidTr="00907941">
        <w:tc>
          <w:tcPr>
            <w:tcW w:w="5000" w:type="pct"/>
            <w:gridSpan w:val="11"/>
            <w:shd w:val="clear" w:color="auto" w:fill="auto"/>
          </w:tcPr>
          <w:p w14:paraId="5283D6D3"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5C6A5383" w14:textId="430134EB" w:rsidR="006B3F46" w:rsidRPr="0021277B" w:rsidRDefault="006B3F46" w:rsidP="002E4B39">
            <w:pPr>
              <w:suppressLineNumbers/>
              <w:spacing w:after="120"/>
              <w:jc w:val="both"/>
              <w:rPr>
                <w:rFonts w:eastAsia="MS Mincho"/>
                <w:b/>
                <w:bCs/>
                <w:sz w:val="22"/>
                <w:szCs w:val="22"/>
                <w:lang w:val="en-US"/>
              </w:rPr>
            </w:pPr>
            <w:r w:rsidRPr="0021277B">
              <w:rPr>
                <w:sz w:val="22"/>
                <w:szCs w:val="22"/>
                <w:lang w:eastAsia="en-GB"/>
              </w:rPr>
              <w:t xml:space="preserve">The Tropic Seamount hosts numerous VME indicator taxa, including reef-building coral species such as </w:t>
            </w:r>
            <w:r w:rsidRPr="0021277B">
              <w:rPr>
                <w:i/>
                <w:sz w:val="22"/>
                <w:szCs w:val="22"/>
                <w:lang w:eastAsia="en-GB"/>
              </w:rPr>
              <w:t>Solenosmilia variabilis</w:t>
            </w:r>
            <w:r w:rsidRPr="0021277B">
              <w:rPr>
                <w:sz w:val="22"/>
                <w:szCs w:val="22"/>
                <w:lang w:eastAsia="en-GB"/>
              </w:rPr>
              <w:t xml:space="preserve">; several species of octocorals, black corals and sponges; extensive grounds of the glass sponge </w:t>
            </w:r>
            <w:r w:rsidRPr="0021277B">
              <w:rPr>
                <w:i/>
                <w:sz w:val="22"/>
                <w:szCs w:val="22"/>
                <w:lang w:eastAsia="en-GB"/>
              </w:rPr>
              <w:t xml:space="preserve">P. amadou; </w:t>
            </w:r>
            <w:r w:rsidRPr="0021277B">
              <w:rPr>
                <w:sz w:val="22"/>
                <w:szCs w:val="22"/>
                <w:lang w:eastAsia="en-GB"/>
              </w:rPr>
              <w:t>crinoids and xenophyophores (</w:t>
            </w:r>
            <w:r w:rsidRPr="0021277B">
              <w:rPr>
                <w:rFonts w:eastAsia="Calibri"/>
                <w:bCs/>
                <w:sz w:val="22"/>
                <w:szCs w:val="22"/>
              </w:rPr>
              <w:t xml:space="preserve">Ramiro-Sánchez </w:t>
            </w:r>
            <w:r w:rsidRPr="0006066A">
              <w:rPr>
                <w:rFonts w:eastAsia="Calibri"/>
                <w:bCs/>
                <w:i/>
                <w:sz w:val="22"/>
                <w:szCs w:val="22"/>
              </w:rPr>
              <w:t>et al</w:t>
            </w:r>
            <w:r w:rsidRPr="0021277B">
              <w:rPr>
                <w:rFonts w:eastAsia="Calibri"/>
                <w:bCs/>
                <w:sz w:val="22"/>
                <w:szCs w:val="22"/>
              </w:rPr>
              <w:t>. 2019)</w:t>
            </w:r>
            <w:r w:rsidRPr="0021277B">
              <w:rPr>
                <w:i/>
                <w:sz w:val="22"/>
                <w:szCs w:val="22"/>
                <w:lang w:eastAsia="en-GB"/>
              </w:rPr>
              <w:t xml:space="preserve">. </w:t>
            </w:r>
            <w:r w:rsidRPr="0021277B">
              <w:rPr>
                <w:sz w:val="22"/>
                <w:szCs w:val="22"/>
                <w:lang w:eastAsia="en-GB"/>
              </w:rPr>
              <w:t>These taxa are</w:t>
            </w:r>
            <w:r w:rsidRPr="0021277B">
              <w:rPr>
                <w:rFonts w:eastAsia="MS Mincho"/>
                <w:sz w:val="22"/>
                <w:szCs w:val="22"/>
                <w:lang w:val="en-US"/>
              </w:rPr>
              <w:t xml:space="preserve"> </w:t>
            </w:r>
            <w:r w:rsidRPr="0021277B">
              <w:rPr>
                <w:sz w:val="22"/>
                <w:szCs w:val="22"/>
                <w:lang w:eastAsia="en-GB"/>
              </w:rPr>
              <w:t xml:space="preserve">slow-growing, long-lived and late-maturing species, traits that limit their potential for resilience and recovery from human disturbances (reviewed by Roberts </w:t>
            </w:r>
            <w:r w:rsidRPr="0006066A">
              <w:rPr>
                <w:i/>
                <w:sz w:val="22"/>
                <w:szCs w:val="22"/>
                <w:lang w:eastAsia="en-GB"/>
              </w:rPr>
              <w:t>et al</w:t>
            </w:r>
            <w:r w:rsidRPr="0021277B">
              <w:rPr>
                <w:sz w:val="22"/>
                <w:szCs w:val="22"/>
                <w:lang w:eastAsia="en-GB"/>
              </w:rPr>
              <w:t xml:space="preserve">. 2009). </w:t>
            </w:r>
          </w:p>
        </w:tc>
      </w:tr>
      <w:tr w:rsidR="006B3F46" w:rsidRPr="0021277B" w14:paraId="42C1F898" w14:textId="77777777" w:rsidTr="00907941">
        <w:tc>
          <w:tcPr>
            <w:tcW w:w="779" w:type="pct"/>
            <w:shd w:val="clear" w:color="auto" w:fill="auto"/>
          </w:tcPr>
          <w:p w14:paraId="47FEB8D1"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Biological productivity</w:t>
            </w:r>
          </w:p>
        </w:tc>
        <w:tc>
          <w:tcPr>
            <w:tcW w:w="2280" w:type="pct"/>
            <w:shd w:val="clear" w:color="auto" w:fill="auto"/>
          </w:tcPr>
          <w:p w14:paraId="120507AA" w14:textId="77777777" w:rsidR="006B3F46" w:rsidRPr="0021277B" w:rsidRDefault="006B3F46" w:rsidP="00907941">
            <w:pPr>
              <w:widowControl w:val="0"/>
              <w:autoSpaceDE w:val="0"/>
              <w:autoSpaceDN w:val="0"/>
              <w:adjustRightInd w:val="0"/>
              <w:rPr>
                <w:rFonts w:eastAsia="MS Mincho"/>
                <w:bCs/>
                <w:sz w:val="22"/>
                <w:szCs w:val="22"/>
              </w:rPr>
            </w:pPr>
            <w:r w:rsidRPr="0021277B">
              <w:rPr>
                <w:rFonts w:eastAsia="MS Mincho"/>
                <w:bCs/>
                <w:sz w:val="22"/>
                <w:szCs w:val="22"/>
              </w:rPr>
              <w:t>Area containing species, populations or communities with comparatively higher natural biological productivity.</w:t>
            </w:r>
          </w:p>
        </w:tc>
        <w:tc>
          <w:tcPr>
            <w:tcW w:w="684" w:type="pct"/>
            <w:gridSpan w:val="3"/>
            <w:shd w:val="clear" w:color="auto" w:fill="auto"/>
          </w:tcPr>
          <w:p w14:paraId="6603C126"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3915B814"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1143B8FA"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c>
          <w:tcPr>
            <w:tcW w:w="436" w:type="pct"/>
            <w:gridSpan w:val="2"/>
            <w:shd w:val="clear" w:color="auto" w:fill="auto"/>
          </w:tcPr>
          <w:p w14:paraId="6E1BFCE6"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r>
      <w:tr w:rsidR="006B3F46" w:rsidRPr="0021277B" w14:paraId="6477B481" w14:textId="77777777" w:rsidTr="00907941">
        <w:tc>
          <w:tcPr>
            <w:tcW w:w="5000" w:type="pct"/>
            <w:gridSpan w:val="11"/>
            <w:shd w:val="clear" w:color="auto" w:fill="auto"/>
          </w:tcPr>
          <w:p w14:paraId="266AAE92"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58EF03F5" w14:textId="2057EFD1" w:rsidR="006B3F46" w:rsidRPr="0021277B" w:rsidRDefault="006B3F46" w:rsidP="002E4B39">
            <w:pPr>
              <w:suppressLineNumbers/>
              <w:spacing w:after="120"/>
              <w:jc w:val="both"/>
              <w:rPr>
                <w:rFonts w:eastAsia="MS Mincho"/>
                <w:b/>
                <w:bCs/>
                <w:sz w:val="22"/>
                <w:szCs w:val="22"/>
                <w:lang w:val="en-US"/>
              </w:rPr>
            </w:pPr>
            <w:r w:rsidRPr="0021277B">
              <w:rPr>
                <w:sz w:val="22"/>
                <w:szCs w:val="22"/>
                <w:lang w:eastAsia="en-GB"/>
              </w:rPr>
              <w:t xml:space="preserve">The Tropic Seamount hosts </w:t>
            </w:r>
            <w:r>
              <w:rPr>
                <w:sz w:val="22"/>
                <w:szCs w:val="22"/>
                <w:lang w:eastAsia="en-GB"/>
              </w:rPr>
              <w:t>many</w:t>
            </w:r>
            <w:r w:rsidRPr="0021277B">
              <w:rPr>
                <w:sz w:val="22"/>
                <w:szCs w:val="22"/>
                <w:lang w:eastAsia="en-GB"/>
              </w:rPr>
              <w:t xml:space="preserve"> vulnerable species, including extensive and dense monospecific sponge grounds of </w:t>
            </w:r>
            <w:r w:rsidRPr="0021277B">
              <w:rPr>
                <w:i/>
                <w:iCs/>
                <w:sz w:val="22"/>
                <w:szCs w:val="22"/>
                <w:lang w:eastAsia="en-GB"/>
              </w:rPr>
              <w:t>Poliopogon amadou</w:t>
            </w:r>
            <w:r w:rsidRPr="0021277B">
              <w:rPr>
                <w:sz w:val="22"/>
                <w:szCs w:val="22"/>
                <w:lang w:eastAsia="en-GB"/>
              </w:rPr>
              <w:t xml:space="preserve"> of different body sizes (from approximately 5 cm up to 55 cm), large octocoral gardens and reef-building corals (</w:t>
            </w:r>
            <w:r w:rsidRPr="0021277B">
              <w:rPr>
                <w:rFonts w:eastAsia="Calibri"/>
                <w:bCs/>
                <w:sz w:val="22"/>
                <w:szCs w:val="22"/>
              </w:rPr>
              <w:t xml:space="preserve">Ramiro-Sánchez </w:t>
            </w:r>
            <w:r w:rsidRPr="0006066A">
              <w:rPr>
                <w:rFonts w:eastAsia="Calibri"/>
                <w:bCs/>
                <w:i/>
                <w:sz w:val="22"/>
                <w:szCs w:val="22"/>
              </w:rPr>
              <w:t>et al</w:t>
            </w:r>
            <w:r w:rsidRPr="0021277B">
              <w:rPr>
                <w:rFonts w:eastAsia="Calibri"/>
                <w:bCs/>
                <w:sz w:val="22"/>
                <w:szCs w:val="22"/>
              </w:rPr>
              <w:t>. 2019)</w:t>
            </w:r>
            <w:r w:rsidRPr="0021277B">
              <w:rPr>
                <w:sz w:val="22"/>
                <w:szCs w:val="22"/>
                <w:lang w:eastAsia="en-GB"/>
              </w:rPr>
              <w:t>. The biomass this seamount supports is probably explained by the phytoplankton-enriched waters from the Sahara</w:t>
            </w:r>
            <w:r>
              <w:rPr>
                <w:sz w:val="22"/>
                <w:szCs w:val="22"/>
                <w:lang w:eastAsia="en-GB"/>
              </w:rPr>
              <w:t>-</w:t>
            </w:r>
            <w:r w:rsidRPr="0021277B">
              <w:rPr>
                <w:sz w:val="22"/>
                <w:szCs w:val="22"/>
                <w:lang w:eastAsia="en-GB"/>
              </w:rPr>
              <w:t>upwelling events that can extend offshore</w:t>
            </w:r>
            <w:r>
              <w:rPr>
                <w:sz w:val="22"/>
                <w:szCs w:val="22"/>
                <w:lang w:eastAsia="en-GB"/>
              </w:rPr>
              <w:t>,</w:t>
            </w:r>
            <w:r w:rsidRPr="0021277B">
              <w:rPr>
                <w:sz w:val="22"/>
                <w:szCs w:val="22"/>
                <w:lang w:eastAsia="en-GB"/>
              </w:rPr>
              <w:t xml:space="preserve"> reaching the Tropic Seamount (Hernández-Guerra </w:t>
            </w:r>
            <w:r w:rsidRPr="0006066A">
              <w:rPr>
                <w:i/>
                <w:sz w:val="22"/>
                <w:szCs w:val="22"/>
                <w:lang w:eastAsia="en-GB"/>
              </w:rPr>
              <w:t>et al</w:t>
            </w:r>
            <w:r w:rsidRPr="0021277B">
              <w:rPr>
                <w:sz w:val="22"/>
                <w:szCs w:val="22"/>
                <w:lang w:eastAsia="en-GB"/>
              </w:rPr>
              <w:t xml:space="preserve">., 2005). These waters are fed by the iron-rich dust coming from the Sahara Desert, making the NW waters off Morocco a very productive oceanographic area (Henderiks, 2001). The existence of a weak Taylor Cap on the seamount summit (Cooper and Spearman, 2017) may be affecting the distribution of particulate organic carbon, keeping organic matter suspended and circulated within certain depth ranges (Clark </w:t>
            </w:r>
            <w:r w:rsidRPr="0006066A">
              <w:rPr>
                <w:i/>
                <w:sz w:val="22"/>
                <w:szCs w:val="22"/>
                <w:lang w:eastAsia="en-GB"/>
              </w:rPr>
              <w:t>et al</w:t>
            </w:r>
            <w:r w:rsidRPr="0021277B">
              <w:rPr>
                <w:sz w:val="22"/>
                <w:szCs w:val="22"/>
                <w:lang w:eastAsia="en-GB"/>
              </w:rPr>
              <w:t xml:space="preserve">., 2010) and supporting the extraordinary secondary production, thus justifying a medium ranking of this </w:t>
            </w:r>
            <w:r w:rsidRPr="002E4B39">
              <w:rPr>
                <w:rFonts w:eastAsia="MS Mincho"/>
                <w:sz w:val="22"/>
                <w:szCs w:val="22"/>
                <w:lang w:val="en-US"/>
              </w:rPr>
              <w:t>criterion</w:t>
            </w:r>
            <w:r w:rsidRPr="0021277B">
              <w:rPr>
                <w:sz w:val="22"/>
                <w:szCs w:val="22"/>
                <w:lang w:eastAsia="en-GB"/>
              </w:rPr>
              <w:t xml:space="preserve">. </w:t>
            </w:r>
          </w:p>
        </w:tc>
      </w:tr>
      <w:tr w:rsidR="006B3F46" w:rsidRPr="0021277B" w14:paraId="15E5C248" w14:textId="77777777" w:rsidTr="00907941">
        <w:tc>
          <w:tcPr>
            <w:tcW w:w="779" w:type="pct"/>
            <w:shd w:val="clear" w:color="auto" w:fill="auto"/>
          </w:tcPr>
          <w:p w14:paraId="5F54A548"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Biological diversity</w:t>
            </w:r>
          </w:p>
        </w:tc>
        <w:tc>
          <w:tcPr>
            <w:tcW w:w="2280" w:type="pct"/>
            <w:shd w:val="clear" w:color="auto" w:fill="auto"/>
          </w:tcPr>
          <w:p w14:paraId="4D55B4FD"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6C0D3516"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0" w:type="pct"/>
            <w:gridSpan w:val="2"/>
            <w:shd w:val="clear" w:color="auto" w:fill="auto"/>
          </w:tcPr>
          <w:p w14:paraId="51BA6B67"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11" w:type="pct"/>
            <w:gridSpan w:val="2"/>
            <w:shd w:val="clear" w:color="auto" w:fill="auto"/>
          </w:tcPr>
          <w:p w14:paraId="77B72329" w14:textId="77777777" w:rsidR="006B3F46" w:rsidRPr="0021277B" w:rsidRDefault="006B3F46" w:rsidP="00907941">
            <w:pPr>
              <w:widowControl w:val="0"/>
              <w:autoSpaceDE w:val="0"/>
              <w:autoSpaceDN w:val="0"/>
              <w:adjustRightInd w:val="0"/>
              <w:jc w:val="center"/>
              <w:rPr>
                <w:rFonts w:eastAsia="MS Mincho"/>
                <w:bCs/>
                <w:sz w:val="22"/>
                <w:szCs w:val="22"/>
                <w:lang w:val="en-US"/>
              </w:rPr>
            </w:pPr>
          </w:p>
        </w:tc>
        <w:tc>
          <w:tcPr>
            <w:tcW w:w="436" w:type="pct"/>
            <w:gridSpan w:val="2"/>
            <w:shd w:val="clear" w:color="auto" w:fill="auto"/>
          </w:tcPr>
          <w:p w14:paraId="47CCC671" w14:textId="77777777" w:rsidR="006B3F46" w:rsidRPr="0021277B" w:rsidRDefault="006B3F46" w:rsidP="00907941">
            <w:pPr>
              <w:widowControl w:val="0"/>
              <w:autoSpaceDE w:val="0"/>
              <w:autoSpaceDN w:val="0"/>
              <w:adjustRightInd w:val="0"/>
              <w:jc w:val="center"/>
              <w:rPr>
                <w:rFonts w:eastAsia="MS Mincho"/>
                <w:bCs/>
                <w:sz w:val="22"/>
                <w:szCs w:val="22"/>
                <w:lang w:val="en-US"/>
              </w:rPr>
            </w:pPr>
            <w:r w:rsidRPr="0021277B">
              <w:rPr>
                <w:rFonts w:eastAsia="MS Mincho"/>
                <w:bCs/>
                <w:sz w:val="22"/>
                <w:szCs w:val="22"/>
                <w:lang w:val="en-US"/>
              </w:rPr>
              <w:t>X</w:t>
            </w:r>
          </w:p>
        </w:tc>
      </w:tr>
      <w:tr w:rsidR="006B3F46" w:rsidRPr="0021277B" w14:paraId="0B743AEE" w14:textId="77777777" w:rsidTr="00907941">
        <w:tc>
          <w:tcPr>
            <w:tcW w:w="5000" w:type="pct"/>
            <w:gridSpan w:val="11"/>
            <w:shd w:val="clear" w:color="auto" w:fill="auto"/>
          </w:tcPr>
          <w:p w14:paraId="2A5B06D8"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 xml:space="preserve">Explanation for ranking </w:t>
            </w:r>
          </w:p>
          <w:p w14:paraId="1DC78CE0" w14:textId="6897F399" w:rsidR="006B3F46" w:rsidRPr="0021277B" w:rsidRDefault="006B3F46" w:rsidP="002E4B39">
            <w:pPr>
              <w:suppressLineNumbers/>
              <w:spacing w:after="120"/>
              <w:jc w:val="both"/>
              <w:rPr>
                <w:rFonts w:eastAsia="MS Mincho"/>
                <w:b/>
                <w:bCs/>
                <w:sz w:val="22"/>
                <w:szCs w:val="22"/>
                <w:lang w:val="en-US"/>
              </w:rPr>
            </w:pPr>
            <w:r w:rsidRPr="0021277B">
              <w:rPr>
                <w:sz w:val="22"/>
                <w:szCs w:val="22"/>
                <w:lang w:eastAsia="en-GB"/>
              </w:rPr>
              <w:t>Video analysis revealed the existence of a diverse set of VME indicator taxa throughout the different depth levels of the seamount (</w:t>
            </w:r>
            <w:r w:rsidRPr="0021277B">
              <w:rPr>
                <w:rFonts w:eastAsia="Calibri"/>
                <w:bCs/>
                <w:sz w:val="22"/>
                <w:szCs w:val="22"/>
              </w:rPr>
              <w:t xml:space="preserve">Ramiro-Sánchez </w:t>
            </w:r>
            <w:r w:rsidRPr="0006066A">
              <w:rPr>
                <w:rFonts w:eastAsia="Calibri"/>
                <w:bCs/>
                <w:i/>
                <w:sz w:val="22"/>
                <w:szCs w:val="22"/>
              </w:rPr>
              <w:t>et al</w:t>
            </w:r>
            <w:r w:rsidRPr="0021277B">
              <w:rPr>
                <w:rFonts w:eastAsia="Calibri"/>
                <w:bCs/>
                <w:sz w:val="22"/>
                <w:szCs w:val="22"/>
              </w:rPr>
              <w:t>. 2019)</w:t>
            </w:r>
            <w:r w:rsidRPr="0021277B">
              <w:rPr>
                <w:sz w:val="22"/>
                <w:szCs w:val="22"/>
                <w:lang w:eastAsia="en-GB"/>
              </w:rPr>
              <w:t xml:space="preserve">. Coral debris was observed in still images mainly on the summit dives but also on some of the ridges to a depth of 1,800 m. Fifteen cold-water coral species were observed, including one scleractinian, </w:t>
            </w:r>
            <w:r w:rsidRPr="00207ED5">
              <w:rPr>
                <w:sz w:val="22"/>
                <w:szCs w:val="22"/>
                <w:lang w:eastAsia="en-GB"/>
              </w:rPr>
              <w:t>12</w:t>
            </w:r>
            <w:r w:rsidRPr="0021277B">
              <w:rPr>
                <w:sz w:val="22"/>
                <w:szCs w:val="22"/>
                <w:lang w:eastAsia="en-GB"/>
              </w:rPr>
              <w:t xml:space="preserve"> octocorals and two black corals (</w:t>
            </w:r>
            <w:r w:rsidRPr="0021277B">
              <w:rPr>
                <w:bCs/>
                <w:sz w:val="22"/>
                <w:szCs w:val="22"/>
                <w:lang w:eastAsia="en-GB"/>
              </w:rPr>
              <w:t>Table 1</w:t>
            </w:r>
            <w:r w:rsidRPr="0021277B">
              <w:rPr>
                <w:sz w:val="22"/>
                <w:szCs w:val="22"/>
                <w:lang w:eastAsia="en-GB"/>
              </w:rPr>
              <w:t xml:space="preserve">). Glass, massive and encrusting sponges, xenophyophores and crinoid fields were also observed. One of the most distinctive observations was the occurrence of dense aggregations of the hexactinellid sponge </w:t>
            </w:r>
            <w:r w:rsidRPr="0021277B">
              <w:rPr>
                <w:i/>
                <w:sz w:val="22"/>
                <w:szCs w:val="22"/>
                <w:lang w:eastAsia="en-GB"/>
              </w:rPr>
              <w:t>Poliopogon amadou</w:t>
            </w:r>
            <w:r w:rsidRPr="0021277B">
              <w:rPr>
                <w:sz w:val="22"/>
                <w:szCs w:val="22"/>
                <w:lang w:eastAsia="en-GB"/>
              </w:rPr>
              <w:t xml:space="preserve"> </w:t>
            </w:r>
            <w:r w:rsidRPr="00207ED5">
              <w:rPr>
                <w:sz w:val="22"/>
                <w:szCs w:val="22"/>
                <w:lang w:eastAsia="en-GB"/>
              </w:rPr>
              <w:t>(</w:t>
            </w:r>
            <w:r w:rsidRPr="0021277B">
              <w:rPr>
                <w:sz w:val="22"/>
                <w:szCs w:val="22"/>
                <w:lang w:eastAsia="en-GB"/>
              </w:rPr>
              <w:t>Thomson 1877), which formed extensive areas of sponge grounds in the deeper flanks of the seamount. Ensemble modelling suggested high probability of presence across the entire seamount at a marked bathymetric between 2,000-3,500 m water depth, but with particular</w:t>
            </w:r>
            <w:r w:rsidRPr="00207ED5">
              <w:rPr>
                <w:sz w:val="22"/>
                <w:szCs w:val="22"/>
                <w:lang w:eastAsia="en-GB"/>
              </w:rPr>
              <w:t>ly</w:t>
            </w:r>
            <w:r w:rsidRPr="0021277B">
              <w:rPr>
                <w:sz w:val="22"/>
                <w:szCs w:val="22"/>
                <w:lang w:eastAsia="en-GB"/>
              </w:rPr>
              <w:t xml:space="preserve"> higher probability of occurrence in the eastern and western spurs of the seamount (Figure 3).</w:t>
            </w:r>
          </w:p>
        </w:tc>
      </w:tr>
      <w:tr w:rsidR="006B3F46" w:rsidRPr="0021277B" w14:paraId="0C344624" w14:textId="77777777" w:rsidTr="00907941">
        <w:tc>
          <w:tcPr>
            <w:tcW w:w="783" w:type="pct"/>
            <w:shd w:val="clear" w:color="auto" w:fill="auto"/>
          </w:tcPr>
          <w:p w14:paraId="05057B5E" w14:textId="77777777" w:rsidR="006B3F46" w:rsidRPr="0021277B" w:rsidRDefault="006B3F46" w:rsidP="00907941">
            <w:pPr>
              <w:widowControl w:val="0"/>
              <w:autoSpaceDE w:val="0"/>
              <w:autoSpaceDN w:val="0"/>
              <w:adjustRightInd w:val="0"/>
              <w:jc w:val="both"/>
              <w:rPr>
                <w:rFonts w:eastAsia="MS Mincho"/>
                <w:b/>
                <w:sz w:val="22"/>
                <w:szCs w:val="22"/>
                <w:lang w:val="en-US"/>
              </w:rPr>
            </w:pPr>
            <w:r w:rsidRPr="0021277B">
              <w:rPr>
                <w:rFonts w:eastAsia="MS Mincho"/>
                <w:b/>
                <w:sz w:val="22"/>
                <w:szCs w:val="22"/>
                <w:lang w:val="en-US"/>
              </w:rPr>
              <w:t>Naturalness</w:t>
            </w:r>
          </w:p>
        </w:tc>
        <w:tc>
          <w:tcPr>
            <w:tcW w:w="2295" w:type="pct"/>
            <w:gridSpan w:val="2"/>
            <w:shd w:val="clear" w:color="auto" w:fill="auto"/>
          </w:tcPr>
          <w:p w14:paraId="3E5A7823" w14:textId="77777777" w:rsidR="006B3F46" w:rsidRPr="0021277B" w:rsidRDefault="006B3F46" w:rsidP="00907941">
            <w:pPr>
              <w:widowControl w:val="0"/>
              <w:autoSpaceDE w:val="0"/>
              <w:autoSpaceDN w:val="0"/>
              <w:adjustRightInd w:val="0"/>
              <w:rPr>
                <w:rFonts w:eastAsia="MS Mincho"/>
                <w:sz w:val="22"/>
                <w:szCs w:val="22"/>
                <w:lang w:val="en-US"/>
              </w:rPr>
            </w:pPr>
            <w:r w:rsidRPr="0021277B">
              <w:rPr>
                <w:rFonts w:eastAsia="MS Mincho"/>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2FBFB4A4" w14:textId="77777777" w:rsidR="006B3F46" w:rsidRPr="0021277B" w:rsidRDefault="006B3F46" w:rsidP="00907941">
            <w:pPr>
              <w:widowControl w:val="0"/>
              <w:autoSpaceDE w:val="0"/>
              <w:autoSpaceDN w:val="0"/>
              <w:adjustRightInd w:val="0"/>
              <w:jc w:val="center"/>
              <w:rPr>
                <w:rFonts w:eastAsia="MS Mincho"/>
                <w:sz w:val="22"/>
                <w:szCs w:val="22"/>
                <w:lang w:val="en-US"/>
              </w:rPr>
            </w:pPr>
          </w:p>
        </w:tc>
        <w:tc>
          <w:tcPr>
            <w:tcW w:w="453" w:type="pct"/>
            <w:gridSpan w:val="2"/>
            <w:shd w:val="clear" w:color="auto" w:fill="auto"/>
          </w:tcPr>
          <w:p w14:paraId="6881B22B" w14:textId="77777777" w:rsidR="006B3F46" w:rsidRPr="0021277B" w:rsidRDefault="006B3F46" w:rsidP="00907941">
            <w:pPr>
              <w:widowControl w:val="0"/>
              <w:autoSpaceDE w:val="0"/>
              <w:autoSpaceDN w:val="0"/>
              <w:adjustRightInd w:val="0"/>
              <w:jc w:val="center"/>
              <w:rPr>
                <w:rFonts w:eastAsia="MS Mincho"/>
                <w:sz w:val="22"/>
                <w:szCs w:val="22"/>
                <w:lang w:val="en-US"/>
              </w:rPr>
            </w:pPr>
          </w:p>
        </w:tc>
        <w:tc>
          <w:tcPr>
            <w:tcW w:w="400" w:type="pct"/>
            <w:gridSpan w:val="2"/>
            <w:shd w:val="clear" w:color="auto" w:fill="auto"/>
          </w:tcPr>
          <w:p w14:paraId="529D1D79" w14:textId="77777777" w:rsidR="006B3F46" w:rsidRPr="0021277B" w:rsidRDefault="006B3F46" w:rsidP="00907941">
            <w:pPr>
              <w:widowControl w:val="0"/>
              <w:autoSpaceDE w:val="0"/>
              <w:autoSpaceDN w:val="0"/>
              <w:adjustRightInd w:val="0"/>
              <w:jc w:val="center"/>
              <w:rPr>
                <w:rFonts w:eastAsia="MS Mincho"/>
                <w:sz w:val="22"/>
                <w:szCs w:val="22"/>
                <w:lang w:val="en-US"/>
              </w:rPr>
            </w:pPr>
          </w:p>
        </w:tc>
        <w:tc>
          <w:tcPr>
            <w:tcW w:w="385" w:type="pct"/>
            <w:shd w:val="clear" w:color="auto" w:fill="auto"/>
          </w:tcPr>
          <w:p w14:paraId="70807C7A" w14:textId="77777777" w:rsidR="006B3F46" w:rsidRPr="0021277B" w:rsidRDefault="006B3F46" w:rsidP="00907941">
            <w:pPr>
              <w:widowControl w:val="0"/>
              <w:autoSpaceDE w:val="0"/>
              <w:autoSpaceDN w:val="0"/>
              <w:adjustRightInd w:val="0"/>
              <w:jc w:val="center"/>
              <w:rPr>
                <w:rFonts w:eastAsia="MS Mincho"/>
                <w:sz w:val="22"/>
                <w:szCs w:val="22"/>
                <w:lang w:val="en-US"/>
              </w:rPr>
            </w:pPr>
            <w:r w:rsidRPr="0021277B">
              <w:rPr>
                <w:rFonts w:eastAsia="MS Mincho"/>
                <w:sz w:val="22"/>
                <w:szCs w:val="22"/>
                <w:lang w:val="en-US"/>
              </w:rPr>
              <w:t>X</w:t>
            </w:r>
          </w:p>
        </w:tc>
      </w:tr>
      <w:tr w:rsidR="006B3F46" w:rsidRPr="0021277B" w14:paraId="137A0374" w14:textId="77777777" w:rsidTr="00907941">
        <w:tc>
          <w:tcPr>
            <w:tcW w:w="5000" w:type="pct"/>
            <w:gridSpan w:val="11"/>
            <w:shd w:val="clear" w:color="auto" w:fill="auto"/>
          </w:tcPr>
          <w:p w14:paraId="4C738342" w14:textId="77777777" w:rsidR="006B3F46" w:rsidRPr="0021277B" w:rsidRDefault="006B3F46" w:rsidP="00907941">
            <w:pPr>
              <w:widowControl w:val="0"/>
              <w:autoSpaceDE w:val="0"/>
              <w:autoSpaceDN w:val="0"/>
              <w:adjustRightInd w:val="0"/>
              <w:rPr>
                <w:rFonts w:eastAsia="MS Mincho"/>
                <w:i/>
                <w:sz w:val="22"/>
                <w:szCs w:val="22"/>
                <w:lang w:val="en-US"/>
              </w:rPr>
            </w:pPr>
            <w:r w:rsidRPr="0021277B">
              <w:rPr>
                <w:rFonts w:eastAsia="MS Mincho"/>
                <w:i/>
                <w:sz w:val="22"/>
                <w:szCs w:val="22"/>
                <w:lang w:val="en-US"/>
              </w:rPr>
              <w:t>Explanation for ranking</w:t>
            </w:r>
          </w:p>
          <w:p w14:paraId="5CB7D52D" w14:textId="28692A25" w:rsidR="006B3F46" w:rsidRPr="0021277B" w:rsidRDefault="006B3F46" w:rsidP="002E4B39">
            <w:pPr>
              <w:suppressLineNumbers/>
              <w:spacing w:after="120"/>
              <w:jc w:val="both"/>
              <w:rPr>
                <w:rFonts w:eastAsia="MS Mincho"/>
                <w:sz w:val="22"/>
                <w:szCs w:val="22"/>
                <w:lang w:val="en-US"/>
              </w:rPr>
            </w:pPr>
            <w:r w:rsidRPr="0021277B">
              <w:rPr>
                <w:sz w:val="22"/>
                <w:szCs w:val="22"/>
                <w:lang w:eastAsia="en-GB"/>
              </w:rPr>
              <w:t>The depths of most VME indicator taxa on Tropic Seamount make these seamount habitats de facto refuges from the impacts of bottom fisheries, as supported by a lack of evidence for any contact with bottom-fishing gear from the ROV images and from fishing records across the wider CECAF area (FAO Fiaf/</w:t>
            </w:r>
            <w:r w:rsidRPr="002E4B39">
              <w:rPr>
                <w:rFonts w:eastAsia="MS Mincho"/>
                <w:sz w:val="22"/>
                <w:szCs w:val="22"/>
                <w:lang w:val="en-US"/>
              </w:rPr>
              <w:t>R1184</w:t>
            </w:r>
            <w:r w:rsidRPr="0021277B">
              <w:rPr>
                <w:sz w:val="22"/>
                <w:szCs w:val="22"/>
                <w:lang w:eastAsia="en-GB"/>
              </w:rPr>
              <w:t>, 2016).</w:t>
            </w:r>
          </w:p>
        </w:tc>
      </w:tr>
    </w:tbl>
    <w:p w14:paraId="0C104E96" w14:textId="77777777" w:rsidR="006B3F46" w:rsidRPr="009978E3" w:rsidRDefault="006B3F46" w:rsidP="00907941">
      <w:pPr>
        <w:rPr>
          <w:rFonts w:eastAsia="MS Mincho"/>
          <w:b/>
          <w:sz w:val="22"/>
          <w:szCs w:val="22"/>
          <w:lang w:val="en-US"/>
        </w:rPr>
      </w:pPr>
    </w:p>
    <w:p w14:paraId="68A38551" w14:textId="77777777" w:rsidR="006B3F46" w:rsidRPr="009978E3" w:rsidRDefault="006B3F46" w:rsidP="00907941">
      <w:pPr>
        <w:rPr>
          <w:rFonts w:eastAsia="MS Mincho"/>
          <w:b/>
          <w:sz w:val="22"/>
          <w:szCs w:val="22"/>
          <w:lang w:val="fr-CA"/>
        </w:rPr>
      </w:pPr>
      <w:r w:rsidRPr="009978E3">
        <w:rPr>
          <w:rFonts w:eastAsia="MS Mincho"/>
          <w:b/>
          <w:sz w:val="22"/>
          <w:szCs w:val="22"/>
          <w:lang w:val="fr-CA"/>
        </w:rPr>
        <w:t>References</w:t>
      </w:r>
    </w:p>
    <w:p w14:paraId="643E5070" w14:textId="77777777" w:rsidR="006B3F46" w:rsidRPr="009978E3" w:rsidRDefault="006B3F46" w:rsidP="00907941">
      <w:pPr>
        <w:ind w:left="720" w:hanging="720"/>
        <w:jc w:val="both"/>
        <w:rPr>
          <w:rFonts w:eastAsia="Calibri"/>
          <w:sz w:val="22"/>
          <w:szCs w:val="22"/>
        </w:rPr>
      </w:pPr>
      <w:r w:rsidRPr="009978E3">
        <w:rPr>
          <w:rFonts w:eastAsia="Calibri"/>
          <w:sz w:val="22"/>
          <w:szCs w:val="22"/>
          <w:lang w:val="fr-CA"/>
        </w:rPr>
        <w:t xml:space="preserve">Almón, B., Arcos, J. M., Martín, V., Pantoja, J., Consuegra, E., Martín Sosa, P., </w:t>
      </w:r>
      <w:r w:rsidRPr="0006066A">
        <w:rPr>
          <w:rFonts w:eastAsia="Calibri"/>
          <w:i/>
          <w:sz w:val="22"/>
          <w:szCs w:val="22"/>
          <w:lang w:val="fr-CA"/>
        </w:rPr>
        <w:t>et al</w:t>
      </w:r>
      <w:r w:rsidRPr="009978E3">
        <w:rPr>
          <w:rFonts w:eastAsia="Calibri"/>
          <w:sz w:val="22"/>
          <w:szCs w:val="22"/>
          <w:lang w:val="fr-CA"/>
        </w:rPr>
        <w:t xml:space="preserve">. (2014). Banco de la Concepción. </w:t>
      </w:r>
      <w:r w:rsidRPr="009978E3">
        <w:rPr>
          <w:rFonts w:eastAsia="Calibri"/>
          <w:sz w:val="22"/>
          <w:szCs w:val="22"/>
        </w:rPr>
        <w:t xml:space="preserve">Áreas de estudio del proyecto LIFE+ INDEMARES. Available at: www.indemares.es </w:t>
      </w:r>
    </w:p>
    <w:p w14:paraId="45A0B4A0" w14:textId="77777777" w:rsidR="006B3F46" w:rsidRPr="00F66EF7" w:rsidRDefault="006B3F46" w:rsidP="00907941">
      <w:pPr>
        <w:ind w:left="720" w:hanging="720"/>
        <w:jc w:val="both"/>
        <w:rPr>
          <w:rFonts w:eastAsia="Calibri"/>
          <w:sz w:val="22"/>
          <w:szCs w:val="22"/>
        </w:rPr>
      </w:pPr>
      <w:r w:rsidRPr="009978E3">
        <w:rPr>
          <w:rFonts w:eastAsia="Calibri"/>
          <w:sz w:val="22"/>
          <w:szCs w:val="22"/>
        </w:rPr>
        <w:t xml:space="preserve">Álvarez, H., Perry, A. L., Blanco, J., and Aguilar, R. (2016). “Expedición 2014 ‘Atlantic Seamounts’. El Hierro y montañas submarinas”. Available at: </w:t>
      </w:r>
      <w:hyperlink r:id="rId231" w:history="1">
        <w:r w:rsidRPr="009978E3">
          <w:rPr>
            <w:rStyle w:val="Hyperlink"/>
            <w:rFonts w:eastAsia="Calibri"/>
            <w:sz w:val="22"/>
            <w:szCs w:val="22"/>
          </w:rPr>
          <w:t>https://eu.oceana.org/sites/default/files/oceana_el_hierro_y_montanas_submarinas_expedicion_2014.pdf</w:t>
        </w:r>
      </w:hyperlink>
    </w:p>
    <w:p w14:paraId="413E3318"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Bashmachnikov, I., Nascimento, Â., Neves, F., Menezes, T., and Koldunov, N. V (2015). Distribution of intermediate water masses in the subtropical northeast Atlantic. </w:t>
      </w:r>
      <w:r w:rsidRPr="009978E3">
        <w:rPr>
          <w:rFonts w:eastAsia="Calibri"/>
          <w:i/>
          <w:iCs/>
          <w:sz w:val="22"/>
          <w:szCs w:val="22"/>
        </w:rPr>
        <w:t xml:space="preserve">Ocean Sci </w:t>
      </w:r>
      <w:r w:rsidRPr="009978E3">
        <w:rPr>
          <w:rFonts w:eastAsia="Calibri"/>
          <w:sz w:val="22"/>
          <w:szCs w:val="22"/>
        </w:rPr>
        <w:t>11, 803–827. doi:10.5194/os-11-803-2015.</w:t>
      </w:r>
    </w:p>
    <w:p w14:paraId="0A3AF8D0"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Brito, A., and Ocaña, O. (2004). </w:t>
      </w:r>
      <w:r w:rsidRPr="009978E3">
        <w:rPr>
          <w:rFonts w:eastAsia="Calibri"/>
          <w:i/>
          <w:iCs/>
          <w:sz w:val="22"/>
          <w:szCs w:val="22"/>
        </w:rPr>
        <w:t>Corales de las Islas Canarias</w:t>
      </w:r>
      <w:r w:rsidRPr="009978E3">
        <w:rPr>
          <w:rFonts w:eastAsia="Calibri"/>
          <w:sz w:val="22"/>
          <w:szCs w:val="22"/>
        </w:rPr>
        <w:t xml:space="preserve">. Francisco Lemus Editor. La Laguna. Available at: </w:t>
      </w:r>
      <w:hyperlink r:id="rId232" w:history="1">
        <w:r w:rsidRPr="009978E3">
          <w:rPr>
            <w:rStyle w:val="Hyperlink"/>
            <w:rFonts w:eastAsia="Calibri"/>
            <w:sz w:val="22"/>
            <w:szCs w:val="22"/>
          </w:rPr>
          <w:t>https://www.casadellibro.com/libro-corales-de-las-islas-canarias/9788487931673/1011260</w:t>
        </w:r>
      </w:hyperlink>
      <w:r w:rsidRPr="00F66EF7">
        <w:rPr>
          <w:rFonts w:eastAsia="Calibri"/>
          <w:sz w:val="22"/>
          <w:szCs w:val="22"/>
        </w:rPr>
        <w:t>.</w:t>
      </w:r>
    </w:p>
    <w:p w14:paraId="1367F5EB" w14:textId="77777777" w:rsidR="006B3F46" w:rsidRPr="009978E3" w:rsidRDefault="006B3F46" w:rsidP="00907941">
      <w:pPr>
        <w:ind w:left="720" w:hanging="720"/>
        <w:jc w:val="both"/>
        <w:rPr>
          <w:rFonts w:eastAsia="Calibri"/>
          <w:sz w:val="22"/>
          <w:szCs w:val="22"/>
          <w:lang w:val="fr-CA"/>
        </w:rPr>
      </w:pPr>
      <w:r w:rsidRPr="009978E3">
        <w:rPr>
          <w:rFonts w:eastAsia="Calibri"/>
          <w:sz w:val="22"/>
          <w:szCs w:val="22"/>
        </w:rPr>
        <w:t xml:space="preserve">Bullimore, R. D., Foster, N. L., and Howell, K. L. (2013). Coral-characterized benthic assemblages of the deep Northeast Atlantic: defining “Coral Gardens” to support future habitat mapping efforts. </w:t>
      </w:r>
      <w:r w:rsidRPr="009978E3">
        <w:rPr>
          <w:rFonts w:eastAsia="Calibri"/>
          <w:i/>
          <w:iCs/>
          <w:sz w:val="22"/>
          <w:szCs w:val="22"/>
          <w:lang w:val="fr-CA"/>
        </w:rPr>
        <w:t xml:space="preserve">ICES J. Mar. Sci. </w:t>
      </w:r>
      <w:r w:rsidRPr="009978E3">
        <w:rPr>
          <w:rFonts w:eastAsia="Calibri"/>
          <w:sz w:val="22"/>
          <w:szCs w:val="22"/>
          <w:lang w:val="fr-CA"/>
        </w:rPr>
        <w:t>70, 511–522. doi:10.1093/icesjms/fss195.</w:t>
      </w:r>
    </w:p>
    <w:p w14:paraId="1651EE3F" w14:textId="77777777" w:rsidR="006B3F46" w:rsidRPr="009978E3" w:rsidRDefault="006B3F46" w:rsidP="00907941">
      <w:pPr>
        <w:ind w:left="720" w:hanging="720"/>
        <w:jc w:val="both"/>
        <w:rPr>
          <w:rFonts w:eastAsia="Calibri"/>
          <w:sz w:val="22"/>
          <w:szCs w:val="22"/>
        </w:rPr>
      </w:pPr>
      <w:r w:rsidRPr="009978E3">
        <w:rPr>
          <w:rFonts w:eastAsia="Calibri"/>
          <w:sz w:val="22"/>
          <w:szCs w:val="22"/>
          <w:lang w:val="fr-CA"/>
        </w:rPr>
        <w:t xml:space="preserve">Clark, A. H. (1950). </w:t>
      </w:r>
      <w:r w:rsidRPr="009978E3">
        <w:rPr>
          <w:rFonts w:eastAsia="Calibri"/>
          <w:sz w:val="22"/>
          <w:szCs w:val="22"/>
        </w:rPr>
        <w:t xml:space="preserve">A Monograph of the Existing Crinoids. 1(4c). 1–383, 32 plates. Available at: https://repository.si.edu/handle/10088/21346 </w:t>
      </w:r>
    </w:p>
    <w:p w14:paraId="602DB15D" w14:textId="77777777" w:rsidR="006B3F46" w:rsidRPr="00F66EF7" w:rsidRDefault="006B3F46" w:rsidP="00907941">
      <w:pPr>
        <w:ind w:left="720" w:hanging="720"/>
        <w:jc w:val="both"/>
        <w:rPr>
          <w:rFonts w:eastAsia="Calibri"/>
          <w:sz w:val="22"/>
          <w:szCs w:val="22"/>
        </w:rPr>
      </w:pPr>
      <w:r w:rsidRPr="009978E3">
        <w:rPr>
          <w:rFonts w:eastAsia="Calibri"/>
          <w:sz w:val="22"/>
          <w:szCs w:val="22"/>
        </w:rPr>
        <w:t xml:space="preserve">Clark, A. M. (1980). Crinoidea collected by the Meteor and Discovery in the NE Atlantic. Available at: </w:t>
      </w:r>
      <w:hyperlink r:id="rId233" w:history="1">
        <w:r w:rsidRPr="009978E3">
          <w:rPr>
            <w:rStyle w:val="Hyperlink"/>
            <w:rFonts w:eastAsia="Calibri"/>
            <w:sz w:val="22"/>
            <w:szCs w:val="22"/>
          </w:rPr>
          <w:t>http://biostor.org/reference/110</w:t>
        </w:r>
      </w:hyperlink>
    </w:p>
    <w:p w14:paraId="53FA2BC1"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Clark, M. R., Rowden, A. A., Schlacher, T., Williams, A., Consalvey, M., Stocks, K. I., </w:t>
      </w:r>
      <w:r w:rsidRPr="0006066A">
        <w:rPr>
          <w:rFonts w:eastAsia="Calibri"/>
          <w:i/>
          <w:sz w:val="22"/>
          <w:szCs w:val="22"/>
        </w:rPr>
        <w:t>et al</w:t>
      </w:r>
      <w:r w:rsidRPr="009978E3">
        <w:rPr>
          <w:rFonts w:eastAsia="Calibri"/>
          <w:sz w:val="22"/>
          <w:szCs w:val="22"/>
        </w:rPr>
        <w:t xml:space="preserve">. (2010). The Ecology of Seamounts: Structure, Function, and Human Impacts. </w:t>
      </w:r>
      <w:r w:rsidRPr="009978E3">
        <w:rPr>
          <w:rFonts w:eastAsia="Calibri"/>
          <w:i/>
          <w:iCs/>
          <w:sz w:val="22"/>
          <w:szCs w:val="22"/>
        </w:rPr>
        <w:t xml:space="preserve">Ann. Rev. Mar. Sci. </w:t>
      </w:r>
      <w:r w:rsidRPr="009978E3">
        <w:rPr>
          <w:rFonts w:eastAsia="Calibri"/>
          <w:sz w:val="22"/>
          <w:szCs w:val="22"/>
        </w:rPr>
        <w:t>2, 253–278. doi:10.1146/annurev-marine-120308-081109.</w:t>
      </w:r>
    </w:p>
    <w:p w14:paraId="3F6D6554"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Clark, M. R., Schlacher, T. A., Rowden, A. A., Stocks, K. I., and Consalvey, M. (2012). Science Priorities for Seamounts: Research Links to Conservation and Management. </w:t>
      </w:r>
      <w:r w:rsidRPr="009978E3">
        <w:rPr>
          <w:rFonts w:eastAsia="Calibri"/>
          <w:i/>
          <w:iCs/>
          <w:sz w:val="22"/>
          <w:szCs w:val="22"/>
        </w:rPr>
        <w:t xml:space="preserve">PLoS One </w:t>
      </w:r>
      <w:r w:rsidRPr="009978E3">
        <w:rPr>
          <w:rFonts w:eastAsia="Calibri"/>
          <w:sz w:val="22"/>
          <w:szCs w:val="22"/>
        </w:rPr>
        <w:t>7, e29232. doi:10.1371/journal.pone.0029232.</w:t>
      </w:r>
    </w:p>
    <w:p w14:paraId="62D515AA"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Cooper, A. J., and Spearman, J. (2017). Validation of a TELEMAC - 3D model of a seamount. in </w:t>
      </w:r>
      <w:r w:rsidRPr="009978E3">
        <w:rPr>
          <w:rFonts w:eastAsia="Calibri"/>
          <w:i/>
          <w:iCs/>
          <w:sz w:val="22"/>
          <w:szCs w:val="22"/>
        </w:rPr>
        <w:t xml:space="preserve">Proceedings of the TELEMAC-MASCARET user Conference, 17-20 </w:t>
      </w:r>
      <w:r w:rsidRPr="009978E3">
        <w:rPr>
          <w:rFonts w:eastAsia="Calibri"/>
          <w:sz w:val="22"/>
          <w:szCs w:val="22"/>
        </w:rPr>
        <w:t xml:space="preserve">854 </w:t>
      </w:r>
      <w:r w:rsidRPr="009978E3">
        <w:rPr>
          <w:rFonts w:eastAsia="Calibri"/>
          <w:i/>
          <w:iCs/>
          <w:sz w:val="22"/>
          <w:szCs w:val="22"/>
        </w:rPr>
        <w:t xml:space="preserve">October 2017 </w:t>
      </w:r>
      <w:r w:rsidRPr="009978E3">
        <w:rPr>
          <w:rFonts w:eastAsia="Calibri"/>
          <w:sz w:val="22"/>
          <w:szCs w:val="22"/>
        </w:rPr>
        <w:t xml:space="preserve">(Graz University of Technology, Austria, 29-34). Available at: https://henry.baw.de/bitstream/handle/20.500.11970/104505/03_Cooper_2017.pdf?sequence=1&amp;isAllowed=y. </w:t>
      </w:r>
    </w:p>
    <w:p w14:paraId="23AD05E8"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FAO FIAF/R1184 (2016). FAO / CECAF Technical Workshop on Deep-Sea Fisheries and Vulnerable Marine Ecosystems in the Eastern Central Atlantic. </w:t>
      </w:r>
    </w:p>
    <w:p w14:paraId="3FC86561"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Genin, A., Dayton, P. K., Lonsdale, P. F., and Spiess, F. N. (1986). Corals on seamount peaks provide evidence of current acceleration over deep-sea topography. </w:t>
      </w:r>
      <w:r w:rsidRPr="009978E3">
        <w:rPr>
          <w:rFonts w:eastAsia="Calibri"/>
          <w:i/>
          <w:iCs/>
          <w:sz w:val="22"/>
          <w:szCs w:val="22"/>
        </w:rPr>
        <w:t xml:space="preserve">Nature </w:t>
      </w:r>
      <w:r w:rsidRPr="009978E3">
        <w:rPr>
          <w:rFonts w:eastAsia="Calibri"/>
          <w:sz w:val="22"/>
          <w:szCs w:val="22"/>
        </w:rPr>
        <w:t xml:space="preserve">322, 59–61. doi:10.1038/322059a0. </w:t>
      </w:r>
    </w:p>
    <w:p w14:paraId="05E61AC0"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Hansteen, T., Kwasnitschka, T., and Klügel, A. (2014). </w:t>
      </w:r>
      <w:r w:rsidRPr="009978E3">
        <w:rPr>
          <w:rFonts w:eastAsia="Calibri"/>
          <w:i/>
          <w:iCs/>
          <w:sz w:val="22"/>
          <w:szCs w:val="22"/>
        </w:rPr>
        <w:t>Cape Verde Seamounts - Cruise No. M80/3 - December 29, 2009 - February 1, 2010 - Dakar (Senegal) - Las Palmas de</w:t>
      </w:r>
      <w:r w:rsidRPr="009978E3">
        <w:rPr>
          <w:rFonts w:eastAsia="Calibri"/>
          <w:sz w:val="22"/>
          <w:szCs w:val="22"/>
        </w:rPr>
        <w:t xml:space="preserve"> </w:t>
      </w:r>
      <w:r w:rsidRPr="009978E3">
        <w:rPr>
          <w:rFonts w:eastAsia="Calibri"/>
          <w:i/>
          <w:iCs/>
          <w:sz w:val="22"/>
          <w:szCs w:val="22"/>
        </w:rPr>
        <w:t>Gran Canaria (Spain)</w:t>
      </w:r>
      <w:r w:rsidRPr="009978E3">
        <w:rPr>
          <w:rFonts w:eastAsia="Calibri"/>
          <w:sz w:val="22"/>
          <w:szCs w:val="22"/>
        </w:rPr>
        <w:t>. Bremen: DFG-Senatskommission für Ozeanographie. doi:10.2312/cr_m80_3.</w:t>
      </w:r>
    </w:p>
    <w:p w14:paraId="679CE96D"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Henderiks, J. (2001). Coccolith studies in the Canary Basin: Glacial-Interglacial paleoceanography of the Eastern Boundary Current System. Available at: </w:t>
      </w:r>
      <w:hyperlink r:id="rId234" w:history="1">
        <w:r w:rsidRPr="009978E3">
          <w:rPr>
            <w:rStyle w:val="Hyperlink"/>
            <w:rFonts w:eastAsia="Calibri"/>
            <w:sz w:val="22"/>
            <w:szCs w:val="22"/>
          </w:rPr>
          <w:t>http://www.academia.edu/28505222/Coccolith_studies_in_the_Canary_Basin</w:t>
        </w:r>
      </w:hyperlink>
      <w:r w:rsidRPr="00F66EF7">
        <w:rPr>
          <w:rFonts w:eastAsia="Calibri"/>
          <w:sz w:val="22"/>
          <w:szCs w:val="22"/>
        </w:rPr>
        <w:t>.</w:t>
      </w:r>
    </w:p>
    <w:p w14:paraId="09B3E4DA" w14:textId="77777777" w:rsidR="006B3F46" w:rsidRPr="009978E3" w:rsidRDefault="006B3F46" w:rsidP="00907941">
      <w:pPr>
        <w:ind w:left="720" w:hanging="720"/>
        <w:jc w:val="both"/>
        <w:rPr>
          <w:rFonts w:eastAsia="Calibri"/>
          <w:sz w:val="22"/>
          <w:szCs w:val="22"/>
          <w:lang w:val="fr-CA"/>
        </w:rPr>
      </w:pPr>
      <w:r w:rsidRPr="009978E3">
        <w:rPr>
          <w:rFonts w:eastAsia="Calibri"/>
          <w:sz w:val="22"/>
          <w:szCs w:val="22"/>
        </w:rPr>
        <w:t xml:space="preserve">Henry, L. A., Moreno Navas, J., and Roberts, J. M. (2013). Multi-scale interactions between local hydrography, seabed topography, and community assembly on cold-water coral reefs. </w:t>
      </w:r>
      <w:r w:rsidRPr="009978E3">
        <w:rPr>
          <w:rFonts w:eastAsia="Calibri"/>
          <w:i/>
          <w:iCs/>
          <w:sz w:val="22"/>
          <w:szCs w:val="22"/>
          <w:lang w:val="fr-CA"/>
        </w:rPr>
        <w:t xml:space="preserve">Biogeosciences </w:t>
      </w:r>
      <w:r w:rsidRPr="009978E3">
        <w:rPr>
          <w:rFonts w:eastAsia="Calibri"/>
          <w:sz w:val="22"/>
          <w:szCs w:val="22"/>
          <w:lang w:val="fr-CA"/>
        </w:rPr>
        <w:t>10, 2737–2746. doi:10.5194/bg-10-2737-2013.</w:t>
      </w:r>
    </w:p>
    <w:p w14:paraId="555F2209" w14:textId="77777777" w:rsidR="006B3F46" w:rsidRPr="009978E3" w:rsidRDefault="006B3F46" w:rsidP="00907941">
      <w:pPr>
        <w:ind w:left="720" w:hanging="720"/>
        <w:jc w:val="both"/>
        <w:rPr>
          <w:rFonts w:eastAsia="Calibri"/>
          <w:sz w:val="22"/>
          <w:szCs w:val="22"/>
          <w:lang w:val="fr-CA" w:eastAsia="en-GB"/>
        </w:rPr>
      </w:pPr>
      <w:r w:rsidRPr="009978E3">
        <w:rPr>
          <w:rFonts w:eastAsia="Calibri"/>
          <w:sz w:val="22"/>
          <w:szCs w:val="22"/>
          <w:lang w:val="fr-CA"/>
        </w:rPr>
        <w:t xml:space="preserve">Hernández-Guerra, A., López-Laatzen, F., Machín, F., De Armas, D., and Pelegrí, J. L. (2001). </w:t>
      </w:r>
      <w:r w:rsidRPr="009978E3">
        <w:rPr>
          <w:rFonts w:eastAsia="Calibri"/>
          <w:sz w:val="22"/>
          <w:szCs w:val="22"/>
        </w:rPr>
        <w:t xml:space="preserve">Water masses, circulation and transport in the eastern boundary current of the North Atlantic subtropical gyre. </w:t>
      </w:r>
      <w:r w:rsidRPr="009978E3">
        <w:rPr>
          <w:rFonts w:eastAsia="Calibri"/>
          <w:i/>
          <w:iCs/>
          <w:sz w:val="22"/>
          <w:szCs w:val="22"/>
          <w:lang w:val="fr-CA"/>
        </w:rPr>
        <w:t xml:space="preserve">Sci. Mar. </w:t>
      </w:r>
      <w:r w:rsidRPr="009978E3">
        <w:rPr>
          <w:rFonts w:eastAsia="Calibri"/>
          <w:sz w:val="22"/>
          <w:szCs w:val="22"/>
          <w:lang w:val="fr-CA"/>
        </w:rPr>
        <w:t xml:space="preserve">65, 177–186. Available at: http://digital.csic.es/bitstream/10261/5330/1/gyre.pdf. </w:t>
      </w:r>
      <w:r w:rsidRPr="009978E3">
        <w:rPr>
          <w:rFonts w:eastAsia="Calibri"/>
          <w:sz w:val="22"/>
          <w:szCs w:val="22"/>
          <w:lang w:val="fr-CA" w:eastAsia="en-GB"/>
        </w:rPr>
        <w:t xml:space="preserve"> </w:t>
      </w:r>
    </w:p>
    <w:p w14:paraId="3DA99EDE" w14:textId="77777777" w:rsidR="006B3F46" w:rsidRPr="009978E3" w:rsidRDefault="006B3F46" w:rsidP="00907941">
      <w:pPr>
        <w:ind w:left="720" w:hanging="720"/>
        <w:jc w:val="both"/>
        <w:rPr>
          <w:rFonts w:eastAsia="Calibri"/>
          <w:sz w:val="22"/>
          <w:szCs w:val="22"/>
          <w:lang w:val="fr-CA" w:eastAsia="en-GB"/>
        </w:rPr>
      </w:pPr>
      <w:r w:rsidRPr="009978E3">
        <w:rPr>
          <w:rFonts w:eastAsia="Calibri"/>
          <w:sz w:val="22"/>
          <w:szCs w:val="22"/>
          <w:lang w:val="fr-CA"/>
        </w:rPr>
        <w:t xml:space="preserve">Hernández-Guerra, A., Fraile-Nuez, E., López-Laatzen, F., Martínez, A., Parrilla, G., and Vélez-Belchí, P. (2005). </w:t>
      </w:r>
      <w:r w:rsidRPr="009978E3">
        <w:rPr>
          <w:rFonts w:eastAsia="Calibri"/>
          <w:sz w:val="22"/>
          <w:szCs w:val="22"/>
        </w:rPr>
        <w:t xml:space="preserve">Canary Current and North Equatorial Current from an inverse box model. </w:t>
      </w:r>
      <w:r w:rsidRPr="009978E3">
        <w:rPr>
          <w:rFonts w:eastAsia="Calibri"/>
          <w:i/>
          <w:iCs/>
          <w:sz w:val="22"/>
          <w:szCs w:val="22"/>
          <w:lang w:val="fr-CA"/>
        </w:rPr>
        <w:t xml:space="preserve">J. Geophys. Res. Ocean. </w:t>
      </w:r>
      <w:r w:rsidRPr="009978E3">
        <w:rPr>
          <w:rFonts w:eastAsia="Calibri"/>
          <w:sz w:val="22"/>
          <w:szCs w:val="22"/>
          <w:lang w:val="fr-CA"/>
        </w:rPr>
        <w:t>110, 1–16. doi:10.1029/2005JC003032.</w:t>
      </w:r>
    </w:p>
    <w:p w14:paraId="2F407E32" w14:textId="77777777" w:rsidR="006B3F46" w:rsidRPr="009978E3" w:rsidRDefault="006B3F46" w:rsidP="00907941">
      <w:pPr>
        <w:ind w:left="720" w:hanging="720"/>
        <w:jc w:val="both"/>
        <w:rPr>
          <w:rFonts w:eastAsia="Calibri"/>
          <w:sz w:val="22"/>
          <w:szCs w:val="22"/>
        </w:rPr>
      </w:pPr>
      <w:r w:rsidRPr="009978E3">
        <w:rPr>
          <w:rFonts w:eastAsia="Calibri"/>
          <w:sz w:val="22"/>
          <w:szCs w:val="22"/>
          <w:lang w:val="fr-CA"/>
        </w:rPr>
        <w:t xml:space="preserve">Knoll, M., Hernández-Guerra, A., Lenz, B., López Laatzen, F., Machı́n, F., Müller, T. ., </w:t>
      </w:r>
      <w:r w:rsidRPr="0006066A">
        <w:rPr>
          <w:rFonts w:eastAsia="Calibri"/>
          <w:i/>
          <w:sz w:val="22"/>
          <w:szCs w:val="22"/>
          <w:lang w:val="fr-CA"/>
        </w:rPr>
        <w:t>et al</w:t>
      </w:r>
      <w:r w:rsidRPr="009978E3">
        <w:rPr>
          <w:rFonts w:eastAsia="Calibri"/>
          <w:sz w:val="22"/>
          <w:szCs w:val="22"/>
          <w:lang w:val="fr-CA"/>
        </w:rPr>
        <w:t xml:space="preserve">. </w:t>
      </w:r>
      <w:r w:rsidRPr="009978E3">
        <w:rPr>
          <w:rFonts w:eastAsia="Calibri"/>
          <w:sz w:val="22"/>
          <w:szCs w:val="22"/>
        </w:rPr>
        <w:t xml:space="preserve">(2002). The Eastern Boundary Current system between the Canary Islands and the African Coast. </w:t>
      </w:r>
      <w:r w:rsidRPr="009978E3">
        <w:rPr>
          <w:rFonts w:eastAsia="Calibri"/>
          <w:i/>
          <w:iCs/>
          <w:sz w:val="22"/>
          <w:szCs w:val="22"/>
        </w:rPr>
        <w:t xml:space="preserve">Deep Sea Res. Part II Top. Stud. Oceanogr. </w:t>
      </w:r>
      <w:r w:rsidRPr="009978E3">
        <w:rPr>
          <w:rFonts w:eastAsia="Calibri"/>
          <w:sz w:val="22"/>
          <w:szCs w:val="22"/>
        </w:rPr>
        <w:t xml:space="preserve">49, 3427–3440. doi:10.1016/S0967-0645(02)00105-4. </w:t>
      </w:r>
    </w:p>
    <w:p w14:paraId="58360BF2"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Koschinsky, A., Halbach, P., Hein, J. R., and Mangini, A. (1996). Ferromanganese crusts as indicators for paleoceanographic events in the NE Atlantic. </w:t>
      </w:r>
      <w:r w:rsidRPr="009978E3">
        <w:rPr>
          <w:rFonts w:eastAsia="Calibri"/>
          <w:i/>
          <w:iCs/>
          <w:sz w:val="22"/>
          <w:szCs w:val="22"/>
        </w:rPr>
        <w:t xml:space="preserve">Geol. Rundschau </w:t>
      </w:r>
      <w:r w:rsidRPr="009978E3">
        <w:rPr>
          <w:rFonts w:eastAsia="Calibri"/>
          <w:sz w:val="22"/>
          <w:szCs w:val="22"/>
        </w:rPr>
        <w:t>85, 567–576. doi:10.1007/BF02369011.</w:t>
      </w:r>
    </w:p>
    <w:p w14:paraId="2C751D34"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Narayanaswamy, B. E., Hughes, D. J., Howell, K. L., Davies, J., and Jacobs, C. (2013). First observations of megafaunal communities inhabiting George Bligh Bank, Northeast Atlantic. </w:t>
      </w:r>
      <w:r w:rsidRPr="009978E3">
        <w:rPr>
          <w:rFonts w:eastAsia="Calibri"/>
          <w:i/>
          <w:iCs/>
          <w:sz w:val="22"/>
          <w:szCs w:val="22"/>
        </w:rPr>
        <w:t xml:space="preserve">Deep Sea Res. Part II Top. Stud. Oceanogr. </w:t>
      </w:r>
      <w:r w:rsidRPr="009978E3">
        <w:rPr>
          <w:rFonts w:eastAsia="Calibri"/>
          <w:sz w:val="22"/>
          <w:szCs w:val="22"/>
        </w:rPr>
        <w:t xml:space="preserve">92, 79–86. doi:10.1016/J.DSR2.2013.03.004 </w:t>
      </w:r>
    </w:p>
    <w:p w14:paraId="23EE2903"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Palomino, D., Vázquez, J.-T., Somoza, L., León, R., López-González, N., Medialdea, T., </w:t>
      </w:r>
      <w:r w:rsidRPr="0006066A">
        <w:rPr>
          <w:rFonts w:eastAsia="Calibri"/>
          <w:i/>
          <w:sz w:val="22"/>
          <w:szCs w:val="22"/>
        </w:rPr>
        <w:t>et al</w:t>
      </w:r>
      <w:r w:rsidRPr="009978E3">
        <w:rPr>
          <w:rFonts w:eastAsia="Calibri"/>
          <w:sz w:val="22"/>
          <w:szCs w:val="22"/>
        </w:rPr>
        <w:t xml:space="preserve">. (2016). Geomorphological features in the southern Canary Island Volcanic Province: The importance of volcanic processes and massive slope instabilities associated with seamounts. </w:t>
      </w:r>
      <w:r w:rsidRPr="009978E3">
        <w:rPr>
          <w:rFonts w:eastAsia="Calibri"/>
          <w:i/>
          <w:iCs/>
          <w:sz w:val="22"/>
          <w:szCs w:val="22"/>
        </w:rPr>
        <w:t xml:space="preserve">Geomorphology </w:t>
      </w:r>
      <w:r w:rsidRPr="009978E3">
        <w:rPr>
          <w:rFonts w:eastAsia="Calibri"/>
          <w:sz w:val="22"/>
          <w:szCs w:val="22"/>
        </w:rPr>
        <w:t>255, 125–139. doi:10.1016/J.GEOMORPH.2015.12.016.</w:t>
      </w:r>
    </w:p>
    <w:p w14:paraId="02A818C2"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Pastor, M., Peña-Izquierdo, J., Pelegrí, J., and Marrero-Díaz, Á. (2012). Meridional changes in water mass distributions off NW Africa during November 2007/2008. </w:t>
      </w:r>
      <w:r w:rsidRPr="009978E3">
        <w:rPr>
          <w:rFonts w:eastAsia="Calibri"/>
          <w:i/>
          <w:iCs/>
          <w:sz w:val="22"/>
          <w:szCs w:val="22"/>
        </w:rPr>
        <w:t xml:space="preserve">Ciencias Mar. </w:t>
      </w:r>
      <w:r w:rsidRPr="009978E3">
        <w:rPr>
          <w:rFonts w:eastAsia="Calibri"/>
          <w:sz w:val="22"/>
          <w:szCs w:val="22"/>
        </w:rPr>
        <w:t>38, 223–244. Available at: http://www.cienciasmarinas.com.mx/index.php/cmarinas/article/view/1831/1667.</w:t>
      </w:r>
    </w:p>
    <w:p w14:paraId="05CA7497" w14:textId="77777777" w:rsidR="006B3F46" w:rsidRPr="009978E3" w:rsidRDefault="006B3F46" w:rsidP="00907941">
      <w:pPr>
        <w:ind w:left="720" w:hanging="720"/>
        <w:jc w:val="both"/>
        <w:rPr>
          <w:rFonts w:eastAsia="Calibri"/>
          <w:sz w:val="22"/>
          <w:szCs w:val="22"/>
          <w:lang w:eastAsia="en-GB"/>
        </w:rPr>
      </w:pPr>
      <w:r w:rsidRPr="009978E3">
        <w:rPr>
          <w:rFonts w:eastAsia="Calibri"/>
          <w:sz w:val="22"/>
          <w:szCs w:val="22"/>
        </w:rPr>
        <w:t xml:space="preserve">Pastor, M., Vélez-Belchí, P., and Hernández-Guerra, A. (2015). Water Masses in the Canary Current Large Marine Ecosystem. </w:t>
      </w:r>
      <w:r w:rsidRPr="009978E3">
        <w:rPr>
          <w:rFonts w:eastAsia="Calibri"/>
          <w:i/>
          <w:iCs/>
          <w:sz w:val="22"/>
          <w:szCs w:val="22"/>
        </w:rPr>
        <w:t xml:space="preserve">IOC Tech. Ser. </w:t>
      </w:r>
      <w:r w:rsidRPr="009978E3">
        <w:rPr>
          <w:rFonts w:eastAsia="Calibri"/>
          <w:sz w:val="22"/>
          <w:szCs w:val="22"/>
        </w:rPr>
        <w:t>115, 733–79. Available at: http://hdl.handle.net/1834/9178.</w:t>
      </w:r>
    </w:p>
    <w:p w14:paraId="42E77B7B" w14:textId="77777777" w:rsidR="006B3F46" w:rsidRPr="009978E3" w:rsidRDefault="006B3F46" w:rsidP="00907941">
      <w:pPr>
        <w:ind w:left="720" w:hanging="720"/>
        <w:jc w:val="both"/>
        <w:rPr>
          <w:rFonts w:eastAsia="Calibri"/>
          <w:sz w:val="22"/>
          <w:szCs w:val="22"/>
        </w:rPr>
      </w:pPr>
      <w:r w:rsidRPr="009978E3">
        <w:rPr>
          <w:rFonts w:eastAsia="Calibri"/>
          <w:bCs/>
          <w:sz w:val="22"/>
          <w:szCs w:val="22"/>
        </w:rPr>
        <w:t>Ramiro-Sánchez, B., González-Irusta, J.M., Henry, L.-A.,</w:t>
      </w:r>
      <w:r w:rsidRPr="009978E3">
        <w:rPr>
          <w:rFonts w:eastAsia="Calibri"/>
          <w:bCs/>
          <w:sz w:val="22"/>
          <w:szCs w:val="22"/>
          <w:vertAlign w:val="superscript"/>
        </w:rPr>
        <w:t xml:space="preserve"> </w:t>
      </w:r>
      <w:r w:rsidRPr="009978E3">
        <w:rPr>
          <w:rFonts w:eastAsia="Calibri"/>
          <w:bCs/>
          <w:sz w:val="22"/>
          <w:szCs w:val="22"/>
        </w:rPr>
        <w:t>Cleland, J., Yeo, I., Xavier, J.R., Carreiro-Silva, M., Sampaio. I., Spearman. J., Victorero. L., Messing, C.G., Kazanidis, G., Roberts, J.M., Murton, B. (2019)</w:t>
      </w:r>
      <w:r w:rsidRPr="009978E3">
        <w:rPr>
          <w:rFonts w:eastAsia="Calibri"/>
          <w:bCs/>
          <w:sz w:val="22"/>
          <w:szCs w:val="22"/>
          <w:vertAlign w:val="superscript"/>
        </w:rPr>
        <w:t xml:space="preserve"> </w:t>
      </w:r>
      <w:r w:rsidRPr="009978E3">
        <w:rPr>
          <w:rFonts w:eastAsia="Calibri"/>
          <w:bCs/>
          <w:sz w:val="22"/>
          <w:szCs w:val="22"/>
        </w:rPr>
        <w:t>Characterization and mapping of a deep-sea sponge ground on the Tropic Seamount (Northeast tropical Atlantic): implications for spatial management in the High Seas. Frontiers in Marine Science 6: 278</w:t>
      </w:r>
    </w:p>
    <w:p w14:paraId="4578F81D"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Roberts, J. M., Wheeler, A. J., Freiwald, A., and Cairns, S. D. (2009). </w:t>
      </w:r>
      <w:r w:rsidRPr="009978E3">
        <w:rPr>
          <w:rFonts w:eastAsia="Calibri"/>
          <w:i/>
          <w:iCs/>
          <w:sz w:val="22"/>
          <w:szCs w:val="22"/>
        </w:rPr>
        <w:t>Cold-water Corals: The Biology and Geology of Deep-Sea Coral Habitats</w:t>
      </w:r>
      <w:r w:rsidRPr="009978E3">
        <w:rPr>
          <w:rFonts w:eastAsia="Calibri"/>
          <w:sz w:val="22"/>
          <w:szCs w:val="22"/>
        </w:rPr>
        <w:t>. Cambridge University Press. Available at: www.cambridge.org.</w:t>
      </w:r>
    </w:p>
    <w:p w14:paraId="4CD3444E"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Rogers, A. D., Baco, A., Griffiths, H., Hart, T., and Hall-Spencer, J. M. (2007). Corals on Seamounts. </w:t>
      </w:r>
      <w:r w:rsidRPr="009978E3">
        <w:rPr>
          <w:rFonts w:eastAsia="Calibri"/>
          <w:i/>
          <w:iCs/>
          <w:sz w:val="22"/>
          <w:szCs w:val="22"/>
        </w:rPr>
        <w:t>Seamounts Ecol. Fish. Conserv.</w:t>
      </w:r>
      <w:r w:rsidRPr="009978E3">
        <w:rPr>
          <w:rFonts w:eastAsia="Calibri"/>
          <w:sz w:val="22"/>
          <w:szCs w:val="22"/>
        </w:rPr>
        <w:t xml:space="preserve">, 141–169. doi:10.1002/9780470691953.ch8. </w:t>
      </w:r>
    </w:p>
    <w:p w14:paraId="5FF04105"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Rowden, A. A., Schlacher, T. A., Williams, A., Clark, M. R., Stewart, R., Althaus, F., </w:t>
      </w:r>
      <w:r w:rsidRPr="0006066A">
        <w:rPr>
          <w:rFonts w:eastAsia="Calibri"/>
          <w:i/>
          <w:sz w:val="22"/>
          <w:szCs w:val="22"/>
        </w:rPr>
        <w:t>et al</w:t>
      </w:r>
      <w:r w:rsidRPr="009978E3">
        <w:rPr>
          <w:rFonts w:eastAsia="Calibri"/>
          <w:sz w:val="22"/>
          <w:szCs w:val="22"/>
        </w:rPr>
        <w:t xml:space="preserve">. (2010). A test of the seamount oasis hypothesis: seamounts support higher epibenthic megafaunal biomass than adjacent slopes. </w:t>
      </w:r>
      <w:r w:rsidRPr="009978E3">
        <w:rPr>
          <w:rFonts w:eastAsia="Calibri"/>
          <w:i/>
          <w:iCs/>
          <w:sz w:val="22"/>
          <w:szCs w:val="22"/>
        </w:rPr>
        <w:t xml:space="preserve">Mar. Ecol. </w:t>
      </w:r>
      <w:r w:rsidRPr="009978E3">
        <w:rPr>
          <w:rFonts w:eastAsia="Calibri"/>
          <w:sz w:val="22"/>
          <w:szCs w:val="22"/>
        </w:rPr>
        <w:t>31, 95–106. doi:10.1111/j.1439-0485.2010.00369.x.</w:t>
      </w:r>
    </w:p>
    <w:p w14:paraId="1EFB511C"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Samadi, S., Schlacher, T., and de Forges, B. R. (2007). “Seamount Benthos,” in </w:t>
      </w:r>
      <w:r w:rsidRPr="009978E3">
        <w:rPr>
          <w:rFonts w:eastAsia="Calibri"/>
          <w:i/>
          <w:iCs/>
          <w:sz w:val="22"/>
          <w:szCs w:val="22"/>
        </w:rPr>
        <w:t xml:space="preserve">Seamounts: Ecology, Fisheries &amp; Conservation </w:t>
      </w:r>
      <w:r w:rsidRPr="009978E3">
        <w:rPr>
          <w:rFonts w:eastAsia="Calibri"/>
          <w:sz w:val="22"/>
          <w:szCs w:val="22"/>
        </w:rPr>
        <w:t>(Oxford, UK: Blackwell Publishing Ltd), 117–140. doi:10.1002/9780470691953.ch7.</w:t>
      </w:r>
    </w:p>
    <w:p w14:paraId="2A634F0D" w14:textId="77777777" w:rsidR="006B3F46" w:rsidRPr="009978E3" w:rsidRDefault="006B3F46" w:rsidP="00907941">
      <w:pPr>
        <w:ind w:left="720" w:hanging="720"/>
        <w:jc w:val="both"/>
        <w:rPr>
          <w:rFonts w:eastAsia="Calibri"/>
          <w:sz w:val="22"/>
          <w:szCs w:val="22"/>
          <w:lang w:eastAsia="en-GB"/>
        </w:rPr>
      </w:pPr>
      <w:r w:rsidRPr="009978E3">
        <w:rPr>
          <w:rFonts w:eastAsia="Calibri"/>
          <w:sz w:val="22"/>
          <w:szCs w:val="22"/>
        </w:rPr>
        <w:t xml:space="preserve">Schmincke, H.-U., and Graf, G. (2000). DECOS / OMEX II, Cruise No. 43, 25 November 1998 - 14 January 1999. Hamburg: Leitstelle METEOR, Institut für Meereskunde der Universität Hamburg doi:10.2312/cr_m43 </w:t>
      </w:r>
      <w:r w:rsidRPr="009978E3">
        <w:rPr>
          <w:rFonts w:eastAsia="Calibri"/>
          <w:sz w:val="22"/>
          <w:szCs w:val="22"/>
          <w:lang w:eastAsia="en-GB"/>
        </w:rPr>
        <w:t xml:space="preserve"> </w:t>
      </w:r>
    </w:p>
    <w:p w14:paraId="3EDC822F" w14:textId="77777777" w:rsidR="006B3F46" w:rsidRPr="009978E3" w:rsidRDefault="006B3F46" w:rsidP="00907941">
      <w:pPr>
        <w:ind w:left="720" w:hanging="720"/>
        <w:jc w:val="both"/>
        <w:rPr>
          <w:rFonts w:eastAsia="Calibri"/>
          <w:sz w:val="22"/>
          <w:szCs w:val="22"/>
          <w:lang w:eastAsia="en-GB"/>
        </w:rPr>
      </w:pPr>
      <w:r w:rsidRPr="009978E3">
        <w:rPr>
          <w:rFonts w:eastAsia="Calibri"/>
          <w:sz w:val="22"/>
          <w:szCs w:val="22"/>
        </w:rPr>
        <w:t xml:space="preserve">Stevenson, A., Gahn, F. J., Baumiller, T. K., and Sevastopulo, G. D. (2017). Predation on feather stars by regular echinoids as evidenced by laboratory and field observations and its paleobiological implications. </w:t>
      </w:r>
      <w:r w:rsidRPr="009978E3">
        <w:rPr>
          <w:rFonts w:eastAsia="Calibri"/>
          <w:i/>
          <w:iCs/>
          <w:sz w:val="22"/>
          <w:szCs w:val="22"/>
        </w:rPr>
        <w:t xml:space="preserve">Paleobiology </w:t>
      </w:r>
      <w:r w:rsidRPr="009978E3">
        <w:rPr>
          <w:rFonts w:eastAsia="Calibri"/>
          <w:sz w:val="22"/>
          <w:szCs w:val="22"/>
        </w:rPr>
        <w:t>43, 274–285. doi:10.1017/pab.2016.39.</w:t>
      </w:r>
    </w:p>
    <w:p w14:paraId="2C7B2476"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van den Bogaard, P. (2013). The origin of the Canary Island Seamount Province - New ages of old seamounts. </w:t>
      </w:r>
      <w:r w:rsidRPr="009978E3">
        <w:rPr>
          <w:rFonts w:eastAsia="Calibri"/>
          <w:i/>
          <w:iCs/>
          <w:sz w:val="22"/>
          <w:szCs w:val="22"/>
        </w:rPr>
        <w:t xml:space="preserve">Sci. Rep. </w:t>
      </w:r>
      <w:r w:rsidRPr="009978E3">
        <w:rPr>
          <w:rFonts w:eastAsia="Calibri"/>
          <w:sz w:val="22"/>
          <w:szCs w:val="22"/>
        </w:rPr>
        <w:t>3, 2107. doi:10.1038/srep02107.</w:t>
      </w:r>
    </w:p>
    <w:p w14:paraId="0B327F1D"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Victorero, L., Robert, K., Robinson, L. F., Taylor, M. L., and Huvenne, V. A. I. (2018). Species replacement dominates megabenthos beta diversity in a remote seamount setting. </w:t>
      </w:r>
      <w:r w:rsidRPr="009978E3">
        <w:rPr>
          <w:rFonts w:eastAsia="Calibri"/>
          <w:i/>
          <w:iCs/>
          <w:sz w:val="22"/>
          <w:szCs w:val="22"/>
        </w:rPr>
        <w:t xml:space="preserve">Sci. Rep. </w:t>
      </w:r>
      <w:r w:rsidRPr="009978E3">
        <w:rPr>
          <w:rFonts w:eastAsia="Calibri"/>
          <w:sz w:val="22"/>
          <w:szCs w:val="22"/>
        </w:rPr>
        <w:t xml:space="preserve">8, 4152. doi:10.1038/s41598-018-22296-8. </w:t>
      </w:r>
    </w:p>
    <w:p w14:paraId="2B433083" w14:textId="77777777" w:rsidR="006B3F46" w:rsidRPr="009978E3" w:rsidRDefault="006B3F46" w:rsidP="00907941">
      <w:pPr>
        <w:ind w:left="720" w:hanging="720"/>
        <w:jc w:val="both"/>
        <w:rPr>
          <w:rFonts w:eastAsia="Calibri"/>
          <w:sz w:val="22"/>
          <w:szCs w:val="22"/>
        </w:rPr>
      </w:pPr>
      <w:r w:rsidRPr="009978E3">
        <w:rPr>
          <w:rFonts w:eastAsia="Calibri"/>
          <w:sz w:val="22"/>
          <w:szCs w:val="22"/>
        </w:rPr>
        <w:t xml:space="preserve">Watling, L., and Auster, P. J. (2017). Seamounts on the High Seas Should Be Managed as Vulnerable Marine Ecosystems. </w:t>
      </w:r>
      <w:r w:rsidRPr="009978E3">
        <w:rPr>
          <w:rFonts w:eastAsia="Calibri"/>
          <w:i/>
          <w:iCs/>
          <w:sz w:val="22"/>
          <w:szCs w:val="22"/>
        </w:rPr>
        <w:t xml:space="preserve">Front. Mar. Sci. </w:t>
      </w:r>
      <w:r w:rsidRPr="009978E3">
        <w:rPr>
          <w:rFonts w:eastAsia="Calibri"/>
          <w:sz w:val="22"/>
          <w:szCs w:val="22"/>
        </w:rPr>
        <w:t xml:space="preserve">4. doi:10.3389/fmars.2017.00014. </w:t>
      </w:r>
    </w:p>
    <w:p w14:paraId="4BA8D52D" w14:textId="77777777" w:rsidR="006B3F46" w:rsidRPr="009978E3" w:rsidRDefault="006B3F46" w:rsidP="00907941">
      <w:pPr>
        <w:ind w:left="720" w:hanging="720"/>
        <w:jc w:val="both"/>
        <w:rPr>
          <w:rFonts w:eastAsia="MS Mincho"/>
          <w:b/>
          <w:sz w:val="22"/>
          <w:szCs w:val="22"/>
          <w:lang w:val="en-US"/>
        </w:rPr>
      </w:pPr>
      <w:r>
        <w:rPr>
          <w:rFonts w:eastAsia="MS Mincho"/>
          <w:b/>
          <w:sz w:val="22"/>
          <w:szCs w:val="22"/>
          <w:lang w:val="en-US"/>
        </w:rPr>
        <w:br w:type="page"/>
      </w:r>
    </w:p>
    <w:p w14:paraId="2706F30B" w14:textId="77777777" w:rsidR="006B3F46" w:rsidRDefault="006B3F46" w:rsidP="00907941">
      <w:pPr>
        <w:rPr>
          <w:rFonts w:eastAsia="MS Mincho"/>
          <w:b/>
          <w:sz w:val="22"/>
          <w:szCs w:val="22"/>
          <w:lang w:val="en-US"/>
        </w:rPr>
      </w:pPr>
      <w:r w:rsidRPr="009978E3">
        <w:rPr>
          <w:rFonts w:eastAsia="MS Mincho"/>
          <w:b/>
          <w:sz w:val="22"/>
          <w:szCs w:val="22"/>
          <w:lang w:val="en-US"/>
        </w:rPr>
        <w:t>Maps and Figures</w:t>
      </w:r>
    </w:p>
    <w:p w14:paraId="50A6C2B7" w14:textId="77777777" w:rsidR="006B3F46" w:rsidRDefault="006B3F46" w:rsidP="00907941">
      <w:pPr>
        <w:rPr>
          <w:rFonts w:eastAsia="MS Mincho"/>
          <w:b/>
          <w:sz w:val="22"/>
          <w:szCs w:val="22"/>
          <w:lang w:val="en-US"/>
        </w:rPr>
      </w:pPr>
    </w:p>
    <w:p w14:paraId="2888B887" w14:textId="77777777" w:rsidR="006B3F46" w:rsidRDefault="009E53BE" w:rsidP="00907941">
      <w:pPr>
        <w:rPr>
          <w:rFonts w:eastAsia="MS Mincho"/>
          <w:b/>
          <w:sz w:val="22"/>
          <w:szCs w:val="22"/>
          <w:lang w:val="en-US"/>
        </w:rPr>
      </w:pPr>
      <w:r>
        <w:pict w14:anchorId="259639F0">
          <v:shape id="_x0000_i1119" type="#_x0000_t75" style="width:6in;height:6in">
            <v:imagedata r:id="rId235" o:title=""/>
          </v:shape>
        </w:pict>
      </w:r>
    </w:p>
    <w:p w14:paraId="201BE8EA" w14:textId="77777777" w:rsidR="006B3F46" w:rsidRDefault="006B3F46" w:rsidP="00907941">
      <w:pPr>
        <w:rPr>
          <w:rFonts w:eastAsia="MS Mincho"/>
          <w:b/>
          <w:sz w:val="22"/>
          <w:szCs w:val="22"/>
          <w:lang w:val="en-US"/>
        </w:rPr>
      </w:pPr>
    </w:p>
    <w:p w14:paraId="69C312A0" w14:textId="77777777" w:rsidR="006B3F46" w:rsidRPr="0021277B" w:rsidRDefault="006B3F46" w:rsidP="00907941">
      <w:pPr>
        <w:jc w:val="center"/>
        <w:rPr>
          <w:rFonts w:eastAsia="MS Mincho"/>
          <w:b/>
          <w:bCs/>
          <w:sz w:val="22"/>
          <w:szCs w:val="22"/>
          <w:lang w:val="en-US"/>
        </w:rPr>
      </w:pPr>
      <w:r w:rsidRPr="0021277B">
        <w:rPr>
          <w:rFonts w:eastAsia="MS Mincho"/>
          <w:b/>
          <w:bCs/>
          <w:sz w:val="22"/>
          <w:szCs w:val="22"/>
          <w:lang w:val="en-US"/>
        </w:rPr>
        <w:t xml:space="preserve">Location of </w:t>
      </w:r>
      <w:r>
        <w:rPr>
          <w:rFonts w:eastAsia="MS Mincho"/>
          <w:b/>
          <w:bCs/>
          <w:sz w:val="22"/>
          <w:szCs w:val="22"/>
          <w:lang w:val="en-US"/>
        </w:rPr>
        <w:t>a</w:t>
      </w:r>
      <w:r w:rsidRPr="0021277B">
        <w:rPr>
          <w:rFonts w:eastAsia="MS Mincho"/>
          <w:b/>
          <w:bCs/>
          <w:sz w:val="22"/>
          <w:szCs w:val="22"/>
          <w:lang w:val="en-US"/>
        </w:rPr>
        <w:t>rea no. 9:  Tropic Seamount</w:t>
      </w:r>
    </w:p>
    <w:p w14:paraId="7BAE781C" w14:textId="77777777" w:rsidR="006B3F46" w:rsidRPr="009978E3" w:rsidRDefault="006B3F46" w:rsidP="00907941">
      <w:pPr>
        <w:rPr>
          <w:rFonts w:eastAsia="MS Mincho"/>
          <w:b/>
          <w:sz w:val="22"/>
          <w:szCs w:val="22"/>
          <w:lang w:val="en-US"/>
        </w:rPr>
      </w:pPr>
    </w:p>
    <w:p w14:paraId="6F42D144" w14:textId="77777777" w:rsidR="006B3F46" w:rsidRPr="009978E3" w:rsidRDefault="006B3F46" w:rsidP="00907941">
      <w:pPr>
        <w:rPr>
          <w:rFonts w:eastAsia="MS Mincho"/>
          <w:b/>
          <w:sz w:val="22"/>
          <w:szCs w:val="22"/>
        </w:rPr>
      </w:pPr>
    </w:p>
    <w:p w14:paraId="71630AB9" w14:textId="77777777" w:rsidR="006B3F46" w:rsidRPr="00F66EF7" w:rsidRDefault="009E53BE" w:rsidP="00907941">
      <w:pPr>
        <w:rPr>
          <w:rFonts w:eastAsia="MS Mincho"/>
          <w:b/>
          <w:sz w:val="22"/>
          <w:szCs w:val="22"/>
          <w:lang w:val="en-US"/>
        </w:rPr>
      </w:pPr>
      <w:r>
        <w:rPr>
          <w:noProof/>
          <w:sz w:val="22"/>
          <w:szCs w:val="22"/>
          <w:lang w:val="fr-CA" w:eastAsia="fr-CA"/>
        </w:rPr>
        <w:pict w14:anchorId="0F396583">
          <v:shape id="Picture 136" o:spid="_x0000_i1120" type="#_x0000_t75" style="width:323.25pt;height:395.25pt;visibility:visible">
            <v:imagedata r:id="rId236" o:title="Figure1"/>
          </v:shape>
        </w:pict>
      </w:r>
    </w:p>
    <w:p w14:paraId="24AB2710" w14:textId="604FA737" w:rsidR="006B3F46" w:rsidRPr="009978E3" w:rsidRDefault="006B3F46" w:rsidP="002E4B39">
      <w:pPr>
        <w:jc w:val="both"/>
        <w:rPr>
          <w:rFonts w:eastAsia="MS Mincho"/>
          <w:b/>
          <w:sz w:val="22"/>
          <w:szCs w:val="22"/>
          <w:lang w:val="en-US"/>
        </w:rPr>
      </w:pPr>
      <w:r w:rsidRPr="0021277B">
        <w:rPr>
          <w:bCs/>
          <w:sz w:val="22"/>
          <w:szCs w:val="22"/>
          <w:lang w:eastAsia="en-GB"/>
        </w:rPr>
        <w:t>Figure 1.</w:t>
      </w:r>
      <w:r w:rsidRPr="0021277B">
        <w:rPr>
          <w:sz w:val="22"/>
          <w:szCs w:val="22"/>
        </w:rPr>
        <w:t xml:space="preserve"> Location of the Tropic Seamount in the </w:t>
      </w:r>
      <w:r>
        <w:rPr>
          <w:sz w:val="22"/>
          <w:szCs w:val="22"/>
        </w:rPr>
        <w:t>North-East</w:t>
      </w:r>
      <w:r w:rsidRPr="0021277B">
        <w:rPr>
          <w:sz w:val="22"/>
          <w:szCs w:val="22"/>
        </w:rPr>
        <w:t xml:space="preserve"> tropical Atlantic with the different sampling operations: ROV tracks (thick black lines), CTD casts (white circles) and moorings (white triangles). Inset images show the location of the study area in relation to northwest Africa and the Western Sahara Seamount Province (WSSP).</w:t>
      </w:r>
    </w:p>
    <w:p w14:paraId="55064C9B" w14:textId="77777777" w:rsidR="006B3F46" w:rsidRPr="0021277B" w:rsidRDefault="009E53BE" w:rsidP="00907941">
      <w:pPr>
        <w:spacing w:after="200"/>
        <w:jc w:val="both"/>
        <w:rPr>
          <w:sz w:val="22"/>
          <w:szCs w:val="22"/>
        </w:rPr>
      </w:pPr>
      <w:r>
        <w:rPr>
          <w:noProof/>
          <w:sz w:val="22"/>
          <w:szCs w:val="22"/>
          <w:lang w:val="fr-CA" w:eastAsia="fr-CA"/>
        </w:rPr>
        <w:pict w14:anchorId="27F80458">
          <v:shape id="Picture 137" o:spid="_x0000_i1121" type="#_x0000_t75" style="width:6in;height:245.25pt;visibility:visible">
            <v:imagedata r:id="rId237" o:title="Figure 3"/>
          </v:shape>
        </w:pict>
      </w:r>
    </w:p>
    <w:p w14:paraId="6DB5AE32" w14:textId="77777777" w:rsidR="006B3F46" w:rsidRPr="0021277B" w:rsidRDefault="006B3F46" w:rsidP="00907941">
      <w:pPr>
        <w:spacing w:after="200"/>
        <w:jc w:val="both"/>
        <w:rPr>
          <w:sz w:val="22"/>
          <w:szCs w:val="22"/>
        </w:rPr>
      </w:pPr>
      <w:r w:rsidRPr="0021277B">
        <w:rPr>
          <w:bCs/>
          <w:sz w:val="22"/>
          <w:szCs w:val="22"/>
        </w:rPr>
        <w:t>Figure 2.</w:t>
      </w:r>
      <w:r w:rsidRPr="0021277B">
        <w:rPr>
          <w:b/>
          <w:sz w:val="22"/>
          <w:szCs w:val="22"/>
        </w:rPr>
        <w:t xml:space="preserve"> </w:t>
      </w:r>
      <w:r w:rsidRPr="0021277B">
        <w:rPr>
          <w:sz w:val="22"/>
          <w:szCs w:val="22"/>
        </w:rPr>
        <w:t>Seabed photographs showing some of the VME indicator taxa observed on the Tropic Seamount. A</w:t>
      </w:r>
      <w:r>
        <w:rPr>
          <w:sz w:val="22"/>
          <w:szCs w:val="22"/>
        </w:rPr>
        <w:t>:</w:t>
      </w:r>
      <w:r w:rsidRPr="0021277B">
        <w:rPr>
          <w:sz w:val="22"/>
          <w:szCs w:val="22"/>
        </w:rPr>
        <w:t xml:space="preserve"> Specimens of </w:t>
      </w:r>
      <w:r w:rsidRPr="0021277B">
        <w:rPr>
          <w:i/>
          <w:sz w:val="22"/>
          <w:szCs w:val="22"/>
        </w:rPr>
        <w:t>Poliopogon amadou</w:t>
      </w:r>
      <w:r w:rsidRPr="0021277B">
        <w:rPr>
          <w:sz w:val="22"/>
          <w:szCs w:val="22"/>
        </w:rPr>
        <w:t>. B</w:t>
      </w:r>
      <w:r>
        <w:rPr>
          <w:sz w:val="22"/>
          <w:szCs w:val="22"/>
        </w:rPr>
        <w:t>:</w:t>
      </w:r>
      <w:r w:rsidRPr="0021277B">
        <w:rPr>
          <w:sz w:val="22"/>
          <w:szCs w:val="22"/>
        </w:rPr>
        <w:t xml:space="preserve"> Sponge ground of </w:t>
      </w:r>
      <w:r w:rsidRPr="0021277B">
        <w:rPr>
          <w:i/>
          <w:sz w:val="22"/>
          <w:szCs w:val="22"/>
        </w:rPr>
        <w:t>Poliopogon amadou</w:t>
      </w:r>
      <w:r w:rsidRPr="0021277B">
        <w:rPr>
          <w:sz w:val="22"/>
          <w:szCs w:val="22"/>
        </w:rPr>
        <w:t>. C</w:t>
      </w:r>
      <w:r>
        <w:rPr>
          <w:sz w:val="22"/>
          <w:szCs w:val="22"/>
        </w:rPr>
        <w:t>:</w:t>
      </w:r>
      <w:r w:rsidRPr="0021277B">
        <w:rPr>
          <w:sz w:val="22"/>
          <w:szCs w:val="22"/>
        </w:rPr>
        <w:t xml:space="preserve"> Coral garden on a ledge with diverse octocorals and patches of </w:t>
      </w:r>
      <w:r w:rsidRPr="0021277B">
        <w:rPr>
          <w:i/>
          <w:sz w:val="22"/>
          <w:szCs w:val="22"/>
        </w:rPr>
        <w:t>Solenosmilia variabilis</w:t>
      </w:r>
      <w:r w:rsidRPr="0021277B">
        <w:rPr>
          <w:sz w:val="22"/>
          <w:szCs w:val="22"/>
        </w:rPr>
        <w:t>. D</w:t>
      </w:r>
      <w:r>
        <w:rPr>
          <w:sz w:val="22"/>
          <w:szCs w:val="22"/>
        </w:rPr>
        <w:t>:</w:t>
      </w:r>
      <w:r w:rsidRPr="0021277B">
        <w:rPr>
          <w:sz w:val="22"/>
          <w:szCs w:val="22"/>
        </w:rPr>
        <w:t xml:space="preserve"> Octocoral garden and coral rubble. E</w:t>
      </w:r>
      <w:r>
        <w:rPr>
          <w:sz w:val="22"/>
          <w:szCs w:val="22"/>
        </w:rPr>
        <w:t>:</w:t>
      </w:r>
      <w:r w:rsidRPr="0021277B">
        <w:rPr>
          <w:sz w:val="22"/>
          <w:szCs w:val="22"/>
        </w:rPr>
        <w:t xml:space="preserve"> Antipatharian species, </w:t>
      </w:r>
      <w:r w:rsidRPr="0021277B">
        <w:rPr>
          <w:i/>
          <w:sz w:val="22"/>
          <w:szCs w:val="22"/>
        </w:rPr>
        <w:t>Metallogorgia melanotrichos</w:t>
      </w:r>
      <w:r w:rsidRPr="0021277B">
        <w:rPr>
          <w:sz w:val="22"/>
          <w:szCs w:val="22"/>
        </w:rPr>
        <w:t xml:space="preserve"> and </w:t>
      </w:r>
      <w:r w:rsidRPr="0021277B">
        <w:rPr>
          <w:i/>
          <w:sz w:val="22"/>
          <w:szCs w:val="22"/>
        </w:rPr>
        <w:t>Chrysogorgia</w:t>
      </w:r>
      <w:r w:rsidRPr="0021277B">
        <w:rPr>
          <w:sz w:val="22"/>
          <w:szCs w:val="22"/>
        </w:rPr>
        <w:t xml:space="preserve"> sp. F</w:t>
      </w:r>
      <w:r>
        <w:rPr>
          <w:sz w:val="22"/>
          <w:szCs w:val="22"/>
        </w:rPr>
        <w:t>:</w:t>
      </w:r>
      <w:r w:rsidRPr="0021277B">
        <w:rPr>
          <w:sz w:val="22"/>
          <w:szCs w:val="22"/>
        </w:rPr>
        <w:t xml:space="preserve"> Unidentified black coral. G</w:t>
      </w:r>
      <w:r>
        <w:rPr>
          <w:sz w:val="22"/>
          <w:szCs w:val="22"/>
        </w:rPr>
        <w:t>:</w:t>
      </w:r>
      <w:r w:rsidRPr="0021277B">
        <w:rPr>
          <w:sz w:val="22"/>
          <w:szCs w:val="22"/>
        </w:rPr>
        <w:t xml:space="preserve"> A crinoid field of possibly </w:t>
      </w:r>
      <w:r w:rsidRPr="0021277B">
        <w:rPr>
          <w:i/>
          <w:sz w:val="22"/>
          <w:szCs w:val="22"/>
        </w:rPr>
        <w:t>Thalassometra lusitanica</w:t>
      </w:r>
      <w:r w:rsidRPr="0021277B">
        <w:rPr>
          <w:sz w:val="22"/>
          <w:szCs w:val="22"/>
        </w:rPr>
        <w:t>. H</w:t>
      </w:r>
      <w:r>
        <w:rPr>
          <w:sz w:val="22"/>
          <w:szCs w:val="22"/>
        </w:rPr>
        <w:t>:</w:t>
      </w:r>
      <w:r w:rsidRPr="0021277B">
        <w:rPr>
          <w:sz w:val="22"/>
          <w:szCs w:val="22"/>
        </w:rPr>
        <w:t xml:space="preserve"> Field of xenophyophores. I</w:t>
      </w:r>
      <w:r>
        <w:rPr>
          <w:sz w:val="22"/>
          <w:szCs w:val="22"/>
        </w:rPr>
        <w:t>:</w:t>
      </w:r>
      <w:r w:rsidRPr="0021277B">
        <w:rPr>
          <w:sz w:val="22"/>
          <w:szCs w:val="22"/>
        </w:rPr>
        <w:t xml:space="preserve"> ROV </w:t>
      </w:r>
      <w:r w:rsidRPr="0021277B">
        <w:rPr>
          <w:i/>
          <w:sz w:val="22"/>
          <w:szCs w:val="22"/>
        </w:rPr>
        <w:t>Isis</w:t>
      </w:r>
      <w:r w:rsidRPr="0021277B">
        <w:rPr>
          <w:sz w:val="22"/>
          <w:szCs w:val="22"/>
        </w:rPr>
        <w:t xml:space="preserve"> sampling ferromanganese crust.</w:t>
      </w:r>
    </w:p>
    <w:p w14:paraId="13BB278E" w14:textId="77777777" w:rsidR="006B3F46" w:rsidRPr="00F66EF7" w:rsidRDefault="009E53BE" w:rsidP="00907941">
      <w:pPr>
        <w:rPr>
          <w:rFonts w:eastAsia="MS Mincho"/>
          <w:bCs/>
          <w:sz w:val="22"/>
          <w:szCs w:val="22"/>
          <w:lang w:val="en-US"/>
        </w:rPr>
      </w:pPr>
      <w:r>
        <w:rPr>
          <w:rFonts w:eastAsia="MS Mincho"/>
          <w:noProof/>
          <w:sz w:val="22"/>
          <w:szCs w:val="22"/>
          <w:lang w:val="fr-CA" w:eastAsia="fr-CA"/>
        </w:rPr>
        <w:pict w14:anchorId="70CB6ED2">
          <v:shape id="Picture 138" o:spid="_x0000_i1122" type="#_x0000_t75" style="width:453pt;height:228.75pt;visibility:visible">
            <v:imagedata r:id="rId238" o:title="Ensemble_Uncertainty"/>
          </v:shape>
        </w:pict>
      </w:r>
    </w:p>
    <w:p w14:paraId="509EE825" w14:textId="4A6A5272" w:rsidR="006B3F46" w:rsidRPr="00EC5399" w:rsidRDefault="006B3F46" w:rsidP="002E4B39">
      <w:pPr>
        <w:spacing w:afterLines="200" w:after="480"/>
        <w:jc w:val="both"/>
        <w:rPr>
          <w:rFonts w:eastAsia="MS Mincho"/>
          <w:bCs/>
          <w:sz w:val="22"/>
          <w:szCs w:val="22"/>
          <w:lang w:val="en-US"/>
        </w:rPr>
      </w:pPr>
      <w:r w:rsidRPr="0021277B">
        <w:rPr>
          <w:bCs/>
          <w:sz w:val="22"/>
          <w:szCs w:val="22"/>
        </w:rPr>
        <w:t xml:space="preserve">Figure 3. Prediction of </w:t>
      </w:r>
      <w:r w:rsidRPr="0021277B">
        <w:rPr>
          <w:bCs/>
          <w:i/>
          <w:sz w:val="22"/>
          <w:szCs w:val="22"/>
        </w:rPr>
        <w:t>Poliopogon amadou</w:t>
      </w:r>
      <w:r w:rsidRPr="0021277B">
        <w:rPr>
          <w:bCs/>
          <w:sz w:val="22"/>
          <w:szCs w:val="22"/>
        </w:rPr>
        <w:t xml:space="preserve"> presence for the ensemble distribution model (A) and (B) uncertainty (CV) for the ensemble distribution model.</w:t>
      </w:r>
    </w:p>
    <w:p w14:paraId="601B887C" w14:textId="77777777" w:rsidR="006B3F46" w:rsidRPr="00F66EF7" w:rsidRDefault="006B3F46" w:rsidP="002E4B39">
      <w:pPr>
        <w:keepNext/>
        <w:rPr>
          <w:rFonts w:eastAsia="MS Mincho"/>
          <w:bCs/>
          <w:sz w:val="22"/>
          <w:szCs w:val="22"/>
          <w:lang w:val="en-US"/>
        </w:rPr>
      </w:pPr>
      <w:r w:rsidRPr="0021277B">
        <w:rPr>
          <w:rFonts w:eastAsia="MS Mincho"/>
          <w:bCs/>
          <w:sz w:val="22"/>
          <w:szCs w:val="22"/>
          <w:lang w:val="en-US"/>
        </w:rPr>
        <w:t>Table 1.</w:t>
      </w:r>
      <w:r w:rsidRPr="00EC5399">
        <w:rPr>
          <w:rFonts w:eastAsia="MS Mincho"/>
          <w:bCs/>
          <w:sz w:val="22"/>
          <w:szCs w:val="22"/>
          <w:lang w:val="en-US"/>
        </w:rPr>
        <w:t xml:space="preserve"> </w:t>
      </w:r>
      <w:r w:rsidRPr="0021277B">
        <w:rPr>
          <w:bCs/>
          <w:sz w:val="22"/>
          <w:szCs w:val="22"/>
        </w:rPr>
        <w:t>VME indicator</w:t>
      </w:r>
      <w:r w:rsidRPr="0021277B">
        <w:rPr>
          <w:sz w:val="22"/>
          <w:szCs w:val="22"/>
        </w:rPr>
        <w:t xml:space="preserve"> taxa observed on the images analysed from the Tropic Seamount.</w:t>
      </w:r>
    </w:p>
    <w:p w14:paraId="1B4FE32D" w14:textId="77777777" w:rsidR="006B3F46" w:rsidRPr="009978E3" w:rsidRDefault="006B3F46" w:rsidP="002E4B39">
      <w:pPr>
        <w:keepNext/>
        <w:rPr>
          <w:rFonts w:eastAsia="MS Mincho"/>
          <w:bCs/>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6B3F46" w:rsidRPr="0021277B" w14:paraId="1C9A274A" w14:textId="77777777" w:rsidTr="00907941">
        <w:tc>
          <w:tcPr>
            <w:tcW w:w="4508" w:type="dxa"/>
            <w:shd w:val="clear" w:color="auto" w:fill="F2F2F2"/>
            <w:vAlign w:val="center"/>
          </w:tcPr>
          <w:p w14:paraId="62CAFEED" w14:textId="77777777" w:rsidR="006B3F46" w:rsidRPr="0021277B" w:rsidRDefault="006B3F46" w:rsidP="002E4B39">
            <w:pPr>
              <w:keepNext/>
              <w:jc w:val="center"/>
              <w:rPr>
                <w:sz w:val="22"/>
                <w:szCs w:val="22"/>
              </w:rPr>
            </w:pPr>
            <w:r w:rsidRPr="0021277B">
              <w:rPr>
                <w:b/>
                <w:bCs/>
                <w:sz w:val="22"/>
                <w:szCs w:val="22"/>
                <w:lang w:eastAsia="en-GB"/>
              </w:rPr>
              <w:t>Types of VME indicators</w:t>
            </w:r>
          </w:p>
        </w:tc>
        <w:tc>
          <w:tcPr>
            <w:tcW w:w="4508" w:type="dxa"/>
            <w:tcBorders>
              <w:bottom w:val="single" w:sz="4" w:space="0" w:color="auto"/>
            </w:tcBorders>
            <w:shd w:val="clear" w:color="auto" w:fill="F2F2F2"/>
            <w:vAlign w:val="center"/>
          </w:tcPr>
          <w:p w14:paraId="20A2B22D" w14:textId="77777777" w:rsidR="006B3F46" w:rsidRPr="0021277B" w:rsidRDefault="006B3F46" w:rsidP="002E4B39">
            <w:pPr>
              <w:keepNext/>
              <w:jc w:val="center"/>
              <w:rPr>
                <w:sz w:val="22"/>
                <w:szCs w:val="22"/>
              </w:rPr>
            </w:pPr>
            <w:r w:rsidRPr="0021277B">
              <w:rPr>
                <w:b/>
                <w:bCs/>
                <w:sz w:val="22"/>
                <w:szCs w:val="22"/>
                <w:lang w:eastAsia="en-GB"/>
              </w:rPr>
              <w:t>Observations</w:t>
            </w:r>
          </w:p>
        </w:tc>
      </w:tr>
      <w:tr w:rsidR="006B3F46" w:rsidRPr="0021277B" w14:paraId="16718DBF" w14:textId="77777777" w:rsidTr="00907941">
        <w:tc>
          <w:tcPr>
            <w:tcW w:w="4508" w:type="dxa"/>
            <w:tcBorders>
              <w:right w:val="single" w:sz="4" w:space="0" w:color="auto"/>
            </w:tcBorders>
            <w:shd w:val="clear" w:color="auto" w:fill="F2F2F2"/>
            <w:vAlign w:val="center"/>
          </w:tcPr>
          <w:p w14:paraId="60E20B89" w14:textId="77777777" w:rsidR="006B3F46" w:rsidRPr="0021277B" w:rsidRDefault="006B3F46" w:rsidP="00907941">
            <w:pPr>
              <w:rPr>
                <w:sz w:val="22"/>
                <w:szCs w:val="22"/>
              </w:rPr>
            </w:pPr>
            <w:r w:rsidRPr="0021277B">
              <w:rPr>
                <w:b/>
                <w:bCs/>
                <w:sz w:val="22"/>
                <w:szCs w:val="22"/>
                <w:lang w:eastAsia="en-GB"/>
              </w:rPr>
              <w:t>Cold</w:t>
            </w:r>
            <w:r>
              <w:rPr>
                <w:b/>
                <w:bCs/>
                <w:sz w:val="22"/>
                <w:szCs w:val="22"/>
                <w:lang w:eastAsia="en-GB"/>
              </w:rPr>
              <w:t>-</w:t>
            </w:r>
            <w:r w:rsidRPr="0021277B">
              <w:rPr>
                <w:b/>
                <w:bCs/>
                <w:sz w:val="22"/>
                <w:szCs w:val="22"/>
                <w:lang w:eastAsia="en-GB"/>
              </w:rPr>
              <w:t>water coral reefs</w:t>
            </w:r>
          </w:p>
        </w:tc>
        <w:tc>
          <w:tcPr>
            <w:tcW w:w="4508" w:type="dxa"/>
            <w:tcBorders>
              <w:left w:val="single" w:sz="4" w:space="0" w:color="auto"/>
              <w:bottom w:val="single" w:sz="4" w:space="0" w:color="auto"/>
            </w:tcBorders>
            <w:shd w:val="clear" w:color="auto" w:fill="F2F2F2"/>
            <w:vAlign w:val="bottom"/>
          </w:tcPr>
          <w:p w14:paraId="5AE175D0" w14:textId="77777777" w:rsidR="006B3F46" w:rsidRPr="0021277B" w:rsidRDefault="006B3F46" w:rsidP="00907941">
            <w:pPr>
              <w:rPr>
                <w:sz w:val="22"/>
                <w:szCs w:val="22"/>
              </w:rPr>
            </w:pPr>
          </w:p>
        </w:tc>
      </w:tr>
      <w:tr w:rsidR="006B3F46" w:rsidRPr="0021277B" w14:paraId="5581077B" w14:textId="77777777" w:rsidTr="00907941">
        <w:tc>
          <w:tcPr>
            <w:tcW w:w="4508" w:type="dxa"/>
            <w:tcBorders>
              <w:right w:val="single" w:sz="4" w:space="0" w:color="auto"/>
            </w:tcBorders>
            <w:shd w:val="clear" w:color="auto" w:fill="auto"/>
            <w:vAlign w:val="center"/>
          </w:tcPr>
          <w:p w14:paraId="1D57A26B" w14:textId="77777777" w:rsidR="006B3F46" w:rsidRPr="0021277B" w:rsidRDefault="006B3F46" w:rsidP="00907941">
            <w:pPr>
              <w:rPr>
                <w:sz w:val="22"/>
                <w:szCs w:val="22"/>
              </w:rPr>
            </w:pPr>
            <w:r w:rsidRPr="0021277B">
              <w:rPr>
                <w:i/>
                <w:iCs/>
                <w:sz w:val="22"/>
                <w:szCs w:val="22"/>
                <w:lang w:eastAsia="en-GB"/>
              </w:rPr>
              <w:t>Solenosmilia variabilis</w:t>
            </w:r>
            <w:r w:rsidRPr="0021277B">
              <w:rPr>
                <w:sz w:val="22"/>
                <w:szCs w:val="22"/>
                <w:lang w:eastAsia="en-GB"/>
              </w:rPr>
              <w:t> </w:t>
            </w:r>
            <w:r w:rsidRPr="0021277B">
              <w:rPr>
                <w:i/>
                <w:iCs/>
                <w:sz w:val="22"/>
                <w:szCs w:val="22"/>
                <w:lang w:eastAsia="en-GB"/>
              </w:rPr>
              <w:t xml:space="preserve"> </w:t>
            </w:r>
            <w:r w:rsidRPr="0021277B">
              <w:rPr>
                <w:sz w:val="22"/>
                <w:szCs w:val="22"/>
                <w:lang w:eastAsia="en-GB"/>
              </w:rPr>
              <w:t>Duncan, 1873</w:t>
            </w:r>
          </w:p>
        </w:tc>
        <w:tc>
          <w:tcPr>
            <w:tcW w:w="4508" w:type="dxa"/>
            <w:tcBorders>
              <w:left w:val="single" w:sz="4" w:space="0" w:color="auto"/>
              <w:bottom w:val="single" w:sz="4" w:space="0" w:color="auto"/>
            </w:tcBorders>
            <w:shd w:val="clear" w:color="auto" w:fill="auto"/>
            <w:vAlign w:val="center"/>
          </w:tcPr>
          <w:p w14:paraId="45FEA808" w14:textId="77777777" w:rsidR="006B3F46" w:rsidRPr="0021277B" w:rsidRDefault="006B3F46" w:rsidP="00907941">
            <w:pPr>
              <w:rPr>
                <w:sz w:val="22"/>
                <w:szCs w:val="22"/>
              </w:rPr>
            </w:pPr>
            <w:r w:rsidRPr="0021277B">
              <w:rPr>
                <w:sz w:val="22"/>
                <w:szCs w:val="22"/>
                <w:lang w:eastAsia="en-GB"/>
              </w:rPr>
              <w:t>Patchily present in ledges, but no large reefs.</w:t>
            </w:r>
          </w:p>
        </w:tc>
      </w:tr>
      <w:tr w:rsidR="006B3F46" w:rsidRPr="0021277B" w14:paraId="1F916771" w14:textId="77777777" w:rsidTr="00907941">
        <w:tc>
          <w:tcPr>
            <w:tcW w:w="4508" w:type="dxa"/>
            <w:tcBorders>
              <w:bottom w:val="single" w:sz="4" w:space="0" w:color="auto"/>
              <w:right w:val="single" w:sz="4" w:space="0" w:color="auto"/>
            </w:tcBorders>
            <w:shd w:val="clear" w:color="auto" w:fill="F2F2F2"/>
            <w:vAlign w:val="center"/>
          </w:tcPr>
          <w:p w14:paraId="5208EBF3" w14:textId="77777777" w:rsidR="006B3F46" w:rsidRPr="0021277B" w:rsidRDefault="006B3F46" w:rsidP="00907941">
            <w:pPr>
              <w:rPr>
                <w:sz w:val="22"/>
                <w:szCs w:val="22"/>
              </w:rPr>
            </w:pPr>
            <w:r w:rsidRPr="0021277B">
              <w:rPr>
                <w:b/>
                <w:bCs/>
                <w:sz w:val="22"/>
                <w:szCs w:val="22"/>
                <w:lang w:eastAsia="en-GB"/>
              </w:rPr>
              <w:t>Coral gardens</w:t>
            </w:r>
            <w:r w:rsidRPr="0021277B">
              <w:rPr>
                <w:sz w:val="22"/>
                <w:szCs w:val="22"/>
                <w:lang w:eastAsia="en-GB"/>
              </w:rPr>
              <w:t> </w:t>
            </w:r>
          </w:p>
        </w:tc>
        <w:tc>
          <w:tcPr>
            <w:tcW w:w="4508" w:type="dxa"/>
            <w:tcBorders>
              <w:left w:val="single" w:sz="4" w:space="0" w:color="auto"/>
            </w:tcBorders>
            <w:shd w:val="clear" w:color="auto" w:fill="F2F2F2"/>
          </w:tcPr>
          <w:p w14:paraId="3B50A331" w14:textId="77777777" w:rsidR="006B3F46" w:rsidRPr="0021277B" w:rsidRDefault="006B3F46" w:rsidP="00907941">
            <w:pPr>
              <w:rPr>
                <w:sz w:val="22"/>
                <w:szCs w:val="22"/>
              </w:rPr>
            </w:pPr>
          </w:p>
        </w:tc>
      </w:tr>
      <w:tr w:rsidR="006B3F46" w:rsidRPr="0021277B" w14:paraId="2FFD96CD" w14:textId="77777777" w:rsidTr="00907941">
        <w:tc>
          <w:tcPr>
            <w:tcW w:w="4508" w:type="dxa"/>
            <w:tcBorders>
              <w:bottom w:val="nil"/>
            </w:tcBorders>
            <w:shd w:val="clear" w:color="auto" w:fill="auto"/>
            <w:vAlign w:val="center"/>
          </w:tcPr>
          <w:p w14:paraId="283A2F52" w14:textId="77777777" w:rsidR="006B3F46" w:rsidRPr="0021277B" w:rsidRDefault="006B3F46" w:rsidP="00907941">
            <w:pPr>
              <w:rPr>
                <w:bCs/>
                <w:sz w:val="22"/>
                <w:szCs w:val="22"/>
                <w:lang w:val="fr-CA"/>
              </w:rPr>
            </w:pPr>
            <w:r w:rsidRPr="0021277B">
              <w:rPr>
                <w:i/>
                <w:iCs/>
                <w:sz w:val="22"/>
                <w:szCs w:val="22"/>
                <w:lang w:val="fr-CA" w:eastAsia="en-GB"/>
              </w:rPr>
              <w:t xml:space="preserve">Acanella arbuscula </w:t>
            </w:r>
            <w:r w:rsidRPr="0021277B">
              <w:rPr>
                <w:bCs/>
                <w:sz w:val="22"/>
                <w:szCs w:val="22"/>
                <w:lang w:val="fr-CA"/>
              </w:rPr>
              <w:t>(Johnson, 1862)</w:t>
            </w:r>
          </w:p>
          <w:p w14:paraId="5B362B63" w14:textId="77777777" w:rsidR="006B3F46" w:rsidRPr="0021277B" w:rsidRDefault="006B3F46" w:rsidP="00907941">
            <w:pPr>
              <w:rPr>
                <w:sz w:val="22"/>
                <w:szCs w:val="22"/>
                <w:lang w:val="fr-CA" w:eastAsia="en-GB"/>
              </w:rPr>
            </w:pPr>
            <w:r w:rsidRPr="0021277B">
              <w:rPr>
                <w:i/>
                <w:iCs/>
                <w:sz w:val="22"/>
                <w:szCs w:val="22"/>
                <w:lang w:val="fr-CA" w:eastAsia="en-GB"/>
              </w:rPr>
              <w:t>Acanella</w:t>
            </w:r>
            <w:r w:rsidRPr="0021277B">
              <w:rPr>
                <w:sz w:val="22"/>
                <w:szCs w:val="22"/>
                <w:lang w:val="fr-CA" w:eastAsia="en-GB"/>
              </w:rPr>
              <w:t xml:space="preserve"> sp. </w:t>
            </w:r>
          </w:p>
          <w:p w14:paraId="482B638F" w14:textId="77777777" w:rsidR="006B3F46" w:rsidRPr="0021277B" w:rsidRDefault="006B3F46" w:rsidP="00907941">
            <w:pPr>
              <w:rPr>
                <w:sz w:val="22"/>
                <w:szCs w:val="22"/>
                <w:lang w:val="fr-CA"/>
              </w:rPr>
            </w:pPr>
            <w:r w:rsidRPr="0021277B">
              <w:rPr>
                <w:i/>
                <w:iCs/>
                <w:sz w:val="22"/>
                <w:szCs w:val="22"/>
                <w:lang w:val="fr-CA" w:eastAsia="en-GB"/>
              </w:rPr>
              <w:t xml:space="preserve">Narella bellissima </w:t>
            </w:r>
            <w:r w:rsidRPr="0021277B">
              <w:rPr>
                <w:sz w:val="22"/>
                <w:szCs w:val="22"/>
                <w:lang w:val="fr-CA"/>
              </w:rPr>
              <w:t>(Kükenthal, 1915)</w:t>
            </w:r>
          </w:p>
        </w:tc>
        <w:tc>
          <w:tcPr>
            <w:tcW w:w="4508" w:type="dxa"/>
            <w:vMerge w:val="restart"/>
            <w:shd w:val="clear" w:color="auto" w:fill="auto"/>
          </w:tcPr>
          <w:p w14:paraId="439742AF" w14:textId="77777777" w:rsidR="006B3F46" w:rsidRPr="0021277B" w:rsidRDefault="006B3F46" w:rsidP="00907941">
            <w:pPr>
              <w:jc w:val="center"/>
              <w:rPr>
                <w:sz w:val="22"/>
                <w:szCs w:val="22"/>
                <w:lang w:val="fr-CA" w:eastAsia="en-GB"/>
              </w:rPr>
            </w:pPr>
          </w:p>
          <w:p w14:paraId="1CE61655" w14:textId="77777777" w:rsidR="006B3F46" w:rsidRPr="0021277B" w:rsidRDefault="006B3F46" w:rsidP="00907941">
            <w:pPr>
              <w:jc w:val="center"/>
              <w:rPr>
                <w:sz w:val="22"/>
                <w:szCs w:val="22"/>
                <w:lang w:val="fr-CA" w:eastAsia="en-GB"/>
              </w:rPr>
            </w:pPr>
          </w:p>
          <w:p w14:paraId="41F37DCA" w14:textId="77777777" w:rsidR="006B3F46" w:rsidRPr="0021277B" w:rsidRDefault="006B3F46" w:rsidP="00907941">
            <w:pPr>
              <w:jc w:val="center"/>
              <w:rPr>
                <w:sz w:val="22"/>
                <w:szCs w:val="22"/>
                <w:lang w:val="fr-CA" w:eastAsia="en-GB"/>
              </w:rPr>
            </w:pPr>
          </w:p>
          <w:p w14:paraId="352D9017" w14:textId="77777777" w:rsidR="006B3F46" w:rsidRPr="0021277B" w:rsidRDefault="006B3F46" w:rsidP="00907941">
            <w:pPr>
              <w:rPr>
                <w:sz w:val="22"/>
                <w:szCs w:val="22"/>
              </w:rPr>
            </w:pPr>
            <w:r w:rsidRPr="0021277B">
              <w:rPr>
                <w:sz w:val="22"/>
                <w:szCs w:val="22"/>
                <w:lang w:eastAsia="en-GB"/>
              </w:rPr>
              <w:t>Coral gardens of various types included different identified and unidentified octocoral species. A coral garden of the Family Isididae hosted deep-sea squid eggs</w:t>
            </w:r>
            <w:r>
              <w:rPr>
                <w:sz w:val="22"/>
                <w:szCs w:val="22"/>
                <w:lang w:eastAsia="en-GB"/>
              </w:rPr>
              <w:t>,</w:t>
            </w:r>
            <w:r w:rsidRPr="0021277B">
              <w:rPr>
                <w:sz w:val="22"/>
                <w:szCs w:val="22"/>
                <w:lang w:eastAsia="en-GB"/>
              </w:rPr>
              <w:t xml:space="preserve"> indicating a spawning ground.</w:t>
            </w:r>
          </w:p>
        </w:tc>
      </w:tr>
      <w:tr w:rsidR="006B3F46" w:rsidRPr="0021277B" w14:paraId="4A3C5EF3" w14:textId="77777777" w:rsidTr="00907941">
        <w:tc>
          <w:tcPr>
            <w:tcW w:w="4508" w:type="dxa"/>
            <w:tcBorders>
              <w:top w:val="nil"/>
              <w:bottom w:val="nil"/>
            </w:tcBorders>
            <w:shd w:val="clear" w:color="auto" w:fill="auto"/>
            <w:vAlign w:val="center"/>
          </w:tcPr>
          <w:p w14:paraId="2E8F0526" w14:textId="77777777" w:rsidR="006B3F46" w:rsidRPr="0021277B" w:rsidRDefault="006B3F46" w:rsidP="00907941">
            <w:pPr>
              <w:rPr>
                <w:sz w:val="22"/>
                <w:szCs w:val="22"/>
                <w:lang w:eastAsia="en-GB"/>
              </w:rPr>
            </w:pPr>
            <w:r w:rsidRPr="0021277B">
              <w:rPr>
                <w:i/>
                <w:iCs/>
                <w:sz w:val="22"/>
                <w:szCs w:val="22"/>
                <w:lang w:eastAsia="en-GB"/>
              </w:rPr>
              <w:t>Narella</w:t>
            </w:r>
            <w:r w:rsidRPr="0021277B">
              <w:rPr>
                <w:sz w:val="22"/>
                <w:szCs w:val="22"/>
                <w:lang w:eastAsia="en-GB"/>
              </w:rPr>
              <w:t xml:space="preserve"> sp. </w:t>
            </w:r>
          </w:p>
          <w:p w14:paraId="3FC55201" w14:textId="77777777" w:rsidR="006B3F46" w:rsidRPr="0021277B" w:rsidRDefault="006B3F46" w:rsidP="00907941">
            <w:pPr>
              <w:rPr>
                <w:sz w:val="22"/>
                <w:szCs w:val="22"/>
              </w:rPr>
            </w:pPr>
            <w:r w:rsidRPr="0021277B">
              <w:rPr>
                <w:i/>
                <w:sz w:val="22"/>
                <w:szCs w:val="22"/>
                <w:lang w:eastAsia="en-GB"/>
              </w:rPr>
              <w:t>Thouarella</w:t>
            </w:r>
            <w:r w:rsidRPr="0021277B">
              <w:rPr>
                <w:sz w:val="22"/>
                <w:szCs w:val="22"/>
                <w:lang w:eastAsia="en-GB"/>
              </w:rPr>
              <w:t xml:space="preserve"> sp.</w:t>
            </w:r>
          </w:p>
        </w:tc>
        <w:tc>
          <w:tcPr>
            <w:tcW w:w="4508" w:type="dxa"/>
            <w:vMerge/>
            <w:shd w:val="clear" w:color="auto" w:fill="auto"/>
          </w:tcPr>
          <w:p w14:paraId="0FE7C9FB" w14:textId="77777777" w:rsidR="006B3F46" w:rsidRPr="0021277B" w:rsidRDefault="006B3F46" w:rsidP="00907941">
            <w:pPr>
              <w:rPr>
                <w:sz w:val="22"/>
                <w:szCs w:val="22"/>
              </w:rPr>
            </w:pPr>
          </w:p>
        </w:tc>
      </w:tr>
      <w:tr w:rsidR="006B3F46" w:rsidRPr="0021277B" w14:paraId="19958E6E" w14:textId="77777777" w:rsidTr="00907941">
        <w:tc>
          <w:tcPr>
            <w:tcW w:w="4508" w:type="dxa"/>
            <w:tcBorders>
              <w:top w:val="nil"/>
              <w:bottom w:val="nil"/>
            </w:tcBorders>
            <w:shd w:val="clear" w:color="auto" w:fill="auto"/>
            <w:vAlign w:val="center"/>
          </w:tcPr>
          <w:p w14:paraId="09137609" w14:textId="77777777" w:rsidR="006B3F46" w:rsidRPr="0021277B" w:rsidRDefault="006B3F46" w:rsidP="00907941">
            <w:pPr>
              <w:rPr>
                <w:sz w:val="22"/>
                <w:szCs w:val="22"/>
              </w:rPr>
            </w:pPr>
            <w:r w:rsidRPr="0021277B">
              <w:rPr>
                <w:i/>
                <w:iCs/>
                <w:sz w:val="22"/>
                <w:szCs w:val="22"/>
                <w:lang w:eastAsia="en-GB"/>
              </w:rPr>
              <w:t xml:space="preserve">Corallium tricolor </w:t>
            </w:r>
            <w:r w:rsidRPr="0021277B">
              <w:rPr>
                <w:sz w:val="22"/>
                <w:szCs w:val="22"/>
              </w:rPr>
              <w:t>(Johnson, 1899)</w:t>
            </w:r>
          </w:p>
          <w:p w14:paraId="4AA3DE02" w14:textId="77777777" w:rsidR="006B3F46" w:rsidRPr="0021277B" w:rsidRDefault="006B3F46" w:rsidP="00907941">
            <w:pPr>
              <w:rPr>
                <w:sz w:val="22"/>
                <w:szCs w:val="22"/>
              </w:rPr>
            </w:pPr>
            <w:r w:rsidRPr="0021277B">
              <w:rPr>
                <w:i/>
                <w:iCs/>
                <w:sz w:val="22"/>
                <w:szCs w:val="22"/>
                <w:lang w:eastAsia="en-GB"/>
              </w:rPr>
              <w:t>Corallium</w:t>
            </w:r>
            <w:r w:rsidRPr="0021277B">
              <w:rPr>
                <w:sz w:val="22"/>
                <w:szCs w:val="22"/>
                <w:lang w:eastAsia="en-GB"/>
              </w:rPr>
              <w:t xml:space="preserve"> sp. </w:t>
            </w:r>
          </w:p>
        </w:tc>
        <w:tc>
          <w:tcPr>
            <w:tcW w:w="4508" w:type="dxa"/>
            <w:vMerge/>
            <w:shd w:val="clear" w:color="auto" w:fill="auto"/>
          </w:tcPr>
          <w:p w14:paraId="0B88C90C" w14:textId="77777777" w:rsidR="006B3F46" w:rsidRPr="0021277B" w:rsidRDefault="006B3F46" w:rsidP="00907941">
            <w:pPr>
              <w:rPr>
                <w:sz w:val="22"/>
                <w:szCs w:val="22"/>
              </w:rPr>
            </w:pPr>
          </w:p>
        </w:tc>
      </w:tr>
      <w:tr w:rsidR="006B3F46" w:rsidRPr="0021277B" w14:paraId="506A1DBC" w14:textId="77777777" w:rsidTr="00907941">
        <w:tc>
          <w:tcPr>
            <w:tcW w:w="4508" w:type="dxa"/>
            <w:tcBorders>
              <w:top w:val="nil"/>
              <w:bottom w:val="nil"/>
            </w:tcBorders>
            <w:shd w:val="clear" w:color="auto" w:fill="auto"/>
            <w:vAlign w:val="center"/>
          </w:tcPr>
          <w:p w14:paraId="1985C6DD" w14:textId="77777777" w:rsidR="006B3F46" w:rsidRPr="0021277B" w:rsidRDefault="006B3F46" w:rsidP="00907941">
            <w:pPr>
              <w:rPr>
                <w:sz w:val="22"/>
                <w:szCs w:val="22"/>
              </w:rPr>
            </w:pPr>
            <w:r w:rsidRPr="0021277B">
              <w:rPr>
                <w:iCs/>
                <w:sz w:val="22"/>
                <w:szCs w:val="22"/>
                <w:lang w:eastAsia="en-GB"/>
              </w:rPr>
              <w:t>cf.</w:t>
            </w:r>
            <w:r w:rsidRPr="0021277B">
              <w:rPr>
                <w:i/>
                <w:iCs/>
                <w:sz w:val="22"/>
                <w:szCs w:val="22"/>
                <w:lang w:eastAsia="en-GB"/>
              </w:rPr>
              <w:t xml:space="preserve"> Swiftia sp. </w:t>
            </w:r>
          </w:p>
        </w:tc>
        <w:tc>
          <w:tcPr>
            <w:tcW w:w="4508" w:type="dxa"/>
            <w:vMerge/>
            <w:shd w:val="clear" w:color="auto" w:fill="auto"/>
          </w:tcPr>
          <w:p w14:paraId="3C2AC8E7" w14:textId="77777777" w:rsidR="006B3F46" w:rsidRPr="0021277B" w:rsidRDefault="006B3F46" w:rsidP="00907941">
            <w:pPr>
              <w:rPr>
                <w:sz w:val="22"/>
                <w:szCs w:val="22"/>
              </w:rPr>
            </w:pPr>
          </w:p>
        </w:tc>
      </w:tr>
      <w:tr w:rsidR="006B3F46" w:rsidRPr="0021277B" w14:paraId="3CE8F4EA" w14:textId="77777777" w:rsidTr="00907941">
        <w:tc>
          <w:tcPr>
            <w:tcW w:w="4508" w:type="dxa"/>
            <w:tcBorders>
              <w:top w:val="nil"/>
              <w:bottom w:val="nil"/>
            </w:tcBorders>
            <w:shd w:val="clear" w:color="auto" w:fill="auto"/>
            <w:vAlign w:val="center"/>
          </w:tcPr>
          <w:p w14:paraId="12038AA5" w14:textId="77777777" w:rsidR="006B3F46" w:rsidRPr="0021277B" w:rsidRDefault="006B3F46" w:rsidP="00907941">
            <w:pPr>
              <w:rPr>
                <w:i/>
                <w:iCs/>
                <w:sz w:val="22"/>
                <w:szCs w:val="22"/>
                <w:lang w:eastAsia="en-GB"/>
              </w:rPr>
            </w:pPr>
            <w:r w:rsidRPr="0021277B">
              <w:rPr>
                <w:i/>
                <w:iCs/>
                <w:sz w:val="22"/>
                <w:szCs w:val="22"/>
                <w:lang w:eastAsia="en-GB"/>
              </w:rPr>
              <w:t xml:space="preserve">Acanthogorgia armata </w:t>
            </w:r>
            <w:r w:rsidRPr="0021277B">
              <w:rPr>
                <w:iCs/>
                <w:sz w:val="22"/>
                <w:szCs w:val="22"/>
                <w:lang w:eastAsia="en-GB"/>
              </w:rPr>
              <w:t>Verrill, 1878</w:t>
            </w:r>
          </w:p>
        </w:tc>
        <w:tc>
          <w:tcPr>
            <w:tcW w:w="4508" w:type="dxa"/>
            <w:vMerge/>
            <w:shd w:val="clear" w:color="auto" w:fill="auto"/>
          </w:tcPr>
          <w:p w14:paraId="2CEA8B26" w14:textId="77777777" w:rsidR="006B3F46" w:rsidRPr="0021277B" w:rsidRDefault="006B3F46" w:rsidP="00907941">
            <w:pPr>
              <w:rPr>
                <w:sz w:val="22"/>
                <w:szCs w:val="22"/>
              </w:rPr>
            </w:pPr>
          </w:p>
        </w:tc>
      </w:tr>
      <w:tr w:rsidR="006B3F46" w:rsidRPr="0021277B" w14:paraId="5C977E05" w14:textId="77777777" w:rsidTr="00907941">
        <w:tc>
          <w:tcPr>
            <w:tcW w:w="4508" w:type="dxa"/>
            <w:tcBorders>
              <w:top w:val="nil"/>
              <w:bottom w:val="nil"/>
            </w:tcBorders>
            <w:shd w:val="clear" w:color="auto" w:fill="auto"/>
            <w:vAlign w:val="center"/>
          </w:tcPr>
          <w:p w14:paraId="5008931E" w14:textId="77777777" w:rsidR="006B3F46" w:rsidRPr="0021277B" w:rsidRDefault="006B3F46" w:rsidP="00907941">
            <w:pPr>
              <w:rPr>
                <w:i/>
                <w:iCs/>
                <w:sz w:val="22"/>
                <w:szCs w:val="22"/>
                <w:lang w:eastAsia="en-GB"/>
              </w:rPr>
            </w:pPr>
            <w:r w:rsidRPr="0021277B">
              <w:rPr>
                <w:i/>
                <w:iCs/>
                <w:sz w:val="22"/>
                <w:szCs w:val="22"/>
                <w:lang w:eastAsia="en-GB"/>
              </w:rPr>
              <w:t>Chrysogorgia</w:t>
            </w:r>
            <w:r w:rsidRPr="0021277B">
              <w:rPr>
                <w:sz w:val="22"/>
                <w:szCs w:val="22"/>
                <w:lang w:eastAsia="en-GB"/>
              </w:rPr>
              <w:t xml:space="preserve"> sp. </w:t>
            </w:r>
          </w:p>
        </w:tc>
        <w:tc>
          <w:tcPr>
            <w:tcW w:w="4508" w:type="dxa"/>
            <w:vMerge/>
            <w:shd w:val="clear" w:color="auto" w:fill="auto"/>
          </w:tcPr>
          <w:p w14:paraId="7400C521" w14:textId="77777777" w:rsidR="006B3F46" w:rsidRPr="0021277B" w:rsidRDefault="006B3F46" w:rsidP="00907941">
            <w:pPr>
              <w:rPr>
                <w:sz w:val="22"/>
                <w:szCs w:val="22"/>
              </w:rPr>
            </w:pPr>
          </w:p>
        </w:tc>
      </w:tr>
      <w:tr w:rsidR="006B3F46" w:rsidRPr="0021277B" w14:paraId="01ADB4A7" w14:textId="77777777" w:rsidTr="00907941">
        <w:tc>
          <w:tcPr>
            <w:tcW w:w="4508" w:type="dxa"/>
            <w:tcBorders>
              <w:top w:val="nil"/>
              <w:bottom w:val="nil"/>
            </w:tcBorders>
            <w:shd w:val="clear" w:color="auto" w:fill="auto"/>
            <w:vAlign w:val="center"/>
          </w:tcPr>
          <w:p w14:paraId="3ACA698C" w14:textId="77777777" w:rsidR="006B3F46" w:rsidRPr="0021277B" w:rsidRDefault="006B3F46" w:rsidP="00907941">
            <w:pPr>
              <w:rPr>
                <w:i/>
                <w:iCs/>
                <w:sz w:val="22"/>
                <w:szCs w:val="22"/>
                <w:lang w:eastAsia="en-GB"/>
              </w:rPr>
            </w:pPr>
            <w:r w:rsidRPr="0021277B">
              <w:rPr>
                <w:i/>
                <w:iCs/>
                <w:sz w:val="22"/>
                <w:szCs w:val="22"/>
                <w:lang w:eastAsia="en-GB"/>
              </w:rPr>
              <w:t>Metallogorgia</w:t>
            </w:r>
            <w:r w:rsidRPr="0021277B">
              <w:rPr>
                <w:sz w:val="22"/>
                <w:szCs w:val="22"/>
                <w:lang w:eastAsia="en-GB"/>
              </w:rPr>
              <w:t xml:space="preserve"> </w:t>
            </w:r>
            <w:r w:rsidRPr="0021277B">
              <w:rPr>
                <w:i/>
                <w:iCs/>
                <w:sz w:val="22"/>
                <w:szCs w:val="22"/>
                <w:lang w:eastAsia="en-GB"/>
              </w:rPr>
              <w:t xml:space="preserve">melanotrichos </w:t>
            </w:r>
          </w:p>
          <w:p w14:paraId="023FF0A3" w14:textId="77777777" w:rsidR="006B3F46" w:rsidRPr="0021277B" w:rsidRDefault="006B3F46" w:rsidP="00907941">
            <w:pPr>
              <w:rPr>
                <w:i/>
                <w:iCs/>
                <w:sz w:val="22"/>
                <w:szCs w:val="22"/>
                <w:lang w:eastAsia="en-GB"/>
              </w:rPr>
            </w:pPr>
            <w:r w:rsidRPr="0021277B">
              <w:rPr>
                <w:sz w:val="22"/>
                <w:szCs w:val="22"/>
                <w:lang w:eastAsia="en-GB"/>
              </w:rPr>
              <w:t>(Wright &amp; Studer, 1889)</w:t>
            </w:r>
          </w:p>
        </w:tc>
        <w:tc>
          <w:tcPr>
            <w:tcW w:w="4508" w:type="dxa"/>
            <w:vMerge/>
            <w:shd w:val="clear" w:color="auto" w:fill="auto"/>
          </w:tcPr>
          <w:p w14:paraId="69FF4958" w14:textId="77777777" w:rsidR="006B3F46" w:rsidRPr="0021277B" w:rsidRDefault="006B3F46" w:rsidP="00907941">
            <w:pPr>
              <w:rPr>
                <w:sz w:val="22"/>
                <w:szCs w:val="22"/>
              </w:rPr>
            </w:pPr>
          </w:p>
        </w:tc>
      </w:tr>
      <w:tr w:rsidR="006B3F46" w:rsidRPr="0021277B" w14:paraId="1EBB077B" w14:textId="77777777" w:rsidTr="00907941">
        <w:tc>
          <w:tcPr>
            <w:tcW w:w="4508" w:type="dxa"/>
            <w:tcBorders>
              <w:top w:val="nil"/>
              <w:bottom w:val="nil"/>
            </w:tcBorders>
            <w:shd w:val="clear" w:color="auto" w:fill="auto"/>
            <w:vAlign w:val="center"/>
          </w:tcPr>
          <w:p w14:paraId="7FF82290" w14:textId="77777777" w:rsidR="006B3F46" w:rsidRPr="0021277B" w:rsidRDefault="006B3F46" w:rsidP="00907941">
            <w:pPr>
              <w:rPr>
                <w:i/>
                <w:iCs/>
                <w:sz w:val="22"/>
                <w:szCs w:val="22"/>
                <w:lang w:eastAsia="en-GB"/>
              </w:rPr>
            </w:pPr>
            <w:r w:rsidRPr="0021277B">
              <w:rPr>
                <w:i/>
                <w:iCs/>
                <w:sz w:val="22"/>
                <w:szCs w:val="22"/>
                <w:lang w:eastAsia="en-GB"/>
              </w:rPr>
              <w:t>Iridogorgia</w:t>
            </w:r>
            <w:r w:rsidRPr="0021277B">
              <w:rPr>
                <w:sz w:val="22"/>
                <w:szCs w:val="22"/>
                <w:lang w:eastAsia="en-GB"/>
              </w:rPr>
              <w:t xml:space="preserve"> sp. </w:t>
            </w:r>
          </w:p>
        </w:tc>
        <w:tc>
          <w:tcPr>
            <w:tcW w:w="4508" w:type="dxa"/>
            <w:vMerge/>
            <w:shd w:val="clear" w:color="auto" w:fill="auto"/>
          </w:tcPr>
          <w:p w14:paraId="6D52DB7C" w14:textId="77777777" w:rsidR="006B3F46" w:rsidRPr="0021277B" w:rsidRDefault="006B3F46" w:rsidP="00907941">
            <w:pPr>
              <w:rPr>
                <w:sz w:val="22"/>
                <w:szCs w:val="22"/>
              </w:rPr>
            </w:pPr>
          </w:p>
        </w:tc>
      </w:tr>
      <w:tr w:rsidR="006B3F46" w:rsidRPr="0021277B" w14:paraId="00B50CE2" w14:textId="77777777" w:rsidTr="00907941">
        <w:tc>
          <w:tcPr>
            <w:tcW w:w="4508" w:type="dxa"/>
            <w:tcBorders>
              <w:bottom w:val="single" w:sz="4" w:space="0" w:color="auto"/>
            </w:tcBorders>
            <w:shd w:val="clear" w:color="auto" w:fill="F2F2F2"/>
            <w:vAlign w:val="center"/>
          </w:tcPr>
          <w:p w14:paraId="081AAEA9" w14:textId="77777777" w:rsidR="006B3F46" w:rsidRPr="0021277B" w:rsidRDefault="006B3F46" w:rsidP="00907941">
            <w:pPr>
              <w:rPr>
                <w:i/>
                <w:iCs/>
                <w:sz w:val="22"/>
                <w:szCs w:val="22"/>
                <w:lang w:eastAsia="en-GB"/>
              </w:rPr>
            </w:pPr>
            <w:r w:rsidRPr="0021277B">
              <w:rPr>
                <w:b/>
                <w:bCs/>
                <w:sz w:val="22"/>
                <w:szCs w:val="22"/>
                <w:lang w:eastAsia="en-GB"/>
              </w:rPr>
              <w:t>Black corals</w:t>
            </w:r>
          </w:p>
        </w:tc>
        <w:tc>
          <w:tcPr>
            <w:tcW w:w="4508" w:type="dxa"/>
            <w:shd w:val="clear" w:color="auto" w:fill="F2F2F2"/>
          </w:tcPr>
          <w:p w14:paraId="02AB4CFC" w14:textId="77777777" w:rsidR="006B3F46" w:rsidRPr="0021277B" w:rsidRDefault="006B3F46" w:rsidP="00907941">
            <w:pPr>
              <w:jc w:val="center"/>
              <w:rPr>
                <w:sz w:val="22"/>
                <w:szCs w:val="22"/>
              </w:rPr>
            </w:pPr>
          </w:p>
        </w:tc>
      </w:tr>
      <w:tr w:rsidR="006B3F46" w:rsidRPr="0021277B" w14:paraId="3B85D8EB" w14:textId="77777777" w:rsidTr="00907941">
        <w:tc>
          <w:tcPr>
            <w:tcW w:w="4508" w:type="dxa"/>
            <w:tcBorders>
              <w:bottom w:val="nil"/>
            </w:tcBorders>
            <w:shd w:val="clear" w:color="auto" w:fill="auto"/>
            <w:vAlign w:val="center"/>
          </w:tcPr>
          <w:p w14:paraId="3CBBE976" w14:textId="77777777" w:rsidR="006B3F46" w:rsidRPr="0021277B" w:rsidRDefault="006B3F46" w:rsidP="00907941">
            <w:pPr>
              <w:rPr>
                <w:b/>
                <w:bCs/>
                <w:sz w:val="22"/>
                <w:szCs w:val="22"/>
                <w:lang w:eastAsia="en-GB"/>
              </w:rPr>
            </w:pPr>
            <w:r w:rsidRPr="0021277B">
              <w:rPr>
                <w:i/>
                <w:iCs/>
                <w:sz w:val="22"/>
                <w:szCs w:val="22"/>
                <w:lang w:eastAsia="en-GB"/>
              </w:rPr>
              <w:t>Parantipathes</w:t>
            </w:r>
            <w:r w:rsidRPr="0021277B">
              <w:rPr>
                <w:sz w:val="22"/>
                <w:szCs w:val="22"/>
                <w:lang w:eastAsia="en-GB"/>
              </w:rPr>
              <w:t xml:space="preserve"> sp. </w:t>
            </w:r>
          </w:p>
        </w:tc>
        <w:tc>
          <w:tcPr>
            <w:tcW w:w="4508" w:type="dxa"/>
            <w:vMerge w:val="restart"/>
            <w:shd w:val="clear" w:color="auto" w:fill="auto"/>
          </w:tcPr>
          <w:p w14:paraId="0FF8168D" w14:textId="77777777" w:rsidR="006B3F46" w:rsidRPr="0021277B" w:rsidRDefault="006B3F46" w:rsidP="00907941">
            <w:pPr>
              <w:jc w:val="both"/>
              <w:rPr>
                <w:sz w:val="22"/>
                <w:szCs w:val="22"/>
              </w:rPr>
            </w:pPr>
            <w:r w:rsidRPr="0021277B">
              <w:rPr>
                <w:sz w:val="22"/>
                <w:szCs w:val="22"/>
                <w:lang w:eastAsia="en-GB"/>
              </w:rPr>
              <w:t>Other unidentified antipatharian species were also observed.</w:t>
            </w:r>
          </w:p>
        </w:tc>
      </w:tr>
      <w:tr w:rsidR="006B3F46" w:rsidRPr="0021277B" w14:paraId="60CD29F4" w14:textId="77777777" w:rsidTr="00907941">
        <w:tc>
          <w:tcPr>
            <w:tcW w:w="4508" w:type="dxa"/>
            <w:tcBorders>
              <w:top w:val="nil"/>
            </w:tcBorders>
            <w:shd w:val="clear" w:color="auto" w:fill="auto"/>
            <w:vAlign w:val="center"/>
          </w:tcPr>
          <w:p w14:paraId="18DF83F8" w14:textId="77777777" w:rsidR="006B3F46" w:rsidRPr="0021277B" w:rsidRDefault="006B3F46" w:rsidP="00907941">
            <w:pPr>
              <w:rPr>
                <w:sz w:val="22"/>
                <w:szCs w:val="22"/>
                <w:lang w:eastAsia="en-GB"/>
              </w:rPr>
            </w:pPr>
            <w:r w:rsidRPr="0021277B">
              <w:rPr>
                <w:i/>
                <w:iCs/>
                <w:sz w:val="22"/>
                <w:szCs w:val="22"/>
                <w:lang w:eastAsia="en-GB"/>
              </w:rPr>
              <w:t>Bathypathes</w:t>
            </w:r>
            <w:r w:rsidRPr="0021277B">
              <w:rPr>
                <w:sz w:val="22"/>
                <w:szCs w:val="22"/>
                <w:lang w:eastAsia="en-GB"/>
              </w:rPr>
              <w:t xml:space="preserve"> sp. </w:t>
            </w:r>
          </w:p>
          <w:p w14:paraId="51D67757" w14:textId="77777777" w:rsidR="006B3F46" w:rsidRPr="0021277B" w:rsidRDefault="006B3F46" w:rsidP="00907941">
            <w:pPr>
              <w:rPr>
                <w:sz w:val="22"/>
                <w:szCs w:val="22"/>
                <w:lang w:eastAsia="en-GB"/>
              </w:rPr>
            </w:pPr>
            <w:r w:rsidRPr="0021277B">
              <w:rPr>
                <w:i/>
                <w:sz w:val="22"/>
                <w:szCs w:val="22"/>
                <w:lang w:eastAsia="en-GB"/>
              </w:rPr>
              <w:t>Leiopathes</w:t>
            </w:r>
            <w:r w:rsidRPr="0021277B">
              <w:rPr>
                <w:sz w:val="22"/>
                <w:szCs w:val="22"/>
                <w:lang w:eastAsia="en-GB"/>
              </w:rPr>
              <w:t xml:space="preserve"> sp.</w:t>
            </w:r>
          </w:p>
          <w:p w14:paraId="2BAD31ED" w14:textId="77777777" w:rsidR="006B3F46" w:rsidRPr="0021277B" w:rsidRDefault="006B3F46" w:rsidP="00907941">
            <w:pPr>
              <w:rPr>
                <w:i/>
                <w:iCs/>
                <w:sz w:val="22"/>
                <w:szCs w:val="22"/>
                <w:lang w:eastAsia="en-GB"/>
              </w:rPr>
            </w:pPr>
            <w:r w:rsidRPr="0021277B">
              <w:rPr>
                <w:sz w:val="22"/>
                <w:szCs w:val="22"/>
                <w:lang w:eastAsia="en-GB"/>
              </w:rPr>
              <w:t xml:space="preserve">cf. </w:t>
            </w:r>
            <w:r w:rsidRPr="0021277B">
              <w:rPr>
                <w:i/>
                <w:sz w:val="22"/>
                <w:szCs w:val="22"/>
                <w:lang w:eastAsia="en-GB"/>
              </w:rPr>
              <w:t>Stichopathes</w:t>
            </w:r>
            <w:r w:rsidRPr="0021277B">
              <w:rPr>
                <w:sz w:val="22"/>
                <w:szCs w:val="22"/>
                <w:lang w:eastAsia="en-GB"/>
              </w:rPr>
              <w:t xml:space="preserve"> sp.</w:t>
            </w:r>
          </w:p>
        </w:tc>
        <w:tc>
          <w:tcPr>
            <w:tcW w:w="4508" w:type="dxa"/>
            <w:vMerge/>
            <w:shd w:val="clear" w:color="auto" w:fill="auto"/>
          </w:tcPr>
          <w:p w14:paraId="2E612B76" w14:textId="77777777" w:rsidR="006B3F46" w:rsidRPr="0021277B" w:rsidRDefault="006B3F46" w:rsidP="00907941">
            <w:pPr>
              <w:rPr>
                <w:sz w:val="22"/>
                <w:szCs w:val="22"/>
              </w:rPr>
            </w:pPr>
          </w:p>
        </w:tc>
      </w:tr>
      <w:tr w:rsidR="006B3F46" w:rsidRPr="0021277B" w14:paraId="1A54D039" w14:textId="77777777" w:rsidTr="00907941">
        <w:tc>
          <w:tcPr>
            <w:tcW w:w="4508" w:type="dxa"/>
            <w:tcBorders>
              <w:bottom w:val="single" w:sz="4" w:space="0" w:color="auto"/>
            </w:tcBorders>
            <w:shd w:val="clear" w:color="auto" w:fill="F2F2F2"/>
            <w:vAlign w:val="center"/>
          </w:tcPr>
          <w:p w14:paraId="39CF588C" w14:textId="77777777" w:rsidR="006B3F46" w:rsidRPr="0021277B" w:rsidRDefault="006B3F46" w:rsidP="00907941">
            <w:pPr>
              <w:rPr>
                <w:i/>
                <w:iCs/>
                <w:sz w:val="22"/>
                <w:szCs w:val="22"/>
                <w:lang w:eastAsia="en-GB"/>
              </w:rPr>
            </w:pPr>
            <w:r w:rsidRPr="0021277B">
              <w:rPr>
                <w:b/>
                <w:bCs/>
                <w:sz w:val="22"/>
                <w:szCs w:val="22"/>
                <w:lang w:eastAsia="en-GB"/>
              </w:rPr>
              <w:t>Sponges</w:t>
            </w:r>
          </w:p>
        </w:tc>
        <w:tc>
          <w:tcPr>
            <w:tcW w:w="4508" w:type="dxa"/>
            <w:shd w:val="clear" w:color="auto" w:fill="F2F2F2"/>
          </w:tcPr>
          <w:p w14:paraId="6284C3B5" w14:textId="77777777" w:rsidR="006B3F46" w:rsidRPr="0021277B" w:rsidRDefault="006B3F46" w:rsidP="00907941">
            <w:pPr>
              <w:rPr>
                <w:sz w:val="22"/>
                <w:szCs w:val="22"/>
              </w:rPr>
            </w:pPr>
          </w:p>
        </w:tc>
      </w:tr>
      <w:tr w:rsidR="006B3F46" w:rsidRPr="0021277B" w14:paraId="3F272651" w14:textId="77777777" w:rsidTr="00907941">
        <w:tc>
          <w:tcPr>
            <w:tcW w:w="4508" w:type="dxa"/>
            <w:tcBorders>
              <w:bottom w:val="nil"/>
              <w:right w:val="single" w:sz="4" w:space="0" w:color="auto"/>
            </w:tcBorders>
            <w:shd w:val="clear" w:color="auto" w:fill="auto"/>
            <w:vAlign w:val="center"/>
          </w:tcPr>
          <w:p w14:paraId="42C4C98A" w14:textId="77777777" w:rsidR="006B3F46" w:rsidRPr="0021277B" w:rsidRDefault="006B3F46" w:rsidP="00907941">
            <w:pPr>
              <w:rPr>
                <w:i/>
                <w:iCs/>
                <w:sz w:val="22"/>
                <w:szCs w:val="22"/>
                <w:lang w:eastAsia="en-GB"/>
              </w:rPr>
            </w:pPr>
            <w:r w:rsidRPr="0021277B">
              <w:rPr>
                <w:i/>
                <w:iCs/>
                <w:sz w:val="22"/>
                <w:szCs w:val="22"/>
                <w:lang w:eastAsia="en-GB"/>
              </w:rPr>
              <w:t xml:space="preserve">Poliopogon amadou </w:t>
            </w:r>
            <w:r w:rsidRPr="0021277B">
              <w:rPr>
                <w:bCs/>
                <w:iCs/>
                <w:sz w:val="22"/>
                <w:szCs w:val="22"/>
                <w:lang w:eastAsia="en-GB"/>
              </w:rPr>
              <w:t>Thomson, 1877</w:t>
            </w:r>
            <w:r w:rsidRPr="0021277B">
              <w:rPr>
                <w:b/>
                <w:bCs/>
                <w:i/>
                <w:iCs/>
                <w:sz w:val="22"/>
                <w:szCs w:val="22"/>
                <w:lang w:eastAsia="en-GB"/>
              </w:rPr>
              <w:t> </w:t>
            </w:r>
          </w:p>
        </w:tc>
        <w:tc>
          <w:tcPr>
            <w:tcW w:w="4508" w:type="dxa"/>
            <w:vMerge w:val="restart"/>
            <w:tcBorders>
              <w:left w:val="single" w:sz="4" w:space="0" w:color="auto"/>
            </w:tcBorders>
            <w:shd w:val="clear" w:color="auto" w:fill="auto"/>
          </w:tcPr>
          <w:p w14:paraId="12747AC4" w14:textId="77777777" w:rsidR="006B3F46" w:rsidRPr="0021277B" w:rsidRDefault="006B3F46" w:rsidP="00907941">
            <w:pPr>
              <w:rPr>
                <w:sz w:val="22"/>
                <w:szCs w:val="22"/>
                <w:lang w:eastAsia="en-GB"/>
              </w:rPr>
            </w:pPr>
          </w:p>
          <w:p w14:paraId="19967D8F" w14:textId="77777777" w:rsidR="006B3F46" w:rsidRPr="0021277B" w:rsidRDefault="006B3F46" w:rsidP="00907941">
            <w:pPr>
              <w:rPr>
                <w:sz w:val="22"/>
                <w:szCs w:val="22"/>
                <w:lang w:eastAsia="en-GB"/>
              </w:rPr>
            </w:pPr>
          </w:p>
          <w:p w14:paraId="3D5B8DF2" w14:textId="77777777" w:rsidR="006B3F46" w:rsidRPr="0021277B" w:rsidRDefault="006B3F46" w:rsidP="00907941">
            <w:pPr>
              <w:rPr>
                <w:sz w:val="22"/>
                <w:szCs w:val="22"/>
                <w:lang w:eastAsia="en-GB"/>
              </w:rPr>
            </w:pPr>
          </w:p>
          <w:p w14:paraId="7C616330" w14:textId="77777777" w:rsidR="006B3F46" w:rsidRPr="0021277B" w:rsidRDefault="006B3F46" w:rsidP="00907941">
            <w:pPr>
              <w:rPr>
                <w:sz w:val="22"/>
                <w:szCs w:val="22"/>
              </w:rPr>
            </w:pPr>
            <w:r w:rsidRPr="0021277B">
              <w:rPr>
                <w:sz w:val="22"/>
                <w:szCs w:val="22"/>
                <w:lang w:eastAsia="en-GB"/>
              </w:rPr>
              <w:t>Sponges recorded during the dives were mainly hexactinellids, but also demosponges (</w:t>
            </w:r>
            <w:r w:rsidRPr="0021277B">
              <w:rPr>
                <w:i/>
                <w:iCs/>
                <w:sz w:val="22"/>
                <w:szCs w:val="22"/>
                <w:lang w:eastAsia="en-GB"/>
              </w:rPr>
              <w:t>Phakellia</w:t>
            </w:r>
            <w:r w:rsidRPr="0021277B">
              <w:rPr>
                <w:sz w:val="22"/>
                <w:szCs w:val="22"/>
                <w:lang w:eastAsia="en-GB"/>
              </w:rPr>
              <w:t xml:space="preserve"> sp.), and other undetermined and encrusting sponges.</w:t>
            </w:r>
          </w:p>
        </w:tc>
      </w:tr>
      <w:tr w:rsidR="006B3F46" w:rsidRPr="0021277B" w14:paraId="729F7084" w14:textId="77777777" w:rsidTr="00907941">
        <w:tc>
          <w:tcPr>
            <w:tcW w:w="4508" w:type="dxa"/>
            <w:tcBorders>
              <w:top w:val="nil"/>
              <w:bottom w:val="nil"/>
              <w:right w:val="single" w:sz="4" w:space="0" w:color="auto"/>
            </w:tcBorders>
            <w:shd w:val="clear" w:color="auto" w:fill="auto"/>
            <w:vAlign w:val="center"/>
          </w:tcPr>
          <w:p w14:paraId="5BF5D142" w14:textId="77777777" w:rsidR="006B3F46" w:rsidRPr="0021277B" w:rsidRDefault="006B3F46" w:rsidP="00907941">
            <w:pPr>
              <w:rPr>
                <w:iCs/>
                <w:sz w:val="22"/>
                <w:szCs w:val="22"/>
                <w:lang w:eastAsia="en-GB"/>
              </w:rPr>
            </w:pPr>
            <w:r w:rsidRPr="0021277B">
              <w:rPr>
                <w:i/>
                <w:iCs/>
                <w:sz w:val="22"/>
                <w:szCs w:val="22"/>
                <w:lang w:eastAsia="en-GB"/>
              </w:rPr>
              <w:t>Pheronema carpenteri</w:t>
            </w:r>
            <w:r w:rsidRPr="0021277B">
              <w:rPr>
                <w:iCs/>
                <w:sz w:val="22"/>
                <w:szCs w:val="22"/>
                <w:lang w:eastAsia="en-GB"/>
              </w:rPr>
              <w:t xml:space="preserve"> </w:t>
            </w:r>
            <w:r w:rsidRPr="0021277B">
              <w:rPr>
                <w:bCs/>
                <w:iCs/>
                <w:sz w:val="22"/>
                <w:szCs w:val="22"/>
                <w:lang w:eastAsia="en-GB"/>
              </w:rPr>
              <w:t>(Thomson, 1869)</w:t>
            </w:r>
            <w:r w:rsidRPr="0021277B">
              <w:rPr>
                <w:b/>
                <w:bCs/>
                <w:iCs/>
                <w:sz w:val="22"/>
                <w:szCs w:val="22"/>
                <w:lang w:eastAsia="en-GB"/>
              </w:rPr>
              <w:t> </w:t>
            </w:r>
          </w:p>
        </w:tc>
        <w:tc>
          <w:tcPr>
            <w:tcW w:w="4508" w:type="dxa"/>
            <w:vMerge/>
            <w:tcBorders>
              <w:left w:val="single" w:sz="4" w:space="0" w:color="auto"/>
            </w:tcBorders>
            <w:shd w:val="clear" w:color="auto" w:fill="auto"/>
          </w:tcPr>
          <w:p w14:paraId="0069B708" w14:textId="77777777" w:rsidR="006B3F46" w:rsidRPr="0021277B" w:rsidRDefault="006B3F46" w:rsidP="00907941">
            <w:pPr>
              <w:rPr>
                <w:sz w:val="22"/>
                <w:szCs w:val="22"/>
              </w:rPr>
            </w:pPr>
          </w:p>
        </w:tc>
      </w:tr>
      <w:tr w:rsidR="006B3F46" w:rsidRPr="0021277B" w14:paraId="0F83E2A5" w14:textId="77777777" w:rsidTr="00907941">
        <w:tc>
          <w:tcPr>
            <w:tcW w:w="4508" w:type="dxa"/>
            <w:tcBorders>
              <w:top w:val="nil"/>
              <w:bottom w:val="nil"/>
              <w:right w:val="single" w:sz="4" w:space="0" w:color="auto"/>
            </w:tcBorders>
            <w:shd w:val="clear" w:color="auto" w:fill="auto"/>
            <w:vAlign w:val="center"/>
          </w:tcPr>
          <w:p w14:paraId="69AC6426" w14:textId="77777777" w:rsidR="006B3F46" w:rsidRPr="0021277B" w:rsidRDefault="006B3F46" w:rsidP="00907941">
            <w:pPr>
              <w:rPr>
                <w:i/>
                <w:iCs/>
                <w:sz w:val="22"/>
                <w:szCs w:val="22"/>
                <w:lang w:eastAsia="en-GB"/>
              </w:rPr>
            </w:pPr>
            <w:r w:rsidRPr="0021277B">
              <w:rPr>
                <w:i/>
                <w:iCs/>
                <w:sz w:val="22"/>
                <w:szCs w:val="22"/>
                <w:lang w:eastAsia="en-GB"/>
              </w:rPr>
              <w:t xml:space="preserve">Stylocordyla pellita </w:t>
            </w:r>
            <w:r w:rsidRPr="0021277B">
              <w:rPr>
                <w:bCs/>
                <w:sz w:val="22"/>
                <w:szCs w:val="22"/>
              </w:rPr>
              <w:t>(Topsent, 1904</w:t>
            </w:r>
            <w:r w:rsidRPr="0021277B">
              <w:rPr>
                <w:sz w:val="22"/>
                <w:szCs w:val="22"/>
              </w:rPr>
              <w:t>)</w:t>
            </w:r>
          </w:p>
        </w:tc>
        <w:tc>
          <w:tcPr>
            <w:tcW w:w="4508" w:type="dxa"/>
            <w:vMerge/>
            <w:tcBorders>
              <w:left w:val="single" w:sz="4" w:space="0" w:color="auto"/>
            </w:tcBorders>
            <w:shd w:val="clear" w:color="auto" w:fill="auto"/>
          </w:tcPr>
          <w:p w14:paraId="158AF91F" w14:textId="77777777" w:rsidR="006B3F46" w:rsidRPr="0021277B" w:rsidRDefault="006B3F46" w:rsidP="00907941">
            <w:pPr>
              <w:rPr>
                <w:sz w:val="22"/>
                <w:szCs w:val="22"/>
              </w:rPr>
            </w:pPr>
          </w:p>
        </w:tc>
      </w:tr>
      <w:tr w:rsidR="006B3F46" w:rsidRPr="0021277B" w14:paraId="5A2108F2" w14:textId="77777777" w:rsidTr="00907941">
        <w:tc>
          <w:tcPr>
            <w:tcW w:w="4508" w:type="dxa"/>
            <w:tcBorders>
              <w:top w:val="nil"/>
              <w:bottom w:val="nil"/>
              <w:right w:val="single" w:sz="4" w:space="0" w:color="auto"/>
            </w:tcBorders>
            <w:shd w:val="clear" w:color="auto" w:fill="auto"/>
            <w:vAlign w:val="center"/>
          </w:tcPr>
          <w:p w14:paraId="519A9940" w14:textId="77777777" w:rsidR="006B3F46" w:rsidRPr="0021277B" w:rsidRDefault="006B3F46" w:rsidP="00907941">
            <w:pPr>
              <w:rPr>
                <w:bCs/>
                <w:sz w:val="22"/>
                <w:szCs w:val="22"/>
                <w:lang w:val="fr-CA"/>
              </w:rPr>
            </w:pPr>
            <w:r w:rsidRPr="0021277B">
              <w:rPr>
                <w:i/>
                <w:iCs/>
                <w:sz w:val="22"/>
                <w:szCs w:val="22"/>
                <w:lang w:val="fr-CA" w:eastAsia="en-GB"/>
              </w:rPr>
              <w:t xml:space="preserve">Hertwigia falcifera </w:t>
            </w:r>
            <w:r w:rsidRPr="0021277B">
              <w:rPr>
                <w:bCs/>
                <w:sz w:val="22"/>
                <w:szCs w:val="22"/>
                <w:lang w:val="fr-CA"/>
              </w:rPr>
              <w:t>Schmidt, 1880</w:t>
            </w:r>
          </w:p>
          <w:p w14:paraId="32F606C4" w14:textId="77777777" w:rsidR="006B3F46" w:rsidRPr="0021277B" w:rsidRDefault="006B3F46" w:rsidP="00907941">
            <w:pPr>
              <w:rPr>
                <w:i/>
                <w:iCs/>
                <w:sz w:val="22"/>
                <w:szCs w:val="22"/>
                <w:lang w:val="fr-CA" w:eastAsia="en-GB"/>
              </w:rPr>
            </w:pPr>
            <w:r w:rsidRPr="0021277B">
              <w:rPr>
                <w:i/>
                <w:iCs/>
                <w:sz w:val="22"/>
                <w:szCs w:val="22"/>
                <w:lang w:val="fr-CA" w:eastAsia="en-GB"/>
              </w:rPr>
              <w:t>Euplectella</w:t>
            </w:r>
            <w:r w:rsidRPr="0021277B">
              <w:rPr>
                <w:sz w:val="22"/>
                <w:szCs w:val="22"/>
                <w:lang w:val="fr-CA" w:eastAsia="en-GB"/>
              </w:rPr>
              <w:t xml:space="preserve"> sp. </w:t>
            </w:r>
          </w:p>
        </w:tc>
        <w:tc>
          <w:tcPr>
            <w:tcW w:w="4508" w:type="dxa"/>
            <w:vMerge/>
            <w:tcBorders>
              <w:left w:val="single" w:sz="4" w:space="0" w:color="auto"/>
            </w:tcBorders>
            <w:shd w:val="clear" w:color="auto" w:fill="auto"/>
          </w:tcPr>
          <w:p w14:paraId="236E50DE" w14:textId="77777777" w:rsidR="006B3F46" w:rsidRPr="0021277B" w:rsidRDefault="006B3F46" w:rsidP="00907941">
            <w:pPr>
              <w:rPr>
                <w:sz w:val="22"/>
                <w:szCs w:val="22"/>
                <w:lang w:val="fr-CA"/>
              </w:rPr>
            </w:pPr>
          </w:p>
        </w:tc>
      </w:tr>
      <w:tr w:rsidR="006B3F46" w:rsidRPr="0021277B" w14:paraId="3DD2D675" w14:textId="77777777" w:rsidTr="00907941">
        <w:tc>
          <w:tcPr>
            <w:tcW w:w="4508" w:type="dxa"/>
            <w:tcBorders>
              <w:top w:val="nil"/>
              <w:bottom w:val="nil"/>
              <w:right w:val="single" w:sz="4" w:space="0" w:color="auto"/>
            </w:tcBorders>
            <w:shd w:val="clear" w:color="auto" w:fill="auto"/>
            <w:vAlign w:val="center"/>
          </w:tcPr>
          <w:p w14:paraId="406123E0" w14:textId="77777777" w:rsidR="006B3F46" w:rsidRPr="0021277B" w:rsidRDefault="006B3F46" w:rsidP="00907941">
            <w:pPr>
              <w:rPr>
                <w:i/>
                <w:iCs/>
                <w:sz w:val="22"/>
                <w:szCs w:val="22"/>
                <w:lang w:eastAsia="en-GB"/>
              </w:rPr>
            </w:pPr>
            <w:r w:rsidRPr="0021277B">
              <w:rPr>
                <w:i/>
                <w:iCs/>
                <w:sz w:val="22"/>
                <w:szCs w:val="22"/>
                <w:lang w:eastAsia="en-GB"/>
              </w:rPr>
              <w:t xml:space="preserve">Aphrocallistes beatrix </w:t>
            </w:r>
            <w:r w:rsidRPr="0021277B">
              <w:rPr>
                <w:bCs/>
                <w:sz w:val="22"/>
                <w:szCs w:val="22"/>
              </w:rPr>
              <w:t>Gray, 1858</w:t>
            </w:r>
          </w:p>
        </w:tc>
        <w:tc>
          <w:tcPr>
            <w:tcW w:w="4508" w:type="dxa"/>
            <w:vMerge/>
            <w:tcBorders>
              <w:left w:val="single" w:sz="4" w:space="0" w:color="auto"/>
            </w:tcBorders>
            <w:shd w:val="clear" w:color="auto" w:fill="auto"/>
          </w:tcPr>
          <w:p w14:paraId="69AA1ACB" w14:textId="77777777" w:rsidR="006B3F46" w:rsidRPr="0021277B" w:rsidRDefault="006B3F46" w:rsidP="00907941">
            <w:pPr>
              <w:rPr>
                <w:sz w:val="22"/>
                <w:szCs w:val="22"/>
              </w:rPr>
            </w:pPr>
          </w:p>
        </w:tc>
      </w:tr>
      <w:tr w:rsidR="006B3F46" w:rsidRPr="0021277B" w14:paraId="522B1512" w14:textId="77777777" w:rsidTr="00907941">
        <w:tc>
          <w:tcPr>
            <w:tcW w:w="4508" w:type="dxa"/>
            <w:tcBorders>
              <w:top w:val="nil"/>
              <w:bottom w:val="nil"/>
              <w:right w:val="single" w:sz="4" w:space="0" w:color="auto"/>
            </w:tcBorders>
            <w:shd w:val="clear" w:color="auto" w:fill="auto"/>
            <w:vAlign w:val="center"/>
          </w:tcPr>
          <w:p w14:paraId="5C7A11E1" w14:textId="77777777" w:rsidR="006B3F46" w:rsidRPr="0021277B" w:rsidRDefault="006B3F46" w:rsidP="00907941">
            <w:pPr>
              <w:rPr>
                <w:i/>
                <w:iCs/>
                <w:sz w:val="22"/>
                <w:szCs w:val="22"/>
                <w:lang w:eastAsia="en-GB"/>
              </w:rPr>
            </w:pPr>
            <w:r w:rsidRPr="0021277B">
              <w:rPr>
                <w:i/>
                <w:iCs/>
                <w:sz w:val="22"/>
                <w:szCs w:val="22"/>
                <w:lang w:eastAsia="en-GB"/>
              </w:rPr>
              <w:t>Hyalonema</w:t>
            </w:r>
            <w:r w:rsidRPr="0021277B">
              <w:rPr>
                <w:sz w:val="22"/>
                <w:szCs w:val="22"/>
                <w:lang w:eastAsia="en-GB"/>
              </w:rPr>
              <w:t xml:space="preserve"> sp. </w:t>
            </w:r>
          </w:p>
        </w:tc>
        <w:tc>
          <w:tcPr>
            <w:tcW w:w="4508" w:type="dxa"/>
            <w:vMerge/>
            <w:tcBorders>
              <w:left w:val="single" w:sz="4" w:space="0" w:color="auto"/>
            </w:tcBorders>
            <w:shd w:val="clear" w:color="auto" w:fill="auto"/>
          </w:tcPr>
          <w:p w14:paraId="520CDA9A" w14:textId="77777777" w:rsidR="006B3F46" w:rsidRPr="0021277B" w:rsidRDefault="006B3F46" w:rsidP="00907941">
            <w:pPr>
              <w:rPr>
                <w:sz w:val="22"/>
                <w:szCs w:val="22"/>
              </w:rPr>
            </w:pPr>
          </w:p>
        </w:tc>
      </w:tr>
      <w:tr w:rsidR="006B3F46" w:rsidRPr="0021277B" w14:paraId="68E41587" w14:textId="77777777" w:rsidTr="00907941">
        <w:tc>
          <w:tcPr>
            <w:tcW w:w="4508" w:type="dxa"/>
            <w:tcBorders>
              <w:top w:val="nil"/>
              <w:bottom w:val="nil"/>
              <w:right w:val="single" w:sz="4" w:space="0" w:color="auto"/>
            </w:tcBorders>
            <w:shd w:val="clear" w:color="auto" w:fill="auto"/>
            <w:vAlign w:val="center"/>
          </w:tcPr>
          <w:p w14:paraId="59D4262F" w14:textId="77777777" w:rsidR="006B3F46" w:rsidRPr="0021277B" w:rsidRDefault="006B3F46" w:rsidP="00907941">
            <w:pPr>
              <w:rPr>
                <w:i/>
                <w:iCs/>
                <w:sz w:val="22"/>
                <w:szCs w:val="22"/>
                <w:lang w:eastAsia="en-GB"/>
              </w:rPr>
            </w:pPr>
            <w:r w:rsidRPr="0021277B">
              <w:rPr>
                <w:i/>
                <w:iCs/>
                <w:sz w:val="22"/>
                <w:szCs w:val="22"/>
                <w:lang w:eastAsia="en-GB"/>
              </w:rPr>
              <w:t>Caulophacus</w:t>
            </w:r>
            <w:r w:rsidRPr="0021277B">
              <w:rPr>
                <w:sz w:val="22"/>
                <w:szCs w:val="22"/>
                <w:lang w:eastAsia="en-GB"/>
              </w:rPr>
              <w:t xml:space="preserve"> sp. </w:t>
            </w:r>
          </w:p>
        </w:tc>
        <w:tc>
          <w:tcPr>
            <w:tcW w:w="4508" w:type="dxa"/>
            <w:vMerge/>
            <w:tcBorders>
              <w:left w:val="single" w:sz="4" w:space="0" w:color="auto"/>
            </w:tcBorders>
            <w:shd w:val="clear" w:color="auto" w:fill="auto"/>
          </w:tcPr>
          <w:p w14:paraId="3AC9C053" w14:textId="77777777" w:rsidR="006B3F46" w:rsidRPr="0021277B" w:rsidRDefault="006B3F46" w:rsidP="00907941">
            <w:pPr>
              <w:rPr>
                <w:sz w:val="22"/>
                <w:szCs w:val="22"/>
              </w:rPr>
            </w:pPr>
          </w:p>
        </w:tc>
      </w:tr>
      <w:tr w:rsidR="006B3F46" w:rsidRPr="0021277B" w14:paraId="2AB21CCA" w14:textId="77777777" w:rsidTr="00907941">
        <w:tc>
          <w:tcPr>
            <w:tcW w:w="4508" w:type="dxa"/>
            <w:tcBorders>
              <w:top w:val="nil"/>
              <w:bottom w:val="nil"/>
              <w:right w:val="single" w:sz="4" w:space="0" w:color="auto"/>
            </w:tcBorders>
            <w:shd w:val="clear" w:color="auto" w:fill="auto"/>
            <w:vAlign w:val="center"/>
          </w:tcPr>
          <w:p w14:paraId="111AD308" w14:textId="77777777" w:rsidR="006B3F46" w:rsidRPr="0021277B" w:rsidRDefault="006B3F46" w:rsidP="00907941">
            <w:pPr>
              <w:rPr>
                <w:i/>
                <w:iCs/>
                <w:sz w:val="22"/>
                <w:szCs w:val="22"/>
                <w:lang w:eastAsia="en-GB"/>
              </w:rPr>
            </w:pPr>
            <w:r w:rsidRPr="0021277B">
              <w:rPr>
                <w:i/>
                <w:iCs/>
                <w:sz w:val="22"/>
                <w:szCs w:val="22"/>
                <w:lang w:val="pt-PT" w:eastAsia="en-GB"/>
              </w:rPr>
              <w:t>Asconema</w:t>
            </w:r>
            <w:r w:rsidRPr="0021277B">
              <w:rPr>
                <w:sz w:val="22"/>
                <w:szCs w:val="22"/>
                <w:lang w:val="pt-PT" w:eastAsia="en-GB"/>
              </w:rPr>
              <w:t xml:space="preserve"> sp. </w:t>
            </w:r>
          </w:p>
        </w:tc>
        <w:tc>
          <w:tcPr>
            <w:tcW w:w="4508" w:type="dxa"/>
            <w:vMerge/>
            <w:tcBorders>
              <w:left w:val="single" w:sz="4" w:space="0" w:color="auto"/>
            </w:tcBorders>
            <w:shd w:val="clear" w:color="auto" w:fill="auto"/>
          </w:tcPr>
          <w:p w14:paraId="4D1E9E77" w14:textId="77777777" w:rsidR="006B3F46" w:rsidRPr="0021277B" w:rsidRDefault="006B3F46" w:rsidP="00907941">
            <w:pPr>
              <w:rPr>
                <w:sz w:val="22"/>
                <w:szCs w:val="22"/>
              </w:rPr>
            </w:pPr>
          </w:p>
        </w:tc>
      </w:tr>
      <w:tr w:rsidR="006B3F46" w:rsidRPr="0021277B" w14:paraId="55A7F9D6" w14:textId="77777777" w:rsidTr="00907941">
        <w:tc>
          <w:tcPr>
            <w:tcW w:w="4508" w:type="dxa"/>
            <w:tcBorders>
              <w:top w:val="nil"/>
              <w:bottom w:val="nil"/>
              <w:right w:val="single" w:sz="4" w:space="0" w:color="auto"/>
            </w:tcBorders>
            <w:shd w:val="clear" w:color="auto" w:fill="auto"/>
            <w:vAlign w:val="center"/>
          </w:tcPr>
          <w:p w14:paraId="0E0737E5" w14:textId="77777777" w:rsidR="006B3F46" w:rsidRPr="0021277B" w:rsidRDefault="006B3F46" w:rsidP="00907941">
            <w:pPr>
              <w:rPr>
                <w:i/>
                <w:iCs/>
                <w:sz w:val="22"/>
                <w:szCs w:val="22"/>
                <w:lang w:eastAsia="en-GB"/>
              </w:rPr>
            </w:pPr>
            <w:r w:rsidRPr="0021277B">
              <w:rPr>
                <w:i/>
                <w:iCs/>
                <w:sz w:val="22"/>
                <w:szCs w:val="22"/>
                <w:lang w:eastAsia="en-GB"/>
              </w:rPr>
              <w:t>Phakellia</w:t>
            </w:r>
            <w:r w:rsidRPr="0021277B">
              <w:rPr>
                <w:sz w:val="22"/>
                <w:szCs w:val="22"/>
                <w:lang w:eastAsia="en-GB"/>
              </w:rPr>
              <w:t xml:space="preserve"> sp. </w:t>
            </w:r>
          </w:p>
        </w:tc>
        <w:tc>
          <w:tcPr>
            <w:tcW w:w="4508" w:type="dxa"/>
            <w:vMerge/>
            <w:tcBorders>
              <w:left w:val="single" w:sz="4" w:space="0" w:color="auto"/>
            </w:tcBorders>
            <w:shd w:val="clear" w:color="auto" w:fill="auto"/>
          </w:tcPr>
          <w:p w14:paraId="45F7FCBF" w14:textId="77777777" w:rsidR="006B3F46" w:rsidRPr="0021277B" w:rsidRDefault="006B3F46" w:rsidP="00907941">
            <w:pPr>
              <w:rPr>
                <w:sz w:val="22"/>
                <w:szCs w:val="22"/>
              </w:rPr>
            </w:pPr>
          </w:p>
        </w:tc>
      </w:tr>
      <w:tr w:rsidR="006B3F46" w:rsidRPr="0021277B" w14:paraId="580906E9" w14:textId="77777777" w:rsidTr="00907941">
        <w:tc>
          <w:tcPr>
            <w:tcW w:w="4508" w:type="dxa"/>
            <w:tcBorders>
              <w:bottom w:val="single" w:sz="4" w:space="0" w:color="auto"/>
            </w:tcBorders>
            <w:shd w:val="clear" w:color="auto" w:fill="F2F2F2"/>
            <w:vAlign w:val="center"/>
          </w:tcPr>
          <w:p w14:paraId="28286767" w14:textId="77777777" w:rsidR="006B3F46" w:rsidRPr="0021277B" w:rsidRDefault="006B3F46" w:rsidP="00907941">
            <w:pPr>
              <w:rPr>
                <w:i/>
                <w:iCs/>
                <w:sz w:val="22"/>
                <w:szCs w:val="22"/>
                <w:lang w:eastAsia="en-GB"/>
              </w:rPr>
            </w:pPr>
            <w:r w:rsidRPr="0021277B">
              <w:rPr>
                <w:b/>
                <w:bCs/>
                <w:sz w:val="22"/>
                <w:szCs w:val="22"/>
                <w:lang w:eastAsia="en-GB"/>
              </w:rPr>
              <w:t>Crinoid fields</w:t>
            </w:r>
          </w:p>
        </w:tc>
        <w:tc>
          <w:tcPr>
            <w:tcW w:w="4508" w:type="dxa"/>
            <w:tcBorders>
              <w:bottom w:val="single" w:sz="4" w:space="0" w:color="auto"/>
            </w:tcBorders>
            <w:shd w:val="clear" w:color="auto" w:fill="F2F2F2"/>
          </w:tcPr>
          <w:p w14:paraId="31139A09" w14:textId="77777777" w:rsidR="006B3F46" w:rsidRPr="0021277B" w:rsidRDefault="006B3F46" w:rsidP="00907941">
            <w:pPr>
              <w:rPr>
                <w:sz w:val="22"/>
                <w:szCs w:val="22"/>
              </w:rPr>
            </w:pPr>
          </w:p>
        </w:tc>
      </w:tr>
      <w:tr w:rsidR="006B3F46" w:rsidRPr="0021277B" w14:paraId="684A9394" w14:textId="77777777" w:rsidTr="00907941">
        <w:tc>
          <w:tcPr>
            <w:tcW w:w="4508" w:type="dxa"/>
            <w:tcBorders>
              <w:bottom w:val="nil"/>
            </w:tcBorders>
            <w:shd w:val="clear" w:color="auto" w:fill="auto"/>
            <w:vAlign w:val="center"/>
          </w:tcPr>
          <w:p w14:paraId="6D5B08F6" w14:textId="77777777" w:rsidR="006B3F46" w:rsidRPr="0021277B" w:rsidRDefault="006B3F46" w:rsidP="00907941">
            <w:pPr>
              <w:rPr>
                <w:i/>
                <w:iCs/>
                <w:sz w:val="22"/>
                <w:szCs w:val="22"/>
                <w:lang w:eastAsia="en-GB"/>
              </w:rPr>
            </w:pPr>
            <w:r w:rsidRPr="0021277B">
              <w:rPr>
                <w:i/>
                <w:iCs/>
                <w:sz w:val="22"/>
                <w:szCs w:val="22"/>
                <w:lang w:eastAsia="en-GB"/>
              </w:rPr>
              <w:t xml:space="preserve">Endoxocrinus (Diplocrinus) wyvillethomsoni </w:t>
            </w:r>
            <w:r w:rsidRPr="0021277B">
              <w:rPr>
                <w:sz w:val="22"/>
                <w:szCs w:val="22"/>
              </w:rPr>
              <w:t>(Thomson, 1872)</w:t>
            </w:r>
          </w:p>
        </w:tc>
        <w:tc>
          <w:tcPr>
            <w:tcW w:w="4508" w:type="dxa"/>
            <w:tcBorders>
              <w:bottom w:val="nil"/>
            </w:tcBorders>
            <w:shd w:val="clear" w:color="auto" w:fill="auto"/>
          </w:tcPr>
          <w:p w14:paraId="5873A9EB" w14:textId="77777777" w:rsidR="006B3F46" w:rsidRPr="0021277B" w:rsidRDefault="006B3F46" w:rsidP="00907941">
            <w:pPr>
              <w:rPr>
                <w:sz w:val="22"/>
                <w:szCs w:val="22"/>
              </w:rPr>
            </w:pPr>
            <w:r w:rsidRPr="0021277B">
              <w:rPr>
                <w:sz w:val="22"/>
                <w:szCs w:val="22"/>
              </w:rPr>
              <w:t xml:space="preserve">In addition to the two species contributing to crinoid fields, the thalassometrid </w:t>
            </w:r>
            <w:r w:rsidRPr="0021277B">
              <w:rPr>
                <w:i/>
                <w:iCs/>
                <w:sz w:val="22"/>
                <w:szCs w:val="22"/>
              </w:rPr>
              <w:t>Thalassometra lusitanica</w:t>
            </w:r>
            <w:r w:rsidRPr="0021277B">
              <w:rPr>
                <w:sz w:val="22"/>
                <w:szCs w:val="22"/>
              </w:rPr>
              <w:t xml:space="preserve"> (Carpenter, 1884) was also seen in numbers in some areas. Other species included a small </w:t>
            </w:r>
            <w:r>
              <w:rPr>
                <w:sz w:val="22"/>
                <w:szCs w:val="22"/>
              </w:rPr>
              <w:t>five</w:t>
            </w:r>
            <w:r w:rsidRPr="0021277B">
              <w:rPr>
                <w:sz w:val="22"/>
                <w:szCs w:val="22"/>
              </w:rPr>
              <w:t xml:space="preserve">-armed stalked crinoid, either </w:t>
            </w:r>
            <w:r w:rsidRPr="0021277B">
              <w:rPr>
                <w:i/>
                <w:iCs/>
                <w:sz w:val="22"/>
                <w:szCs w:val="22"/>
              </w:rPr>
              <w:t xml:space="preserve">Gephyrocrinus grimaldii </w:t>
            </w:r>
            <w:r>
              <w:rPr>
                <w:i/>
                <w:iCs/>
                <w:sz w:val="22"/>
                <w:szCs w:val="22"/>
              </w:rPr>
              <w:t>(</w:t>
            </w:r>
            <w:r w:rsidRPr="0021277B">
              <w:rPr>
                <w:sz w:val="22"/>
                <w:szCs w:val="22"/>
              </w:rPr>
              <w:t>Koehler &amp; Bather, 1902</w:t>
            </w:r>
            <w:r>
              <w:rPr>
                <w:sz w:val="22"/>
                <w:szCs w:val="22"/>
              </w:rPr>
              <w:t>)</w:t>
            </w:r>
            <w:r w:rsidRPr="0021277B">
              <w:rPr>
                <w:sz w:val="22"/>
                <w:szCs w:val="22"/>
              </w:rPr>
              <w:t xml:space="preserve"> (Hyocrinidae), or </w:t>
            </w:r>
            <w:r w:rsidRPr="0021277B">
              <w:rPr>
                <w:i/>
                <w:iCs/>
                <w:sz w:val="22"/>
                <w:szCs w:val="22"/>
              </w:rPr>
              <w:t>Porphyrocrinus</w:t>
            </w:r>
            <w:r w:rsidRPr="0021277B">
              <w:rPr>
                <w:sz w:val="22"/>
                <w:szCs w:val="22"/>
              </w:rPr>
              <w:t xml:space="preserve"> sp. (Phrynocrinidae), and possibly </w:t>
            </w:r>
            <w:r w:rsidRPr="0021277B">
              <w:rPr>
                <w:i/>
                <w:iCs/>
                <w:sz w:val="22"/>
                <w:szCs w:val="22"/>
              </w:rPr>
              <w:t>Zenometra columnaris</w:t>
            </w:r>
            <w:r w:rsidRPr="0021277B">
              <w:rPr>
                <w:sz w:val="22"/>
                <w:szCs w:val="22"/>
              </w:rPr>
              <w:t xml:space="preserve"> (Carpenter, 1881) (Zenometridae) (only the second record of this species from the N</w:t>
            </w:r>
            <w:r>
              <w:rPr>
                <w:sz w:val="22"/>
                <w:szCs w:val="22"/>
              </w:rPr>
              <w:t>orth-</w:t>
            </w:r>
            <w:r w:rsidRPr="0021277B">
              <w:rPr>
                <w:sz w:val="22"/>
                <w:szCs w:val="22"/>
              </w:rPr>
              <w:t>E</w:t>
            </w:r>
            <w:r>
              <w:rPr>
                <w:sz w:val="22"/>
                <w:szCs w:val="22"/>
              </w:rPr>
              <w:t>ast</w:t>
            </w:r>
            <w:r w:rsidRPr="0021277B">
              <w:rPr>
                <w:sz w:val="22"/>
                <w:szCs w:val="22"/>
              </w:rPr>
              <w:t xml:space="preserve"> Atlantic).</w:t>
            </w:r>
          </w:p>
        </w:tc>
      </w:tr>
      <w:tr w:rsidR="006B3F46" w:rsidRPr="0021277B" w14:paraId="0F588A24" w14:textId="77777777" w:rsidTr="00907941">
        <w:tc>
          <w:tcPr>
            <w:tcW w:w="4508" w:type="dxa"/>
            <w:tcBorders>
              <w:top w:val="nil"/>
              <w:bottom w:val="single" w:sz="4" w:space="0" w:color="auto"/>
            </w:tcBorders>
            <w:shd w:val="clear" w:color="auto" w:fill="auto"/>
            <w:vAlign w:val="center"/>
          </w:tcPr>
          <w:p w14:paraId="100C9499" w14:textId="77777777" w:rsidR="006B3F46" w:rsidRPr="0021277B" w:rsidRDefault="006B3F46" w:rsidP="00907941">
            <w:pPr>
              <w:rPr>
                <w:i/>
                <w:iCs/>
                <w:sz w:val="22"/>
                <w:szCs w:val="22"/>
                <w:lang w:eastAsia="en-GB"/>
              </w:rPr>
            </w:pPr>
            <w:r w:rsidRPr="0021277B">
              <w:rPr>
                <w:i/>
                <w:iCs/>
                <w:sz w:val="22"/>
                <w:szCs w:val="22"/>
                <w:lang w:eastAsia="en-GB"/>
              </w:rPr>
              <w:t xml:space="preserve">Koehlermetra porrecta </w:t>
            </w:r>
            <w:r w:rsidRPr="0021277B">
              <w:rPr>
                <w:sz w:val="22"/>
                <w:szCs w:val="22"/>
              </w:rPr>
              <w:t>(Carpenter, 1888)</w:t>
            </w:r>
          </w:p>
        </w:tc>
        <w:tc>
          <w:tcPr>
            <w:tcW w:w="4508" w:type="dxa"/>
            <w:tcBorders>
              <w:top w:val="nil"/>
            </w:tcBorders>
            <w:shd w:val="clear" w:color="auto" w:fill="auto"/>
          </w:tcPr>
          <w:p w14:paraId="4DAD6069" w14:textId="77777777" w:rsidR="006B3F46" w:rsidRPr="0021277B" w:rsidRDefault="006B3F46" w:rsidP="00907941">
            <w:pPr>
              <w:rPr>
                <w:sz w:val="22"/>
                <w:szCs w:val="22"/>
              </w:rPr>
            </w:pPr>
          </w:p>
        </w:tc>
      </w:tr>
      <w:tr w:rsidR="006B3F46" w:rsidRPr="0021277B" w14:paraId="44F8B011" w14:textId="77777777" w:rsidTr="00907941">
        <w:tc>
          <w:tcPr>
            <w:tcW w:w="4508" w:type="dxa"/>
            <w:tcBorders>
              <w:top w:val="single" w:sz="4" w:space="0" w:color="auto"/>
              <w:bottom w:val="single" w:sz="4" w:space="0" w:color="auto"/>
            </w:tcBorders>
            <w:shd w:val="clear" w:color="auto" w:fill="F2F2F2"/>
            <w:vAlign w:val="center"/>
          </w:tcPr>
          <w:p w14:paraId="52B8536E" w14:textId="77777777" w:rsidR="006B3F46" w:rsidRPr="0021277B" w:rsidRDefault="006B3F46" w:rsidP="00907941">
            <w:pPr>
              <w:rPr>
                <w:i/>
                <w:iCs/>
                <w:sz w:val="22"/>
                <w:szCs w:val="22"/>
                <w:lang w:eastAsia="en-GB"/>
              </w:rPr>
            </w:pPr>
            <w:r w:rsidRPr="0021277B">
              <w:rPr>
                <w:b/>
                <w:bCs/>
                <w:sz w:val="22"/>
                <w:szCs w:val="22"/>
                <w:lang w:eastAsia="en-GB"/>
              </w:rPr>
              <w:t>Other VME indicators</w:t>
            </w:r>
          </w:p>
        </w:tc>
        <w:tc>
          <w:tcPr>
            <w:tcW w:w="4508" w:type="dxa"/>
            <w:shd w:val="clear" w:color="auto" w:fill="F2F2F2"/>
          </w:tcPr>
          <w:p w14:paraId="04658053" w14:textId="77777777" w:rsidR="006B3F46" w:rsidRPr="0021277B" w:rsidRDefault="006B3F46" w:rsidP="00907941">
            <w:pPr>
              <w:rPr>
                <w:sz w:val="22"/>
                <w:szCs w:val="22"/>
              </w:rPr>
            </w:pPr>
          </w:p>
        </w:tc>
      </w:tr>
      <w:tr w:rsidR="006B3F46" w:rsidRPr="0021277B" w14:paraId="7C0D3767" w14:textId="77777777" w:rsidTr="00907941">
        <w:tc>
          <w:tcPr>
            <w:tcW w:w="4508" w:type="dxa"/>
            <w:tcBorders>
              <w:bottom w:val="nil"/>
            </w:tcBorders>
            <w:shd w:val="clear" w:color="auto" w:fill="auto"/>
            <w:vAlign w:val="center"/>
          </w:tcPr>
          <w:p w14:paraId="138753B2" w14:textId="77777777" w:rsidR="006B3F46" w:rsidRPr="0021277B" w:rsidRDefault="006B3F46" w:rsidP="00907941">
            <w:pPr>
              <w:rPr>
                <w:i/>
                <w:iCs/>
                <w:sz w:val="22"/>
                <w:szCs w:val="22"/>
                <w:lang w:eastAsia="en-GB"/>
              </w:rPr>
            </w:pPr>
            <w:r w:rsidRPr="0021277B">
              <w:rPr>
                <w:sz w:val="22"/>
                <w:szCs w:val="22"/>
                <w:lang w:eastAsia="en-GB"/>
              </w:rPr>
              <w:t>Xenophyophore beds</w:t>
            </w:r>
          </w:p>
        </w:tc>
        <w:tc>
          <w:tcPr>
            <w:tcW w:w="4508" w:type="dxa"/>
            <w:vMerge w:val="restart"/>
            <w:shd w:val="clear" w:color="auto" w:fill="auto"/>
          </w:tcPr>
          <w:p w14:paraId="49A28D22" w14:textId="77777777" w:rsidR="006B3F46" w:rsidRPr="0021277B" w:rsidRDefault="006B3F46" w:rsidP="00907941">
            <w:pPr>
              <w:rPr>
                <w:sz w:val="22"/>
                <w:szCs w:val="22"/>
              </w:rPr>
            </w:pPr>
          </w:p>
        </w:tc>
      </w:tr>
      <w:tr w:rsidR="006B3F46" w:rsidRPr="0021277B" w14:paraId="0B2A4C7B" w14:textId="77777777" w:rsidTr="00907941">
        <w:tc>
          <w:tcPr>
            <w:tcW w:w="4508" w:type="dxa"/>
            <w:tcBorders>
              <w:top w:val="nil"/>
            </w:tcBorders>
            <w:shd w:val="clear" w:color="auto" w:fill="auto"/>
            <w:vAlign w:val="center"/>
          </w:tcPr>
          <w:p w14:paraId="22135365" w14:textId="77777777" w:rsidR="006B3F46" w:rsidRPr="0021277B" w:rsidRDefault="006B3F46" w:rsidP="00907941">
            <w:pPr>
              <w:rPr>
                <w:i/>
                <w:iCs/>
                <w:sz w:val="22"/>
                <w:szCs w:val="22"/>
                <w:lang w:eastAsia="en-GB"/>
              </w:rPr>
            </w:pPr>
            <w:r w:rsidRPr="0021277B">
              <w:rPr>
                <w:sz w:val="22"/>
                <w:szCs w:val="22"/>
                <w:lang w:eastAsia="en-GB"/>
              </w:rPr>
              <w:t>Brisingids</w:t>
            </w:r>
          </w:p>
        </w:tc>
        <w:tc>
          <w:tcPr>
            <w:tcW w:w="4508" w:type="dxa"/>
            <w:vMerge/>
            <w:shd w:val="clear" w:color="auto" w:fill="auto"/>
          </w:tcPr>
          <w:p w14:paraId="5A730F99" w14:textId="77777777" w:rsidR="006B3F46" w:rsidRPr="0021277B" w:rsidRDefault="006B3F46" w:rsidP="00907941">
            <w:pPr>
              <w:rPr>
                <w:sz w:val="22"/>
                <w:szCs w:val="22"/>
              </w:rPr>
            </w:pPr>
          </w:p>
        </w:tc>
      </w:tr>
    </w:tbl>
    <w:p w14:paraId="70C4D3BC" w14:textId="77777777" w:rsidR="006B3F46" w:rsidRPr="00F66EF7" w:rsidRDefault="006B3F46" w:rsidP="00907941">
      <w:pPr>
        <w:rPr>
          <w:rFonts w:eastAsia="MS Mincho"/>
          <w:bCs/>
          <w:sz w:val="22"/>
          <w:szCs w:val="22"/>
          <w:lang w:val="en-US"/>
        </w:rPr>
      </w:pPr>
    </w:p>
    <w:p w14:paraId="49FBD752" w14:textId="77777777" w:rsidR="006B3F46" w:rsidRPr="009978E3" w:rsidRDefault="006B3F46" w:rsidP="00907941">
      <w:pPr>
        <w:rPr>
          <w:rFonts w:eastAsia="MS Mincho"/>
          <w:b/>
          <w:sz w:val="22"/>
          <w:szCs w:val="22"/>
          <w:lang w:val="en-US"/>
        </w:rPr>
      </w:pPr>
      <w:r w:rsidRPr="00F66EF7">
        <w:rPr>
          <w:rFonts w:eastAsia="MS Mincho"/>
          <w:b/>
          <w:sz w:val="22"/>
          <w:szCs w:val="22"/>
          <w:lang w:val="en-US"/>
        </w:rPr>
        <w:t xml:space="preserve">Rights and permissions </w:t>
      </w:r>
    </w:p>
    <w:p w14:paraId="5D8040B9" w14:textId="77777777" w:rsidR="006B3F46" w:rsidRDefault="006B3F46" w:rsidP="00907941">
      <w:pPr>
        <w:rPr>
          <w:rFonts w:eastAsia="Calibri"/>
          <w:bCs/>
          <w:sz w:val="22"/>
          <w:szCs w:val="22"/>
        </w:rPr>
      </w:pPr>
      <w:r w:rsidRPr="009978E3">
        <w:rPr>
          <w:rFonts w:eastAsia="MS Mincho"/>
          <w:bCs/>
          <w:sz w:val="22"/>
          <w:szCs w:val="22"/>
          <w:lang w:val="en-US"/>
        </w:rPr>
        <w:t xml:space="preserve">The field observations summarized here and detailed in </w:t>
      </w:r>
      <w:r w:rsidRPr="009978E3">
        <w:rPr>
          <w:rFonts w:eastAsia="Calibri"/>
          <w:bCs/>
          <w:sz w:val="22"/>
          <w:szCs w:val="22"/>
        </w:rPr>
        <w:t xml:space="preserve">Ramiro-Sánchez </w:t>
      </w:r>
      <w:r w:rsidRPr="0006066A">
        <w:rPr>
          <w:rFonts w:eastAsia="Calibri"/>
          <w:bCs/>
          <w:i/>
          <w:sz w:val="22"/>
          <w:szCs w:val="22"/>
        </w:rPr>
        <w:t>et al</w:t>
      </w:r>
      <w:r w:rsidRPr="009978E3">
        <w:rPr>
          <w:rFonts w:eastAsia="Calibri"/>
          <w:bCs/>
          <w:sz w:val="22"/>
          <w:szCs w:val="22"/>
        </w:rPr>
        <w:t xml:space="preserve">. (2019) were collected at sea during RRS </w:t>
      </w:r>
      <w:r w:rsidRPr="009978E3">
        <w:rPr>
          <w:rFonts w:eastAsia="Calibri"/>
          <w:bCs/>
          <w:i/>
          <w:iCs/>
          <w:sz w:val="22"/>
          <w:szCs w:val="22"/>
        </w:rPr>
        <w:t>James Cook</w:t>
      </w:r>
      <w:r w:rsidRPr="009978E3">
        <w:rPr>
          <w:rFonts w:eastAsia="Calibri"/>
          <w:bCs/>
          <w:sz w:val="22"/>
          <w:szCs w:val="22"/>
        </w:rPr>
        <w:t xml:space="preserve"> research cruise JC142 led by Dr Bramley Murton (National Oceanography Centre, UK).</w:t>
      </w:r>
    </w:p>
    <w:p w14:paraId="1C3FF48B" w14:textId="77777777" w:rsidR="006B3F46" w:rsidRPr="009978E3" w:rsidRDefault="006B3F46" w:rsidP="00907941">
      <w:pPr>
        <w:rPr>
          <w:rFonts w:eastAsia="MS Mincho"/>
          <w:bCs/>
          <w:sz w:val="22"/>
          <w:szCs w:val="22"/>
          <w:lang w:val="en-US"/>
        </w:rPr>
      </w:pPr>
    </w:p>
    <w:p w14:paraId="5C952B39" w14:textId="77777777" w:rsidR="006B3F46" w:rsidRDefault="006B3F46" w:rsidP="00907941">
      <w:pPr>
        <w:autoSpaceDE w:val="0"/>
        <w:autoSpaceDN w:val="0"/>
        <w:adjustRightInd w:val="0"/>
        <w:rPr>
          <w:sz w:val="22"/>
          <w:szCs w:val="22"/>
          <w:lang w:eastAsia="en-GB"/>
        </w:rPr>
      </w:pPr>
      <w:r w:rsidRPr="009978E3">
        <w:rPr>
          <w:sz w:val="22"/>
          <w:szCs w:val="22"/>
          <w:lang w:eastAsia="en-GB"/>
        </w:rPr>
        <w:t>This submission was prepared through the ATLAS project with funding provided from the European Union’s Horizon 2020 Research and Innovation Program under grant agreement no. 678760.</w:t>
      </w:r>
    </w:p>
    <w:p w14:paraId="61A8026C" w14:textId="77777777" w:rsidR="006B3F46" w:rsidRPr="009978E3" w:rsidRDefault="006B3F46" w:rsidP="00907941">
      <w:pPr>
        <w:autoSpaceDE w:val="0"/>
        <w:autoSpaceDN w:val="0"/>
        <w:adjustRightInd w:val="0"/>
        <w:rPr>
          <w:sz w:val="22"/>
          <w:szCs w:val="22"/>
          <w:lang w:eastAsia="en-GB"/>
        </w:rPr>
      </w:pPr>
    </w:p>
    <w:p w14:paraId="0571C57A" w14:textId="77777777" w:rsidR="006B3F46" w:rsidRPr="009978E3" w:rsidRDefault="006B3F46" w:rsidP="00907941">
      <w:pPr>
        <w:rPr>
          <w:rFonts w:eastAsia="MS Mincho"/>
          <w:bCs/>
          <w:sz w:val="22"/>
          <w:szCs w:val="22"/>
          <w:lang w:val="en-US"/>
        </w:rPr>
      </w:pPr>
      <w:r w:rsidRPr="009978E3">
        <w:rPr>
          <w:rFonts w:eastAsia="MS Mincho"/>
          <w:bCs/>
          <w:sz w:val="22"/>
          <w:szCs w:val="22"/>
          <w:lang w:val="en-US"/>
        </w:rPr>
        <w:t>Please contact Dr</w:t>
      </w:r>
      <w:r>
        <w:rPr>
          <w:rFonts w:eastAsia="MS Mincho"/>
          <w:bCs/>
          <w:sz w:val="22"/>
          <w:szCs w:val="22"/>
          <w:lang w:val="en-US"/>
        </w:rPr>
        <w:t>.</w:t>
      </w:r>
      <w:r w:rsidRPr="009978E3">
        <w:rPr>
          <w:rFonts w:eastAsia="MS Mincho"/>
          <w:bCs/>
          <w:sz w:val="22"/>
          <w:szCs w:val="22"/>
          <w:lang w:val="en-US"/>
        </w:rPr>
        <w:t xml:space="preserve"> Lea-Anne Henry (ATLAS Project, University of Edinburgh) </w:t>
      </w:r>
      <w:hyperlink r:id="rId239" w:history="1">
        <w:r w:rsidRPr="009978E3">
          <w:rPr>
            <w:rStyle w:val="Hyperlink"/>
            <w:rFonts w:eastAsia="MS Mincho"/>
            <w:bCs/>
            <w:sz w:val="22"/>
            <w:szCs w:val="22"/>
            <w:lang w:val="en-US"/>
          </w:rPr>
          <w:t>l.henry@ed.ac.uk</w:t>
        </w:r>
      </w:hyperlink>
      <w:r w:rsidRPr="00F66EF7">
        <w:rPr>
          <w:rFonts w:eastAsia="MS Mincho"/>
          <w:bCs/>
          <w:sz w:val="22"/>
          <w:szCs w:val="22"/>
          <w:lang w:val="en-US"/>
        </w:rPr>
        <w:t xml:space="preserve"> for permission to share or publish information from this template. </w:t>
      </w:r>
    </w:p>
    <w:p w14:paraId="78B17D6F" w14:textId="77777777" w:rsidR="006B3F46" w:rsidRPr="009978E3" w:rsidRDefault="006B3F46" w:rsidP="00907941">
      <w:pPr>
        <w:jc w:val="center"/>
        <w:rPr>
          <w:rFonts w:eastAsia="MS Mincho"/>
          <w:b/>
          <w:sz w:val="22"/>
          <w:szCs w:val="22"/>
          <w:lang w:val="en-US"/>
        </w:rPr>
      </w:pPr>
      <w:r w:rsidRPr="009978E3">
        <w:rPr>
          <w:rFonts w:eastAsia="MS Mincho"/>
          <w:bCs/>
          <w:sz w:val="22"/>
          <w:szCs w:val="22"/>
          <w:lang w:val="en-US"/>
        </w:rPr>
        <w:br w:type="page"/>
      </w:r>
      <w:r w:rsidRPr="009978E3">
        <w:rPr>
          <w:b/>
          <w:bCs/>
          <w:sz w:val="22"/>
          <w:szCs w:val="22"/>
        </w:rPr>
        <w:t>Area no. 10: Atlantis-Meteor Seamount Complex</w:t>
      </w:r>
    </w:p>
    <w:p w14:paraId="4C25FA4B" w14:textId="77777777" w:rsidR="006B3F46" w:rsidRPr="009978E3" w:rsidRDefault="006B3F46" w:rsidP="00907941">
      <w:pPr>
        <w:tabs>
          <w:tab w:val="left" w:pos="2001"/>
        </w:tabs>
        <w:jc w:val="both"/>
        <w:rPr>
          <w:rFonts w:eastAsia="MS Mincho"/>
          <w:color w:val="FF0000"/>
          <w:sz w:val="22"/>
          <w:szCs w:val="22"/>
          <w:lang w:val="en-US"/>
        </w:rPr>
      </w:pPr>
    </w:p>
    <w:p w14:paraId="67FFE988" w14:textId="77777777" w:rsidR="006B3F46" w:rsidRPr="009978E3" w:rsidRDefault="006B3F46" w:rsidP="00907941">
      <w:pPr>
        <w:jc w:val="both"/>
        <w:rPr>
          <w:rFonts w:eastAsia="MS Mincho"/>
          <w:i/>
          <w:sz w:val="22"/>
          <w:szCs w:val="22"/>
          <w:lang w:val="en-US"/>
        </w:rPr>
      </w:pPr>
      <w:r w:rsidRPr="009978E3">
        <w:rPr>
          <w:rFonts w:eastAsia="MS Mincho"/>
          <w:b/>
          <w:sz w:val="22"/>
          <w:szCs w:val="22"/>
          <w:lang w:val="en-US"/>
        </w:rPr>
        <w:t xml:space="preserve">Abstract </w:t>
      </w:r>
    </w:p>
    <w:p w14:paraId="5FAF01E3"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Atlantis-Meteor Seamount Complex </w:t>
      </w:r>
      <w:r>
        <w:rPr>
          <w:rFonts w:eastAsia="MS Mincho"/>
          <w:sz w:val="22"/>
          <w:szCs w:val="22"/>
          <w:lang w:val="en-US"/>
        </w:rPr>
        <w:t>comprises</w:t>
      </w:r>
      <w:r w:rsidRPr="009978E3">
        <w:rPr>
          <w:rFonts w:eastAsia="MS Mincho"/>
          <w:sz w:val="22"/>
          <w:szCs w:val="22"/>
          <w:lang w:val="en-US"/>
        </w:rPr>
        <w:t xml:space="preserve"> 10 seamounts. These seamounts are hotspots of marine life and  areas of enhanced productivity, especially when compared with surrounding abyssal areas. This </w:t>
      </w:r>
      <w:r>
        <w:rPr>
          <w:rFonts w:eastAsia="MS Mincho"/>
          <w:sz w:val="22"/>
          <w:szCs w:val="22"/>
          <w:lang w:val="en-US"/>
        </w:rPr>
        <w:t>seamount complex</w:t>
      </w:r>
      <w:r w:rsidRPr="009978E3">
        <w:rPr>
          <w:rFonts w:eastAsia="MS Mincho"/>
          <w:sz w:val="22"/>
          <w:szCs w:val="22"/>
          <w:lang w:val="en-US"/>
        </w:rPr>
        <w:t xml:space="preserve"> has a total area of 134</w:t>
      </w:r>
      <w:r>
        <w:rPr>
          <w:rFonts w:eastAsia="MS Mincho"/>
          <w:sz w:val="22"/>
          <w:szCs w:val="22"/>
          <w:lang w:val="en-US"/>
        </w:rPr>
        <w:t>,</w:t>
      </w:r>
      <w:r w:rsidRPr="009978E3">
        <w:rPr>
          <w:rFonts w:eastAsia="MS Mincho"/>
          <w:sz w:val="22"/>
          <w:szCs w:val="22"/>
          <w:lang w:val="en-US"/>
        </w:rPr>
        <w:t>079 km</w:t>
      </w:r>
      <w:r w:rsidRPr="009978E3">
        <w:rPr>
          <w:rFonts w:eastAsia="MS Mincho"/>
          <w:sz w:val="22"/>
          <w:szCs w:val="22"/>
          <w:vertAlign w:val="superscript"/>
          <w:lang w:val="en-US"/>
        </w:rPr>
        <w:t>2</w:t>
      </w:r>
      <w:r w:rsidRPr="009978E3">
        <w:rPr>
          <w:rFonts w:eastAsia="MS Mincho"/>
          <w:sz w:val="22"/>
          <w:szCs w:val="22"/>
          <w:lang w:val="en-US"/>
        </w:rPr>
        <w:t>, with depths ranging from 265m (top of Atlantis seamount) to 4</w:t>
      </w:r>
      <w:r>
        <w:rPr>
          <w:rFonts w:eastAsia="MS Mincho"/>
          <w:sz w:val="22"/>
          <w:szCs w:val="22"/>
          <w:lang w:val="en-US"/>
        </w:rPr>
        <w:t>,</w:t>
      </w:r>
      <w:r w:rsidRPr="009978E3">
        <w:rPr>
          <w:rFonts w:eastAsia="MS Mincho"/>
          <w:sz w:val="22"/>
          <w:szCs w:val="22"/>
          <w:lang w:val="en-US"/>
        </w:rPr>
        <w:t xml:space="preserve">800m (base of Great Meteor seamount). A total of 437 species are present in this area (with 16 </w:t>
      </w:r>
      <w:r>
        <w:rPr>
          <w:rFonts w:eastAsia="MS Mincho"/>
          <w:sz w:val="22"/>
          <w:szCs w:val="22"/>
          <w:lang w:val="en-US"/>
        </w:rPr>
        <w:t xml:space="preserve"> per cent</w:t>
      </w:r>
      <w:r w:rsidRPr="009978E3">
        <w:rPr>
          <w:rFonts w:eastAsia="MS Mincho"/>
          <w:sz w:val="22"/>
          <w:szCs w:val="22"/>
          <w:lang w:val="en-US"/>
        </w:rPr>
        <w:t xml:space="preserve"> of mega-</w:t>
      </w:r>
      <w:r>
        <w:rPr>
          <w:rFonts w:eastAsia="MS Mincho"/>
          <w:sz w:val="22"/>
          <w:szCs w:val="22"/>
          <w:lang w:val="en-US"/>
        </w:rPr>
        <w:t xml:space="preserve"> </w:t>
      </w:r>
      <w:r w:rsidRPr="009978E3">
        <w:rPr>
          <w:rFonts w:eastAsia="MS Mincho"/>
          <w:sz w:val="22"/>
          <w:szCs w:val="22"/>
          <w:lang w:val="en-US"/>
        </w:rPr>
        <w:t xml:space="preserve">and macrofauna and up to 91 </w:t>
      </w:r>
      <w:r>
        <w:rPr>
          <w:rFonts w:eastAsia="MS Mincho"/>
          <w:sz w:val="22"/>
          <w:szCs w:val="22"/>
          <w:lang w:val="en-US"/>
        </w:rPr>
        <w:t xml:space="preserve"> per cent</w:t>
      </w:r>
      <w:r w:rsidRPr="009978E3">
        <w:rPr>
          <w:rFonts w:eastAsia="MS Mincho"/>
          <w:sz w:val="22"/>
          <w:szCs w:val="22"/>
          <w:lang w:val="en-US"/>
        </w:rPr>
        <w:t xml:space="preserve"> of meiofauna endemic to the seamount group), 3.9 </w:t>
      </w:r>
      <w:r>
        <w:rPr>
          <w:rFonts w:eastAsia="MS Mincho"/>
          <w:sz w:val="22"/>
          <w:szCs w:val="22"/>
          <w:lang w:val="en-US"/>
        </w:rPr>
        <w:t xml:space="preserve"> per cent</w:t>
      </w:r>
      <w:r w:rsidRPr="009978E3">
        <w:rPr>
          <w:rFonts w:eastAsia="MS Mincho"/>
          <w:sz w:val="22"/>
          <w:szCs w:val="22"/>
          <w:lang w:val="en-US"/>
        </w:rPr>
        <w:t xml:space="preserve"> </w:t>
      </w:r>
      <w:r>
        <w:rPr>
          <w:rFonts w:eastAsia="MS Mincho"/>
          <w:sz w:val="22"/>
          <w:szCs w:val="22"/>
          <w:lang w:val="en-US"/>
        </w:rPr>
        <w:t xml:space="preserve">of which </w:t>
      </w:r>
      <w:r w:rsidRPr="009978E3">
        <w:rPr>
          <w:rFonts w:eastAsia="MS Mincho"/>
          <w:sz w:val="22"/>
          <w:szCs w:val="22"/>
          <w:lang w:val="en-US"/>
        </w:rPr>
        <w:t>are protected under international or regional law.</w:t>
      </w:r>
    </w:p>
    <w:p w14:paraId="0531DA40" w14:textId="77777777" w:rsidR="006B3F46" w:rsidRPr="0021277B" w:rsidRDefault="006B3F46" w:rsidP="00907941">
      <w:pPr>
        <w:jc w:val="both"/>
        <w:rPr>
          <w:rFonts w:eastAsia="MS Mincho"/>
          <w:i/>
          <w:sz w:val="22"/>
          <w:szCs w:val="22"/>
          <w:lang w:val="en-US"/>
        </w:rPr>
      </w:pPr>
      <w:r w:rsidRPr="009978E3">
        <w:rPr>
          <w:rFonts w:eastAsia="MS Mincho"/>
          <w:b/>
          <w:sz w:val="22"/>
          <w:szCs w:val="22"/>
          <w:lang w:val="en-US"/>
        </w:rPr>
        <w:t>Introduction</w:t>
      </w:r>
    </w:p>
    <w:p w14:paraId="648E7FDF" w14:textId="77777777" w:rsidR="006B3F46" w:rsidRDefault="006B3F46" w:rsidP="002E4B39">
      <w:pPr>
        <w:suppressLineNumbers/>
        <w:spacing w:after="120"/>
        <w:jc w:val="both"/>
        <w:rPr>
          <w:rFonts w:eastAsia="MS Mincho"/>
          <w:sz w:val="22"/>
          <w:szCs w:val="22"/>
          <w:lang w:val="en-US"/>
        </w:rPr>
      </w:pPr>
      <w:r w:rsidRPr="00F66EF7">
        <w:rPr>
          <w:rFonts w:eastAsia="MS Mincho"/>
          <w:sz w:val="22"/>
          <w:szCs w:val="22"/>
          <w:lang w:val="en-US"/>
        </w:rPr>
        <w:t xml:space="preserve">The Atlantis-Meteor Seamount Complex </w:t>
      </w:r>
      <w:r>
        <w:rPr>
          <w:rFonts w:eastAsia="MS Mincho"/>
          <w:sz w:val="22"/>
          <w:szCs w:val="22"/>
          <w:lang w:val="en-US"/>
        </w:rPr>
        <w:t xml:space="preserve">comprises </w:t>
      </w:r>
      <w:r w:rsidRPr="00F66EF7">
        <w:rPr>
          <w:rFonts w:eastAsia="MS Mincho"/>
          <w:sz w:val="22"/>
          <w:szCs w:val="22"/>
          <w:lang w:val="en-US"/>
        </w:rPr>
        <w:t>10 seamounts</w:t>
      </w:r>
      <w:r>
        <w:rPr>
          <w:rFonts w:eastAsia="MS Mincho"/>
          <w:sz w:val="22"/>
          <w:szCs w:val="22"/>
          <w:lang w:val="en-US"/>
        </w:rPr>
        <w:t>:</w:t>
      </w:r>
      <w:r w:rsidRPr="009978E3">
        <w:rPr>
          <w:rFonts w:eastAsia="MS Mincho"/>
          <w:sz w:val="22"/>
          <w:szCs w:val="22"/>
          <w:lang w:val="en-US"/>
        </w:rPr>
        <w:t xml:space="preserve"> Atlantis, Cruiser, Hyeres, Irving, Pico Sul, Plato, Tyro, Meteor Bank, the latter including Great Meteor, Closs and Small Meteor. </w:t>
      </w:r>
    </w:p>
    <w:p w14:paraId="441D2C5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Benthic biological communities on seamounts are highly vulnerable to human activities. Many benthic species are long-lived</w:t>
      </w:r>
      <w:r>
        <w:rPr>
          <w:rFonts w:eastAsia="MS Mincho"/>
          <w:sz w:val="22"/>
          <w:szCs w:val="22"/>
          <w:lang w:val="en-US"/>
        </w:rPr>
        <w:t>,</w:t>
      </w:r>
      <w:r w:rsidRPr="009978E3">
        <w:rPr>
          <w:rFonts w:eastAsia="MS Mincho"/>
          <w:sz w:val="22"/>
          <w:szCs w:val="22"/>
          <w:lang w:val="en-US"/>
        </w:rPr>
        <w:t xml:space="preserve"> slow-growing and </w:t>
      </w:r>
      <w:r>
        <w:rPr>
          <w:rFonts w:eastAsia="MS Mincho"/>
          <w:sz w:val="22"/>
          <w:szCs w:val="22"/>
          <w:lang w:val="en-US"/>
        </w:rPr>
        <w:t xml:space="preserve">vulnerable </w:t>
      </w:r>
      <w:r w:rsidRPr="009978E3">
        <w:rPr>
          <w:rFonts w:eastAsia="MS Mincho"/>
          <w:sz w:val="22"/>
          <w:szCs w:val="22"/>
          <w:lang w:val="en-US"/>
        </w:rPr>
        <w:t xml:space="preserve"> to human impacts. Seamounts are defined as isolated topographic features of the seabed that have a limited lateral extent and rise more than 1000m from abyssal depths (</w:t>
      </w:r>
      <w:r w:rsidRPr="009978E3">
        <w:rPr>
          <w:sz w:val="22"/>
          <w:szCs w:val="22"/>
          <w:lang w:val="en-US"/>
        </w:rPr>
        <w:t>Menard, 1964</w:t>
      </w:r>
      <w:r w:rsidRPr="009978E3">
        <w:rPr>
          <w:rFonts w:eastAsia="MS Mincho"/>
          <w:sz w:val="22"/>
          <w:szCs w:val="22"/>
          <w:lang w:val="en-US"/>
        </w:rPr>
        <w:t xml:space="preserve">). Large seamounts usually originate as volcanoes and are primarily associated with intraplate hotspots and mid-ocean ridges </w:t>
      </w:r>
      <w:r w:rsidRPr="009978E3">
        <w:rPr>
          <w:sz w:val="22"/>
          <w:szCs w:val="22"/>
          <w:lang w:val="en-US"/>
        </w:rPr>
        <w:t xml:space="preserve">(Staudigel </w:t>
      </w:r>
      <w:r w:rsidRPr="0006066A">
        <w:rPr>
          <w:i/>
          <w:sz w:val="22"/>
          <w:szCs w:val="22"/>
          <w:lang w:val="en-US"/>
        </w:rPr>
        <w:t>et al</w:t>
      </w:r>
      <w:r w:rsidRPr="009978E3">
        <w:rPr>
          <w:i/>
          <w:sz w:val="22"/>
          <w:szCs w:val="22"/>
          <w:lang w:val="en-US"/>
        </w:rPr>
        <w:t>.,</w:t>
      </w:r>
      <w:r w:rsidRPr="009978E3">
        <w:rPr>
          <w:sz w:val="22"/>
          <w:szCs w:val="22"/>
          <w:lang w:val="en-US"/>
        </w:rPr>
        <w:t xml:space="preserve"> 2010</w:t>
      </w:r>
      <w:r w:rsidRPr="009978E3">
        <w:rPr>
          <w:rFonts w:eastAsia="MS Mincho"/>
          <w:sz w:val="22"/>
          <w:szCs w:val="22"/>
          <w:lang w:val="en-US"/>
        </w:rPr>
        <w:t xml:space="preserve">). Generally, seamount topography is responsible for these structures qualifying as high complexity sites. Due to their isolated location, these structures can be an obstacle to the free circulation of the oceans. This gives rise to different kinds of phenomena and disturbances, including an increase in the speed of sea currents, upwellings, turbulence, Taylor cones, eddies and even jets in the zones where the seamounts interact with ocean currents (Richardson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2000; </w:t>
      </w:r>
      <w:r w:rsidRPr="009978E3">
        <w:rPr>
          <w:sz w:val="22"/>
          <w:szCs w:val="22"/>
          <w:lang w:val="en-US"/>
        </w:rPr>
        <w:t>Kunze &amp; Smith, 2004</w:t>
      </w:r>
      <w:r w:rsidRPr="009978E3">
        <w:rPr>
          <w:rFonts w:eastAsia="MS Mincho"/>
          <w:sz w:val="22"/>
          <w:szCs w:val="22"/>
          <w:lang w:val="en-US"/>
        </w:rPr>
        <w:t xml:space="preserve">; </w:t>
      </w:r>
      <w:r w:rsidRPr="009978E3">
        <w:rPr>
          <w:sz w:val="22"/>
          <w:szCs w:val="22"/>
          <w:lang w:val="en-US"/>
        </w:rPr>
        <w:t xml:space="preserve">White </w:t>
      </w:r>
      <w:r w:rsidRPr="0006066A">
        <w:rPr>
          <w:i/>
          <w:sz w:val="22"/>
          <w:szCs w:val="22"/>
          <w:lang w:val="en-US"/>
        </w:rPr>
        <w:t>et al</w:t>
      </w:r>
      <w:r w:rsidRPr="009978E3">
        <w:rPr>
          <w:i/>
          <w:sz w:val="22"/>
          <w:szCs w:val="22"/>
          <w:lang w:val="en-US"/>
        </w:rPr>
        <w:t>.,</w:t>
      </w:r>
      <w:r w:rsidRPr="009978E3">
        <w:rPr>
          <w:sz w:val="22"/>
          <w:szCs w:val="22"/>
          <w:lang w:val="en-US"/>
        </w:rPr>
        <w:t xml:space="preserve"> 2007; Pakhorukov, 2008</w:t>
      </w:r>
      <w:r w:rsidRPr="009978E3">
        <w:rPr>
          <w:rFonts w:eastAsia="MS Mincho"/>
          <w:sz w:val="22"/>
          <w:szCs w:val="22"/>
          <w:lang w:val="en-US"/>
        </w:rPr>
        <w:t xml:space="preserve">). </w:t>
      </w:r>
    </w:p>
    <w:p w14:paraId="077A4E0D"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Seamounts are hotspots of marine life (</w:t>
      </w:r>
      <w:r>
        <w:rPr>
          <w:rFonts w:eastAsia="MS Mincho"/>
          <w:sz w:val="22"/>
          <w:szCs w:val="22"/>
          <w:lang w:val="en-US"/>
        </w:rPr>
        <w:t>e.g.</w:t>
      </w:r>
      <w:r w:rsidRPr="009978E3">
        <w:rPr>
          <w:rFonts w:eastAsia="MS Mincho"/>
          <w:sz w:val="22"/>
          <w:szCs w:val="22"/>
          <w:lang w:val="en-US"/>
        </w:rPr>
        <w:t xml:space="preserve">, Rogers, 1994; Gubbay, 2003; Morato &amp; Pauly, 2004; Pitcher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2010;</w:t>
      </w:r>
      <w:r w:rsidRPr="0021277B">
        <w:rPr>
          <w:sz w:val="22"/>
          <w:szCs w:val="22"/>
        </w:rPr>
        <w:t xml:space="preserve"> </w:t>
      </w:r>
      <w:r w:rsidRPr="00F66EF7">
        <w:rPr>
          <w:rFonts w:eastAsia="MS Mincho"/>
          <w:sz w:val="22"/>
          <w:szCs w:val="22"/>
          <w:lang w:val="en-US"/>
        </w:rPr>
        <w:t>Mendonça</w:t>
      </w:r>
      <w:r w:rsidRPr="009978E3">
        <w:rPr>
          <w:rFonts w:eastAsia="MS Mincho"/>
          <w:sz w:val="22"/>
          <w:szCs w:val="22"/>
          <w:lang w:val="en-US"/>
        </w:rPr>
        <w:t xml:space="preserve">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2012) and in general </w:t>
      </w:r>
      <w:r>
        <w:rPr>
          <w:rFonts w:eastAsia="MS Mincho"/>
          <w:sz w:val="22"/>
          <w:szCs w:val="22"/>
          <w:lang w:val="en-US"/>
        </w:rPr>
        <w:t>are</w:t>
      </w:r>
      <w:r w:rsidRPr="009978E3">
        <w:rPr>
          <w:rFonts w:eastAsia="MS Mincho"/>
          <w:sz w:val="22"/>
          <w:szCs w:val="22"/>
          <w:lang w:val="en-US"/>
        </w:rPr>
        <w:t xml:space="preserve"> areas of enhanced productivity in comparison with nearby abyssal areas. In most cases, around the seamounts there is an extensive anticyclonic eddy associated with the lifting of nutrients from the rich deep water, giving rise to high concentrations of nitrates and chlorophyll in shallow waters (Coelho &amp; Santos, 2003), which encourages the development of a wealth of flora and fauna on the structures, leading to exposed hard substrates and improved food conditions for epibenthic suspension feeders (</w:t>
      </w:r>
      <w:r>
        <w:rPr>
          <w:rFonts w:eastAsia="MS Mincho"/>
          <w:sz w:val="22"/>
          <w:szCs w:val="22"/>
          <w:lang w:val="en-US"/>
        </w:rPr>
        <w:t>e.g.,</w:t>
      </w:r>
      <w:r w:rsidRPr="009978E3">
        <w:rPr>
          <w:rFonts w:eastAsia="MS Mincho"/>
          <w:sz w:val="22"/>
          <w:szCs w:val="22"/>
          <w:lang w:val="en-US"/>
        </w:rPr>
        <w:t xml:space="preserve"> Cartes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a), b); Genin &amp; Dower 2007), such as cold-water corals or deep-water sponges (</w:t>
      </w:r>
      <w:r>
        <w:rPr>
          <w:rFonts w:eastAsia="MS Mincho"/>
          <w:sz w:val="22"/>
          <w:szCs w:val="22"/>
          <w:lang w:val="en-US"/>
        </w:rPr>
        <w:t>e.g.,</w:t>
      </w:r>
      <w:r w:rsidRPr="009978E3">
        <w:rPr>
          <w:rFonts w:eastAsia="MS Mincho"/>
          <w:sz w:val="22"/>
          <w:szCs w:val="22"/>
          <w:lang w:val="en-US"/>
        </w:rPr>
        <w:t xml:space="preserve"> Samadi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Sánchez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tunas (</w:t>
      </w:r>
      <w:r>
        <w:rPr>
          <w:rFonts w:eastAsia="MS Mincho"/>
          <w:sz w:val="22"/>
          <w:szCs w:val="22"/>
          <w:lang w:val="en-US"/>
        </w:rPr>
        <w:t>e.g.</w:t>
      </w:r>
      <w:r w:rsidRPr="009978E3">
        <w:rPr>
          <w:rFonts w:eastAsia="MS Mincho"/>
          <w:sz w:val="22"/>
          <w:szCs w:val="22"/>
          <w:lang w:val="en-US"/>
        </w:rPr>
        <w:t>, Yasui 1986;</w:t>
      </w:r>
      <w:r w:rsidRPr="0021277B">
        <w:rPr>
          <w:sz w:val="22"/>
          <w:szCs w:val="22"/>
        </w:rPr>
        <w:t xml:space="preserve"> </w:t>
      </w:r>
      <w:r w:rsidRPr="00F66EF7">
        <w:rPr>
          <w:rFonts w:eastAsia="MS Mincho"/>
          <w:sz w:val="22"/>
          <w:szCs w:val="22"/>
          <w:lang w:val="en-US"/>
        </w:rPr>
        <w:t xml:space="preserve">Morato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 Ressurreição &amp; Giacomello, 2013), marine mammals (</w:t>
      </w:r>
      <w:r>
        <w:rPr>
          <w:rFonts w:eastAsia="MS Mincho"/>
          <w:sz w:val="22"/>
          <w:szCs w:val="22"/>
          <w:lang w:val="en-US"/>
        </w:rPr>
        <w:t>e.g.,</w:t>
      </w:r>
      <w:r w:rsidRPr="009978E3">
        <w:rPr>
          <w:rFonts w:eastAsia="MS Mincho"/>
          <w:sz w:val="22"/>
          <w:szCs w:val="22"/>
          <w:lang w:val="en-US"/>
        </w:rPr>
        <w:t xml:space="preserve"> Cañadas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2002; Correia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2015), and other organisms that apparently feed on prey aggregations (</w:t>
      </w:r>
      <w:r>
        <w:rPr>
          <w:rFonts w:eastAsia="MS Mincho"/>
          <w:sz w:val="22"/>
          <w:szCs w:val="22"/>
          <w:lang w:val="en-US"/>
        </w:rPr>
        <w:t>e.g.,</w:t>
      </w:r>
      <w:r w:rsidRPr="009978E3">
        <w:rPr>
          <w:rFonts w:eastAsia="MS Mincho"/>
          <w:sz w:val="22"/>
          <w:szCs w:val="22"/>
          <w:lang w:val="en-US"/>
        </w:rPr>
        <w:t xml:space="preserve"> Boehler &amp; Sasaki, 1988; Porteiro &amp; Sutton, 2007; Tabachnick &amp; Menchenina, 2007). Seamounts are biologically distinctive habitats of the open ocean exhibiting unique features (Rogers, 1994; Probert, 1999; Morato &amp; Clark, 2007). These structures can host very distinctive biological communities that are different </w:t>
      </w:r>
      <w:r>
        <w:rPr>
          <w:rFonts w:eastAsia="MS Mincho"/>
          <w:sz w:val="22"/>
          <w:szCs w:val="22"/>
          <w:lang w:val="en-US"/>
        </w:rPr>
        <w:t>from</w:t>
      </w:r>
      <w:r w:rsidRPr="009978E3">
        <w:rPr>
          <w:rFonts w:eastAsia="MS Mincho"/>
          <w:sz w:val="22"/>
          <w:szCs w:val="22"/>
          <w:lang w:val="en-US"/>
        </w:rPr>
        <w:t xml:space="preserve"> the communities on nearby abyssal plain</w:t>
      </w:r>
      <w:r>
        <w:rPr>
          <w:rFonts w:eastAsia="MS Mincho"/>
          <w:sz w:val="22"/>
          <w:szCs w:val="22"/>
          <w:lang w:val="en-US"/>
        </w:rPr>
        <w:t>s</w:t>
      </w:r>
      <w:r w:rsidRPr="009978E3">
        <w:rPr>
          <w:rFonts w:eastAsia="MS Mincho"/>
          <w:sz w:val="22"/>
          <w:szCs w:val="22"/>
          <w:lang w:val="en-US"/>
        </w:rPr>
        <w:t xml:space="preserve"> dominated </w:t>
      </w:r>
      <w:r>
        <w:rPr>
          <w:rFonts w:eastAsia="MS Mincho"/>
          <w:sz w:val="22"/>
          <w:szCs w:val="22"/>
          <w:lang w:val="en-US"/>
        </w:rPr>
        <w:t xml:space="preserve">by </w:t>
      </w:r>
      <w:r w:rsidRPr="009978E3">
        <w:rPr>
          <w:rFonts w:eastAsia="MS Mincho"/>
          <w:sz w:val="22"/>
          <w:szCs w:val="22"/>
          <w:lang w:val="en-US"/>
        </w:rPr>
        <w:t>soft sediment</w:t>
      </w:r>
      <w:r>
        <w:rPr>
          <w:rFonts w:eastAsia="MS Mincho"/>
          <w:sz w:val="22"/>
          <w:szCs w:val="22"/>
          <w:lang w:val="en-US"/>
        </w:rPr>
        <w:t>,</w:t>
      </w:r>
      <w:r w:rsidRPr="009978E3">
        <w:rPr>
          <w:rFonts w:eastAsia="MS Mincho"/>
          <w:sz w:val="22"/>
          <w:szCs w:val="22"/>
          <w:lang w:val="en-US"/>
        </w:rPr>
        <w:t xml:space="preserve"> and these particular places may attract pelagic fish</w:t>
      </w:r>
      <w:r>
        <w:rPr>
          <w:rFonts w:eastAsia="MS Mincho"/>
          <w:sz w:val="22"/>
          <w:szCs w:val="22"/>
          <w:lang w:val="en-US"/>
        </w:rPr>
        <w:t>,</w:t>
      </w:r>
      <w:r w:rsidRPr="009978E3">
        <w:rPr>
          <w:rFonts w:eastAsia="MS Mincho"/>
          <w:sz w:val="22"/>
          <w:szCs w:val="22"/>
          <w:lang w:val="en-US"/>
        </w:rPr>
        <w:t xml:space="preserve"> including larger, commercially valuable species and other marine top predators such as loggerhead sea turtles (</w:t>
      </w:r>
      <w:r w:rsidRPr="009978E3">
        <w:rPr>
          <w:i/>
          <w:sz w:val="22"/>
          <w:szCs w:val="22"/>
          <w:lang w:val="en-US"/>
        </w:rPr>
        <w:t>Caretta caretta</w:t>
      </w:r>
      <w:r w:rsidRPr="009978E3">
        <w:rPr>
          <w:rFonts w:eastAsia="MS Mincho"/>
          <w:sz w:val="22"/>
          <w:szCs w:val="22"/>
          <w:lang w:val="en-US"/>
        </w:rPr>
        <w:t>) and marine mammals (</w:t>
      </w:r>
      <w:r w:rsidRPr="0021277B">
        <w:rPr>
          <w:rFonts w:eastAsia="MS Mincho"/>
          <w:iCs/>
          <w:sz w:val="22"/>
          <w:szCs w:val="22"/>
          <w:lang w:val="en-US"/>
        </w:rPr>
        <w:t>e.g.,</w:t>
      </w:r>
      <w:r w:rsidRPr="009978E3">
        <w:rPr>
          <w:rFonts w:eastAsia="MS Mincho"/>
          <w:sz w:val="22"/>
          <w:szCs w:val="22"/>
          <w:lang w:val="en-US"/>
        </w:rPr>
        <w:t xml:space="preserve"> Holland &amp; Grubbs, 2007, Kaschner, 2007, Santos </w:t>
      </w:r>
      <w:r w:rsidRPr="0006066A">
        <w:rPr>
          <w:rFonts w:eastAsia="MS Mincho"/>
          <w:i/>
          <w:sz w:val="22"/>
          <w:szCs w:val="22"/>
          <w:lang w:val="en-US"/>
        </w:rPr>
        <w:t>et al</w:t>
      </w:r>
      <w:r w:rsidRPr="009978E3">
        <w:rPr>
          <w:rFonts w:eastAsia="MS Mincho"/>
          <w:sz w:val="22"/>
          <w:szCs w:val="22"/>
          <w:lang w:val="en-US"/>
        </w:rPr>
        <w:t>., 2007).</w:t>
      </w:r>
    </w:p>
    <w:p w14:paraId="791DDCE5" w14:textId="77777777" w:rsidR="006B3F46" w:rsidRPr="009978E3" w:rsidRDefault="006B3F46" w:rsidP="002E4B39">
      <w:pPr>
        <w:suppressLineNumbers/>
        <w:spacing w:after="120"/>
        <w:jc w:val="both"/>
        <w:rPr>
          <w:rFonts w:eastAsia="MS Mincho"/>
          <w:color w:val="FF0000"/>
          <w:sz w:val="22"/>
          <w:szCs w:val="22"/>
          <w:lang w:val="en-US"/>
        </w:rPr>
      </w:pPr>
      <w:r w:rsidRPr="009978E3">
        <w:rPr>
          <w:rFonts w:eastAsia="MS Mincho"/>
          <w:sz w:val="22"/>
          <w:szCs w:val="22"/>
          <w:lang w:val="en-US"/>
        </w:rPr>
        <w:t xml:space="preserve">The Atlantis-Meteor Seamount Complex is part of </w:t>
      </w:r>
      <w:r>
        <w:rPr>
          <w:rFonts w:eastAsia="MS Mincho"/>
          <w:sz w:val="22"/>
          <w:szCs w:val="22"/>
          <w:lang w:val="en-US"/>
        </w:rPr>
        <w:t xml:space="preserve">the </w:t>
      </w:r>
      <w:r w:rsidRPr="009978E3">
        <w:rPr>
          <w:rFonts w:eastAsia="MS Mincho"/>
          <w:sz w:val="22"/>
          <w:szCs w:val="22"/>
          <w:lang w:val="en-US"/>
        </w:rPr>
        <w:t xml:space="preserve">Macaronesian region. The area is situated about 1500 km northwest of the African continent and contains 10 banks, which usually have flat summit plateaus, together with a few lesser seamounts. The whole feature </w:t>
      </w:r>
      <w:r>
        <w:rPr>
          <w:rFonts w:eastAsia="MS Mincho"/>
          <w:sz w:val="22"/>
          <w:szCs w:val="22"/>
          <w:lang w:val="en-US"/>
        </w:rPr>
        <w:t>is</w:t>
      </w:r>
      <w:r w:rsidRPr="009978E3">
        <w:rPr>
          <w:rFonts w:eastAsia="MS Mincho"/>
          <w:sz w:val="22"/>
          <w:szCs w:val="22"/>
          <w:lang w:val="en-US"/>
        </w:rPr>
        <w:t xml:space="preserve"> a large volcanic complex in the central North Atlantic Ocean, situated some 700 km south of the Azores (Verhoef, 1984). It is the southernmost of a chain of large seamounts extending south from the Azores Plateau (Figure 1). </w:t>
      </w:r>
    </w:p>
    <w:p w14:paraId="46CEB8DB"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Meteor bank is one of the best explored seamounts in the world, and since an expedition in 1998, detailed information on the meiofauna inhabiting its plateau has been made available. The Great Meteor resembles an isolated “island” in respect to the colonization by meiofauna. More data is included in the descriptions of some seamounts, such as Atlantis, Hyeres, Irving and Plato, than others (see Table 1), due to a greater sampling effort. Most of the older research was focused on geology.</w:t>
      </w:r>
    </w:p>
    <w:p w14:paraId="3FE8557A"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Table 1 – </w:t>
      </w:r>
      <w:r>
        <w:rPr>
          <w:rFonts w:eastAsia="MS Mincho"/>
          <w:sz w:val="22"/>
          <w:szCs w:val="22"/>
          <w:lang w:val="en-US"/>
        </w:rPr>
        <w:t>Summary</w:t>
      </w:r>
      <w:r w:rsidRPr="009978E3">
        <w:rPr>
          <w:rFonts w:eastAsia="MS Mincho"/>
          <w:sz w:val="22"/>
          <w:szCs w:val="22"/>
          <w:lang w:val="en-US"/>
        </w:rPr>
        <w:t xml:space="preserve"> of the  EBSA criteria met by each structure</w:t>
      </w:r>
      <w:r>
        <w:rPr>
          <w:rFonts w:eastAsia="MS Mincho"/>
          <w:sz w:val="22"/>
          <w:szCs w:val="22"/>
          <w:lang w:val="en-US"/>
        </w:rPr>
        <w:t xml:space="preserve"> of the </w:t>
      </w:r>
      <w:r w:rsidRPr="009978E3">
        <w:rPr>
          <w:rFonts w:eastAsia="MS Mincho"/>
          <w:sz w:val="22"/>
          <w:szCs w:val="22"/>
          <w:lang w:val="en-US"/>
        </w:rPr>
        <w:t>Atlantis-Meteor Seamount Complex (Crit 1 (</w:t>
      </w:r>
      <w:r w:rsidRPr="009978E3">
        <w:rPr>
          <w:sz w:val="22"/>
          <w:szCs w:val="22"/>
        </w:rPr>
        <w:t>Uniqueness or rarity)</w:t>
      </w:r>
      <w:r w:rsidRPr="009978E3">
        <w:rPr>
          <w:rFonts w:eastAsia="MS Mincho"/>
          <w:sz w:val="22"/>
          <w:szCs w:val="22"/>
          <w:lang w:val="en-US"/>
        </w:rPr>
        <w:t>, 2</w:t>
      </w:r>
      <w:r w:rsidRPr="009978E3">
        <w:rPr>
          <w:sz w:val="22"/>
          <w:szCs w:val="22"/>
        </w:rPr>
        <w:t xml:space="preserve"> (</w:t>
      </w:r>
      <w:r w:rsidRPr="009978E3">
        <w:rPr>
          <w:rFonts w:eastAsia="MS Mincho"/>
          <w:sz w:val="22"/>
          <w:szCs w:val="22"/>
          <w:lang w:val="en-US"/>
        </w:rPr>
        <w:t xml:space="preserve">Special importance for life-history stages of species, 3 (Importance for threatened, endangered or declining species and/or habitats), 4 (Vulnerability, fragility, sensitivity, or slow recovery), 5 (Biological productivity), 6 (Biological diversity) and 7 (Naturalness). Nº sps – total number of species in each structure. Nº refs - total number of references in each structure. n.i. – No information available. </w:t>
      </w:r>
    </w:p>
    <w:tbl>
      <w:tblPr>
        <w:tblW w:w="9503" w:type="dxa"/>
        <w:jc w:val="center"/>
        <w:tblCellMar>
          <w:left w:w="0" w:type="dxa"/>
          <w:right w:w="0" w:type="dxa"/>
        </w:tblCellMar>
        <w:tblLook w:val="0420" w:firstRow="1" w:lastRow="0" w:firstColumn="0" w:lastColumn="0" w:noHBand="0" w:noVBand="1"/>
      </w:tblPr>
      <w:tblGrid>
        <w:gridCol w:w="2371"/>
        <w:gridCol w:w="790"/>
        <w:gridCol w:w="814"/>
        <w:gridCol w:w="851"/>
        <w:gridCol w:w="708"/>
        <w:gridCol w:w="851"/>
        <w:gridCol w:w="709"/>
        <w:gridCol w:w="708"/>
        <w:gridCol w:w="851"/>
        <w:gridCol w:w="850"/>
      </w:tblGrid>
      <w:tr w:rsidR="006B3F46" w:rsidRPr="0021277B" w14:paraId="6D18BC67" w14:textId="77777777" w:rsidTr="00907941">
        <w:trPr>
          <w:trHeight w:val="34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3266B7" w14:textId="77777777" w:rsidR="006B3F46" w:rsidRPr="0021277B" w:rsidRDefault="006B3F46" w:rsidP="00907941">
            <w:pPr>
              <w:jc w:val="both"/>
              <w:rPr>
                <w:sz w:val="22"/>
                <w:szCs w:val="22"/>
                <w:lang w:val="pt-PT" w:eastAsia="pt-PT"/>
              </w:rPr>
            </w:pPr>
            <w:r w:rsidRPr="0021277B">
              <w:rPr>
                <w:sz w:val="22"/>
                <w:szCs w:val="22"/>
                <w:lang w:val="en-US" w:eastAsia="pt-PT"/>
              </w:rPr>
              <w:t>Structures</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9B3946"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1</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9F0EE26"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2</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ECF8BA"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3</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0ED801"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4816F82"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5</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49FC391"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6</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1E568A"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Crit 7</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6EA9CD6"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Nº sps</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18F9A21" w14:textId="77777777" w:rsidR="006B3F46" w:rsidRPr="0021277B" w:rsidRDefault="006B3F46" w:rsidP="00907941">
            <w:pPr>
              <w:jc w:val="center"/>
              <w:rPr>
                <w:sz w:val="22"/>
                <w:szCs w:val="22"/>
                <w:lang w:val="pt-PT" w:eastAsia="pt-PT"/>
              </w:rPr>
            </w:pPr>
            <w:r w:rsidRPr="0021277B">
              <w:rPr>
                <w:b/>
                <w:bCs/>
                <w:color w:val="000000"/>
                <w:kern w:val="24"/>
                <w:sz w:val="22"/>
                <w:szCs w:val="22"/>
                <w:lang w:val="pt-PT" w:eastAsia="pt-PT"/>
              </w:rPr>
              <w:t>Nº Refs</w:t>
            </w:r>
          </w:p>
        </w:tc>
      </w:tr>
      <w:tr w:rsidR="006B3F46" w:rsidRPr="0021277B" w14:paraId="1ABB5661" w14:textId="77777777" w:rsidTr="00907941">
        <w:trPr>
          <w:trHeight w:val="218"/>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900A224" w14:textId="77777777" w:rsidR="006B3F46" w:rsidRPr="0021277B" w:rsidRDefault="006B3F46" w:rsidP="00907941">
            <w:pPr>
              <w:rPr>
                <w:sz w:val="22"/>
                <w:szCs w:val="22"/>
                <w:lang w:val="pt-PT" w:eastAsia="pt-PT"/>
              </w:rPr>
            </w:pPr>
            <w:r w:rsidRPr="0021277B">
              <w:rPr>
                <w:color w:val="000000"/>
                <w:kern w:val="24"/>
                <w:sz w:val="22"/>
                <w:szCs w:val="22"/>
                <w:lang w:val="pt-PT" w:eastAsia="pt-PT"/>
              </w:rPr>
              <w:t>Atlantis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59407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30B7CC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BE02A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678BB5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0B7464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0F030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4F508F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653C9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209</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1D2B01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18</w:t>
            </w:r>
          </w:p>
        </w:tc>
      </w:tr>
      <w:tr w:rsidR="006B3F46" w:rsidRPr="0021277B" w14:paraId="0B753742" w14:textId="77777777" w:rsidTr="00907941">
        <w:trPr>
          <w:trHeight w:val="255"/>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FED74CC" w14:textId="77777777" w:rsidR="006B3F46" w:rsidRPr="0021277B" w:rsidRDefault="006B3F46" w:rsidP="00907941">
            <w:pPr>
              <w:rPr>
                <w:sz w:val="22"/>
                <w:szCs w:val="22"/>
                <w:lang w:val="pt-PT" w:eastAsia="pt-PT"/>
              </w:rPr>
            </w:pPr>
            <w:r w:rsidRPr="0021277B">
              <w:rPr>
                <w:color w:val="000000"/>
                <w:kern w:val="24"/>
                <w:sz w:val="22"/>
                <w:szCs w:val="22"/>
                <w:lang w:val="pt-PT" w:eastAsia="pt-PT"/>
              </w:rPr>
              <w:t>Closs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3A67A5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B1543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1F7D94F"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C5868B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6B5229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FD085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F35093B"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AFF54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9624EC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w:t>
            </w:r>
          </w:p>
        </w:tc>
      </w:tr>
      <w:tr w:rsidR="006B3F46" w:rsidRPr="0021277B" w14:paraId="120568B0" w14:textId="77777777" w:rsidTr="00907941">
        <w:trPr>
          <w:trHeight w:val="192"/>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AD5A855" w14:textId="77777777" w:rsidR="006B3F46" w:rsidRPr="0021277B" w:rsidRDefault="006B3F46" w:rsidP="00907941">
            <w:pPr>
              <w:rPr>
                <w:sz w:val="22"/>
                <w:szCs w:val="22"/>
                <w:lang w:val="pt-PT" w:eastAsia="pt-PT"/>
              </w:rPr>
            </w:pPr>
            <w:r w:rsidRPr="0021277B">
              <w:rPr>
                <w:color w:val="000000"/>
                <w:kern w:val="24"/>
                <w:sz w:val="22"/>
                <w:szCs w:val="22"/>
                <w:lang w:val="pt-PT" w:eastAsia="pt-PT"/>
              </w:rPr>
              <w:t>Cruiser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1A7980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580F606"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F6B331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E93332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01E0B26"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9EA29F"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FD1844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3CD764F"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29</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40839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13</w:t>
            </w:r>
          </w:p>
        </w:tc>
      </w:tr>
      <w:tr w:rsidR="006B3F46" w:rsidRPr="0021277B" w14:paraId="3CC14D06" w14:textId="77777777" w:rsidTr="00907941">
        <w:trPr>
          <w:trHeight w:val="189"/>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48DF530" w14:textId="77777777" w:rsidR="006B3F46" w:rsidRPr="0021277B" w:rsidRDefault="006B3F46" w:rsidP="00907941">
            <w:pPr>
              <w:rPr>
                <w:sz w:val="22"/>
                <w:szCs w:val="22"/>
                <w:lang w:val="pt-PT" w:eastAsia="pt-PT"/>
              </w:rPr>
            </w:pPr>
            <w:r w:rsidRPr="0021277B">
              <w:rPr>
                <w:color w:val="000000"/>
                <w:kern w:val="24"/>
                <w:sz w:val="22"/>
                <w:szCs w:val="22"/>
                <w:lang w:val="pt-PT" w:eastAsia="pt-PT"/>
              </w:rPr>
              <w:t>Great Meteor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0416B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E75FA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4CDA2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25A50F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E0765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29797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25C67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3B7CD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298</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3184D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49</w:t>
            </w:r>
          </w:p>
        </w:tc>
      </w:tr>
      <w:tr w:rsidR="006B3F46" w:rsidRPr="0021277B" w14:paraId="53CE9262" w14:textId="77777777" w:rsidTr="00907941">
        <w:trPr>
          <w:trHeight w:val="213"/>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EB4A5C3" w14:textId="77777777" w:rsidR="006B3F46" w:rsidRPr="0021277B" w:rsidRDefault="006B3F46" w:rsidP="00907941">
            <w:pPr>
              <w:rPr>
                <w:sz w:val="22"/>
                <w:szCs w:val="22"/>
                <w:lang w:val="pt-PT" w:eastAsia="pt-PT"/>
              </w:rPr>
            </w:pPr>
            <w:r w:rsidRPr="0021277B">
              <w:rPr>
                <w:color w:val="000000"/>
                <w:kern w:val="24"/>
                <w:sz w:val="22"/>
                <w:szCs w:val="22"/>
                <w:lang w:val="pt-PT" w:eastAsia="pt-PT"/>
              </w:rPr>
              <w:t>Hyeres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4807B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5D34E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C33C96"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BF828F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A47BFAE"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91420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9F4C9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49A68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117</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E865DF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20</w:t>
            </w:r>
          </w:p>
        </w:tc>
      </w:tr>
      <w:tr w:rsidR="006B3F46" w:rsidRPr="0021277B" w14:paraId="6ABB4500" w14:textId="77777777" w:rsidTr="00907941">
        <w:trPr>
          <w:trHeight w:val="34"/>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D29D68" w14:textId="77777777" w:rsidR="006B3F46" w:rsidRPr="0021277B" w:rsidRDefault="006B3F46" w:rsidP="00907941">
            <w:pPr>
              <w:rPr>
                <w:sz w:val="22"/>
                <w:szCs w:val="22"/>
                <w:lang w:val="pt-PT" w:eastAsia="pt-PT"/>
              </w:rPr>
            </w:pPr>
            <w:r w:rsidRPr="0021277B">
              <w:rPr>
                <w:color w:val="000000"/>
                <w:kern w:val="24"/>
                <w:sz w:val="22"/>
                <w:szCs w:val="22"/>
                <w:lang w:val="pt-PT" w:eastAsia="pt-PT"/>
              </w:rPr>
              <w:t>Irving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8ED768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E8C10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4430FC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C1090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784332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AC12D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55AFB7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6D399A"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128</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47A61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25</w:t>
            </w:r>
          </w:p>
        </w:tc>
      </w:tr>
      <w:tr w:rsidR="006B3F46" w:rsidRPr="0021277B" w14:paraId="4E1848D8" w14:textId="77777777" w:rsidTr="00907941">
        <w:trPr>
          <w:trHeight w:val="16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D52F4E2" w14:textId="77777777" w:rsidR="006B3F46" w:rsidRPr="0021277B" w:rsidRDefault="006B3F46" w:rsidP="00907941">
            <w:pPr>
              <w:rPr>
                <w:sz w:val="22"/>
                <w:szCs w:val="22"/>
                <w:lang w:val="pt-PT" w:eastAsia="pt-PT"/>
              </w:rPr>
            </w:pPr>
            <w:r w:rsidRPr="0021277B">
              <w:rPr>
                <w:color w:val="000000"/>
                <w:kern w:val="24"/>
                <w:sz w:val="22"/>
                <w:szCs w:val="22"/>
                <w:lang w:val="pt-PT" w:eastAsia="pt-PT"/>
              </w:rPr>
              <w:t>Pico do Sul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893A7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5941808"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6AC4F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1344AB"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23E4783"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A4A3BF1"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EA4DB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B5268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794AF5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r>
      <w:tr w:rsidR="006B3F46" w:rsidRPr="0021277B" w14:paraId="7B791215" w14:textId="77777777" w:rsidTr="00907941">
        <w:trPr>
          <w:trHeight w:val="327"/>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AF59F1" w14:textId="77777777" w:rsidR="006B3F46" w:rsidRPr="0021277B" w:rsidRDefault="006B3F46" w:rsidP="00907941">
            <w:pPr>
              <w:rPr>
                <w:sz w:val="22"/>
                <w:szCs w:val="22"/>
                <w:lang w:val="pt-PT" w:eastAsia="pt-PT"/>
              </w:rPr>
            </w:pPr>
            <w:r w:rsidRPr="0021277B">
              <w:rPr>
                <w:color w:val="000000"/>
                <w:kern w:val="24"/>
                <w:sz w:val="22"/>
                <w:szCs w:val="22"/>
                <w:lang w:val="pt-PT" w:eastAsia="pt-PT"/>
              </w:rPr>
              <w:t>Plato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61A335E"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315532"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9E33E9"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3A35D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2FEB1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E5AD2E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59EA4C"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7E1B2F" w14:textId="77777777" w:rsidR="006B3F46" w:rsidRPr="0021277B" w:rsidRDefault="006B3F46" w:rsidP="00907941">
            <w:pPr>
              <w:jc w:val="center"/>
              <w:rPr>
                <w:sz w:val="22"/>
                <w:szCs w:val="22"/>
                <w:lang w:val="pt-PT" w:eastAsia="pt-PT"/>
              </w:rPr>
            </w:pPr>
            <w:r w:rsidRPr="0021277B">
              <w:rPr>
                <w:sz w:val="22"/>
                <w:szCs w:val="22"/>
                <w:lang w:val="pt-PT" w:eastAsia="pt-PT"/>
              </w:rPr>
              <w:t>89</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9E5AF0A" w14:textId="77777777" w:rsidR="006B3F46" w:rsidRPr="0021277B" w:rsidRDefault="006B3F46" w:rsidP="00907941">
            <w:pPr>
              <w:jc w:val="center"/>
              <w:rPr>
                <w:sz w:val="22"/>
                <w:szCs w:val="22"/>
                <w:lang w:val="pt-PT" w:eastAsia="pt-PT"/>
              </w:rPr>
            </w:pPr>
            <w:r w:rsidRPr="0021277B">
              <w:rPr>
                <w:sz w:val="22"/>
                <w:szCs w:val="22"/>
                <w:lang w:val="pt-PT" w:eastAsia="pt-PT"/>
              </w:rPr>
              <w:t>14</w:t>
            </w:r>
          </w:p>
        </w:tc>
      </w:tr>
      <w:tr w:rsidR="006B3F46" w:rsidRPr="0021277B" w14:paraId="660FBC96" w14:textId="77777777" w:rsidTr="00907941">
        <w:trPr>
          <w:trHeight w:val="12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6EB7AEC8" w14:textId="77777777" w:rsidR="006B3F46" w:rsidRPr="0021277B" w:rsidRDefault="006B3F46" w:rsidP="00907941">
            <w:pPr>
              <w:rPr>
                <w:color w:val="000000"/>
                <w:kern w:val="24"/>
                <w:sz w:val="22"/>
                <w:szCs w:val="22"/>
                <w:lang w:val="en-US" w:eastAsia="pt-PT"/>
              </w:rPr>
            </w:pPr>
            <w:r w:rsidRPr="0021277B">
              <w:rPr>
                <w:color w:val="000000"/>
                <w:kern w:val="24"/>
                <w:sz w:val="22"/>
                <w:szCs w:val="22"/>
                <w:lang w:val="en-US" w:eastAsia="pt-PT"/>
              </w:rPr>
              <w:t>Small Meteor</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7B911F0"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1F1F19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9CDF9AF"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DF08185"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EA5A81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42DDC2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E63E31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90BCD2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4CA75A4"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n.i.</w:t>
            </w:r>
          </w:p>
        </w:tc>
      </w:tr>
      <w:tr w:rsidR="006B3F46" w:rsidRPr="0021277B" w14:paraId="21709A2F" w14:textId="77777777" w:rsidTr="00907941">
        <w:trPr>
          <w:trHeight w:val="120"/>
          <w:jc w:val="center"/>
        </w:trPr>
        <w:tc>
          <w:tcPr>
            <w:tcW w:w="23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4C2C68C" w14:textId="77777777" w:rsidR="006B3F46" w:rsidRPr="0021277B" w:rsidRDefault="006B3F46" w:rsidP="00907941">
            <w:pPr>
              <w:rPr>
                <w:sz w:val="22"/>
                <w:szCs w:val="22"/>
                <w:lang w:val="pt-PT" w:eastAsia="pt-PT"/>
              </w:rPr>
            </w:pPr>
            <w:r w:rsidRPr="0021277B">
              <w:rPr>
                <w:color w:val="000000"/>
                <w:kern w:val="24"/>
                <w:sz w:val="22"/>
                <w:szCs w:val="22"/>
                <w:lang w:val="en-US" w:eastAsia="pt-PT"/>
              </w:rPr>
              <w:t>Tyro seamount</w:t>
            </w:r>
          </w:p>
        </w:tc>
        <w:tc>
          <w:tcPr>
            <w:tcW w:w="7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47AC9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1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BB524DA" w14:textId="77777777" w:rsidR="006B3F46" w:rsidRPr="0021277B" w:rsidRDefault="006B3F46" w:rsidP="00907941">
            <w:pPr>
              <w:jc w:val="center"/>
              <w:rPr>
                <w:sz w:val="22"/>
                <w:szCs w:val="22"/>
                <w:lang w:val="pt-PT" w:eastAsia="pt-PT"/>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538CAC" w14:textId="77777777" w:rsidR="006B3F46" w:rsidRPr="0021277B" w:rsidRDefault="006B3F46" w:rsidP="00907941">
            <w:pPr>
              <w:jc w:val="center"/>
              <w:rPr>
                <w:sz w:val="22"/>
                <w:szCs w:val="22"/>
                <w:lang w:val="pt-PT" w:eastAsia="pt-PT"/>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3487548"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DC819FA" w14:textId="77777777" w:rsidR="006B3F46" w:rsidRPr="0021277B" w:rsidRDefault="006B3F46" w:rsidP="00907941">
            <w:pPr>
              <w:jc w:val="center"/>
              <w:rPr>
                <w:sz w:val="22"/>
                <w:szCs w:val="22"/>
                <w:lang w:val="pt-PT" w:eastAsia="pt-PT"/>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0998F53"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1C0E3D"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55AFEA6"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18</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EE7E607" w14:textId="77777777" w:rsidR="006B3F46" w:rsidRPr="0021277B" w:rsidRDefault="006B3F46" w:rsidP="00907941">
            <w:pPr>
              <w:jc w:val="center"/>
              <w:rPr>
                <w:sz w:val="22"/>
                <w:szCs w:val="22"/>
                <w:lang w:val="pt-PT" w:eastAsia="pt-PT"/>
              </w:rPr>
            </w:pPr>
            <w:r w:rsidRPr="0021277B">
              <w:rPr>
                <w:color w:val="000000"/>
                <w:kern w:val="24"/>
                <w:sz w:val="22"/>
                <w:szCs w:val="22"/>
                <w:lang w:val="pt-PT" w:eastAsia="pt-PT"/>
              </w:rPr>
              <w:t>6</w:t>
            </w:r>
          </w:p>
        </w:tc>
      </w:tr>
    </w:tbl>
    <w:p w14:paraId="77D7D410" w14:textId="77777777" w:rsidR="006B3F46" w:rsidRPr="00F66EF7" w:rsidRDefault="006B3F46" w:rsidP="00907941">
      <w:pPr>
        <w:jc w:val="both"/>
        <w:rPr>
          <w:rFonts w:eastAsia="MS Mincho"/>
          <w:sz w:val="22"/>
          <w:szCs w:val="22"/>
          <w:lang w:val="en-US"/>
        </w:rPr>
      </w:pPr>
    </w:p>
    <w:p w14:paraId="2DEF6598" w14:textId="77777777" w:rsidR="006B3F46" w:rsidRDefault="006B3F46" w:rsidP="002E4B39">
      <w:pPr>
        <w:suppressLineNumbers/>
        <w:spacing w:after="120"/>
        <w:jc w:val="both"/>
        <w:rPr>
          <w:rFonts w:eastAsia="MS Mincho"/>
          <w:sz w:val="22"/>
          <w:szCs w:val="22"/>
          <w:lang w:val="en-US"/>
        </w:rPr>
      </w:pPr>
      <w:r w:rsidRPr="009978E3">
        <w:rPr>
          <w:rFonts w:eastAsia="MS Mincho"/>
          <w:sz w:val="22"/>
          <w:szCs w:val="22"/>
          <w:lang w:val="en-US"/>
        </w:rPr>
        <w:t>In terms of geology the structures of the area have different compositions, locations and ages.</w:t>
      </w:r>
    </w:p>
    <w:p w14:paraId="6AD55677"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shallower parts of the Atlantis-Meteor Seamount Complex are elevated structures and, with the exception of the Atlantis seamount, are oriented roughly parallel to the ridge, implying a lithospheric control for these volcanic constructions (Gente </w:t>
      </w:r>
      <w:r w:rsidRPr="0006066A">
        <w:rPr>
          <w:rFonts w:eastAsia="MS Mincho"/>
          <w:i/>
          <w:sz w:val="22"/>
          <w:szCs w:val="22"/>
          <w:lang w:val="en-US"/>
        </w:rPr>
        <w:t>et al</w:t>
      </w:r>
      <w:r w:rsidRPr="009978E3">
        <w:rPr>
          <w:rFonts w:eastAsia="MS Mincho"/>
          <w:sz w:val="22"/>
          <w:szCs w:val="22"/>
          <w:lang w:val="en-US"/>
        </w:rPr>
        <w:t xml:space="preserve">., 2003). The seamount with the highest proportion of studies recorded in the Atlantic was the Great Meteor seamount (Kvile </w:t>
      </w:r>
      <w:r w:rsidRPr="0006066A">
        <w:rPr>
          <w:rFonts w:eastAsia="MS Mincho"/>
          <w:i/>
          <w:sz w:val="22"/>
          <w:szCs w:val="22"/>
          <w:lang w:val="en-US"/>
        </w:rPr>
        <w:t>et al</w:t>
      </w:r>
      <w:r w:rsidRPr="009978E3">
        <w:rPr>
          <w:rFonts w:eastAsia="MS Mincho"/>
          <w:sz w:val="22"/>
          <w:szCs w:val="22"/>
          <w:lang w:val="en-US"/>
        </w:rPr>
        <w:t>., 2014).</w:t>
      </w:r>
    </w:p>
    <w:p w14:paraId="0FDFD545"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Meteor bank, situated south of the Azores, is one of the largest banks in the N</w:t>
      </w:r>
      <w:r>
        <w:rPr>
          <w:rFonts w:eastAsia="MS Mincho"/>
          <w:sz w:val="22"/>
          <w:szCs w:val="22"/>
          <w:lang w:val="en-US"/>
        </w:rPr>
        <w:t>orth-</w:t>
      </w:r>
      <w:r w:rsidRPr="009978E3">
        <w:rPr>
          <w:rFonts w:eastAsia="MS Mincho"/>
          <w:sz w:val="22"/>
          <w:szCs w:val="22"/>
          <w:lang w:val="en-US"/>
        </w:rPr>
        <w:t>E</w:t>
      </w:r>
      <w:r>
        <w:rPr>
          <w:rFonts w:eastAsia="MS Mincho"/>
          <w:sz w:val="22"/>
          <w:szCs w:val="22"/>
          <w:lang w:val="en-US"/>
        </w:rPr>
        <w:t>ast</w:t>
      </w:r>
      <w:r w:rsidRPr="009978E3">
        <w:rPr>
          <w:rFonts w:eastAsia="MS Mincho"/>
          <w:sz w:val="22"/>
          <w:szCs w:val="22"/>
          <w:lang w:val="en-US"/>
        </w:rPr>
        <w:t xml:space="preserve"> Atlantic, with a wide plateau of </w:t>
      </w:r>
      <w:r w:rsidRPr="009978E3">
        <w:rPr>
          <w:rFonts w:ascii="Cambria Math" w:eastAsia="MS Mincho" w:hAnsi="Cambria Math" w:cs="Cambria Math"/>
          <w:sz w:val="22"/>
          <w:szCs w:val="22"/>
          <w:lang w:val="en-US"/>
        </w:rPr>
        <w:t>∼</w:t>
      </w:r>
      <w:r w:rsidRPr="009978E3">
        <w:rPr>
          <w:rFonts w:eastAsia="MS Mincho"/>
          <w:sz w:val="22"/>
          <w:szCs w:val="22"/>
          <w:lang w:val="en-US"/>
        </w:rPr>
        <w:t>1500 km</w:t>
      </w:r>
      <w:r w:rsidRPr="009978E3">
        <w:rPr>
          <w:rFonts w:eastAsia="MS Mincho"/>
          <w:sz w:val="22"/>
          <w:szCs w:val="22"/>
          <w:vertAlign w:val="superscript"/>
          <w:lang w:val="en-US"/>
        </w:rPr>
        <w:t>2</w:t>
      </w:r>
      <w:r w:rsidRPr="009978E3">
        <w:rPr>
          <w:rFonts w:eastAsia="MS Mincho"/>
          <w:sz w:val="22"/>
          <w:szCs w:val="22"/>
          <w:lang w:val="en-US"/>
        </w:rPr>
        <w:t xml:space="preserve"> developed between 400 m and its summit at 275 m water depth. Great Meteor has a volcanic core and is capped by 150-600 m of post-Middle Miocene carbonate and pyroclastic rocks and covered by highly reworked, residual bioclastic sands. During the late Miocene to Pliocene it was levelled by wave truncation (Mironov &amp; Krylova, 2006). Since the Pliocene, the summit plateau subsided, probably isostatically, to its present water depth of 275 m, interrupted by eustatic sea</w:t>
      </w:r>
      <w:r>
        <w:rPr>
          <w:rFonts w:eastAsia="MS Mincho"/>
          <w:sz w:val="22"/>
          <w:szCs w:val="22"/>
          <w:lang w:val="en-US"/>
        </w:rPr>
        <w:t>-</w:t>
      </w:r>
      <w:r w:rsidRPr="009978E3">
        <w:rPr>
          <w:rFonts w:eastAsia="MS Mincho"/>
          <w:sz w:val="22"/>
          <w:szCs w:val="22"/>
          <w:lang w:val="en-US"/>
        </w:rPr>
        <w:t xml:space="preserve">level fluctuations during the Plistocene. The Great Meteor is also capped by a sedimentary section around 400 m in thickness (Hinz, 1969). In these areas the sediments mainly comprise carbonated biogenic remains, with very low sedimentation rates. For the last 450,000 years, the pelagic sedimentation rate of deep-sea sediments has been calculated to average 0.25–0.6 cm per thousand years (Kuijpers </w:t>
      </w:r>
      <w:r w:rsidRPr="0006066A">
        <w:rPr>
          <w:rFonts w:eastAsia="MS Mincho"/>
          <w:i/>
          <w:sz w:val="22"/>
          <w:szCs w:val="22"/>
          <w:lang w:val="en-US"/>
        </w:rPr>
        <w:t>et al</w:t>
      </w:r>
      <w:r w:rsidRPr="009978E3">
        <w:rPr>
          <w:rFonts w:eastAsia="MS Mincho"/>
          <w:sz w:val="22"/>
          <w:szCs w:val="22"/>
          <w:lang w:val="en-US"/>
        </w:rPr>
        <w:t xml:space="preserve">., 1984; Brandes, 2011). As a tablemount, the bank is covered by reef sediments and the debris thereof on the slopes. Seismic reflection and refraction profiles indicate that the Great Meteor seamount mainly consists of volcanic rock superimposed by a cap of sediments, probably consisting of biogenic limestones and calcareous sands (Hinz, 1969; von Rad, 1974). </w:t>
      </w:r>
    </w:p>
    <w:p w14:paraId="02E9C36B"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Between the geographical coordinates 30°45'N and 32°50'N and around 28°W lies a complex of seamounts comprising the Cruiser, Irving and Hyeres. Southward of the Cruiser plateau, the Irving seamount is one of three major volcanic peaks: the Hyeres seamount in the southwest (crestal depth 300 m), the large, flat-topped guyot Irving seamount in the north-central area (265 m) and the Cruiser seamount in the northeast (735 m). These seamount crests are mostly unsedimented (Tucholke and Smoot, 1990).</w:t>
      </w:r>
    </w:p>
    <w:p w14:paraId="13ABB23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Cruiser seamount</w:t>
      </w:r>
      <w:r>
        <w:rPr>
          <w:rFonts w:eastAsia="MS Mincho"/>
          <w:sz w:val="22"/>
          <w:szCs w:val="22"/>
          <w:lang w:val="en-US"/>
        </w:rPr>
        <w:t xml:space="preserve"> is located to the furthest North-East</w:t>
      </w:r>
      <w:r w:rsidRPr="009978E3">
        <w:rPr>
          <w:rFonts w:eastAsia="MS Mincho"/>
          <w:sz w:val="22"/>
          <w:szCs w:val="22"/>
          <w:lang w:val="en-US"/>
        </w:rPr>
        <w:t>, with a maximum height of 590 m below sea level. The seamount rises to 735 m, and its length is about 70 km. Cruiser seamount contains no flat surface (Verhoef, 1984).</w:t>
      </w:r>
    </w:p>
    <w:p w14:paraId="3989479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Irving seamount is situated at about 32°N/28°W. It rises to 250 m below sea level and is a tablemount. The general direction of Irving seamount is NW-SE, but due to its oval shape it is difficult to assign a distinct orientation to this seamount. The length of the structure is about 100 km.</w:t>
      </w:r>
    </w:p>
    <w:p w14:paraId="17915FFD"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Between Irving and Hyeres seamounts, there are several structures that are not as shallow as the other seamounts. The alignment of these structures is the same as for the other seamounts inside the complex. Hyeres seamount is the most southwestern structure (Verhoef, 1984).</w:t>
      </w:r>
    </w:p>
    <w:p w14:paraId="399113E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Hyeres seamount has a recorded minimum depth of 330 m at 31°20'N/28°50'W. The seismic profiles over Hyeres seamount show no flat surface. Coming from the northwest, Hyeres rises abruptly from the ocean floor. It then seems to divide in two branches in the south-east. Hyeres seamount has a length of about 100 km (Verhoef, 1984).</w:t>
      </w:r>
    </w:p>
    <w:p w14:paraId="07DD86A5"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Inside the complex formed by Cruiser, Irving and Hyeres seamounts, several sedimentary basins are to be found (</w:t>
      </w:r>
      <w:r>
        <w:rPr>
          <w:rFonts w:eastAsia="MS Mincho"/>
          <w:iCs/>
          <w:sz w:val="22"/>
          <w:szCs w:val="22"/>
          <w:lang w:val="en-US"/>
        </w:rPr>
        <w:t>e.g.</w:t>
      </w:r>
      <w:r w:rsidRPr="009978E3">
        <w:rPr>
          <w:rFonts w:eastAsia="MS Mincho"/>
          <w:sz w:val="22"/>
          <w:szCs w:val="22"/>
          <w:lang w:val="en-US"/>
        </w:rPr>
        <w:t>, between Cruiser and Irving seamounts). On several profiles, a sedimentary cover on the seamounts has been recorded (e.g</w:t>
      </w:r>
      <w:r>
        <w:rPr>
          <w:rFonts w:eastAsia="MS Mincho"/>
          <w:sz w:val="22"/>
          <w:szCs w:val="22"/>
          <w:lang w:val="en-US"/>
        </w:rPr>
        <w:t>.,</w:t>
      </w:r>
      <w:r w:rsidRPr="009978E3">
        <w:rPr>
          <w:rFonts w:eastAsia="MS Mincho"/>
          <w:sz w:val="22"/>
          <w:szCs w:val="22"/>
          <w:lang w:val="en-US"/>
        </w:rPr>
        <w:t xml:space="preserve"> the profiles over the northwestern part of Irving seamount) (Verhoef, 1984).</w:t>
      </w:r>
    </w:p>
    <w:p w14:paraId="38412F3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Plato seamount is aligned in a general E-W direction. It consists of an echelon structure with a WNW-ESE direction. The overall length of Plato seamount is about 110 km, and the recorded minimum depth is 580 m. Plato seamount forms the connection with another complex structure, the Atlantis seamount group (Verhoef, 1984).</w:t>
      </w:r>
    </w:p>
    <w:p w14:paraId="0A3B93C6"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Atlantis seamount complex consists of several elevations, separated by deep saddles and with a common base at about 2400m. Some summits and slopes have composite relief with hills and peaks measuring 100 to 200 m. Therefore, the horizontal dimensions of these two seamounts on the contour charts are only schematic</w:t>
      </w:r>
      <w:r>
        <w:rPr>
          <w:rFonts w:eastAsia="MS Mincho"/>
          <w:sz w:val="22"/>
          <w:szCs w:val="22"/>
          <w:lang w:val="en-US"/>
        </w:rPr>
        <w:t xml:space="preserve"> </w:t>
      </w:r>
      <w:r w:rsidRPr="009978E3">
        <w:rPr>
          <w:rFonts w:eastAsia="MS Mincho"/>
          <w:sz w:val="22"/>
          <w:szCs w:val="22"/>
          <w:lang w:val="en-US"/>
        </w:rPr>
        <w:t xml:space="preserve">Studies </w:t>
      </w:r>
      <w:r>
        <w:rPr>
          <w:rFonts w:eastAsia="MS Mincho"/>
          <w:sz w:val="22"/>
          <w:szCs w:val="22"/>
          <w:lang w:val="en-US"/>
        </w:rPr>
        <w:t>conducted by</w:t>
      </w:r>
      <w:r w:rsidRPr="009978E3">
        <w:rPr>
          <w:rFonts w:eastAsia="MS Mincho"/>
          <w:sz w:val="22"/>
          <w:szCs w:val="22"/>
          <w:lang w:val="en-US"/>
        </w:rPr>
        <w:t xml:space="preserve"> Heezen </w:t>
      </w:r>
      <w:r w:rsidRPr="0006066A">
        <w:rPr>
          <w:rFonts w:eastAsia="MS Mincho"/>
          <w:i/>
          <w:sz w:val="22"/>
          <w:szCs w:val="22"/>
          <w:lang w:val="en-US"/>
        </w:rPr>
        <w:t>et al</w:t>
      </w:r>
      <w:r w:rsidRPr="009978E3">
        <w:rPr>
          <w:rFonts w:eastAsia="MS Mincho"/>
          <w:sz w:val="22"/>
          <w:szCs w:val="22"/>
          <w:lang w:val="en-US"/>
        </w:rPr>
        <w:t xml:space="preserve">. (1969) concluded that Atlantis seamount </w:t>
      </w:r>
      <w:r>
        <w:rPr>
          <w:rFonts w:eastAsia="MS Mincho"/>
          <w:sz w:val="22"/>
          <w:szCs w:val="22"/>
          <w:lang w:val="en-US"/>
        </w:rPr>
        <w:t>was</w:t>
      </w:r>
      <w:r w:rsidRPr="009978E3">
        <w:rPr>
          <w:rFonts w:eastAsia="MS Mincho"/>
          <w:sz w:val="22"/>
          <w:szCs w:val="22"/>
          <w:lang w:val="en-US"/>
        </w:rPr>
        <w:t xml:space="preserve"> an island within the past 12,000 years. </w:t>
      </w:r>
    </w:p>
    <w:p w14:paraId="73056B2D"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Tyro seamount is situated at 34°40'N/27°30'W with a minimum depth of 1370 m and roughly defined SE direction (</w:t>
      </w:r>
      <w:r w:rsidRPr="009978E3">
        <w:rPr>
          <w:bCs/>
          <w:sz w:val="22"/>
          <w:szCs w:val="22"/>
          <w:lang w:val="en-US"/>
        </w:rPr>
        <w:t>Verhoef, 1984)</w:t>
      </w:r>
      <w:r w:rsidRPr="009978E3">
        <w:rPr>
          <w:rFonts w:eastAsia="MS Mincho"/>
          <w:sz w:val="22"/>
          <w:szCs w:val="22"/>
          <w:lang w:val="en-US"/>
        </w:rPr>
        <w:t>.</w:t>
      </w:r>
    </w:p>
    <w:p w14:paraId="03F5B9A5"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Seamounts are locations for a broad range of current-topography interactions and biophysical coupling, with implications for both phyto and zooplankton. Seamounts appear to support relatively large planktonic and higher consumer biomass when compared to surrounding ocean waters, particularly in oligotrophic oceans. It has been a widely held view that </w:t>
      </w:r>
      <w:r w:rsidRPr="009978E3">
        <w:rPr>
          <w:i/>
          <w:sz w:val="22"/>
          <w:szCs w:val="22"/>
          <w:lang w:val="en-US"/>
        </w:rPr>
        <w:t>in situ</w:t>
      </w:r>
      <w:r w:rsidRPr="009978E3">
        <w:rPr>
          <w:rFonts w:eastAsia="MS Mincho"/>
          <w:sz w:val="22"/>
          <w:szCs w:val="22"/>
          <w:lang w:val="en-US"/>
        </w:rPr>
        <w:t xml:space="preserve"> enhancement of primary production fuels this phenomenon, but this has recently been challenged (Genin &amp; Dower 2007).</w:t>
      </w:r>
    </w:p>
    <w:p w14:paraId="13C284E6"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Productivity in oceanic settings depends on light and nutrient availability, while overall production is the result of productivity and accumulation of the phytoplankton. At a seamount, either a seamount-generated, vertical nutrient flux must be shallow enough to reach the euphotic zone and the ensuing productivity retained over the seamount long enough to allow transfer to higher trophic levels, or the seamount must rely on allochthonous inputs of organic material to provide a trophic subsidy to resident populations (Clark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w:t>
      </w:r>
    </w:p>
    <w:p w14:paraId="16B1E83A"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 xml:space="preserve">In </w:t>
      </w:r>
      <w:r w:rsidRPr="002E4B39">
        <w:rPr>
          <w:rFonts w:eastAsia="MS Mincho"/>
          <w:sz w:val="22"/>
          <w:szCs w:val="22"/>
          <w:lang w:val="en-US"/>
        </w:rPr>
        <w:t>terms</w:t>
      </w:r>
      <w:r w:rsidRPr="009978E3">
        <w:rPr>
          <w:sz w:val="22"/>
          <w:szCs w:val="22"/>
          <w:lang w:val="en-US" w:eastAsia="pt-PT"/>
        </w:rPr>
        <w:t xml:space="preserve"> of biology, these structures have not been extensively studied. A total of 437 species </w:t>
      </w:r>
      <w:r>
        <w:rPr>
          <w:sz w:val="22"/>
          <w:szCs w:val="22"/>
          <w:lang w:val="en-US" w:eastAsia="pt-PT"/>
        </w:rPr>
        <w:t>have been</w:t>
      </w:r>
      <w:r w:rsidRPr="009978E3">
        <w:rPr>
          <w:sz w:val="22"/>
          <w:szCs w:val="22"/>
          <w:lang w:val="en-US" w:eastAsia="pt-PT"/>
        </w:rPr>
        <w:t xml:space="preserve"> identified throughout the area (see</w:t>
      </w:r>
      <w:r w:rsidRPr="0021277B">
        <w:rPr>
          <w:sz w:val="22"/>
          <w:szCs w:val="22"/>
        </w:rPr>
        <w:t xml:space="preserve"> </w:t>
      </w:r>
      <w:r w:rsidRPr="00F66EF7">
        <w:rPr>
          <w:sz w:val="22"/>
          <w:szCs w:val="22"/>
          <w:lang w:val="en-US" w:eastAsia="pt-PT"/>
        </w:rPr>
        <w:t>feature description). Although seamounts are ecologically important and abundant f</w:t>
      </w:r>
      <w:r w:rsidRPr="009978E3">
        <w:rPr>
          <w:sz w:val="22"/>
          <w:szCs w:val="22"/>
          <w:lang w:val="en-US" w:eastAsia="pt-PT"/>
        </w:rPr>
        <w:t xml:space="preserve">eatures in the world’s oceans (Hillier &amp; Watts, 2007), biological research on some seamounts has been limited (see </w:t>
      </w:r>
      <w:r>
        <w:rPr>
          <w:sz w:val="22"/>
          <w:szCs w:val="22"/>
          <w:lang w:val="en-US" w:eastAsia="pt-PT"/>
        </w:rPr>
        <w:t>T</w:t>
      </w:r>
      <w:r w:rsidRPr="009978E3">
        <w:rPr>
          <w:sz w:val="22"/>
          <w:szCs w:val="22"/>
          <w:lang w:val="en-US" w:eastAsia="pt-PT"/>
        </w:rPr>
        <w:t xml:space="preserve">able 1) (Consalvey </w:t>
      </w:r>
      <w:r w:rsidRPr="0006066A">
        <w:rPr>
          <w:i/>
          <w:sz w:val="22"/>
          <w:szCs w:val="22"/>
          <w:lang w:val="en-US" w:eastAsia="pt-PT"/>
        </w:rPr>
        <w:t>et al</w:t>
      </w:r>
      <w:r w:rsidRPr="009978E3">
        <w:rPr>
          <w:i/>
          <w:sz w:val="22"/>
          <w:szCs w:val="22"/>
          <w:lang w:val="en-US" w:eastAsia="pt-PT"/>
        </w:rPr>
        <w:t>.,</w:t>
      </w:r>
      <w:r w:rsidRPr="009978E3">
        <w:rPr>
          <w:sz w:val="22"/>
          <w:szCs w:val="22"/>
          <w:lang w:val="en-US" w:eastAsia="pt-PT"/>
        </w:rPr>
        <w:t xml:space="preserve"> 2010). </w:t>
      </w:r>
    </w:p>
    <w:p w14:paraId="63BB85BE" w14:textId="77777777" w:rsidR="006B3F46" w:rsidRPr="009978E3" w:rsidRDefault="006B3F46" w:rsidP="002E4B39">
      <w:pPr>
        <w:suppressLineNumbers/>
        <w:spacing w:after="120"/>
        <w:jc w:val="both"/>
        <w:rPr>
          <w:sz w:val="22"/>
          <w:szCs w:val="22"/>
          <w:lang w:val="en-US" w:eastAsia="pt-PT"/>
        </w:rPr>
      </w:pPr>
      <w:r w:rsidRPr="002E4B39">
        <w:rPr>
          <w:rFonts w:eastAsia="MS Mincho"/>
          <w:sz w:val="22"/>
          <w:szCs w:val="22"/>
          <w:lang w:val="en-US"/>
        </w:rPr>
        <w:t>The</w:t>
      </w:r>
      <w:r w:rsidRPr="009978E3">
        <w:rPr>
          <w:sz w:val="22"/>
          <w:szCs w:val="22"/>
          <w:lang w:val="en-US" w:eastAsia="pt-PT"/>
        </w:rPr>
        <w:t xml:space="preserve"> most detailed investigations on biodiversity, composition and distribution of the seamount benthic macrofauna and meiofauna have been carried out in the North Atlantic, particularly at the Great Meteor </w:t>
      </w:r>
      <w:r>
        <w:rPr>
          <w:sz w:val="22"/>
          <w:szCs w:val="22"/>
          <w:lang w:val="en-US" w:eastAsia="pt-PT"/>
        </w:rPr>
        <w:t>s</w:t>
      </w:r>
      <w:r w:rsidRPr="009978E3">
        <w:rPr>
          <w:sz w:val="22"/>
          <w:szCs w:val="22"/>
          <w:lang w:val="en-US" w:eastAsia="pt-PT"/>
        </w:rPr>
        <w:t>eamount (Emschermann, 1971; Grasshoff, 1977; Bartsch, 1973, 2003, 2004, 2008; Hartmann-Schröder, 1979; George &amp; Schminke, 2002; George 2004; Gad 2004, 2009; Gad &amp; Schminke, 2004; Piepenburg &amp; Müller, 2004; Mironov &amp; Krylova, 2006).</w:t>
      </w:r>
    </w:p>
    <w:p w14:paraId="165040E2"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Location</w:t>
      </w:r>
    </w:p>
    <w:p w14:paraId="1FD5CF42" w14:textId="77777777" w:rsidR="006B3F46" w:rsidRPr="0021277B" w:rsidRDefault="006B3F46" w:rsidP="002E4B39">
      <w:pPr>
        <w:suppressLineNumbers/>
        <w:spacing w:after="120"/>
        <w:jc w:val="both"/>
        <w:rPr>
          <w:snapToGrid w:val="0"/>
          <w:kern w:val="22"/>
          <w:sz w:val="22"/>
          <w:szCs w:val="22"/>
        </w:rPr>
      </w:pPr>
      <w:r w:rsidRPr="0021277B">
        <w:rPr>
          <w:snapToGrid w:val="0"/>
          <w:kern w:val="22"/>
          <w:sz w:val="22"/>
          <w:szCs w:val="22"/>
        </w:rPr>
        <w:t>The area is situated roughly 700 km south of the Azores and about 1500 km northwest of Africa. It</w:t>
      </w:r>
      <w:r w:rsidRPr="00AF4203">
        <w:rPr>
          <w:rFonts w:eastAsia="MS Mincho"/>
          <w:sz w:val="22"/>
          <w:szCs w:val="22"/>
          <w:lang w:val="en-US"/>
        </w:rPr>
        <w:t xml:space="preserve"> has a total area of 1</w:t>
      </w:r>
      <w:r w:rsidRPr="00D04493">
        <w:rPr>
          <w:rFonts w:eastAsia="MS Mincho"/>
          <w:sz w:val="22"/>
          <w:szCs w:val="22"/>
          <w:lang w:val="en-US"/>
        </w:rPr>
        <w:t>34,079 km</w:t>
      </w:r>
      <w:r w:rsidRPr="00B12B6F">
        <w:rPr>
          <w:rFonts w:eastAsia="MS Mincho"/>
          <w:sz w:val="22"/>
          <w:szCs w:val="22"/>
          <w:vertAlign w:val="superscript"/>
          <w:lang w:val="en-US"/>
        </w:rPr>
        <w:t>2</w:t>
      </w:r>
      <w:r w:rsidRPr="000E409A">
        <w:rPr>
          <w:rFonts w:eastAsia="MS Mincho"/>
          <w:sz w:val="22"/>
          <w:szCs w:val="22"/>
          <w:lang w:val="en-US"/>
        </w:rPr>
        <w:t>,</w:t>
      </w:r>
      <w:r>
        <w:rPr>
          <w:rFonts w:eastAsia="MS Mincho"/>
          <w:sz w:val="22"/>
          <w:szCs w:val="22"/>
          <w:lang w:val="en-US"/>
        </w:rPr>
        <w:t xml:space="preserve"> </w:t>
      </w:r>
      <w:r w:rsidRPr="00051527">
        <w:rPr>
          <w:rFonts w:eastAsia="MS Mincho"/>
          <w:sz w:val="22"/>
          <w:szCs w:val="22"/>
          <w:lang w:val="en-US"/>
        </w:rPr>
        <w:t xml:space="preserve">with depths ranging from 265m (top of Atlantis seamount) to 4800m (bottom of Great Meteor seamount). </w:t>
      </w:r>
      <w:r w:rsidRPr="0021277B">
        <w:rPr>
          <w:snapToGrid w:val="0"/>
          <w:kern w:val="22"/>
          <w:sz w:val="22"/>
          <w:szCs w:val="22"/>
        </w:rPr>
        <w:t xml:space="preserve">The area is bounded by the parallels 35º30’0,000’’N and 29º12’0,000’’N, and </w:t>
      </w:r>
      <w:r w:rsidRPr="002E4B39">
        <w:rPr>
          <w:rFonts w:eastAsia="MS Mincho"/>
          <w:sz w:val="22"/>
          <w:szCs w:val="22"/>
          <w:lang w:val="en-US"/>
        </w:rPr>
        <w:t>meridians</w:t>
      </w:r>
      <w:r w:rsidRPr="0021277B">
        <w:rPr>
          <w:snapToGrid w:val="0"/>
          <w:kern w:val="22"/>
          <w:sz w:val="22"/>
          <w:szCs w:val="22"/>
        </w:rPr>
        <w:t xml:space="preserve"> -27º0’0,000’’W and -31º30’0,000’’W.</w:t>
      </w:r>
    </w:p>
    <w:p w14:paraId="17558B78" w14:textId="77777777" w:rsidR="006B3F46" w:rsidRPr="009978E3" w:rsidRDefault="006B3F46" w:rsidP="002E4B39">
      <w:pPr>
        <w:suppressLineNumbers/>
        <w:spacing w:after="120"/>
        <w:jc w:val="both"/>
        <w:rPr>
          <w:rFonts w:eastAsia="MS Mincho"/>
          <w:sz w:val="22"/>
          <w:szCs w:val="22"/>
          <w:lang w:val="en-US"/>
        </w:rPr>
      </w:pPr>
      <w:r w:rsidRPr="0021277B">
        <w:rPr>
          <w:snapToGrid w:val="0"/>
          <w:kern w:val="22"/>
          <w:sz w:val="22"/>
          <w:szCs w:val="22"/>
        </w:rPr>
        <w:t>T</w:t>
      </w:r>
      <w:r w:rsidRPr="00AF4203">
        <w:rPr>
          <w:rFonts w:eastAsia="MS Mincho"/>
          <w:sz w:val="22"/>
          <w:szCs w:val="22"/>
          <w:lang w:val="en-US"/>
        </w:rPr>
        <w:t>he polygon is defined by 19 points (see Table 2</w:t>
      </w:r>
      <w:r w:rsidRPr="00D04493">
        <w:rPr>
          <w:rFonts w:eastAsia="MS Mincho"/>
          <w:sz w:val="22"/>
          <w:szCs w:val="22"/>
          <w:lang w:val="en-US"/>
        </w:rPr>
        <w:t xml:space="preserve">). </w:t>
      </w:r>
      <w:r w:rsidRPr="00B12B6F">
        <w:rPr>
          <w:rFonts w:eastAsia="MS Mincho"/>
          <w:sz w:val="22"/>
          <w:szCs w:val="22"/>
          <w:lang w:val="en-US"/>
        </w:rPr>
        <w:t xml:space="preserve">The datum used is World Geodetic System 1984 (WGS84). </w:t>
      </w:r>
    </w:p>
    <w:p w14:paraId="343CE017" w14:textId="77777777" w:rsidR="006B3F46" w:rsidRPr="00816AD2" w:rsidRDefault="006B3F46" w:rsidP="00907941">
      <w:pPr>
        <w:jc w:val="both"/>
        <w:rPr>
          <w:sz w:val="22"/>
          <w:szCs w:val="22"/>
          <w:lang w:val="en-US"/>
        </w:rPr>
      </w:pPr>
      <w:r w:rsidRPr="00F66EF7">
        <w:rPr>
          <w:sz w:val="22"/>
          <w:szCs w:val="22"/>
          <w:lang w:val="en-US"/>
        </w:rPr>
        <w:t xml:space="preserve">Table 2 – Geographic coordinates in two different formats: Decimal degrees and Degrees, </w:t>
      </w:r>
      <w:r w:rsidRPr="009978E3">
        <w:rPr>
          <w:sz w:val="22"/>
          <w:szCs w:val="22"/>
          <w:lang w:val="en-US"/>
        </w:rPr>
        <w:t xml:space="preserve">Minutes and Seconds, corresponding to the vertices of the polygon that defines the </w:t>
      </w:r>
      <w:r w:rsidRPr="009978E3">
        <w:rPr>
          <w:color w:val="000000"/>
          <w:sz w:val="22"/>
          <w:szCs w:val="22"/>
          <w:shd w:val="clear" w:color="auto" w:fill="FFFFFF"/>
        </w:rPr>
        <w:t>Atlantis</w:t>
      </w:r>
      <w:r>
        <w:rPr>
          <w:color w:val="000000"/>
          <w:sz w:val="22"/>
          <w:szCs w:val="22"/>
          <w:shd w:val="clear" w:color="auto" w:fill="FFFFFF"/>
        </w:rPr>
        <w:t>-</w:t>
      </w:r>
      <w:r w:rsidRPr="009978E3">
        <w:rPr>
          <w:color w:val="000000"/>
          <w:sz w:val="22"/>
          <w:szCs w:val="22"/>
          <w:shd w:val="clear" w:color="auto" w:fill="FFFFFF"/>
        </w:rPr>
        <w:t>Meteor Seamount Complex</w:t>
      </w:r>
      <w:r w:rsidRPr="009978E3">
        <w:rPr>
          <w:rFonts w:eastAsia="MS Mincho"/>
          <w:sz w:val="22"/>
          <w:szCs w:val="22"/>
          <w:lang w:val="en-US"/>
        </w:rPr>
        <w:t xml:space="preserve"> </w:t>
      </w:r>
      <w:r w:rsidRPr="00816AD2">
        <w:rPr>
          <w:sz w:val="22"/>
          <w:szCs w:val="22"/>
          <w:lang w:val="en-US"/>
        </w:rPr>
        <w:fldChar w:fldCharType="begin"/>
      </w:r>
      <w:r w:rsidRPr="00816AD2">
        <w:rPr>
          <w:sz w:val="22"/>
          <w:szCs w:val="22"/>
          <w:lang w:val="en-US"/>
        </w:rPr>
        <w:instrText xml:space="preserve"> LINK Excel.Sheet.12 "C:\\Users\\mariadionisio\\Downloads\\Madeira_Tore_vertices.xlsx" "Madeira_Tore_vertices!L1C2:L27C6" \a \f 4 \h  \* MERGEFORMAT </w:instrText>
      </w:r>
      <w:r w:rsidRPr="00816AD2">
        <w:rPr>
          <w:sz w:val="22"/>
          <w:szCs w:val="22"/>
          <w:lang w:val="en-US"/>
        </w:rPr>
        <w:fldChar w:fldCharType="separate"/>
      </w:r>
    </w:p>
    <w:tbl>
      <w:tblPr>
        <w:tblW w:w="8750" w:type="dxa"/>
        <w:tblInd w:w="70" w:type="dxa"/>
        <w:tblCellMar>
          <w:left w:w="70" w:type="dxa"/>
          <w:right w:w="70" w:type="dxa"/>
        </w:tblCellMar>
        <w:tblLook w:val="04A0" w:firstRow="1" w:lastRow="0" w:firstColumn="1" w:lastColumn="0" w:noHBand="0" w:noVBand="1"/>
      </w:tblPr>
      <w:tblGrid>
        <w:gridCol w:w="910"/>
        <w:gridCol w:w="1960"/>
        <w:gridCol w:w="1960"/>
        <w:gridCol w:w="1960"/>
        <w:gridCol w:w="1960"/>
      </w:tblGrid>
      <w:tr w:rsidR="006B3F46" w:rsidRPr="0021277B" w14:paraId="4C345F3D" w14:textId="77777777" w:rsidTr="00907941">
        <w:trPr>
          <w:trHeight w:val="300"/>
        </w:trPr>
        <w:tc>
          <w:tcPr>
            <w:tcW w:w="9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6D90EC" w14:textId="77777777" w:rsidR="006B3F46" w:rsidRPr="00816AD2" w:rsidRDefault="006B3F46" w:rsidP="00907941">
            <w:pPr>
              <w:jc w:val="center"/>
              <w:rPr>
                <w:b/>
                <w:bCs/>
                <w:color w:val="000000"/>
                <w:sz w:val="22"/>
                <w:szCs w:val="22"/>
                <w:lang w:val="pt-PT" w:eastAsia="pt-PT"/>
              </w:rPr>
            </w:pPr>
            <w:r w:rsidRPr="00816AD2">
              <w:rPr>
                <w:b/>
                <w:bCs/>
                <w:color w:val="000000"/>
                <w:sz w:val="22"/>
                <w:szCs w:val="22"/>
                <w:lang w:val="pt-PT" w:eastAsia="pt-PT"/>
              </w:rPr>
              <w:t>Vertices</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6C5D7AE8" w14:textId="77777777" w:rsidR="006B3F46" w:rsidRPr="00816AD2" w:rsidRDefault="006B3F46" w:rsidP="00907941">
            <w:pPr>
              <w:jc w:val="center"/>
              <w:rPr>
                <w:b/>
                <w:bCs/>
                <w:color w:val="000000"/>
                <w:sz w:val="22"/>
                <w:szCs w:val="22"/>
                <w:lang w:val="pt-PT" w:eastAsia="pt-PT"/>
              </w:rPr>
            </w:pPr>
            <w:r w:rsidRPr="00816AD2">
              <w:rPr>
                <w:b/>
                <w:bCs/>
                <w:color w:val="000000"/>
                <w:sz w:val="22"/>
                <w:szCs w:val="22"/>
                <w:lang w:val="pt-PT" w:eastAsia="pt-PT"/>
              </w:rPr>
              <w:t>Latitude</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594119EE" w14:textId="77777777" w:rsidR="006B3F46" w:rsidRPr="00816AD2" w:rsidRDefault="006B3F46" w:rsidP="00907941">
            <w:pPr>
              <w:jc w:val="center"/>
              <w:rPr>
                <w:b/>
                <w:bCs/>
                <w:color w:val="000000"/>
                <w:sz w:val="22"/>
                <w:szCs w:val="22"/>
                <w:lang w:val="pt-PT" w:eastAsia="pt-PT"/>
              </w:rPr>
            </w:pPr>
            <w:r w:rsidRPr="00816AD2">
              <w:rPr>
                <w:b/>
                <w:bCs/>
                <w:color w:val="000000"/>
                <w:sz w:val="22"/>
                <w:szCs w:val="22"/>
                <w:lang w:val="pt-PT" w:eastAsia="pt-PT"/>
              </w:rPr>
              <w:t>Longitude</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318C9ED9" w14:textId="77777777" w:rsidR="006B3F46" w:rsidRPr="00816AD2" w:rsidRDefault="006B3F46" w:rsidP="00907941">
            <w:pPr>
              <w:jc w:val="center"/>
              <w:rPr>
                <w:b/>
                <w:bCs/>
                <w:color w:val="000000"/>
                <w:sz w:val="22"/>
                <w:szCs w:val="22"/>
                <w:lang w:val="pt-PT" w:eastAsia="pt-PT"/>
              </w:rPr>
            </w:pPr>
            <w:r w:rsidRPr="00816AD2">
              <w:rPr>
                <w:b/>
                <w:bCs/>
                <w:color w:val="000000"/>
                <w:sz w:val="22"/>
                <w:szCs w:val="22"/>
                <w:lang w:val="pt-PT" w:eastAsia="pt-PT"/>
              </w:rPr>
              <w:t>Latitude</w:t>
            </w:r>
          </w:p>
        </w:tc>
        <w:tc>
          <w:tcPr>
            <w:tcW w:w="1960" w:type="dxa"/>
            <w:tcBorders>
              <w:top w:val="single" w:sz="4" w:space="0" w:color="auto"/>
              <w:left w:val="nil"/>
              <w:bottom w:val="single" w:sz="4" w:space="0" w:color="auto"/>
              <w:right w:val="single" w:sz="4" w:space="0" w:color="auto"/>
            </w:tcBorders>
            <w:shd w:val="clear" w:color="000000" w:fill="D9D9D9"/>
            <w:noWrap/>
            <w:vAlign w:val="center"/>
            <w:hideMark/>
          </w:tcPr>
          <w:p w14:paraId="7AB6A712" w14:textId="77777777" w:rsidR="006B3F46" w:rsidRPr="00816AD2" w:rsidRDefault="006B3F46" w:rsidP="00907941">
            <w:pPr>
              <w:jc w:val="center"/>
              <w:rPr>
                <w:b/>
                <w:bCs/>
                <w:color w:val="000000"/>
                <w:sz w:val="22"/>
                <w:szCs w:val="22"/>
                <w:lang w:val="pt-PT" w:eastAsia="pt-PT"/>
              </w:rPr>
            </w:pPr>
            <w:r w:rsidRPr="00816AD2">
              <w:rPr>
                <w:b/>
                <w:bCs/>
                <w:color w:val="000000"/>
                <w:sz w:val="22"/>
                <w:szCs w:val="22"/>
                <w:lang w:val="pt-PT" w:eastAsia="pt-PT"/>
              </w:rPr>
              <w:t>Longitude</w:t>
            </w:r>
          </w:p>
        </w:tc>
      </w:tr>
      <w:tr w:rsidR="006B3F46" w:rsidRPr="0021277B" w14:paraId="2AD5D5CC"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10369130" w14:textId="77777777" w:rsidR="006B3F46" w:rsidRPr="0021277B" w:rsidRDefault="006B3F46" w:rsidP="00907941">
            <w:pPr>
              <w:jc w:val="center"/>
              <w:rPr>
                <w:sz w:val="22"/>
                <w:szCs w:val="22"/>
              </w:rPr>
            </w:pPr>
            <w:r w:rsidRPr="0021277B">
              <w:rPr>
                <w:sz w:val="22"/>
                <w:szCs w:val="22"/>
              </w:rPr>
              <w:t>1</w:t>
            </w:r>
          </w:p>
        </w:tc>
        <w:tc>
          <w:tcPr>
            <w:tcW w:w="1960" w:type="dxa"/>
            <w:tcBorders>
              <w:top w:val="nil"/>
              <w:left w:val="nil"/>
              <w:bottom w:val="single" w:sz="4" w:space="0" w:color="auto"/>
              <w:right w:val="single" w:sz="4" w:space="0" w:color="auto"/>
            </w:tcBorders>
            <w:shd w:val="clear" w:color="auto" w:fill="auto"/>
            <w:noWrap/>
            <w:hideMark/>
          </w:tcPr>
          <w:p w14:paraId="186C92BD" w14:textId="77777777" w:rsidR="006B3F46" w:rsidRPr="0021277B" w:rsidRDefault="006B3F46" w:rsidP="00907941">
            <w:pPr>
              <w:jc w:val="center"/>
              <w:rPr>
                <w:sz w:val="22"/>
                <w:szCs w:val="22"/>
              </w:rPr>
            </w:pPr>
            <w:r w:rsidRPr="0021277B">
              <w:rPr>
                <w:sz w:val="22"/>
                <w:szCs w:val="22"/>
              </w:rPr>
              <w:t>31,00000000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18462E43" w14:textId="77777777" w:rsidR="006B3F46" w:rsidRPr="0021277B" w:rsidRDefault="006B3F46" w:rsidP="00907941">
            <w:pPr>
              <w:jc w:val="center"/>
              <w:rPr>
                <w:sz w:val="22"/>
                <w:szCs w:val="22"/>
              </w:rPr>
            </w:pPr>
            <w:r w:rsidRPr="0021277B">
              <w:rPr>
                <w:sz w:val="22"/>
                <w:szCs w:val="22"/>
              </w:rPr>
              <w:t>-29,00000000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57696C66" w14:textId="77777777" w:rsidR="006B3F46" w:rsidRPr="0021277B" w:rsidRDefault="006B3F46" w:rsidP="00907941">
            <w:pPr>
              <w:jc w:val="center"/>
              <w:rPr>
                <w:sz w:val="22"/>
                <w:szCs w:val="22"/>
              </w:rPr>
            </w:pPr>
            <w:r w:rsidRPr="0021277B">
              <w:rPr>
                <w:sz w:val="22"/>
                <w:szCs w:val="22"/>
              </w:rPr>
              <w:t>31° 0' 0,000" N</w:t>
            </w:r>
          </w:p>
        </w:tc>
        <w:tc>
          <w:tcPr>
            <w:tcW w:w="1960" w:type="dxa"/>
            <w:tcBorders>
              <w:top w:val="nil"/>
              <w:left w:val="nil"/>
              <w:bottom w:val="single" w:sz="4" w:space="0" w:color="auto"/>
              <w:right w:val="single" w:sz="4" w:space="0" w:color="auto"/>
            </w:tcBorders>
            <w:shd w:val="clear" w:color="auto" w:fill="auto"/>
            <w:noWrap/>
            <w:hideMark/>
          </w:tcPr>
          <w:p w14:paraId="02705768" w14:textId="77777777" w:rsidR="006B3F46" w:rsidRPr="0021277B" w:rsidRDefault="006B3F46" w:rsidP="00907941">
            <w:pPr>
              <w:jc w:val="center"/>
              <w:rPr>
                <w:sz w:val="22"/>
                <w:szCs w:val="22"/>
              </w:rPr>
            </w:pPr>
            <w:r w:rsidRPr="0021277B">
              <w:rPr>
                <w:sz w:val="22"/>
                <w:szCs w:val="22"/>
              </w:rPr>
              <w:t>-29° 0' 0,000" W</w:t>
            </w:r>
          </w:p>
        </w:tc>
      </w:tr>
      <w:tr w:rsidR="006B3F46" w:rsidRPr="0021277B" w14:paraId="7AB35B29"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6877C29C" w14:textId="77777777" w:rsidR="006B3F46" w:rsidRPr="0021277B" w:rsidRDefault="006B3F46" w:rsidP="00907941">
            <w:pPr>
              <w:jc w:val="center"/>
              <w:rPr>
                <w:sz w:val="22"/>
                <w:szCs w:val="22"/>
              </w:rPr>
            </w:pPr>
            <w:r w:rsidRPr="0021277B">
              <w:rPr>
                <w:sz w:val="22"/>
                <w:szCs w:val="22"/>
              </w:rPr>
              <w:t>2</w:t>
            </w:r>
          </w:p>
        </w:tc>
        <w:tc>
          <w:tcPr>
            <w:tcW w:w="1960" w:type="dxa"/>
            <w:tcBorders>
              <w:top w:val="nil"/>
              <w:left w:val="nil"/>
              <w:bottom w:val="single" w:sz="4" w:space="0" w:color="auto"/>
              <w:right w:val="single" w:sz="4" w:space="0" w:color="auto"/>
            </w:tcBorders>
            <w:shd w:val="clear" w:color="auto" w:fill="auto"/>
            <w:noWrap/>
            <w:hideMark/>
          </w:tcPr>
          <w:p w14:paraId="5571C0CC" w14:textId="77777777" w:rsidR="006B3F46" w:rsidRPr="0021277B" w:rsidRDefault="006B3F46" w:rsidP="00907941">
            <w:pPr>
              <w:jc w:val="center"/>
              <w:rPr>
                <w:sz w:val="22"/>
                <w:szCs w:val="22"/>
              </w:rPr>
            </w:pPr>
            <w:r w:rsidRPr="0021277B">
              <w:rPr>
                <w:sz w:val="22"/>
                <w:szCs w:val="22"/>
              </w:rPr>
              <w:t>31,60000000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07FE420E" w14:textId="77777777" w:rsidR="006B3F46" w:rsidRPr="0021277B" w:rsidRDefault="006B3F46" w:rsidP="00907941">
            <w:pPr>
              <w:jc w:val="center"/>
              <w:rPr>
                <w:sz w:val="22"/>
                <w:szCs w:val="22"/>
              </w:rPr>
            </w:pPr>
            <w:r w:rsidRPr="0021277B">
              <w:rPr>
                <w:sz w:val="22"/>
                <w:szCs w:val="22"/>
              </w:rPr>
              <w:t>-29,30000000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4038D4CC" w14:textId="77777777" w:rsidR="006B3F46" w:rsidRPr="0021277B" w:rsidRDefault="006B3F46" w:rsidP="00907941">
            <w:pPr>
              <w:jc w:val="center"/>
              <w:rPr>
                <w:sz w:val="22"/>
                <w:szCs w:val="22"/>
              </w:rPr>
            </w:pPr>
            <w:r w:rsidRPr="0021277B">
              <w:rPr>
                <w:sz w:val="22"/>
                <w:szCs w:val="22"/>
              </w:rPr>
              <w:t>31° 36' 0,000" N</w:t>
            </w:r>
          </w:p>
        </w:tc>
        <w:tc>
          <w:tcPr>
            <w:tcW w:w="1960" w:type="dxa"/>
            <w:tcBorders>
              <w:top w:val="nil"/>
              <w:left w:val="nil"/>
              <w:bottom w:val="single" w:sz="4" w:space="0" w:color="auto"/>
              <w:right w:val="single" w:sz="4" w:space="0" w:color="auto"/>
            </w:tcBorders>
            <w:shd w:val="clear" w:color="auto" w:fill="auto"/>
            <w:noWrap/>
            <w:hideMark/>
          </w:tcPr>
          <w:p w14:paraId="5F487B69" w14:textId="77777777" w:rsidR="006B3F46" w:rsidRPr="0021277B" w:rsidRDefault="006B3F46" w:rsidP="00907941">
            <w:pPr>
              <w:jc w:val="center"/>
              <w:rPr>
                <w:sz w:val="22"/>
                <w:szCs w:val="22"/>
              </w:rPr>
            </w:pPr>
            <w:r w:rsidRPr="0021277B">
              <w:rPr>
                <w:sz w:val="22"/>
                <w:szCs w:val="22"/>
              </w:rPr>
              <w:t>-29° 18' 0,000" W</w:t>
            </w:r>
          </w:p>
        </w:tc>
      </w:tr>
      <w:tr w:rsidR="006B3F46" w:rsidRPr="0021277B" w14:paraId="301A3518"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4DBD22F0" w14:textId="77777777" w:rsidR="006B3F46" w:rsidRPr="0021277B" w:rsidRDefault="006B3F46" w:rsidP="00907941">
            <w:pPr>
              <w:jc w:val="center"/>
              <w:rPr>
                <w:sz w:val="22"/>
                <w:szCs w:val="22"/>
              </w:rPr>
            </w:pPr>
            <w:r w:rsidRPr="0021277B">
              <w:rPr>
                <w:sz w:val="22"/>
                <w:szCs w:val="22"/>
              </w:rPr>
              <w:t>3</w:t>
            </w:r>
          </w:p>
        </w:tc>
        <w:tc>
          <w:tcPr>
            <w:tcW w:w="1960" w:type="dxa"/>
            <w:tcBorders>
              <w:top w:val="nil"/>
              <w:left w:val="nil"/>
              <w:bottom w:val="single" w:sz="4" w:space="0" w:color="auto"/>
              <w:right w:val="single" w:sz="4" w:space="0" w:color="auto"/>
            </w:tcBorders>
            <w:shd w:val="clear" w:color="auto" w:fill="auto"/>
            <w:noWrap/>
            <w:hideMark/>
          </w:tcPr>
          <w:p w14:paraId="6BF23284" w14:textId="77777777" w:rsidR="006B3F46" w:rsidRPr="0021277B" w:rsidRDefault="006B3F46" w:rsidP="00907941">
            <w:pPr>
              <w:jc w:val="center"/>
              <w:rPr>
                <w:sz w:val="22"/>
                <w:szCs w:val="22"/>
              </w:rPr>
            </w:pPr>
            <w:r w:rsidRPr="0021277B">
              <w:rPr>
                <w:sz w:val="22"/>
                <w:szCs w:val="22"/>
              </w:rPr>
              <w:t>32,00000000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4588F048" w14:textId="77777777" w:rsidR="006B3F46" w:rsidRPr="0021277B" w:rsidRDefault="006B3F46" w:rsidP="00907941">
            <w:pPr>
              <w:jc w:val="center"/>
              <w:rPr>
                <w:sz w:val="22"/>
                <w:szCs w:val="22"/>
              </w:rPr>
            </w:pPr>
            <w:r w:rsidRPr="0021277B">
              <w:rPr>
                <w:sz w:val="22"/>
                <w:szCs w:val="22"/>
              </w:rPr>
              <w:t>-28,60000000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3176DD96" w14:textId="77777777" w:rsidR="006B3F46" w:rsidRPr="0021277B" w:rsidRDefault="006B3F46" w:rsidP="00907941">
            <w:pPr>
              <w:jc w:val="center"/>
              <w:rPr>
                <w:sz w:val="22"/>
                <w:szCs w:val="22"/>
              </w:rPr>
            </w:pPr>
            <w:r w:rsidRPr="0021277B">
              <w:rPr>
                <w:sz w:val="22"/>
                <w:szCs w:val="22"/>
              </w:rPr>
              <w:t>32° 0' 0,000" N</w:t>
            </w:r>
          </w:p>
        </w:tc>
        <w:tc>
          <w:tcPr>
            <w:tcW w:w="1960" w:type="dxa"/>
            <w:tcBorders>
              <w:top w:val="nil"/>
              <w:left w:val="nil"/>
              <w:bottom w:val="single" w:sz="4" w:space="0" w:color="auto"/>
              <w:right w:val="single" w:sz="4" w:space="0" w:color="auto"/>
            </w:tcBorders>
            <w:shd w:val="clear" w:color="auto" w:fill="auto"/>
            <w:noWrap/>
            <w:hideMark/>
          </w:tcPr>
          <w:p w14:paraId="381F9EC1" w14:textId="77777777" w:rsidR="006B3F46" w:rsidRPr="0021277B" w:rsidRDefault="006B3F46" w:rsidP="00907941">
            <w:pPr>
              <w:jc w:val="center"/>
              <w:rPr>
                <w:sz w:val="22"/>
                <w:szCs w:val="22"/>
              </w:rPr>
            </w:pPr>
            <w:r w:rsidRPr="0021277B">
              <w:rPr>
                <w:sz w:val="22"/>
                <w:szCs w:val="22"/>
              </w:rPr>
              <w:t>-28° 36' 0,000" W</w:t>
            </w:r>
          </w:p>
        </w:tc>
      </w:tr>
      <w:tr w:rsidR="006B3F46" w:rsidRPr="0021277B" w14:paraId="131135F1"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7873B188" w14:textId="77777777" w:rsidR="006B3F46" w:rsidRPr="0021277B" w:rsidRDefault="006B3F46" w:rsidP="00907941">
            <w:pPr>
              <w:jc w:val="center"/>
              <w:rPr>
                <w:sz w:val="22"/>
                <w:szCs w:val="22"/>
              </w:rPr>
            </w:pPr>
            <w:r w:rsidRPr="0021277B">
              <w:rPr>
                <w:sz w:val="22"/>
                <w:szCs w:val="22"/>
              </w:rPr>
              <w:t>4</w:t>
            </w:r>
          </w:p>
        </w:tc>
        <w:tc>
          <w:tcPr>
            <w:tcW w:w="1960" w:type="dxa"/>
            <w:tcBorders>
              <w:top w:val="nil"/>
              <w:left w:val="nil"/>
              <w:bottom w:val="single" w:sz="4" w:space="0" w:color="auto"/>
              <w:right w:val="single" w:sz="4" w:space="0" w:color="auto"/>
            </w:tcBorders>
            <w:shd w:val="clear" w:color="auto" w:fill="auto"/>
            <w:noWrap/>
            <w:hideMark/>
          </w:tcPr>
          <w:p w14:paraId="096EAA1E" w14:textId="77777777" w:rsidR="006B3F46" w:rsidRPr="0021277B" w:rsidRDefault="006B3F46" w:rsidP="00907941">
            <w:pPr>
              <w:jc w:val="center"/>
              <w:rPr>
                <w:sz w:val="22"/>
                <w:szCs w:val="22"/>
              </w:rPr>
            </w:pPr>
            <w:r w:rsidRPr="0021277B">
              <w:rPr>
                <w:sz w:val="22"/>
                <w:szCs w:val="22"/>
              </w:rPr>
              <w:t>32,90000000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580F02D" w14:textId="77777777" w:rsidR="006B3F46" w:rsidRPr="0021277B" w:rsidRDefault="006B3F46" w:rsidP="00907941">
            <w:pPr>
              <w:jc w:val="center"/>
              <w:rPr>
                <w:sz w:val="22"/>
                <w:szCs w:val="22"/>
              </w:rPr>
            </w:pPr>
            <w:r w:rsidRPr="0021277B">
              <w:rPr>
                <w:sz w:val="22"/>
                <w:szCs w:val="22"/>
              </w:rPr>
              <w:t>-28,60000000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6E8ADFC9" w14:textId="77777777" w:rsidR="006B3F46" w:rsidRPr="0021277B" w:rsidRDefault="006B3F46" w:rsidP="00907941">
            <w:pPr>
              <w:jc w:val="center"/>
              <w:rPr>
                <w:sz w:val="22"/>
                <w:szCs w:val="22"/>
              </w:rPr>
            </w:pPr>
            <w:r w:rsidRPr="0021277B">
              <w:rPr>
                <w:sz w:val="22"/>
                <w:szCs w:val="22"/>
              </w:rPr>
              <w:t>32° 54' 0,000" N</w:t>
            </w:r>
          </w:p>
        </w:tc>
        <w:tc>
          <w:tcPr>
            <w:tcW w:w="1960" w:type="dxa"/>
            <w:tcBorders>
              <w:top w:val="nil"/>
              <w:left w:val="nil"/>
              <w:bottom w:val="single" w:sz="4" w:space="0" w:color="auto"/>
              <w:right w:val="single" w:sz="4" w:space="0" w:color="auto"/>
            </w:tcBorders>
            <w:shd w:val="clear" w:color="auto" w:fill="auto"/>
            <w:noWrap/>
            <w:hideMark/>
          </w:tcPr>
          <w:p w14:paraId="60B82285" w14:textId="77777777" w:rsidR="006B3F46" w:rsidRPr="0021277B" w:rsidRDefault="006B3F46" w:rsidP="00907941">
            <w:pPr>
              <w:jc w:val="center"/>
              <w:rPr>
                <w:sz w:val="22"/>
                <w:szCs w:val="22"/>
              </w:rPr>
            </w:pPr>
            <w:r w:rsidRPr="0021277B">
              <w:rPr>
                <w:sz w:val="22"/>
                <w:szCs w:val="22"/>
              </w:rPr>
              <w:t>-28° 36' 0,000" W</w:t>
            </w:r>
          </w:p>
        </w:tc>
      </w:tr>
      <w:tr w:rsidR="006B3F46" w:rsidRPr="0021277B" w14:paraId="006E06EF"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164F0810" w14:textId="77777777" w:rsidR="006B3F46" w:rsidRPr="0021277B" w:rsidRDefault="006B3F46" w:rsidP="00907941">
            <w:pPr>
              <w:jc w:val="center"/>
              <w:rPr>
                <w:sz w:val="22"/>
                <w:szCs w:val="22"/>
              </w:rPr>
            </w:pPr>
            <w:r w:rsidRPr="0021277B">
              <w:rPr>
                <w:sz w:val="22"/>
                <w:szCs w:val="22"/>
              </w:rPr>
              <w:t>5</w:t>
            </w:r>
          </w:p>
        </w:tc>
        <w:tc>
          <w:tcPr>
            <w:tcW w:w="1960" w:type="dxa"/>
            <w:tcBorders>
              <w:top w:val="nil"/>
              <w:left w:val="nil"/>
              <w:bottom w:val="single" w:sz="4" w:space="0" w:color="auto"/>
              <w:right w:val="single" w:sz="4" w:space="0" w:color="auto"/>
            </w:tcBorders>
            <w:shd w:val="clear" w:color="auto" w:fill="auto"/>
            <w:noWrap/>
            <w:hideMark/>
          </w:tcPr>
          <w:p w14:paraId="70F5196A" w14:textId="77777777" w:rsidR="006B3F46" w:rsidRPr="0021277B" w:rsidRDefault="006B3F46" w:rsidP="00907941">
            <w:pPr>
              <w:jc w:val="center"/>
              <w:rPr>
                <w:sz w:val="22"/>
                <w:szCs w:val="22"/>
              </w:rPr>
            </w:pPr>
            <w:r w:rsidRPr="0021277B">
              <w:rPr>
                <w:sz w:val="22"/>
                <w:szCs w:val="22"/>
              </w:rPr>
              <w:t>33,00000000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05DCDBEA" w14:textId="77777777" w:rsidR="006B3F46" w:rsidRPr="0021277B" w:rsidRDefault="006B3F46" w:rsidP="00907941">
            <w:pPr>
              <w:jc w:val="center"/>
              <w:rPr>
                <w:sz w:val="22"/>
                <w:szCs w:val="22"/>
              </w:rPr>
            </w:pPr>
            <w:r w:rsidRPr="0021277B">
              <w:rPr>
                <w:sz w:val="22"/>
                <w:szCs w:val="22"/>
              </w:rPr>
              <w:t>-30,50000000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04ED62C6" w14:textId="77777777" w:rsidR="006B3F46" w:rsidRPr="0021277B" w:rsidRDefault="006B3F46" w:rsidP="00907941">
            <w:pPr>
              <w:jc w:val="center"/>
              <w:rPr>
                <w:sz w:val="22"/>
                <w:szCs w:val="22"/>
              </w:rPr>
            </w:pPr>
            <w:r w:rsidRPr="0021277B">
              <w:rPr>
                <w:sz w:val="22"/>
                <w:szCs w:val="22"/>
              </w:rPr>
              <w:t>33° 0' 0,000" N</w:t>
            </w:r>
          </w:p>
        </w:tc>
        <w:tc>
          <w:tcPr>
            <w:tcW w:w="1960" w:type="dxa"/>
            <w:tcBorders>
              <w:top w:val="nil"/>
              <w:left w:val="nil"/>
              <w:bottom w:val="single" w:sz="4" w:space="0" w:color="auto"/>
              <w:right w:val="single" w:sz="4" w:space="0" w:color="auto"/>
            </w:tcBorders>
            <w:shd w:val="clear" w:color="auto" w:fill="auto"/>
            <w:noWrap/>
            <w:hideMark/>
          </w:tcPr>
          <w:p w14:paraId="21F2F357" w14:textId="77777777" w:rsidR="006B3F46" w:rsidRPr="0021277B" w:rsidRDefault="006B3F46" w:rsidP="00907941">
            <w:pPr>
              <w:jc w:val="center"/>
              <w:rPr>
                <w:sz w:val="22"/>
                <w:szCs w:val="22"/>
              </w:rPr>
            </w:pPr>
            <w:r w:rsidRPr="0021277B">
              <w:rPr>
                <w:sz w:val="22"/>
                <w:szCs w:val="22"/>
              </w:rPr>
              <w:t>-30° 30' 0,000" W</w:t>
            </w:r>
          </w:p>
        </w:tc>
      </w:tr>
      <w:tr w:rsidR="006B3F46" w:rsidRPr="0021277B" w14:paraId="3CFEE658"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180CA664" w14:textId="77777777" w:rsidR="006B3F46" w:rsidRPr="0021277B" w:rsidRDefault="006B3F46" w:rsidP="00907941">
            <w:pPr>
              <w:jc w:val="center"/>
              <w:rPr>
                <w:sz w:val="22"/>
                <w:szCs w:val="22"/>
              </w:rPr>
            </w:pPr>
            <w:r w:rsidRPr="0021277B">
              <w:rPr>
                <w:sz w:val="22"/>
                <w:szCs w:val="22"/>
              </w:rPr>
              <w:t>6</w:t>
            </w:r>
          </w:p>
        </w:tc>
        <w:tc>
          <w:tcPr>
            <w:tcW w:w="1960" w:type="dxa"/>
            <w:tcBorders>
              <w:top w:val="nil"/>
              <w:left w:val="nil"/>
              <w:bottom w:val="single" w:sz="4" w:space="0" w:color="auto"/>
              <w:right w:val="single" w:sz="4" w:space="0" w:color="auto"/>
            </w:tcBorders>
            <w:shd w:val="clear" w:color="auto" w:fill="auto"/>
            <w:noWrap/>
            <w:hideMark/>
          </w:tcPr>
          <w:p w14:paraId="3857FA36" w14:textId="77777777" w:rsidR="006B3F46" w:rsidRPr="0021277B" w:rsidRDefault="006B3F46" w:rsidP="00907941">
            <w:pPr>
              <w:jc w:val="center"/>
              <w:rPr>
                <w:sz w:val="22"/>
                <w:szCs w:val="22"/>
              </w:rPr>
            </w:pPr>
            <w:r w:rsidRPr="0021277B">
              <w:rPr>
                <w:sz w:val="22"/>
                <w:szCs w:val="22"/>
              </w:rPr>
              <w:t>34,00000000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2226AB38" w14:textId="77777777" w:rsidR="006B3F46" w:rsidRPr="0021277B" w:rsidRDefault="006B3F46" w:rsidP="00907941">
            <w:pPr>
              <w:jc w:val="center"/>
              <w:rPr>
                <w:sz w:val="22"/>
                <w:szCs w:val="22"/>
              </w:rPr>
            </w:pPr>
            <w:r w:rsidRPr="0021277B">
              <w:rPr>
                <w:sz w:val="22"/>
                <w:szCs w:val="22"/>
              </w:rPr>
              <w:t>-31,40000000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40834AFA" w14:textId="77777777" w:rsidR="006B3F46" w:rsidRPr="0021277B" w:rsidRDefault="006B3F46" w:rsidP="00907941">
            <w:pPr>
              <w:jc w:val="center"/>
              <w:rPr>
                <w:sz w:val="22"/>
                <w:szCs w:val="22"/>
              </w:rPr>
            </w:pPr>
            <w:r w:rsidRPr="0021277B">
              <w:rPr>
                <w:sz w:val="22"/>
                <w:szCs w:val="22"/>
              </w:rPr>
              <w:t>34° 0' 0,000" N</w:t>
            </w:r>
          </w:p>
        </w:tc>
        <w:tc>
          <w:tcPr>
            <w:tcW w:w="1960" w:type="dxa"/>
            <w:tcBorders>
              <w:top w:val="nil"/>
              <w:left w:val="nil"/>
              <w:bottom w:val="single" w:sz="4" w:space="0" w:color="auto"/>
              <w:right w:val="single" w:sz="4" w:space="0" w:color="auto"/>
            </w:tcBorders>
            <w:shd w:val="clear" w:color="auto" w:fill="auto"/>
            <w:noWrap/>
            <w:hideMark/>
          </w:tcPr>
          <w:p w14:paraId="07E0252D" w14:textId="77777777" w:rsidR="006B3F46" w:rsidRPr="0021277B" w:rsidRDefault="006B3F46" w:rsidP="00907941">
            <w:pPr>
              <w:jc w:val="center"/>
              <w:rPr>
                <w:sz w:val="22"/>
                <w:szCs w:val="22"/>
              </w:rPr>
            </w:pPr>
            <w:r w:rsidRPr="0021277B">
              <w:rPr>
                <w:sz w:val="22"/>
                <w:szCs w:val="22"/>
              </w:rPr>
              <w:t>-31° 24' 0,000" W</w:t>
            </w:r>
          </w:p>
        </w:tc>
      </w:tr>
      <w:tr w:rsidR="006B3F46" w:rsidRPr="0021277B" w14:paraId="4F2A224C"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19D7A440" w14:textId="77777777" w:rsidR="006B3F46" w:rsidRPr="0021277B" w:rsidRDefault="006B3F46" w:rsidP="00907941">
            <w:pPr>
              <w:jc w:val="center"/>
              <w:rPr>
                <w:sz w:val="22"/>
                <w:szCs w:val="22"/>
              </w:rPr>
            </w:pPr>
            <w:r w:rsidRPr="0021277B">
              <w:rPr>
                <w:sz w:val="22"/>
                <w:szCs w:val="22"/>
              </w:rPr>
              <w:t>7</w:t>
            </w:r>
          </w:p>
        </w:tc>
        <w:tc>
          <w:tcPr>
            <w:tcW w:w="1960" w:type="dxa"/>
            <w:tcBorders>
              <w:top w:val="nil"/>
              <w:left w:val="nil"/>
              <w:bottom w:val="single" w:sz="4" w:space="0" w:color="auto"/>
              <w:right w:val="single" w:sz="4" w:space="0" w:color="auto"/>
            </w:tcBorders>
            <w:shd w:val="clear" w:color="auto" w:fill="auto"/>
            <w:noWrap/>
            <w:hideMark/>
          </w:tcPr>
          <w:p w14:paraId="00C4DC68" w14:textId="77777777" w:rsidR="006B3F46" w:rsidRPr="0021277B" w:rsidRDefault="006B3F46" w:rsidP="00907941">
            <w:pPr>
              <w:jc w:val="center"/>
              <w:rPr>
                <w:sz w:val="22"/>
                <w:szCs w:val="22"/>
              </w:rPr>
            </w:pPr>
            <w:r w:rsidRPr="0021277B">
              <w:rPr>
                <w:sz w:val="22"/>
                <w:szCs w:val="22"/>
              </w:rPr>
              <w:t>35,00000000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1B483B41" w14:textId="77777777" w:rsidR="006B3F46" w:rsidRPr="0021277B" w:rsidRDefault="006B3F46" w:rsidP="00907941">
            <w:pPr>
              <w:jc w:val="center"/>
              <w:rPr>
                <w:sz w:val="22"/>
                <w:szCs w:val="22"/>
              </w:rPr>
            </w:pPr>
            <w:r w:rsidRPr="0021277B">
              <w:rPr>
                <w:sz w:val="22"/>
                <w:szCs w:val="22"/>
              </w:rPr>
              <w:t>-31,50000000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3D15EC4E" w14:textId="77777777" w:rsidR="006B3F46" w:rsidRPr="0021277B" w:rsidRDefault="006B3F46" w:rsidP="00907941">
            <w:pPr>
              <w:jc w:val="center"/>
              <w:rPr>
                <w:sz w:val="22"/>
                <w:szCs w:val="22"/>
              </w:rPr>
            </w:pPr>
            <w:r w:rsidRPr="0021277B">
              <w:rPr>
                <w:sz w:val="22"/>
                <w:szCs w:val="22"/>
              </w:rPr>
              <w:t>35° 0' 0,000" N</w:t>
            </w:r>
          </w:p>
        </w:tc>
        <w:tc>
          <w:tcPr>
            <w:tcW w:w="1960" w:type="dxa"/>
            <w:tcBorders>
              <w:top w:val="nil"/>
              <w:left w:val="nil"/>
              <w:bottom w:val="single" w:sz="4" w:space="0" w:color="auto"/>
              <w:right w:val="single" w:sz="4" w:space="0" w:color="auto"/>
            </w:tcBorders>
            <w:shd w:val="clear" w:color="auto" w:fill="auto"/>
            <w:noWrap/>
            <w:hideMark/>
          </w:tcPr>
          <w:p w14:paraId="0D173A74" w14:textId="77777777" w:rsidR="006B3F46" w:rsidRPr="0021277B" w:rsidRDefault="006B3F46" w:rsidP="00907941">
            <w:pPr>
              <w:jc w:val="center"/>
              <w:rPr>
                <w:sz w:val="22"/>
                <w:szCs w:val="22"/>
              </w:rPr>
            </w:pPr>
            <w:r w:rsidRPr="0021277B">
              <w:rPr>
                <w:sz w:val="22"/>
                <w:szCs w:val="22"/>
              </w:rPr>
              <w:t>-31° 30' 0,000" W</w:t>
            </w:r>
          </w:p>
        </w:tc>
      </w:tr>
      <w:tr w:rsidR="006B3F46" w:rsidRPr="0021277B" w14:paraId="0175FBCA"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1E729341" w14:textId="77777777" w:rsidR="006B3F46" w:rsidRPr="0021277B" w:rsidRDefault="006B3F46" w:rsidP="00907941">
            <w:pPr>
              <w:jc w:val="center"/>
              <w:rPr>
                <w:sz w:val="22"/>
                <w:szCs w:val="22"/>
              </w:rPr>
            </w:pPr>
            <w:r w:rsidRPr="0021277B">
              <w:rPr>
                <w:sz w:val="22"/>
                <w:szCs w:val="22"/>
              </w:rPr>
              <w:t>8</w:t>
            </w:r>
          </w:p>
        </w:tc>
        <w:tc>
          <w:tcPr>
            <w:tcW w:w="1960" w:type="dxa"/>
            <w:tcBorders>
              <w:top w:val="nil"/>
              <w:left w:val="nil"/>
              <w:bottom w:val="single" w:sz="4" w:space="0" w:color="auto"/>
              <w:right w:val="single" w:sz="4" w:space="0" w:color="auto"/>
            </w:tcBorders>
            <w:shd w:val="clear" w:color="auto" w:fill="auto"/>
            <w:noWrap/>
            <w:hideMark/>
          </w:tcPr>
          <w:p w14:paraId="2C87EFB1" w14:textId="77777777" w:rsidR="006B3F46" w:rsidRPr="0021277B" w:rsidRDefault="006B3F46" w:rsidP="00907941">
            <w:pPr>
              <w:jc w:val="center"/>
              <w:rPr>
                <w:sz w:val="22"/>
                <w:szCs w:val="22"/>
              </w:rPr>
            </w:pPr>
            <w:r w:rsidRPr="0021277B">
              <w:rPr>
                <w:sz w:val="22"/>
                <w:szCs w:val="22"/>
              </w:rPr>
              <w:t>35,00000000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6033349" w14:textId="77777777" w:rsidR="006B3F46" w:rsidRPr="0021277B" w:rsidRDefault="006B3F46" w:rsidP="00907941">
            <w:pPr>
              <w:jc w:val="center"/>
              <w:rPr>
                <w:sz w:val="22"/>
                <w:szCs w:val="22"/>
              </w:rPr>
            </w:pPr>
            <w:r w:rsidRPr="0021277B">
              <w:rPr>
                <w:sz w:val="22"/>
                <w:szCs w:val="22"/>
              </w:rPr>
              <w:t>-30,30000000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3D37D7D" w14:textId="77777777" w:rsidR="006B3F46" w:rsidRPr="0021277B" w:rsidRDefault="006B3F46" w:rsidP="00907941">
            <w:pPr>
              <w:jc w:val="center"/>
              <w:rPr>
                <w:sz w:val="22"/>
                <w:szCs w:val="22"/>
              </w:rPr>
            </w:pPr>
            <w:r w:rsidRPr="0021277B">
              <w:rPr>
                <w:sz w:val="22"/>
                <w:szCs w:val="22"/>
              </w:rPr>
              <w:t>35° 0' 0,000" N</w:t>
            </w:r>
          </w:p>
        </w:tc>
        <w:tc>
          <w:tcPr>
            <w:tcW w:w="1960" w:type="dxa"/>
            <w:tcBorders>
              <w:top w:val="nil"/>
              <w:left w:val="nil"/>
              <w:bottom w:val="single" w:sz="4" w:space="0" w:color="auto"/>
              <w:right w:val="single" w:sz="4" w:space="0" w:color="auto"/>
            </w:tcBorders>
            <w:shd w:val="clear" w:color="auto" w:fill="auto"/>
            <w:noWrap/>
            <w:hideMark/>
          </w:tcPr>
          <w:p w14:paraId="13821BEC" w14:textId="77777777" w:rsidR="006B3F46" w:rsidRPr="0021277B" w:rsidRDefault="006B3F46" w:rsidP="00907941">
            <w:pPr>
              <w:jc w:val="center"/>
              <w:rPr>
                <w:sz w:val="22"/>
                <w:szCs w:val="22"/>
              </w:rPr>
            </w:pPr>
            <w:r w:rsidRPr="0021277B">
              <w:rPr>
                <w:sz w:val="22"/>
                <w:szCs w:val="22"/>
              </w:rPr>
              <w:t>-30° 18' 0,000" W</w:t>
            </w:r>
          </w:p>
        </w:tc>
      </w:tr>
      <w:tr w:rsidR="006B3F46" w:rsidRPr="0021277B" w14:paraId="0B82E89E"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264919B3" w14:textId="77777777" w:rsidR="006B3F46" w:rsidRPr="0021277B" w:rsidRDefault="006B3F46" w:rsidP="00907941">
            <w:pPr>
              <w:jc w:val="center"/>
              <w:rPr>
                <w:sz w:val="22"/>
                <w:szCs w:val="22"/>
              </w:rPr>
            </w:pPr>
            <w:r w:rsidRPr="0021277B">
              <w:rPr>
                <w:sz w:val="22"/>
                <w:szCs w:val="22"/>
              </w:rPr>
              <w:t>9</w:t>
            </w:r>
          </w:p>
        </w:tc>
        <w:tc>
          <w:tcPr>
            <w:tcW w:w="1960" w:type="dxa"/>
            <w:tcBorders>
              <w:top w:val="nil"/>
              <w:left w:val="nil"/>
              <w:bottom w:val="single" w:sz="4" w:space="0" w:color="auto"/>
              <w:right w:val="single" w:sz="4" w:space="0" w:color="auto"/>
            </w:tcBorders>
            <w:shd w:val="clear" w:color="auto" w:fill="auto"/>
            <w:noWrap/>
            <w:hideMark/>
          </w:tcPr>
          <w:p w14:paraId="5D6BAD09" w14:textId="77777777" w:rsidR="006B3F46" w:rsidRPr="0021277B" w:rsidRDefault="006B3F46" w:rsidP="00907941">
            <w:pPr>
              <w:jc w:val="center"/>
              <w:rPr>
                <w:sz w:val="22"/>
                <w:szCs w:val="22"/>
              </w:rPr>
            </w:pPr>
            <w:r w:rsidRPr="0021277B">
              <w:rPr>
                <w:sz w:val="22"/>
                <w:szCs w:val="22"/>
              </w:rPr>
              <w:t>34,00000000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06DA22C7" w14:textId="77777777" w:rsidR="006B3F46" w:rsidRPr="0021277B" w:rsidRDefault="006B3F46" w:rsidP="00907941">
            <w:pPr>
              <w:jc w:val="center"/>
              <w:rPr>
                <w:sz w:val="22"/>
                <w:szCs w:val="22"/>
              </w:rPr>
            </w:pPr>
            <w:r w:rsidRPr="0021277B">
              <w:rPr>
                <w:sz w:val="22"/>
                <w:szCs w:val="22"/>
              </w:rPr>
              <w:t>-29,50000000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974E8AF" w14:textId="77777777" w:rsidR="006B3F46" w:rsidRPr="0021277B" w:rsidRDefault="006B3F46" w:rsidP="00907941">
            <w:pPr>
              <w:jc w:val="center"/>
              <w:rPr>
                <w:sz w:val="22"/>
                <w:szCs w:val="22"/>
              </w:rPr>
            </w:pPr>
            <w:r w:rsidRPr="0021277B">
              <w:rPr>
                <w:sz w:val="22"/>
                <w:szCs w:val="22"/>
              </w:rPr>
              <w:t>34° 0' 0,000" N</w:t>
            </w:r>
          </w:p>
        </w:tc>
        <w:tc>
          <w:tcPr>
            <w:tcW w:w="1960" w:type="dxa"/>
            <w:tcBorders>
              <w:top w:val="nil"/>
              <w:left w:val="nil"/>
              <w:bottom w:val="single" w:sz="4" w:space="0" w:color="auto"/>
              <w:right w:val="single" w:sz="4" w:space="0" w:color="auto"/>
            </w:tcBorders>
            <w:shd w:val="clear" w:color="auto" w:fill="auto"/>
            <w:noWrap/>
            <w:hideMark/>
          </w:tcPr>
          <w:p w14:paraId="150F6ADA" w14:textId="77777777" w:rsidR="006B3F46" w:rsidRPr="0021277B" w:rsidRDefault="006B3F46" w:rsidP="00907941">
            <w:pPr>
              <w:jc w:val="center"/>
              <w:rPr>
                <w:sz w:val="22"/>
                <w:szCs w:val="22"/>
              </w:rPr>
            </w:pPr>
            <w:r w:rsidRPr="0021277B">
              <w:rPr>
                <w:sz w:val="22"/>
                <w:szCs w:val="22"/>
              </w:rPr>
              <w:t>-29° 30' 0,000" W</w:t>
            </w:r>
          </w:p>
        </w:tc>
      </w:tr>
      <w:tr w:rsidR="006B3F46" w:rsidRPr="0021277B" w14:paraId="621A496A"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3822AA73" w14:textId="77777777" w:rsidR="006B3F46" w:rsidRPr="0021277B" w:rsidRDefault="006B3F46" w:rsidP="00907941">
            <w:pPr>
              <w:jc w:val="center"/>
              <w:rPr>
                <w:sz w:val="22"/>
                <w:szCs w:val="22"/>
              </w:rPr>
            </w:pPr>
            <w:r w:rsidRPr="0021277B">
              <w:rPr>
                <w:sz w:val="22"/>
                <w:szCs w:val="22"/>
              </w:rPr>
              <w:t>10</w:t>
            </w:r>
          </w:p>
        </w:tc>
        <w:tc>
          <w:tcPr>
            <w:tcW w:w="1960" w:type="dxa"/>
            <w:tcBorders>
              <w:top w:val="nil"/>
              <w:left w:val="nil"/>
              <w:bottom w:val="single" w:sz="4" w:space="0" w:color="auto"/>
              <w:right w:val="single" w:sz="4" w:space="0" w:color="auto"/>
            </w:tcBorders>
            <w:shd w:val="clear" w:color="auto" w:fill="auto"/>
            <w:noWrap/>
            <w:hideMark/>
          </w:tcPr>
          <w:p w14:paraId="24F1C855" w14:textId="77777777" w:rsidR="006B3F46" w:rsidRPr="0021277B" w:rsidRDefault="006B3F46" w:rsidP="00907941">
            <w:pPr>
              <w:jc w:val="center"/>
              <w:rPr>
                <w:sz w:val="22"/>
                <w:szCs w:val="22"/>
              </w:rPr>
            </w:pPr>
            <w:r w:rsidRPr="0021277B">
              <w:rPr>
                <w:sz w:val="22"/>
                <w:szCs w:val="22"/>
              </w:rPr>
              <w:t>34,00000000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6A9F3473" w14:textId="77777777" w:rsidR="006B3F46" w:rsidRPr="0021277B" w:rsidRDefault="006B3F46" w:rsidP="00907941">
            <w:pPr>
              <w:jc w:val="center"/>
              <w:rPr>
                <w:sz w:val="22"/>
                <w:szCs w:val="22"/>
              </w:rPr>
            </w:pPr>
            <w:r w:rsidRPr="0021277B">
              <w:rPr>
                <w:sz w:val="22"/>
                <w:szCs w:val="22"/>
              </w:rPr>
              <w:t>-28,70000000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8AC1C3B" w14:textId="77777777" w:rsidR="006B3F46" w:rsidRPr="0021277B" w:rsidRDefault="006B3F46" w:rsidP="00907941">
            <w:pPr>
              <w:jc w:val="center"/>
              <w:rPr>
                <w:sz w:val="22"/>
                <w:szCs w:val="22"/>
              </w:rPr>
            </w:pPr>
            <w:r w:rsidRPr="0021277B">
              <w:rPr>
                <w:sz w:val="22"/>
                <w:szCs w:val="22"/>
              </w:rPr>
              <w:t>34° 0' 0,000" N</w:t>
            </w:r>
          </w:p>
        </w:tc>
        <w:tc>
          <w:tcPr>
            <w:tcW w:w="1960" w:type="dxa"/>
            <w:tcBorders>
              <w:top w:val="nil"/>
              <w:left w:val="nil"/>
              <w:bottom w:val="single" w:sz="4" w:space="0" w:color="auto"/>
              <w:right w:val="single" w:sz="4" w:space="0" w:color="auto"/>
            </w:tcBorders>
            <w:shd w:val="clear" w:color="auto" w:fill="auto"/>
            <w:noWrap/>
            <w:hideMark/>
          </w:tcPr>
          <w:p w14:paraId="7DC3F851" w14:textId="77777777" w:rsidR="006B3F46" w:rsidRPr="0021277B" w:rsidRDefault="006B3F46" w:rsidP="00907941">
            <w:pPr>
              <w:jc w:val="center"/>
              <w:rPr>
                <w:sz w:val="22"/>
                <w:szCs w:val="22"/>
              </w:rPr>
            </w:pPr>
            <w:r w:rsidRPr="0021277B">
              <w:rPr>
                <w:sz w:val="22"/>
                <w:szCs w:val="22"/>
              </w:rPr>
              <w:t>-28° 42' 0,000" W</w:t>
            </w:r>
          </w:p>
        </w:tc>
      </w:tr>
      <w:tr w:rsidR="006B3F46" w:rsidRPr="0021277B" w14:paraId="16CB0A4C"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257F4971" w14:textId="77777777" w:rsidR="006B3F46" w:rsidRPr="0021277B" w:rsidRDefault="006B3F46" w:rsidP="00907941">
            <w:pPr>
              <w:jc w:val="center"/>
              <w:rPr>
                <w:sz w:val="22"/>
                <w:szCs w:val="22"/>
              </w:rPr>
            </w:pPr>
            <w:r w:rsidRPr="0021277B">
              <w:rPr>
                <w:sz w:val="22"/>
                <w:szCs w:val="22"/>
              </w:rPr>
              <w:t>11</w:t>
            </w:r>
          </w:p>
        </w:tc>
        <w:tc>
          <w:tcPr>
            <w:tcW w:w="1960" w:type="dxa"/>
            <w:tcBorders>
              <w:top w:val="nil"/>
              <w:left w:val="nil"/>
              <w:bottom w:val="single" w:sz="4" w:space="0" w:color="auto"/>
              <w:right w:val="single" w:sz="4" w:space="0" w:color="auto"/>
            </w:tcBorders>
            <w:shd w:val="clear" w:color="auto" w:fill="auto"/>
            <w:noWrap/>
            <w:hideMark/>
          </w:tcPr>
          <w:p w14:paraId="1F31370A" w14:textId="77777777" w:rsidR="006B3F46" w:rsidRPr="0021277B" w:rsidRDefault="006B3F46" w:rsidP="00907941">
            <w:pPr>
              <w:jc w:val="center"/>
              <w:rPr>
                <w:sz w:val="22"/>
                <w:szCs w:val="22"/>
              </w:rPr>
            </w:pPr>
            <w:r w:rsidRPr="0021277B">
              <w:rPr>
                <w:sz w:val="22"/>
                <w:szCs w:val="22"/>
              </w:rPr>
              <w:t>35,50000000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3E193CF2" w14:textId="77777777" w:rsidR="006B3F46" w:rsidRPr="0021277B" w:rsidRDefault="006B3F46" w:rsidP="00907941">
            <w:pPr>
              <w:jc w:val="center"/>
              <w:rPr>
                <w:sz w:val="22"/>
                <w:szCs w:val="22"/>
              </w:rPr>
            </w:pPr>
            <w:r w:rsidRPr="0021277B">
              <w:rPr>
                <w:sz w:val="22"/>
                <w:szCs w:val="22"/>
              </w:rPr>
              <w:t>-28,50000000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6943E03C" w14:textId="77777777" w:rsidR="006B3F46" w:rsidRPr="0021277B" w:rsidRDefault="006B3F46" w:rsidP="00907941">
            <w:pPr>
              <w:jc w:val="center"/>
              <w:rPr>
                <w:sz w:val="22"/>
                <w:szCs w:val="22"/>
              </w:rPr>
            </w:pPr>
            <w:r w:rsidRPr="0021277B">
              <w:rPr>
                <w:sz w:val="22"/>
                <w:szCs w:val="22"/>
              </w:rPr>
              <w:t>35° 30' 0,000" N</w:t>
            </w:r>
          </w:p>
        </w:tc>
        <w:tc>
          <w:tcPr>
            <w:tcW w:w="1960" w:type="dxa"/>
            <w:tcBorders>
              <w:top w:val="nil"/>
              <w:left w:val="nil"/>
              <w:bottom w:val="single" w:sz="4" w:space="0" w:color="auto"/>
              <w:right w:val="single" w:sz="4" w:space="0" w:color="auto"/>
            </w:tcBorders>
            <w:shd w:val="clear" w:color="auto" w:fill="auto"/>
            <w:noWrap/>
            <w:hideMark/>
          </w:tcPr>
          <w:p w14:paraId="6BFE5335" w14:textId="77777777" w:rsidR="006B3F46" w:rsidRPr="0021277B" w:rsidRDefault="006B3F46" w:rsidP="00907941">
            <w:pPr>
              <w:jc w:val="center"/>
              <w:rPr>
                <w:sz w:val="22"/>
                <w:szCs w:val="22"/>
              </w:rPr>
            </w:pPr>
            <w:r w:rsidRPr="0021277B">
              <w:rPr>
                <w:sz w:val="22"/>
                <w:szCs w:val="22"/>
              </w:rPr>
              <w:t>-28° 30' 0,000" W</w:t>
            </w:r>
          </w:p>
        </w:tc>
      </w:tr>
      <w:tr w:rsidR="006B3F46" w:rsidRPr="0021277B" w14:paraId="0CCB244C"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0656CAC6" w14:textId="77777777" w:rsidR="006B3F46" w:rsidRPr="0021277B" w:rsidRDefault="006B3F46" w:rsidP="00907941">
            <w:pPr>
              <w:jc w:val="center"/>
              <w:rPr>
                <w:sz w:val="22"/>
                <w:szCs w:val="22"/>
              </w:rPr>
            </w:pPr>
            <w:r w:rsidRPr="0021277B">
              <w:rPr>
                <w:sz w:val="22"/>
                <w:szCs w:val="22"/>
              </w:rPr>
              <w:t>12</w:t>
            </w:r>
          </w:p>
        </w:tc>
        <w:tc>
          <w:tcPr>
            <w:tcW w:w="1960" w:type="dxa"/>
            <w:tcBorders>
              <w:top w:val="nil"/>
              <w:left w:val="nil"/>
              <w:bottom w:val="single" w:sz="4" w:space="0" w:color="auto"/>
              <w:right w:val="single" w:sz="4" w:space="0" w:color="auto"/>
            </w:tcBorders>
            <w:shd w:val="clear" w:color="auto" w:fill="auto"/>
            <w:noWrap/>
            <w:hideMark/>
          </w:tcPr>
          <w:p w14:paraId="4AADB425" w14:textId="77777777" w:rsidR="006B3F46" w:rsidRPr="0021277B" w:rsidRDefault="006B3F46" w:rsidP="00907941">
            <w:pPr>
              <w:jc w:val="center"/>
              <w:rPr>
                <w:sz w:val="22"/>
                <w:szCs w:val="22"/>
              </w:rPr>
            </w:pPr>
            <w:r w:rsidRPr="0021277B">
              <w:rPr>
                <w:sz w:val="22"/>
                <w:szCs w:val="22"/>
              </w:rPr>
              <w:t>35,40000000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04E4BB59" w14:textId="77777777" w:rsidR="006B3F46" w:rsidRPr="0021277B" w:rsidRDefault="006B3F46" w:rsidP="00907941">
            <w:pPr>
              <w:jc w:val="center"/>
              <w:rPr>
                <w:sz w:val="22"/>
                <w:szCs w:val="22"/>
              </w:rPr>
            </w:pPr>
            <w:r w:rsidRPr="0021277B">
              <w:rPr>
                <w:sz w:val="22"/>
                <w:szCs w:val="22"/>
              </w:rPr>
              <w:t>-27,00000000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55F3F8E2" w14:textId="77777777" w:rsidR="006B3F46" w:rsidRPr="0021277B" w:rsidRDefault="006B3F46" w:rsidP="00907941">
            <w:pPr>
              <w:jc w:val="center"/>
              <w:rPr>
                <w:sz w:val="22"/>
                <w:szCs w:val="22"/>
              </w:rPr>
            </w:pPr>
            <w:r w:rsidRPr="0021277B">
              <w:rPr>
                <w:sz w:val="22"/>
                <w:szCs w:val="22"/>
              </w:rPr>
              <w:t>35° 24' 0,000" N</w:t>
            </w:r>
          </w:p>
        </w:tc>
        <w:tc>
          <w:tcPr>
            <w:tcW w:w="1960" w:type="dxa"/>
            <w:tcBorders>
              <w:top w:val="nil"/>
              <w:left w:val="nil"/>
              <w:bottom w:val="single" w:sz="4" w:space="0" w:color="auto"/>
              <w:right w:val="single" w:sz="4" w:space="0" w:color="auto"/>
            </w:tcBorders>
            <w:shd w:val="clear" w:color="auto" w:fill="auto"/>
            <w:noWrap/>
            <w:hideMark/>
          </w:tcPr>
          <w:p w14:paraId="0B9FCEBF" w14:textId="77777777" w:rsidR="006B3F46" w:rsidRPr="0021277B" w:rsidRDefault="006B3F46" w:rsidP="00907941">
            <w:pPr>
              <w:jc w:val="center"/>
              <w:rPr>
                <w:sz w:val="22"/>
                <w:szCs w:val="22"/>
              </w:rPr>
            </w:pPr>
            <w:r w:rsidRPr="0021277B">
              <w:rPr>
                <w:sz w:val="22"/>
                <w:szCs w:val="22"/>
              </w:rPr>
              <w:t>-27° 0' 0,000" W</w:t>
            </w:r>
          </w:p>
        </w:tc>
      </w:tr>
      <w:tr w:rsidR="006B3F46" w:rsidRPr="0021277B" w14:paraId="7FBCCC7A"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683C1FD8" w14:textId="77777777" w:rsidR="006B3F46" w:rsidRPr="0021277B" w:rsidRDefault="006B3F46" w:rsidP="00907941">
            <w:pPr>
              <w:jc w:val="center"/>
              <w:rPr>
                <w:sz w:val="22"/>
                <w:szCs w:val="22"/>
              </w:rPr>
            </w:pPr>
            <w:r w:rsidRPr="0021277B">
              <w:rPr>
                <w:sz w:val="22"/>
                <w:szCs w:val="22"/>
              </w:rPr>
              <w:t>13</w:t>
            </w:r>
          </w:p>
        </w:tc>
        <w:tc>
          <w:tcPr>
            <w:tcW w:w="1960" w:type="dxa"/>
            <w:tcBorders>
              <w:top w:val="nil"/>
              <w:left w:val="nil"/>
              <w:bottom w:val="single" w:sz="4" w:space="0" w:color="auto"/>
              <w:right w:val="single" w:sz="4" w:space="0" w:color="auto"/>
            </w:tcBorders>
            <w:shd w:val="clear" w:color="auto" w:fill="auto"/>
            <w:noWrap/>
            <w:hideMark/>
          </w:tcPr>
          <w:p w14:paraId="659E9010" w14:textId="77777777" w:rsidR="006B3F46" w:rsidRPr="0021277B" w:rsidRDefault="006B3F46" w:rsidP="00907941">
            <w:pPr>
              <w:jc w:val="center"/>
              <w:rPr>
                <w:sz w:val="22"/>
                <w:szCs w:val="22"/>
              </w:rPr>
            </w:pPr>
            <w:r w:rsidRPr="0021277B">
              <w:rPr>
                <w:sz w:val="22"/>
                <w:szCs w:val="22"/>
              </w:rPr>
              <w:t>33,30000000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0F09938D" w14:textId="77777777" w:rsidR="006B3F46" w:rsidRPr="0021277B" w:rsidRDefault="006B3F46" w:rsidP="00907941">
            <w:pPr>
              <w:jc w:val="center"/>
              <w:rPr>
                <w:sz w:val="22"/>
                <w:szCs w:val="22"/>
              </w:rPr>
            </w:pPr>
            <w:r w:rsidRPr="0021277B">
              <w:rPr>
                <w:sz w:val="22"/>
                <w:szCs w:val="22"/>
              </w:rPr>
              <w:t>-27,60000000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D6E449D" w14:textId="77777777" w:rsidR="006B3F46" w:rsidRPr="0021277B" w:rsidRDefault="006B3F46" w:rsidP="00907941">
            <w:pPr>
              <w:jc w:val="center"/>
              <w:rPr>
                <w:sz w:val="22"/>
                <w:szCs w:val="22"/>
              </w:rPr>
            </w:pPr>
            <w:r w:rsidRPr="0021277B">
              <w:rPr>
                <w:sz w:val="22"/>
                <w:szCs w:val="22"/>
              </w:rPr>
              <w:t>33° 18' 0,000" N</w:t>
            </w:r>
          </w:p>
        </w:tc>
        <w:tc>
          <w:tcPr>
            <w:tcW w:w="1960" w:type="dxa"/>
            <w:tcBorders>
              <w:top w:val="nil"/>
              <w:left w:val="nil"/>
              <w:bottom w:val="single" w:sz="4" w:space="0" w:color="auto"/>
              <w:right w:val="single" w:sz="4" w:space="0" w:color="auto"/>
            </w:tcBorders>
            <w:shd w:val="clear" w:color="auto" w:fill="auto"/>
            <w:noWrap/>
            <w:hideMark/>
          </w:tcPr>
          <w:p w14:paraId="0A4B2450" w14:textId="77777777" w:rsidR="006B3F46" w:rsidRPr="0021277B" w:rsidRDefault="006B3F46" w:rsidP="00907941">
            <w:pPr>
              <w:jc w:val="center"/>
              <w:rPr>
                <w:sz w:val="22"/>
                <w:szCs w:val="22"/>
              </w:rPr>
            </w:pPr>
            <w:r w:rsidRPr="0021277B">
              <w:rPr>
                <w:sz w:val="22"/>
                <w:szCs w:val="22"/>
              </w:rPr>
              <w:t>-27° 36' 0,000" W</w:t>
            </w:r>
          </w:p>
        </w:tc>
      </w:tr>
      <w:tr w:rsidR="006B3F46" w:rsidRPr="0021277B" w14:paraId="6BC8BDE0"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08FD661A" w14:textId="77777777" w:rsidR="006B3F46" w:rsidRPr="0021277B" w:rsidRDefault="006B3F46" w:rsidP="00907941">
            <w:pPr>
              <w:jc w:val="center"/>
              <w:rPr>
                <w:sz w:val="22"/>
                <w:szCs w:val="22"/>
              </w:rPr>
            </w:pPr>
            <w:r w:rsidRPr="0021277B">
              <w:rPr>
                <w:sz w:val="22"/>
                <w:szCs w:val="22"/>
              </w:rPr>
              <w:t>14</w:t>
            </w:r>
          </w:p>
        </w:tc>
        <w:tc>
          <w:tcPr>
            <w:tcW w:w="1960" w:type="dxa"/>
            <w:tcBorders>
              <w:top w:val="nil"/>
              <w:left w:val="nil"/>
              <w:bottom w:val="single" w:sz="4" w:space="0" w:color="auto"/>
              <w:right w:val="single" w:sz="4" w:space="0" w:color="auto"/>
            </w:tcBorders>
            <w:shd w:val="clear" w:color="auto" w:fill="auto"/>
            <w:noWrap/>
            <w:hideMark/>
          </w:tcPr>
          <w:p w14:paraId="7C4297A2" w14:textId="77777777" w:rsidR="006B3F46" w:rsidRPr="0021277B" w:rsidRDefault="006B3F46" w:rsidP="00907941">
            <w:pPr>
              <w:jc w:val="center"/>
              <w:rPr>
                <w:sz w:val="22"/>
                <w:szCs w:val="22"/>
              </w:rPr>
            </w:pPr>
            <w:r w:rsidRPr="0021277B">
              <w:rPr>
                <w:sz w:val="22"/>
                <w:szCs w:val="22"/>
              </w:rPr>
              <w:t>32,20000000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21C017CA" w14:textId="77777777" w:rsidR="006B3F46" w:rsidRPr="0021277B" w:rsidRDefault="006B3F46" w:rsidP="00907941">
            <w:pPr>
              <w:jc w:val="center"/>
              <w:rPr>
                <w:sz w:val="22"/>
                <w:szCs w:val="22"/>
              </w:rPr>
            </w:pPr>
            <w:r w:rsidRPr="0021277B">
              <w:rPr>
                <w:sz w:val="22"/>
                <w:szCs w:val="22"/>
              </w:rPr>
              <w:t>-27,00000000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615D76A0" w14:textId="77777777" w:rsidR="006B3F46" w:rsidRPr="0021277B" w:rsidRDefault="006B3F46" w:rsidP="00907941">
            <w:pPr>
              <w:jc w:val="center"/>
              <w:rPr>
                <w:sz w:val="22"/>
                <w:szCs w:val="22"/>
              </w:rPr>
            </w:pPr>
            <w:r w:rsidRPr="0021277B">
              <w:rPr>
                <w:sz w:val="22"/>
                <w:szCs w:val="22"/>
              </w:rPr>
              <w:t>32° 12' 0,000" N</w:t>
            </w:r>
          </w:p>
        </w:tc>
        <w:tc>
          <w:tcPr>
            <w:tcW w:w="1960" w:type="dxa"/>
            <w:tcBorders>
              <w:top w:val="nil"/>
              <w:left w:val="nil"/>
              <w:bottom w:val="single" w:sz="4" w:space="0" w:color="auto"/>
              <w:right w:val="single" w:sz="4" w:space="0" w:color="auto"/>
            </w:tcBorders>
            <w:shd w:val="clear" w:color="auto" w:fill="auto"/>
            <w:noWrap/>
            <w:hideMark/>
          </w:tcPr>
          <w:p w14:paraId="599CB496" w14:textId="77777777" w:rsidR="006B3F46" w:rsidRPr="0021277B" w:rsidRDefault="006B3F46" w:rsidP="00907941">
            <w:pPr>
              <w:jc w:val="center"/>
              <w:rPr>
                <w:sz w:val="22"/>
                <w:szCs w:val="22"/>
              </w:rPr>
            </w:pPr>
            <w:r w:rsidRPr="0021277B">
              <w:rPr>
                <w:sz w:val="22"/>
                <w:szCs w:val="22"/>
              </w:rPr>
              <w:t>-27° 0' 0,000" W</w:t>
            </w:r>
          </w:p>
        </w:tc>
      </w:tr>
      <w:tr w:rsidR="006B3F46" w:rsidRPr="0021277B" w14:paraId="5C5AA3FA"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0F291CFC" w14:textId="77777777" w:rsidR="006B3F46" w:rsidRPr="0021277B" w:rsidRDefault="006B3F46" w:rsidP="00907941">
            <w:pPr>
              <w:jc w:val="center"/>
              <w:rPr>
                <w:sz w:val="22"/>
                <w:szCs w:val="22"/>
              </w:rPr>
            </w:pPr>
            <w:r w:rsidRPr="0021277B">
              <w:rPr>
                <w:sz w:val="22"/>
                <w:szCs w:val="22"/>
              </w:rPr>
              <w:t>15</w:t>
            </w:r>
          </w:p>
        </w:tc>
        <w:tc>
          <w:tcPr>
            <w:tcW w:w="1960" w:type="dxa"/>
            <w:tcBorders>
              <w:top w:val="nil"/>
              <w:left w:val="nil"/>
              <w:bottom w:val="single" w:sz="4" w:space="0" w:color="auto"/>
              <w:right w:val="single" w:sz="4" w:space="0" w:color="auto"/>
            </w:tcBorders>
            <w:shd w:val="clear" w:color="auto" w:fill="auto"/>
            <w:noWrap/>
            <w:hideMark/>
          </w:tcPr>
          <w:p w14:paraId="3749A486" w14:textId="77777777" w:rsidR="006B3F46" w:rsidRPr="0021277B" w:rsidRDefault="006B3F46" w:rsidP="00907941">
            <w:pPr>
              <w:jc w:val="center"/>
              <w:rPr>
                <w:sz w:val="22"/>
                <w:szCs w:val="22"/>
              </w:rPr>
            </w:pPr>
            <w:r w:rsidRPr="0021277B">
              <w:rPr>
                <w:sz w:val="22"/>
                <w:szCs w:val="22"/>
              </w:rPr>
              <w:t>30,70000000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1F396C44" w14:textId="77777777" w:rsidR="006B3F46" w:rsidRPr="0021277B" w:rsidRDefault="006B3F46" w:rsidP="00907941">
            <w:pPr>
              <w:jc w:val="center"/>
              <w:rPr>
                <w:sz w:val="22"/>
                <w:szCs w:val="22"/>
              </w:rPr>
            </w:pPr>
            <w:r w:rsidRPr="0021277B">
              <w:rPr>
                <w:sz w:val="22"/>
                <w:szCs w:val="22"/>
              </w:rPr>
              <w:t>-28,20000000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8FB4065" w14:textId="77777777" w:rsidR="006B3F46" w:rsidRPr="0021277B" w:rsidRDefault="006B3F46" w:rsidP="00907941">
            <w:pPr>
              <w:jc w:val="center"/>
              <w:rPr>
                <w:sz w:val="22"/>
                <w:szCs w:val="22"/>
              </w:rPr>
            </w:pPr>
            <w:r w:rsidRPr="0021277B">
              <w:rPr>
                <w:sz w:val="22"/>
                <w:szCs w:val="22"/>
              </w:rPr>
              <w:t>30° 42' 0,000" N</w:t>
            </w:r>
          </w:p>
        </w:tc>
        <w:tc>
          <w:tcPr>
            <w:tcW w:w="1960" w:type="dxa"/>
            <w:tcBorders>
              <w:top w:val="nil"/>
              <w:left w:val="nil"/>
              <w:bottom w:val="single" w:sz="4" w:space="0" w:color="auto"/>
              <w:right w:val="single" w:sz="4" w:space="0" w:color="auto"/>
            </w:tcBorders>
            <w:shd w:val="clear" w:color="auto" w:fill="auto"/>
            <w:noWrap/>
            <w:hideMark/>
          </w:tcPr>
          <w:p w14:paraId="59E25EC5" w14:textId="77777777" w:rsidR="006B3F46" w:rsidRPr="0021277B" w:rsidRDefault="006B3F46" w:rsidP="00907941">
            <w:pPr>
              <w:jc w:val="center"/>
              <w:rPr>
                <w:sz w:val="22"/>
                <w:szCs w:val="22"/>
              </w:rPr>
            </w:pPr>
            <w:r w:rsidRPr="0021277B">
              <w:rPr>
                <w:sz w:val="22"/>
                <w:szCs w:val="22"/>
              </w:rPr>
              <w:t>-28° 12' 0,000" W</w:t>
            </w:r>
          </w:p>
        </w:tc>
      </w:tr>
      <w:tr w:rsidR="006B3F46" w:rsidRPr="0021277B" w14:paraId="152BAE4B"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1C5183B1" w14:textId="77777777" w:rsidR="006B3F46" w:rsidRPr="0021277B" w:rsidRDefault="006B3F46" w:rsidP="00907941">
            <w:pPr>
              <w:jc w:val="center"/>
              <w:rPr>
                <w:sz w:val="22"/>
                <w:szCs w:val="22"/>
              </w:rPr>
            </w:pPr>
            <w:r w:rsidRPr="0021277B">
              <w:rPr>
                <w:sz w:val="22"/>
                <w:szCs w:val="22"/>
              </w:rPr>
              <w:t>16</w:t>
            </w:r>
          </w:p>
        </w:tc>
        <w:tc>
          <w:tcPr>
            <w:tcW w:w="1960" w:type="dxa"/>
            <w:tcBorders>
              <w:top w:val="nil"/>
              <w:left w:val="nil"/>
              <w:bottom w:val="single" w:sz="4" w:space="0" w:color="auto"/>
              <w:right w:val="single" w:sz="4" w:space="0" w:color="auto"/>
            </w:tcBorders>
            <w:shd w:val="clear" w:color="auto" w:fill="auto"/>
            <w:noWrap/>
            <w:hideMark/>
          </w:tcPr>
          <w:p w14:paraId="7E35D6EB" w14:textId="77777777" w:rsidR="006B3F46" w:rsidRPr="0021277B" w:rsidRDefault="006B3F46" w:rsidP="00907941">
            <w:pPr>
              <w:jc w:val="center"/>
              <w:rPr>
                <w:sz w:val="22"/>
                <w:szCs w:val="22"/>
              </w:rPr>
            </w:pPr>
            <w:r w:rsidRPr="0021277B">
              <w:rPr>
                <w:sz w:val="22"/>
                <w:szCs w:val="22"/>
              </w:rPr>
              <w:t>29,30000000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282E95B" w14:textId="77777777" w:rsidR="006B3F46" w:rsidRPr="0021277B" w:rsidRDefault="006B3F46" w:rsidP="00907941">
            <w:pPr>
              <w:jc w:val="center"/>
              <w:rPr>
                <w:sz w:val="22"/>
                <w:szCs w:val="22"/>
              </w:rPr>
            </w:pPr>
            <w:r w:rsidRPr="0021277B">
              <w:rPr>
                <w:sz w:val="22"/>
                <w:szCs w:val="22"/>
              </w:rPr>
              <w:t>-28,00000000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233F4F28" w14:textId="77777777" w:rsidR="006B3F46" w:rsidRPr="0021277B" w:rsidRDefault="006B3F46" w:rsidP="00907941">
            <w:pPr>
              <w:jc w:val="center"/>
              <w:rPr>
                <w:sz w:val="22"/>
                <w:szCs w:val="22"/>
              </w:rPr>
            </w:pPr>
            <w:r w:rsidRPr="0021277B">
              <w:rPr>
                <w:sz w:val="22"/>
                <w:szCs w:val="22"/>
              </w:rPr>
              <w:t>29° 18' 0,000" N</w:t>
            </w:r>
          </w:p>
        </w:tc>
        <w:tc>
          <w:tcPr>
            <w:tcW w:w="1960" w:type="dxa"/>
            <w:tcBorders>
              <w:top w:val="nil"/>
              <w:left w:val="nil"/>
              <w:bottom w:val="single" w:sz="4" w:space="0" w:color="auto"/>
              <w:right w:val="single" w:sz="4" w:space="0" w:color="auto"/>
            </w:tcBorders>
            <w:shd w:val="clear" w:color="auto" w:fill="auto"/>
            <w:noWrap/>
            <w:hideMark/>
          </w:tcPr>
          <w:p w14:paraId="4ECC7830" w14:textId="77777777" w:rsidR="006B3F46" w:rsidRPr="0021277B" w:rsidRDefault="006B3F46" w:rsidP="00907941">
            <w:pPr>
              <w:jc w:val="center"/>
              <w:rPr>
                <w:sz w:val="22"/>
                <w:szCs w:val="22"/>
              </w:rPr>
            </w:pPr>
            <w:r w:rsidRPr="0021277B">
              <w:rPr>
                <w:sz w:val="22"/>
                <w:szCs w:val="22"/>
              </w:rPr>
              <w:t>-28° 0' 0,000" W</w:t>
            </w:r>
          </w:p>
        </w:tc>
      </w:tr>
      <w:tr w:rsidR="006B3F46" w:rsidRPr="0021277B" w14:paraId="468D00F6" w14:textId="77777777" w:rsidTr="00907941">
        <w:trPr>
          <w:trHeight w:val="300"/>
        </w:trPr>
        <w:tc>
          <w:tcPr>
            <w:tcW w:w="910" w:type="dxa"/>
            <w:tcBorders>
              <w:top w:val="nil"/>
              <w:left w:val="single" w:sz="4" w:space="0" w:color="auto"/>
              <w:bottom w:val="single" w:sz="4" w:space="0" w:color="auto"/>
              <w:right w:val="single" w:sz="4" w:space="0" w:color="auto"/>
            </w:tcBorders>
            <w:shd w:val="clear" w:color="auto" w:fill="auto"/>
            <w:noWrap/>
            <w:hideMark/>
          </w:tcPr>
          <w:p w14:paraId="47CA3974" w14:textId="77777777" w:rsidR="006B3F46" w:rsidRPr="0021277B" w:rsidRDefault="006B3F46" w:rsidP="00907941">
            <w:pPr>
              <w:jc w:val="center"/>
              <w:rPr>
                <w:sz w:val="22"/>
                <w:szCs w:val="22"/>
              </w:rPr>
            </w:pPr>
            <w:r w:rsidRPr="0021277B">
              <w:rPr>
                <w:sz w:val="22"/>
                <w:szCs w:val="22"/>
              </w:rPr>
              <w:t>17</w:t>
            </w:r>
          </w:p>
        </w:tc>
        <w:tc>
          <w:tcPr>
            <w:tcW w:w="1960" w:type="dxa"/>
            <w:tcBorders>
              <w:top w:val="nil"/>
              <w:left w:val="nil"/>
              <w:bottom w:val="single" w:sz="4" w:space="0" w:color="auto"/>
              <w:right w:val="single" w:sz="4" w:space="0" w:color="auto"/>
            </w:tcBorders>
            <w:shd w:val="clear" w:color="auto" w:fill="auto"/>
            <w:noWrap/>
            <w:hideMark/>
          </w:tcPr>
          <w:p w14:paraId="340AF88C" w14:textId="77777777" w:rsidR="006B3F46" w:rsidRPr="0021277B" w:rsidRDefault="006B3F46" w:rsidP="00907941">
            <w:pPr>
              <w:jc w:val="center"/>
              <w:rPr>
                <w:sz w:val="22"/>
                <w:szCs w:val="22"/>
              </w:rPr>
            </w:pPr>
            <w:r w:rsidRPr="0021277B">
              <w:rPr>
                <w:sz w:val="22"/>
                <w:szCs w:val="22"/>
              </w:rPr>
              <w:t>29,20000000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23EDF1CC" w14:textId="77777777" w:rsidR="006B3F46" w:rsidRPr="0021277B" w:rsidRDefault="006B3F46" w:rsidP="00907941">
            <w:pPr>
              <w:jc w:val="center"/>
              <w:rPr>
                <w:sz w:val="22"/>
                <w:szCs w:val="22"/>
              </w:rPr>
            </w:pPr>
            <w:r w:rsidRPr="0021277B">
              <w:rPr>
                <w:sz w:val="22"/>
                <w:szCs w:val="22"/>
              </w:rPr>
              <w:t>-29,30000000</w:t>
            </w:r>
            <w:r w:rsidRPr="0021277B">
              <w:rPr>
                <w:color w:val="000000"/>
                <w:sz w:val="22"/>
                <w:szCs w:val="22"/>
                <w:lang w:eastAsia="pt-PT"/>
              </w:rPr>
              <w:t>°</w:t>
            </w:r>
          </w:p>
        </w:tc>
        <w:tc>
          <w:tcPr>
            <w:tcW w:w="1960" w:type="dxa"/>
            <w:tcBorders>
              <w:top w:val="nil"/>
              <w:left w:val="nil"/>
              <w:bottom w:val="single" w:sz="4" w:space="0" w:color="auto"/>
              <w:right w:val="single" w:sz="4" w:space="0" w:color="auto"/>
            </w:tcBorders>
            <w:shd w:val="clear" w:color="auto" w:fill="auto"/>
            <w:noWrap/>
            <w:hideMark/>
          </w:tcPr>
          <w:p w14:paraId="7A61D7E7" w14:textId="77777777" w:rsidR="006B3F46" w:rsidRPr="0021277B" w:rsidRDefault="006B3F46" w:rsidP="00907941">
            <w:pPr>
              <w:jc w:val="center"/>
              <w:rPr>
                <w:sz w:val="22"/>
                <w:szCs w:val="22"/>
              </w:rPr>
            </w:pPr>
            <w:r w:rsidRPr="0021277B">
              <w:rPr>
                <w:sz w:val="22"/>
                <w:szCs w:val="22"/>
              </w:rPr>
              <w:t>29° 12' 0,000" N</w:t>
            </w:r>
          </w:p>
        </w:tc>
        <w:tc>
          <w:tcPr>
            <w:tcW w:w="1960" w:type="dxa"/>
            <w:tcBorders>
              <w:top w:val="nil"/>
              <w:left w:val="nil"/>
              <w:bottom w:val="single" w:sz="4" w:space="0" w:color="auto"/>
              <w:right w:val="single" w:sz="4" w:space="0" w:color="auto"/>
            </w:tcBorders>
            <w:shd w:val="clear" w:color="auto" w:fill="auto"/>
            <w:noWrap/>
            <w:hideMark/>
          </w:tcPr>
          <w:p w14:paraId="16A4ACFC" w14:textId="77777777" w:rsidR="006B3F46" w:rsidRPr="0021277B" w:rsidRDefault="006B3F46" w:rsidP="00907941">
            <w:pPr>
              <w:jc w:val="center"/>
              <w:rPr>
                <w:sz w:val="22"/>
                <w:szCs w:val="22"/>
              </w:rPr>
            </w:pPr>
            <w:r w:rsidRPr="0021277B">
              <w:rPr>
                <w:sz w:val="22"/>
                <w:szCs w:val="22"/>
              </w:rPr>
              <w:t>-29° 18' 0,000" W</w:t>
            </w:r>
          </w:p>
        </w:tc>
      </w:tr>
    </w:tbl>
    <w:p w14:paraId="2A6AA6CC" w14:textId="77777777" w:rsidR="006B3F46" w:rsidRPr="00F66EF7" w:rsidRDefault="006B3F46" w:rsidP="00907941">
      <w:pPr>
        <w:jc w:val="both"/>
        <w:rPr>
          <w:rFonts w:eastAsia="MS Mincho"/>
          <w:sz w:val="22"/>
          <w:szCs w:val="22"/>
          <w:lang w:val="en-US"/>
        </w:rPr>
      </w:pPr>
      <w:r w:rsidRPr="00816AD2">
        <w:rPr>
          <w:rFonts w:eastAsia="MS Mincho"/>
          <w:sz w:val="22"/>
          <w:szCs w:val="22"/>
          <w:lang w:val="en-US"/>
        </w:rPr>
        <w:fldChar w:fldCharType="end"/>
      </w:r>
    </w:p>
    <w:p w14:paraId="588DBA3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w:t>
      </w:r>
      <w:r w:rsidRPr="002E4B39">
        <w:rPr>
          <w:rFonts w:eastAsia="MS Mincho"/>
          <w:sz w:val="22"/>
          <w:szCs w:val="22"/>
          <w:lang w:val="en-US"/>
        </w:rPr>
        <w:t>Atlantis</w:t>
      </w:r>
      <w:r>
        <w:rPr>
          <w:color w:val="000000"/>
          <w:sz w:val="22"/>
          <w:szCs w:val="22"/>
          <w:shd w:val="clear" w:color="auto" w:fill="FFFFFF"/>
        </w:rPr>
        <w:t>-</w:t>
      </w:r>
      <w:r w:rsidRPr="009978E3">
        <w:rPr>
          <w:color w:val="000000"/>
          <w:sz w:val="22"/>
          <w:szCs w:val="22"/>
          <w:shd w:val="clear" w:color="auto" w:fill="FFFFFF"/>
        </w:rPr>
        <w:t>Meteor Seamount Complex</w:t>
      </w:r>
      <w:r w:rsidRPr="009978E3">
        <w:rPr>
          <w:rFonts w:eastAsia="MS Mincho"/>
          <w:sz w:val="22"/>
          <w:szCs w:val="22"/>
          <w:lang w:val="en-US"/>
        </w:rPr>
        <w:t xml:space="preserve"> includes 10 seamount structures. </w:t>
      </w:r>
    </w:p>
    <w:p w14:paraId="33CA9B3B"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7EB1F627"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Knowledge of the </w:t>
      </w:r>
      <w:r w:rsidRPr="009912CF">
        <w:rPr>
          <w:rFonts w:eastAsia="MS Mincho"/>
          <w:sz w:val="22"/>
          <w:szCs w:val="22"/>
          <w:lang w:val="en-US"/>
        </w:rPr>
        <w:t>Atlantis-Meteor Seamount Complex</w:t>
      </w:r>
      <w:r w:rsidRPr="009978E3">
        <w:rPr>
          <w:rFonts w:eastAsia="MS Mincho"/>
          <w:sz w:val="22"/>
          <w:szCs w:val="22"/>
          <w:lang w:val="en-US"/>
        </w:rPr>
        <w:t xml:space="preserve"> is based on the analysis of 146 scientific articles containing relevant information about the described area. Several of the seamounts are well known, with a great number of geological and biological studies.</w:t>
      </w:r>
      <w:r w:rsidRPr="0021277B">
        <w:rPr>
          <w:sz w:val="22"/>
          <w:szCs w:val="22"/>
        </w:rPr>
        <w:t xml:space="preserve"> </w:t>
      </w:r>
      <w:r w:rsidRPr="00F66EF7">
        <w:rPr>
          <w:rFonts w:eastAsia="MS Mincho"/>
          <w:sz w:val="22"/>
          <w:szCs w:val="22"/>
          <w:lang w:val="en-US"/>
        </w:rPr>
        <w:t>The total number of 437 species reported was</w:t>
      </w:r>
      <w:r w:rsidRPr="009978E3">
        <w:rPr>
          <w:rFonts w:eastAsia="MS Mincho"/>
          <w:sz w:val="22"/>
          <w:szCs w:val="22"/>
          <w:lang w:val="en-US"/>
        </w:rPr>
        <w:t xml:space="preserve"> estimated from scattered taxonomical literature, and the species number is probably underestimated. </w:t>
      </w:r>
      <w:r w:rsidRPr="0021277B">
        <w:rPr>
          <w:rFonts w:eastAsia="MS Mincho"/>
          <w:sz w:val="22"/>
          <w:szCs w:val="22"/>
          <w:lang w:val="en-US"/>
        </w:rPr>
        <w:t>K</w:t>
      </w:r>
      <w:r w:rsidRPr="005D53CA">
        <w:rPr>
          <w:rFonts w:eastAsia="MS Mincho"/>
          <w:sz w:val="22"/>
          <w:szCs w:val="22"/>
          <w:lang w:val="en-US"/>
        </w:rPr>
        <w:t>nowledge of each structure is uneven</w:t>
      </w:r>
      <w:r>
        <w:rPr>
          <w:rFonts w:eastAsia="MS Mincho"/>
          <w:sz w:val="22"/>
          <w:szCs w:val="22"/>
          <w:lang w:val="en-US"/>
        </w:rPr>
        <w:t>.</w:t>
      </w:r>
    </w:p>
    <w:p w14:paraId="24E29AAC" w14:textId="6BE9C9CF"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Around of 4 </w:t>
      </w:r>
      <w:r>
        <w:rPr>
          <w:rFonts w:eastAsia="MS Mincho"/>
          <w:sz w:val="22"/>
          <w:szCs w:val="22"/>
          <w:lang w:val="en-US"/>
        </w:rPr>
        <w:t>per cent</w:t>
      </w:r>
      <w:r w:rsidRPr="009978E3">
        <w:rPr>
          <w:rFonts w:eastAsia="MS Mincho"/>
          <w:sz w:val="22"/>
          <w:szCs w:val="22"/>
          <w:lang w:val="en-US"/>
        </w:rPr>
        <w:t xml:space="preserve"> of the 437 species identified in all seamounts on Atlantis-Meteor Seamount Complex are legal</w:t>
      </w:r>
      <w:r>
        <w:rPr>
          <w:rFonts w:eastAsia="MS Mincho"/>
          <w:sz w:val="22"/>
          <w:szCs w:val="22"/>
          <w:lang w:val="en-US"/>
        </w:rPr>
        <w:t>ly</w:t>
      </w:r>
      <w:r w:rsidRPr="009978E3">
        <w:rPr>
          <w:rFonts w:eastAsia="MS Mincho"/>
          <w:sz w:val="22"/>
          <w:szCs w:val="22"/>
          <w:lang w:val="en-US"/>
        </w:rPr>
        <w:t xml:space="preserve"> protect</w:t>
      </w:r>
      <w:r>
        <w:rPr>
          <w:rFonts w:eastAsia="MS Mincho"/>
          <w:sz w:val="22"/>
          <w:szCs w:val="22"/>
          <w:lang w:val="en-US"/>
        </w:rPr>
        <w:t>ed</w:t>
      </w:r>
      <w:r w:rsidRPr="009978E3">
        <w:rPr>
          <w:rFonts w:eastAsia="MS Mincho"/>
          <w:sz w:val="22"/>
          <w:szCs w:val="22"/>
          <w:lang w:val="en-US"/>
        </w:rPr>
        <w:t xml:space="preserve"> or </w:t>
      </w:r>
      <w:r>
        <w:rPr>
          <w:rFonts w:eastAsia="MS Mincho"/>
          <w:sz w:val="22"/>
          <w:szCs w:val="22"/>
          <w:lang w:val="en-US"/>
        </w:rPr>
        <w:t xml:space="preserve">assessed as </w:t>
      </w:r>
      <w:r w:rsidRPr="009978E3">
        <w:rPr>
          <w:rFonts w:eastAsia="MS Mincho"/>
          <w:sz w:val="22"/>
          <w:szCs w:val="22"/>
          <w:lang w:val="en-US"/>
        </w:rPr>
        <w:t xml:space="preserve">threatened </w:t>
      </w:r>
      <w:r>
        <w:rPr>
          <w:rFonts w:eastAsia="MS Mincho"/>
          <w:sz w:val="22"/>
          <w:szCs w:val="22"/>
          <w:lang w:val="en-US"/>
        </w:rPr>
        <w:t>by</w:t>
      </w:r>
      <w:r w:rsidRPr="009978E3">
        <w:rPr>
          <w:rFonts w:eastAsia="MS Mincho"/>
          <w:sz w:val="22"/>
          <w:szCs w:val="22"/>
          <w:lang w:val="en-US"/>
        </w:rPr>
        <w:t xml:space="preserve"> CITES, IUCN Red List, European Union Habitats and Birds Directives, </w:t>
      </w:r>
      <w:r>
        <w:rPr>
          <w:rFonts w:eastAsia="MS Mincho"/>
          <w:sz w:val="22"/>
          <w:szCs w:val="22"/>
          <w:lang w:val="en-US"/>
        </w:rPr>
        <w:t>Food and Agriculture Organization (</w:t>
      </w:r>
      <w:r w:rsidRPr="009978E3">
        <w:rPr>
          <w:rFonts w:eastAsia="MS Mincho"/>
          <w:sz w:val="22"/>
          <w:szCs w:val="22"/>
          <w:lang w:val="en-US"/>
        </w:rPr>
        <w:t>VMEs</w:t>
      </w:r>
      <w:r>
        <w:rPr>
          <w:rFonts w:eastAsia="MS Mincho"/>
          <w:sz w:val="22"/>
          <w:szCs w:val="22"/>
          <w:lang w:val="en-US"/>
        </w:rPr>
        <w:t>)</w:t>
      </w:r>
      <w:r w:rsidRPr="009978E3">
        <w:rPr>
          <w:rFonts w:eastAsia="MS Mincho"/>
          <w:sz w:val="22"/>
          <w:szCs w:val="22"/>
          <w:lang w:val="en-US"/>
        </w:rPr>
        <w:t xml:space="preserve">, Bern Convention and OSPAR Convention. For example, OSPAR identified as endangered or declining the deep-water sharks </w:t>
      </w:r>
      <w:r w:rsidRPr="009978E3">
        <w:rPr>
          <w:rFonts w:eastAsia="MS Mincho"/>
          <w:i/>
          <w:sz w:val="22"/>
          <w:szCs w:val="22"/>
          <w:lang w:val="en-US"/>
        </w:rPr>
        <w:t>Centroscymus coeleopsis</w:t>
      </w:r>
      <w:r w:rsidRPr="009978E3">
        <w:rPr>
          <w:rFonts w:eastAsia="MS Mincho"/>
          <w:sz w:val="22"/>
          <w:szCs w:val="22"/>
          <w:lang w:val="en-US"/>
        </w:rPr>
        <w:t xml:space="preserve"> and </w:t>
      </w:r>
      <w:r w:rsidRPr="009978E3">
        <w:rPr>
          <w:rFonts w:eastAsia="MS Mincho"/>
          <w:i/>
          <w:sz w:val="22"/>
          <w:szCs w:val="22"/>
          <w:lang w:val="en-US"/>
        </w:rPr>
        <w:t>Centrophorus squamosus</w:t>
      </w:r>
      <w:r w:rsidRPr="009978E3">
        <w:rPr>
          <w:rFonts w:eastAsia="MS Mincho"/>
          <w:sz w:val="22"/>
          <w:szCs w:val="22"/>
          <w:lang w:val="en-US"/>
        </w:rPr>
        <w:t>. Other examples of species with legal protection (CITES Appendix II) are the corals,</w:t>
      </w:r>
      <w:r w:rsidRPr="0021277B">
        <w:rPr>
          <w:sz w:val="22"/>
          <w:szCs w:val="22"/>
        </w:rPr>
        <w:t xml:space="preserve"> </w:t>
      </w:r>
      <w:r w:rsidRPr="00F66EF7">
        <w:rPr>
          <w:rFonts w:eastAsia="MS Mincho"/>
          <w:i/>
          <w:sz w:val="22"/>
          <w:szCs w:val="22"/>
          <w:lang w:val="en-US"/>
        </w:rPr>
        <w:t>Antipathella subpinnata</w:t>
      </w:r>
      <w:r w:rsidRPr="009978E3">
        <w:rPr>
          <w:rFonts w:eastAsia="MS Mincho"/>
          <w:sz w:val="22"/>
          <w:szCs w:val="22"/>
          <w:lang w:val="en-US"/>
        </w:rPr>
        <w:t xml:space="preserve">, </w:t>
      </w:r>
      <w:r w:rsidRPr="009978E3">
        <w:rPr>
          <w:rFonts w:eastAsia="MS Mincho"/>
          <w:i/>
          <w:sz w:val="22"/>
          <w:szCs w:val="22"/>
          <w:lang w:val="en-US"/>
        </w:rPr>
        <w:t>Leiopathes</w:t>
      </w:r>
      <w:r w:rsidRPr="009978E3">
        <w:rPr>
          <w:rFonts w:eastAsia="MS Mincho"/>
          <w:sz w:val="22"/>
          <w:szCs w:val="22"/>
          <w:lang w:val="en-US"/>
        </w:rPr>
        <w:t xml:space="preserve"> spp., </w:t>
      </w:r>
      <w:r w:rsidRPr="009978E3">
        <w:rPr>
          <w:rFonts w:eastAsia="MS Mincho"/>
          <w:i/>
          <w:sz w:val="22"/>
          <w:szCs w:val="22"/>
          <w:lang w:val="en-US"/>
        </w:rPr>
        <w:t>Parantipathes hirondelle,</w:t>
      </w:r>
      <w:r w:rsidRPr="009978E3">
        <w:rPr>
          <w:rFonts w:eastAsia="MS Mincho"/>
          <w:sz w:val="22"/>
          <w:szCs w:val="22"/>
          <w:lang w:val="en-US"/>
        </w:rPr>
        <w:t xml:space="preserve"> </w:t>
      </w:r>
      <w:r w:rsidRPr="009978E3">
        <w:rPr>
          <w:rFonts w:eastAsia="MS Mincho"/>
          <w:i/>
          <w:sz w:val="22"/>
          <w:szCs w:val="22"/>
          <w:lang w:val="en-US"/>
        </w:rPr>
        <w:t>Aulocyathus atlanticus</w:t>
      </w:r>
      <w:r w:rsidRPr="009978E3">
        <w:rPr>
          <w:rFonts w:eastAsia="MS Mincho"/>
          <w:sz w:val="22"/>
          <w:szCs w:val="22"/>
          <w:lang w:val="en-US"/>
        </w:rPr>
        <w:t xml:space="preserve">, </w:t>
      </w:r>
      <w:r w:rsidRPr="009978E3">
        <w:rPr>
          <w:rFonts w:eastAsia="MS Mincho"/>
          <w:i/>
          <w:sz w:val="22"/>
          <w:szCs w:val="22"/>
          <w:lang w:val="en-US"/>
        </w:rPr>
        <w:t>Caryophyllia abyssorum</w:t>
      </w:r>
      <w:r w:rsidRPr="009978E3">
        <w:rPr>
          <w:rFonts w:eastAsia="MS Mincho"/>
          <w:sz w:val="22"/>
          <w:szCs w:val="22"/>
          <w:lang w:val="en-US"/>
        </w:rPr>
        <w:t xml:space="preserve">, </w:t>
      </w:r>
      <w:r w:rsidRPr="009978E3">
        <w:rPr>
          <w:rFonts w:eastAsia="MS Mincho"/>
          <w:i/>
          <w:sz w:val="22"/>
          <w:szCs w:val="22"/>
          <w:lang w:val="en-US"/>
        </w:rPr>
        <w:t>Deltocyathus eccentricus</w:t>
      </w:r>
      <w:r w:rsidRPr="009978E3">
        <w:rPr>
          <w:rFonts w:eastAsia="MS Mincho"/>
          <w:sz w:val="22"/>
          <w:szCs w:val="22"/>
          <w:lang w:val="en-US"/>
        </w:rPr>
        <w:t xml:space="preserve">, </w:t>
      </w:r>
      <w:r w:rsidRPr="009978E3">
        <w:rPr>
          <w:rFonts w:eastAsia="MS Mincho"/>
          <w:i/>
          <w:sz w:val="22"/>
          <w:szCs w:val="22"/>
          <w:lang w:val="en-US"/>
        </w:rPr>
        <w:t>Deltocyathus moseleyi</w:t>
      </w:r>
      <w:r w:rsidRPr="009978E3">
        <w:rPr>
          <w:rFonts w:eastAsia="MS Mincho"/>
          <w:sz w:val="22"/>
          <w:szCs w:val="22"/>
          <w:lang w:val="en-US"/>
        </w:rPr>
        <w:t xml:space="preserve">, </w:t>
      </w:r>
      <w:r w:rsidRPr="009978E3">
        <w:rPr>
          <w:rFonts w:eastAsia="MS Mincho"/>
          <w:i/>
          <w:sz w:val="22"/>
          <w:szCs w:val="22"/>
          <w:lang w:val="en-US"/>
        </w:rPr>
        <w:t>Dendrophyllia cornigera</w:t>
      </w:r>
      <w:r w:rsidRPr="009978E3">
        <w:rPr>
          <w:rFonts w:eastAsia="MS Mincho"/>
          <w:sz w:val="22"/>
          <w:szCs w:val="22"/>
          <w:lang w:val="en-US"/>
        </w:rPr>
        <w:t xml:space="preserve">, </w:t>
      </w:r>
      <w:r w:rsidRPr="009978E3">
        <w:rPr>
          <w:rFonts w:eastAsia="MS Mincho"/>
          <w:i/>
          <w:sz w:val="22"/>
          <w:szCs w:val="22"/>
          <w:lang w:val="en-US"/>
        </w:rPr>
        <w:t>Desmophyllum dianthus</w:t>
      </w:r>
      <w:r w:rsidRPr="009978E3">
        <w:rPr>
          <w:rFonts w:eastAsia="MS Mincho"/>
          <w:sz w:val="22"/>
          <w:szCs w:val="22"/>
          <w:lang w:val="en-US"/>
        </w:rPr>
        <w:t>,</w:t>
      </w:r>
      <w:r w:rsidRPr="0021277B">
        <w:rPr>
          <w:sz w:val="22"/>
          <w:szCs w:val="22"/>
        </w:rPr>
        <w:t xml:space="preserve"> </w:t>
      </w:r>
      <w:r w:rsidRPr="00F66EF7">
        <w:rPr>
          <w:rFonts w:eastAsia="MS Mincho"/>
          <w:i/>
          <w:sz w:val="22"/>
          <w:szCs w:val="22"/>
          <w:lang w:val="en-US"/>
        </w:rPr>
        <w:t>Flabellum alabastrum</w:t>
      </w:r>
      <w:r w:rsidRPr="009978E3">
        <w:rPr>
          <w:rFonts w:eastAsia="MS Mincho"/>
          <w:sz w:val="22"/>
          <w:szCs w:val="22"/>
          <w:lang w:val="en-US"/>
        </w:rPr>
        <w:t xml:space="preserve">, </w:t>
      </w:r>
      <w:r w:rsidRPr="009978E3">
        <w:rPr>
          <w:rFonts w:eastAsia="MS Mincho"/>
          <w:i/>
          <w:sz w:val="22"/>
          <w:szCs w:val="22"/>
          <w:lang w:val="en-US"/>
        </w:rPr>
        <w:t>Flabellum chuni</w:t>
      </w:r>
      <w:r>
        <w:rPr>
          <w:rFonts w:eastAsia="MS Mincho"/>
          <w:sz w:val="22"/>
          <w:szCs w:val="22"/>
          <w:lang w:val="en-US"/>
        </w:rPr>
        <w:t xml:space="preserve"> and</w:t>
      </w:r>
      <w:r w:rsidRPr="009978E3">
        <w:rPr>
          <w:rFonts w:eastAsia="MS Mincho"/>
          <w:sz w:val="22"/>
          <w:szCs w:val="22"/>
          <w:lang w:val="en-US"/>
        </w:rPr>
        <w:t xml:space="preserve"> </w:t>
      </w:r>
      <w:r w:rsidRPr="009978E3">
        <w:rPr>
          <w:rFonts w:eastAsia="MS Mincho"/>
          <w:i/>
          <w:sz w:val="22"/>
          <w:szCs w:val="22"/>
          <w:lang w:val="en-US"/>
        </w:rPr>
        <w:t>Lophelia pertusa</w:t>
      </w:r>
      <w:r w:rsidRPr="009978E3">
        <w:rPr>
          <w:rFonts w:eastAsia="MS Mincho"/>
          <w:sz w:val="22"/>
          <w:szCs w:val="22"/>
          <w:lang w:val="en-US"/>
        </w:rPr>
        <w:t xml:space="preserve"> among others. For example, the species of sea urchin </w:t>
      </w:r>
      <w:r w:rsidRPr="009978E3">
        <w:rPr>
          <w:rFonts w:eastAsia="MS Mincho"/>
          <w:i/>
          <w:sz w:val="22"/>
          <w:szCs w:val="22"/>
          <w:lang w:val="en-US"/>
        </w:rPr>
        <w:t xml:space="preserve">Centrostephanus longispinus </w:t>
      </w:r>
      <w:r w:rsidRPr="009978E3">
        <w:rPr>
          <w:rFonts w:eastAsia="MS Mincho"/>
          <w:sz w:val="22"/>
          <w:szCs w:val="22"/>
          <w:lang w:val="en-US"/>
        </w:rPr>
        <w:t xml:space="preserve">is protected by the EU Habitats Directive, and </w:t>
      </w:r>
      <w:r w:rsidRPr="009978E3">
        <w:rPr>
          <w:rFonts w:eastAsia="MS Mincho"/>
          <w:i/>
          <w:sz w:val="22"/>
          <w:szCs w:val="22"/>
          <w:lang w:val="en-US"/>
        </w:rPr>
        <w:t>Ranella olearia</w:t>
      </w:r>
      <w:r w:rsidRPr="009978E3">
        <w:rPr>
          <w:rFonts w:eastAsia="MS Mincho"/>
          <w:sz w:val="22"/>
          <w:szCs w:val="22"/>
          <w:lang w:val="en-US"/>
        </w:rPr>
        <w:t xml:space="preserve"> is protected by Annex II of the Bern Convention.</w:t>
      </w:r>
    </w:p>
    <w:p w14:paraId="2B4CA5A5" w14:textId="4D6467D2"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species studied in the described area belong to several phyl</w:t>
      </w:r>
      <w:r>
        <w:rPr>
          <w:rFonts w:eastAsia="MS Mincho"/>
          <w:sz w:val="22"/>
          <w:szCs w:val="22"/>
          <w:lang w:val="en-US"/>
        </w:rPr>
        <w:t>a</w:t>
      </w:r>
      <w:r w:rsidRPr="009978E3">
        <w:rPr>
          <w:rFonts w:eastAsia="MS Mincho"/>
          <w:sz w:val="22"/>
          <w:szCs w:val="22"/>
          <w:lang w:val="en-US"/>
        </w:rPr>
        <w:t>, classes or orders (</w:t>
      </w:r>
      <w:r>
        <w:rPr>
          <w:rFonts w:eastAsia="MS Mincho"/>
          <w:sz w:val="22"/>
          <w:szCs w:val="22"/>
          <w:lang w:val="en-US"/>
        </w:rPr>
        <w:t>F</w:t>
      </w:r>
      <w:r w:rsidRPr="009978E3">
        <w:rPr>
          <w:rFonts w:eastAsia="MS Mincho"/>
          <w:sz w:val="22"/>
          <w:szCs w:val="22"/>
          <w:lang w:val="en-US"/>
        </w:rPr>
        <w:t xml:space="preserve">igure </w:t>
      </w:r>
      <w:r>
        <w:rPr>
          <w:rFonts w:eastAsia="MS Mincho"/>
          <w:sz w:val="22"/>
          <w:szCs w:val="22"/>
          <w:lang w:val="en-US"/>
        </w:rPr>
        <w:t>3</w:t>
      </w:r>
      <w:r w:rsidRPr="009978E3">
        <w:rPr>
          <w:rFonts w:eastAsia="MS Mincho"/>
          <w:sz w:val="22"/>
          <w:szCs w:val="22"/>
          <w:lang w:val="en-US"/>
        </w:rPr>
        <w:t xml:space="preserve">). The Meteor Seamount includes various species of scleractinians and gorgonians. In some seamounts the gorgonian and sponge species were reported to form dense gorgonian coral habitat-forming aggregations of </w:t>
      </w:r>
      <w:r w:rsidRPr="009978E3">
        <w:rPr>
          <w:rFonts w:eastAsia="MS Mincho"/>
          <w:i/>
          <w:sz w:val="22"/>
          <w:szCs w:val="22"/>
          <w:lang w:val="en-US"/>
        </w:rPr>
        <w:t>Callogorgia verticillata</w:t>
      </w:r>
      <w:r w:rsidRPr="009978E3">
        <w:rPr>
          <w:rFonts w:eastAsia="MS Mincho"/>
          <w:sz w:val="22"/>
          <w:szCs w:val="22"/>
          <w:lang w:val="en-US"/>
        </w:rPr>
        <w:t xml:space="preserve"> and </w:t>
      </w:r>
      <w:r w:rsidRPr="009978E3">
        <w:rPr>
          <w:rFonts w:eastAsia="MS Mincho"/>
          <w:i/>
          <w:sz w:val="22"/>
          <w:szCs w:val="22"/>
          <w:lang w:val="en-US"/>
        </w:rPr>
        <w:t>Elisella flagellum,</w:t>
      </w:r>
      <w:r w:rsidRPr="009978E3">
        <w:rPr>
          <w:rFonts w:eastAsia="MS Mincho"/>
          <w:sz w:val="22"/>
          <w:szCs w:val="22"/>
          <w:lang w:val="en-US"/>
        </w:rPr>
        <w:t xml:space="preserve"> which may represent important feeding and sheltering grounds for seamount fishes and potential shark nurseries (WWF, 2001; Etnoyer &amp; Warrenchuk, 2007; OSPAR, 2011). Cold-water, deep, habitat-forming corals can shelter higher megafauna in association </w:t>
      </w:r>
      <w:r>
        <w:rPr>
          <w:rFonts w:eastAsia="MS Mincho"/>
          <w:sz w:val="22"/>
          <w:szCs w:val="22"/>
          <w:lang w:val="en-US"/>
        </w:rPr>
        <w:t>with</w:t>
      </w:r>
      <w:r w:rsidRPr="009978E3">
        <w:rPr>
          <w:rFonts w:eastAsia="MS Mincho"/>
          <w:sz w:val="22"/>
          <w:szCs w:val="22"/>
          <w:lang w:val="en-US"/>
        </w:rPr>
        <w:t xml:space="preserve"> the corals than other habitats without coral communities (Roberts </w:t>
      </w:r>
      <w:r w:rsidRPr="0006066A">
        <w:rPr>
          <w:rFonts w:eastAsia="MS Mincho"/>
          <w:i/>
          <w:sz w:val="22"/>
          <w:szCs w:val="22"/>
          <w:lang w:val="en-US"/>
        </w:rPr>
        <w:t>et al</w:t>
      </w:r>
      <w:r w:rsidRPr="009978E3">
        <w:rPr>
          <w:rFonts w:eastAsia="MS Mincho"/>
          <w:sz w:val="22"/>
          <w:szCs w:val="22"/>
          <w:lang w:val="en-US"/>
        </w:rPr>
        <w:t xml:space="preserve">, 2006; Mortensen </w:t>
      </w:r>
      <w:r w:rsidRPr="0006066A">
        <w:rPr>
          <w:rFonts w:eastAsia="MS Mincho"/>
          <w:i/>
          <w:sz w:val="22"/>
          <w:szCs w:val="22"/>
          <w:lang w:val="en-US"/>
        </w:rPr>
        <w:t>et al</w:t>
      </w:r>
      <w:r w:rsidRPr="009978E3">
        <w:rPr>
          <w:rFonts w:eastAsia="MS Mincho"/>
          <w:sz w:val="22"/>
          <w:szCs w:val="22"/>
          <w:lang w:val="en-US"/>
        </w:rPr>
        <w:t xml:space="preserve">, 2008, Rogers </w:t>
      </w:r>
      <w:r w:rsidRPr="0006066A">
        <w:rPr>
          <w:rFonts w:eastAsia="MS Mincho"/>
          <w:i/>
          <w:sz w:val="22"/>
          <w:szCs w:val="22"/>
          <w:lang w:val="en-US"/>
        </w:rPr>
        <w:t>et al</w:t>
      </w:r>
      <w:r w:rsidRPr="009978E3">
        <w:rPr>
          <w:rFonts w:eastAsia="MS Mincho"/>
          <w:sz w:val="22"/>
          <w:szCs w:val="22"/>
          <w:lang w:val="en-US"/>
        </w:rPr>
        <w:t xml:space="preserve">, 2008). Seamounts also harbour large aggregations of demersal or benthopelagic fish (Koslow, 1997; Morato &amp; Pauly, 2004; Pitcher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Morato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2009, 2010).</w:t>
      </w:r>
    </w:p>
    <w:p w14:paraId="367B719A"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38C1DF70"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Most</w:t>
      </w:r>
      <w:r w:rsidRPr="009978E3">
        <w:rPr>
          <w:rFonts w:eastAsia="MS Mincho"/>
          <w:sz w:val="22"/>
          <w:szCs w:val="22"/>
          <w:lang w:val="en-US"/>
        </w:rPr>
        <w:t xml:space="preserve"> of the study cruises that have visited the described area focus on Great Meteor bank, with sampling of the demersal vertebrate fauna (fish). Most studies are qualitative and often focus on specific taxonomic groups, such as copepods or gastropods (George &amp; Schminke, 2002; Gofas, 2007; Pitcher </w:t>
      </w:r>
      <w:r w:rsidRPr="0006066A">
        <w:rPr>
          <w:rFonts w:eastAsia="MS Mincho"/>
          <w:i/>
          <w:sz w:val="22"/>
          <w:szCs w:val="22"/>
          <w:lang w:val="en-US"/>
        </w:rPr>
        <w:t>et al</w:t>
      </w:r>
      <w:r w:rsidRPr="009978E3">
        <w:rPr>
          <w:rFonts w:eastAsia="MS Mincho"/>
          <w:sz w:val="22"/>
          <w:szCs w:val="22"/>
          <w:lang w:val="en-US"/>
        </w:rPr>
        <w:t>., 2010).</w:t>
      </w:r>
    </w:p>
    <w:p w14:paraId="6ADADF9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unique ecosystems of seamounts are highly vulnerable and sensitive to external actions. Most of the fauna found on seamounts are long-lived, slow-growing organisms with low fecundity and natural mortality (Brewin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2007). </w:t>
      </w:r>
      <w:r>
        <w:rPr>
          <w:rFonts w:eastAsia="MS Mincho"/>
          <w:sz w:val="22"/>
          <w:szCs w:val="22"/>
          <w:lang w:val="en-US"/>
        </w:rPr>
        <w:t>F</w:t>
      </w:r>
      <w:r w:rsidRPr="009978E3">
        <w:rPr>
          <w:rFonts w:eastAsia="MS Mincho"/>
          <w:sz w:val="22"/>
          <w:szCs w:val="22"/>
          <w:lang w:val="en-US"/>
        </w:rPr>
        <w:t>isheries for horse mackerel (</w:t>
      </w:r>
      <w:r w:rsidRPr="009978E3">
        <w:rPr>
          <w:rFonts w:eastAsia="MS Mincho"/>
          <w:i/>
          <w:sz w:val="22"/>
          <w:szCs w:val="22"/>
          <w:lang w:val="en-US"/>
        </w:rPr>
        <w:t>Trachurus trachurus</w:t>
      </w:r>
      <w:r w:rsidRPr="009978E3">
        <w:rPr>
          <w:rFonts w:eastAsia="MS Mincho"/>
          <w:sz w:val="22"/>
          <w:szCs w:val="22"/>
          <w:lang w:val="en-US"/>
        </w:rPr>
        <w:t>, Carangidae), mackerel (</w:t>
      </w:r>
      <w:r w:rsidRPr="009978E3">
        <w:rPr>
          <w:rFonts w:eastAsia="MS Mincho"/>
          <w:i/>
          <w:sz w:val="22"/>
          <w:szCs w:val="22"/>
          <w:lang w:val="en-US"/>
        </w:rPr>
        <w:t>Scomber</w:t>
      </w:r>
      <w:r w:rsidRPr="009978E3">
        <w:rPr>
          <w:rFonts w:eastAsia="MS Mincho"/>
          <w:sz w:val="22"/>
          <w:szCs w:val="22"/>
          <w:lang w:val="en-US"/>
        </w:rPr>
        <w:t xml:space="preserve"> sp., Scombridae), scabbardfish (family Trichiuridae) and orange roughy (</w:t>
      </w:r>
      <w:r w:rsidRPr="009978E3">
        <w:rPr>
          <w:rFonts w:eastAsia="MS Mincho"/>
          <w:i/>
          <w:color w:val="000000"/>
          <w:sz w:val="22"/>
          <w:szCs w:val="22"/>
          <w:lang w:val="en-US"/>
        </w:rPr>
        <w:t>Hoplostethus</w:t>
      </w:r>
      <w:r w:rsidRPr="009978E3">
        <w:rPr>
          <w:i/>
          <w:sz w:val="22"/>
          <w:szCs w:val="22"/>
          <w:lang w:val="en-US"/>
        </w:rPr>
        <w:t xml:space="preserve"> atlanticus</w:t>
      </w:r>
      <w:r w:rsidRPr="009978E3">
        <w:rPr>
          <w:rFonts w:eastAsia="MS Mincho"/>
          <w:sz w:val="22"/>
          <w:szCs w:val="22"/>
          <w:lang w:val="en-US"/>
        </w:rPr>
        <w:t xml:space="preserve">) have been operating on the seamounts of the </w:t>
      </w:r>
      <w:r>
        <w:rPr>
          <w:rFonts w:eastAsia="MS Mincho"/>
          <w:sz w:val="22"/>
          <w:szCs w:val="22"/>
          <w:lang w:val="en-US"/>
        </w:rPr>
        <w:t>area</w:t>
      </w:r>
      <w:r w:rsidRPr="009978E3">
        <w:rPr>
          <w:rFonts w:eastAsia="MS Mincho"/>
          <w:sz w:val="22"/>
          <w:szCs w:val="22"/>
          <w:lang w:val="en-US"/>
        </w:rPr>
        <w:t xml:space="preserve"> (</w:t>
      </w:r>
      <w:r w:rsidRPr="009978E3">
        <w:rPr>
          <w:sz w:val="22"/>
          <w:szCs w:val="22"/>
        </w:rPr>
        <w:t xml:space="preserve">Uiblein </w:t>
      </w:r>
      <w:r w:rsidRPr="0006066A">
        <w:rPr>
          <w:i/>
          <w:sz w:val="22"/>
          <w:szCs w:val="22"/>
        </w:rPr>
        <w:t>et al</w:t>
      </w:r>
      <w:r w:rsidRPr="009978E3">
        <w:rPr>
          <w:sz w:val="22"/>
          <w:szCs w:val="22"/>
        </w:rPr>
        <w:t>., 1999</w:t>
      </w:r>
      <w:r w:rsidRPr="009978E3">
        <w:rPr>
          <w:rFonts w:eastAsia="MS Mincho"/>
          <w:sz w:val="22"/>
          <w:szCs w:val="22"/>
          <w:lang w:val="en-US"/>
        </w:rPr>
        <w:t xml:space="preserve">). </w:t>
      </w:r>
    </w:p>
    <w:p w14:paraId="22AAE431" w14:textId="1FEFBE8E" w:rsidR="006B3F46" w:rsidRPr="009978E3" w:rsidRDefault="006B3F46" w:rsidP="00907941">
      <w:pPr>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9978E3">
        <w:rPr>
          <w:b/>
          <w:bCs/>
          <w:sz w:val="22"/>
          <w:szCs w:val="22"/>
        </w:rPr>
        <w:t>rea no. 10</w:t>
      </w:r>
      <w:r>
        <w:rPr>
          <w:b/>
          <w:bCs/>
          <w:sz w:val="22"/>
          <w:szCs w:val="22"/>
        </w:rPr>
        <w:t>,</w:t>
      </w:r>
      <w:r w:rsidRPr="009978E3">
        <w:rPr>
          <w:b/>
          <w:bCs/>
          <w:sz w:val="22"/>
          <w:szCs w:val="22"/>
        </w:rPr>
        <w:t xml:space="preserve"> Atlantis-Meteor Seamount Complex</w:t>
      </w:r>
      <w:r>
        <w:rPr>
          <w:b/>
          <w:bCs/>
          <w:sz w:val="22"/>
          <w:szCs w:val="22"/>
        </w:rPr>
        <w:t>,</w:t>
      </w:r>
      <w:r w:rsidRPr="005671FC">
        <w:rPr>
          <w:rFonts w:eastAsia="MS Mincho"/>
          <w:b/>
          <w:sz w:val="22"/>
          <w:szCs w:val="22"/>
          <w:lang w:val="en-US"/>
        </w:rPr>
        <w:t xml:space="preserve"> </w:t>
      </w:r>
      <w:r w:rsidRPr="009978E3">
        <w:rPr>
          <w:rFonts w:eastAsia="MS Mincho"/>
          <w:b/>
          <w:sz w:val="22"/>
          <w:szCs w:val="22"/>
          <w:lang w:val="en-US"/>
        </w:rPr>
        <w:t>against CBD EBSA Criteria</w:t>
      </w:r>
    </w:p>
    <w:p w14:paraId="1100FA8E" w14:textId="77777777" w:rsidR="006B3F46" w:rsidRPr="0021277B" w:rsidRDefault="006B3F46" w:rsidP="00907941">
      <w:pPr>
        <w:jc w:val="both"/>
        <w:rPr>
          <w:rFonts w:eastAsia="MS Mincho"/>
          <w:i/>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21277B" w14:paraId="4756FE7B" w14:textId="77777777" w:rsidTr="002E4B39">
        <w:tc>
          <w:tcPr>
            <w:tcW w:w="832" w:type="pct"/>
            <w:vMerge w:val="restart"/>
            <w:shd w:val="clear" w:color="auto" w:fill="auto"/>
          </w:tcPr>
          <w:p w14:paraId="6D98C963" w14:textId="77777777" w:rsidR="006B3F46" w:rsidRPr="0021277B" w:rsidRDefault="006B3F46" w:rsidP="00907941">
            <w:pPr>
              <w:widowControl w:val="0"/>
              <w:autoSpaceDE w:val="0"/>
              <w:autoSpaceDN w:val="0"/>
              <w:adjustRightInd w:val="0"/>
              <w:jc w:val="both"/>
              <w:rPr>
                <w:rFonts w:eastAsia="MS Mincho"/>
                <w:b/>
                <w:bCs/>
                <w:color w:val="000000"/>
                <w:sz w:val="22"/>
                <w:szCs w:val="22"/>
                <w:lang w:val="it-IT"/>
              </w:rPr>
            </w:pPr>
            <w:r w:rsidRPr="0021277B">
              <w:rPr>
                <w:rFonts w:eastAsia="MS Mincho"/>
                <w:b/>
                <w:bCs/>
                <w:color w:val="000000"/>
                <w:sz w:val="22"/>
                <w:szCs w:val="22"/>
                <w:lang w:val="it-IT"/>
              </w:rPr>
              <w:t>CBD EBSA Criteria</w:t>
            </w:r>
          </w:p>
          <w:p w14:paraId="1972D6D3" w14:textId="77777777" w:rsidR="006B3F46" w:rsidRPr="0021277B" w:rsidRDefault="006B3F46" w:rsidP="00907941">
            <w:pPr>
              <w:widowControl w:val="0"/>
              <w:autoSpaceDE w:val="0"/>
              <w:autoSpaceDN w:val="0"/>
              <w:adjustRightInd w:val="0"/>
              <w:jc w:val="both"/>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32" w:type="pct"/>
            <w:vMerge w:val="restart"/>
            <w:shd w:val="clear" w:color="auto" w:fill="auto"/>
          </w:tcPr>
          <w:p w14:paraId="65A819DE" w14:textId="77777777" w:rsidR="006B3F46" w:rsidRPr="0021277B" w:rsidRDefault="006B3F46" w:rsidP="00907941">
            <w:pPr>
              <w:widowControl w:val="0"/>
              <w:autoSpaceDE w:val="0"/>
              <w:autoSpaceDN w:val="0"/>
              <w:adjustRightInd w:val="0"/>
              <w:jc w:val="both"/>
              <w:rPr>
                <w:rFonts w:eastAsia="MS Mincho"/>
                <w:b/>
                <w:bCs/>
                <w:sz w:val="22"/>
                <w:szCs w:val="22"/>
                <w:lang w:val="en-US"/>
              </w:rPr>
            </w:pPr>
            <w:r w:rsidRPr="0021277B">
              <w:rPr>
                <w:rFonts w:eastAsia="MS Mincho"/>
                <w:b/>
                <w:bCs/>
                <w:sz w:val="22"/>
                <w:szCs w:val="22"/>
                <w:lang w:val="en-US"/>
              </w:rPr>
              <w:t>Description</w:t>
            </w:r>
          </w:p>
          <w:p w14:paraId="7CF542D8" w14:textId="77777777" w:rsidR="006B3F46" w:rsidRPr="0021277B" w:rsidRDefault="006B3F46" w:rsidP="00907941">
            <w:pPr>
              <w:widowControl w:val="0"/>
              <w:autoSpaceDE w:val="0"/>
              <w:autoSpaceDN w:val="0"/>
              <w:adjustRightInd w:val="0"/>
              <w:jc w:val="both"/>
              <w:rPr>
                <w:rFonts w:eastAsia="MS Mincho"/>
                <w:bCs/>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68125991"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23030EAE"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46CB1C1C" w14:textId="77777777" w:rsidTr="002E4B39">
        <w:tc>
          <w:tcPr>
            <w:tcW w:w="832" w:type="pct"/>
            <w:vMerge/>
            <w:shd w:val="clear" w:color="auto" w:fill="auto"/>
          </w:tcPr>
          <w:p w14:paraId="6F6D8348"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c>
          <w:tcPr>
            <w:tcW w:w="2232" w:type="pct"/>
            <w:vMerge/>
            <w:shd w:val="clear" w:color="auto" w:fill="auto"/>
          </w:tcPr>
          <w:p w14:paraId="57524FC0" w14:textId="77777777" w:rsidR="006B3F46" w:rsidRPr="0021277B" w:rsidRDefault="006B3F46" w:rsidP="00907941">
            <w:pPr>
              <w:widowControl w:val="0"/>
              <w:autoSpaceDE w:val="0"/>
              <w:autoSpaceDN w:val="0"/>
              <w:adjustRightInd w:val="0"/>
              <w:jc w:val="both"/>
              <w:rPr>
                <w:rFonts w:eastAsia="MS Mincho"/>
                <w:b/>
                <w:bCs/>
                <w:sz w:val="22"/>
                <w:szCs w:val="22"/>
                <w:lang w:val="en-US"/>
              </w:rPr>
            </w:pPr>
          </w:p>
        </w:tc>
        <w:tc>
          <w:tcPr>
            <w:tcW w:w="547" w:type="pct"/>
            <w:gridSpan w:val="2"/>
            <w:shd w:val="clear" w:color="auto" w:fill="auto"/>
          </w:tcPr>
          <w:p w14:paraId="0BCA567D"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6C64B5CD"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6E9F62BF"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739C1B2A"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41BE3354" w14:textId="77777777" w:rsidTr="002E4B39">
        <w:tc>
          <w:tcPr>
            <w:tcW w:w="832" w:type="pct"/>
            <w:shd w:val="clear" w:color="auto" w:fill="auto"/>
          </w:tcPr>
          <w:p w14:paraId="79022FC4"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32" w:type="pct"/>
            <w:shd w:val="clear" w:color="auto" w:fill="auto"/>
          </w:tcPr>
          <w:p w14:paraId="63EF6AFC"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vAlign w:val="center"/>
          </w:tcPr>
          <w:p w14:paraId="72E83E4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547" w:type="pct"/>
            <w:gridSpan w:val="3"/>
            <w:shd w:val="clear" w:color="auto" w:fill="auto"/>
            <w:vAlign w:val="center"/>
          </w:tcPr>
          <w:p w14:paraId="52A9355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4070B3B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3EAB03D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66B3757" w14:textId="77777777" w:rsidTr="00907941">
        <w:tc>
          <w:tcPr>
            <w:tcW w:w="5000" w:type="pct"/>
            <w:gridSpan w:val="11"/>
            <w:shd w:val="clear" w:color="auto" w:fill="auto"/>
          </w:tcPr>
          <w:p w14:paraId="38C40584"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53147749" w14:textId="77777777" w:rsidR="006B3F46" w:rsidRPr="0021277B" w:rsidRDefault="006B3F46" w:rsidP="002E4B39">
            <w:pPr>
              <w:suppressLineNumbers/>
              <w:spacing w:after="120"/>
              <w:jc w:val="both"/>
              <w:rPr>
                <w:sz w:val="22"/>
                <w:szCs w:val="22"/>
              </w:rPr>
            </w:pPr>
            <w:r w:rsidRPr="0021277B">
              <w:rPr>
                <w:sz w:val="22"/>
                <w:szCs w:val="22"/>
              </w:rPr>
              <w:t xml:space="preserve">The fish </w:t>
            </w:r>
            <w:r w:rsidRPr="0021277B">
              <w:rPr>
                <w:i/>
                <w:sz w:val="22"/>
                <w:szCs w:val="22"/>
              </w:rPr>
              <w:t>Protogrammus sousai</w:t>
            </w:r>
            <w:r w:rsidRPr="0021277B">
              <w:rPr>
                <w:sz w:val="22"/>
                <w:szCs w:val="22"/>
              </w:rPr>
              <w:t xml:space="preserve"> (Callionymidae) is endemic to Great Meteor Seamount (Uiblein </w:t>
            </w:r>
            <w:r w:rsidRPr="0006066A">
              <w:rPr>
                <w:i/>
                <w:sz w:val="22"/>
                <w:szCs w:val="22"/>
              </w:rPr>
              <w:t>et al</w:t>
            </w:r>
            <w:r w:rsidRPr="0021277B">
              <w:rPr>
                <w:sz w:val="22"/>
                <w:szCs w:val="22"/>
              </w:rPr>
              <w:t>., 1999), as is the antipatharian (</w:t>
            </w:r>
            <w:r w:rsidRPr="0021277B">
              <w:rPr>
                <w:i/>
                <w:iCs/>
                <w:sz w:val="22"/>
                <w:szCs w:val="22"/>
              </w:rPr>
              <w:t xml:space="preserve">Leiopathes montana) </w:t>
            </w:r>
            <w:r w:rsidRPr="0021277B">
              <w:rPr>
                <w:sz w:val="22"/>
                <w:szCs w:val="22"/>
              </w:rPr>
              <w:t xml:space="preserve">(Molodstova, 2011). The Atlantis Seamount has </w:t>
            </w:r>
            <w:r w:rsidRPr="002E4B39">
              <w:rPr>
                <w:rFonts w:eastAsia="MS Mincho"/>
                <w:sz w:val="22"/>
                <w:szCs w:val="22"/>
                <w:lang w:val="en-US"/>
              </w:rPr>
              <w:t>strong</w:t>
            </w:r>
            <w:r w:rsidRPr="0021277B">
              <w:rPr>
                <w:sz w:val="22"/>
                <w:szCs w:val="22"/>
              </w:rPr>
              <w:t xml:space="preserve"> effects on the composition of the mesopelagic fish community (</w:t>
            </w:r>
            <w:r w:rsidRPr="0021277B">
              <w:rPr>
                <w:rFonts w:eastAsia="Calibri"/>
                <w:sz w:val="22"/>
                <w:szCs w:val="22"/>
              </w:rPr>
              <w:t xml:space="preserve">Pusch </w:t>
            </w:r>
            <w:r w:rsidRPr="0006066A">
              <w:rPr>
                <w:rFonts w:eastAsia="Calibri"/>
                <w:i/>
                <w:sz w:val="22"/>
                <w:szCs w:val="22"/>
              </w:rPr>
              <w:t>et al</w:t>
            </w:r>
            <w:r w:rsidRPr="0021277B">
              <w:rPr>
                <w:sz w:val="22"/>
                <w:szCs w:val="22"/>
              </w:rPr>
              <w:t>., 2004).</w:t>
            </w:r>
          </w:p>
          <w:p w14:paraId="1E985EB4"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The fish fauna are ecologically distinct, with some evidence of morphologic adaption of certain fish populations (</w:t>
            </w:r>
            <w:r>
              <w:rPr>
                <w:rFonts w:eastAsia="MS Mincho"/>
                <w:sz w:val="22"/>
                <w:szCs w:val="22"/>
                <w:lang w:val="en-US"/>
              </w:rPr>
              <w:t>e.g.</w:t>
            </w:r>
            <w:r w:rsidRPr="0021277B">
              <w:rPr>
                <w:rFonts w:eastAsia="MS Mincho"/>
                <w:sz w:val="22"/>
                <w:szCs w:val="22"/>
                <w:lang w:val="en-US"/>
              </w:rPr>
              <w:t xml:space="preserve">, </w:t>
            </w:r>
            <w:r w:rsidRPr="0021277B">
              <w:rPr>
                <w:rFonts w:eastAsia="MS Mincho"/>
                <w:i/>
                <w:iCs/>
                <w:sz w:val="22"/>
                <w:szCs w:val="22"/>
                <w:lang w:val="en-US"/>
              </w:rPr>
              <w:t>Phycis phycis</w:t>
            </w:r>
            <w:r w:rsidRPr="0021277B">
              <w:rPr>
                <w:rFonts w:eastAsia="MS Mincho"/>
                <w:sz w:val="22"/>
                <w:szCs w:val="22"/>
                <w:lang w:val="en-US"/>
              </w:rPr>
              <w:t xml:space="preserve">) to the special food-poor conditions at the seamount (Uiblein </w:t>
            </w:r>
            <w:r w:rsidRPr="0006066A">
              <w:rPr>
                <w:rFonts w:eastAsia="MS Mincho"/>
                <w:i/>
                <w:iCs/>
                <w:sz w:val="22"/>
                <w:szCs w:val="22"/>
                <w:lang w:val="en-US"/>
              </w:rPr>
              <w:t>et al</w:t>
            </w:r>
            <w:r w:rsidRPr="0021277B">
              <w:rPr>
                <w:rFonts w:eastAsia="MS Mincho"/>
                <w:sz w:val="22"/>
                <w:szCs w:val="22"/>
                <w:lang w:val="en-US"/>
              </w:rPr>
              <w:t xml:space="preserve">., 1999). </w:t>
            </w:r>
          </w:p>
          <w:p w14:paraId="5488FD53" w14:textId="4B6E2135" w:rsidR="006B3F46" w:rsidRPr="0021277B" w:rsidRDefault="006B3F46" w:rsidP="002E4B39">
            <w:pPr>
              <w:suppressLineNumbers/>
              <w:spacing w:after="120"/>
              <w:jc w:val="both"/>
              <w:rPr>
                <w:rFonts w:eastAsia="MS Mincho"/>
                <w:sz w:val="22"/>
                <w:szCs w:val="22"/>
                <w:lang w:val="en-US"/>
              </w:rPr>
            </w:pPr>
            <w:r w:rsidRPr="002E4B39">
              <w:rPr>
                <w:rFonts w:eastAsia="MS Mincho"/>
                <w:sz w:val="22"/>
                <w:szCs w:val="22"/>
                <w:lang w:val="en-US"/>
              </w:rPr>
              <w:t>Meiofaunal</w:t>
            </w:r>
            <w:r w:rsidRPr="0021277B">
              <w:rPr>
                <w:sz w:val="22"/>
                <w:szCs w:val="22"/>
              </w:rPr>
              <w:t xml:space="preserve"> groups of copepods and nematodes exhibit pronounced endemism, e.g., 54 of 56 observed species of the copepod Harpacticoida are new to science (George and Schminke, 2002).</w:t>
            </w:r>
          </w:p>
        </w:tc>
      </w:tr>
      <w:tr w:rsidR="006B3F46" w:rsidRPr="0021277B" w14:paraId="6B2909F0" w14:textId="77777777" w:rsidTr="002E4B39">
        <w:tc>
          <w:tcPr>
            <w:tcW w:w="832" w:type="pct"/>
            <w:shd w:val="clear" w:color="auto" w:fill="auto"/>
          </w:tcPr>
          <w:p w14:paraId="7A36DB72" w14:textId="77777777" w:rsidR="006B3F46" w:rsidRPr="0021277B" w:rsidRDefault="006B3F46" w:rsidP="002E4B39">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32" w:type="pct"/>
            <w:shd w:val="clear" w:color="auto" w:fill="auto"/>
          </w:tcPr>
          <w:p w14:paraId="258D9243"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vAlign w:val="center"/>
          </w:tcPr>
          <w:p w14:paraId="4330D2E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4317DB7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054AF4C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279DC8B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83B0AE9" w14:textId="77777777" w:rsidTr="00907941">
        <w:tc>
          <w:tcPr>
            <w:tcW w:w="5000" w:type="pct"/>
            <w:gridSpan w:val="11"/>
            <w:shd w:val="clear" w:color="auto" w:fill="auto"/>
          </w:tcPr>
          <w:p w14:paraId="206F1BA6"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618472AA" w14:textId="77777777" w:rsidR="006B3F46" w:rsidRPr="0021277B" w:rsidRDefault="006B3F46" w:rsidP="002E4B39">
            <w:pPr>
              <w:suppressLineNumbers/>
              <w:spacing w:after="120"/>
              <w:jc w:val="both"/>
              <w:rPr>
                <w:rFonts w:eastAsia="MS Mincho"/>
                <w:color w:val="000000"/>
                <w:sz w:val="22"/>
                <w:szCs w:val="22"/>
                <w:lang w:val="en-US"/>
              </w:rPr>
            </w:pPr>
            <w:r w:rsidRPr="0021277B">
              <w:rPr>
                <w:rFonts w:eastAsia="MS Mincho"/>
                <w:color w:val="000000"/>
                <w:sz w:val="22"/>
                <w:szCs w:val="22"/>
                <w:lang w:val="en-US"/>
              </w:rPr>
              <w:t>Atlantis and Great Meteor Banks are vital stopping points for certain migratory species of whales and cetaceans, including sperm whales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Physeter microcephalus</w:t>
            </w:r>
            <w:r w:rsidRPr="0021277B">
              <w:rPr>
                <w:rFonts w:eastAsia="MS Mincho"/>
                <w:color w:val="000000"/>
                <w:sz w:val="22"/>
                <w:szCs w:val="22"/>
                <w:lang w:val="en-US"/>
              </w:rPr>
              <w:t>), fin whales (</w:t>
            </w:r>
            <w:r w:rsidRPr="0021277B">
              <w:rPr>
                <w:rFonts w:eastAsia="MS Mincho"/>
                <w:iCs/>
                <w:color w:val="000000"/>
                <w:sz w:val="22"/>
                <w:szCs w:val="22"/>
                <w:lang w:val="en-US"/>
              </w:rPr>
              <w:t>e.g.,</w:t>
            </w:r>
            <w:r w:rsidRPr="0021277B">
              <w:rPr>
                <w:rFonts w:eastAsia="MS Mincho"/>
                <w:i/>
                <w:color w:val="000000"/>
                <w:sz w:val="22"/>
                <w:szCs w:val="22"/>
                <w:lang w:val="en-US"/>
              </w:rPr>
              <w:t xml:space="preserve"> Balaenoptera acutorostrata</w:t>
            </w:r>
            <w:r w:rsidRPr="0021277B">
              <w:rPr>
                <w:rFonts w:eastAsia="MS Mincho"/>
                <w:color w:val="000000"/>
                <w:sz w:val="22"/>
                <w:szCs w:val="22"/>
                <w:lang w:val="en-US"/>
              </w:rPr>
              <w:t xml:space="preserve">), </w:t>
            </w:r>
            <w:r w:rsidRPr="002E4B39">
              <w:rPr>
                <w:rFonts w:eastAsia="MS Mincho"/>
                <w:sz w:val="22"/>
                <w:szCs w:val="22"/>
                <w:lang w:val="en-US"/>
              </w:rPr>
              <w:t>striped</w:t>
            </w:r>
            <w:r w:rsidRPr="0021277B">
              <w:rPr>
                <w:rFonts w:eastAsia="MS Mincho"/>
                <w:color w:val="000000"/>
                <w:sz w:val="22"/>
                <w:szCs w:val="22"/>
                <w:lang w:val="en-US"/>
              </w:rPr>
              <w:t xml:space="preserve">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Stenella coeruleoalba</w:t>
            </w:r>
            <w:r w:rsidRPr="0021277B">
              <w:rPr>
                <w:rFonts w:eastAsia="MS Mincho"/>
                <w:color w:val="000000"/>
                <w:sz w:val="22"/>
                <w:szCs w:val="22"/>
                <w:lang w:val="en-US"/>
              </w:rPr>
              <w:t>) and bottlenose dolphins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Tursiops truncatus</w:t>
            </w:r>
            <w:r w:rsidRPr="0021277B">
              <w:rPr>
                <w:rFonts w:eastAsia="MS Mincho"/>
                <w:color w:val="000000"/>
                <w:sz w:val="22"/>
                <w:szCs w:val="22"/>
                <w:lang w:val="en-US"/>
              </w:rPr>
              <w:t xml:space="preserve">). </w:t>
            </w:r>
          </w:p>
          <w:p w14:paraId="113B74BB" w14:textId="77777777" w:rsidR="006B3F46" w:rsidRPr="0021277B" w:rsidRDefault="006B3F46" w:rsidP="002E4B39">
            <w:pPr>
              <w:suppressLineNumbers/>
              <w:spacing w:after="120"/>
              <w:jc w:val="both"/>
              <w:rPr>
                <w:rFonts w:eastAsia="MS Mincho"/>
                <w:color w:val="000000"/>
                <w:sz w:val="22"/>
                <w:szCs w:val="22"/>
                <w:lang w:val="en-US"/>
              </w:rPr>
            </w:pPr>
            <w:r w:rsidRPr="0021277B">
              <w:rPr>
                <w:rFonts w:eastAsia="MS Mincho"/>
                <w:color w:val="000000"/>
                <w:sz w:val="22"/>
                <w:szCs w:val="22"/>
                <w:lang w:val="en-US"/>
              </w:rPr>
              <w:t xml:space="preserve">The </w:t>
            </w:r>
            <w:r w:rsidRPr="002E4B39">
              <w:rPr>
                <w:rFonts w:eastAsia="MS Mincho"/>
                <w:sz w:val="22"/>
                <w:szCs w:val="22"/>
                <w:lang w:val="en-US"/>
              </w:rPr>
              <w:t>seamounts</w:t>
            </w:r>
            <w:r w:rsidRPr="0021277B">
              <w:rPr>
                <w:rFonts w:eastAsia="MS Mincho"/>
                <w:color w:val="000000"/>
                <w:sz w:val="22"/>
                <w:szCs w:val="22"/>
                <w:lang w:val="en-US"/>
              </w:rPr>
              <w:t xml:space="preserve"> support many species of seabirds that use these places to feed; tracking data reveal the occurrence of at least 11 species using the area during breeding and/or the non- breeding seasons </w:t>
            </w:r>
            <w:r>
              <w:rPr>
                <w:rFonts w:eastAsia="MS Mincho"/>
                <w:i/>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Calonectris borealis</w:t>
            </w:r>
            <w:r w:rsidRPr="0021277B">
              <w:rPr>
                <w:rFonts w:eastAsia="MS Mincho"/>
                <w:color w:val="000000"/>
                <w:sz w:val="22"/>
                <w:szCs w:val="22"/>
                <w:lang w:val="en-US"/>
              </w:rPr>
              <w:t>,</w:t>
            </w:r>
            <w:r w:rsidRPr="0021277B">
              <w:rPr>
                <w:rFonts w:eastAsia="MS Mincho"/>
                <w:i/>
                <w:color w:val="000000"/>
                <w:sz w:val="22"/>
                <w:szCs w:val="22"/>
                <w:lang w:val="en-US"/>
              </w:rPr>
              <w:t xml:space="preserve">Puffinus </w:t>
            </w:r>
            <w:r w:rsidRPr="0021277B">
              <w:rPr>
                <w:i/>
                <w:iCs/>
                <w:sz w:val="22"/>
                <w:szCs w:val="22"/>
                <w:lang w:eastAsia="en-GB"/>
              </w:rPr>
              <w:t xml:space="preserve">lherminieri baroli – </w:t>
            </w:r>
            <w:r w:rsidRPr="0021277B">
              <w:rPr>
                <w:iCs/>
                <w:sz w:val="22"/>
                <w:szCs w:val="22"/>
                <w:lang w:eastAsia="en-GB"/>
              </w:rPr>
              <w:t xml:space="preserve">an OSPAR listed species – and the threatened </w:t>
            </w:r>
            <w:r w:rsidRPr="0021277B">
              <w:rPr>
                <w:i/>
                <w:iCs/>
                <w:sz w:val="22"/>
                <w:szCs w:val="22"/>
                <w:lang w:eastAsia="en-GB"/>
              </w:rPr>
              <w:t>Rissa tridactyla</w:t>
            </w:r>
            <w:r w:rsidRPr="0021277B">
              <w:rPr>
                <w:rFonts w:eastAsia="MS Mincho"/>
                <w:i/>
                <w:color w:val="000000"/>
                <w:sz w:val="22"/>
                <w:szCs w:val="22"/>
                <w:lang w:val="en-US"/>
              </w:rPr>
              <w:t xml:space="preserve">, Pterodroma deserta </w:t>
            </w:r>
            <w:r w:rsidRPr="0021277B">
              <w:rPr>
                <w:rFonts w:eastAsia="MS Mincho"/>
                <w:color w:val="000000"/>
                <w:sz w:val="22"/>
                <w:szCs w:val="22"/>
                <w:lang w:val="en-US"/>
              </w:rPr>
              <w:t>and</w:t>
            </w:r>
            <w:r w:rsidRPr="0021277B">
              <w:rPr>
                <w:rFonts w:eastAsia="MS Mincho"/>
                <w:i/>
                <w:color w:val="000000"/>
                <w:sz w:val="22"/>
                <w:szCs w:val="22"/>
                <w:lang w:val="en-US"/>
              </w:rPr>
              <w:t xml:space="preserve"> Pterodroma madeira</w:t>
            </w:r>
            <w:r>
              <w:rPr>
                <w:rFonts w:eastAsia="MS Mincho"/>
                <w:color w:val="000000"/>
                <w:sz w:val="22"/>
                <w:szCs w:val="22"/>
                <w:lang w:val="en-US"/>
              </w:rPr>
              <w:t>(</w:t>
            </w:r>
            <w:r w:rsidRPr="0021277B">
              <w:rPr>
                <w:rFonts w:eastAsia="MS Mincho"/>
                <w:color w:val="000000"/>
                <w:sz w:val="22"/>
                <w:szCs w:val="22"/>
                <w:lang w:val="en-US"/>
              </w:rPr>
              <w:t xml:space="preserve">BirdLife International  2019). </w:t>
            </w:r>
          </w:p>
          <w:p w14:paraId="7B59C634" w14:textId="77777777" w:rsidR="006B3F46" w:rsidRPr="0021277B" w:rsidRDefault="006B3F46" w:rsidP="002E4B39">
            <w:pPr>
              <w:suppressLineNumbers/>
              <w:spacing w:after="120"/>
              <w:jc w:val="both"/>
              <w:rPr>
                <w:sz w:val="22"/>
                <w:szCs w:val="22"/>
              </w:rPr>
            </w:pPr>
            <w:r w:rsidRPr="002E4B39">
              <w:rPr>
                <w:rFonts w:eastAsia="MS Mincho"/>
                <w:sz w:val="22"/>
                <w:szCs w:val="22"/>
                <w:lang w:val="en-US"/>
              </w:rPr>
              <w:t>There</w:t>
            </w:r>
            <w:r>
              <w:rPr>
                <w:sz w:val="22"/>
                <w:szCs w:val="22"/>
              </w:rPr>
              <w:t xml:space="preserve"> is a b</w:t>
            </w:r>
            <w:r w:rsidRPr="0021277B">
              <w:rPr>
                <w:sz w:val="22"/>
                <w:szCs w:val="22"/>
              </w:rPr>
              <w:t xml:space="preserve">lue shark nursery </w:t>
            </w:r>
            <w:r>
              <w:rPr>
                <w:sz w:val="22"/>
                <w:szCs w:val="22"/>
              </w:rPr>
              <w:t>in</w:t>
            </w:r>
            <w:r w:rsidRPr="0021277B">
              <w:rPr>
                <w:sz w:val="22"/>
                <w:szCs w:val="22"/>
              </w:rPr>
              <w:t xml:space="preserve"> the Central North Atlantic, roughly delimited by the Azoresarchipelago in the North</w:t>
            </w:r>
            <w:r>
              <w:rPr>
                <w:sz w:val="22"/>
                <w:szCs w:val="22"/>
              </w:rPr>
              <w:t xml:space="preserve"> and</w:t>
            </w:r>
            <w:r w:rsidRPr="0021277B">
              <w:rPr>
                <w:sz w:val="22"/>
                <w:szCs w:val="22"/>
              </w:rPr>
              <w:t xml:space="preserve"> the </w:t>
            </w:r>
            <w:r w:rsidRPr="00643739">
              <w:rPr>
                <w:sz w:val="22"/>
                <w:szCs w:val="22"/>
              </w:rPr>
              <w:t xml:space="preserve">Atlantis-Meteor Seamount Complex </w:t>
            </w:r>
            <w:r w:rsidRPr="0021277B">
              <w:rPr>
                <w:sz w:val="22"/>
                <w:szCs w:val="22"/>
              </w:rPr>
              <w:t xml:space="preserve">in the South (Vandeperre </w:t>
            </w:r>
            <w:r w:rsidRPr="0006066A">
              <w:rPr>
                <w:i/>
                <w:iCs/>
                <w:sz w:val="22"/>
                <w:szCs w:val="22"/>
              </w:rPr>
              <w:t>et al</w:t>
            </w:r>
            <w:r w:rsidRPr="0021277B">
              <w:rPr>
                <w:sz w:val="22"/>
                <w:szCs w:val="22"/>
              </w:rPr>
              <w:t>., 2014)</w:t>
            </w:r>
          </w:p>
          <w:p w14:paraId="611A4EAB" w14:textId="77777777" w:rsidR="006B3F46" w:rsidRPr="0021277B" w:rsidRDefault="006B3F46" w:rsidP="002E4B39">
            <w:pPr>
              <w:suppressLineNumbers/>
              <w:spacing w:after="120"/>
              <w:jc w:val="both"/>
              <w:rPr>
                <w:rFonts w:eastAsia="MS Mincho"/>
                <w:color w:val="000000"/>
                <w:sz w:val="22"/>
                <w:szCs w:val="22"/>
                <w:lang w:val="en-US"/>
              </w:rPr>
            </w:pPr>
            <w:r w:rsidRPr="0021277B">
              <w:rPr>
                <w:rFonts w:eastAsia="MS Mincho"/>
                <w:color w:val="000000"/>
                <w:sz w:val="22"/>
                <w:szCs w:val="22"/>
                <w:lang w:val="en-US"/>
              </w:rPr>
              <w:t xml:space="preserve">The </w:t>
            </w:r>
            <w:r w:rsidRPr="00C1427A">
              <w:rPr>
                <w:rFonts w:eastAsia="MS Mincho"/>
                <w:color w:val="000000"/>
                <w:sz w:val="22"/>
                <w:szCs w:val="22"/>
                <w:lang w:val="en-US"/>
              </w:rPr>
              <w:t>aggregation of commercially important fish species</w:t>
            </w:r>
            <w:r>
              <w:rPr>
                <w:rFonts w:eastAsia="MS Mincho"/>
                <w:color w:val="000000"/>
                <w:sz w:val="22"/>
                <w:szCs w:val="22"/>
                <w:lang w:val="en-US"/>
              </w:rPr>
              <w:t xml:space="preserve"> in this area</w:t>
            </w:r>
            <w:r w:rsidRPr="00C1427A">
              <w:rPr>
                <w:rFonts w:eastAsia="MS Mincho"/>
                <w:color w:val="000000"/>
                <w:sz w:val="22"/>
                <w:szCs w:val="22"/>
                <w:lang w:val="en-US"/>
              </w:rPr>
              <w:t xml:space="preserve"> use this ecosystem for spawning and as nursery grounds</w:t>
            </w:r>
            <w:r>
              <w:rPr>
                <w:rFonts w:eastAsia="MS Mincho"/>
                <w:color w:val="000000"/>
                <w:sz w:val="22"/>
                <w:szCs w:val="22"/>
                <w:lang w:val="en-US"/>
              </w:rPr>
              <w:t xml:space="preserve"> </w:t>
            </w:r>
            <w:r w:rsidRPr="0021277B">
              <w:rPr>
                <w:rFonts w:eastAsia="MS Mincho"/>
                <w:color w:val="000000"/>
                <w:sz w:val="22"/>
                <w:szCs w:val="22"/>
                <w:lang w:val="en-US"/>
              </w:rPr>
              <w:t>(</w:t>
            </w:r>
            <w:r w:rsidRPr="0021277B">
              <w:rPr>
                <w:rFonts w:eastAsia="MS Mincho"/>
                <w:iCs/>
                <w:color w:val="000000"/>
                <w:sz w:val="22"/>
                <w:szCs w:val="22"/>
                <w:lang w:val="en-US"/>
              </w:rPr>
              <w:t>e.g.,</w:t>
            </w:r>
            <w:r w:rsidRPr="0021277B">
              <w:rPr>
                <w:sz w:val="22"/>
                <w:szCs w:val="22"/>
              </w:rPr>
              <w:t xml:space="preserve"> </w:t>
            </w:r>
            <w:r w:rsidRPr="0021277B">
              <w:rPr>
                <w:i/>
                <w:sz w:val="22"/>
                <w:szCs w:val="22"/>
              </w:rPr>
              <w:t>Aphanopus carbo</w:t>
            </w:r>
            <w:r w:rsidRPr="0021277B">
              <w:rPr>
                <w:sz w:val="22"/>
                <w:szCs w:val="22"/>
              </w:rPr>
              <w:t>,</w:t>
            </w:r>
            <w:r w:rsidRPr="0021277B">
              <w:rPr>
                <w:rFonts w:eastAsia="MS Mincho"/>
                <w:i/>
                <w:color w:val="000000"/>
                <w:sz w:val="22"/>
                <w:szCs w:val="22"/>
                <w:lang w:val="en-US"/>
              </w:rPr>
              <w:t xml:space="preserve"> Beryx splendens</w:t>
            </w:r>
            <w:r w:rsidRPr="0021277B">
              <w:rPr>
                <w:rFonts w:eastAsia="MS Mincho"/>
                <w:color w:val="000000"/>
                <w:sz w:val="22"/>
                <w:szCs w:val="22"/>
                <w:lang w:val="en-US"/>
              </w:rPr>
              <w:t>,</w:t>
            </w:r>
            <w:r w:rsidRPr="0021277B">
              <w:rPr>
                <w:rFonts w:eastAsia="MS Mincho"/>
                <w:i/>
                <w:color w:val="000000"/>
                <w:sz w:val="22"/>
                <w:szCs w:val="22"/>
                <w:lang w:val="en-US"/>
              </w:rPr>
              <w:t xml:space="preserve"> Zenopsis conchifer</w:t>
            </w:r>
            <w:r w:rsidRPr="0021277B">
              <w:rPr>
                <w:rFonts w:eastAsia="MS Mincho"/>
                <w:color w:val="000000"/>
                <w:sz w:val="22"/>
                <w:szCs w:val="22"/>
                <w:lang w:val="en-US"/>
              </w:rPr>
              <w:t xml:space="preserve">) </w:t>
            </w:r>
            <w:r w:rsidRPr="0021277B">
              <w:rPr>
                <w:rFonts w:eastAsia="MS Mincho"/>
                <w:sz w:val="22"/>
                <w:szCs w:val="22"/>
                <w:lang w:val="en-US"/>
              </w:rPr>
              <w:t>(</w:t>
            </w:r>
            <w:r w:rsidRPr="0021277B">
              <w:rPr>
                <w:sz w:val="22"/>
                <w:szCs w:val="22"/>
              </w:rPr>
              <w:t xml:space="preserve">Uiblein </w:t>
            </w:r>
            <w:r w:rsidRPr="0006066A">
              <w:rPr>
                <w:i/>
                <w:sz w:val="22"/>
                <w:szCs w:val="22"/>
              </w:rPr>
              <w:t>et al</w:t>
            </w:r>
            <w:r w:rsidRPr="0021277B">
              <w:rPr>
                <w:sz w:val="22"/>
                <w:szCs w:val="22"/>
              </w:rPr>
              <w:t>., 1999)</w:t>
            </w:r>
            <w:r w:rsidRPr="0021277B">
              <w:rPr>
                <w:rFonts w:eastAsia="MS Mincho"/>
                <w:color w:val="000000"/>
                <w:sz w:val="22"/>
                <w:szCs w:val="22"/>
                <w:lang w:val="en-US"/>
              </w:rPr>
              <w:t xml:space="preserve">. </w:t>
            </w:r>
          </w:p>
          <w:p w14:paraId="7B9F4585" w14:textId="5AFCBD01" w:rsidR="006B3F46" w:rsidRPr="0021277B" w:rsidRDefault="006B3F46" w:rsidP="002E4B39">
            <w:pPr>
              <w:suppressLineNumbers/>
              <w:spacing w:after="120"/>
              <w:jc w:val="both"/>
              <w:rPr>
                <w:rFonts w:eastAsia="MS Mincho"/>
                <w:color w:val="000000"/>
                <w:sz w:val="22"/>
                <w:szCs w:val="22"/>
                <w:lang w:val="en-US"/>
              </w:rPr>
            </w:pPr>
            <w:r w:rsidRPr="002E4B39">
              <w:rPr>
                <w:rFonts w:eastAsia="MS Mincho"/>
                <w:sz w:val="22"/>
                <w:szCs w:val="22"/>
                <w:lang w:val="en-US"/>
              </w:rPr>
              <w:t>There</w:t>
            </w:r>
            <w:r>
              <w:rPr>
                <w:sz w:val="22"/>
                <w:szCs w:val="22"/>
              </w:rPr>
              <w:t xml:space="preserve"> is e</w:t>
            </w:r>
            <w:r w:rsidRPr="0021277B">
              <w:rPr>
                <w:sz w:val="22"/>
                <w:szCs w:val="22"/>
              </w:rPr>
              <w:t xml:space="preserve">vidence for mid-latitude foraging in central North Atlantic waters for fin and blue whales migrating to the northern feeding sites. More importantly, these species can suspend their seasonal migration and remain foraging in middle latitude areas for extended periods of time and much later into the summer than generally assumed (Silva </w:t>
            </w:r>
            <w:r w:rsidRPr="0006066A">
              <w:rPr>
                <w:i/>
                <w:sz w:val="22"/>
                <w:szCs w:val="22"/>
              </w:rPr>
              <w:t>et al</w:t>
            </w:r>
            <w:r>
              <w:rPr>
                <w:sz w:val="22"/>
                <w:szCs w:val="22"/>
              </w:rPr>
              <w:t>.</w:t>
            </w:r>
            <w:r w:rsidRPr="0021277B">
              <w:rPr>
                <w:sz w:val="22"/>
                <w:szCs w:val="22"/>
              </w:rPr>
              <w:t xml:space="preserve">, 2013). </w:t>
            </w:r>
          </w:p>
        </w:tc>
      </w:tr>
      <w:tr w:rsidR="006B3F46" w:rsidRPr="0021277B" w14:paraId="61531D4D" w14:textId="77777777" w:rsidTr="002E4B39">
        <w:tc>
          <w:tcPr>
            <w:tcW w:w="832" w:type="pct"/>
            <w:shd w:val="clear" w:color="auto" w:fill="auto"/>
          </w:tcPr>
          <w:p w14:paraId="7C1E4F67" w14:textId="77777777" w:rsidR="006B3F46" w:rsidRPr="0021277B" w:rsidRDefault="006B3F46" w:rsidP="002E4B39">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32" w:type="pct"/>
            <w:shd w:val="clear" w:color="auto" w:fill="auto"/>
          </w:tcPr>
          <w:p w14:paraId="31D91C8D"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71292A0E"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533F5D4F"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40EB943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28A1C6C4"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5B97CE3F" w14:textId="77777777" w:rsidTr="00907941">
        <w:tc>
          <w:tcPr>
            <w:tcW w:w="5000" w:type="pct"/>
            <w:gridSpan w:val="11"/>
            <w:shd w:val="clear" w:color="auto" w:fill="auto"/>
          </w:tcPr>
          <w:p w14:paraId="4C97F37B"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7C648DB9"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Around 4</w:t>
            </w:r>
            <w:r>
              <w:rPr>
                <w:rFonts w:eastAsia="MS Mincho"/>
                <w:sz w:val="22"/>
                <w:szCs w:val="22"/>
                <w:lang w:val="en-US"/>
              </w:rPr>
              <w:t xml:space="preserve"> per cent</w:t>
            </w:r>
            <w:r w:rsidRPr="0021277B">
              <w:rPr>
                <w:rFonts w:eastAsia="MS Mincho"/>
                <w:sz w:val="22"/>
                <w:szCs w:val="22"/>
                <w:lang w:val="en-US"/>
              </w:rPr>
              <w:t xml:space="preserve"> of the species identified in </w:t>
            </w:r>
            <w:r w:rsidRPr="0021277B">
              <w:rPr>
                <w:bCs/>
                <w:sz w:val="22"/>
                <w:szCs w:val="22"/>
              </w:rPr>
              <w:t>Atlantis-Meteor Seamount Complex</w:t>
            </w:r>
            <w:r w:rsidRPr="00643739">
              <w:rPr>
                <w:rFonts w:eastAsia="MS Mincho"/>
                <w:sz w:val="22"/>
                <w:szCs w:val="22"/>
                <w:lang w:val="en-US"/>
              </w:rPr>
              <w:t xml:space="preserve"> </w:t>
            </w:r>
            <w:r>
              <w:rPr>
                <w:rFonts w:eastAsia="MS Mincho"/>
                <w:sz w:val="22"/>
                <w:szCs w:val="22"/>
                <w:lang w:val="en-US"/>
              </w:rPr>
              <w:t xml:space="preserve"> are</w:t>
            </w:r>
            <w:r w:rsidRPr="0021277B">
              <w:rPr>
                <w:rFonts w:eastAsia="MS Mincho"/>
                <w:sz w:val="22"/>
                <w:szCs w:val="22"/>
                <w:lang w:val="en-US"/>
              </w:rPr>
              <w:t xml:space="preserve"> </w:t>
            </w:r>
            <w:r w:rsidRPr="009978E3">
              <w:rPr>
                <w:rFonts w:eastAsia="MS Mincho"/>
                <w:sz w:val="22"/>
                <w:szCs w:val="22"/>
                <w:lang w:val="en-US"/>
              </w:rPr>
              <w:t>legal</w:t>
            </w:r>
            <w:r>
              <w:rPr>
                <w:rFonts w:eastAsia="MS Mincho"/>
                <w:sz w:val="22"/>
                <w:szCs w:val="22"/>
                <w:lang w:val="en-US"/>
              </w:rPr>
              <w:t>ly</w:t>
            </w:r>
            <w:r w:rsidRPr="009978E3">
              <w:rPr>
                <w:rFonts w:eastAsia="MS Mincho"/>
                <w:sz w:val="22"/>
                <w:szCs w:val="22"/>
                <w:lang w:val="en-US"/>
              </w:rPr>
              <w:t xml:space="preserve"> protect</w:t>
            </w:r>
            <w:r>
              <w:rPr>
                <w:rFonts w:eastAsia="MS Mincho"/>
                <w:sz w:val="22"/>
                <w:szCs w:val="22"/>
                <w:lang w:val="en-US"/>
              </w:rPr>
              <w:t>ed</w:t>
            </w:r>
            <w:r w:rsidRPr="009978E3">
              <w:rPr>
                <w:rFonts w:eastAsia="MS Mincho"/>
                <w:sz w:val="22"/>
                <w:szCs w:val="22"/>
                <w:lang w:val="en-US"/>
              </w:rPr>
              <w:t xml:space="preserve"> or </w:t>
            </w:r>
            <w:r>
              <w:rPr>
                <w:rFonts w:eastAsia="MS Mincho"/>
                <w:sz w:val="22"/>
                <w:szCs w:val="22"/>
                <w:lang w:val="en-US"/>
              </w:rPr>
              <w:t xml:space="preserve">assessed as </w:t>
            </w:r>
            <w:r w:rsidRPr="009978E3">
              <w:rPr>
                <w:rFonts w:eastAsia="MS Mincho"/>
                <w:sz w:val="22"/>
                <w:szCs w:val="22"/>
                <w:lang w:val="en-US"/>
              </w:rPr>
              <w:t xml:space="preserve">threatened </w:t>
            </w:r>
            <w:r>
              <w:rPr>
                <w:rFonts w:eastAsia="MS Mincho"/>
                <w:sz w:val="22"/>
                <w:szCs w:val="22"/>
                <w:lang w:val="en-US"/>
              </w:rPr>
              <w:t>by</w:t>
            </w:r>
            <w:r w:rsidRPr="00643739">
              <w:rPr>
                <w:rFonts w:eastAsia="MS Mincho"/>
                <w:sz w:val="22"/>
                <w:szCs w:val="22"/>
                <w:lang w:val="en-US"/>
              </w:rPr>
              <w:t xml:space="preserve"> </w:t>
            </w:r>
            <w:r>
              <w:rPr>
                <w:rFonts w:eastAsia="MS Mincho"/>
                <w:sz w:val="22"/>
                <w:szCs w:val="22"/>
                <w:lang w:val="en-US"/>
              </w:rPr>
              <w:t xml:space="preserve"> </w:t>
            </w:r>
            <w:r w:rsidRPr="0021277B">
              <w:rPr>
                <w:rFonts w:eastAsia="MS Mincho"/>
                <w:sz w:val="22"/>
                <w:szCs w:val="22"/>
                <w:lang w:val="en-US"/>
              </w:rPr>
              <w:t>CITES (</w:t>
            </w:r>
            <w:r w:rsidRPr="0021277B">
              <w:rPr>
                <w:rFonts w:eastAsia="MS Mincho"/>
                <w:iCs/>
                <w:sz w:val="22"/>
                <w:szCs w:val="22"/>
                <w:lang w:val="en-US"/>
              </w:rPr>
              <w:t>e.g.,</w:t>
            </w:r>
            <w:r w:rsidRPr="0021277B">
              <w:rPr>
                <w:rFonts w:eastAsia="MS Mincho"/>
                <w:sz w:val="22"/>
                <w:szCs w:val="22"/>
                <w:lang w:val="en-US"/>
              </w:rPr>
              <w:t xml:space="preserve"> </w:t>
            </w:r>
            <w:r w:rsidRPr="0021277B">
              <w:rPr>
                <w:rFonts w:eastAsia="MS Mincho"/>
                <w:i/>
                <w:sz w:val="22"/>
                <w:szCs w:val="22"/>
                <w:lang w:val="en-US"/>
              </w:rPr>
              <w:t xml:space="preserve">Antipathes furcata, </w:t>
            </w:r>
            <w:r w:rsidRPr="0021277B">
              <w:rPr>
                <w:rFonts w:eastAsia="MS Mincho"/>
                <w:i/>
                <w:color w:val="000000"/>
                <w:sz w:val="22"/>
                <w:szCs w:val="22"/>
                <w:lang w:val="en-US"/>
              </w:rPr>
              <w:t xml:space="preserve">Leiopathes spp., Parantipathes hirondelle, </w:t>
            </w:r>
            <w:r w:rsidRPr="0021277B">
              <w:rPr>
                <w:rFonts w:eastAsia="MS Mincho"/>
                <w:i/>
                <w:sz w:val="22"/>
                <w:szCs w:val="22"/>
                <w:lang w:val="en-US"/>
              </w:rPr>
              <w:t>Desmophyllum dianthus, etc</w:t>
            </w:r>
            <w:r w:rsidRPr="0021277B">
              <w:rPr>
                <w:rFonts w:eastAsia="MS Mincho"/>
                <w:sz w:val="22"/>
                <w:szCs w:val="22"/>
                <w:lang w:val="en-US"/>
              </w:rPr>
              <w:t>), European Union Habitats (</w:t>
            </w:r>
            <w:r w:rsidRPr="0021277B">
              <w:rPr>
                <w:rFonts w:eastAsia="MS Mincho"/>
                <w:iCs/>
                <w:sz w:val="22"/>
                <w:szCs w:val="22"/>
                <w:lang w:val="en-US"/>
              </w:rPr>
              <w:t>e.g.,</w:t>
            </w:r>
            <w:r w:rsidRPr="0021277B">
              <w:rPr>
                <w:sz w:val="22"/>
                <w:szCs w:val="22"/>
              </w:rPr>
              <w:t xml:space="preserve"> </w:t>
            </w:r>
            <w:r w:rsidRPr="0021277B">
              <w:rPr>
                <w:rFonts w:eastAsia="MS Mincho"/>
                <w:i/>
                <w:sz w:val="22"/>
                <w:szCs w:val="22"/>
                <w:lang w:val="en-US"/>
              </w:rPr>
              <w:t>Centrostephanus longispinus</w:t>
            </w:r>
            <w:r w:rsidRPr="0021277B">
              <w:rPr>
                <w:rFonts w:eastAsia="MS Mincho"/>
                <w:sz w:val="22"/>
                <w:szCs w:val="22"/>
                <w:lang w:val="en-US"/>
              </w:rPr>
              <w:t>), Bern Convention (</w:t>
            </w:r>
            <w:r w:rsidRPr="0021277B">
              <w:rPr>
                <w:rFonts w:eastAsia="MS Mincho"/>
                <w:iCs/>
                <w:sz w:val="22"/>
                <w:szCs w:val="22"/>
                <w:lang w:val="en-US"/>
              </w:rPr>
              <w:t>e.g.,</w:t>
            </w:r>
            <w:r w:rsidRPr="0021277B">
              <w:rPr>
                <w:rFonts w:eastAsia="MS Mincho"/>
                <w:sz w:val="22"/>
                <w:szCs w:val="22"/>
                <w:lang w:val="en-US"/>
              </w:rPr>
              <w:t xml:space="preserve"> </w:t>
            </w:r>
            <w:r w:rsidRPr="0021277B">
              <w:rPr>
                <w:rFonts w:eastAsia="MS Mincho"/>
                <w:i/>
                <w:sz w:val="22"/>
                <w:szCs w:val="22"/>
                <w:lang w:val="en-US"/>
              </w:rPr>
              <w:t>Ranella olearium</w:t>
            </w:r>
            <w:r w:rsidRPr="0021277B">
              <w:rPr>
                <w:rFonts w:eastAsia="MS Mincho"/>
                <w:sz w:val="22"/>
                <w:szCs w:val="22"/>
                <w:lang w:val="en-US"/>
              </w:rPr>
              <w:t xml:space="preserve">) </w:t>
            </w:r>
            <w:r>
              <w:rPr>
                <w:rFonts w:eastAsia="MS Mincho"/>
                <w:sz w:val="22"/>
                <w:szCs w:val="22"/>
                <w:lang w:val="en-US"/>
              </w:rPr>
              <w:t>or</w:t>
            </w:r>
            <w:r w:rsidRPr="0021277B">
              <w:rPr>
                <w:rFonts w:eastAsia="MS Mincho"/>
                <w:sz w:val="22"/>
                <w:szCs w:val="22"/>
                <w:lang w:val="en-US"/>
              </w:rPr>
              <w:t>OSPAR Convention (</w:t>
            </w:r>
            <w:r w:rsidRPr="0021277B">
              <w:rPr>
                <w:rFonts w:eastAsia="MS Mincho"/>
                <w:iCs/>
                <w:sz w:val="22"/>
                <w:szCs w:val="22"/>
                <w:lang w:val="en-US"/>
              </w:rPr>
              <w:t>e.g.,</w:t>
            </w:r>
            <w:r w:rsidRPr="0021277B">
              <w:rPr>
                <w:sz w:val="22"/>
                <w:szCs w:val="22"/>
              </w:rPr>
              <w:t xml:space="preserve"> </w:t>
            </w:r>
            <w:r w:rsidRPr="0021277B">
              <w:rPr>
                <w:rFonts w:eastAsia="MS Mincho"/>
                <w:i/>
                <w:sz w:val="22"/>
                <w:szCs w:val="22"/>
                <w:lang w:val="en-US"/>
              </w:rPr>
              <w:t>Centroscymnus coelolepis</w:t>
            </w:r>
            <w:r w:rsidRPr="0021277B">
              <w:rPr>
                <w:rFonts w:eastAsia="MS Mincho"/>
                <w:sz w:val="22"/>
                <w:szCs w:val="22"/>
                <w:lang w:val="en-US"/>
              </w:rPr>
              <w:t xml:space="preserve">) (see </w:t>
            </w:r>
            <w:r>
              <w:rPr>
                <w:rFonts w:eastAsia="MS Mincho"/>
                <w:sz w:val="22"/>
                <w:szCs w:val="22"/>
                <w:lang w:val="en-US"/>
              </w:rPr>
              <w:t>“f</w:t>
            </w:r>
            <w:r w:rsidRPr="0021277B">
              <w:rPr>
                <w:rFonts w:eastAsia="MS Mincho"/>
                <w:sz w:val="22"/>
                <w:szCs w:val="22"/>
                <w:lang w:val="en-US"/>
              </w:rPr>
              <w:t>eature description of the area</w:t>
            </w:r>
            <w:r>
              <w:rPr>
                <w:rFonts w:eastAsia="MS Mincho"/>
                <w:sz w:val="22"/>
                <w:szCs w:val="22"/>
                <w:lang w:val="en-US"/>
              </w:rPr>
              <w:t>”</w:t>
            </w:r>
            <w:r w:rsidRPr="0021277B">
              <w:rPr>
                <w:rFonts w:eastAsia="MS Mincho"/>
                <w:sz w:val="22"/>
                <w:szCs w:val="22"/>
                <w:lang w:val="en-US"/>
              </w:rPr>
              <w:t xml:space="preserve">). </w:t>
            </w:r>
          </w:p>
          <w:p w14:paraId="1B1F3DDC" w14:textId="77777777" w:rsidR="006B3F46" w:rsidRPr="0021277B" w:rsidRDefault="006B3F46" w:rsidP="002E4B39">
            <w:pPr>
              <w:suppressLineNumbers/>
              <w:spacing w:after="120"/>
              <w:jc w:val="both"/>
              <w:rPr>
                <w:rFonts w:eastAsia="MS Mincho"/>
                <w:sz w:val="22"/>
                <w:szCs w:val="22"/>
                <w:lang w:val="en-US"/>
              </w:rPr>
            </w:pPr>
            <w:r>
              <w:rPr>
                <w:rFonts w:eastAsia="MS Mincho"/>
                <w:sz w:val="22"/>
                <w:szCs w:val="22"/>
                <w:lang w:val="en-US"/>
              </w:rPr>
              <w:t>T</w:t>
            </w:r>
            <w:r w:rsidRPr="0021277B">
              <w:rPr>
                <w:rFonts w:eastAsia="MS Mincho"/>
                <w:sz w:val="22"/>
                <w:szCs w:val="22"/>
                <w:lang w:val="en-US"/>
              </w:rPr>
              <w:t>racks of the loggerhead turtle (</w:t>
            </w:r>
            <w:r w:rsidRPr="0021277B">
              <w:rPr>
                <w:rFonts w:eastAsia="MS Mincho"/>
                <w:i/>
                <w:sz w:val="22"/>
                <w:szCs w:val="22"/>
                <w:lang w:val="en-US"/>
              </w:rPr>
              <w:t>Caretta caretta</w:t>
            </w:r>
            <w:r w:rsidRPr="0021277B">
              <w:rPr>
                <w:rFonts w:eastAsia="MS Mincho"/>
                <w:sz w:val="22"/>
                <w:szCs w:val="22"/>
                <w:lang w:val="en-US"/>
              </w:rPr>
              <w:t xml:space="preserve">), which is protected by CITES, indicate </w:t>
            </w:r>
            <w:r>
              <w:rPr>
                <w:rFonts w:eastAsia="MS Mincho"/>
                <w:sz w:val="22"/>
                <w:szCs w:val="22"/>
                <w:lang w:val="en-US"/>
              </w:rPr>
              <w:t xml:space="preserve">their </w:t>
            </w:r>
            <w:r w:rsidRPr="0021277B">
              <w:rPr>
                <w:rFonts w:eastAsia="MS Mincho"/>
                <w:sz w:val="22"/>
                <w:szCs w:val="22"/>
                <w:lang w:val="en-US"/>
              </w:rPr>
              <w:t xml:space="preserve">use of seamount as habitat (Pitcher </w:t>
            </w:r>
            <w:r w:rsidRPr="0006066A">
              <w:rPr>
                <w:rFonts w:eastAsia="MS Mincho"/>
                <w:i/>
                <w:sz w:val="22"/>
                <w:szCs w:val="22"/>
                <w:lang w:val="en-US"/>
              </w:rPr>
              <w:t>et al</w:t>
            </w:r>
            <w:r w:rsidRPr="0021277B">
              <w:rPr>
                <w:rFonts w:eastAsia="MS Mincho"/>
                <w:sz w:val="22"/>
                <w:szCs w:val="22"/>
                <w:lang w:val="en-US"/>
              </w:rPr>
              <w:t xml:space="preserve">., 2010). </w:t>
            </w:r>
          </w:p>
          <w:p w14:paraId="25650806" w14:textId="77777777" w:rsidR="006B3F46" w:rsidRPr="0021277B" w:rsidRDefault="006B3F46" w:rsidP="002E4B39">
            <w:pPr>
              <w:suppressLineNumbers/>
              <w:spacing w:after="120"/>
              <w:jc w:val="both"/>
              <w:rPr>
                <w:rFonts w:eastAsia="MS Mincho"/>
                <w:color w:val="000000"/>
                <w:sz w:val="22"/>
                <w:szCs w:val="22"/>
                <w:lang w:val="en-US"/>
              </w:rPr>
            </w:pPr>
            <w:r w:rsidRPr="0021277B">
              <w:rPr>
                <w:rFonts w:eastAsia="MS Mincho"/>
                <w:color w:val="000000"/>
                <w:sz w:val="22"/>
                <w:szCs w:val="22"/>
                <w:lang w:val="en-US"/>
              </w:rPr>
              <w:t xml:space="preserve">Atlantis </w:t>
            </w:r>
            <w:r>
              <w:rPr>
                <w:rFonts w:eastAsia="MS Mincho"/>
                <w:color w:val="000000"/>
                <w:sz w:val="22"/>
                <w:szCs w:val="22"/>
                <w:lang w:val="en-US"/>
              </w:rPr>
              <w:t xml:space="preserve">seamount </w:t>
            </w:r>
            <w:r w:rsidRPr="0021277B">
              <w:rPr>
                <w:rFonts w:eastAsia="MS Mincho"/>
                <w:color w:val="000000"/>
                <w:sz w:val="22"/>
                <w:szCs w:val="22"/>
                <w:lang w:val="en-US"/>
              </w:rPr>
              <w:t>and Meteor Bank are vital stopping points for certain migratory species of whales and cetaceans, including sperm whales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Physeter microcephalus</w:t>
            </w:r>
            <w:r w:rsidRPr="0021277B">
              <w:rPr>
                <w:rFonts w:eastAsia="MS Mincho"/>
                <w:color w:val="000000"/>
                <w:sz w:val="22"/>
                <w:szCs w:val="22"/>
                <w:lang w:val="en-US"/>
              </w:rPr>
              <w:t>), fin whales (</w:t>
            </w:r>
            <w:r w:rsidRPr="0021277B">
              <w:rPr>
                <w:rFonts w:eastAsia="MS Mincho"/>
                <w:iCs/>
                <w:color w:val="000000"/>
                <w:sz w:val="22"/>
                <w:szCs w:val="22"/>
                <w:lang w:val="en-US"/>
              </w:rPr>
              <w:t>e.g.,</w:t>
            </w:r>
            <w:r w:rsidRPr="0021277B">
              <w:rPr>
                <w:rFonts w:eastAsia="MS Mincho"/>
                <w:i/>
                <w:color w:val="000000"/>
                <w:sz w:val="22"/>
                <w:szCs w:val="22"/>
                <w:lang w:val="en-US"/>
              </w:rPr>
              <w:t xml:space="preserve"> Balaenoptera acutorostrata</w:t>
            </w:r>
            <w:r w:rsidRPr="0021277B">
              <w:rPr>
                <w:rFonts w:eastAsia="MS Mincho"/>
                <w:color w:val="000000"/>
                <w:sz w:val="22"/>
                <w:szCs w:val="22"/>
                <w:lang w:val="en-US"/>
              </w:rPr>
              <w:t xml:space="preserve">), </w:t>
            </w:r>
            <w:r w:rsidRPr="002E4B39">
              <w:rPr>
                <w:rFonts w:eastAsia="MS Mincho"/>
                <w:sz w:val="22"/>
                <w:szCs w:val="22"/>
                <w:lang w:val="en-US"/>
              </w:rPr>
              <w:t>striped</w:t>
            </w:r>
            <w:r w:rsidRPr="0021277B">
              <w:rPr>
                <w:rFonts w:eastAsia="MS Mincho"/>
                <w:color w:val="000000"/>
                <w:sz w:val="22"/>
                <w:szCs w:val="22"/>
                <w:lang w:val="en-US"/>
              </w:rPr>
              <w:t xml:space="preserve">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Stenella coeruleoalba</w:t>
            </w:r>
            <w:r w:rsidRPr="0021277B">
              <w:rPr>
                <w:rFonts w:eastAsia="MS Mincho"/>
                <w:color w:val="000000"/>
                <w:sz w:val="22"/>
                <w:szCs w:val="22"/>
                <w:lang w:val="en-US"/>
              </w:rPr>
              <w:t>) and bottlenose dolphins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 xml:space="preserve">Tursiops </w:t>
            </w:r>
            <w:r>
              <w:rPr>
                <w:rFonts w:eastAsia="MS Mincho"/>
                <w:i/>
                <w:color w:val="000000"/>
                <w:sz w:val="22"/>
                <w:szCs w:val="22"/>
                <w:lang w:val="en-US"/>
              </w:rPr>
              <w:t>truncates,</w:t>
            </w:r>
            <w:r w:rsidRPr="0021277B">
              <w:rPr>
                <w:rFonts w:eastAsia="MS Mincho"/>
                <w:color w:val="000000"/>
                <w:sz w:val="22"/>
                <w:szCs w:val="22"/>
                <w:lang w:val="en-US"/>
              </w:rPr>
              <w:t xml:space="preserve"> </w:t>
            </w:r>
            <w:r w:rsidRPr="0021277B">
              <w:rPr>
                <w:sz w:val="22"/>
                <w:szCs w:val="22"/>
              </w:rPr>
              <w:t xml:space="preserve">Romagosa </w:t>
            </w:r>
            <w:r w:rsidRPr="0006066A">
              <w:rPr>
                <w:i/>
                <w:iCs/>
                <w:sz w:val="22"/>
                <w:szCs w:val="22"/>
              </w:rPr>
              <w:t>et al</w:t>
            </w:r>
            <w:r w:rsidRPr="0021277B">
              <w:rPr>
                <w:sz w:val="22"/>
                <w:szCs w:val="22"/>
              </w:rPr>
              <w:t>., 2009)</w:t>
            </w:r>
            <w:r w:rsidRPr="0021277B">
              <w:rPr>
                <w:rFonts w:eastAsia="MS Mincho"/>
                <w:color w:val="000000"/>
                <w:sz w:val="22"/>
                <w:szCs w:val="22"/>
                <w:lang w:val="en-US"/>
              </w:rPr>
              <w:t xml:space="preserve">. </w:t>
            </w:r>
          </w:p>
          <w:p w14:paraId="622F975C" w14:textId="77777777" w:rsidR="006B3F46" w:rsidRPr="0021277B" w:rsidRDefault="006B3F46" w:rsidP="002E4B39">
            <w:pPr>
              <w:suppressLineNumbers/>
              <w:spacing w:after="120"/>
              <w:jc w:val="both"/>
              <w:rPr>
                <w:iCs/>
                <w:sz w:val="22"/>
                <w:szCs w:val="22"/>
                <w:lang w:eastAsia="en-GB"/>
              </w:rPr>
            </w:pPr>
            <w:r w:rsidRPr="0021277B">
              <w:rPr>
                <w:rFonts w:eastAsia="MS Mincho"/>
                <w:sz w:val="22"/>
                <w:szCs w:val="22"/>
                <w:lang w:val="en-US"/>
              </w:rPr>
              <w:t xml:space="preserve">Some globally threatened seabird species are also known to occur in the area, such as </w:t>
            </w:r>
            <w:r w:rsidRPr="0021277B">
              <w:rPr>
                <w:rFonts w:eastAsia="MS Mincho"/>
                <w:i/>
                <w:sz w:val="22"/>
                <w:szCs w:val="22"/>
                <w:lang w:val="en-US"/>
              </w:rPr>
              <w:t>Rissa tridactyla</w:t>
            </w:r>
            <w:r w:rsidRPr="0021277B">
              <w:rPr>
                <w:rFonts w:eastAsia="MS Mincho"/>
                <w:sz w:val="22"/>
                <w:szCs w:val="22"/>
                <w:lang w:val="en-US"/>
              </w:rPr>
              <w:t xml:space="preserve"> (VU), </w:t>
            </w:r>
            <w:r w:rsidRPr="0021277B">
              <w:rPr>
                <w:rFonts w:eastAsia="MS Mincho"/>
                <w:i/>
                <w:sz w:val="22"/>
                <w:szCs w:val="22"/>
                <w:lang w:val="en-US"/>
              </w:rPr>
              <w:t>Pterodroma deserta</w:t>
            </w:r>
            <w:r w:rsidRPr="0021277B">
              <w:rPr>
                <w:rFonts w:eastAsia="MS Mincho"/>
                <w:sz w:val="22"/>
                <w:szCs w:val="22"/>
                <w:lang w:val="en-US"/>
              </w:rPr>
              <w:t xml:space="preserve"> (VU) and </w:t>
            </w:r>
            <w:r w:rsidRPr="0021277B">
              <w:rPr>
                <w:rFonts w:eastAsia="MS Mincho"/>
                <w:i/>
                <w:sz w:val="22"/>
                <w:szCs w:val="22"/>
                <w:lang w:val="en-US"/>
              </w:rPr>
              <w:t>Pterodroma madeira</w:t>
            </w:r>
            <w:r w:rsidRPr="0021277B">
              <w:rPr>
                <w:rFonts w:eastAsia="MS Mincho"/>
                <w:sz w:val="22"/>
                <w:szCs w:val="22"/>
                <w:lang w:val="en-US"/>
              </w:rPr>
              <w:t xml:space="preserve"> (EN), along with the OSPAR listed </w:t>
            </w:r>
            <w:r w:rsidRPr="0021277B">
              <w:rPr>
                <w:rFonts w:eastAsia="MS Mincho"/>
                <w:i/>
                <w:color w:val="000000"/>
                <w:sz w:val="22"/>
                <w:szCs w:val="22"/>
                <w:lang w:val="en-US"/>
              </w:rPr>
              <w:t xml:space="preserve">Puffinus </w:t>
            </w:r>
            <w:r w:rsidRPr="0021277B">
              <w:rPr>
                <w:i/>
                <w:iCs/>
                <w:sz w:val="22"/>
                <w:szCs w:val="22"/>
                <w:lang w:eastAsia="en-GB"/>
              </w:rPr>
              <w:t xml:space="preserve">lherminieri baroli </w:t>
            </w:r>
            <w:r w:rsidRPr="0021277B">
              <w:rPr>
                <w:iCs/>
                <w:sz w:val="22"/>
                <w:szCs w:val="22"/>
                <w:lang w:eastAsia="en-GB"/>
              </w:rPr>
              <w:t>(BirdLife International 2019).</w:t>
            </w:r>
          </w:p>
          <w:p w14:paraId="7F36278A" w14:textId="2CEBA588" w:rsidR="006B3F46" w:rsidRPr="0021277B" w:rsidRDefault="006B3F46" w:rsidP="002E4B39">
            <w:pPr>
              <w:suppressLineNumbers/>
              <w:spacing w:after="120"/>
              <w:jc w:val="both"/>
              <w:rPr>
                <w:rFonts w:eastAsia="MS Mincho"/>
                <w:color w:val="FF0000"/>
                <w:sz w:val="22"/>
                <w:szCs w:val="22"/>
                <w:lang w:val="en-US"/>
              </w:rPr>
            </w:pPr>
            <w:r w:rsidRPr="0021277B">
              <w:rPr>
                <w:sz w:val="22"/>
                <w:szCs w:val="22"/>
              </w:rPr>
              <w:t xml:space="preserve">Blue shark </w:t>
            </w:r>
            <w:r>
              <w:rPr>
                <w:sz w:val="22"/>
                <w:szCs w:val="22"/>
              </w:rPr>
              <w:t>(</w:t>
            </w:r>
            <w:r w:rsidRPr="0021277B">
              <w:rPr>
                <w:rStyle w:val="Emphasis"/>
                <w:sz w:val="22"/>
                <w:szCs w:val="22"/>
              </w:rPr>
              <w:t>Prionace glauca</w:t>
            </w:r>
            <w:r>
              <w:rPr>
                <w:rStyle w:val="Emphasis"/>
                <w:sz w:val="22"/>
                <w:szCs w:val="22"/>
              </w:rPr>
              <w:t>)</w:t>
            </w:r>
            <w:r w:rsidRPr="0021277B">
              <w:rPr>
                <w:rStyle w:val="Emphasis"/>
                <w:sz w:val="22"/>
                <w:szCs w:val="22"/>
              </w:rPr>
              <w:t xml:space="preserve"> </w:t>
            </w:r>
            <w:r w:rsidRPr="0021277B">
              <w:rPr>
                <w:rStyle w:val="Emphasis"/>
                <w:i w:val="0"/>
                <w:sz w:val="22"/>
                <w:szCs w:val="22"/>
              </w:rPr>
              <w:t>is on the IUCN Red List as a threatened species. As the seamount complex is confirmed as a nursery, it is of paramount importance to the species</w:t>
            </w:r>
            <w:r w:rsidRPr="0021277B">
              <w:rPr>
                <w:rStyle w:val="Emphasis"/>
                <w:sz w:val="22"/>
                <w:szCs w:val="22"/>
              </w:rPr>
              <w:t xml:space="preserve"> </w:t>
            </w:r>
            <w:r w:rsidRPr="0021277B">
              <w:rPr>
                <w:sz w:val="22"/>
                <w:szCs w:val="22"/>
              </w:rPr>
              <w:t>(Stevens, 2009).</w:t>
            </w:r>
          </w:p>
        </w:tc>
      </w:tr>
      <w:tr w:rsidR="006B3F46" w:rsidRPr="0021277B" w14:paraId="320E0D17" w14:textId="77777777" w:rsidTr="002E4B39">
        <w:tc>
          <w:tcPr>
            <w:tcW w:w="832" w:type="pct"/>
            <w:shd w:val="clear" w:color="auto" w:fill="auto"/>
          </w:tcPr>
          <w:p w14:paraId="69D01D21" w14:textId="77777777" w:rsidR="006B3F46" w:rsidRPr="0021277B" w:rsidRDefault="006B3F46" w:rsidP="002E4B39">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32" w:type="pct"/>
            <w:shd w:val="clear" w:color="auto" w:fill="auto"/>
          </w:tcPr>
          <w:p w14:paraId="6FFA5772"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71F9B629"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13CE2594"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66845AC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7E9B977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43A4E073" w14:textId="77777777" w:rsidTr="00907941">
        <w:tc>
          <w:tcPr>
            <w:tcW w:w="5000" w:type="pct"/>
            <w:gridSpan w:val="11"/>
            <w:shd w:val="clear" w:color="auto" w:fill="auto"/>
          </w:tcPr>
          <w:p w14:paraId="6018FE00"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39D52D40"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These seamounts host unique marine ecosystems, supporting fragile habitats and vulnerable species like habitat-forming sponges and cold-water corals (</w:t>
            </w:r>
            <w:r>
              <w:rPr>
                <w:rFonts w:eastAsia="MS Mincho"/>
                <w:sz w:val="22"/>
                <w:szCs w:val="22"/>
                <w:lang w:val="en-US"/>
              </w:rPr>
              <w:t>e.g.,</w:t>
            </w:r>
            <w:r w:rsidRPr="0021277B">
              <w:rPr>
                <w:rFonts w:eastAsia="MS Mincho"/>
                <w:sz w:val="22"/>
                <w:szCs w:val="22"/>
                <w:lang w:val="en-US"/>
              </w:rPr>
              <w:t xml:space="preserve"> </w:t>
            </w:r>
            <w:r w:rsidRPr="0021277B">
              <w:rPr>
                <w:rFonts w:eastAsia="MS Mincho"/>
                <w:i/>
                <w:sz w:val="22"/>
                <w:szCs w:val="22"/>
                <w:lang w:val="en-US"/>
              </w:rPr>
              <w:t>Madrepora oculata</w:t>
            </w:r>
            <w:r w:rsidRPr="0021277B">
              <w:rPr>
                <w:rFonts w:eastAsia="MS Mincho"/>
                <w:sz w:val="22"/>
                <w:szCs w:val="22"/>
                <w:lang w:val="en-US"/>
              </w:rPr>
              <w:t xml:space="preserve">). Some of these species exhibit extremely slow recovery, such as the black corals </w:t>
            </w:r>
            <w:r>
              <w:rPr>
                <w:rFonts w:eastAsia="MS Mincho"/>
                <w:sz w:val="22"/>
                <w:szCs w:val="22"/>
                <w:lang w:val="en-US"/>
              </w:rPr>
              <w:t>(</w:t>
            </w:r>
            <w:r w:rsidRPr="0021277B">
              <w:rPr>
                <w:rFonts w:eastAsia="MS Mincho"/>
                <w:i/>
                <w:color w:val="000000"/>
                <w:sz w:val="22"/>
                <w:szCs w:val="22"/>
                <w:lang w:val="en-US"/>
              </w:rPr>
              <w:t>Leiopathes spp</w:t>
            </w:r>
            <w:r w:rsidRPr="0021277B">
              <w:rPr>
                <w:rFonts w:eastAsia="MS Mincho"/>
                <w:sz w:val="22"/>
                <w:szCs w:val="22"/>
                <w:lang w:val="en-US"/>
              </w:rPr>
              <w:t>.</w:t>
            </w:r>
            <w:r>
              <w:rPr>
                <w:rFonts w:eastAsia="MS Mincho"/>
                <w:sz w:val="22"/>
                <w:szCs w:val="22"/>
                <w:lang w:val="en-US"/>
              </w:rPr>
              <w:t>)</w:t>
            </w:r>
            <w:r w:rsidRPr="0021277B">
              <w:rPr>
                <w:rFonts w:eastAsia="MS Mincho"/>
                <w:sz w:val="22"/>
                <w:szCs w:val="22"/>
                <w:lang w:val="en-US"/>
              </w:rPr>
              <w:t>; the age of some specimens in this part of the Atlantic was approximated to be &gt;2000</w:t>
            </w:r>
            <w:r>
              <w:rPr>
                <w:rFonts w:eastAsia="MS Mincho"/>
                <w:sz w:val="22"/>
                <w:szCs w:val="22"/>
                <w:lang w:val="en-US"/>
              </w:rPr>
              <w:t xml:space="preserve"> </w:t>
            </w:r>
            <w:r w:rsidRPr="0021277B">
              <w:rPr>
                <w:rFonts w:eastAsia="MS Mincho"/>
                <w:sz w:val="22"/>
                <w:szCs w:val="22"/>
                <w:lang w:val="en-US"/>
              </w:rPr>
              <w:t xml:space="preserve">yrs (Carreiro-Silva </w:t>
            </w:r>
            <w:r w:rsidRPr="0006066A">
              <w:rPr>
                <w:rFonts w:eastAsia="MS Mincho"/>
                <w:i/>
                <w:iCs/>
                <w:sz w:val="22"/>
                <w:szCs w:val="22"/>
                <w:lang w:val="en-US"/>
              </w:rPr>
              <w:t>et al</w:t>
            </w:r>
            <w:r w:rsidRPr="0021277B">
              <w:rPr>
                <w:rFonts w:eastAsia="MS Mincho"/>
                <w:sz w:val="22"/>
                <w:szCs w:val="22"/>
                <w:lang w:val="en-US"/>
              </w:rPr>
              <w:t>., 2012)</w:t>
            </w:r>
            <w:r>
              <w:rPr>
                <w:rFonts w:eastAsia="MS Mincho"/>
                <w:sz w:val="22"/>
                <w:szCs w:val="22"/>
                <w:lang w:val="en-US"/>
              </w:rPr>
              <w:t>.</w:t>
            </w:r>
          </w:p>
          <w:p w14:paraId="2651521D"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In the Atlantis-Meteor Seamount Complex, at least 35 species of cold-water corals have been reported (</w:t>
            </w:r>
            <w:r w:rsidRPr="0021277B">
              <w:rPr>
                <w:rFonts w:eastAsia="MS Mincho"/>
                <w:iCs/>
                <w:sz w:val="22"/>
                <w:szCs w:val="22"/>
                <w:lang w:val="en-US"/>
              </w:rPr>
              <w:t>e.g.,</w:t>
            </w:r>
            <w:r w:rsidRPr="0021277B">
              <w:rPr>
                <w:rFonts w:eastAsia="MS Mincho"/>
                <w:sz w:val="22"/>
                <w:szCs w:val="22"/>
                <w:lang w:val="en-US"/>
              </w:rPr>
              <w:t xml:space="preserve"> </w:t>
            </w:r>
            <w:r w:rsidRPr="0021277B">
              <w:rPr>
                <w:rFonts w:eastAsia="MS Mincho"/>
                <w:i/>
                <w:sz w:val="22"/>
                <w:szCs w:val="22"/>
                <w:lang w:val="en-US"/>
              </w:rPr>
              <w:t>Antipathella subpinnata; Parantipathes hirondelle, Leiopathes montana</w:t>
            </w:r>
            <w:r w:rsidRPr="0021277B">
              <w:rPr>
                <w:rFonts w:eastAsia="MS Mincho"/>
                <w:sz w:val="22"/>
                <w:szCs w:val="22"/>
                <w:lang w:val="en-US"/>
              </w:rPr>
              <w:t xml:space="preserve">, </w:t>
            </w:r>
            <w:r w:rsidRPr="0021277B">
              <w:rPr>
                <w:rFonts w:eastAsia="MS Mincho"/>
                <w:i/>
                <w:sz w:val="22"/>
                <w:szCs w:val="22"/>
                <w:lang w:val="en-US"/>
              </w:rPr>
              <w:t>Caryophyllia smithii</w:t>
            </w:r>
            <w:r w:rsidRPr="0021277B">
              <w:rPr>
                <w:rFonts w:eastAsia="MS Mincho"/>
                <w:sz w:val="22"/>
                <w:szCs w:val="22"/>
                <w:lang w:val="en-US"/>
              </w:rPr>
              <w:t xml:space="preserve">; </w:t>
            </w:r>
            <w:r w:rsidRPr="0021277B">
              <w:rPr>
                <w:rFonts w:eastAsia="MS Mincho"/>
                <w:i/>
                <w:sz w:val="22"/>
                <w:szCs w:val="22"/>
                <w:lang w:val="en-US"/>
              </w:rPr>
              <w:t>Dendrophyllia cornigera,</w:t>
            </w:r>
            <w:r w:rsidRPr="0021277B">
              <w:rPr>
                <w:rFonts w:eastAsia="MS Mincho"/>
                <w:sz w:val="22"/>
                <w:szCs w:val="22"/>
                <w:lang w:val="en-US"/>
              </w:rPr>
              <w:t xml:space="preserve"> </w:t>
            </w:r>
            <w:r w:rsidRPr="0021277B">
              <w:rPr>
                <w:rFonts w:eastAsia="MS Mincho"/>
                <w:i/>
                <w:sz w:val="22"/>
                <w:szCs w:val="22"/>
                <w:lang w:val="en-US"/>
              </w:rPr>
              <w:t>Flabellum macandrewi</w:t>
            </w:r>
            <w:r w:rsidRPr="0021277B">
              <w:rPr>
                <w:rFonts w:eastAsia="MS Mincho"/>
                <w:sz w:val="22"/>
                <w:szCs w:val="22"/>
                <w:lang w:val="en-US"/>
              </w:rPr>
              <w:t xml:space="preserve">). All these corals are particularly fragile and recover very slowly (Molodtsova, 2006; Rogers </w:t>
            </w:r>
            <w:r w:rsidRPr="0006066A">
              <w:rPr>
                <w:rFonts w:eastAsia="MS Mincho"/>
                <w:i/>
                <w:sz w:val="22"/>
                <w:szCs w:val="22"/>
                <w:lang w:val="en-US"/>
              </w:rPr>
              <w:t>et al</w:t>
            </w:r>
            <w:r w:rsidRPr="0021277B">
              <w:rPr>
                <w:rFonts w:eastAsia="MS Mincho"/>
                <w:i/>
                <w:sz w:val="22"/>
                <w:szCs w:val="22"/>
                <w:lang w:val="en-US"/>
              </w:rPr>
              <w:t>.,</w:t>
            </w:r>
            <w:r w:rsidRPr="0021277B">
              <w:rPr>
                <w:rFonts w:eastAsia="MS Mincho"/>
                <w:sz w:val="22"/>
                <w:szCs w:val="22"/>
                <w:lang w:val="en-US"/>
              </w:rPr>
              <w:t xml:space="preserve"> 2007</w:t>
            </w:r>
            <w:r>
              <w:rPr>
                <w:rFonts w:eastAsia="MS Mincho"/>
                <w:sz w:val="22"/>
                <w:szCs w:val="22"/>
                <w:lang w:val="en-US"/>
              </w:rPr>
              <w:t>;</w:t>
            </w:r>
            <w:r w:rsidRPr="0021277B">
              <w:rPr>
                <w:rFonts w:eastAsia="MS Mincho"/>
                <w:sz w:val="22"/>
                <w:szCs w:val="22"/>
                <w:lang w:val="en-US"/>
              </w:rPr>
              <w:t xml:space="preserve"> Molodtsova, 2011). </w:t>
            </w:r>
          </w:p>
          <w:p w14:paraId="47F96546"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Presence of species with some legal protection with characteristic features particularly attending to biological factors</w:t>
            </w:r>
            <w:r>
              <w:rPr>
                <w:rFonts w:eastAsia="MS Mincho"/>
                <w:sz w:val="22"/>
                <w:szCs w:val="22"/>
                <w:lang w:val="en-US"/>
              </w:rPr>
              <w:t>,</w:t>
            </w:r>
            <w:r w:rsidRPr="0021277B">
              <w:rPr>
                <w:rFonts w:eastAsia="MS Mincho"/>
                <w:sz w:val="22"/>
                <w:szCs w:val="22"/>
                <w:lang w:val="en-US"/>
              </w:rPr>
              <w:t xml:space="preserve"> such as longevity, low fecundity, and slow growth rates (</w:t>
            </w:r>
            <w:r w:rsidRPr="0021277B">
              <w:rPr>
                <w:rFonts w:eastAsia="MS Mincho"/>
                <w:iCs/>
                <w:sz w:val="22"/>
                <w:szCs w:val="22"/>
                <w:lang w:val="en-US"/>
              </w:rPr>
              <w:t>e.g.,</w:t>
            </w:r>
            <w:r w:rsidRPr="0021277B">
              <w:rPr>
                <w:rFonts w:eastAsia="MS Mincho"/>
                <w:sz w:val="22"/>
                <w:szCs w:val="22"/>
                <w:lang w:val="en-US"/>
              </w:rPr>
              <w:t xml:space="preserve"> sharks and rays) (</w:t>
            </w:r>
            <w:r>
              <w:rPr>
                <w:rFonts w:eastAsia="MS Mincho"/>
                <w:i/>
                <w:sz w:val="22"/>
                <w:szCs w:val="22"/>
                <w:lang w:val="en-US"/>
              </w:rPr>
              <w:t>e.g.</w:t>
            </w:r>
            <w:r w:rsidRPr="0021277B">
              <w:rPr>
                <w:rFonts w:eastAsia="MS Mincho"/>
                <w:sz w:val="22"/>
                <w:szCs w:val="22"/>
                <w:lang w:val="en-US"/>
              </w:rPr>
              <w:t xml:space="preserve">, Clark, 2001; Morato </w:t>
            </w:r>
            <w:r w:rsidRPr="0006066A">
              <w:rPr>
                <w:rFonts w:eastAsia="MS Mincho"/>
                <w:i/>
                <w:sz w:val="22"/>
                <w:szCs w:val="22"/>
                <w:lang w:val="en-US"/>
              </w:rPr>
              <w:t>et al</w:t>
            </w:r>
            <w:r w:rsidRPr="0021277B">
              <w:rPr>
                <w:rFonts w:eastAsia="MS Mincho"/>
                <w:sz w:val="22"/>
                <w:szCs w:val="22"/>
                <w:lang w:val="en-US"/>
              </w:rPr>
              <w:t xml:space="preserve">. 2008). </w:t>
            </w:r>
            <w:r>
              <w:rPr>
                <w:rFonts w:eastAsia="MS Mincho"/>
                <w:sz w:val="22"/>
                <w:szCs w:val="22"/>
                <w:lang w:val="en-US"/>
              </w:rPr>
              <w:t>Twenty-two</w:t>
            </w:r>
            <w:r w:rsidRPr="0021277B">
              <w:rPr>
                <w:rFonts w:eastAsia="MS Mincho"/>
                <w:sz w:val="22"/>
                <w:szCs w:val="22"/>
                <w:lang w:val="en-US"/>
              </w:rPr>
              <w:t xml:space="preserve"> species of sharks and rays (</w:t>
            </w:r>
            <w:r w:rsidRPr="0021277B">
              <w:rPr>
                <w:rFonts w:eastAsia="MS Mincho"/>
                <w:iCs/>
                <w:sz w:val="22"/>
                <w:szCs w:val="22"/>
                <w:lang w:val="en-US"/>
              </w:rPr>
              <w:t>e.g.,</w:t>
            </w:r>
            <w:r w:rsidRPr="0021277B">
              <w:rPr>
                <w:rFonts w:eastAsia="MS Mincho"/>
                <w:sz w:val="22"/>
                <w:szCs w:val="22"/>
                <w:lang w:val="en-US"/>
              </w:rPr>
              <w:t xml:space="preserve"> </w:t>
            </w:r>
            <w:r w:rsidRPr="0021277B">
              <w:rPr>
                <w:i/>
                <w:sz w:val="22"/>
                <w:szCs w:val="22"/>
              </w:rPr>
              <w:t xml:space="preserve">Dalatias licha </w:t>
            </w:r>
            <w:r w:rsidRPr="0021277B">
              <w:rPr>
                <w:sz w:val="22"/>
                <w:szCs w:val="22"/>
              </w:rPr>
              <w:t xml:space="preserve">(shark), </w:t>
            </w:r>
            <w:r w:rsidRPr="0021277B">
              <w:rPr>
                <w:i/>
                <w:sz w:val="22"/>
                <w:szCs w:val="22"/>
              </w:rPr>
              <w:t>Raja clavata</w:t>
            </w:r>
            <w:r w:rsidRPr="0021277B">
              <w:rPr>
                <w:sz w:val="22"/>
                <w:szCs w:val="22"/>
              </w:rPr>
              <w:t xml:space="preserve"> (ray)) are </w:t>
            </w:r>
            <w:r w:rsidRPr="002E4B39">
              <w:rPr>
                <w:rFonts w:eastAsia="MS Mincho"/>
                <w:sz w:val="22"/>
                <w:szCs w:val="22"/>
                <w:lang w:val="en-US"/>
              </w:rPr>
              <w:t>reported</w:t>
            </w:r>
            <w:r w:rsidRPr="0021277B">
              <w:rPr>
                <w:rFonts w:eastAsia="MS Mincho"/>
                <w:sz w:val="22"/>
                <w:szCs w:val="22"/>
                <w:lang w:val="en-US"/>
              </w:rPr>
              <w:t xml:space="preserve"> </w:t>
            </w:r>
            <w:r>
              <w:rPr>
                <w:rFonts w:eastAsia="MS Mincho"/>
                <w:sz w:val="22"/>
                <w:szCs w:val="22"/>
                <w:lang w:val="en-US"/>
              </w:rPr>
              <w:t xml:space="preserve">in this area </w:t>
            </w:r>
            <w:r w:rsidRPr="0021277B">
              <w:rPr>
                <w:rFonts w:eastAsia="MS Mincho"/>
                <w:sz w:val="22"/>
                <w:szCs w:val="22"/>
                <w:lang w:val="en-US"/>
              </w:rPr>
              <w:t xml:space="preserve">(see Figure 5). </w:t>
            </w:r>
          </w:p>
          <w:p w14:paraId="33B50C47" w14:textId="673A27E6" w:rsidR="006B3F46" w:rsidRPr="0021277B" w:rsidRDefault="006B3F46" w:rsidP="002E4B39">
            <w:pPr>
              <w:suppressLineNumbers/>
              <w:spacing w:after="120"/>
              <w:jc w:val="both"/>
              <w:rPr>
                <w:rFonts w:eastAsia="MS Mincho"/>
                <w:color w:val="000000"/>
                <w:sz w:val="22"/>
                <w:szCs w:val="22"/>
                <w:lang w:val="en-US"/>
              </w:rPr>
            </w:pPr>
            <w:r w:rsidRPr="0021277B">
              <w:rPr>
                <w:rStyle w:val="highlight"/>
                <w:sz w:val="22"/>
                <w:szCs w:val="22"/>
              </w:rPr>
              <w:t>Long-lived and slow-growing orange</w:t>
            </w:r>
            <w:r w:rsidRPr="0021277B">
              <w:rPr>
                <w:sz w:val="22"/>
                <w:szCs w:val="22"/>
              </w:rPr>
              <w:t xml:space="preserve"> roughy</w:t>
            </w:r>
            <w:r w:rsidRPr="0021277B">
              <w:rPr>
                <w:i/>
                <w:sz w:val="22"/>
                <w:szCs w:val="22"/>
              </w:rPr>
              <w:t xml:space="preserve"> (Hoplostethus atlanticus</w:t>
            </w:r>
            <w:r w:rsidRPr="0021277B">
              <w:rPr>
                <w:sz w:val="22"/>
                <w:szCs w:val="22"/>
              </w:rPr>
              <w:t>), one of the longest-lived fish species known, with an estimated life span of more than 130 years, is reported in deep waters, over steep continental slopes, ocean ridges and seamounts south of Azores, including Atlantis</w:t>
            </w:r>
            <w:r>
              <w:rPr>
                <w:sz w:val="22"/>
                <w:szCs w:val="22"/>
              </w:rPr>
              <w:t>-Meteor</w:t>
            </w:r>
            <w:r w:rsidRPr="0021277B">
              <w:rPr>
                <w:sz w:val="22"/>
                <w:szCs w:val="22"/>
              </w:rPr>
              <w:t xml:space="preserve"> </w:t>
            </w:r>
            <w:r>
              <w:rPr>
                <w:sz w:val="22"/>
                <w:szCs w:val="22"/>
              </w:rPr>
              <w:t>S</w:t>
            </w:r>
            <w:r w:rsidRPr="0021277B">
              <w:rPr>
                <w:sz w:val="22"/>
                <w:szCs w:val="22"/>
              </w:rPr>
              <w:t xml:space="preserve">eamount </w:t>
            </w:r>
            <w:r>
              <w:rPr>
                <w:sz w:val="22"/>
                <w:szCs w:val="22"/>
              </w:rPr>
              <w:t>C</w:t>
            </w:r>
            <w:r w:rsidRPr="0021277B">
              <w:rPr>
                <w:sz w:val="22"/>
                <w:szCs w:val="22"/>
              </w:rPr>
              <w:t>omplex (Allain &amp; Lorance, 2000).</w:t>
            </w:r>
            <w:r w:rsidRPr="0021277B">
              <w:rPr>
                <w:rFonts w:eastAsia="MS Mincho"/>
                <w:sz w:val="22"/>
                <w:szCs w:val="22"/>
                <w:lang w:val="en-US"/>
              </w:rPr>
              <w:t xml:space="preserve"> </w:t>
            </w:r>
          </w:p>
        </w:tc>
      </w:tr>
      <w:tr w:rsidR="006B3F46" w:rsidRPr="0021277B" w14:paraId="37317DB3" w14:textId="77777777" w:rsidTr="002E4B39">
        <w:tc>
          <w:tcPr>
            <w:tcW w:w="832" w:type="pct"/>
            <w:shd w:val="clear" w:color="auto" w:fill="auto"/>
          </w:tcPr>
          <w:p w14:paraId="274381C2"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32" w:type="pct"/>
            <w:shd w:val="clear" w:color="auto" w:fill="auto"/>
          </w:tcPr>
          <w:p w14:paraId="63D5AB1E" w14:textId="77777777" w:rsidR="006B3F46" w:rsidRPr="0021277B" w:rsidRDefault="006B3F46" w:rsidP="00907941">
            <w:pPr>
              <w:widowControl w:val="0"/>
              <w:autoSpaceDE w:val="0"/>
              <w:autoSpaceDN w:val="0"/>
              <w:adjustRightInd w:val="0"/>
              <w:jc w:val="both"/>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17128E38"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vAlign w:val="center"/>
          </w:tcPr>
          <w:p w14:paraId="3DE6B88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5742307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2" w:type="pct"/>
            <w:gridSpan w:val="2"/>
            <w:shd w:val="clear" w:color="auto" w:fill="auto"/>
            <w:vAlign w:val="center"/>
          </w:tcPr>
          <w:p w14:paraId="214A372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549ECF5C" w14:textId="77777777" w:rsidTr="00907941">
        <w:tc>
          <w:tcPr>
            <w:tcW w:w="5000" w:type="pct"/>
            <w:gridSpan w:val="11"/>
            <w:shd w:val="clear" w:color="auto" w:fill="auto"/>
          </w:tcPr>
          <w:p w14:paraId="00B002EA"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7B6C7809" w14:textId="77777777" w:rsidR="006B3F46" w:rsidRPr="0021277B" w:rsidRDefault="006B3F46" w:rsidP="002E4B39">
            <w:pPr>
              <w:suppressLineNumbers/>
              <w:spacing w:after="120"/>
              <w:jc w:val="both"/>
              <w:rPr>
                <w:rFonts w:eastAsia="MS Mincho"/>
                <w:sz w:val="22"/>
                <w:szCs w:val="22"/>
                <w:lang w:val="en-US"/>
              </w:rPr>
            </w:pPr>
            <w:r w:rsidRPr="0021277B">
              <w:rPr>
                <w:rFonts w:eastAsia="MS Mincho"/>
                <w:sz w:val="22"/>
                <w:szCs w:val="22"/>
                <w:lang w:val="en-US"/>
              </w:rPr>
              <w:t>Productivity of the area in general is characterized as low; however, physical oceanography of seamounts leads to enhanced productivity in seamount areas. A circulation system, in the form of an anticyclonic vortex reported atop the Atlantis-Meteor Seamount Complex, has the potential to accumulate mesopelagic zooplankton, micronekton, and even fish species with weak swimming capabilities (</w:t>
            </w:r>
            <w:r w:rsidRPr="002E4B39">
              <w:rPr>
                <w:rFonts w:eastAsia="MS Mincho"/>
                <w:sz w:val="22"/>
                <w:szCs w:val="22"/>
                <w:lang w:val="en-US"/>
              </w:rPr>
              <w:t>Boehlert</w:t>
            </w:r>
            <w:r w:rsidRPr="0021277B">
              <w:rPr>
                <w:rFonts w:eastAsia="Calibri"/>
                <w:sz w:val="22"/>
                <w:szCs w:val="22"/>
                <w:lang w:val="en-US"/>
              </w:rPr>
              <w:t xml:space="preserve"> &amp; Mundy, 1993; Dong </w:t>
            </w:r>
            <w:r w:rsidRPr="0006066A">
              <w:rPr>
                <w:rFonts w:eastAsia="Calibri"/>
                <w:i/>
                <w:sz w:val="22"/>
                <w:szCs w:val="22"/>
                <w:lang w:val="en-US"/>
              </w:rPr>
              <w:t>et al</w:t>
            </w:r>
            <w:r w:rsidRPr="0021277B">
              <w:rPr>
                <w:rFonts w:eastAsia="Calibri"/>
                <w:sz w:val="22"/>
                <w:szCs w:val="22"/>
                <w:lang w:val="en-US"/>
              </w:rPr>
              <w:t>., 2007).</w:t>
            </w:r>
          </w:p>
          <w:p w14:paraId="78684EAA" w14:textId="3D19860F" w:rsidR="006B3F46" w:rsidRPr="0021277B" w:rsidRDefault="006B3F46" w:rsidP="002E4B39">
            <w:pPr>
              <w:suppressLineNumbers/>
              <w:spacing w:after="120"/>
              <w:jc w:val="both"/>
              <w:rPr>
                <w:rFonts w:eastAsia="MS Mincho"/>
                <w:bCs/>
                <w:color w:val="000000"/>
                <w:sz w:val="22"/>
                <w:szCs w:val="22"/>
                <w:lang w:val="en-US"/>
              </w:rPr>
            </w:pPr>
            <w:r w:rsidRPr="002E4B39">
              <w:rPr>
                <w:rFonts w:eastAsia="MS Mincho"/>
                <w:sz w:val="22"/>
                <w:szCs w:val="22"/>
                <w:lang w:val="en-US"/>
              </w:rPr>
              <w:t>Studies</w:t>
            </w:r>
            <w:r w:rsidRPr="0021277B">
              <w:rPr>
                <w:rFonts w:eastAsia="MS Mincho"/>
                <w:bCs/>
                <w:color w:val="000000"/>
                <w:sz w:val="22"/>
                <w:szCs w:val="22"/>
                <w:lang w:val="en-US"/>
              </w:rPr>
              <w:t xml:space="preserve"> with plankton prove that the </w:t>
            </w:r>
            <w:r w:rsidRPr="0021277B">
              <w:rPr>
                <w:rFonts w:eastAsia="MS Mincho"/>
                <w:sz w:val="22"/>
                <w:szCs w:val="22"/>
                <w:lang w:val="en-US"/>
              </w:rPr>
              <w:t>Atlantis-Meteor Seamount Complex</w:t>
            </w:r>
            <w:r w:rsidRPr="0021277B">
              <w:rPr>
                <w:rFonts w:eastAsia="MS Mincho"/>
                <w:bCs/>
                <w:color w:val="000000"/>
                <w:sz w:val="22"/>
                <w:szCs w:val="22"/>
                <w:lang w:val="en-US"/>
              </w:rPr>
              <w:t xml:space="preserve"> (Mouriño </w:t>
            </w:r>
            <w:r w:rsidRPr="0006066A">
              <w:rPr>
                <w:rFonts w:eastAsia="MS Mincho"/>
                <w:bCs/>
                <w:i/>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2001; Beckmann &amp; Mohn, 2002; Fock </w:t>
            </w:r>
            <w:r w:rsidRPr="0006066A">
              <w:rPr>
                <w:rFonts w:eastAsia="MS Mincho"/>
                <w:bCs/>
                <w:i/>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2002; Martin &amp; </w:t>
            </w:r>
            <w:r w:rsidRPr="0021277B">
              <w:rPr>
                <w:rFonts w:eastAsia="Calibri"/>
                <w:sz w:val="22"/>
                <w:szCs w:val="22"/>
                <w:lang w:val="en-US"/>
              </w:rPr>
              <w:t>Nellen,</w:t>
            </w:r>
            <w:r w:rsidRPr="0021277B">
              <w:rPr>
                <w:rFonts w:eastAsia="MS Mincho"/>
                <w:bCs/>
                <w:color w:val="000000"/>
                <w:sz w:val="22"/>
                <w:szCs w:val="22"/>
                <w:lang w:val="en-US"/>
              </w:rPr>
              <w:t xml:space="preserve"> 2004; Morato </w:t>
            </w:r>
            <w:r w:rsidRPr="0006066A">
              <w:rPr>
                <w:rFonts w:eastAsia="MS Mincho"/>
                <w:bCs/>
                <w:i/>
                <w:color w:val="000000"/>
                <w:sz w:val="22"/>
                <w:szCs w:val="22"/>
                <w:lang w:val="en-US"/>
              </w:rPr>
              <w:t>et al</w:t>
            </w:r>
            <w:r w:rsidRPr="0021277B">
              <w:rPr>
                <w:rFonts w:eastAsia="MS Mincho"/>
                <w:bCs/>
                <w:i/>
                <w:color w:val="000000"/>
                <w:sz w:val="22"/>
                <w:szCs w:val="22"/>
                <w:lang w:val="en-US"/>
              </w:rPr>
              <w:t>.,</w:t>
            </w:r>
            <w:r w:rsidRPr="0021277B">
              <w:rPr>
                <w:rFonts w:eastAsia="MS Mincho"/>
                <w:bCs/>
                <w:color w:val="000000"/>
                <w:sz w:val="22"/>
                <w:szCs w:val="22"/>
                <w:lang w:val="en-US"/>
              </w:rPr>
              <w:t xml:space="preserve"> 2013) has a relatively high biological productivity. </w:t>
            </w:r>
          </w:p>
        </w:tc>
      </w:tr>
      <w:tr w:rsidR="006B3F46" w:rsidRPr="0021277B" w14:paraId="5E000DF6" w14:textId="77777777" w:rsidTr="002E4B39">
        <w:tc>
          <w:tcPr>
            <w:tcW w:w="832" w:type="pct"/>
            <w:shd w:val="clear" w:color="auto" w:fill="auto"/>
          </w:tcPr>
          <w:p w14:paraId="6B85E325"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32" w:type="pct"/>
            <w:shd w:val="clear" w:color="auto" w:fill="auto"/>
          </w:tcPr>
          <w:p w14:paraId="0A6803C5" w14:textId="77777777" w:rsidR="006B3F46" w:rsidRPr="0021277B" w:rsidRDefault="006B3F46" w:rsidP="00907941">
            <w:pPr>
              <w:widowControl w:val="0"/>
              <w:autoSpaceDE w:val="0"/>
              <w:autoSpaceDN w:val="0"/>
              <w:adjustRightInd w:val="0"/>
              <w:jc w:val="both"/>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vAlign w:val="center"/>
          </w:tcPr>
          <w:p w14:paraId="536563D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73B3658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444AB7A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0174196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1115A08F" w14:textId="77777777" w:rsidTr="00907941">
        <w:tc>
          <w:tcPr>
            <w:tcW w:w="5000" w:type="pct"/>
            <w:gridSpan w:val="11"/>
            <w:shd w:val="clear" w:color="auto" w:fill="auto"/>
          </w:tcPr>
          <w:p w14:paraId="43248C61"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6C2A4DC3" w14:textId="77777777" w:rsidR="006B3F46" w:rsidRPr="0021277B" w:rsidRDefault="006B3F46" w:rsidP="002E4B39">
            <w:pPr>
              <w:suppressLineNumbers/>
              <w:spacing w:after="120"/>
              <w:jc w:val="both"/>
              <w:rPr>
                <w:rFonts w:eastAsia="MS Mincho"/>
                <w:bCs/>
                <w:color w:val="000000"/>
                <w:sz w:val="22"/>
                <w:szCs w:val="22"/>
                <w:lang w:val="en-US"/>
              </w:rPr>
            </w:pPr>
            <w:r w:rsidRPr="0021277B">
              <w:rPr>
                <w:rFonts w:eastAsia="MS Mincho"/>
                <w:bCs/>
                <w:color w:val="000000"/>
                <w:sz w:val="22"/>
                <w:szCs w:val="22"/>
              </w:rPr>
              <w:t>T</w:t>
            </w:r>
            <w:r w:rsidRPr="0021277B">
              <w:rPr>
                <w:rFonts w:eastAsia="MS Mincho"/>
                <w:bCs/>
                <w:color w:val="000000"/>
                <w:sz w:val="22"/>
                <w:szCs w:val="22"/>
                <w:lang w:val="en-US"/>
              </w:rPr>
              <w:t xml:space="preserve">hese structures, like other seamounts, have been conceptualized as habitat </w:t>
            </w:r>
            <w:r>
              <w:rPr>
                <w:rFonts w:eastAsia="MS Mincho"/>
                <w:bCs/>
                <w:color w:val="000000"/>
                <w:sz w:val="22"/>
                <w:szCs w:val="22"/>
                <w:lang w:val="en-US"/>
              </w:rPr>
              <w:t>“</w:t>
            </w:r>
            <w:r w:rsidRPr="0021277B">
              <w:rPr>
                <w:rFonts w:eastAsia="MS Mincho"/>
                <w:bCs/>
                <w:color w:val="000000"/>
                <w:sz w:val="22"/>
                <w:szCs w:val="22"/>
                <w:lang w:val="en-US"/>
              </w:rPr>
              <w:t>islands</w:t>
            </w:r>
            <w:r>
              <w:rPr>
                <w:rFonts w:eastAsia="MS Mincho"/>
                <w:bCs/>
                <w:color w:val="000000"/>
                <w:sz w:val="22"/>
                <w:szCs w:val="22"/>
                <w:lang w:val="en-US"/>
              </w:rPr>
              <w:t>”</w:t>
            </w:r>
            <w:r w:rsidRPr="0021277B">
              <w:rPr>
                <w:rFonts w:eastAsia="MS Mincho"/>
                <w:bCs/>
                <w:color w:val="000000"/>
                <w:sz w:val="22"/>
                <w:szCs w:val="22"/>
                <w:lang w:val="en-US"/>
              </w:rPr>
              <w:t xml:space="preserve"> in the deep-sea. </w:t>
            </w:r>
            <w:r w:rsidRPr="002E4B39">
              <w:rPr>
                <w:rFonts w:eastAsia="MS Mincho"/>
                <w:sz w:val="22"/>
                <w:szCs w:val="22"/>
                <w:lang w:val="en-US"/>
              </w:rPr>
              <w:t xml:space="preserve">The </w:t>
            </w:r>
            <w:r w:rsidRPr="0021277B">
              <w:rPr>
                <w:rFonts w:eastAsia="MS Mincho"/>
                <w:sz w:val="22"/>
                <w:szCs w:val="22"/>
                <w:lang w:val="en-US"/>
              </w:rPr>
              <w:t>Atlantis-Meteor Seamount Complex</w:t>
            </w:r>
            <w:r w:rsidRPr="002E4B39">
              <w:rPr>
                <w:rFonts w:eastAsia="MS Mincho"/>
                <w:sz w:val="22"/>
                <w:szCs w:val="22"/>
                <w:lang w:val="en-US"/>
              </w:rPr>
              <w:t xml:space="preserve"> structures have high species diversity, with 437 different species registered, some of which are new to science (e.g.,</w:t>
            </w:r>
            <w:r w:rsidRPr="0021277B">
              <w:rPr>
                <w:rFonts w:eastAsia="MS Mincho"/>
                <w:bCs/>
                <w:color w:val="000000"/>
                <w:sz w:val="22"/>
                <w:szCs w:val="22"/>
                <w:lang w:val="en-US"/>
              </w:rPr>
              <w:t xml:space="preserve"> </w:t>
            </w:r>
            <w:r w:rsidRPr="0021277B">
              <w:rPr>
                <w:rFonts w:eastAsia="Calibri"/>
                <w:sz w:val="22"/>
                <w:szCs w:val="22"/>
                <w:lang w:val="en-US"/>
              </w:rPr>
              <w:t>George, K. &amp; Schminke,</w:t>
            </w:r>
            <w:r w:rsidRPr="0021277B">
              <w:rPr>
                <w:rFonts w:eastAsia="MS Mincho"/>
                <w:bCs/>
                <w:color w:val="000000"/>
                <w:sz w:val="22"/>
                <w:szCs w:val="22"/>
                <w:lang w:val="en-US"/>
              </w:rPr>
              <w:t xml:space="preserve"> 2002; </w:t>
            </w:r>
            <w:r w:rsidRPr="0021277B">
              <w:rPr>
                <w:rFonts w:eastAsia="Calibri"/>
                <w:sz w:val="22"/>
                <w:szCs w:val="22"/>
                <w:lang w:val="en-US"/>
              </w:rPr>
              <w:t>George, 2004</w:t>
            </w:r>
            <w:r w:rsidRPr="0021277B">
              <w:rPr>
                <w:rFonts w:eastAsia="MS Mincho"/>
                <w:bCs/>
                <w:color w:val="000000"/>
                <w:sz w:val="22"/>
                <w:szCs w:val="22"/>
                <w:lang w:val="en-US"/>
              </w:rPr>
              <w:t>)</w:t>
            </w:r>
          </w:p>
          <w:p w14:paraId="5566EA4C" w14:textId="77777777" w:rsidR="006B3F46" w:rsidRPr="0021277B" w:rsidRDefault="006B3F46" w:rsidP="002E4B39">
            <w:pPr>
              <w:suppressLineNumbers/>
              <w:spacing w:after="120"/>
              <w:jc w:val="both"/>
              <w:rPr>
                <w:rFonts w:eastAsia="MS Mincho"/>
                <w:bCs/>
                <w:color w:val="000000"/>
                <w:sz w:val="22"/>
                <w:szCs w:val="22"/>
                <w:lang w:val="en-US"/>
              </w:rPr>
            </w:pPr>
            <w:r w:rsidRPr="0021277B">
              <w:rPr>
                <w:rFonts w:eastAsia="MS Mincho"/>
                <w:bCs/>
                <w:color w:val="000000"/>
                <w:sz w:val="22"/>
                <w:szCs w:val="22"/>
                <w:lang w:val="en-US"/>
              </w:rPr>
              <w:t xml:space="preserve">The </w:t>
            </w:r>
            <w:r w:rsidRPr="002E4B39">
              <w:rPr>
                <w:rFonts w:eastAsia="MS Mincho"/>
                <w:sz w:val="22"/>
                <w:szCs w:val="22"/>
                <w:lang w:val="en-US"/>
              </w:rPr>
              <w:t>structures</w:t>
            </w:r>
            <w:r w:rsidRPr="0021277B">
              <w:rPr>
                <w:rFonts w:eastAsia="MS Mincho"/>
                <w:bCs/>
                <w:color w:val="000000"/>
                <w:sz w:val="22"/>
                <w:szCs w:val="22"/>
                <w:lang w:val="en-US"/>
              </w:rPr>
              <w:t xml:space="preserve"> also host large aggregations of demersal or benthopelagic fish (see, </w:t>
            </w:r>
            <w:r>
              <w:rPr>
                <w:rFonts w:eastAsia="MS Mincho"/>
                <w:bCs/>
                <w:color w:val="000000"/>
                <w:sz w:val="22"/>
                <w:szCs w:val="22"/>
                <w:lang w:val="en-US"/>
              </w:rPr>
              <w:t>e.g.,</w:t>
            </w:r>
            <w:r w:rsidRPr="0021277B">
              <w:rPr>
                <w:rFonts w:eastAsia="Calibri"/>
                <w:sz w:val="22"/>
                <w:szCs w:val="22"/>
                <w:lang w:val="en-US"/>
              </w:rPr>
              <w:t xml:space="preserve"> Uiblein </w:t>
            </w:r>
            <w:r w:rsidRPr="0006066A">
              <w:rPr>
                <w:rFonts w:eastAsia="MS Mincho"/>
                <w:bCs/>
                <w:i/>
                <w:color w:val="000000"/>
                <w:sz w:val="22"/>
                <w:szCs w:val="22"/>
                <w:lang w:val="en-US"/>
              </w:rPr>
              <w:t>et al</w:t>
            </w:r>
            <w:r w:rsidRPr="0021277B">
              <w:rPr>
                <w:rFonts w:eastAsia="MS Mincho"/>
                <w:bCs/>
                <w:color w:val="000000"/>
                <w:sz w:val="22"/>
                <w:szCs w:val="22"/>
                <w:lang w:val="en-US"/>
              </w:rPr>
              <w:t>.,1999; Mironov &amp; Krylova, 2006)</w:t>
            </w:r>
          </w:p>
          <w:p w14:paraId="2A649222" w14:textId="77777777" w:rsidR="006B3F46" w:rsidRPr="0021277B" w:rsidRDefault="006B3F46" w:rsidP="002E4B39">
            <w:pPr>
              <w:suppressLineNumbers/>
              <w:spacing w:after="120"/>
              <w:jc w:val="both"/>
              <w:rPr>
                <w:rFonts w:eastAsia="MS Mincho"/>
                <w:bCs/>
                <w:color w:val="000000"/>
                <w:sz w:val="22"/>
                <w:szCs w:val="22"/>
                <w:lang w:val="en-US"/>
              </w:rPr>
            </w:pPr>
            <w:r w:rsidRPr="0021277B">
              <w:rPr>
                <w:rFonts w:eastAsia="MS Mincho"/>
                <w:bCs/>
                <w:color w:val="000000"/>
                <w:sz w:val="22"/>
                <w:szCs w:val="22"/>
                <w:lang w:val="en-US"/>
              </w:rPr>
              <w:t>In the Atlantis, Hyeres</w:t>
            </w:r>
            <w:r>
              <w:rPr>
                <w:rFonts w:eastAsia="MS Mincho"/>
                <w:bCs/>
                <w:color w:val="000000"/>
                <w:sz w:val="22"/>
                <w:szCs w:val="22"/>
                <w:lang w:val="en-US"/>
              </w:rPr>
              <w:t xml:space="preserve"> and</w:t>
            </w:r>
            <w:r w:rsidRPr="0021277B">
              <w:rPr>
                <w:rFonts w:eastAsia="MS Mincho"/>
                <w:bCs/>
                <w:color w:val="000000"/>
                <w:sz w:val="22"/>
                <w:szCs w:val="22"/>
                <w:lang w:val="en-US"/>
              </w:rPr>
              <w:t xml:space="preserve"> Irving </w:t>
            </w:r>
            <w:r>
              <w:rPr>
                <w:rFonts w:eastAsia="MS Mincho"/>
                <w:bCs/>
                <w:color w:val="000000"/>
                <w:sz w:val="22"/>
                <w:szCs w:val="22"/>
                <w:lang w:val="en-US"/>
              </w:rPr>
              <w:t>seamounts, as well as the</w:t>
            </w:r>
            <w:r w:rsidRPr="0021277B">
              <w:rPr>
                <w:rFonts w:eastAsia="MS Mincho"/>
                <w:bCs/>
                <w:color w:val="000000"/>
                <w:sz w:val="22"/>
                <w:szCs w:val="22"/>
                <w:lang w:val="en-US"/>
              </w:rPr>
              <w:t xml:space="preserve"> Meteor banks there is evidence of a great diversity, with records of midwater fish as major predators of zooplankton, such as the highly abundant and very common species, snipefish (</w:t>
            </w:r>
            <w:r w:rsidRPr="0021277B">
              <w:rPr>
                <w:rFonts w:eastAsia="MS Mincho"/>
                <w:bCs/>
                <w:i/>
                <w:color w:val="000000"/>
                <w:sz w:val="22"/>
                <w:szCs w:val="22"/>
                <w:lang w:val="en-US"/>
              </w:rPr>
              <w:t>Macroramphosus scolopax</w:t>
            </w:r>
            <w:r w:rsidRPr="0021277B">
              <w:rPr>
                <w:rFonts w:eastAsia="MS Mincho"/>
                <w:bCs/>
                <w:color w:val="000000"/>
                <w:sz w:val="22"/>
                <w:szCs w:val="22"/>
                <w:lang w:val="en-US"/>
              </w:rPr>
              <w:t>), seabass (</w:t>
            </w:r>
            <w:r w:rsidRPr="0021277B">
              <w:rPr>
                <w:rFonts w:eastAsia="MS Mincho"/>
                <w:bCs/>
                <w:i/>
                <w:color w:val="000000"/>
                <w:sz w:val="22"/>
                <w:szCs w:val="22"/>
                <w:lang w:val="en-US"/>
              </w:rPr>
              <w:t>Anthias anthias</w:t>
            </w:r>
            <w:r w:rsidRPr="0021277B">
              <w:rPr>
                <w:rFonts w:eastAsia="MS Mincho"/>
                <w:bCs/>
                <w:color w:val="000000"/>
                <w:sz w:val="22"/>
                <w:szCs w:val="22"/>
                <w:lang w:val="en-US"/>
              </w:rPr>
              <w:t>), boarfishes (</w:t>
            </w:r>
            <w:r w:rsidRPr="0021277B">
              <w:rPr>
                <w:rFonts w:eastAsia="MS Mincho"/>
                <w:bCs/>
                <w:i/>
                <w:color w:val="000000"/>
                <w:sz w:val="22"/>
                <w:szCs w:val="22"/>
                <w:lang w:val="en-US"/>
              </w:rPr>
              <w:t>Capros aper</w:t>
            </w:r>
            <w:r w:rsidRPr="0021277B">
              <w:rPr>
                <w:rFonts w:eastAsia="MS Mincho"/>
                <w:bCs/>
                <w:color w:val="000000"/>
                <w:sz w:val="22"/>
                <w:szCs w:val="22"/>
                <w:lang w:val="en-US"/>
              </w:rPr>
              <w:t xml:space="preserve"> and </w:t>
            </w:r>
            <w:r w:rsidRPr="0021277B">
              <w:rPr>
                <w:rFonts w:eastAsia="MS Mincho"/>
                <w:bCs/>
                <w:i/>
                <w:color w:val="000000"/>
                <w:sz w:val="22"/>
                <w:szCs w:val="22"/>
                <w:lang w:val="en-US"/>
              </w:rPr>
              <w:t>Antigonia capros</w:t>
            </w:r>
            <w:r w:rsidRPr="0021277B">
              <w:rPr>
                <w:rFonts w:eastAsia="MS Mincho"/>
                <w:bCs/>
                <w:color w:val="000000"/>
                <w:sz w:val="22"/>
                <w:szCs w:val="22"/>
                <w:lang w:val="en-US"/>
              </w:rPr>
              <w:t>), flatfish (</w:t>
            </w:r>
            <w:r w:rsidRPr="0021277B">
              <w:rPr>
                <w:rFonts w:eastAsia="MS Mincho"/>
                <w:bCs/>
                <w:i/>
                <w:color w:val="000000"/>
                <w:sz w:val="22"/>
                <w:szCs w:val="22"/>
                <w:lang w:val="en-US"/>
              </w:rPr>
              <w:t>Arnoglossus rueppelli</w:t>
            </w:r>
            <w:r w:rsidRPr="0021277B">
              <w:rPr>
                <w:rFonts w:eastAsia="MS Mincho"/>
                <w:bCs/>
                <w:color w:val="000000"/>
                <w:sz w:val="22"/>
                <w:szCs w:val="22"/>
                <w:lang w:val="en-US"/>
              </w:rPr>
              <w:t>) and aulopid (</w:t>
            </w:r>
            <w:r w:rsidRPr="0021277B">
              <w:rPr>
                <w:rFonts w:eastAsia="MS Mincho"/>
                <w:bCs/>
                <w:i/>
                <w:color w:val="000000"/>
                <w:sz w:val="22"/>
                <w:szCs w:val="22"/>
                <w:lang w:val="en-US"/>
              </w:rPr>
              <w:t>Aulopus filamentosus</w:t>
            </w:r>
            <w:r w:rsidRPr="0021277B">
              <w:rPr>
                <w:rFonts w:eastAsia="MS Mincho"/>
                <w:bCs/>
                <w:color w:val="000000"/>
                <w:sz w:val="22"/>
                <w:szCs w:val="22"/>
                <w:lang w:val="en-US"/>
              </w:rPr>
              <w:t>). Also</w:t>
            </w:r>
            <w:r>
              <w:rPr>
                <w:rFonts w:eastAsia="MS Mincho"/>
                <w:bCs/>
                <w:color w:val="000000"/>
                <w:sz w:val="22"/>
                <w:szCs w:val="22"/>
                <w:lang w:val="en-US"/>
              </w:rPr>
              <w:t>,</w:t>
            </w:r>
            <w:r w:rsidRPr="0021277B">
              <w:rPr>
                <w:rFonts w:eastAsia="MS Mincho"/>
                <w:bCs/>
                <w:color w:val="000000"/>
                <w:sz w:val="22"/>
                <w:szCs w:val="22"/>
                <w:lang w:val="en-US"/>
              </w:rPr>
              <w:t xml:space="preserve"> the</w:t>
            </w:r>
            <w:r>
              <w:rPr>
                <w:rFonts w:eastAsia="MS Mincho"/>
                <w:bCs/>
                <w:color w:val="000000"/>
                <w:sz w:val="22"/>
                <w:szCs w:val="22"/>
                <w:lang w:val="en-US"/>
              </w:rPr>
              <w:t>re is</w:t>
            </w:r>
            <w:r w:rsidRPr="0021277B">
              <w:rPr>
                <w:rFonts w:eastAsia="MS Mincho"/>
                <w:bCs/>
                <w:color w:val="000000"/>
                <w:sz w:val="22"/>
                <w:szCs w:val="22"/>
                <w:lang w:val="en-US"/>
              </w:rPr>
              <w:t xml:space="preserve"> presence of </w:t>
            </w:r>
            <w:r>
              <w:rPr>
                <w:rFonts w:eastAsia="MS Mincho"/>
                <w:bCs/>
                <w:color w:val="000000"/>
                <w:sz w:val="22"/>
                <w:szCs w:val="22"/>
                <w:lang w:val="en-US"/>
              </w:rPr>
              <w:t>c</w:t>
            </w:r>
            <w:r w:rsidRPr="0021277B">
              <w:rPr>
                <w:rFonts w:eastAsia="MS Mincho"/>
                <w:bCs/>
                <w:color w:val="000000"/>
                <w:sz w:val="22"/>
                <w:szCs w:val="22"/>
                <w:lang w:val="en-US"/>
              </w:rPr>
              <w:t>orals (</w:t>
            </w:r>
            <w:r w:rsidRPr="0021277B">
              <w:rPr>
                <w:rFonts w:eastAsia="MS Mincho"/>
                <w:bCs/>
                <w:iCs/>
                <w:color w:val="000000"/>
                <w:sz w:val="22"/>
                <w:szCs w:val="22"/>
                <w:lang w:val="en-US"/>
              </w:rPr>
              <w:t>e.g.,</w:t>
            </w:r>
            <w:r w:rsidRPr="0021277B">
              <w:rPr>
                <w:sz w:val="22"/>
                <w:szCs w:val="22"/>
              </w:rPr>
              <w:t xml:space="preserve"> </w:t>
            </w:r>
            <w:r w:rsidRPr="0021277B">
              <w:rPr>
                <w:rFonts w:eastAsia="MS Mincho"/>
                <w:bCs/>
                <w:i/>
                <w:color w:val="000000"/>
                <w:sz w:val="22"/>
                <w:szCs w:val="22"/>
                <w:lang w:val="en-US"/>
              </w:rPr>
              <w:t>Antipathella subpinnata, Parantipathes hirondelle, Leiopathes spp.</w:t>
            </w:r>
            <w:r w:rsidRPr="0021277B">
              <w:rPr>
                <w:rFonts w:eastAsia="MS Mincho"/>
                <w:bCs/>
                <w:color w:val="000000"/>
                <w:sz w:val="22"/>
                <w:szCs w:val="22"/>
                <w:lang w:val="en-US"/>
              </w:rPr>
              <w:t>), hydroids (</w:t>
            </w:r>
            <w:r w:rsidRPr="0021277B">
              <w:rPr>
                <w:rFonts w:eastAsia="MS Mincho"/>
                <w:bCs/>
                <w:iCs/>
                <w:color w:val="000000"/>
                <w:sz w:val="22"/>
                <w:szCs w:val="22"/>
                <w:lang w:val="en-US"/>
              </w:rPr>
              <w:t>e.g.,</w:t>
            </w:r>
            <w:r w:rsidRPr="0021277B">
              <w:rPr>
                <w:rFonts w:eastAsia="MS Mincho"/>
                <w:bCs/>
                <w:color w:val="000000"/>
                <w:sz w:val="22"/>
                <w:szCs w:val="22"/>
                <w:lang w:val="en-US"/>
              </w:rPr>
              <w:t xml:space="preserve"> </w:t>
            </w:r>
            <w:r w:rsidRPr="0021277B">
              <w:rPr>
                <w:rFonts w:eastAsia="MS Mincho"/>
                <w:bCs/>
                <w:i/>
                <w:color w:val="000000"/>
                <w:sz w:val="22"/>
                <w:szCs w:val="22"/>
                <w:lang w:val="en-US"/>
              </w:rPr>
              <w:t>Acryptolaria conferta</w:t>
            </w:r>
            <w:r w:rsidRPr="0021277B">
              <w:rPr>
                <w:rFonts w:eastAsia="MS Mincho"/>
                <w:bCs/>
                <w:color w:val="000000"/>
                <w:sz w:val="22"/>
                <w:szCs w:val="22"/>
                <w:lang w:val="en-US"/>
              </w:rPr>
              <w:t xml:space="preserve">), </w:t>
            </w:r>
            <w:r>
              <w:rPr>
                <w:rFonts w:eastAsia="MS Mincho"/>
                <w:bCs/>
                <w:color w:val="000000"/>
                <w:sz w:val="22"/>
                <w:szCs w:val="22"/>
                <w:lang w:val="en-US"/>
              </w:rPr>
              <w:t>e</w:t>
            </w:r>
            <w:r w:rsidRPr="0021277B">
              <w:rPr>
                <w:rFonts w:eastAsia="MS Mincho"/>
                <w:bCs/>
                <w:color w:val="000000"/>
                <w:sz w:val="22"/>
                <w:szCs w:val="22"/>
                <w:lang w:val="en-US"/>
              </w:rPr>
              <w:t>chinoderms (</w:t>
            </w:r>
            <w:r w:rsidRPr="0021277B">
              <w:rPr>
                <w:rFonts w:eastAsia="MS Mincho"/>
                <w:bCs/>
                <w:iCs/>
                <w:color w:val="000000"/>
                <w:sz w:val="22"/>
                <w:szCs w:val="22"/>
                <w:lang w:val="en-US"/>
              </w:rPr>
              <w:t>e.g.,</w:t>
            </w:r>
            <w:r w:rsidRPr="0021277B">
              <w:rPr>
                <w:rFonts w:eastAsia="MS Mincho"/>
                <w:bCs/>
                <w:color w:val="000000"/>
                <w:sz w:val="22"/>
                <w:szCs w:val="22"/>
                <w:lang w:val="en-US"/>
              </w:rPr>
              <w:t xml:space="preserve"> </w:t>
            </w:r>
            <w:r w:rsidRPr="0021277B">
              <w:rPr>
                <w:rFonts w:eastAsia="MS Mincho"/>
                <w:bCs/>
                <w:i/>
                <w:color w:val="000000"/>
                <w:sz w:val="22"/>
                <w:szCs w:val="22"/>
                <w:lang w:val="en-US"/>
              </w:rPr>
              <w:t>Centrostephanus longispinus</w:t>
            </w:r>
            <w:r w:rsidRPr="0021277B">
              <w:rPr>
                <w:rFonts w:eastAsia="MS Mincho"/>
                <w:bCs/>
                <w:color w:val="000000"/>
                <w:sz w:val="22"/>
                <w:szCs w:val="22"/>
                <w:lang w:val="en-US"/>
              </w:rPr>
              <w:t xml:space="preserve">), </w:t>
            </w:r>
            <w:r>
              <w:rPr>
                <w:rFonts w:eastAsia="MS Mincho"/>
                <w:bCs/>
                <w:color w:val="000000"/>
                <w:sz w:val="22"/>
                <w:szCs w:val="22"/>
                <w:lang w:val="en-US"/>
              </w:rPr>
              <w:t>m</w:t>
            </w:r>
            <w:r w:rsidRPr="0021277B">
              <w:rPr>
                <w:rFonts w:eastAsia="MS Mincho"/>
                <w:bCs/>
                <w:color w:val="000000"/>
                <w:sz w:val="22"/>
                <w:szCs w:val="22"/>
                <w:lang w:val="en-US"/>
              </w:rPr>
              <w:t>olluscs (</w:t>
            </w:r>
            <w:r>
              <w:rPr>
                <w:rFonts w:eastAsia="MS Mincho"/>
                <w:bCs/>
                <w:color w:val="000000"/>
                <w:sz w:val="22"/>
                <w:szCs w:val="22"/>
                <w:lang w:val="en-US"/>
              </w:rPr>
              <w:t>e.g.,</w:t>
            </w:r>
            <w:r w:rsidRPr="0021277B">
              <w:rPr>
                <w:rFonts w:eastAsia="MS Mincho"/>
                <w:bCs/>
                <w:color w:val="000000"/>
                <w:sz w:val="22"/>
                <w:szCs w:val="22"/>
                <w:lang w:val="en-US"/>
              </w:rPr>
              <w:t xml:space="preserve"> </w:t>
            </w:r>
            <w:r w:rsidRPr="0021277B">
              <w:rPr>
                <w:rFonts w:eastAsia="MS Mincho"/>
                <w:bCs/>
                <w:i/>
                <w:color w:val="000000"/>
                <w:sz w:val="22"/>
                <w:szCs w:val="22"/>
                <w:lang w:val="en-US"/>
              </w:rPr>
              <w:t>Dermomurex gofasi</w:t>
            </w:r>
            <w:r w:rsidRPr="0021277B">
              <w:rPr>
                <w:rFonts w:eastAsia="MS Mincho"/>
                <w:bCs/>
                <w:color w:val="000000"/>
                <w:sz w:val="22"/>
                <w:szCs w:val="22"/>
                <w:lang w:val="en-US"/>
              </w:rPr>
              <w:t>)</w:t>
            </w:r>
            <w:r>
              <w:rPr>
                <w:rFonts w:eastAsia="MS Mincho"/>
                <w:bCs/>
                <w:color w:val="000000"/>
                <w:sz w:val="22"/>
                <w:szCs w:val="22"/>
                <w:lang w:val="en-US"/>
              </w:rPr>
              <w:t xml:space="preserve"> and</w:t>
            </w:r>
            <w:r w:rsidRPr="0021277B">
              <w:rPr>
                <w:rFonts w:eastAsia="MS Mincho"/>
                <w:bCs/>
                <w:color w:val="000000"/>
                <w:sz w:val="22"/>
                <w:szCs w:val="22"/>
                <w:lang w:val="en-US"/>
              </w:rPr>
              <w:t xml:space="preserve"> sponges (</w:t>
            </w:r>
            <w:r w:rsidRPr="0021277B">
              <w:rPr>
                <w:rFonts w:eastAsia="MS Mincho"/>
                <w:bCs/>
                <w:iCs/>
                <w:color w:val="000000"/>
                <w:sz w:val="22"/>
                <w:szCs w:val="22"/>
                <w:lang w:val="en-US"/>
              </w:rPr>
              <w:t>e.g.,</w:t>
            </w:r>
            <w:r w:rsidRPr="0021277B">
              <w:rPr>
                <w:rFonts w:eastAsia="MS Mincho"/>
                <w:bCs/>
                <w:color w:val="000000"/>
                <w:sz w:val="22"/>
                <w:szCs w:val="22"/>
                <w:lang w:val="en-US"/>
              </w:rPr>
              <w:t xml:space="preserve"> </w:t>
            </w:r>
            <w:r w:rsidRPr="0021277B">
              <w:rPr>
                <w:rFonts w:eastAsia="MS Mincho"/>
                <w:bCs/>
                <w:i/>
                <w:color w:val="000000"/>
                <w:sz w:val="22"/>
                <w:szCs w:val="22"/>
                <w:lang w:val="en-US"/>
              </w:rPr>
              <w:t>Craniella longipilis</w:t>
            </w:r>
            <w:r w:rsidRPr="0021277B">
              <w:rPr>
                <w:rFonts w:eastAsia="MS Mincho"/>
                <w:bCs/>
                <w:color w:val="000000"/>
                <w:sz w:val="22"/>
                <w:szCs w:val="22"/>
                <w:lang w:val="en-US"/>
              </w:rPr>
              <w:t>). These kinds of species often form extensive reef-like structures, which themselves provide a diverse habitat for other animals, for example</w:t>
            </w:r>
            <w:r w:rsidRPr="0021277B">
              <w:rPr>
                <w:sz w:val="22"/>
                <w:szCs w:val="22"/>
              </w:rPr>
              <w:t xml:space="preserve"> </w:t>
            </w:r>
            <w:r w:rsidRPr="0021277B">
              <w:rPr>
                <w:rFonts w:eastAsia="MS Mincho"/>
                <w:bCs/>
                <w:color w:val="000000"/>
                <w:sz w:val="22"/>
                <w:szCs w:val="22"/>
                <w:lang w:val="en-US"/>
              </w:rPr>
              <w:t>Cephalopoda (</w:t>
            </w:r>
            <w:r w:rsidRPr="0021277B">
              <w:rPr>
                <w:rFonts w:eastAsia="MS Mincho"/>
                <w:bCs/>
                <w:iCs/>
                <w:color w:val="000000"/>
                <w:sz w:val="22"/>
                <w:szCs w:val="22"/>
                <w:lang w:val="en-US"/>
              </w:rPr>
              <w:t>e.g.,</w:t>
            </w:r>
            <w:r w:rsidRPr="0021277B">
              <w:rPr>
                <w:rFonts w:eastAsia="MS Mincho"/>
                <w:bCs/>
                <w:i/>
                <w:color w:val="000000"/>
                <w:sz w:val="22"/>
                <w:szCs w:val="22"/>
                <w:lang w:val="en-US"/>
              </w:rPr>
              <w:t xml:space="preserve"> Ornitoteuthis antillarum</w:t>
            </w:r>
            <w:r w:rsidRPr="0021277B">
              <w:rPr>
                <w:rFonts w:eastAsia="MS Mincho"/>
                <w:bCs/>
                <w:color w:val="000000"/>
                <w:sz w:val="22"/>
                <w:szCs w:val="22"/>
                <w:lang w:val="en-US"/>
              </w:rPr>
              <w:t>,</w:t>
            </w:r>
            <w:r w:rsidRPr="0021277B">
              <w:rPr>
                <w:sz w:val="22"/>
                <w:szCs w:val="22"/>
              </w:rPr>
              <w:t xml:space="preserve"> </w:t>
            </w:r>
            <w:r w:rsidRPr="0021277B">
              <w:rPr>
                <w:rFonts w:eastAsia="MS Mincho"/>
                <w:bCs/>
                <w:i/>
                <w:color w:val="000000"/>
                <w:sz w:val="22"/>
                <w:szCs w:val="22"/>
                <w:lang w:val="en-US"/>
              </w:rPr>
              <w:t>Tremoctopus violaceus</w:t>
            </w:r>
            <w:r w:rsidRPr="0021277B">
              <w:rPr>
                <w:rFonts w:eastAsia="MS Mincho"/>
                <w:bCs/>
                <w:color w:val="000000"/>
                <w:sz w:val="22"/>
                <w:szCs w:val="22"/>
                <w:lang w:val="en-US"/>
              </w:rPr>
              <w:t>) and</w:t>
            </w:r>
            <w:r w:rsidRPr="0021277B">
              <w:rPr>
                <w:sz w:val="22"/>
                <w:szCs w:val="22"/>
              </w:rPr>
              <w:t xml:space="preserve"> </w:t>
            </w:r>
            <w:r w:rsidRPr="002E4B39">
              <w:rPr>
                <w:rFonts w:eastAsia="MS Mincho"/>
                <w:sz w:val="22"/>
                <w:szCs w:val="22"/>
                <w:lang w:val="en-US"/>
              </w:rPr>
              <w:t>Elasmobranchii</w:t>
            </w:r>
            <w:r w:rsidRPr="0021277B">
              <w:rPr>
                <w:rFonts w:eastAsia="MS Mincho"/>
                <w:bCs/>
                <w:color w:val="000000"/>
                <w:sz w:val="22"/>
                <w:szCs w:val="22"/>
                <w:lang w:val="en-US"/>
              </w:rPr>
              <w:t xml:space="preserve"> (</w:t>
            </w:r>
            <w:r w:rsidRPr="0021277B">
              <w:rPr>
                <w:rFonts w:eastAsia="MS Mincho"/>
                <w:bCs/>
                <w:i/>
                <w:color w:val="000000"/>
                <w:sz w:val="22"/>
                <w:szCs w:val="22"/>
                <w:lang w:val="en-US"/>
              </w:rPr>
              <w:t>Heptranchias perlo</w:t>
            </w:r>
            <w:r w:rsidRPr="0021277B">
              <w:rPr>
                <w:rFonts w:eastAsia="MS Mincho"/>
                <w:bCs/>
                <w:color w:val="000000"/>
                <w:sz w:val="22"/>
                <w:szCs w:val="22"/>
                <w:lang w:val="en-US"/>
              </w:rPr>
              <w:t xml:space="preserve">). </w:t>
            </w:r>
          </w:p>
          <w:p w14:paraId="09AB70DE" w14:textId="1738CFAF" w:rsidR="006B3F46" w:rsidRPr="0021277B" w:rsidRDefault="006B3F46" w:rsidP="002E4B39">
            <w:pPr>
              <w:suppressLineNumbers/>
              <w:spacing w:after="120"/>
              <w:jc w:val="both"/>
              <w:rPr>
                <w:rFonts w:eastAsia="MS Mincho"/>
                <w:bCs/>
                <w:color w:val="000000"/>
                <w:sz w:val="22"/>
                <w:szCs w:val="22"/>
                <w:lang w:val="en-US"/>
              </w:rPr>
            </w:pPr>
            <w:r w:rsidRPr="0021277B">
              <w:rPr>
                <w:rFonts w:eastAsia="MS Mincho"/>
                <w:color w:val="000000"/>
                <w:sz w:val="22"/>
                <w:szCs w:val="22"/>
                <w:lang w:val="en-US"/>
              </w:rPr>
              <w:t xml:space="preserve">Atlantis </w:t>
            </w:r>
            <w:r>
              <w:rPr>
                <w:rFonts w:eastAsia="MS Mincho"/>
                <w:color w:val="000000"/>
                <w:sz w:val="22"/>
                <w:szCs w:val="22"/>
                <w:lang w:val="en-US"/>
              </w:rPr>
              <w:t xml:space="preserve">seamount </w:t>
            </w:r>
            <w:r w:rsidRPr="0021277B">
              <w:rPr>
                <w:rFonts w:eastAsia="MS Mincho"/>
                <w:color w:val="000000"/>
                <w:sz w:val="22"/>
                <w:szCs w:val="22"/>
                <w:lang w:val="en-US"/>
              </w:rPr>
              <w:t xml:space="preserve">and </w:t>
            </w:r>
            <w:r w:rsidRPr="002E4B39">
              <w:rPr>
                <w:rFonts w:eastAsia="MS Mincho"/>
                <w:sz w:val="22"/>
                <w:szCs w:val="22"/>
                <w:lang w:val="en-US"/>
              </w:rPr>
              <w:t>those</w:t>
            </w:r>
            <w:r>
              <w:rPr>
                <w:rFonts w:eastAsia="MS Mincho"/>
                <w:color w:val="000000"/>
                <w:sz w:val="22"/>
                <w:szCs w:val="22"/>
                <w:lang w:val="en-US"/>
              </w:rPr>
              <w:t xml:space="preserve"> of the</w:t>
            </w:r>
            <w:r w:rsidRPr="0021277B">
              <w:rPr>
                <w:rFonts w:eastAsia="MS Mincho"/>
                <w:color w:val="000000"/>
                <w:sz w:val="22"/>
                <w:szCs w:val="22"/>
                <w:lang w:val="en-US"/>
              </w:rPr>
              <w:t xml:space="preserve"> Meteor bank are vital stopping points for certain migratory species of whales and cetaceans, including sperm whales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Physeter microcephalus</w:t>
            </w:r>
            <w:r w:rsidRPr="0021277B">
              <w:rPr>
                <w:rFonts w:eastAsia="MS Mincho"/>
                <w:color w:val="000000"/>
                <w:sz w:val="22"/>
                <w:szCs w:val="22"/>
                <w:lang w:val="en-US"/>
              </w:rPr>
              <w:t>), fin whales (</w:t>
            </w:r>
            <w:r w:rsidRPr="0021277B">
              <w:rPr>
                <w:rFonts w:eastAsia="MS Mincho"/>
                <w:iCs/>
                <w:color w:val="000000"/>
                <w:sz w:val="22"/>
                <w:szCs w:val="22"/>
                <w:lang w:val="en-US"/>
              </w:rPr>
              <w:t>e.g.,</w:t>
            </w:r>
            <w:r w:rsidRPr="0021277B">
              <w:rPr>
                <w:rFonts w:eastAsia="MS Mincho"/>
                <w:i/>
                <w:color w:val="000000"/>
                <w:sz w:val="22"/>
                <w:szCs w:val="22"/>
                <w:lang w:val="en-US"/>
              </w:rPr>
              <w:t xml:space="preserve"> Balaenoptera acutorostrata</w:t>
            </w:r>
            <w:r w:rsidRPr="0021277B">
              <w:rPr>
                <w:rFonts w:eastAsia="MS Mincho"/>
                <w:color w:val="000000"/>
                <w:sz w:val="22"/>
                <w:szCs w:val="22"/>
                <w:lang w:val="en-US"/>
              </w:rPr>
              <w:t>), striped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Stenella coeruleoalba</w:t>
            </w:r>
            <w:r w:rsidRPr="0021277B">
              <w:rPr>
                <w:rFonts w:eastAsia="MS Mincho"/>
                <w:color w:val="000000"/>
                <w:sz w:val="22"/>
                <w:szCs w:val="22"/>
                <w:lang w:val="en-US"/>
              </w:rPr>
              <w:t>) and bottlenose dolphins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Tursiops truncatus</w:t>
            </w:r>
            <w:r w:rsidRPr="0021277B">
              <w:rPr>
                <w:rFonts w:eastAsia="MS Mincho"/>
                <w:color w:val="000000"/>
                <w:sz w:val="22"/>
                <w:szCs w:val="22"/>
                <w:lang w:val="en-US"/>
              </w:rPr>
              <w:t xml:space="preserve">). The seamounts </w:t>
            </w:r>
            <w:r>
              <w:rPr>
                <w:rFonts w:eastAsia="MS Mincho"/>
                <w:color w:val="000000"/>
                <w:sz w:val="22"/>
                <w:szCs w:val="22"/>
                <w:lang w:val="en-US"/>
              </w:rPr>
              <w:t xml:space="preserve">of Meteor Bank </w:t>
            </w:r>
            <w:r w:rsidRPr="0021277B">
              <w:rPr>
                <w:rFonts w:eastAsia="MS Mincho"/>
                <w:color w:val="000000"/>
                <w:sz w:val="22"/>
                <w:szCs w:val="22"/>
                <w:lang w:val="en-US"/>
              </w:rPr>
              <w:t>receive many species of seabirds that use these places to feed (</w:t>
            </w:r>
            <w:r w:rsidRPr="0021277B">
              <w:rPr>
                <w:rFonts w:eastAsia="MS Mincho"/>
                <w:iCs/>
                <w:color w:val="000000"/>
                <w:sz w:val="22"/>
                <w:szCs w:val="22"/>
                <w:lang w:val="en-US"/>
              </w:rPr>
              <w:t>e.g.,</w:t>
            </w:r>
            <w:r w:rsidRPr="0021277B">
              <w:rPr>
                <w:rFonts w:eastAsia="MS Mincho"/>
                <w:color w:val="000000"/>
                <w:sz w:val="22"/>
                <w:szCs w:val="22"/>
                <w:lang w:val="en-US"/>
              </w:rPr>
              <w:t xml:space="preserve"> </w:t>
            </w:r>
            <w:r w:rsidRPr="0021277B">
              <w:rPr>
                <w:rFonts w:eastAsia="MS Mincho"/>
                <w:i/>
                <w:color w:val="000000"/>
                <w:sz w:val="22"/>
                <w:szCs w:val="22"/>
                <w:lang w:val="en-US"/>
              </w:rPr>
              <w:t>Calonectris diomedea</w:t>
            </w:r>
            <w:r w:rsidRPr="0021277B">
              <w:rPr>
                <w:rFonts w:eastAsia="MS Mincho"/>
                <w:color w:val="000000"/>
                <w:sz w:val="22"/>
                <w:szCs w:val="22"/>
                <w:lang w:val="en-US"/>
              </w:rPr>
              <w:t xml:space="preserve">, </w:t>
            </w:r>
            <w:r w:rsidRPr="0021277B">
              <w:rPr>
                <w:rFonts w:eastAsia="MS Mincho"/>
                <w:i/>
                <w:color w:val="000000"/>
                <w:sz w:val="22"/>
                <w:szCs w:val="22"/>
                <w:lang w:val="en-US"/>
              </w:rPr>
              <w:t>Oceanodroma castro</w:t>
            </w:r>
            <w:r w:rsidRPr="0021277B">
              <w:rPr>
                <w:rFonts w:eastAsia="MS Mincho"/>
                <w:color w:val="000000"/>
                <w:sz w:val="22"/>
                <w:szCs w:val="22"/>
                <w:lang w:val="en-US"/>
              </w:rPr>
              <w:t xml:space="preserve">, </w:t>
            </w:r>
            <w:r w:rsidRPr="0021277B">
              <w:rPr>
                <w:rFonts w:eastAsia="MS Mincho"/>
                <w:i/>
                <w:color w:val="000000"/>
                <w:sz w:val="22"/>
                <w:szCs w:val="22"/>
                <w:lang w:val="en-US"/>
              </w:rPr>
              <w:t>Puffinus myasthenia</w:t>
            </w:r>
            <w:r w:rsidRPr="0021277B">
              <w:rPr>
                <w:rFonts w:eastAsia="MS Mincho"/>
                <w:color w:val="000000"/>
                <w:sz w:val="22"/>
                <w:szCs w:val="22"/>
                <w:lang w:val="en-US"/>
              </w:rPr>
              <w:t xml:space="preserve">). </w:t>
            </w:r>
            <w:r w:rsidRPr="0021277B">
              <w:rPr>
                <w:rFonts w:eastAsia="MS Mincho"/>
                <w:sz w:val="22"/>
                <w:szCs w:val="22"/>
                <w:lang w:val="en-US"/>
              </w:rPr>
              <w:t>Loggerhead turtle (</w:t>
            </w:r>
            <w:r w:rsidRPr="0021277B">
              <w:rPr>
                <w:rFonts w:eastAsia="MS Mincho"/>
                <w:i/>
                <w:sz w:val="22"/>
                <w:szCs w:val="22"/>
                <w:lang w:val="en-US"/>
              </w:rPr>
              <w:t>Caretta caretta</w:t>
            </w:r>
            <w:r w:rsidRPr="0021277B">
              <w:rPr>
                <w:rFonts w:eastAsia="MS Mincho"/>
                <w:sz w:val="22"/>
                <w:szCs w:val="22"/>
                <w:lang w:val="en-US"/>
              </w:rPr>
              <w:t xml:space="preserve">) tracks indicate use of seamount as habitat (Pitcher </w:t>
            </w:r>
            <w:r w:rsidRPr="0006066A">
              <w:rPr>
                <w:rFonts w:eastAsia="MS Mincho"/>
                <w:i/>
                <w:sz w:val="22"/>
                <w:szCs w:val="22"/>
                <w:lang w:val="en-US"/>
              </w:rPr>
              <w:t>et al</w:t>
            </w:r>
            <w:r w:rsidRPr="0021277B">
              <w:rPr>
                <w:rFonts w:eastAsia="MS Mincho"/>
                <w:sz w:val="22"/>
                <w:szCs w:val="22"/>
                <w:lang w:val="en-US"/>
              </w:rPr>
              <w:t>., 2010)</w:t>
            </w:r>
            <w:r w:rsidRPr="0021277B">
              <w:rPr>
                <w:rFonts w:eastAsia="MS Mincho"/>
                <w:bCs/>
                <w:color w:val="000000"/>
                <w:sz w:val="22"/>
                <w:szCs w:val="22"/>
                <w:lang w:val="en-US"/>
              </w:rPr>
              <w:t xml:space="preserve">. </w:t>
            </w:r>
          </w:p>
        </w:tc>
      </w:tr>
      <w:tr w:rsidR="006B3F46" w:rsidRPr="0021277B" w14:paraId="02699ECD" w14:textId="77777777" w:rsidTr="002E4B39">
        <w:tc>
          <w:tcPr>
            <w:tcW w:w="832" w:type="pct"/>
            <w:shd w:val="clear" w:color="auto" w:fill="auto"/>
          </w:tcPr>
          <w:p w14:paraId="05BD525D"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47" w:type="pct"/>
            <w:gridSpan w:val="2"/>
            <w:shd w:val="clear" w:color="auto" w:fill="auto"/>
          </w:tcPr>
          <w:p w14:paraId="4B0D670B"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vAlign w:val="center"/>
          </w:tcPr>
          <w:p w14:paraId="5C36DFBF"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53" w:type="pct"/>
            <w:gridSpan w:val="2"/>
            <w:shd w:val="clear" w:color="auto" w:fill="auto"/>
            <w:vAlign w:val="center"/>
          </w:tcPr>
          <w:p w14:paraId="4032788E"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vAlign w:val="center"/>
          </w:tcPr>
          <w:p w14:paraId="6B47B514"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sidRPr="0021277B">
              <w:rPr>
                <w:rFonts w:eastAsia="MS Mincho"/>
                <w:color w:val="000000"/>
                <w:sz w:val="22"/>
                <w:szCs w:val="22"/>
                <w:lang w:val="en-US"/>
              </w:rPr>
              <w:t>X</w:t>
            </w:r>
          </w:p>
        </w:tc>
        <w:tc>
          <w:tcPr>
            <w:tcW w:w="385" w:type="pct"/>
            <w:shd w:val="clear" w:color="auto" w:fill="auto"/>
            <w:vAlign w:val="center"/>
          </w:tcPr>
          <w:p w14:paraId="38FAA3C5"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3EDCA33B" w14:textId="77777777" w:rsidTr="00907941">
        <w:tc>
          <w:tcPr>
            <w:tcW w:w="5000" w:type="pct"/>
            <w:gridSpan w:val="11"/>
            <w:shd w:val="clear" w:color="auto" w:fill="auto"/>
          </w:tcPr>
          <w:p w14:paraId="28FDD6F8"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2D2CC04A" w14:textId="77777777" w:rsidR="006B3F46" w:rsidRDefault="006B3F46" w:rsidP="00907941">
            <w:pPr>
              <w:widowControl w:val="0"/>
              <w:autoSpaceDE w:val="0"/>
              <w:autoSpaceDN w:val="0"/>
              <w:adjustRightInd w:val="0"/>
              <w:jc w:val="both"/>
              <w:rPr>
                <w:rFonts w:eastAsia="MS Mincho"/>
                <w:sz w:val="22"/>
                <w:szCs w:val="22"/>
                <w:lang w:val="en-US"/>
              </w:rPr>
            </w:pPr>
            <w:r w:rsidRPr="0021277B">
              <w:rPr>
                <w:sz w:val="22"/>
                <w:szCs w:val="22"/>
              </w:rPr>
              <w:t xml:space="preserve">This is an FAO </w:t>
            </w:r>
            <w:r w:rsidRPr="0021277B">
              <w:rPr>
                <w:rStyle w:val="highlight"/>
                <w:sz w:val="22"/>
                <w:szCs w:val="22"/>
              </w:rPr>
              <w:t>Fishing</w:t>
            </w:r>
            <w:r w:rsidRPr="0021277B">
              <w:rPr>
                <w:sz w:val="22"/>
                <w:szCs w:val="22"/>
              </w:rPr>
              <w:t xml:space="preserve"> Area (No. 27 / No. 34). </w:t>
            </w:r>
            <w:r w:rsidRPr="0021277B">
              <w:rPr>
                <w:rFonts w:eastAsia="MS Mincho"/>
                <w:sz w:val="22"/>
                <w:szCs w:val="22"/>
                <w:lang w:val="en-US"/>
              </w:rPr>
              <w:t>The fisheries for horse mackerel (</w:t>
            </w:r>
            <w:r w:rsidRPr="0021277B">
              <w:rPr>
                <w:rFonts w:eastAsia="MS Mincho"/>
                <w:i/>
                <w:sz w:val="22"/>
                <w:szCs w:val="22"/>
                <w:lang w:val="en-US"/>
              </w:rPr>
              <w:t>Trachurus trachurus</w:t>
            </w:r>
            <w:r w:rsidRPr="0021277B">
              <w:rPr>
                <w:rFonts w:eastAsia="MS Mincho"/>
                <w:sz w:val="22"/>
                <w:szCs w:val="22"/>
                <w:lang w:val="en-US"/>
              </w:rPr>
              <w:t>, Carangidae), mackerel (</w:t>
            </w:r>
            <w:r w:rsidRPr="0021277B">
              <w:rPr>
                <w:rFonts w:eastAsia="MS Mincho"/>
                <w:i/>
                <w:sz w:val="22"/>
                <w:szCs w:val="22"/>
                <w:lang w:val="en-US"/>
              </w:rPr>
              <w:t>Scomber</w:t>
            </w:r>
            <w:r w:rsidRPr="0021277B">
              <w:rPr>
                <w:rFonts w:eastAsia="MS Mincho"/>
                <w:sz w:val="22"/>
                <w:szCs w:val="22"/>
                <w:lang w:val="en-US"/>
              </w:rPr>
              <w:t xml:space="preserve"> sp., Scombridae), scabbardfish (family Trichiuridae) and orange roughy (</w:t>
            </w:r>
            <w:r w:rsidRPr="0021277B">
              <w:rPr>
                <w:rFonts w:eastAsia="MS Mincho"/>
                <w:i/>
                <w:color w:val="000000"/>
                <w:sz w:val="22"/>
                <w:szCs w:val="22"/>
                <w:lang w:val="en-US"/>
              </w:rPr>
              <w:t>Hoplostethus</w:t>
            </w:r>
            <w:r w:rsidRPr="0021277B">
              <w:rPr>
                <w:i/>
                <w:sz w:val="22"/>
                <w:szCs w:val="22"/>
                <w:lang w:val="en-US"/>
              </w:rPr>
              <w:t xml:space="preserve"> atlanticus</w:t>
            </w:r>
            <w:r w:rsidRPr="0021277B">
              <w:rPr>
                <w:rFonts w:eastAsia="MS Mincho"/>
                <w:sz w:val="22"/>
                <w:szCs w:val="22"/>
                <w:lang w:val="en-US"/>
              </w:rPr>
              <w:t>) have been operating in the seamounts (</w:t>
            </w:r>
            <w:r w:rsidRPr="0021277B">
              <w:rPr>
                <w:sz w:val="22"/>
                <w:szCs w:val="22"/>
              </w:rPr>
              <w:t xml:space="preserve">Uiblein </w:t>
            </w:r>
            <w:r w:rsidRPr="0006066A">
              <w:rPr>
                <w:i/>
                <w:sz w:val="22"/>
                <w:szCs w:val="22"/>
              </w:rPr>
              <w:t>et al</w:t>
            </w:r>
            <w:r w:rsidRPr="0021277B">
              <w:rPr>
                <w:sz w:val="22"/>
                <w:szCs w:val="22"/>
              </w:rPr>
              <w:t>., 1999</w:t>
            </w:r>
            <w:r w:rsidRPr="0021277B">
              <w:rPr>
                <w:rFonts w:eastAsia="MS Mincho"/>
                <w:sz w:val="22"/>
                <w:szCs w:val="22"/>
                <w:lang w:val="en-US"/>
              </w:rPr>
              <w:t>).</w:t>
            </w:r>
          </w:p>
          <w:p w14:paraId="28D99959" w14:textId="77777777" w:rsidR="006B3F46" w:rsidRPr="0021277B" w:rsidRDefault="006B3F46" w:rsidP="00907941">
            <w:pPr>
              <w:widowControl w:val="0"/>
              <w:autoSpaceDE w:val="0"/>
              <w:autoSpaceDN w:val="0"/>
              <w:adjustRightInd w:val="0"/>
              <w:jc w:val="both"/>
              <w:rPr>
                <w:rFonts w:eastAsia="MS Mincho"/>
                <w:sz w:val="22"/>
                <w:szCs w:val="22"/>
                <w:lang w:val="en-US"/>
              </w:rPr>
            </w:pPr>
          </w:p>
        </w:tc>
      </w:tr>
    </w:tbl>
    <w:p w14:paraId="316ED53E"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03F777F4" w14:textId="77777777" w:rsidR="006B3F46" w:rsidRPr="009978E3" w:rsidRDefault="006B3F46" w:rsidP="00907941">
      <w:pPr>
        <w:rPr>
          <w:rFonts w:eastAsia="MS Mincho"/>
          <w:b/>
          <w:sz w:val="22"/>
          <w:szCs w:val="22"/>
          <w:lang w:val="en-US"/>
        </w:rPr>
      </w:pPr>
      <w:r w:rsidRPr="009978E3">
        <w:rPr>
          <w:rFonts w:eastAsia="MS Mincho"/>
          <w:b/>
          <w:sz w:val="22"/>
          <w:szCs w:val="22"/>
          <w:lang w:val="en-US"/>
        </w:rPr>
        <w:br w:type="page"/>
      </w:r>
    </w:p>
    <w:p w14:paraId="47C1899B"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References</w:t>
      </w:r>
    </w:p>
    <w:p w14:paraId="66C8E176"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Allain, V. and P. Lorance, 2000. Age estimation and growth of some deep-sea fish from the northeast Atlantic Ocean. Cybium 24(3) Suppl.:7-16.</w:t>
      </w:r>
    </w:p>
    <w:p w14:paraId="437E6A1F"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Bartsch, I. (1973). Halacaridae (Acari) von der Josephinebank und der Großen Meteorbank aus dem östlichen Nordatlantik. I. Die Halacaridae aus den Schleppnetzproben. </w:t>
      </w:r>
      <w:r w:rsidRPr="009978E3">
        <w:rPr>
          <w:rFonts w:eastAsia="Calibri"/>
          <w:i/>
          <w:sz w:val="22"/>
          <w:szCs w:val="22"/>
          <w:lang w:val="en-US"/>
        </w:rPr>
        <w:t>Meteor Forsch-Erg D</w:t>
      </w:r>
      <w:r w:rsidRPr="009978E3">
        <w:rPr>
          <w:rFonts w:eastAsia="Calibri"/>
          <w:sz w:val="22"/>
          <w:szCs w:val="22"/>
          <w:lang w:val="en-US"/>
        </w:rPr>
        <w:t xml:space="preserve"> 15: 51-78.</w:t>
      </w:r>
    </w:p>
    <w:p w14:paraId="63BA0392"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Bartsch, I. (2003). Lohmannellinae (Halacaridae: Acari) from the Great Meteor Seamount (Northeastern Atlantic). Description of new species and reflections on the origin of the seamount fauna. </w:t>
      </w:r>
      <w:r w:rsidRPr="009978E3">
        <w:rPr>
          <w:rFonts w:eastAsia="Calibri"/>
          <w:i/>
          <w:sz w:val="22"/>
          <w:szCs w:val="22"/>
          <w:lang w:val="en-US"/>
        </w:rPr>
        <w:t>Mitteilungen aus dem hamburgischen zoologischen Museum und Institut</w:t>
      </w:r>
      <w:r w:rsidRPr="009978E3">
        <w:rPr>
          <w:rFonts w:eastAsia="Calibri"/>
          <w:sz w:val="22"/>
          <w:szCs w:val="22"/>
          <w:lang w:val="en-US"/>
        </w:rPr>
        <w:t xml:space="preserve"> 100: 101-117.</w:t>
      </w:r>
    </w:p>
    <w:p w14:paraId="7227EFD9"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Bartsch, I. (2004). Halacaridae (Acari) from the Great Meteor Seamount (Northeastern Atlantic). Description of Simognathus species. </w:t>
      </w:r>
      <w:r w:rsidRPr="009978E3">
        <w:rPr>
          <w:rFonts w:eastAsia="Calibri"/>
          <w:i/>
          <w:sz w:val="22"/>
          <w:szCs w:val="22"/>
          <w:lang w:val="en-US"/>
        </w:rPr>
        <w:t>Mitteilungen aus dem Hamburgischen Zoologischen Museum und Institut</w:t>
      </w:r>
      <w:r w:rsidRPr="009978E3">
        <w:rPr>
          <w:rFonts w:eastAsia="Calibri"/>
          <w:sz w:val="22"/>
          <w:szCs w:val="22"/>
          <w:lang w:val="en-US"/>
        </w:rPr>
        <w:t xml:space="preserve"> 101: 185-196.</w:t>
      </w:r>
    </w:p>
    <w:p w14:paraId="012942AF"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Bartsch, I. (2008). Notes on ophiuroids from the Great Meteor Seamount (Northeastern Atlantic). </w:t>
      </w:r>
      <w:r w:rsidRPr="009978E3">
        <w:rPr>
          <w:rFonts w:eastAsia="Calibri"/>
          <w:i/>
          <w:sz w:val="22"/>
          <w:szCs w:val="22"/>
          <w:lang w:val="en-US"/>
        </w:rPr>
        <w:t>Spixiana</w:t>
      </w:r>
      <w:r w:rsidRPr="009978E3">
        <w:rPr>
          <w:rFonts w:eastAsia="Calibri"/>
          <w:sz w:val="22"/>
          <w:szCs w:val="22"/>
          <w:lang w:val="en-US"/>
        </w:rPr>
        <w:t xml:space="preserve"> 31: 233-239.</w:t>
      </w:r>
    </w:p>
    <w:p w14:paraId="26EFE7F3" w14:textId="77777777" w:rsidR="006B3F46" w:rsidRPr="009978E3" w:rsidRDefault="006B3F46" w:rsidP="00907941">
      <w:pPr>
        <w:pStyle w:val="NormalWeb"/>
        <w:spacing w:before="0" w:beforeAutospacing="0" w:after="0" w:afterAutospacing="0"/>
        <w:ind w:left="1134" w:hanging="1134"/>
        <w:rPr>
          <w:sz w:val="22"/>
          <w:szCs w:val="22"/>
          <w:lang w:val="en-US"/>
        </w:rPr>
      </w:pPr>
      <w:r w:rsidRPr="009978E3">
        <w:rPr>
          <w:sz w:val="22"/>
          <w:szCs w:val="22"/>
          <w:lang w:val="en-US"/>
        </w:rPr>
        <w:t xml:space="preserve">Beckmann, A., &amp; Mohn, C. (2002). The upper ocean circulation at Great Meteor Seamount. </w:t>
      </w:r>
      <w:r w:rsidRPr="009978E3">
        <w:rPr>
          <w:i/>
          <w:iCs/>
          <w:sz w:val="22"/>
          <w:szCs w:val="22"/>
          <w:lang w:val="en-US"/>
        </w:rPr>
        <w:t>Ocean Dynamics</w:t>
      </w:r>
      <w:r w:rsidRPr="009978E3">
        <w:rPr>
          <w:sz w:val="22"/>
          <w:szCs w:val="22"/>
          <w:lang w:val="en-US"/>
        </w:rPr>
        <w:t xml:space="preserve"> </w:t>
      </w:r>
      <w:r w:rsidRPr="009978E3">
        <w:rPr>
          <w:iCs/>
          <w:sz w:val="22"/>
          <w:szCs w:val="22"/>
          <w:lang w:val="en-US"/>
        </w:rPr>
        <w:t>52</w:t>
      </w:r>
      <w:r w:rsidRPr="009978E3">
        <w:rPr>
          <w:sz w:val="22"/>
          <w:szCs w:val="22"/>
          <w:lang w:val="en-US"/>
        </w:rPr>
        <w:t>(4): 194–204.</w:t>
      </w:r>
    </w:p>
    <w:p w14:paraId="5CA22DD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BirdLife International (2019). The Seabird Tracking Database. www.seabirdtracking.org</w:t>
      </w:r>
    </w:p>
    <w:p w14:paraId="54C5914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Boehlert, G. &amp; Sasaki, T. (1988) Pelagic biogeography of the armourhead, Pseudopentaceros wheeleri, and recruitment to isolated seamounts in the North Pacific Ocean. Fishery Bulletin US 86: 453-465.</w:t>
      </w:r>
    </w:p>
    <w:p w14:paraId="3A62E579"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Boehlert, G. W., &amp; Mundy, B. C. (1993). Ichthyoplankton assemblages at seamounts and oceanic islands. </w:t>
      </w:r>
      <w:r w:rsidRPr="009978E3">
        <w:rPr>
          <w:rFonts w:eastAsia="Calibri"/>
          <w:i/>
          <w:sz w:val="22"/>
          <w:szCs w:val="22"/>
          <w:lang w:val="en-US"/>
        </w:rPr>
        <w:t>Bulletin of Marine Science</w:t>
      </w:r>
      <w:r w:rsidRPr="009978E3">
        <w:rPr>
          <w:rFonts w:eastAsia="Calibri"/>
          <w:sz w:val="22"/>
          <w:szCs w:val="22"/>
          <w:lang w:val="en-US"/>
        </w:rPr>
        <w:t xml:space="preserve"> 53(2): 336-361.</w:t>
      </w:r>
    </w:p>
    <w:p w14:paraId="7F0A31E3"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Brandes, H. (2011). Geotechnical characteristics of deep-sea sediments from the North Atlantic and North Pacific oceans. </w:t>
      </w:r>
      <w:r w:rsidRPr="009978E3">
        <w:rPr>
          <w:rFonts w:eastAsia="Calibri"/>
          <w:i/>
          <w:sz w:val="22"/>
          <w:szCs w:val="22"/>
          <w:lang w:val="en-US"/>
        </w:rPr>
        <w:t>Ocean Engineering</w:t>
      </w:r>
      <w:r w:rsidRPr="009978E3">
        <w:rPr>
          <w:rFonts w:eastAsia="Calibri"/>
          <w:sz w:val="22"/>
          <w:szCs w:val="22"/>
          <w:lang w:val="en-US"/>
        </w:rPr>
        <w:t xml:space="preserve"> 38(7): 835-848.</w:t>
      </w:r>
    </w:p>
    <w:p w14:paraId="4528D6FD" w14:textId="77777777" w:rsidR="006B3F46" w:rsidRPr="009978E3" w:rsidRDefault="006B3F46" w:rsidP="00907941">
      <w:pPr>
        <w:ind w:left="1134" w:hanging="1134"/>
        <w:jc w:val="both"/>
        <w:rPr>
          <w:rFonts w:eastAsia="Calibri"/>
          <w:sz w:val="22"/>
          <w:szCs w:val="22"/>
          <w:lang w:val="pt-PT"/>
        </w:rPr>
      </w:pPr>
      <w:r w:rsidRPr="009978E3">
        <w:rPr>
          <w:rFonts w:eastAsia="Calibri"/>
          <w:sz w:val="22"/>
          <w:szCs w:val="22"/>
          <w:lang w:val="en-US"/>
        </w:rPr>
        <w:t xml:space="preserve">Brewin, P., Stocks, K. &amp; Menezes, G. (2007) A History of Seamount Research. Chapter 3. pp 41- 61. In Pitcher, T.J., Morato, T., Hart, P.J.B., Clark, M.R., Haggan, N. and Santos, R.S. (eds) </w:t>
      </w:r>
      <w:r w:rsidRPr="009978E3">
        <w:rPr>
          <w:rFonts w:eastAsia="Calibri"/>
          <w:i/>
          <w:sz w:val="22"/>
          <w:szCs w:val="22"/>
          <w:lang w:val="en-US"/>
        </w:rPr>
        <w:t>Seamounts: Ecology, Conservation and Management.</w:t>
      </w:r>
      <w:r w:rsidRPr="009978E3">
        <w:rPr>
          <w:rFonts w:eastAsia="Calibri"/>
          <w:sz w:val="22"/>
          <w:szCs w:val="22"/>
          <w:lang w:val="en-US"/>
        </w:rPr>
        <w:t xml:space="preserve"> </w:t>
      </w:r>
      <w:r w:rsidRPr="009978E3">
        <w:rPr>
          <w:rFonts w:eastAsia="Calibri"/>
          <w:sz w:val="22"/>
          <w:szCs w:val="22"/>
          <w:lang w:val="pt-PT"/>
        </w:rPr>
        <w:t>Fish and Aquatic Resources Series, Blackwell, Oxford, UK.</w:t>
      </w:r>
    </w:p>
    <w:p w14:paraId="4ACC75C3" w14:textId="77777777" w:rsidR="006B3F46" w:rsidRPr="00F66EF7" w:rsidRDefault="006B3F46" w:rsidP="00907941">
      <w:pPr>
        <w:ind w:left="1134" w:hanging="1134"/>
        <w:jc w:val="both"/>
        <w:rPr>
          <w:rFonts w:eastAsia="Calibri"/>
          <w:sz w:val="22"/>
          <w:szCs w:val="22"/>
          <w:lang w:val="en-US"/>
        </w:rPr>
      </w:pPr>
      <w:r w:rsidRPr="0021277B">
        <w:rPr>
          <w:sz w:val="22"/>
          <w:szCs w:val="22"/>
          <w:lang w:val="pt-PT"/>
        </w:rPr>
        <w:t xml:space="preserve">Carreiro-Silva, M., Andrews, A. H., Braga-Henriques, A., De Matos, V., Porteiro, F. M., &amp; Santos, R. S. (2013). </w:t>
      </w:r>
      <w:r w:rsidRPr="0021277B">
        <w:rPr>
          <w:sz w:val="22"/>
          <w:szCs w:val="22"/>
        </w:rPr>
        <w:t xml:space="preserve">Variability in growth rates of long-lived black coral Leiopathes sp. from the Azores. </w:t>
      </w:r>
      <w:r w:rsidRPr="0021277B">
        <w:rPr>
          <w:i/>
          <w:iCs/>
          <w:sz w:val="22"/>
          <w:szCs w:val="22"/>
        </w:rPr>
        <w:t>Marine Ecology Progress Series</w:t>
      </w:r>
      <w:r w:rsidRPr="0021277B">
        <w:rPr>
          <w:sz w:val="22"/>
          <w:szCs w:val="22"/>
        </w:rPr>
        <w:t xml:space="preserve">, </w:t>
      </w:r>
      <w:r w:rsidRPr="0021277B">
        <w:rPr>
          <w:i/>
          <w:iCs/>
          <w:sz w:val="22"/>
          <w:szCs w:val="22"/>
        </w:rPr>
        <w:t>473</w:t>
      </w:r>
      <w:r w:rsidRPr="0021277B">
        <w:rPr>
          <w:sz w:val="22"/>
          <w:szCs w:val="22"/>
        </w:rPr>
        <w:t>, 189-199.</w:t>
      </w:r>
    </w:p>
    <w:p w14:paraId="20CE891E"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Cañadas, A., Sagarminaga, R., &amp; Garcıa-Tiscar, S. (2002) Cetacean distribution related with depth and slope in the Mediterranean waters off southern Spain. </w:t>
      </w:r>
      <w:r w:rsidRPr="009978E3">
        <w:rPr>
          <w:rFonts w:eastAsia="Calibri"/>
          <w:i/>
          <w:sz w:val="22"/>
          <w:szCs w:val="22"/>
          <w:lang w:val="en-US"/>
        </w:rPr>
        <w:t>Deep Sea Research Part I: Oceanographic Research Papers</w:t>
      </w:r>
      <w:r w:rsidRPr="009978E3">
        <w:rPr>
          <w:rFonts w:eastAsia="Calibri"/>
          <w:sz w:val="22"/>
          <w:szCs w:val="22"/>
          <w:lang w:val="en-US"/>
        </w:rPr>
        <w:t xml:space="preserve"> 49(11): 2053-2073.</w:t>
      </w:r>
    </w:p>
    <w:p w14:paraId="2E6EFE1E"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Cartes, J., Huguet, C., Parra, S. &amp; Sanchez, F. (2007 a)) Trophic relationships in deep-water decapods of Le Danois bank (Cantabrian Sea, NE Atlantic): Trends related with depth and seasonal changes in food quality and availability. </w:t>
      </w:r>
      <w:r w:rsidRPr="009978E3">
        <w:rPr>
          <w:rFonts w:eastAsia="Calibri"/>
          <w:i/>
          <w:sz w:val="22"/>
          <w:szCs w:val="22"/>
          <w:lang w:val="en-US"/>
        </w:rPr>
        <w:t>Deep Sea Research Part I: Oceanographic Research Papers</w:t>
      </w:r>
      <w:r w:rsidRPr="009978E3">
        <w:rPr>
          <w:rFonts w:eastAsia="Calibri"/>
          <w:sz w:val="22"/>
          <w:szCs w:val="22"/>
          <w:lang w:val="en-US"/>
        </w:rPr>
        <w:t xml:space="preserve"> 54: 1091–1110.</w:t>
      </w:r>
    </w:p>
    <w:p w14:paraId="7317A3E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Cartes, J., Serrano, A., Velasco, F., Parra, S., &amp; Sanchez, F. (2007 b)) Community structure and dynamics of deep-water decapod assemblagesfrom Le Danois Bank (Cantabrian Sea, NE Atlantic): Influence of environmental variables and food availability, </w:t>
      </w:r>
      <w:r w:rsidRPr="009978E3">
        <w:rPr>
          <w:rFonts w:eastAsia="Calibri"/>
          <w:i/>
          <w:sz w:val="22"/>
          <w:szCs w:val="22"/>
          <w:lang w:val="en-US"/>
        </w:rPr>
        <w:t>Progress in Oceanography</w:t>
      </w:r>
      <w:r w:rsidRPr="009978E3">
        <w:rPr>
          <w:rFonts w:eastAsia="Calibri"/>
          <w:sz w:val="22"/>
          <w:szCs w:val="22"/>
          <w:lang w:val="en-US"/>
        </w:rPr>
        <w:t xml:space="preserve"> 75: 797–816.</w:t>
      </w:r>
    </w:p>
    <w:p w14:paraId="6CF7E16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Clark, M. (2001) Are deepwater fisheries sustainable? The example of orange roughy. </w:t>
      </w:r>
      <w:r w:rsidRPr="009978E3">
        <w:rPr>
          <w:rFonts w:eastAsia="Calibri"/>
          <w:i/>
          <w:sz w:val="22"/>
          <w:szCs w:val="22"/>
          <w:lang w:val="en-US"/>
        </w:rPr>
        <w:t>Fisheries Research</w:t>
      </w:r>
      <w:r w:rsidRPr="009978E3">
        <w:rPr>
          <w:rFonts w:eastAsia="Calibri"/>
          <w:sz w:val="22"/>
          <w:szCs w:val="22"/>
          <w:lang w:val="en-US"/>
        </w:rPr>
        <w:t xml:space="preserve"> 51: 123–35.</w:t>
      </w:r>
    </w:p>
    <w:p w14:paraId="7C8F42CC"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Clark, M., Rowden, A., Schlacher, T., Williams, A., Consalvey, M., Stocks, K., Rogers, A., O’Hara, T., White, M., Shank, T. &amp; Hall-Spencer, J. (2010) The ecology of seamounts: structure, function, and human impacts. </w:t>
      </w:r>
      <w:r w:rsidRPr="009978E3">
        <w:rPr>
          <w:rFonts w:eastAsia="Calibri"/>
          <w:i/>
          <w:sz w:val="22"/>
          <w:szCs w:val="22"/>
          <w:lang w:val="en-US"/>
        </w:rPr>
        <w:t>Annual Review of Marine Science</w:t>
      </w:r>
      <w:r w:rsidRPr="009978E3">
        <w:rPr>
          <w:rFonts w:eastAsia="Calibri"/>
          <w:sz w:val="22"/>
          <w:szCs w:val="22"/>
          <w:lang w:val="en-US"/>
        </w:rPr>
        <w:t xml:space="preserve"> 2: 253-278.</w:t>
      </w:r>
    </w:p>
    <w:p w14:paraId="1F027B3B"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Coelho, H. &amp; Santos, R. (2003) Enhanced primary production over seamounts: a numerical study. </w:t>
      </w:r>
      <w:r w:rsidRPr="009978E3">
        <w:rPr>
          <w:rFonts w:eastAsia="Calibri"/>
          <w:i/>
          <w:sz w:val="22"/>
          <w:szCs w:val="22"/>
          <w:lang w:val="en-US"/>
        </w:rPr>
        <w:t>Thalassas</w:t>
      </w:r>
      <w:r w:rsidRPr="009978E3">
        <w:rPr>
          <w:rFonts w:eastAsia="Calibri"/>
          <w:sz w:val="22"/>
          <w:szCs w:val="22"/>
          <w:lang w:val="en-US"/>
        </w:rPr>
        <w:t xml:space="preserve"> 19: 144-145.</w:t>
      </w:r>
    </w:p>
    <w:p w14:paraId="3D3E484C"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Consalvey, M., Clark, M., Rowden, A. &amp; Stocks K. (2010) Life on seamounts. In: McIntyre AD (ed.), </w:t>
      </w:r>
      <w:r w:rsidRPr="009978E3">
        <w:rPr>
          <w:rFonts w:eastAsia="Calibri"/>
          <w:i/>
          <w:sz w:val="22"/>
          <w:szCs w:val="22"/>
          <w:lang w:val="en-US"/>
        </w:rPr>
        <w:t>Life in the world’s oceans</w:t>
      </w:r>
      <w:r w:rsidRPr="009978E3">
        <w:rPr>
          <w:rFonts w:eastAsia="Calibri"/>
          <w:sz w:val="22"/>
          <w:szCs w:val="22"/>
          <w:lang w:val="en-US"/>
        </w:rPr>
        <w:t>. Oxford: Blackwell Publishing. pp 123–138.</w:t>
      </w:r>
    </w:p>
    <w:p w14:paraId="1968587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Convention on Biological Diversity (2008) Decision IX/20. </w:t>
      </w:r>
      <w:r w:rsidRPr="009978E3">
        <w:rPr>
          <w:rFonts w:eastAsia="Calibri"/>
          <w:i/>
          <w:sz w:val="22"/>
          <w:szCs w:val="22"/>
          <w:lang w:val="en-US"/>
        </w:rPr>
        <w:t>Ninth meeting of the Conference of Parties to the Convention on Biological Diversity</w:t>
      </w:r>
      <w:r w:rsidRPr="009978E3">
        <w:rPr>
          <w:rFonts w:eastAsia="Calibri"/>
          <w:sz w:val="22"/>
          <w:szCs w:val="22"/>
          <w:lang w:val="en-US"/>
        </w:rPr>
        <w:t>. Montreal: Convention on Biological Diversity.</w:t>
      </w:r>
    </w:p>
    <w:p w14:paraId="531774D2"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Correia, A., Tepsich, M., Rosso P., Caldeira M., &amp; Sousa-Pinto, I. (2015) Cetacean occurrence and spatial distribution: Habitat modelling for offshore waters in the Portuguese EEZ (NE Atlantic). </w:t>
      </w:r>
      <w:r w:rsidRPr="009978E3">
        <w:rPr>
          <w:rFonts w:eastAsia="Calibri"/>
          <w:i/>
          <w:sz w:val="22"/>
          <w:szCs w:val="22"/>
          <w:lang w:val="en-US"/>
        </w:rPr>
        <w:t>Journal of Marine Systems</w:t>
      </w:r>
      <w:r w:rsidRPr="009978E3">
        <w:rPr>
          <w:rFonts w:eastAsia="Calibri"/>
          <w:sz w:val="22"/>
          <w:szCs w:val="22"/>
          <w:lang w:val="en-US"/>
        </w:rPr>
        <w:t xml:space="preserve"> 143: 73– 85.</w:t>
      </w:r>
    </w:p>
    <w:p w14:paraId="45E98C1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Dong, C., McWilliams, J. C., &amp; Shchepetkin, A. F. (2007). Island wakes in deep water. </w:t>
      </w:r>
      <w:r w:rsidRPr="009978E3">
        <w:rPr>
          <w:rFonts w:eastAsia="Calibri"/>
          <w:i/>
          <w:sz w:val="22"/>
          <w:szCs w:val="22"/>
          <w:lang w:val="en-US"/>
        </w:rPr>
        <w:t>Journal of Physical Oceanography</w:t>
      </w:r>
      <w:r w:rsidRPr="009978E3">
        <w:rPr>
          <w:rFonts w:eastAsia="Calibri"/>
          <w:sz w:val="22"/>
          <w:szCs w:val="22"/>
          <w:lang w:val="en-US"/>
        </w:rPr>
        <w:t xml:space="preserve"> 37(4): 962-981.</w:t>
      </w:r>
    </w:p>
    <w:p w14:paraId="2BAFDBC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Emschermann, P. (1971). Loxomespilon perezi—ein entoproctenfund im mittelatlantik. Überlegungen zur benthosbesiedlung der Großen Meteorbank. </w:t>
      </w:r>
      <w:r w:rsidRPr="009978E3">
        <w:rPr>
          <w:rFonts w:eastAsia="Calibri"/>
          <w:i/>
          <w:sz w:val="22"/>
          <w:szCs w:val="22"/>
          <w:lang w:val="en-US"/>
        </w:rPr>
        <w:t>Marine Biology</w:t>
      </w:r>
      <w:r w:rsidRPr="009978E3">
        <w:rPr>
          <w:rFonts w:eastAsia="Calibri"/>
          <w:sz w:val="22"/>
          <w:szCs w:val="22"/>
          <w:lang w:val="en-US"/>
        </w:rPr>
        <w:t xml:space="preserve"> 9(1): 51-62.</w:t>
      </w:r>
    </w:p>
    <w:p w14:paraId="148EDBC0"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Etnoyer, P. &amp; Warrenchuk, J. (2007) A catshark nursery in a deep gorgonian field in the Mississipi Canyon, Gulf of Mexico. </w:t>
      </w:r>
      <w:r w:rsidRPr="009978E3">
        <w:rPr>
          <w:rFonts w:eastAsia="Calibri"/>
          <w:i/>
          <w:sz w:val="22"/>
          <w:szCs w:val="22"/>
          <w:lang w:val="en-US"/>
        </w:rPr>
        <w:t>Bulletin of Marine Science</w:t>
      </w:r>
      <w:r w:rsidRPr="009978E3">
        <w:rPr>
          <w:rFonts w:eastAsia="Calibri"/>
          <w:sz w:val="22"/>
          <w:szCs w:val="22"/>
          <w:lang w:val="en-US"/>
        </w:rPr>
        <w:t xml:space="preserve"> 81: 553−559.</w:t>
      </w:r>
    </w:p>
    <w:p w14:paraId="47911DA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Fock, H., Matthiessen, B., Zidowitz, H. &amp; Westernhagen, H. (2002). Diel and habitat-dependent resource utilisation by deep-sea fishes at the Great Meteor seamount: Niche overlap and support for the sound scattering layer interception hypothesis. </w:t>
      </w:r>
      <w:r w:rsidRPr="009978E3">
        <w:rPr>
          <w:rFonts w:eastAsia="Calibri"/>
          <w:i/>
          <w:sz w:val="22"/>
          <w:szCs w:val="22"/>
          <w:lang w:val="en-US"/>
        </w:rPr>
        <w:t>Marine Ecology Progress Series</w:t>
      </w:r>
      <w:r w:rsidRPr="009978E3">
        <w:rPr>
          <w:rFonts w:eastAsia="Calibri"/>
          <w:sz w:val="22"/>
          <w:szCs w:val="22"/>
          <w:lang w:val="en-US"/>
        </w:rPr>
        <w:t xml:space="preserve"> 244, 219–233.</w:t>
      </w:r>
    </w:p>
    <w:p w14:paraId="252B85C2"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Gad, G. (2004). The Loricifera fauna of the plateau of the Great Meteor Seamount. </w:t>
      </w:r>
      <w:r w:rsidRPr="009978E3">
        <w:rPr>
          <w:rFonts w:eastAsia="Calibri"/>
          <w:i/>
          <w:sz w:val="22"/>
          <w:szCs w:val="22"/>
          <w:lang w:val="en-US"/>
        </w:rPr>
        <w:t>Archive of Fishery and Marine Research</w:t>
      </w:r>
      <w:r w:rsidRPr="009978E3">
        <w:rPr>
          <w:rFonts w:eastAsia="Calibri"/>
          <w:sz w:val="22"/>
          <w:szCs w:val="22"/>
          <w:lang w:val="en-US"/>
        </w:rPr>
        <w:t xml:space="preserve"> 51(1-3): 9-29.</w:t>
      </w:r>
    </w:p>
    <w:p w14:paraId="11B7212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Gad, G. (2009). Colonisation and speciation on seamounts, evidence from Draconematidae (Nematoda) of the Great Meteor Seamount. </w:t>
      </w:r>
      <w:r w:rsidRPr="009978E3">
        <w:rPr>
          <w:rFonts w:eastAsia="Calibri"/>
          <w:i/>
          <w:sz w:val="22"/>
          <w:szCs w:val="22"/>
          <w:lang w:val="en-US"/>
        </w:rPr>
        <w:t>Marine Biodiversity</w:t>
      </w:r>
      <w:r w:rsidRPr="009978E3">
        <w:rPr>
          <w:rFonts w:eastAsia="Calibri"/>
          <w:sz w:val="22"/>
          <w:szCs w:val="22"/>
          <w:lang w:val="en-US"/>
        </w:rPr>
        <w:t xml:space="preserve"> 39(1): 57-69.</w:t>
      </w:r>
    </w:p>
    <w:p w14:paraId="397F4EB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Gad, G., &amp; Schminke, H. K. (2004). How important are seamounts for the dispersal of meiofauna. </w:t>
      </w:r>
      <w:r w:rsidRPr="009978E3">
        <w:rPr>
          <w:rFonts w:eastAsia="Calibri"/>
          <w:i/>
          <w:sz w:val="22"/>
          <w:szCs w:val="22"/>
          <w:lang w:val="en-US"/>
        </w:rPr>
        <w:t>Archive of Fishery and Marine Research</w:t>
      </w:r>
      <w:r w:rsidRPr="009978E3">
        <w:rPr>
          <w:rFonts w:eastAsia="Calibri"/>
          <w:sz w:val="22"/>
          <w:szCs w:val="22"/>
          <w:lang w:val="en-US"/>
        </w:rPr>
        <w:t xml:space="preserve"> 51(1): 3.</w:t>
      </w:r>
    </w:p>
    <w:p w14:paraId="63FBF79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Genin, A. &amp; Dower, J. (2007) Seamount plankton dynamics. In: Pitcher, T.J., T. Morato, P.J.B. Hart, M.R. Clark, N. Haggan and R.S. Santos (Eds) </w:t>
      </w:r>
      <w:r w:rsidRPr="009978E3">
        <w:rPr>
          <w:rFonts w:eastAsia="Calibri"/>
          <w:i/>
          <w:sz w:val="22"/>
          <w:szCs w:val="22"/>
          <w:lang w:val="en-US"/>
        </w:rPr>
        <w:t xml:space="preserve">Seamounts: Ecology, Fisheries &amp; Conservation. </w:t>
      </w:r>
      <w:r w:rsidRPr="009978E3">
        <w:rPr>
          <w:rFonts w:eastAsia="Calibri"/>
          <w:sz w:val="22"/>
          <w:szCs w:val="22"/>
          <w:lang w:val="en-US"/>
        </w:rPr>
        <w:t>Fish and Aquatic Resources Series 12, Blackwell Publishing, Oxford, United Kingdom, pp 85-100.</w:t>
      </w:r>
    </w:p>
    <w:p w14:paraId="5455E9F1"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pt-PT"/>
        </w:rPr>
        <w:t xml:space="preserve">Gente, P., Dyment, J., Maia, M. &amp; Goslin, J. (2003). </w:t>
      </w:r>
      <w:r w:rsidRPr="009978E3">
        <w:rPr>
          <w:rFonts w:eastAsia="Calibri"/>
          <w:sz w:val="22"/>
          <w:szCs w:val="22"/>
          <w:lang w:val="en-US"/>
        </w:rPr>
        <w:t>Interaction between the Mid</w:t>
      </w:r>
      <w:r w:rsidRPr="009978E3">
        <w:rPr>
          <w:rFonts w:ascii="Cambria Math" w:eastAsia="Calibri" w:hAnsi="Cambria Math" w:cs="Cambria Math"/>
          <w:sz w:val="22"/>
          <w:szCs w:val="22"/>
          <w:lang w:val="en-US"/>
        </w:rPr>
        <w:t>‐</w:t>
      </w:r>
      <w:r w:rsidRPr="009978E3">
        <w:rPr>
          <w:rFonts w:eastAsia="Calibri"/>
          <w:sz w:val="22"/>
          <w:szCs w:val="22"/>
          <w:lang w:val="en-US"/>
        </w:rPr>
        <w:t>Atlantic Ridge and the Azores hot spot during the last 85 Myr: Emplacement and rifting of the hot spot</w:t>
      </w:r>
      <w:r w:rsidRPr="009978E3">
        <w:rPr>
          <w:rFonts w:ascii="Cambria Math" w:eastAsia="Calibri" w:hAnsi="Cambria Math" w:cs="Cambria Math"/>
          <w:sz w:val="22"/>
          <w:szCs w:val="22"/>
          <w:lang w:val="en-US"/>
        </w:rPr>
        <w:t>‐</w:t>
      </w:r>
      <w:r w:rsidRPr="009978E3">
        <w:rPr>
          <w:rFonts w:eastAsia="Calibri"/>
          <w:sz w:val="22"/>
          <w:szCs w:val="22"/>
          <w:lang w:val="en-US"/>
        </w:rPr>
        <w:t xml:space="preserve">derived plateaus. </w:t>
      </w:r>
      <w:r w:rsidRPr="009978E3">
        <w:rPr>
          <w:rFonts w:eastAsia="Calibri"/>
          <w:i/>
          <w:sz w:val="22"/>
          <w:szCs w:val="22"/>
          <w:lang w:val="en-US"/>
        </w:rPr>
        <w:t>Geochemistry, Geophysics, Geosystems</w:t>
      </w:r>
      <w:r w:rsidRPr="009978E3">
        <w:rPr>
          <w:rFonts w:eastAsia="Calibri"/>
          <w:sz w:val="22"/>
          <w:szCs w:val="22"/>
          <w:lang w:val="en-US"/>
        </w:rPr>
        <w:t xml:space="preserve"> 4(10).</w:t>
      </w:r>
    </w:p>
    <w:p w14:paraId="7EFCA21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George, K. &amp; Schminke, H. (2002). Harpacticoida (Crustacea, Copepoda) of the Great Meteor Seamount, with first conclusions as to the origin of the plateau fauna. </w:t>
      </w:r>
      <w:r w:rsidRPr="009978E3">
        <w:rPr>
          <w:rFonts w:eastAsia="Calibri"/>
          <w:i/>
          <w:sz w:val="22"/>
          <w:szCs w:val="22"/>
          <w:lang w:val="en-US"/>
        </w:rPr>
        <w:t>Marine Biology</w:t>
      </w:r>
      <w:r w:rsidRPr="009978E3">
        <w:rPr>
          <w:rFonts w:eastAsia="Calibri"/>
          <w:sz w:val="22"/>
          <w:szCs w:val="22"/>
          <w:lang w:val="en-US"/>
        </w:rPr>
        <w:t xml:space="preserve"> 141(5): 887-895.</w:t>
      </w:r>
    </w:p>
    <w:p w14:paraId="3CE2F02C"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George, K. H. (2004). Meteorina magnifica gen. et sp. nov., a new Idyanthidae (Copepoda, Harpacticoida) from the plateau of the Great Meteor Seamount (Eastern North Atlantic). </w:t>
      </w:r>
      <w:r w:rsidRPr="009978E3">
        <w:rPr>
          <w:rFonts w:eastAsia="Calibri"/>
          <w:i/>
          <w:sz w:val="22"/>
          <w:szCs w:val="22"/>
          <w:lang w:val="en-US"/>
        </w:rPr>
        <w:t>Meiofauna Marina</w:t>
      </w:r>
      <w:r w:rsidRPr="009978E3">
        <w:rPr>
          <w:rFonts w:eastAsia="Calibri"/>
          <w:sz w:val="22"/>
          <w:szCs w:val="22"/>
          <w:lang w:val="en-US"/>
        </w:rPr>
        <w:t xml:space="preserve"> 13: 95-112.</w:t>
      </w:r>
    </w:p>
    <w:p w14:paraId="69249B3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Gofas, S. (2007). Rissoidae (Mollusca: Gastropoda) from northeast Atlantic seamounts. </w:t>
      </w:r>
      <w:r w:rsidRPr="009978E3">
        <w:rPr>
          <w:rFonts w:eastAsia="Calibri"/>
          <w:i/>
          <w:sz w:val="22"/>
          <w:szCs w:val="22"/>
          <w:lang w:val="en-US"/>
        </w:rPr>
        <w:t>Journal of Natural History</w:t>
      </w:r>
      <w:r w:rsidRPr="009978E3">
        <w:rPr>
          <w:rFonts w:eastAsia="Calibri"/>
          <w:sz w:val="22"/>
          <w:szCs w:val="22"/>
          <w:lang w:val="en-US"/>
        </w:rPr>
        <w:t xml:space="preserve"> 41(13-16): 779-885.</w:t>
      </w:r>
    </w:p>
    <w:p w14:paraId="3C63F8B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Grasshoff, M. (1977). Die Gorgonarien des östlichen Nordatlantik und des Mittelmeeres. III Die Familie Paramuriceidae (Cnidaria, Anthozoa). Meteor Forsch. </w:t>
      </w:r>
      <w:r w:rsidRPr="009978E3">
        <w:rPr>
          <w:rFonts w:eastAsia="Calibri"/>
          <w:i/>
          <w:sz w:val="22"/>
          <w:szCs w:val="22"/>
          <w:lang w:val="en-US"/>
        </w:rPr>
        <w:t>Ergebnisse</w:t>
      </w:r>
      <w:r w:rsidRPr="009978E3">
        <w:rPr>
          <w:rFonts w:eastAsia="Calibri"/>
          <w:sz w:val="22"/>
          <w:szCs w:val="22"/>
          <w:lang w:val="en-US"/>
        </w:rPr>
        <w:t xml:space="preserve"> 27: 5-76.</w:t>
      </w:r>
    </w:p>
    <w:p w14:paraId="6248FC29"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Gubbay, S. (2003) </w:t>
      </w:r>
      <w:r w:rsidRPr="009978E3">
        <w:rPr>
          <w:rFonts w:eastAsia="Calibri"/>
          <w:i/>
          <w:sz w:val="22"/>
          <w:szCs w:val="22"/>
          <w:lang w:val="en-US"/>
        </w:rPr>
        <w:t>Seamounts of the North-East Atlantic</w:t>
      </w:r>
      <w:r w:rsidRPr="009978E3">
        <w:rPr>
          <w:rFonts w:eastAsia="Calibri"/>
          <w:sz w:val="22"/>
          <w:szCs w:val="22"/>
          <w:lang w:val="en-US"/>
        </w:rPr>
        <w:t>. WWF Germany, Frankfurtam Main, Germany.</w:t>
      </w:r>
    </w:p>
    <w:p w14:paraId="24FEAAE1"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Hartmann-Schröder, G. (1979). Die Polychaeten der “Atlantischen Kuppenfahrt” von FS “Meteor”</w:t>
      </w:r>
      <w:r>
        <w:rPr>
          <w:rFonts w:eastAsia="Calibri"/>
          <w:sz w:val="22"/>
          <w:szCs w:val="22"/>
          <w:lang w:val="en-US"/>
        </w:rPr>
        <w:t xml:space="preserve"> </w:t>
      </w:r>
      <w:r w:rsidRPr="009978E3">
        <w:rPr>
          <w:rFonts w:eastAsia="Calibri"/>
          <w:sz w:val="22"/>
          <w:szCs w:val="22"/>
          <w:lang w:val="en-US"/>
        </w:rPr>
        <w:t xml:space="preserve">(Fahrt 9 c, 1967). 1. </w:t>
      </w:r>
      <w:r w:rsidRPr="009978E3">
        <w:rPr>
          <w:rFonts w:eastAsia="Calibri"/>
          <w:i/>
          <w:sz w:val="22"/>
          <w:szCs w:val="22"/>
          <w:lang w:val="en-US"/>
        </w:rPr>
        <w:t>Proben aus Schleppgeräten. Meteor Forschungs-Ergebnisse, Reihe D</w:t>
      </w:r>
      <w:r w:rsidRPr="009978E3">
        <w:rPr>
          <w:rFonts w:eastAsia="Calibri"/>
          <w:sz w:val="22"/>
          <w:szCs w:val="22"/>
          <w:lang w:val="en-US"/>
        </w:rPr>
        <w:t xml:space="preserve"> 31: 63-90.</w:t>
      </w:r>
    </w:p>
    <w:p w14:paraId="58EE487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Heezen, B., Johnson, G. &amp; Hollister, C. (1969). The Northwest Atlantic mid-ocean canyon. </w:t>
      </w:r>
      <w:r w:rsidRPr="009978E3">
        <w:rPr>
          <w:rFonts w:eastAsia="Calibri"/>
          <w:i/>
          <w:sz w:val="22"/>
          <w:szCs w:val="22"/>
          <w:lang w:val="en-US"/>
        </w:rPr>
        <w:t>Canadian Journal of Earth Sciences</w:t>
      </w:r>
      <w:r w:rsidRPr="009978E3">
        <w:rPr>
          <w:rFonts w:eastAsia="Calibri"/>
          <w:sz w:val="22"/>
          <w:szCs w:val="22"/>
          <w:lang w:val="en-US"/>
        </w:rPr>
        <w:t xml:space="preserve"> 6(6): 1441-1453.</w:t>
      </w:r>
    </w:p>
    <w:p w14:paraId="485FB994"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Hillier J. &amp; Watts A. (2007) Global distribution of seamounts from ship-track bathymetry data. </w:t>
      </w:r>
      <w:r w:rsidRPr="009978E3">
        <w:rPr>
          <w:rFonts w:eastAsia="Calibri"/>
          <w:i/>
          <w:sz w:val="22"/>
          <w:szCs w:val="22"/>
          <w:lang w:val="en-US"/>
        </w:rPr>
        <w:t>Geophysical Research Letters</w:t>
      </w:r>
      <w:r w:rsidRPr="009978E3">
        <w:rPr>
          <w:rFonts w:eastAsia="Calibri"/>
          <w:sz w:val="22"/>
          <w:szCs w:val="22"/>
          <w:lang w:val="en-US"/>
        </w:rPr>
        <w:t xml:space="preserve"> 34: L13304.</w:t>
      </w:r>
    </w:p>
    <w:p w14:paraId="1B5F3843"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Hinz, K. (1969). The Great Meteor Seamount. Results of seismic reflection measurements with a pneumatic sound source, and their geological interpretation. </w:t>
      </w:r>
      <w:r w:rsidRPr="009978E3">
        <w:rPr>
          <w:rFonts w:eastAsia="Calibri"/>
          <w:i/>
          <w:sz w:val="22"/>
          <w:szCs w:val="22"/>
          <w:lang w:val="en-US"/>
        </w:rPr>
        <w:t>Meteor Forsch Ergebn</w:t>
      </w:r>
      <w:r w:rsidRPr="009978E3">
        <w:rPr>
          <w:rFonts w:eastAsia="Calibri"/>
          <w:sz w:val="22"/>
          <w:szCs w:val="22"/>
          <w:lang w:val="en-US"/>
        </w:rPr>
        <w:t xml:space="preserve"> C(2): 63-77.</w:t>
      </w:r>
    </w:p>
    <w:p w14:paraId="2EFE1F7C"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Holland, K. &amp; Grubbs, R. (2007) Fish Visitors to Seamounts: Tunas and Billfish at Seamounts. Chapter 10 Section A. in Pitcher, T.J., Morato, T., Hart, P.J.B., Clark, M.R., Haggan, N. and Santos, R.S. (eds) </w:t>
      </w:r>
      <w:r w:rsidRPr="009978E3">
        <w:rPr>
          <w:rFonts w:eastAsia="Calibri"/>
          <w:i/>
          <w:sz w:val="22"/>
          <w:szCs w:val="22"/>
          <w:lang w:val="en-US"/>
        </w:rPr>
        <w:t>Seamounts: Ecology, Conservation and Management. Fish and Aquatic Resources Series</w:t>
      </w:r>
      <w:r w:rsidRPr="009978E3">
        <w:rPr>
          <w:rFonts w:eastAsia="Calibri"/>
          <w:sz w:val="22"/>
          <w:szCs w:val="22"/>
          <w:lang w:val="en-US"/>
        </w:rPr>
        <w:t>, Blackwell, Oxford, UK. pp. 189-201.</w:t>
      </w:r>
    </w:p>
    <w:p w14:paraId="660A93E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Kaschner, K. (2007) Air-breathing visitors to seamounts: Marine Mammals. Chapter 12 Section A. in Pitcher, T.J., Morato, T., Hart, P.J.B., Clark, M.R., Haggan, N. and Santos, R.S. (eds) </w:t>
      </w:r>
      <w:r w:rsidRPr="009978E3">
        <w:rPr>
          <w:rFonts w:eastAsia="Calibri"/>
          <w:i/>
          <w:sz w:val="22"/>
          <w:szCs w:val="22"/>
          <w:lang w:val="en-US"/>
        </w:rPr>
        <w:t>Seamounts: Ecology, Conservation and Management. Fish and Aquatic Resources Series</w:t>
      </w:r>
      <w:r w:rsidRPr="009978E3">
        <w:rPr>
          <w:rFonts w:eastAsia="Calibri"/>
          <w:sz w:val="22"/>
          <w:szCs w:val="22"/>
          <w:lang w:val="en-US"/>
        </w:rPr>
        <w:t>, Blackwell, Oxford, UK. pp. 230-238.</w:t>
      </w:r>
    </w:p>
    <w:p w14:paraId="3ED956DE"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Koslow, J. (1997) Seamounts and the ecology of deep-sea fisheries. </w:t>
      </w:r>
      <w:r w:rsidRPr="009978E3">
        <w:rPr>
          <w:rFonts w:eastAsia="Calibri"/>
          <w:i/>
          <w:sz w:val="22"/>
          <w:szCs w:val="22"/>
          <w:lang w:val="en-US"/>
        </w:rPr>
        <w:t>Americam Scientist</w:t>
      </w:r>
      <w:r w:rsidRPr="009978E3">
        <w:rPr>
          <w:rFonts w:eastAsia="Calibri"/>
          <w:sz w:val="22"/>
          <w:szCs w:val="22"/>
          <w:lang w:val="en-US"/>
        </w:rPr>
        <w:t xml:space="preserve"> 85: 168-176.</w:t>
      </w:r>
    </w:p>
    <w:p w14:paraId="32E65AD7"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Kuijpers, A.; Schüttenhelm, R.T.E.; Verbeek, J.W. (Ed.) (1984). Geological Studies in the Eastern North Atlantic. Mededelingen Rijks Geologische Dienst. </w:t>
      </w:r>
      <w:r w:rsidRPr="009978E3">
        <w:rPr>
          <w:rFonts w:eastAsia="Calibri"/>
          <w:i/>
          <w:sz w:val="22"/>
          <w:szCs w:val="22"/>
          <w:lang w:val="en-US"/>
        </w:rPr>
        <w:t>Nieuwe Serie</w:t>
      </w:r>
      <w:r w:rsidRPr="009978E3">
        <w:rPr>
          <w:rFonts w:eastAsia="Calibri"/>
          <w:sz w:val="22"/>
          <w:szCs w:val="22"/>
          <w:lang w:val="en-US"/>
        </w:rPr>
        <w:t xml:space="preserve"> 38(2)</w:t>
      </w:r>
    </w:p>
    <w:p w14:paraId="4A37BBE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Kunze, E. &amp; Llewellyn Smith, S. (2004) The role of small-scale topography in turbulent mixing of the global ocean. </w:t>
      </w:r>
      <w:r w:rsidRPr="009978E3">
        <w:rPr>
          <w:rFonts w:eastAsia="Calibri"/>
          <w:i/>
          <w:sz w:val="22"/>
          <w:szCs w:val="22"/>
          <w:lang w:val="en-US"/>
        </w:rPr>
        <w:t>Oceanography</w:t>
      </w:r>
      <w:r w:rsidRPr="009978E3">
        <w:rPr>
          <w:rFonts w:eastAsia="Calibri"/>
          <w:sz w:val="22"/>
          <w:szCs w:val="22"/>
          <w:lang w:val="en-US"/>
        </w:rPr>
        <w:t xml:space="preserve"> 17(1): 55–64.</w:t>
      </w:r>
    </w:p>
    <w:p w14:paraId="57315A6C"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Kvile, K., Taranto, G., Pitcher, T. &amp; Morato, T. (2014) A global assessment of seamount ecosystems knowledge using an ecosystem evaluation framework. </w:t>
      </w:r>
      <w:r w:rsidRPr="009978E3">
        <w:rPr>
          <w:rFonts w:eastAsia="Calibri"/>
          <w:i/>
          <w:sz w:val="22"/>
          <w:szCs w:val="22"/>
          <w:lang w:val="en-US"/>
        </w:rPr>
        <w:t>Biological Conservation</w:t>
      </w:r>
      <w:r w:rsidRPr="009978E3">
        <w:rPr>
          <w:rFonts w:eastAsia="Calibri"/>
          <w:sz w:val="22"/>
          <w:szCs w:val="22"/>
          <w:lang w:val="en-US"/>
        </w:rPr>
        <w:t xml:space="preserve"> 173: 108-120.</w:t>
      </w:r>
    </w:p>
    <w:p w14:paraId="1B66CD9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Martin, B. &amp; Nellen, W. (2004). Composition and distribution of zooplankton at the Great Meteor Seamount, subtropical north-east Atlantic. </w:t>
      </w:r>
      <w:r w:rsidRPr="009978E3">
        <w:rPr>
          <w:rFonts w:eastAsia="Calibri"/>
          <w:i/>
          <w:sz w:val="22"/>
          <w:szCs w:val="22"/>
          <w:lang w:val="en-US"/>
        </w:rPr>
        <w:t>Archive of Fishery and Marine Research</w:t>
      </w:r>
      <w:r w:rsidRPr="009978E3">
        <w:rPr>
          <w:rFonts w:eastAsia="Calibri"/>
          <w:sz w:val="22"/>
          <w:szCs w:val="22"/>
          <w:lang w:val="en-US"/>
        </w:rPr>
        <w:t xml:space="preserve"> 51(1-3): 89-100.</w:t>
      </w:r>
    </w:p>
    <w:p w14:paraId="51E999A1"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Menard, H. (1964) </w:t>
      </w:r>
      <w:r w:rsidRPr="009978E3">
        <w:rPr>
          <w:rFonts w:eastAsia="Calibri"/>
          <w:i/>
          <w:sz w:val="22"/>
          <w:szCs w:val="22"/>
          <w:lang w:val="en-US"/>
        </w:rPr>
        <w:t>Marine Geology of the Pacific</w:t>
      </w:r>
      <w:r w:rsidRPr="009978E3">
        <w:rPr>
          <w:rFonts w:eastAsia="Calibri"/>
          <w:sz w:val="22"/>
          <w:szCs w:val="22"/>
          <w:lang w:val="en-US"/>
        </w:rPr>
        <w:t>, 271 pp., McGraw-Hill, New York.</w:t>
      </w:r>
    </w:p>
    <w:p w14:paraId="09B7A0C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Mendonça, A., Arístegui, J., Vilas, J., Montero, M., Ojeda, A., Espino, M. &amp; Martins, A. (2012) Is there a seamount effect on microbial community structure and biomass? The case study of Seine and Sedlo Seamounts (Northeast Atlantic). </w:t>
      </w:r>
      <w:r w:rsidRPr="009978E3">
        <w:rPr>
          <w:rFonts w:eastAsia="Calibri"/>
          <w:i/>
          <w:sz w:val="22"/>
          <w:szCs w:val="22"/>
          <w:lang w:val="en-US"/>
        </w:rPr>
        <w:t>PLoS ONE</w:t>
      </w:r>
      <w:r w:rsidRPr="009978E3">
        <w:rPr>
          <w:rFonts w:eastAsia="Calibri"/>
          <w:sz w:val="22"/>
          <w:szCs w:val="22"/>
          <w:lang w:val="en-US"/>
        </w:rPr>
        <w:t xml:space="preserve"> 7(1).</w:t>
      </w:r>
    </w:p>
    <w:p w14:paraId="64A01D0D" w14:textId="77777777" w:rsidR="006B3F46" w:rsidRPr="0021277B" w:rsidRDefault="006B3F46" w:rsidP="00907941">
      <w:pPr>
        <w:ind w:left="1134" w:hanging="1134"/>
        <w:jc w:val="both"/>
        <w:rPr>
          <w:bCs/>
          <w:sz w:val="22"/>
          <w:szCs w:val="22"/>
          <w:lang w:val="en-US"/>
        </w:rPr>
      </w:pPr>
      <w:r w:rsidRPr="0021277B">
        <w:rPr>
          <w:bCs/>
          <w:sz w:val="22"/>
          <w:szCs w:val="22"/>
          <w:lang w:val="en-US"/>
        </w:rPr>
        <w:t xml:space="preserve">Mironov, A. &amp; Krylova, E. (2006). Origin of the fauna of the Meteor Seamounts, north-eastern Atlantic. </w:t>
      </w:r>
      <w:r w:rsidRPr="0021277B">
        <w:rPr>
          <w:bCs/>
          <w:i/>
          <w:sz w:val="22"/>
          <w:szCs w:val="22"/>
          <w:lang w:val="en-US"/>
        </w:rPr>
        <w:t>Biogeography of the North Atlantic Seamounts</w:t>
      </w:r>
      <w:r w:rsidRPr="0021277B">
        <w:rPr>
          <w:bCs/>
          <w:sz w:val="22"/>
          <w:szCs w:val="22"/>
          <w:lang w:val="en-US"/>
        </w:rPr>
        <w:t xml:space="preserve"> 22-57.</w:t>
      </w:r>
    </w:p>
    <w:p w14:paraId="6D877A59" w14:textId="77777777" w:rsidR="006B3F46" w:rsidRPr="009978E3" w:rsidRDefault="006B3F46" w:rsidP="00907941">
      <w:pPr>
        <w:ind w:left="1134" w:hanging="1134"/>
        <w:jc w:val="both"/>
        <w:rPr>
          <w:rFonts w:eastAsia="Calibri"/>
          <w:sz w:val="22"/>
          <w:szCs w:val="22"/>
          <w:lang w:val="en-US"/>
        </w:rPr>
      </w:pPr>
      <w:r w:rsidRPr="00F66EF7">
        <w:rPr>
          <w:rFonts w:eastAsia="Calibri"/>
          <w:sz w:val="22"/>
          <w:szCs w:val="22"/>
          <w:lang w:val="en-US"/>
        </w:rPr>
        <w:t>Molodtsova T.N. 2006. Black corals (Antipath</w:t>
      </w:r>
      <w:r w:rsidRPr="009978E3">
        <w:rPr>
          <w:rFonts w:eastAsia="Calibri"/>
          <w:sz w:val="22"/>
          <w:szCs w:val="22"/>
          <w:lang w:val="en-US"/>
        </w:rPr>
        <w:t>aria: Anthozoa: Cnidaria) of North-East Atlantic. pp. 141-151 In: Mironov A.N., A.V. Gebruk and A.J. Southward (eds.) Biogeography of the North Atlantic seamounts. Moscow. KMK Press 201 p. (Parantipathes hirondelle n.sp.- GMsm)</w:t>
      </w:r>
    </w:p>
    <w:p w14:paraId="016DA77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Molodtsova T.N. 2011. A new species of Leiopathes (Anthozoa: Antipatharia) from the Great Meteor seamount (North Atlantic) Zootaxa 3138: 52–64 (Leiopathes montana n.sp. - GMsm)</w:t>
      </w:r>
    </w:p>
    <w:p w14:paraId="66BF2353"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&amp; Clark, M. (2007). Seamount fishes: ecology and life histories. Chapter 9 In:Pitcher, T.J., Morato, T., Hart, P.J.B., Clark, M.R., Haggan, N. &amp; Santos, R.S. (eds) </w:t>
      </w:r>
      <w:r w:rsidRPr="009978E3">
        <w:rPr>
          <w:rFonts w:eastAsia="Calibri"/>
          <w:i/>
          <w:sz w:val="22"/>
          <w:szCs w:val="22"/>
          <w:lang w:val="en-US"/>
        </w:rPr>
        <w:t>Seamounts: ecology, fisheries &amp; conservation</w:t>
      </w:r>
      <w:r w:rsidRPr="009978E3">
        <w:rPr>
          <w:rFonts w:eastAsia="Calibri"/>
          <w:sz w:val="22"/>
          <w:szCs w:val="22"/>
          <w:lang w:val="en-US"/>
        </w:rPr>
        <w:t>. Fish and Aquatic Resources Series, Blackwell, Oxford, UK. pp. 170 -188.</w:t>
      </w:r>
    </w:p>
    <w:p w14:paraId="4DBB1AD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&amp; Pauly, D. (2004). </w:t>
      </w:r>
      <w:r w:rsidRPr="009978E3">
        <w:rPr>
          <w:rFonts w:eastAsia="Calibri"/>
          <w:i/>
          <w:sz w:val="22"/>
          <w:szCs w:val="22"/>
          <w:lang w:val="en-US"/>
        </w:rPr>
        <w:t>Seamounts: Biodiversity and fisheries</w:t>
      </w:r>
      <w:r w:rsidRPr="009978E3">
        <w:rPr>
          <w:rFonts w:eastAsia="Calibri"/>
          <w:sz w:val="22"/>
          <w:szCs w:val="22"/>
          <w:lang w:val="en-US"/>
        </w:rPr>
        <w:t>. Fisheries Centre, University of British Columbia.</w:t>
      </w:r>
    </w:p>
    <w:p w14:paraId="1E01A0CB"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Allain, V., Hoyle, S. &amp; Nicol, S. (2009) </w:t>
      </w:r>
      <w:r w:rsidRPr="009978E3">
        <w:rPr>
          <w:rFonts w:eastAsia="Calibri"/>
          <w:i/>
          <w:sz w:val="22"/>
          <w:szCs w:val="22"/>
          <w:lang w:val="en-US"/>
        </w:rPr>
        <w:t>Tuna Longline Fishing around West and Central Pacific Seamounts</w:t>
      </w:r>
      <w:r w:rsidRPr="009978E3">
        <w:rPr>
          <w:rFonts w:eastAsia="Calibri"/>
          <w:sz w:val="22"/>
          <w:szCs w:val="22"/>
          <w:lang w:val="en-US"/>
        </w:rPr>
        <w:t>. Information Paper. Scientific Committee, Fifth Regular Session, 10-21 August 2009, Port Vila, Vanuatu. WCPFC-SC5-2009/EB-IP-04. Western and Central Pacific Fisheries Commission, Palikir, Pohnpei.</w:t>
      </w:r>
    </w:p>
    <w:p w14:paraId="3F825ACC"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Hoyle, S., Allain, V. &amp; Nicol, S. (2010) </w:t>
      </w:r>
      <w:r w:rsidRPr="009978E3">
        <w:rPr>
          <w:rFonts w:eastAsia="Calibri"/>
          <w:i/>
          <w:sz w:val="22"/>
          <w:szCs w:val="22"/>
          <w:lang w:val="en-US"/>
        </w:rPr>
        <w:t>Seamounts are hotspots of pelagic biodiversity in the open ocean</w:t>
      </w:r>
      <w:r w:rsidRPr="009978E3">
        <w:rPr>
          <w:rFonts w:eastAsia="Calibri"/>
          <w:sz w:val="22"/>
          <w:szCs w:val="22"/>
          <w:lang w:val="en-US"/>
        </w:rPr>
        <w:t xml:space="preserve">. PNAS Early Edition - </w:t>
      </w:r>
      <w:hyperlink r:id="rId240" w:history="1">
        <w:r w:rsidRPr="009978E3">
          <w:rPr>
            <w:rFonts w:eastAsia="Calibri"/>
            <w:color w:val="0563C1"/>
            <w:sz w:val="22"/>
            <w:szCs w:val="22"/>
            <w:u w:val="single"/>
            <w:lang w:val="en-US"/>
          </w:rPr>
          <w:t>www.pnas.org/cgi/doi/10.1073/pnas.0910290107</w:t>
        </w:r>
      </w:hyperlink>
      <w:r w:rsidRPr="00F66EF7">
        <w:rPr>
          <w:rFonts w:eastAsia="Calibri"/>
          <w:sz w:val="22"/>
          <w:szCs w:val="22"/>
          <w:lang w:val="en-US"/>
        </w:rPr>
        <w:t>.</w:t>
      </w:r>
    </w:p>
    <w:p w14:paraId="06E20FC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Hoyle, S., Allain, V., &amp; Nicol, S. (2010) Seamounts are hotspots of pelagic biodiversity in the open ocean. </w:t>
      </w:r>
      <w:r w:rsidRPr="009978E3">
        <w:rPr>
          <w:rFonts w:eastAsia="Calibri"/>
          <w:i/>
          <w:sz w:val="22"/>
          <w:szCs w:val="22"/>
          <w:lang w:val="en-US"/>
        </w:rPr>
        <w:t>Proceedings of the National Academy of Sciences of the United States of America</w:t>
      </w:r>
      <w:r w:rsidRPr="009978E3">
        <w:rPr>
          <w:rFonts w:eastAsia="Calibri"/>
          <w:sz w:val="22"/>
          <w:szCs w:val="22"/>
          <w:lang w:val="en-US"/>
        </w:rPr>
        <w:t xml:space="preserve"> 107(21): 9707–9711. </w:t>
      </w:r>
    </w:p>
    <w:p w14:paraId="29847D6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Kvile, K., Taranto, G., Tempera, F., Narayanaswamy, B., Hebbeln, D., Menezes, G., Wienberg, C., Santos, R. &amp; Pitcher, T. (2013) Seamount physiography and biology in The North-East Atlantic and Mediterranean Sea. </w:t>
      </w:r>
      <w:r w:rsidRPr="009978E3">
        <w:rPr>
          <w:rFonts w:eastAsia="Calibri"/>
          <w:i/>
          <w:sz w:val="22"/>
          <w:szCs w:val="22"/>
          <w:lang w:val="en-US"/>
        </w:rPr>
        <w:t>Biogeosciences</w:t>
      </w:r>
      <w:r w:rsidRPr="009978E3">
        <w:rPr>
          <w:rFonts w:eastAsia="Calibri"/>
          <w:sz w:val="22"/>
          <w:szCs w:val="22"/>
          <w:lang w:val="en-US"/>
        </w:rPr>
        <w:t xml:space="preserve"> 10(5): 3039–3054.  </w:t>
      </w:r>
    </w:p>
    <w:p w14:paraId="5ACB4A5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Morato, T., Varkey, D., Damaso, C., Machete, M., Santos, M. &amp; Pitcher, T. (2008) Evidence of a seamount effect on aggregating visitors. </w:t>
      </w:r>
      <w:r w:rsidRPr="009978E3">
        <w:rPr>
          <w:rFonts w:eastAsia="Calibri"/>
          <w:i/>
          <w:sz w:val="22"/>
          <w:szCs w:val="22"/>
          <w:lang w:val="en-US"/>
        </w:rPr>
        <w:t>Marine Ecology Progress Series</w:t>
      </w:r>
      <w:r w:rsidRPr="009978E3">
        <w:rPr>
          <w:rFonts w:eastAsia="Calibri"/>
          <w:sz w:val="22"/>
          <w:szCs w:val="22"/>
          <w:lang w:val="en-US"/>
        </w:rPr>
        <w:t xml:space="preserve"> 357: 23-32.</w:t>
      </w:r>
    </w:p>
    <w:p w14:paraId="43EF7306"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Mortensen, P., Buhl-Mortensen, L., Gebruk, A. &amp; Krylovab, E. (2008) Occurrence of deep-water corals on the MidAtlantic Ridge based on MAR-ECO data. </w:t>
      </w:r>
      <w:r w:rsidRPr="009978E3">
        <w:rPr>
          <w:rFonts w:eastAsia="Calibri"/>
          <w:i/>
          <w:sz w:val="22"/>
          <w:szCs w:val="22"/>
          <w:lang w:val="en-US"/>
        </w:rPr>
        <w:t>Deep-Sea Research II</w:t>
      </w:r>
      <w:r w:rsidRPr="009978E3">
        <w:rPr>
          <w:rFonts w:eastAsia="Calibri"/>
          <w:sz w:val="22"/>
          <w:szCs w:val="22"/>
          <w:lang w:val="en-US"/>
        </w:rPr>
        <w:t xml:space="preserve"> 55:142–152</w:t>
      </w:r>
    </w:p>
    <w:p w14:paraId="541C865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pt-PT"/>
        </w:rPr>
        <w:t xml:space="preserve">Mouriño, B., Fernández, E., Serret, P., Harbour, D., Sinha, B., &amp; Pingree, R. (2001). </w:t>
      </w:r>
      <w:r w:rsidRPr="009978E3">
        <w:rPr>
          <w:rFonts w:eastAsia="Calibri"/>
          <w:sz w:val="22"/>
          <w:szCs w:val="22"/>
          <w:lang w:val="en-US"/>
        </w:rPr>
        <w:t xml:space="preserve">Variability and seasonality of physical and biological fields at the Great Meteor Tablemount (subtropical NE Atlantic). </w:t>
      </w:r>
      <w:r w:rsidRPr="009978E3">
        <w:rPr>
          <w:rFonts w:eastAsia="Calibri"/>
          <w:i/>
          <w:sz w:val="22"/>
          <w:szCs w:val="22"/>
          <w:lang w:val="en-US"/>
        </w:rPr>
        <w:t>Oceanologica Acta</w:t>
      </w:r>
      <w:r w:rsidRPr="009978E3">
        <w:rPr>
          <w:rFonts w:eastAsia="Calibri"/>
          <w:sz w:val="22"/>
          <w:szCs w:val="22"/>
          <w:lang w:val="en-US"/>
        </w:rPr>
        <w:t xml:space="preserve"> 24(2): 167–185.</w:t>
      </w:r>
    </w:p>
    <w:p w14:paraId="655ABDA6"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OSPAR (2011) </w:t>
      </w:r>
      <w:r w:rsidRPr="009978E3">
        <w:rPr>
          <w:rFonts w:eastAsia="Calibri"/>
          <w:i/>
          <w:sz w:val="22"/>
          <w:szCs w:val="22"/>
          <w:lang w:val="en-US"/>
        </w:rPr>
        <w:t>Background Document on the Josephine Seamount Marine Protected Area</w:t>
      </w:r>
      <w:r w:rsidRPr="009978E3">
        <w:rPr>
          <w:rFonts w:eastAsia="Calibri"/>
          <w:sz w:val="22"/>
          <w:szCs w:val="22"/>
          <w:lang w:val="en-US"/>
        </w:rPr>
        <w:t>. Report prepared by the OSPAR Intersessional Correspondence Group on Marine Protected Areas. Biological Diversity and Ecosystems, 551: 27.</w:t>
      </w:r>
    </w:p>
    <w:p w14:paraId="652A87C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Pakhorukov, N. (2008) Visual observations of fish from seamounts of the Southern Azores Region (the Atlantic Ocean). </w:t>
      </w:r>
      <w:r w:rsidRPr="009978E3">
        <w:rPr>
          <w:rFonts w:eastAsia="Calibri"/>
          <w:i/>
          <w:sz w:val="22"/>
          <w:szCs w:val="22"/>
          <w:lang w:val="en-US"/>
        </w:rPr>
        <w:t>Journal of Ichthyology</w:t>
      </w:r>
      <w:r w:rsidRPr="009978E3">
        <w:rPr>
          <w:rFonts w:eastAsia="Calibri"/>
          <w:sz w:val="22"/>
          <w:szCs w:val="22"/>
          <w:lang w:val="en-US"/>
        </w:rPr>
        <w:t xml:space="preserve"> 48: 114–123.</w:t>
      </w:r>
    </w:p>
    <w:p w14:paraId="2BA7F4E0"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Piepenburg, D. &amp; Müller, B. (2004). Distribution of epibenthic communities on the Great Meteor Seamount (North-east Atlantic) mirrors pelagic processes. </w:t>
      </w:r>
      <w:r w:rsidRPr="009978E3">
        <w:rPr>
          <w:rFonts w:eastAsia="Calibri"/>
          <w:i/>
          <w:sz w:val="22"/>
          <w:szCs w:val="22"/>
          <w:lang w:val="en-US"/>
        </w:rPr>
        <w:t xml:space="preserve">Archive of Fishery and Marine Research </w:t>
      </w:r>
      <w:r w:rsidRPr="009978E3">
        <w:rPr>
          <w:rFonts w:eastAsia="Calibri"/>
          <w:sz w:val="22"/>
          <w:szCs w:val="22"/>
          <w:lang w:val="en-US"/>
        </w:rPr>
        <w:t>51(1-3): 55-70.</w:t>
      </w:r>
    </w:p>
    <w:p w14:paraId="6569FA7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Pitcher, T., Clark, M., Morato, T. &amp; Watson, R. (2010) Seamount fisheries: Do they have a future?. </w:t>
      </w:r>
      <w:r w:rsidRPr="009978E3">
        <w:rPr>
          <w:rFonts w:eastAsia="Calibri"/>
          <w:i/>
          <w:sz w:val="22"/>
          <w:szCs w:val="22"/>
          <w:lang w:val="en-US"/>
        </w:rPr>
        <w:t>Oceanography</w:t>
      </w:r>
      <w:r w:rsidRPr="009978E3">
        <w:rPr>
          <w:rFonts w:eastAsia="Calibri"/>
          <w:sz w:val="22"/>
          <w:szCs w:val="22"/>
          <w:lang w:val="en-US"/>
        </w:rPr>
        <w:t xml:space="preserve"> 23: 134–144.</w:t>
      </w:r>
    </w:p>
    <w:p w14:paraId="2DBA467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Pitcher, T., Morato, T., Hart, P., Clark, M., Haggan, N. &amp; Santos, R. (2007) </w:t>
      </w:r>
      <w:r w:rsidRPr="009978E3">
        <w:rPr>
          <w:rFonts w:eastAsia="Calibri"/>
          <w:i/>
          <w:sz w:val="22"/>
          <w:szCs w:val="22"/>
          <w:lang w:val="en-US"/>
        </w:rPr>
        <w:t>Seamounts: Ecology, Fisheries, and Conservation, Blackwell Fisheries and Aquatic Resources</w:t>
      </w:r>
      <w:r w:rsidRPr="009978E3">
        <w:rPr>
          <w:rFonts w:eastAsia="Calibri"/>
          <w:sz w:val="22"/>
          <w:szCs w:val="22"/>
          <w:lang w:val="en-US"/>
        </w:rPr>
        <w:t xml:space="preserve"> Series, Vol. 12, Blackwell Publishing, Oxford, 527 pp.</w:t>
      </w:r>
    </w:p>
    <w:p w14:paraId="5E2E865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Porteiro, F. &amp; Sutton, T. (2007) Midwater fish assemblages and seamounts. In: Pitcher, T.J., T. Morato, P.J.B. Hart, M.R. Clark, N. Haggan and R.S. Santos (Eds) </w:t>
      </w:r>
      <w:r w:rsidRPr="009978E3">
        <w:rPr>
          <w:rFonts w:eastAsia="Calibri"/>
          <w:i/>
          <w:sz w:val="22"/>
          <w:szCs w:val="22"/>
          <w:lang w:val="en-US"/>
        </w:rPr>
        <w:t>Seamounts: Ecology, Fisheries &amp; Conservation. Fish and Aquatic Resources</w:t>
      </w:r>
      <w:r w:rsidRPr="009978E3">
        <w:rPr>
          <w:rFonts w:eastAsia="Calibri"/>
          <w:sz w:val="22"/>
          <w:szCs w:val="22"/>
          <w:lang w:val="en-US"/>
        </w:rPr>
        <w:t xml:space="preserve"> Series 12, Blackwell Publishing, Oxford, United Kingdom. pp. 101–16.</w:t>
      </w:r>
    </w:p>
    <w:p w14:paraId="39E4B782"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Probert P. (1999) Seamounts, sanctuaries and sustainability: moving towards deep-sea conservation. </w:t>
      </w:r>
      <w:r w:rsidRPr="009978E3">
        <w:rPr>
          <w:rFonts w:eastAsia="Calibri"/>
          <w:i/>
          <w:sz w:val="22"/>
          <w:szCs w:val="22"/>
          <w:lang w:val="en-US"/>
        </w:rPr>
        <w:t>Aquatic Conservation</w:t>
      </w:r>
      <w:r w:rsidRPr="009978E3">
        <w:rPr>
          <w:rFonts w:eastAsia="Calibri"/>
          <w:sz w:val="22"/>
          <w:szCs w:val="22"/>
          <w:lang w:val="en-US"/>
        </w:rPr>
        <w:t xml:space="preserve"> 9: 601-605.</w:t>
      </w:r>
    </w:p>
    <w:p w14:paraId="1660D264"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Pusch, C., Beckmann, C., Porteiro, F. M., &amp; von Westernhagen, H. (2004). The influence of seamounts on mesopelagic fish communities. </w:t>
      </w:r>
      <w:r w:rsidRPr="009978E3">
        <w:rPr>
          <w:rFonts w:eastAsia="Calibri"/>
          <w:i/>
          <w:sz w:val="22"/>
          <w:szCs w:val="22"/>
          <w:lang w:val="en-US"/>
        </w:rPr>
        <w:t>Archive of fishery and marine research</w:t>
      </w:r>
      <w:r w:rsidRPr="009978E3">
        <w:rPr>
          <w:rFonts w:eastAsia="Calibri"/>
          <w:sz w:val="22"/>
          <w:szCs w:val="22"/>
          <w:lang w:val="en-US"/>
        </w:rPr>
        <w:t xml:space="preserve"> 51(1): 165-186.</w:t>
      </w:r>
    </w:p>
    <w:p w14:paraId="1B7409D7"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pt-PT"/>
        </w:rPr>
        <w:t>Romagosa, M., Lucas, C., Pérez</w:t>
      </w:r>
      <w:r w:rsidRPr="0021277B">
        <w:rPr>
          <w:rFonts w:ascii="Cambria Math" w:eastAsia="Calibri" w:hAnsi="Cambria Math" w:cs="Cambria Math"/>
          <w:sz w:val="22"/>
          <w:szCs w:val="22"/>
          <w:lang w:val="pt-PT"/>
        </w:rPr>
        <w:t>‐</w:t>
      </w:r>
      <w:r w:rsidRPr="00F66EF7">
        <w:rPr>
          <w:rFonts w:eastAsia="Calibri"/>
          <w:sz w:val="22"/>
          <w:szCs w:val="22"/>
          <w:lang w:val="pt-PT"/>
        </w:rPr>
        <w:t>Jorge, S., Tobe</w:t>
      </w:r>
      <w:r w:rsidRPr="009978E3">
        <w:rPr>
          <w:rFonts w:eastAsia="Calibri"/>
          <w:sz w:val="22"/>
          <w:szCs w:val="22"/>
          <w:lang w:val="pt-PT"/>
        </w:rPr>
        <w:t xml:space="preserve">ña, M., Lehodey, P., Reis, J., ... </w:t>
      </w:r>
      <w:r w:rsidRPr="009978E3">
        <w:rPr>
          <w:rFonts w:eastAsia="Calibri"/>
          <w:sz w:val="22"/>
          <w:szCs w:val="22"/>
          <w:lang w:val="en-US"/>
        </w:rPr>
        <w:t>&amp; Silva, M. A. Differences in regional oceanography and prey biomass influence the presence of foraging odontocetes at two Atlantic seamounts. Marine Mammal Science.</w:t>
      </w:r>
    </w:p>
    <w:p w14:paraId="4DAA49D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Ressurreição, A. &amp; Giacomello, E. (2013) Quantifying the direct use value of Condor seamount. </w:t>
      </w:r>
      <w:r w:rsidRPr="009978E3">
        <w:rPr>
          <w:rFonts w:eastAsia="Calibri"/>
          <w:i/>
          <w:sz w:val="22"/>
          <w:szCs w:val="22"/>
          <w:lang w:val="en-US"/>
        </w:rPr>
        <w:t>Deep-Sea Research Part II: Topical Studies in Oceanography</w:t>
      </w:r>
      <w:r w:rsidRPr="009978E3">
        <w:rPr>
          <w:rFonts w:eastAsia="Calibri"/>
          <w:sz w:val="22"/>
          <w:szCs w:val="22"/>
          <w:lang w:val="en-US"/>
        </w:rPr>
        <w:t xml:space="preserve"> 98: 209–217. </w:t>
      </w:r>
    </w:p>
    <w:p w14:paraId="18DF4A3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Richardson, P., Bower, A. &amp; Zenk, W. (2000) A census of Meddies tracked by floats. </w:t>
      </w:r>
      <w:r w:rsidRPr="009978E3">
        <w:rPr>
          <w:rFonts w:eastAsia="Calibri"/>
          <w:i/>
          <w:sz w:val="22"/>
          <w:szCs w:val="22"/>
          <w:lang w:val="en-US"/>
        </w:rPr>
        <w:t xml:space="preserve">Progress in Oceanography </w:t>
      </w:r>
      <w:r w:rsidRPr="009978E3">
        <w:rPr>
          <w:rFonts w:eastAsia="Calibri"/>
          <w:sz w:val="22"/>
          <w:szCs w:val="22"/>
          <w:lang w:val="en-US"/>
        </w:rPr>
        <w:t>45: 209–250.</w:t>
      </w:r>
    </w:p>
    <w:p w14:paraId="492F1804"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Roberts, J., Wheeler, A. &amp; Freiwald, A. (2006) Reefs of the deep: The biology and geology of cold-water coral ecosystems. </w:t>
      </w:r>
      <w:r w:rsidRPr="009978E3">
        <w:rPr>
          <w:rFonts w:eastAsia="Calibri"/>
          <w:i/>
          <w:sz w:val="22"/>
          <w:szCs w:val="22"/>
          <w:lang w:val="en-US"/>
        </w:rPr>
        <w:t>Science</w:t>
      </w:r>
      <w:r w:rsidRPr="009978E3">
        <w:rPr>
          <w:rFonts w:eastAsia="Calibri"/>
          <w:sz w:val="22"/>
          <w:szCs w:val="22"/>
          <w:lang w:val="en-US"/>
        </w:rPr>
        <w:t xml:space="preserve"> 213: 543–547.</w:t>
      </w:r>
    </w:p>
    <w:p w14:paraId="2EB92AD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Rogers, A. (1994) The biology of seamounts. </w:t>
      </w:r>
      <w:r w:rsidRPr="009978E3">
        <w:rPr>
          <w:rFonts w:eastAsia="Calibri"/>
          <w:i/>
          <w:sz w:val="22"/>
          <w:szCs w:val="22"/>
          <w:lang w:val="en-US"/>
        </w:rPr>
        <w:t>Advances in marine biology</w:t>
      </w:r>
      <w:r w:rsidRPr="009978E3">
        <w:rPr>
          <w:rFonts w:eastAsia="Calibri"/>
          <w:sz w:val="22"/>
          <w:szCs w:val="22"/>
          <w:lang w:val="en-US"/>
        </w:rPr>
        <w:t xml:space="preserve"> 30: 305-305.</w:t>
      </w:r>
    </w:p>
    <w:p w14:paraId="10AD6EB2"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Rogers, A., Baco, A., Griffiths, H., Hart, T. &amp; Hall-Spencer, J. (2007) Corals on seamounts. In: Pitcher, T., Morato, T., Hart, P., Clark, M., Haggan, N. &amp; Santos, R. eds. </w:t>
      </w:r>
      <w:r w:rsidRPr="009978E3">
        <w:rPr>
          <w:rFonts w:eastAsia="Calibri"/>
          <w:i/>
          <w:sz w:val="22"/>
          <w:szCs w:val="22"/>
          <w:lang w:val="en-US"/>
        </w:rPr>
        <w:t>Seamounts: ecology, fisheries, and conservation</w:t>
      </w:r>
      <w:r w:rsidRPr="009978E3">
        <w:rPr>
          <w:rFonts w:eastAsia="Calibri"/>
          <w:sz w:val="22"/>
          <w:szCs w:val="22"/>
          <w:lang w:val="en-US"/>
        </w:rPr>
        <w:t>. Blackwell Fisheries and Aquatic Resources Series 12. Oxford, UK: Blackwell Publishing. pp 141–169.</w:t>
      </w:r>
    </w:p>
    <w:p w14:paraId="687C6E6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Rogers, A., Clark, M., Hall-Spencer, J. &amp; Gjerde, K. (2008) </w:t>
      </w:r>
      <w:r w:rsidRPr="009978E3">
        <w:rPr>
          <w:rFonts w:eastAsia="Calibri"/>
          <w:i/>
          <w:sz w:val="22"/>
          <w:szCs w:val="22"/>
          <w:lang w:val="en-US"/>
        </w:rPr>
        <w:t>The Science behind the Guidelines: A Scientific Guide to the FAO Draft International Guidelines</w:t>
      </w:r>
      <w:r w:rsidRPr="009978E3">
        <w:rPr>
          <w:rFonts w:eastAsia="Calibri"/>
          <w:sz w:val="22"/>
          <w:szCs w:val="22"/>
          <w:lang w:val="en-US"/>
        </w:rPr>
        <w:t xml:space="preserve"> (December 2007) for the Management of Deep-sea Fisheries in the High Seas and Examples of How the Guidelines May Be Practically Implemented. IUCN, Switzerland.</w:t>
      </w:r>
    </w:p>
    <w:p w14:paraId="08A4CADA"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Samadi, S., Schlacher, T. &amp; de Forges, B. (2007) Seamount benthos. In: Pitcher, T.J., T. Morato, P.J.B. Hart, M.R. Clark, N. Haggan and R.S. Santos (Eds) </w:t>
      </w:r>
      <w:r w:rsidRPr="009978E3">
        <w:rPr>
          <w:rFonts w:eastAsia="Calibri"/>
          <w:i/>
          <w:sz w:val="22"/>
          <w:szCs w:val="22"/>
          <w:lang w:val="en-US"/>
        </w:rPr>
        <w:t>Seamounts: Ecology, Fisheries &amp; Conservation. Fish and Aquatic Resources</w:t>
      </w:r>
      <w:r w:rsidRPr="009978E3">
        <w:rPr>
          <w:rFonts w:eastAsia="Calibri"/>
          <w:sz w:val="22"/>
          <w:szCs w:val="22"/>
          <w:lang w:val="en-US"/>
        </w:rPr>
        <w:t xml:space="preserve"> Series 12, Blackwell Publishing, Oxford, United Kingdom, pp 119-140.</w:t>
      </w:r>
    </w:p>
    <w:p w14:paraId="3506C7B7"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Sánchez, F., Serrano, A., Parra, S., Ballesteros, M. &amp; Cartes, J. (2008) Habitat characteristics as determinant of the structure and spatial distribution of epibenthic and demersal communities of Le Danois Bank (Cantabrian Sea, N. Spain). </w:t>
      </w:r>
      <w:r w:rsidRPr="009978E3">
        <w:rPr>
          <w:rFonts w:eastAsia="Calibri"/>
          <w:i/>
          <w:sz w:val="22"/>
          <w:szCs w:val="22"/>
          <w:lang w:val="en-US"/>
        </w:rPr>
        <w:t>Journal of Marine Systems</w:t>
      </w:r>
      <w:r w:rsidRPr="009978E3">
        <w:rPr>
          <w:rFonts w:eastAsia="Calibri"/>
          <w:sz w:val="22"/>
          <w:szCs w:val="22"/>
          <w:lang w:val="en-US"/>
        </w:rPr>
        <w:t xml:space="preserve"> 72: 64–86.</w:t>
      </w:r>
    </w:p>
    <w:p w14:paraId="60288BFF"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Santos, M., Bolten, A., Martins, H., Riewald, B. &amp; Bjorndal, K. (2007) Air-breathing Visitors to Seamounts: Sea Turtles. Chapter 12 Section B. in Pitcher, T.J., Morato, T., Hart, P.J.B., Clark, M.R., Haggan, N. and Santos, R.S. (eds) </w:t>
      </w:r>
      <w:r w:rsidRPr="009978E3">
        <w:rPr>
          <w:rFonts w:eastAsia="Calibri"/>
          <w:i/>
          <w:sz w:val="22"/>
          <w:szCs w:val="22"/>
          <w:lang w:val="en-US"/>
        </w:rPr>
        <w:t>Seamounts: Ecology, Conservation and Management. Fish and Aquatic Resources Series</w:t>
      </w:r>
      <w:r w:rsidRPr="009978E3">
        <w:rPr>
          <w:rFonts w:eastAsia="Calibri"/>
          <w:sz w:val="22"/>
          <w:szCs w:val="22"/>
          <w:lang w:val="en-US"/>
        </w:rPr>
        <w:t>, Blackwell, Oxford, UK. pp. 239-244.</w:t>
      </w:r>
    </w:p>
    <w:p w14:paraId="0E8FB1A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Silva, M.A., Prieto, R., Jonsen, I., Baumgartner, M.F., Santos, R.S. 2013. North Atlantic Blue and Fin Whales Suspend Their Spring Migration to Forage in Middle Latitudes: Building up Energy Reserves for the Journey? PLoS ONE 8(10): e76507. https://doi.org/10.1371/journal.pone.0076507</w:t>
      </w:r>
    </w:p>
    <w:p w14:paraId="399ED205"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Staudigel, H. &amp; Clague, D. (2010) The geological history of deep-sea volcanoes: Biosphere, hydrosphere, and lithosphere interactions. </w:t>
      </w:r>
      <w:r w:rsidRPr="009978E3">
        <w:rPr>
          <w:rFonts w:eastAsia="Calibri"/>
          <w:i/>
          <w:sz w:val="22"/>
          <w:szCs w:val="22"/>
          <w:lang w:val="en-US"/>
        </w:rPr>
        <w:t>Oceanography</w:t>
      </w:r>
      <w:r w:rsidRPr="009978E3">
        <w:rPr>
          <w:rFonts w:eastAsia="Calibri"/>
          <w:sz w:val="22"/>
          <w:szCs w:val="22"/>
          <w:lang w:val="en-US"/>
        </w:rPr>
        <w:t xml:space="preserve"> 23(1): 58–71.</w:t>
      </w:r>
    </w:p>
    <w:p w14:paraId="1CEBE3CF" w14:textId="77777777" w:rsidR="006B3F46" w:rsidRPr="0021277B" w:rsidRDefault="006B3F46" w:rsidP="00907941">
      <w:pPr>
        <w:ind w:left="1134" w:hanging="1134"/>
        <w:jc w:val="both"/>
        <w:rPr>
          <w:sz w:val="22"/>
          <w:szCs w:val="22"/>
        </w:rPr>
      </w:pPr>
      <w:r w:rsidRPr="0021277B">
        <w:rPr>
          <w:sz w:val="22"/>
          <w:szCs w:val="22"/>
        </w:rPr>
        <w:t xml:space="preserve">Stevens, J. 2009. </w:t>
      </w:r>
      <w:r w:rsidRPr="0021277B">
        <w:rPr>
          <w:i/>
          <w:iCs/>
          <w:sz w:val="22"/>
          <w:szCs w:val="22"/>
        </w:rPr>
        <w:t>Prionace glauca</w:t>
      </w:r>
      <w:r w:rsidRPr="0021277B">
        <w:rPr>
          <w:sz w:val="22"/>
          <w:szCs w:val="22"/>
        </w:rPr>
        <w:t xml:space="preserve">. </w:t>
      </w:r>
      <w:r w:rsidRPr="0021277B">
        <w:rPr>
          <w:i/>
          <w:iCs/>
          <w:sz w:val="22"/>
          <w:szCs w:val="22"/>
        </w:rPr>
        <w:t>The IUCN Red List of Threatened Species</w:t>
      </w:r>
      <w:r w:rsidRPr="0021277B">
        <w:rPr>
          <w:sz w:val="22"/>
          <w:szCs w:val="22"/>
        </w:rPr>
        <w:t xml:space="preserve"> 2009: e.T39381A10222811. </w:t>
      </w:r>
      <w:hyperlink r:id="rId241" w:history="1">
        <w:r w:rsidRPr="0021277B">
          <w:rPr>
            <w:rStyle w:val="Hyperlink"/>
            <w:sz w:val="22"/>
            <w:szCs w:val="22"/>
          </w:rPr>
          <w:t>http://dx.doi.org/10.2305/IUCN.UK.2009-2.RLTS.T39381A10222811.en</w:t>
        </w:r>
      </w:hyperlink>
      <w:r w:rsidRPr="0021277B">
        <w:rPr>
          <w:sz w:val="22"/>
          <w:szCs w:val="22"/>
        </w:rPr>
        <w:t>.</w:t>
      </w:r>
    </w:p>
    <w:p w14:paraId="208F3572" w14:textId="77777777" w:rsidR="006B3F46" w:rsidRPr="009978E3" w:rsidRDefault="006B3F46" w:rsidP="00907941">
      <w:pPr>
        <w:ind w:left="1134" w:hanging="1134"/>
        <w:jc w:val="both"/>
        <w:rPr>
          <w:rFonts w:eastAsia="Calibri"/>
          <w:sz w:val="22"/>
          <w:szCs w:val="22"/>
          <w:lang w:val="en-US"/>
        </w:rPr>
      </w:pPr>
      <w:r w:rsidRPr="00F66EF7">
        <w:rPr>
          <w:rFonts w:eastAsia="Calibri"/>
          <w:sz w:val="22"/>
          <w:szCs w:val="22"/>
          <w:lang w:val="en-US"/>
        </w:rPr>
        <w:t xml:space="preserve">Tabachnick, K. &amp; Menchenina, L. (2007). Revision of the genus Asconema (Porifera: Hexactinellida:Rossellidae). </w:t>
      </w:r>
      <w:r w:rsidRPr="009978E3">
        <w:rPr>
          <w:rFonts w:eastAsia="Calibri"/>
          <w:i/>
          <w:sz w:val="22"/>
          <w:szCs w:val="22"/>
          <w:lang w:val="en-US"/>
        </w:rPr>
        <w:t>Journal of the Marine Biological Association of the UK</w:t>
      </w:r>
      <w:r w:rsidRPr="009978E3">
        <w:rPr>
          <w:rFonts w:eastAsia="Calibri"/>
          <w:sz w:val="22"/>
          <w:szCs w:val="22"/>
          <w:lang w:val="en-US"/>
        </w:rPr>
        <w:t xml:space="preserve"> 87: 1403–1429.</w:t>
      </w:r>
    </w:p>
    <w:p w14:paraId="31022790"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Tucholke, B. &amp; Smoot, N. (1990). Evidence for age and evolution of Corner seamounts and Great Meteor seamount chain from multibeam bathymetry. </w:t>
      </w:r>
      <w:r w:rsidRPr="009978E3">
        <w:rPr>
          <w:rFonts w:eastAsia="Calibri"/>
          <w:i/>
          <w:sz w:val="22"/>
          <w:szCs w:val="22"/>
          <w:lang w:val="en-US"/>
        </w:rPr>
        <w:t xml:space="preserve">Journal of Geophysical Research </w:t>
      </w:r>
      <w:r w:rsidRPr="009978E3">
        <w:rPr>
          <w:rFonts w:eastAsia="Calibri"/>
          <w:sz w:val="22"/>
          <w:szCs w:val="22"/>
          <w:lang w:val="en-US"/>
        </w:rPr>
        <w:t xml:space="preserve"> 95(B11): 17555–17569.</w:t>
      </w:r>
    </w:p>
    <w:p w14:paraId="3AB48E4A" w14:textId="77777777" w:rsidR="006B3F46" w:rsidRPr="009978E3" w:rsidRDefault="006B3F46" w:rsidP="00907941">
      <w:pPr>
        <w:ind w:left="1134" w:hanging="1134"/>
        <w:jc w:val="both"/>
        <w:rPr>
          <w:rFonts w:eastAsia="Calibri"/>
          <w:sz w:val="22"/>
          <w:szCs w:val="22"/>
          <w:lang w:val="pt-PT"/>
        </w:rPr>
      </w:pPr>
      <w:r w:rsidRPr="009978E3">
        <w:rPr>
          <w:rFonts w:eastAsia="Calibri"/>
          <w:sz w:val="22"/>
          <w:szCs w:val="22"/>
          <w:lang w:val="en-US"/>
        </w:rPr>
        <w:t xml:space="preserve">Uiblein, F., Geldmacher, A., Kˆster, F., Nellen, W., &amp; Kraus, G. (1999). Species composition and depth distribution of fish species collected in the area of the Great Meteor Seamount, Central Eastern Atlantic, during cruise M42/3, with seventeen new records. </w:t>
      </w:r>
      <w:r w:rsidRPr="009978E3">
        <w:rPr>
          <w:rFonts w:eastAsia="Calibri"/>
          <w:i/>
          <w:sz w:val="22"/>
          <w:szCs w:val="22"/>
          <w:lang w:val="pt-PT"/>
        </w:rPr>
        <w:t>Informes Tecnicos del Instituto Canario de Ciencias Marinas</w:t>
      </w:r>
      <w:r w:rsidRPr="009978E3">
        <w:rPr>
          <w:rFonts w:eastAsia="Calibri"/>
          <w:sz w:val="22"/>
          <w:szCs w:val="22"/>
          <w:lang w:val="pt-PT"/>
        </w:rPr>
        <w:t xml:space="preserve"> 5: 1-32.</w:t>
      </w:r>
    </w:p>
    <w:p w14:paraId="3BC3719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pt-PT"/>
        </w:rPr>
        <w:t xml:space="preserve">Vandeperre F, Aires-da-Silva A, Fontes J, Santos M, Serrao Santos R, </w:t>
      </w:r>
      <w:r w:rsidRPr="0006066A">
        <w:rPr>
          <w:rFonts w:eastAsia="Calibri"/>
          <w:i/>
          <w:sz w:val="22"/>
          <w:szCs w:val="22"/>
          <w:lang w:val="pt-PT"/>
        </w:rPr>
        <w:t>et al</w:t>
      </w:r>
      <w:r w:rsidRPr="009978E3">
        <w:rPr>
          <w:rFonts w:eastAsia="Calibri"/>
          <w:sz w:val="22"/>
          <w:szCs w:val="22"/>
          <w:lang w:val="pt-PT"/>
        </w:rPr>
        <w:t xml:space="preserve">. </w:t>
      </w:r>
      <w:r w:rsidRPr="009978E3">
        <w:rPr>
          <w:rFonts w:eastAsia="Calibri"/>
          <w:sz w:val="22"/>
          <w:szCs w:val="22"/>
          <w:lang w:val="en-US"/>
        </w:rPr>
        <w:t>(2014) Movements of Blue Sharks ( Prionace  glauca ) across Their Life History. PLoS ONE 9(8): e103538. doi:10.1371/journal.pone.0103538</w:t>
      </w:r>
    </w:p>
    <w:p w14:paraId="53E99D59" w14:textId="77777777" w:rsidR="006B3F46" w:rsidRPr="009978E3" w:rsidRDefault="006B3F46" w:rsidP="00907941">
      <w:pPr>
        <w:ind w:left="1134" w:hanging="1134"/>
        <w:jc w:val="both"/>
        <w:rPr>
          <w:bCs/>
          <w:sz w:val="22"/>
          <w:szCs w:val="22"/>
          <w:lang w:val="en-US"/>
        </w:rPr>
      </w:pPr>
      <w:r w:rsidRPr="009978E3">
        <w:rPr>
          <w:bCs/>
          <w:sz w:val="22"/>
          <w:szCs w:val="22"/>
          <w:lang w:val="en-US"/>
        </w:rPr>
        <w:t xml:space="preserve">Verhoef, J. (1984). A geophysical study of the Atlantis-Meteor seamount complex. </w:t>
      </w:r>
      <w:r w:rsidRPr="009978E3">
        <w:rPr>
          <w:bCs/>
          <w:i/>
          <w:sz w:val="22"/>
          <w:szCs w:val="22"/>
          <w:lang w:val="en-US"/>
        </w:rPr>
        <w:t xml:space="preserve">Geologica ultraiectina </w:t>
      </w:r>
      <w:r w:rsidRPr="009978E3">
        <w:rPr>
          <w:bCs/>
          <w:sz w:val="22"/>
          <w:szCs w:val="22"/>
          <w:lang w:val="en-US"/>
        </w:rPr>
        <w:t>38, 1-153.</w:t>
      </w:r>
    </w:p>
    <w:p w14:paraId="444643F6"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Von Rad, U. (1974). Great Meteor and Josephine seamounts (eastern North Atlantic): composition and origin of bioclastic sands, carbonate and pyroclastic rocks. </w:t>
      </w:r>
      <w:r w:rsidRPr="009978E3">
        <w:rPr>
          <w:rFonts w:eastAsia="Calibri"/>
          <w:i/>
          <w:sz w:val="22"/>
          <w:szCs w:val="22"/>
          <w:lang w:val="en-US"/>
        </w:rPr>
        <w:t>Meteor Forschungsergebnisse C</w:t>
      </w:r>
      <w:r w:rsidRPr="009978E3">
        <w:rPr>
          <w:rFonts w:eastAsia="Calibri"/>
          <w:sz w:val="22"/>
          <w:szCs w:val="22"/>
          <w:lang w:val="en-US"/>
        </w:rPr>
        <w:t xml:space="preserve"> 19: 1-61.</w:t>
      </w:r>
    </w:p>
    <w:p w14:paraId="56AA0C0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White, M., Bashmachnikov, I., Aristegui, J. &amp; Martins, A. (2007) Physical processes and seamount productivity. In: Pitcher, T., Morato T., Hart, P., Clark, M., Haggan, N. &amp; Santos, R. (Eds) </w:t>
      </w:r>
      <w:r w:rsidRPr="009978E3">
        <w:rPr>
          <w:rFonts w:eastAsia="Calibri"/>
          <w:i/>
          <w:sz w:val="22"/>
          <w:szCs w:val="22"/>
          <w:lang w:val="en-US"/>
        </w:rPr>
        <w:t>Seamounts: Ecology, Fisheries &amp; Conservation</w:t>
      </w:r>
      <w:r w:rsidRPr="009978E3">
        <w:rPr>
          <w:rFonts w:eastAsia="Calibri"/>
          <w:sz w:val="22"/>
          <w:szCs w:val="22"/>
          <w:lang w:val="en-US"/>
        </w:rPr>
        <w:t xml:space="preserve">. </w:t>
      </w:r>
      <w:r w:rsidRPr="009978E3">
        <w:rPr>
          <w:rFonts w:eastAsia="Calibri"/>
          <w:i/>
          <w:sz w:val="22"/>
          <w:szCs w:val="22"/>
          <w:lang w:val="en-US"/>
        </w:rPr>
        <w:t>Fish and Aquatic Resources</w:t>
      </w:r>
      <w:r w:rsidRPr="009978E3">
        <w:rPr>
          <w:rFonts w:eastAsia="Calibri"/>
          <w:sz w:val="22"/>
          <w:szCs w:val="22"/>
          <w:lang w:val="en-US"/>
        </w:rPr>
        <w:t xml:space="preserve"> Series 12, Blackwell Publishing, Oxford, United Kingdom, pp 65-84.</w:t>
      </w:r>
    </w:p>
    <w:p w14:paraId="549C7CAD"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WWF (2001) </w:t>
      </w:r>
      <w:r w:rsidRPr="009978E3">
        <w:rPr>
          <w:rFonts w:eastAsia="Calibri"/>
          <w:i/>
          <w:sz w:val="22"/>
          <w:szCs w:val="22"/>
          <w:lang w:val="en-US"/>
        </w:rPr>
        <w:t>Implementation of the EU Habitats Directive Offshore: Natura 2000 sites for reefs and submerged seabanks</w:t>
      </w:r>
      <w:r w:rsidRPr="009978E3">
        <w:rPr>
          <w:rFonts w:eastAsia="Calibri"/>
          <w:sz w:val="22"/>
          <w:szCs w:val="22"/>
          <w:lang w:val="en-US"/>
        </w:rPr>
        <w:t>. Vol. II. Northeast Atlantic and North Sea, 87pp. World Wildlife Fund.</w:t>
      </w:r>
    </w:p>
    <w:p w14:paraId="1267D6A9"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en-US"/>
        </w:rPr>
        <w:t xml:space="preserve">Yasui, M. (1986). </w:t>
      </w:r>
      <w:r w:rsidRPr="009978E3">
        <w:rPr>
          <w:rFonts w:eastAsia="Calibri"/>
          <w:i/>
          <w:sz w:val="22"/>
          <w:szCs w:val="22"/>
          <w:lang w:val="en-US"/>
        </w:rPr>
        <w:t>Albacore, Thunnus alalunga, pole-and-line fishery around the Emperor Seamounts. From Environment and Resources of Seamounts in the North Pacific</w:t>
      </w:r>
      <w:r w:rsidRPr="009978E3">
        <w:rPr>
          <w:rFonts w:eastAsia="Calibri"/>
          <w:sz w:val="22"/>
          <w:szCs w:val="22"/>
          <w:lang w:val="en-US"/>
        </w:rPr>
        <w:t xml:space="preserve">. R. Uchida, S. Hayashi, and G. Boehlert [eds]. NOAA Technical Report NMFS 43. September 1986. pp 37 – 40. </w:t>
      </w:r>
    </w:p>
    <w:p w14:paraId="34A2D4C2" w14:textId="77777777" w:rsidR="006B3F46" w:rsidRPr="009978E3" w:rsidRDefault="006B3F46" w:rsidP="00907941">
      <w:pPr>
        <w:ind w:left="1134" w:hanging="1134"/>
        <w:jc w:val="both"/>
        <w:rPr>
          <w:rFonts w:eastAsia="Calibri"/>
          <w:sz w:val="22"/>
          <w:szCs w:val="22"/>
          <w:lang w:val="en-US"/>
        </w:rPr>
      </w:pPr>
      <w:r>
        <w:rPr>
          <w:rFonts w:eastAsia="Calibri"/>
          <w:sz w:val="22"/>
          <w:szCs w:val="22"/>
          <w:lang w:val="en-US"/>
        </w:rPr>
        <w:br w:type="page"/>
      </w:r>
    </w:p>
    <w:p w14:paraId="65C8D544" w14:textId="77777777" w:rsidR="006B3F46" w:rsidRDefault="006B3F46" w:rsidP="00907941">
      <w:pPr>
        <w:rPr>
          <w:rFonts w:eastAsia="MS Mincho"/>
          <w:b/>
          <w:sz w:val="22"/>
          <w:szCs w:val="22"/>
          <w:lang w:val="en-US"/>
        </w:rPr>
      </w:pPr>
      <w:r w:rsidRPr="009978E3">
        <w:rPr>
          <w:rFonts w:eastAsia="MS Mincho"/>
          <w:b/>
          <w:sz w:val="22"/>
          <w:szCs w:val="22"/>
          <w:lang w:val="en-US"/>
        </w:rPr>
        <w:t>Maps and Figures</w:t>
      </w:r>
    </w:p>
    <w:p w14:paraId="64AA73C8" w14:textId="77777777" w:rsidR="006B3F46" w:rsidRDefault="006B3F46" w:rsidP="00907941">
      <w:pPr>
        <w:rPr>
          <w:rFonts w:eastAsia="MS Mincho"/>
          <w:b/>
          <w:sz w:val="22"/>
          <w:szCs w:val="22"/>
          <w:lang w:val="en-US"/>
        </w:rPr>
      </w:pPr>
    </w:p>
    <w:p w14:paraId="7A28B6F0" w14:textId="77777777" w:rsidR="006B3F46" w:rsidRDefault="009E53BE" w:rsidP="00907941">
      <w:pPr>
        <w:rPr>
          <w:rFonts w:eastAsia="MS Mincho"/>
          <w:b/>
          <w:sz w:val="22"/>
          <w:szCs w:val="22"/>
          <w:lang w:val="en-US"/>
        </w:rPr>
      </w:pPr>
      <w:r>
        <w:pict w14:anchorId="476759BC">
          <v:shape id="_x0000_i1123" type="#_x0000_t75" style="width:6in;height:6in">
            <v:imagedata r:id="rId242" o:title=""/>
          </v:shape>
        </w:pict>
      </w:r>
    </w:p>
    <w:p w14:paraId="06FF1BFD" w14:textId="77777777" w:rsidR="006B3F46" w:rsidRPr="009978E3" w:rsidRDefault="006B3F46" w:rsidP="00907941">
      <w:pPr>
        <w:rPr>
          <w:rFonts w:eastAsia="MS Mincho"/>
          <w:b/>
          <w:sz w:val="22"/>
          <w:szCs w:val="22"/>
          <w:lang w:val="en-US"/>
        </w:rPr>
      </w:pPr>
    </w:p>
    <w:p w14:paraId="03E163B3" w14:textId="77777777" w:rsidR="006B3F46" w:rsidRPr="00EC5399" w:rsidRDefault="006B3F46" w:rsidP="00907941">
      <w:pPr>
        <w:jc w:val="center"/>
        <w:rPr>
          <w:rFonts w:eastAsia="MS Mincho"/>
          <w:b/>
          <w:sz w:val="22"/>
          <w:szCs w:val="22"/>
          <w:lang w:val="en-US"/>
        </w:rPr>
      </w:pPr>
      <w:r w:rsidRPr="0021277B">
        <w:rPr>
          <w:b/>
          <w:sz w:val="22"/>
          <w:szCs w:val="22"/>
        </w:rPr>
        <w:t>Location of area no. 10: Atlantis-Meteor Seamount Complex</w:t>
      </w:r>
    </w:p>
    <w:p w14:paraId="78BA72A3" w14:textId="77777777" w:rsidR="006B3F46" w:rsidRPr="009978E3" w:rsidRDefault="006B3F46" w:rsidP="00907941">
      <w:pPr>
        <w:rPr>
          <w:rFonts w:eastAsia="MS Mincho"/>
          <w:bCs/>
          <w:color w:val="000000"/>
          <w:sz w:val="22"/>
          <w:szCs w:val="22"/>
          <w:lang w:val="en-US"/>
        </w:rPr>
      </w:pPr>
    </w:p>
    <w:p w14:paraId="23CCC24A" w14:textId="77777777" w:rsidR="006B3F46" w:rsidRPr="00F66EF7" w:rsidRDefault="009E53BE" w:rsidP="00907941">
      <w:pPr>
        <w:jc w:val="both"/>
        <w:rPr>
          <w:rFonts w:eastAsia="MS Mincho"/>
          <w:sz w:val="22"/>
          <w:szCs w:val="22"/>
          <w:lang w:val="en-US"/>
        </w:rPr>
      </w:pPr>
      <w:r>
        <w:rPr>
          <w:rFonts w:eastAsia="MS Mincho"/>
          <w:noProof/>
          <w:sz w:val="22"/>
          <w:szCs w:val="22"/>
          <w:lang w:val="fr-CA" w:eastAsia="fr-CA"/>
        </w:rPr>
        <w:pict w14:anchorId="62EA6D6B">
          <v:shape id="_x0000_i1124" type="#_x0000_t75" style="width:454.5pt;height:300pt;visibility:visible">
            <v:imagedata r:id="rId243" o:title=""/>
          </v:shape>
        </w:pict>
      </w:r>
    </w:p>
    <w:p w14:paraId="01465A18" w14:textId="77777777" w:rsidR="006B3F46" w:rsidRPr="009978E3" w:rsidRDefault="006B3F46" w:rsidP="00907941">
      <w:pPr>
        <w:jc w:val="both"/>
        <w:rPr>
          <w:rFonts w:eastAsia="MS Mincho"/>
          <w:sz w:val="22"/>
          <w:szCs w:val="22"/>
          <w:lang w:val="en-US"/>
        </w:rPr>
      </w:pPr>
    </w:p>
    <w:p w14:paraId="02FAE998"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Figure 1</w:t>
      </w:r>
      <w:r>
        <w:rPr>
          <w:rFonts w:eastAsia="MS Mincho"/>
          <w:sz w:val="22"/>
          <w:szCs w:val="22"/>
          <w:lang w:val="en-US"/>
        </w:rPr>
        <w:t>.</w:t>
      </w:r>
      <w:r w:rsidRPr="009978E3">
        <w:rPr>
          <w:rFonts w:eastAsia="MS Mincho"/>
          <w:sz w:val="22"/>
          <w:szCs w:val="22"/>
          <w:lang w:val="en-US"/>
        </w:rPr>
        <w:t xml:space="preserve"> Structures </w:t>
      </w:r>
      <w:r>
        <w:rPr>
          <w:rFonts w:eastAsia="MS Mincho"/>
          <w:sz w:val="22"/>
          <w:szCs w:val="22"/>
          <w:lang w:val="en-US"/>
        </w:rPr>
        <w:t>of</w:t>
      </w:r>
      <w:r w:rsidRPr="009978E3">
        <w:rPr>
          <w:rFonts w:eastAsia="MS Mincho"/>
          <w:sz w:val="22"/>
          <w:szCs w:val="22"/>
          <w:lang w:val="en-US"/>
        </w:rPr>
        <w:t xml:space="preserve"> the Atlantis-Meteor Seamount Complex </w:t>
      </w:r>
    </w:p>
    <w:p w14:paraId="6EE01966" w14:textId="77777777" w:rsidR="006B3F46" w:rsidRPr="0021277B" w:rsidRDefault="006B3F46" w:rsidP="00907941">
      <w:pPr>
        <w:jc w:val="both"/>
        <w:rPr>
          <w:sz w:val="22"/>
          <w:szCs w:val="22"/>
        </w:rPr>
      </w:pPr>
    </w:p>
    <w:p w14:paraId="263B57B3" w14:textId="77777777" w:rsidR="006B3F46" w:rsidRPr="0021277B" w:rsidRDefault="009E53BE" w:rsidP="00907941">
      <w:pPr>
        <w:jc w:val="both"/>
        <w:rPr>
          <w:sz w:val="22"/>
          <w:szCs w:val="22"/>
          <w:highlight w:val="yellow"/>
        </w:rPr>
      </w:pPr>
      <w:r>
        <w:rPr>
          <w:noProof/>
          <w:sz w:val="22"/>
          <w:szCs w:val="22"/>
          <w:lang w:val="fr-CA" w:eastAsia="fr-CA"/>
        </w:rPr>
        <w:pict w14:anchorId="56747FD5">
          <v:shape id="Imagem 3" o:spid="_x0000_i1125" type="#_x0000_t75" style="width:445.5pt;height:301.5pt;visibility:visible">
            <v:imagedata r:id="rId244" o:title="" croptop="3565f" cropbottom="3372f" cropleft="2117f" cropright="2117f"/>
          </v:shape>
        </w:pict>
      </w:r>
    </w:p>
    <w:p w14:paraId="4DA04013" w14:textId="77777777" w:rsidR="006B3F46" w:rsidRPr="0021277B" w:rsidRDefault="006B3F46" w:rsidP="00907941">
      <w:pPr>
        <w:jc w:val="both"/>
        <w:rPr>
          <w:sz w:val="22"/>
          <w:szCs w:val="22"/>
        </w:rPr>
      </w:pPr>
    </w:p>
    <w:p w14:paraId="17C6EEC6" w14:textId="77777777" w:rsidR="006B3F46" w:rsidRPr="009978E3" w:rsidRDefault="006B3F46" w:rsidP="00907941">
      <w:pPr>
        <w:jc w:val="both"/>
        <w:rPr>
          <w:sz w:val="22"/>
          <w:szCs w:val="22"/>
        </w:rPr>
      </w:pPr>
      <w:r w:rsidRPr="00F66EF7">
        <w:rPr>
          <w:sz w:val="22"/>
          <w:szCs w:val="22"/>
        </w:rPr>
        <w:t>Figure 2</w:t>
      </w:r>
      <w:r>
        <w:rPr>
          <w:sz w:val="22"/>
          <w:szCs w:val="22"/>
        </w:rPr>
        <w:t>.</w:t>
      </w:r>
      <w:r w:rsidRPr="00F66EF7">
        <w:rPr>
          <w:sz w:val="22"/>
          <w:szCs w:val="22"/>
        </w:rPr>
        <w:t xml:space="preserve"> </w:t>
      </w:r>
      <w:r w:rsidRPr="009978E3">
        <w:rPr>
          <w:bCs/>
          <w:sz w:val="22"/>
          <w:szCs w:val="22"/>
        </w:rPr>
        <w:t>Atlantis-Meteor Seamount Complex</w:t>
      </w:r>
      <w:r w:rsidRPr="009978E3">
        <w:rPr>
          <w:sz w:val="22"/>
          <w:szCs w:val="22"/>
        </w:rPr>
        <w:t xml:space="preserve"> (</w:t>
      </w:r>
      <w:r>
        <w:rPr>
          <w:sz w:val="22"/>
          <w:szCs w:val="22"/>
        </w:rPr>
        <w:t>y</w:t>
      </w:r>
      <w:r w:rsidRPr="009978E3">
        <w:rPr>
          <w:sz w:val="22"/>
          <w:szCs w:val="22"/>
        </w:rPr>
        <w:t>ellow shad</w:t>
      </w:r>
      <w:r>
        <w:rPr>
          <w:sz w:val="22"/>
          <w:szCs w:val="22"/>
        </w:rPr>
        <w:t>ing</w:t>
      </w:r>
      <w:r w:rsidRPr="009978E3">
        <w:rPr>
          <w:sz w:val="22"/>
          <w:szCs w:val="22"/>
        </w:rPr>
        <w:t xml:space="preserve"> = total area).</w:t>
      </w:r>
    </w:p>
    <w:p w14:paraId="45C2DB8D" w14:textId="77777777" w:rsidR="006B3F46" w:rsidRPr="009978E3" w:rsidRDefault="006B3F46" w:rsidP="00907941">
      <w:pPr>
        <w:jc w:val="both"/>
        <w:rPr>
          <w:sz w:val="22"/>
          <w:szCs w:val="22"/>
        </w:rPr>
      </w:pPr>
    </w:p>
    <w:p w14:paraId="5F6D7DD9" w14:textId="77777777" w:rsidR="006B3F46" w:rsidRPr="00F66EF7" w:rsidRDefault="006B3F46" w:rsidP="00907941">
      <w:pPr>
        <w:jc w:val="both"/>
        <w:rPr>
          <w:rFonts w:eastAsia="MS Mincho"/>
          <w:sz w:val="22"/>
          <w:szCs w:val="22"/>
          <w:lang w:val="en-US"/>
        </w:rPr>
      </w:pPr>
      <w:r w:rsidRPr="0021277B">
        <w:rPr>
          <w:noProof/>
          <w:sz w:val="22"/>
          <w:szCs w:val="22"/>
          <w:lang w:val="fr-CA" w:eastAsia="fr-CA"/>
        </w:rPr>
        <w:object w:dxaOrig="9290" w:dyaOrig="5580" w14:anchorId="4E58DFAD">
          <v:shape id="Gráfico 5" o:spid="_x0000_i1126" type="#_x0000_t75" style="width:446.25pt;height:313.5pt;visibility:visible" o:ole="">
            <v:imagedata r:id="rId245" o:title="" croptop="-10026f" cropbottom="-1100f" cropright="-37f"/>
            <o:lock v:ext="edit" aspectratio="f"/>
          </v:shape>
          <o:OLEObject Type="Embed" ProgID="Excel.Sheet.8" ShapeID="Gráfico 5" DrawAspect="Content" ObjectID="_1639044483" r:id="rId246">
            <o:FieldCodes>\s</o:FieldCodes>
          </o:OLEObject>
        </w:object>
      </w:r>
    </w:p>
    <w:p w14:paraId="0681CE91" w14:textId="77777777" w:rsidR="006B3F46" w:rsidRPr="009978E3" w:rsidRDefault="006B3F46" w:rsidP="00907941">
      <w:pPr>
        <w:jc w:val="both"/>
        <w:rPr>
          <w:rFonts w:eastAsia="MS Mincho"/>
          <w:b/>
          <w:sz w:val="22"/>
          <w:szCs w:val="22"/>
          <w:lang w:val="en-US"/>
        </w:rPr>
      </w:pPr>
      <w:r w:rsidRPr="009978E3">
        <w:rPr>
          <w:rFonts w:eastAsia="MS Mincho"/>
          <w:sz w:val="22"/>
          <w:szCs w:val="22"/>
          <w:lang w:val="en-US"/>
        </w:rPr>
        <w:t xml:space="preserve">Figure </w:t>
      </w:r>
      <w:r>
        <w:rPr>
          <w:rFonts w:eastAsia="MS Mincho"/>
          <w:sz w:val="22"/>
          <w:szCs w:val="22"/>
          <w:lang w:val="en-US"/>
        </w:rPr>
        <w:t>3.</w:t>
      </w:r>
      <w:r w:rsidRPr="009978E3">
        <w:rPr>
          <w:rFonts w:eastAsia="MS Mincho"/>
          <w:sz w:val="22"/>
          <w:szCs w:val="22"/>
          <w:lang w:val="en-US"/>
        </w:rPr>
        <w:t xml:space="preserve"> Relative frequency (</w:t>
      </w:r>
      <w:r>
        <w:rPr>
          <w:rFonts w:eastAsia="MS Mincho"/>
          <w:sz w:val="22"/>
          <w:szCs w:val="22"/>
          <w:lang w:val="en-US"/>
        </w:rPr>
        <w:t xml:space="preserve"> per cent</w:t>
      </w:r>
      <w:r w:rsidRPr="009978E3">
        <w:rPr>
          <w:rFonts w:eastAsia="MS Mincho"/>
          <w:sz w:val="22"/>
          <w:szCs w:val="22"/>
          <w:lang w:val="en-US"/>
        </w:rPr>
        <w:t>) of the different phyl</w:t>
      </w:r>
      <w:r>
        <w:rPr>
          <w:rFonts w:eastAsia="MS Mincho"/>
          <w:sz w:val="22"/>
          <w:szCs w:val="22"/>
          <w:lang w:val="en-US"/>
        </w:rPr>
        <w:t>a</w:t>
      </w:r>
      <w:r w:rsidRPr="009978E3">
        <w:rPr>
          <w:rFonts w:eastAsia="MS Mincho"/>
          <w:sz w:val="22"/>
          <w:szCs w:val="22"/>
          <w:lang w:val="en-US"/>
        </w:rPr>
        <w:t>/class/order of the species identified in the Atlantis-Meteor Seamount Complex.</w:t>
      </w:r>
    </w:p>
    <w:p w14:paraId="3CDE5742" w14:textId="77777777" w:rsidR="006B3F46" w:rsidRPr="009978E3" w:rsidRDefault="006B3F46" w:rsidP="00907941">
      <w:pPr>
        <w:rPr>
          <w:rFonts w:eastAsia="MS Mincho"/>
          <w:bCs/>
          <w:sz w:val="22"/>
          <w:szCs w:val="22"/>
          <w:lang w:val="en-US"/>
        </w:rPr>
      </w:pPr>
    </w:p>
    <w:p w14:paraId="38C65CDD" w14:textId="77777777" w:rsidR="006B3F46" w:rsidRPr="009978E3" w:rsidRDefault="006B3F46" w:rsidP="00907941">
      <w:pPr>
        <w:ind w:left="2160" w:hanging="2160"/>
        <w:jc w:val="center"/>
        <w:rPr>
          <w:rFonts w:eastAsia="MS Mincho"/>
          <w:b/>
          <w:sz w:val="22"/>
          <w:szCs w:val="22"/>
          <w:lang w:val="en-US"/>
        </w:rPr>
      </w:pPr>
      <w:r w:rsidRPr="009978E3">
        <w:rPr>
          <w:rFonts w:eastAsia="MS Mincho"/>
          <w:bCs/>
          <w:sz w:val="22"/>
          <w:szCs w:val="22"/>
          <w:lang w:val="en-US"/>
        </w:rPr>
        <w:br w:type="page"/>
      </w:r>
      <w:bookmarkStart w:id="31" w:name="_Hlk22811492"/>
      <w:r w:rsidRPr="009978E3">
        <w:rPr>
          <w:rFonts w:eastAsia="MS Mincho"/>
          <w:b/>
          <w:sz w:val="22"/>
          <w:szCs w:val="22"/>
          <w:lang w:val="en-US"/>
        </w:rPr>
        <w:t xml:space="preserve">Area no. 11: </w:t>
      </w:r>
      <w:bookmarkStart w:id="32" w:name="_Hlk20338426"/>
      <w:r w:rsidRPr="009978E3">
        <w:rPr>
          <w:rFonts w:eastAsia="MS Mincho"/>
          <w:b/>
          <w:sz w:val="22"/>
          <w:szCs w:val="22"/>
          <w:lang w:val="en-US"/>
        </w:rPr>
        <w:t>Ridge South of the Azores</w:t>
      </w:r>
      <w:bookmarkEnd w:id="32"/>
    </w:p>
    <w:bookmarkEnd w:id="31"/>
    <w:p w14:paraId="74EBEC10" w14:textId="77777777" w:rsidR="006B3F46" w:rsidRPr="009978E3" w:rsidRDefault="006B3F46" w:rsidP="00907941">
      <w:pPr>
        <w:jc w:val="both"/>
        <w:rPr>
          <w:rFonts w:eastAsia="MS Mincho"/>
          <w:i/>
          <w:sz w:val="22"/>
          <w:szCs w:val="22"/>
          <w:lang w:val="en-US"/>
        </w:rPr>
      </w:pPr>
      <w:r w:rsidRPr="009978E3">
        <w:rPr>
          <w:rFonts w:eastAsia="MS Mincho"/>
          <w:b/>
          <w:sz w:val="22"/>
          <w:szCs w:val="22"/>
          <w:lang w:val="en-US"/>
        </w:rPr>
        <w:t xml:space="preserve">Abstract </w:t>
      </w:r>
    </w:p>
    <w:p w14:paraId="19CC2AA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Ridge South of the Azores encompasses the axial valley and ridge crests of the Mid-Atlantic Ridge</w:t>
      </w:r>
      <w:r>
        <w:rPr>
          <w:rFonts w:eastAsia="MS Mincho"/>
          <w:sz w:val="22"/>
          <w:szCs w:val="22"/>
          <w:lang w:val="en-US"/>
        </w:rPr>
        <w:t>,</w:t>
      </w:r>
      <w:r w:rsidRPr="009978E3">
        <w:rPr>
          <w:rFonts w:eastAsia="MS Mincho"/>
          <w:sz w:val="22"/>
          <w:szCs w:val="22"/>
          <w:lang w:val="en-US"/>
        </w:rPr>
        <w:t xml:space="preserve"> from the Menez Gwen hydrothermal vent field area to the Haynes fracture zone. At the east ridge crest, the area includes part of the Alberto Monaco Ridge and seamount-like features associated with the western portions of the ridge. The area includes three high-seas marine protected areas </w:t>
      </w:r>
      <w:r>
        <w:rPr>
          <w:rFonts w:eastAsia="MS Mincho"/>
          <w:sz w:val="22"/>
          <w:szCs w:val="22"/>
          <w:lang w:val="en-US"/>
        </w:rPr>
        <w:t>(</w:t>
      </w:r>
      <w:r w:rsidRPr="005D04D9">
        <w:rPr>
          <w:rFonts w:eastAsia="MS Mincho"/>
          <w:sz w:val="22"/>
          <w:szCs w:val="22"/>
          <w:lang w:val="en-US"/>
        </w:rPr>
        <w:t>part of the OSPAR Network of Marine Protected Areas</w:t>
      </w:r>
      <w:r>
        <w:rPr>
          <w:rFonts w:eastAsia="MS Mincho"/>
          <w:sz w:val="22"/>
          <w:szCs w:val="22"/>
          <w:lang w:val="en-US"/>
        </w:rPr>
        <w:t>)</w:t>
      </w:r>
      <w:r w:rsidRPr="009978E3">
        <w:rPr>
          <w:rFonts w:eastAsia="MS Mincho"/>
          <w:sz w:val="22"/>
          <w:szCs w:val="22"/>
          <w:lang w:val="en-US"/>
        </w:rPr>
        <w:t xml:space="preserve"> – Lucky Strike, Menez Gwen and Rainbow vent fields. The features in this area are both hotspots of marine life and areas of enhanced productivity when compared with surrounding bathyal and abyssal areas. The hydrothermal temperatures range between 10ᵒ C (Menez Hom and Saldanha) and 362ᵒ C (Rainbow). The area also includes other seafloor features at the ridge crest that host sponge aggregations, cold-water corals and other charismatic fauna.</w:t>
      </w:r>
    </w:p>
    <w:p w14:paraId="4ADB872F"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Introduction  </w:t>
      </w:r>
    </w:p>
    <w:p w14:paraId="62DDE0C7" w14:textId="77777777" w:rsidR="006B3F46" w:rsidRPr="00DD58CB" w:rsidRDefault="006B3F46" w:rsidP="002E4B39">
      <w:pPr>
        <w:suppressLineNumbers/>
        <w:spacing w:after="120"/>
        <w:jc w:val="both"/>
        <w:rPr>
          <w:rFonts w:eastAsia="MS Mincho"/>
          <w:i/>
          <w:color w:val="000000"/>
          <w:sz w:val="22"/>
          <w:szCs w:val="22"/>
          <w:lang w:val="en-US"/>
        </w:rPr>
      </w:pPr>
      <w:r w:rsidRPr="00D4318C">
        <w:rPr>
          <w:rFonts w:eastAsia="MS Mincho"/>
          <w:sz w:val="22"/>
          <w:szCs w:val="22"/>
          <w:lang w:val="en-US"/>
        </w:rPr>
        <w:t>This area encompasses a part of the Ridge South of the Azores, with different features such as the axial valley, ridge crests and several hydrothermal vent fields, either active or inferred. The area is bordered at the north by the Menez Gwen hydrothermal vent field area and at the south by the Haynes fracture zone. A</w:t>
      </w:r>
      <w:r w:rsidRPr="007F5061">
        <w:rPr>
          <w:rFonts w:eastAsia="MS Mincho"/>
          <w:sz w:val="22"/>
          <w:szCs w:val="22"/>
          <w:lang w:val="en-US"/>
        </w:rPr>
        <w:t>t the east ridge crest</w:t>
      </w:r>
      <w:r w:rsidRPr="007128C1">
        <w:rPr>
          <w:rFonts w:eastAsia="MS Mincho"/>
          <w:sz w:val="22"/>
          <w:szCs w:val="22"/>
          <w:lang w:val="en-US"/>
        </w:rPr>
        <w:t xml:space="preserve">, this area </w:t>
      </w:r>
      <w:r w:rsidRPr="005018E5">
        <w:rPr>
          <w:rFonts w:eastAsia="MS Mincho"/>
          <w:sz w:val="22"/>
          <w:szCs w:val="22"/>
          <w:lang w:val="en-US"/>
        </w:rPr>
        <w:t>incorporates part of the Alberto Monac</w:t>
      </w:r>
      <w:r w:rsidRPr="009A5F5B">
        <w:rPr>
          <w:rFonts w:eastAsia="MS Mincho"/>
          <w:sz w:val="22"/>
          <w:szCs w:val="22"/>
          <w:lang w:val="en-US"/>
        </w:rPr>
        <w:t>o Ridge and the seam</w:t>
      </w:r>
      <w:r w:rsidRPr="0052330D">
        <w:rPr>
          <w:rFonts w:eastAsia="MS Mincho"/>
          <w:sz w:val="22"/>
          <w:szCs w:val="22"/>
          <w:lang w:val="en-US"/>
        </w:rPr>
        <w:t>ount-</w:t>
      </w:r>
      <w:r w:rsidRPr="00735202">
        <w:rPr>
          <w:rFonts w:eastAsia="MS Mincho"/>
          <w:sz w:val="22"/>
          <w:szCs w:val="22"/>
          <w:lang w:val="en-US"/>
        </w:rPr>
        <w:t>like features associat</w:t>
      </w:r>
      <w:r w:rsidRPr="00C7312A">
        <w:rPr>
          <w:rFonts w:eastAsia="MS Mincho"/>
          <w:sz w:val="22"/>
          <w:szCs w:val="22"/>
          <w:lang w:val="en-US"/>
        </w:rPr>
        <w:t>ed</w:t>
      </w:r>
      <w:r w:rsidRPr="00B508EC">
        <w:rPr>
          <w:rFonts w:eastAsia="MS Mincho"/>
          <w:sz w:val="22"/>
          <w:szCs w:val="22"/>
          <w:lang w:val="en-US"/>
        </w:rPr>
        <w:t xml:space="preserve"> </w:t>
      </w:r>
      <w:r w:rsidRPr="00927573">
        <w:rPr>
          <w:rFonts w:eastAsia="MS Mincho"/>
          <w:sz w:val="22"/>
          <w:szCs w:val="22"/>
          <w:lang w:val="en-US"/>
        </w:rPr>
        <w:t>with</w:t>
      </w:r>
      <w:r w:rsidRPr="007D42EF">
        <w:rPr>
          <w:rFonts w:eastAsia="MS Mincho"/>
          <w:sz w:val="22"/>
          <w:szCs w:val="22"/>
          <w:lang w:val="en-US"/>
        </w:rPr>
        <w:t xml:space="preserve"> the ridge at </w:t>
      </w:r>
      <w:r w:rsidRPr="00FB2694">
        <w:rPr>
          <w:rFonts w:eastAsia="MS Mincho"/>
          <w:sz w:val="22"/>
          <w:szCs w:val="22"/>
          <w:lang w:val="en-US"/>
        </w:rPr>
        <w:t xml:space="preserve">its west. The </w:t>
      </w:r>
      <w:r w:rsidRPr="00C53904">
        <w:rPr>
          <w:rFonts w:eastAsia="MS Mincho"/>
          <w:sz w:val="22"/>
          <w:szCs w:val="22"/>
          <w:lang w:val="en-US"/>
        </w:rPr>
        <w:t xml:space="preserve">area also includes three </w:t>
      </w:r>
      <w:r w:rsidRPr="00E7252F">
        <w:rPr>
          <w:rFonts w:eastAsia="MS Mincho"/>
          <w:sz w:val="22"/>
          <w:szCs w:val="22"/>
          <w:lang w:val="en-US"/>
        </w:rPr>
        <w:t>high-seas marine protected areas</w:t>
      </w:r>
      <w:r w:rsidRPr="00FE3742">
        <w:rPr>
          <w:rFonts w:eastAsia="MS Mincho"/>
          <w:sz w:val="22"/>
          <w:szCs w:val="22"/>
          <w:lang w:val="en-US"/>
        </w:rPr>
        <w:t xml:space="preserve"> (</w:t>
      </w:r>
      <w:r w:rsidRPr="000451B8">
        <w:rPr>
          <w:rFonts w:eastAsia="MS Mincho"/>
          <w:sz w:val="22"/>
          <w:szCs w:val="22"/>
          <w:lang w:val="en-US"/>
        </w:rPr>
        <w:t>part of the OSPAR Network of Marine Protected Areas</w:t>
      </w:r>
      <w:r w:rsidRPr="00301306">
        <w:rPr>
          <w:rFonts w:eastAsia="MS Mincho"/>
          <w:sz w:val="22"/>
          <w:szCs w:val="22"/>
          <w:lang w:val="en-US"/>
        </w:rPr>
        <w:t>)</w:t>
      </w:r>
      <w:r w:rsidRPr="00497ACF">
        <w:rPr>
          <w:rFonts w:eastAsia="MS Mincho"/>
          <w:sz w:val="22"/>
          <w:szCs w:val="22"/>
          <w:lang w:val="en-US"/>
        </w:rPr>
        <w:t xml:space="preserve"> </w:t>
      </w:r>
      <w:r w:rsidRPr="0037253F">
        <w:rPr>
          <w:rFonts w:eastAsia="MS Mincho"/>
          <w:sz w:val="22"/>
          <w:szCs w:val="22"/>
          <w:lang w:val="en-US"/>
        </w:rPr>
        <w:t>–Lucky Strike, Menez Gwen an</w:t>
      </w:r>
      <w:r w:rsidRPr="00B665FA">
        <w:rPr>
          <w:rFonts w:eastAsia="MS Mincho"/>
          <w:sz w:val="22"/>
          <w:szCs w:val="22"/>
          <w:lang w:val="en-US"/>
        </w:rPr>
        <w:t xml:space="preserve">d Rainbow vent fields. </w:t>
      </w:r>
      <w:bookmarkStart w:id="33" w:name="_Hlk22811968"/>
      <w:r w:rsidRPr="0021277B">
        <w:rPr>
          <w:bCs/>
          <w:iCs/>
          <w:sz w:val="22"/>
          <w:szCs w:val="22"/>
        </w:rPr>
        <w:t xml:space="preserve">This area has structures at depths ranging from </w:t>
      </w:r>
      <w:r w:rsidRPr="0021277B">
        <w:rPr>
          <w:bCs/>
          <w:iCs/>
          <w:strike/>
          <w:sz w:val="22"/>
          <w:szCs w:val="22"/>
        </w:rPr>
        <w:t>the deepest</w:t>
      </w:r>
      <w:r w:rsidRPr="0021277B">
        <w:rPr>
          <w:bCs/>
          <w:iCs/>
          <w:sz w:val="22"/>
          <w:szCs w:val="22"/>
        </w:rPr>
        <w:t xml:space="preserve"> 3460 m (inferred depth – south Oceanographer FZ), to the mid-range at 2320 m (measured depth – Rainbow), to the shallowest at Albert Monaco Ridge.</w:t>
      </w:r>
      <w:r w:rsidRPr="0021277B">
        <w:rPr>
          <w:color w:val="1F497D"/>
          <w:sz w:val="22"/>
          <w:szCs w:val="22"/>
        </w:rPr>
        <w:t xml:space="preserve"> </w:t>
      </w:r>
      <w:r w:rsidRPr="00B508EC">
        <w:rPr>
          <w:rFonts w:eastAsia="MS Mincho"/>
          <w:sz w:val="22"/>
          <w:szCs w:val="22"/>
          <w:lang w:val="en-US"/>
        </w:rPr>
        <w:t xml:space="preserve"> </w:t>
      </w:r>
      <w:bookmarkEnd w:id="33"/>
      <w:r w:rsidRPr="00B508EC">
        <w:rPr>
          <w:rFonts w:eastAsia="MS Mincho"/>
          <w:sz w:val="22"/>
          <w:szCs w:val="22"/>
          <w:lang w:val="en-US"/>
        </w:rPr>
        <w:t>The hydrothermal temper</w:t>
      </w:r>
      <w:r w:rsidRPr="00927573">
        <w:rPr>
          <w:rFonts w:eastAsia="MS Mincho"/>
          <w:sz w:val="22"/>
          <w:szCs w:val="22"/>
          <w:lang w:val="en-US"/>
        </w:rPr>
        <w:t>atur</w:t>
      </w:r>
      <w:r w:rsidRPr="007D42EF">
        <w:rPr>
          <w:rFonts w:eastAsia="MS Mincho"/>
          <w:sz w:val="22"/>
          <w:szCs w:val="22"/>
          <w:lang w:val="en-US"/>
        </w:rPr>
        <w:t>es range between 10</w:t>
      </w:r>
      <w:r w:rsidRPr="00FB2694">
        <w:rPr>
          <w:rFonts w:eastAsia="MS Mincho"/>
          <w:sz w:val="22"/>
          <w:szCs w:val="22"/>
          <w:lang w:val="en-US"/>
        </w:rPr>
        <w:t>ᵒ</w:t>
      </w:r>
      <w:r w:rsidRPr="00EA132A">
        <w:rPr>
          <w:rFonts w:eastAsia="MS Mincho"/>
          <w:sz w:val="22"/>
          <w:szCs w:val="22"/>
          <w:lang w:val="en-US"/>
        </w:rPr>
        <w:t xml:space="preserve"> C (M</w:t>
      </w:r>
      <w:r w:rsidRPr="00C53904">
        <w:rPr>
          <w:rFonts w:eastAsia="MS Mincho"/>
          <w:sz w:val="22"/>
          <w:szCs w:val="22"/>
          <w:lang w:val="en-US"/>
        </w:rPr>
        <w:t>enez Hom and Saldanha) and 362</w:t>
      </w:r>
      <w:r w:rsidRPr="00E7252F">
        <w:rPr>
          <w:rFonts w:eastAsia="MS Mincho"/>
          <w:sz w:val="22"/>
          <w:szCs w:val="22"/>
          <w:lang w:val="en-US"/>
        </w:rPr>
        <w:t xml:space="preserve">ᵒ C (Rainbow). </w:t>
      </w:r>
      <w:r w:rsidRPr="00FE3742">
        <w:rPr>
          <w:rFonts w:eastAsia="MS Mincho"/>
          <w:color w:val="000000"/>
          <w:sz w:val="22"/>
          <w:szCs w:val="22"/>
          <w:lang w:val="en-US"/>
        </w:rPr>
        <w:t xml:space="preserve">The uniqueness of each vent, due to </w:t>
      </w:r>
      <w:r w:rsidRPr="000451B8">
        <w:rPr>
          <w:sz w:val="22"/>
          <w:szCs w:val="22"/>
          <w:lang w:val="en-US"/>
        </w:rPr>
        <w:t>the diversity of hydrothermal settings, the depth</w:t>
      </w:r>
      <w:r w:rsidRPr="00301306">
        <w:rPr>
          <w:sz w:val="22"/>
          <w:szCs w:val="22"/>
          <w:lang w:val="en-US"/>
        </w:rPr>
        <w:t xml:space="preserve"> range and water mass distribution over oceanic ridge crests, significantly influence</w:t>
      </w:r>
      <w:r w:rsidRPr="00497ACF">
        <w:rPr>
          <w:sz w:val="22"/>
          <w:szCs w:val="22"/>
          <w:lang w:val="en-US"/>
        </w:rPr>
        <w:t>s biomass pr</w:t>
      </w:r>
      <w:r w:rsidRPr="0037253F">
        <w:rPr>
          <w:sz w:val="22"/>
          <w:szCs w:val="22"/>
          <w:lang w:val="en-US"/>
        </w:rPr>
        <w:t>o</w:t>
      </w:r>
      <w:r w:rsidRPr="00B665FA">
        <w:rPr>
          <w:sz w:val="22"/>
          <w:szCs w:val="22"/>
          <w:lang w:val="en-US"/>
        </w:rPr>
        <w:t>duc</w:t>
      </w:r>
      <w:r w:rsidRPr="005D2EE2">
        <w:rPr>
          <w:sz w:val="22"/>
          <w:szCs w:val="22"/>
          <w:lang w:val="en-US"/>
        </w:rPr>
        <w:t xml:space="preserve">tion rates in the vicinity of these areas (LeBris </w:t>
      </w:r>
      <w:r w:rsidRPr="00232DF8">
        <w:rPr>
          <w:i/>
          <w:sz w:val="22"/>
          <w:szCs w:val="22"/>
          <w:lang w:val="en-US"/>
        </w:rPr>
        <w:t>et al</w:t>
      </w:r>
      <w:r w:rsidRPr="00640E52">
        <w:rPr>
          <w:sz w:val="22"/>
          <w:szCs w:val="22"/>
          <w:lang w:val="en-US"/>
        </w:rPr>
        <w:t>., 2019).</w:t>
      </w:r>
      <w:r w:rsidRPr="000C6691">
        <w:rPr>
          <w:rFonts w:eastAsia="MS Mincho"/>
          <w:i/>
          <w:color w:val="000000"/>
          <w:sz w:val="22"/>
          <w:szCs w:val="22"/>
          <w:lang w:val="en-US"/>
        </w:rPr>
        <w:t xml:space="preserve"> </w:t>
      </w:r>
    </w:p>
    <w:p w14:paraId="5E3C1FAF" w14:textId="77777777" w:rsidR="006B3F46" w:rsidRPr="009978E3" w:rsidRDefault="006B3F46" w:rsidP="002E4B39">
      <w:pPr>
        <w:suppressLineNumbers/>
        <w:spacing w:after="120"/>
        <w:jc w:val="both"/>
        <w:rPr>
          <w:sz w:val="22"/>
          <w:szCs w:val="22"/>
        </w:rPr>
      </w:pPr>
      <w:r w:rsidRPr="002E4B39">
        <w:rPr>
          <w:rFonts w:eastAsia="MS Mincho"/>
          <w:sz w:val="22"/>
          <w:szCs w:val="22"/>
        </w:rPr>
        <w:t>The</w:t>
      </w:r>
      <w:r w:rsidRPr="009978E3">
        <w:rPr>
          <w:sz w:val="22"/>
          <w:szCs w:val="22"/>
        </w:rPr>
        <w:t xml:space="preserve"> presence of a mid-ocean ridge with a truncated water column disrupts the general oceanographic circulation, potentially creating regions of high biomass that may arise from topographic influences on water circulation (</w:t>
      </w:r>
      <w:r w:rsidRPr="009978E3">
        <w:rPr>
          <w:rStyle w:val="mixed-citation"/>
          <w:sz w:val="22"/>
          <w:szCs w:val="22"/>
        </w:rPr>
        <w:t xml:space="preserve">St Laurent and Thurnherr 2007), </w:t>
      </w:r>
      <w:r w:rsidRPr="009978E3">
        <w:rPr>
          <w:sz w:val="22"/>
          <w:szCs w:val="22"/>
        </w:rPr>
        <w:t xml:space="preserve">upwelling nutrient-rich deep water as well as concentrating biomass over summits, creating mid-ocean regions of high productivity (Priede </w:t>
      </w:r>
      <w:r w:rsidRPr="0006066A">
        <w:rPr>
          <w:i/>
          <w:sz w:val="22"/>
          <w:szCs w:val="22"/>
        </w:rPr>
        <w:t>et al</w:t>
      </w:r>
      <w:r w:rsidRPr="009978E3">
        <w:rPr>
          <w:sz w:val="22"/>
          <w:szCs w:val="22"/>
        </w:rPr>
        <w:t xml:space="preserve">, 2013). </w:t>
      </w:r>
    </w:p>
    <w:p w14:paraId="4A65421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Knowledge of the Ridge South of the Azores area is based on the analysis of more than 500 scientific articles. Several of the structures are well known and have been the subject of a great number of geological and biological studies.</w:t>
      </w:r>
      <w:r w:rsidRPr="009978E3">
        <w:rPr>
          <w:sz w:val="22"/>
          <w:szCs w:val="22"/>
        </w:rPr>
        <w:t xml:space="preserve"> </w:t>
      </w:r>
      <w:r w:rsidRPr="009978E3">
        <w:rPr>
          <w:rFonts w:eastAsia="MS Mincho"/>
          <w:sz w:val="22"/>
          <w:szCs w:val="22"/>
          <w:lang w:val="en-US"/>
        </w:rPr>
        <w:t xml:space="preserve">The total number of hydrothermal vent species reported was estimated from scattered taxonomical literature and online species database. The species total derived, 342, is probably an underestimate. </w:t>
      </w:r>
    </w:p>
    <w:p w14:paraId="27EC471A" w14:textId="79842511" w:rsidR="006B3F46" w:rsidRPr="009978E3" w:rsidRDefault="006B3F46" w:rsidP="002E4B39">
      <w:pPr>
        <w:suppressLineNumbers/>
        <w:spacing w:after="120"/>
        <w:jc w:val="both"/>
        <w:rPr>
          <w:rFonts w:eastAsia="MS Mincho"/>
          <w:b/>
          <w:sz w:val="22"/>
          <w:szCs w:val="22"/>
        </w:rPr>
      </w:pPr>
      <w:r w:rsidRPr="009978E3">
        <w:rPr>
          <w:rFonts w:eastAsia="MS Mincho"/>
          <w:sz w:val="22"/>
          <w:szCs w:val="22"/>
          <w:lang w:val="en-US"/>
        </w:rPr>
        <w:t xml:space="preserve">A large number of species living in the area were discovered or described </w:t>
      </w:r>
      <w:r>
        <w:rPr>
          <w:rFonts w:eastAsia="MS Mincho"/>
          <w:sz w:val="22"/>
          <w:szCs w:val="22"/>
          <w:lang w:val="en-US"/>
        </w:rPr>
        <w:t xml:space="preserve">relatively </w:t>
      </w:r>
      <w:r w:rsidRPr="009978E3">
        <w:rPr>
          <w:rFonts w:eastAsia="MS Mincho"/>
          <w:sz w:val="22"/>
          <w:szCs w:val="22"/>
          <w:lang w:val="en-US"/>
        </w:rPr>
        <w:t>recently (around 40</w:t>
      </w:r>
      <w:r>
        <w:rPr>
          <w:rFonts w:eastAsia="MS Mincho"/>
          <w:sz w:val="22"/>
          <w:szCs w:val="22"/>
          <w:lang w:val="en-US"/>
        </w:rPr>
        <w:t xml:space="preserve"> per cent</w:t>
      </w:r>
      <w:r w:rsidRPr="009978E3">
        <w:rPr>
          <w:rFonts w:eastAsia="MS Mincho"/>
          <w:sz w:val="22"/>
          <w:szCs w:val="22"/>
          <w:lang w:val="en-US"/>
        </w:rPr>
        <w:t xml:space="preserve"> of the species in the last 30 years), and a great many of them have their distribution restricted to the hydrothermal vents. The species studied in this area are in the larger majority dependent on the carbon produced at the hydrothermal vents, with the symbiotrophic species living closer to the fluid exits, and then a zonation with decreasing dependence, but always on the sphere of the increased production and chemical balance of the vents (Levin </w:t>
      </w:r>
      <w:r w:rsidRPr="0006066A">
        <w:rPr>
          <w:rFonts w:eastAsia="MS Mincho"/>
          <w:i/>
          <w:sz w:val="22"/>
          <w:szCs w:val="22"/>
          <w:lang w:val="en-US"/>
        </w:rPr>
        <w:t>et al</w:t>
      </w:r>
      <w:r w:rsidRPr="009978E3">
        <w:rPr>
          <w:rFonts w:eastAsia="MS Mincho"/>
          <w:sz w:val="22"/>
          <w:szCs w:val="22"/>
          <w:lang w:val="en-US"/>
        </w:rPr>
        <w:t xml:space="preserve">, 2016). There is no legislation or protection figure for the species, except for the sharks surrounding this area. Of the 342 species, shark species </w:t>
      </w:r>
      <w:r>
        <w:rPr>
          <w:rFonts w:eastAsia="MS Mincho"/>
          <w:sz w:val="22"/>
          <w:szCs w:val="22"/>
          <w:lang w:val="en-US"/>
        </w:rPr>
        <w:t>(</w:t>
      </w:r>
      <w:r w:rsidRPr="009978E3">
        <w:rPr>
          <w:rFonts w:eastAsia="MS Mincho"/>
          <w:i/>
          <w:sz w:val="22"/>
          <w:szCs w:val="22"/>
          <w:lang w:val="en-US"/>
        </w:rPr>
        <w:t>Centrophorus squamosus</w:t>
      </w:r>
      <w:r w:rsidRPr="009978E3">
        <w:rPr>
          <w:rFonts w:eastAsia="MS Mincho"/>
          <w:sz w:val="22"/>
          <w:szCs w:val="22"/>
          <w:lang w:val="en-US"/>
        </w:rPr>
        <w:t xml:space="preserve">, </w:t>
      </w:r>
      <w:r w:rsidRPr="009978E3">
        <w:rPr>
          <w:rFonts w:eastAsia="MS Mincho"/>
          <w:i/>
          <w:sz w:val="22"/>
          <w:szCs w:val="22"/>
          <w:lang w:val="en-US"/>
        </w:rPr>
        <w:t>Centroscymnus coelolepis</w:t>
      </w:r>
      <w:r w:rsidRPr="009978E3">
        <w:rPr>
          <w:rFonts w:eastAsia="MS Mincho"/>
          <w:sz w:val="22"/>
          <w:szCs w:val="22"/>
          <w:lang w:val="en-US"/>
        </w:rPr>
        <w:t xml:space="preserve"> and </w:t>
      </w:r>
      <w:r w:rsidRPr="009978E3">
        <w:rPr>
          <w:rFonts w:eastAsia="MS Mincho"/>
          <w:i/>
          <w:sz w:val="22"/>
          <w:szCs w:val="22"/>
          <w:lang w:val="en-US"/>
        </w:rPr>
        <w:t>Centrophorus granulosus</w:t>
      </w:r>
      <w:r>
        <w:rPr>
          <w:rFonts w:eastAsia="MS Mincho"/>
          <w:i/>
          <w:sz w:val="22"/>
          <w:szCs w:val="22"/>
          <w:lang w:val="en-US"/>
        </w:rPr>
        <w:t>)</w:t>
      </w:r>
      <w:r w:rsidRPr="009978E3">
        <w:rPr>
          <w:rFonts w:eastAsia="MS Mincho"/>
          <w:sz w:val="22"/>
          <w:szCs w:val="22"/>
          <w:lang w:val="en-US"/>
        </w:rPr>
        <w:t xml:space="preserve"> are the only three protected under the OSPAR Convention. Among the benthos, several species are indicators of Vulnerable Marine Ecosystems, namely the cold-water corals </w:t>
      </w:r>
      <w:r w:rsidRPr="009978E3">
        <w:rPr>
          <w:rFonts w:eastAsia="MS Mincho"/>
          <w:i/>
          <w:sz w:val="22"/>
          <w:szCs w:val="22"/>
          <w:lang w:val="en-US"/>
        </w:rPr>
        <w:t>Lophelia pertusa</w:t>
      </w:r>
      <w:r w:rsidRPr="009978E3">
        <w:rPr>
          <w:rFonts w:eastAsia="MS Mincho"/>
          <w:sz w:val="22"/>
          <w:szCs w:val="22"/>
          <w:lang w:val="en-US"/>
        </w:rPr>
        <w:t xml:space="preserve"> and </w:t>
      </w:r>
      <w:r w:rsidRPr="009978E3">
        <w:rPr>
          <w:rFonts w:eastAsia="MS Mincho"/>
          <w:i/>
          <w:sz w:val="22"/>
          <w:szCs w:val="22"/>
          <w:lang w:val="en-US"/>
        </w:rPr>
        <w:t>Madrepora oculata</w:t>
      </w:r>
      <w:r w:rsidRPr="009978E3">
        <w:rPr>
          <w:rFonts w:eastAsia="MS Mincho"/>
          <w:sz w:val="22"/>
          <w:szCs w:val="22"/>
          <w:lang w:val="en-US"/>
        </w:rPr>
        <w:t xml:space="preserve"> at the Menez Gwen, and several dispersed anthipatharian corals observed on the inactive structures at the outskirts of the vent fields and on the pillow lavas (Colaço pers. obs Tempera </w:t>
      </w:r>
      <w:r w:rsidRPr="0006066A">
        <w:rPr>
          <w:rFonts w:eastAsia="MS Mincho"/>
          <w:i/>
          <w:sz w:val="22"/>
          <w:szCs w:val="22"/>
          <w:lang w:val="en-US"/>
        </w:rPr>
        <w:t>et al</w:t>
      </w:r>
      <w:r w:rsidRPr="009978E3">
        <w:rPr>
          <w:rFonts w:eastAsia="MS Mincho"/>
          <w:sz w:val="22"/>
          <w:szCs w:val="22"/>
          <w:lang w:val="en-US"/>
        </w:rPr>
        <w:t xml:space="preserve">, 2013). At the Ridge crests and associated seamounts, </w:t>
      </w:r>
      <w:r>
        <w:rPr>
          <w:rFonts w:eastAsia="MS Mincho"/>
          <w:sz w:val="22"/>
          <w:szCs w:val="22"/>
          <w:lang w:val="en-US"/>
        </w:rPr>
        <w:t>which</w:t>
      </w:r>
      <w:r w:rsidRPr="009978E3">
        <w:rPr>
          <w:rFonts w:eastAsia="MS Mincho"/>
          <w:sz w:val="22"/>
          <w:szCs w:val="22"/>
          <w:lang w:val="en-US"/>
        </w:rPr>
        <w:t xml:space="preserve"> r</w:t>
      </w:r>
      <w:r w:rsidRPr="009978E3">
        <w:rPr>
          <w:sz w:val="22"/>
          <w:szCs w:val="22"/>
        </w:rPr>
        <w:t>emain very poorly explored</w:t>
      </w:r>
      <w:r>
        <w:rPr>
          <w:rFonts w:eastAsia="MS Mincho"/>
          <w:sz w:val="22"/>
          <w:szCs w:val="22"/>
          <w:lang w:val="en-US"/>
        </w:rPr>
        <w:t>,</w:t>
      </w:r>
      <w:r w:rsidRPr="009978E3">
        <w:rPr>
          <w:rFonts w:eastAsia="MS Mincho"/>
          <w:sz w:val="22"/>
          <w:szCs w:val="22"/>
          <w:lang w:val="en-US"/>
        </w:rPr>
        <w:t xml:space="preserve"> the g</w:t>
      </w:r>
      <w:r w:rsidRPr="009978E3">
        <w:rPr>
          <w:sz w:val="22"/>
          <w:szCs w:val="22"/>
        </w:rPr>
        <w:t xml:space="preserve">lobal habitat suitability models and distribution maps for the North Atlantic modelled the distribution of seven suborders of Octocorallia (Yesson </w:t>
      </w:r>
      <w:r w:rsidRPr="0006066A">
        <w:rPr>
          <w:i/>
          <w:sz w:val="22"/>
          <w:szCs w:val="22"/>
        </w:rPr>
        <w:t>et al</w:t>
      </w:r>
      <w:r w:rsidRPr="009978E3">
        <w:rPr>
          <w:sz w:val="22"/>
          <w:szCs w:val="22"/>
        </w:rPr>
        <w:t>. 2012) and five species of framework-forming scleractinian corals (Davies &amp; Guinotte 2011). Both studies revealed the areas as containing important suitable habitats for these taxa.</w:t>
      </w:r>
    </w:p>
    <w:p w14:paraId="2B7F0656"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Location</w:t>
      </w:r>
    </w:p>
    <w:p w14:paraId="4322D20E" w14:textId="77777777" w:rsidR="006B3F46" w:rsidRPr="00EC5399" w:rsidRDefault="006B3F46" w:rsidP="002E4B39">
      <w:pPr>
        <w:suppressLineNumbers/>
        <w:spacing w:after="120"/>
        <w:jc w:val="both"/>
        <w:rPr>
          <w:rFonts w:eastAsia="MS Mincho"/>
          <w:sz w:val="22"/>
          <w:szCs w:val="22"/>
          <w:lang w:val="en-US"/>
        </w:rPr>
      </w:pPr>
      <w:r w:rsidRPr="00EC5399">
        <w:rPr>
          <w:rFonts w:eastAsia="MS Mincho"/>
          <w:sz w:val="22"/>
          <w:szCs w:val="22"/>
          <w:lang w:val="en-US"/>
        </w:rPr>
        <w:t xml:space="preserve">The Ridge South of the Azores is located </w:t>
      </w:r>
      <w:r w:rsidRPr="0021277B">
        <w:rPr>
          <w:rFonts w:eastAsia="MS Mincho"/>
          <w:sz w:val="22"/>
          <w:szCs w:val="22"/>
          <w:lang w:val="en-US"/>
        </w:rPr>
        <w:t>i</w:t>
      </w:r>
      <w:r w:rsidRPr="00EC5399">
        <w:rPr>
          <w:rFonts w:eastAsia="MS Mincho"/>
          <w:sz w:val="22"/>
          <w:szCs w:val="22"/>
          <w:lang w:val="en-US"/>
        </w:rPr>
        <w:t>n the Atlantic Ocean, south of the Azores</w:t>
      </w:r>
      <w:r w:rsidRPr="00EC5399">
        <w:rPr>
          <w:sz w:val="22"/>
          <w:szCs w:val="22"/>
          <w:lang w:val="en-US"/>
        </w:rPr>
        <w:t>.</w:t>
      </w:r>
      <w:r w:rsidRPr="00EC5399">
        <w:rPr>
          <w:rFonts w:eastAsia="MS Mincho"/>
          <w:sz w:val="22"/>
          <w:szCs w:val="22"/>
          <w:lang w:val="en-US"/>
        </w:rPr>
        <w:t xml:space="preserve"> </w:t>
      </w:r>
      <w:r w:rsidRPr="0021277B">
        <w:rPr>
          <w:bCs/>
          <w:iCs/>
          <w:sz w:val="22"/>
          <w:szCs w:val="22"/>
        </w:rPr>
        <w:t>This area has structures at depths ranging from 3460 m (inferred depth – south Oceanographer FZ), to the mid-range at 2320 m (measured depth – Rainbow), to the shallowest at Albert Monaco Ridge.</w:t>
      </w:r>
      <w:r w:rsidRPr="0021277B">
        <w:rPr>
          <w:color w:val="1F497D"/>
          <w:sz w:val="22"/>
          <w:szCs w:val="22"/>
        </w:rPr>
        <w:t xml:space="preserve"> </w:t>
      </w:r>
      <w:r w:rsidRPr="00EC5399">
        <w:rPr>
          <w:rFonts w:eastAsia="MS Mincho"/>
          <w:sz w:val="22"/>
          <w:szCs w:val="22"/>
          <w:lang w:val="en-US"/>
        </w:rPr>
        <w:t xml:space="preserve">The datum used is World Geodetic System 1984 (WGS84). </w:t>
      </w:r>
    </w:p>
    <w:p w14:paraId="419A79E1"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5E42974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Cold-water coral reefs, gardens, sponge grounds and massive sponges support and enhance highly diverse benthic communities, comprising faunal biomass that is orders of magnitude above that of the surrounding seafloor (Henry and Roberts, 2007; Roberts </w:t>
      </w:r>
      <w:r w:rsidRPr="0006066A">
        <w:rPr>
          <w:rFonts w:eastAsia="MS Mincho"/>
          <w:i/>
          <w:sz w:val="22"/>
          <w:szCs w:val="22"/>
          <w:lang w:val="en-US"/>
        </w:rPr>
        <w:t>et al</w:t>
      </w:r>
      <w:r w:rsidRPr="0021277B">
        <w:rPr>
          <w:rFonts w:eastAsia="MS Mincho"/>
          <w:i/>
          <w:sz w:val="22"/>
          <w:szCs w:val="22"/>
          <w:lang w:val="en-US"/>
        </w:rPr>
        <w:t>.,</w:t>
      </w:r>
      <w:r w:rsidRPr="009978E3">
        <w:rPr>
          <w:rFonts w:eastAsia="MS Mincho"/>
          <w:sz w:val="22"/>
          <w:szCs w:val="22"/>
          <w:lang w:val="en-US"/>
        </w:rPr>
        <w:t xml:space="preserve"> 2008; Lindsay </w:t>
      </w:r>
      <w:r w:rsidRPr="0006066A">
        <w:rPr>
          <w:rFonts w:eastAsia="MS Mincho"/>
          <w:i/>
          <w:sz w:val="22"/>
          <w:szCs w:val="22"/>
          <w:lang w:val="en-US"/>
        </w:rPr>
        <w:t>et al</w:t>
      </w:r>
      <w:r w:rsidRPr="0021277B">
        <w:rPr>
          <w:rFonts w:eastAsia="MS Mincho"/>
          <w:i/>
          <w:sz w:val="22"/>
          <w:szCs w:val="22"/>
          <w:lang w:val="en-US"/>
        </w:rPr>
        <w:t>.,</w:t>
      </w:r>
      <w:r w:rsidRPr="009978E3">
        <w:rPr>
          <w:rFonts w:eastAsia="MS Mincho"/>
          <w:sz w:val="22"/>
          <w:szCs w:val="22"/>
          <w:lang w:val="en-US"/>
        </w:rPr>
        <w:t xml:space="preserve"> 2013). The composition of megafauna also significantly differs between sponge grounds and non-sponge grounds and between different sponge morphologies (Lindsay </w:t>
      </w:r>
      <w:r w:rsidRPr="0006066A">
        <w:rPr>
          <w:rFonts w:eastAsia="MS Mincho"/>
          <w:i/>
          <w:sz w:val="22"/>
          <w:szCs w:val="22"/>
          <w:lang w:val="en-US"/>
        </w:rPr>
        <w:t>et al</w:t>
      </w:r>
      <w:r>
        <w:rPr>
          <w:rFonts w:eastAsia="MS Mincho"/>
          <w:sz w:val="22"/>
          <w:szCs w:val="22"/>
          <w:lang w:val="en-US"/>
        </w:rPr>
        <w:t>.</w:t>
      </w:r>
      <w:r w:rsidRPr="009978E3">
        <w:rPr>
          <w:rFonts w:eastAsia="MS Mincho"/>
          <w:sz w:val="22"/>
          <w:szCs w:val="22"/>
          <w:lang w:val="en-US"/>
        </w:rPr>
        <w:t>, 2013).</w:t>
      </w:r>
    </w:p>
    <w:p w14:paraId="512DB8B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Since the discovery of the first hydrothermal vent field in 1977, an increasing number of fields have been found, all with different characteristics. However, </w:t>
      </w:r>
      <w:r>
        <w:rPr>
          <w:rFonts w:eastAsia="MS Mincho"/>
          <w:sz w:val="22"/>
          <w:szCs w:val="22"/>
          <w:lang w:val="en-US"/>
        </w:rPr>
        <w:t xml:space="preserve">there is still </w:t>
      </w:r>
      <w:r w:rsidRPr="009978E3">
        <w:rPr>
          <w:rFonts w:eastAsia="MS Mincho"/>
          <w:sz w:val="22"/>
          <w:szCs w:val="22"/>
          <w:lang w:val="en-US"/>
        </w:rPr>
        <w:t xml:space="preserve">very little known about most of the 50,000 km of ocean ridges (Charlou </w:t>
      </w:r>
      <w:r w:rsidRPr="0006066A">
        <w:rPr>
          <w:rFonts w:eastAsia="MS Mincho"/>
          <w:i/>
          <w:sz w:val="22"/>
          <w:szCs w:val="22"/>
          <w:lang w:val="en-US"/>
        </w:rPr>
        <w:t>et al</w:t>
      </w:r>
      <w:r w:rsidRPr="009978E3">
        <w:rPr>
          <w:rFonts w:eastAsia="MS Mincho"/>
          <w:sz w:val="22"/>
          <w:szCs w:val="22"/>
          <w:lang w:val="en-US"/>
        </w:rPr>
        <w:t xml:space="preserve">., 2002; Kelley </w:t>
      </w:r>
      <w:r w:rsidRPr="0006066A">
        <w:rPr>
          <w:rFonts w:eastAsia="MS Mincho"/>
          <w:i/>
          <w:sz w:val="22"/>
          <w:szCs w:val="22"/>
          <w:lang w:val="en-US"/>
        </w:rPr>
        <w:t>et al</w:t>
      </w:r>
      <w:r w:rsidRPr="009978E3">
        <w:rPr>
          <w:rFonts w:eastAsia="MS Mincho"/>
          <w:sz w:val="22"/>
          <w:szCs w:val="22"/>
          <w:lang w:val="en-US"/>
        </w:rPr>
        <w:t xml:space="preserve">., 2002; Hein </w:t>
      </w:r>
      <w:r w:rsidRPr="0006066A">
        <w:rPr>
          <w:rFonts w:eastAsia="MS Mincho"/>
          <w:i/>
          <w:sz w:val="22"/>
          <w:szCs w:val="22"/>
          <w:lang w:val="en-US"/>
        </w:rPr>
        <w:t>et al</w:t>
      </w:r>
      <w:r w:rsidRPr="009978E3">
        <w:rPr>
          <w:rFonts w:eastAsia="MS Mincho"/>
          <w:sz w:val="22"/>
          <w:szCs w:val="22"/>
          <w:lang w:val="en-US"/>
        </w:rPr>
        <w:t>., 2013</w:t>
      </w:r>
      <w:r>
        <w:rPr>
          <w:rFonts w:eastAsia="MS Mincho"/>
          <w:sz w:val="22"/>
          <w:szCs w:val="22"/>
          <w:lang w:val="en-US"/>
        </w:rPr>
        <w:t>;</w:t>
      </w:r>
      <w:r w:rsidRPr="009978E3">
        <w:rPr>
          <w:rFonts w:eastAsia="MS Mincho"/>
          <w:sz w:val="22"/>
          <w:szCs w:val="22"/>
          <w:lang w:val="en-US"/>
        </w:rPr>
        <w:t xml:space="preserve">  </w:t>
      </w:r>
      <w:hyperlink r:id="rId247" w:history="1">
        <w:r w:rsidRPr="009978E3">
          <w:rPr>
            <w:rStyle w:val="Hyperlink"/>
            <w:sz w:val="22"/>
            <w:szCs w:val="22"/>
          </w:rPr>
          <w:t>https://vents-data.interridge.org/</w:t>
        </w:r>
      </w:hyperlink>
      <w:r>
        <w:rPr>
          <w:rFonts w:eastAsia="MS Mincho"/>
          <w:sz w:val="22"/>
          <w:szCs w:val="22"/>
          <w:lang w:val="en-US"/>
        </w:rPr>
        <w:t>).</w:t>
      </w:r>
    </w:p>
    <w:p w14:paraId="1B6554D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As tectonic plates separate in the ridge areas, magma migrates in the subsurface and erupts at the seafloor. Due to rock deformation, seawater penetrates to great depth before it is ejected to the seabed</w:t>
      </w:r>
      <w:r>
        <w:rPr>
          <w:rFonts w:eastAsia="MS Mincho"/>
          <w:sz w:val="22"/>
          <w:szCs w:val="22"/>
          <w:lang w:val="en-US"/>
        </w:rPr>
        <w:t>,</w:t>
      </w:r>
      <w:r w:rsidRPr="009978E3">
        <w:rPr>
          <w:rFonts w:eastAsia="MS Mincho"/>
          <w:sz w:val="22"/>
          <w:szCs w:val="22"/>
          <w:lang w:val="en-US"/>
        </w:rPr>
        <w:t xml:space="preserve"> enriched with dissolved material, especially hydrogen sulfide (H</w:t>
      </w:r>
      <w:r w:rsidRPr="009978E3">
        <w:rPr>
          <w:rFonts w:eastAsia="MS Mincho"/>
          <w:sz w:val="22"/>
          <w:szCs w:val="22"/>
          <w:vertAlign w:val="subscript"/>
          <w:lang w:val="en-US"/>
        </w:rPr>
        <w:t>2</w:t>
      </w:r>
      <w:r w:rsidRPr="009978E3">
        <w:rPr>
          <w:rFonts w:eastAsia="MS Mincho"/>
          <w:sz w:val="22"/>
          <w:szCs w:val="22"/>
          <w:lang w:val="en-US"/>
        </w:rPr>
        <w:t>S), various sulfide minerals, metals, carbon dioxide (CO</w:t>
      </w:r>
      <w:r w:rsidRPr="009978E3">
        <w:rPr>
          <w:rFonts w:eastAsia="MS Mincho"/>
          <w:sz w:val="22"/>
          <w:szCs w:val="22"/>
          <w:vertAlign w:val="subscript"/>
          <w:lang w:val="en-US"/>
        </w:rPr>
        <w:t>2</w:t>
      </w:r>
      <w:r w:rsidRPr="009978E3">
        <w:rPr>
          <w:rFonts w:eastAsia="MS Mincho"/>
          <w:sz w:val="22"/>
          <w:szCs w:val="22"/>
          <w:lang w:val="en-US"/>
        </w:rPr>
        <w:t>) and methane. Depending on ejection pressure and ambient temperature, crystallization of the sulfide minerals forms chimneys known as “black</w:t>
      </w:r>
      <w:r>
        <w:rPr>
          <w:rFonts w:eastAsia="MS Mincho"/>
          <w:sz w:val="22"/>
          <w:szCs w:val="22"/>
          <w:lang w:val="en-US"/>
        </w:rPr>
        <w:t>”</w:t>
      </w:r>
      <w:r w:rsidRPr="009978E3">
        <w:rPr>
          <w:rFonts w:eastAsia="MS Mincho"/>
          <w:sz w:val="22"/>
          <w:szCs w:val="22"/>
          <w:lang w:val="en-US"/>
        </w:rPr>
        <w:t xml:space="preserve"> or “white smokers</w:t>
      </w:r>
      <w:r>
        <w:rPr>
          <w:rFonts w:eastAsia="MS Mincho"/>
          <w:sz w:val="22"/>
          <w:szCs w:val="22"/>
          <w:lang w:val="en-US"/>
        </w:rPr>
        <w:t>”</w:t>
      </w:r>
      <w:r w:rsidRPr="009978E3">
        <w:rPr>
          <w:rFonts w:eastAsia="MS Mincho"/>
          <w:sz w:val="22"/>
          <w:szCs w:val="22"/>
          <w:lang w:val="en-US"/>
        </w:rPr>
        <w:t xml:space="preserve"> on the basis of the mineral colours precipitated (Ohmoto </w:t>
      </w:r>
      <w:r w:rsidRPr="0006066A">
        <w:rPr>
          <w:rFonts w:eastAsia="MS Mincho"/>
          <w:i/>
          <w:sz w:val="22"/>
          <w:szCs w:val="22"/>
          <w:lang w:val="en-US"/>
        </w:rPr>
        <w:t>et al</w:t>
      </w:r>
      <w:r w:rsidRPr="009978E3">
        <w:rPr>
          <w:rFonts w:eastAsia="MS Mincho"/>
          <w:sz w:val="22"/>
          <w:szCs w:val="22"/>
          <w:lang w:val="en-US"/>
        </w:rPr>
        <w:t>., 2006; Gold, 2013).</w:t>
      </w:r>
    </w:p>
    <w:p w14:paraId="7FA1CF24"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species and communities present in this area belong not only to the deep-sea, but also to mid-water upper bathyal systems. The vents are characterized by extreme conditions with unique physical properties (temperature, pressure), chemical toxicity and absence of photosynthesis (Edmond </w:t>
      </w:r>
      <w:r w:rsidRPr="0006066A">
        <w:rPr>
          <w:rFonts w:eastAsia="MS Mincho"/>
          <w:i/>
          <w:sz w:val="22"/>
          <w:szCs w:val="22"/>
          <w:lang w:val="en-US"/>
        </w:rPr>
        <w:t>et al</w:t>
      </w:r>
      <w:r w:rsidRPr="009978E3">
        <w:rPr>
          <w:rFonts w:eastAsia="MS Mincho"/>
          <w:sz w:val="22"/>
          <w:szCs w:val="22"/>
          <w:lang w:val="en-US"/>
        </w:rPr>
        <w:t xml:space="preserve">., 1979; Mottl &amp; Wheat, 1994; Kadko </w:t>
      </w:r>
      <w:r w:rsidRPr="0006066A">
        <w:rPr>
          <w:rFonts w:eastAsia="MS Mincho"/>
          <w:i/>
          <w:sz w:val="22"/>
          <w:szCs w:val="22"/>
          <w:lang w:val="en-US"/>
        </w:rPr>
        <w:t>et al</w:t>
      </w:r>
      <w:r w:rsidRPr="009978E3">
        <w:rPr>
          <w:rFonts w:eastAsia="MS Mincho"/>
          <w:sz w:val="22"/>
          <w:szCs w:val="22"/>
          <w:lang w:val="en-US"/>
        </w:rPr>
        <w:t xml:space="preserve">., 1995; Elderfield &amp; Schultz, 1996; Minic </w:t>
      </w:r>
      <w:r w:rsidRPr="0006066A">
        <w:rPr>
          <w:rFonts w:eastAsia="MS Mincho"/>
          <w:i/>
          <w:sz w:val="22"/>
          <w:szCs w:val="22"/>
          <w:lang w:val="en-US"/>
        </w:rPr>
        <w:t>et al</w:t>
      </w:r>
      <w:r w:rsidRPr="009978E3">
        <w:rPr>
          <w:rFonts w:eastAsia="MS Mincho"/>
          <w:sz w:val="22"/>
          <w:szCs w:val="22"/>
          <w:lang w:val="en-US"/>
        </w:rPr>
        <w:t xml:space="preserve">., 2006). The venting dynamic of hydrothermal fluids back into the ocean is of major importance as it is associated with enhanced cooling of the ocean floor, formation of deep-sea mineral deposits, and unique ecosystems that exist around vent sites in extreme environmental conditions (Lister, 1980; Tufar </w:t>
      </w:r>
      <w:r w:rsidRPr="0006066A">
        <w:rPr>
          <w:rFonts w:eastAsia="MS Mincho"/>
          <w:i/>
          <w:sz w:val="22"/>
          <w:szCs w:val="22"/>
          <w:lang w:val="en-US"/>
        </w:rPr>
        <w:t>et al</w:t>
      </w:r>
      <w:r w:rsidRPr="009978E3">
        <w:rPr>
          <w:rFonts w:eastAsia="MS Mincho"/>
          <w:sz w:val="22"/>
          <w:szCs w:val="22"/>
          <w:lang w:val="en-US"/>
        </w:rPr>
        <w:t xml:space="preserve">., 1986; Haymon </w:t>
      </w:r>
      <w:r w:rsidRPr="0006066A">
        <w:rPr>
          <w:rFonts w:eastAsia="MS Mincho"/>
          <w:i/>
          <w:sz w:val="22"/>
          <w:szCs w:val="22"/>
          <w:lang w:val="en-US"/>
        </w:rPr>
        <w:t>et al</w:t>
      </w:r>
      <w:r w:rsidRPr="009978E3">
        <w:rPr>
          <w:rFonts w:eastAsia="MS Mincho"/>
          <w:sz w:val="22"/>
          <w:szCs w:val="22"/>
          <w:lang w:val="en-US"/>
        </w:rPr>
        <w:t xml:space="preserve">., 1989; Fouquet </w:t>
      </w:r>
      <w:r w:rsidRPr="0006066A">
        <w:rPr>
          <w:rFonts w:eastAsia="MS Mincho"/>
          <w:i/>
          <w:sz w:val="22"/>
          <w:szCs w:val="22"/>
          <w:lang w:val="en-US"/>
        </w:rPr>
        <w:t>et al</w:t>
      </w:r>
      <w:r w:rsidRPr="009978E3">
        <w:rPr>
          <w:rFonts w:eastAsia="MS Mincho"/>
          <w:sz w:val="22"/>
          <w:szCs w:val="22"/>
          <w:lang w:val="en-US"/>
        </w:rPr>
        <w:t xml:space="preserve">., 1995; Cathles </w:t>
      </w:r>
      <w:r w:rsidRPr="0006066A">
        <w:rPr>
          <w:rFonts w:eastAsia="MS Mincho"/>
          <w:i/>
          <w:sz w:val="22"/>
          <w:szCs w:val="22"/>
          <w:lang w:val="en-US"/>
        </w:rPr>
        <w:t>et al</w:t>
      </w:r>
      <w:r w:rsidRPr="009978E3">
        <w:rPr>
          <w:rFonts w:eastAsia="MS Mincho"/>
          <w:sz w:val="22"/>
          <w:szCs w:val="22"/>
          <w:lang w:val="en-US"/>
        </w:rPr>
        <w:t xml:space="preserve">., 1997; Boetius, 2005; Kelley </w:t>
      </w:r>
      <w:r w:rsidRPr="0006066A">
        <w:rPr>
          <w:rFonts w:eastAsia="MS Mincho"/>
          <w:i/>
          <w:sz w:val="22"/>
          <w:szCs w:val="22"/>
          <w:lang w:val="en-US"/>
        </w:rPr>
        <w:t>et al</w:t>
      </w:r>
      <w:r w:rsidRPr="009978E3">
        <w:rPr>
          <w:rFonts w:eastAsia="MS Mincho"/>
          <w:sz w:val="22"/>
          <w:szCs w:val="22"/>
          <w:lang w:val="en-US"/>
        </w:rPr>
        <w:t xml:space="preserve">., 2005; Marques </w:t>
      </w:r>
      <w:r w:rsidRPr="0006066A">
        <w:rPr>
          <w:rFonts w:eastAsia="MS Mincho"/>
          <w:i/>
          <w:sz w:val="22"/>
          <w:szCs w:val="22"/>
          <w:lang w:val="en-US"/>
        </w:rPr>
        <w:t>et al</w:t>
      </w:r>
      <w:r w:rsidRPr="009978E3">
        <w:rPr>
          <w:rFonts w:eastAsia="MS Mincho"/>
          <w:sz w:val="22"/>
          <w:szCs w:val="22"/>
          <w:lang w:val="en-US"/>
        </w:rPr>
        <w:t xml:space="preserve">., 2007). </w:t>
      </w:r>
    </w:p>
    <w:p w14:paraId="45CE747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active vents are hosted by a range of different rock types, including basalt, peridotite and felsic rocks. The associated hydrothermal fluids exhibit substantial chemical variability, which is largely attributable to compositional differences among the underlying host rocks (Amend </w:t>
      </w:r>
      <w:r w:rsidRPr="0006066A">
        <w:rPr>
          <w:rFonts w:eastAsia="MS Mincho"/>
          <w:i/>
          <w:sz w:val="22"/>
          <w:szCs w:val="22"/>
          <w:lang w:val="en-US"/>
        </w:rPr>
        <w:t>et al</w:t>
      </w:r>
      <w:r w:rsidRPr="009978E3">
        <w:rPr>
          <w:rFonts w:eastAsia="MS Mincho"/>
          <w:sz w:val="22"/>
          <w:szCs w:val="22"/>
          <w:lang w:val="en-US"/>
        </w:rPr>
        <w:t>., 2011).</w:t>
      </w:r>
      <w:r w:rsidRPr="009978E3">
        <w:rPr>
          <w:sz w:val="22"/>
          <w:szCs w:val="22"/>
        </w:rPr>
        <w:t xml:space="preserve"> </w:t>
      </w:r>
      <w:r w:rsidRPr="009978E3">
        <w:rPr>
          <w:rFonts w:eastAsia="MS Mincho"/>
          <w:sz w:val="22"/>
          <w:szCs w:val="22"/>
          <w:lang w:val="en-US"/>
        </w:rPr>
        <w:t>Vent circulation accounts for approximately one third of the global geothermal heat flux to the oceans and strongly affects seawater chemical composition (Elderfield &amp; Schultz, 1996). In this area there are many types of hydrothermal sites: high-temperature (250ᵒ–365ᵒ C) and low pH (&lt;4)</w:t>
      </w:r>
      <w:r>
        <w:rPr>
          <w:rFonts w:eastAsia="MS Mincho"/>
          <w:sz w:val="22"/>
          <w:szCs w:val="22"/>
          <w:lang w:val="en-US"/>
        </w:rPr>
        <w:t xml:space="preserve"> sites</w:t>
      </w:r>
      <w:r w:rsidRPr="009978E3">
        <w:rPr>
          <w:rFonts w:eastAsia="MS Mincho"/>
          <w:sz w:val="22"/>
          <w:szCs w:val="22"/>
          <w:lang w:val="en-US"/>
        </w:rPr>
        <w:t>; metal-rich chimneys (</w:t>
      </w:r>
      <w:r>
        <w:rPr>
          <w:rFonts w:eastAsia="MS Mincho"/>
          <w:sz w:val="22"/>
          <w:szCs w:val="22"/>
          <w:lang w:val="en-US"/>
        </w:rPr>
        <w:t xml:space="preserve">i.e., </w:t>
      </w:r>
      <w:r w:rsidRPr="009978E3">
        <w:rPr>
          <w:rFonts w:eastAsia="MS Mincho"/>
          <w:sz w:val="22"/>
          <w:szCs w:val="22"/>
          <w:lang w:val="en-US"/>
        </w:rPr>
        <w:t>Bubbylon, Lucky Strike, Menez Gwen and Rainbow)</w:t>
      </w:r>
      <w:r>
        <w:rPr>
          <w:rFonts w:eastAsia="MS Mincho"/>
          <w:sz w:val="22"/>
          <w:szCs w:val="22"/>
          <w:lang w:val="en-US"/>
        </w:rPr>
        <w:t>; and</w:t>
      </w:r>
      <w:r w:rsidRPr="009978E3">
        <w:rPr>
          <w:rFonts w:eastAsia="MS Mincho"/>
          <w:sz w:val="22"/>
          <w:szCs w:val="22"/>
          <w:lang w:val="en-US"/>
        </w:rPr>
        <w:t xml:space="preserve"> diffuse and pervasive seepages, with apparently low temperatures (&lt;30ᵒ C), and unknown pH (</w:t>
      </w:r>
      <w:r>
        <w:rPr>
          <w:rFonts w:eastAsia="MS Mincho"/>
          <w:sz w:val="22"/>
          <w:szCs w:val="22"/>
          <w:lang w:val="en-US"/>
        </w:rPr>
        <w:t xml:space="preserve">e.g., </w:t>
      </w:r>
      <w:r w:rsidRPr="009978E3">
        <w:rPr>
          <w:rFonts w:eastAsia="MS Mincho"/>
          <w:sz w:val="22"/>
          <w:szCs w:val="22"/>
          <w:lang w:val="en-US"/>
        </w:rPr>
        <w:t xml:space="preserve">Menez Hom and Saldanha) (Barriga </w:t>
      </w:r>
      <w:r w:rsidRPr="0006066A">
        <w:rPr>
          <w:rFonts w:eastAsia="MS Mincho"/>
          <w:i/>
          <w:sz w:val="22"/>
          <w:szCs w:val="22"/>
          <w:lang w:val="en-US"/>
        </w:rPr>
        <w:t>et al</w:t>
      </w:r>
      <w:r w:rsidRPr="009978E3">
        <w:rPr>
          <w:rFonts w:eastAsia="MS Mincho"/>
          <w:sz w:val="22"/>
          <w:szCs w:val="22"/>
          <w:lang w:val="en-US"/>
        </w:rPr>
        <w:t xml:space="preserve">., 1998; Charlou </w:t>
      </w:r>
      <w:r w:rsidRPr="0006066A">
        <w:rPr>
          <w:rFonts w:eastAsia="MS Mincho"/>
          <w:i/>
          <w:sz w:val="22"/>
          <w:szCs w:val="22"/>
          <w:lang w:val="en-US"/>
        </w:rPr>
        <w:t>et al</w:t>
      </w:r>
      <w:r w:rsidRPr="009978E3">
        <w:rPr>
          <w:rFonts w:eastAsia="MS Mincho"/>
          <w:sz w:val="22"/>
          <w:szCs w:val="22"/>
          <w:lang w:val="en-US"/>
        </w:rPr>
        <w:t xml:space="preserve">., 2010). The Lucky Strike, Menez Gwen and Bubbylon are magamatic-hosted, while Menez Hom and Saldanha are ultramafic-hosted, and Rainbow presents both types (Charlou </w:t>
      </w:r>
      <w:r w:rsidRPr="0006066A">
        <w:rPr>
          <w:rFonts w:eastAsia="MS Mincho"/>
          <w:i/>
          <w:iCs/>
          <w:sz w:val="22"/>
          <w:szCs w:val="22"/>
          <w:lang w:val="en-US"/>
        </w:rPr>
        <w:t>et al</w:t>
      </w:r>
      <w:r w:rsidRPr="009978E3">
        <w:rPr>
          <w:rFonts w:eastAsia="MS Mincho"/>
          <w:sz w:val="22"/>
          <w:szCs w:val="22"/>
          <w:lang w:val="en-US"/>
        </w:rPr>
        <w:t xml:space="preserve">., 2000; </w:t>
      </w:r>
      <w:r w:rsidRPr="009978E3">
        <w:rPr>
          <w:sz w:val="22"/>
          <w:szCs w:val="22"/>
          <w:lang w:val="en-US"/>
        </w:rPr>
        <w:t xml:space="preserve">Desbruyères </w:t>
      </w:r>
      <w:r w:rsidRPr="0006066A">
        <w:rPr>
          <w:i/>
          <w:iCs/>
          <w:sz w:val="22"/>
          <w:szCs w:val="22"/>
          <w:lang w:val="en-US"/>
        </w:rPr>
        <w:t>et al</w:t>
      </w:r>
      <w:r w:rsidRPr="009978E3">
        <w:rPr>
          <w:sz w:val="22"/>
          <w:szCs w:val="22"/>
          <w:lang w:val="en-US"/>
        </w:rPr>
        <w:t xml:space="preserve">., 2000; Fouquet </w:t>
      </w:r>
      <w:r w:rsidRPr="0006066A">
        <w:rPr>
          <w:i/>
          <w:sz w:val="22"/>
          <w:szCs w:val="22"/>
          <w:lang w:val="en-US"/>
        </w:rPr>
        <w:t>et al</w:t>
      </w:r>
      <w:r w:rsidRPr="009978E3">
        <w:rPr>
          <w:sz w:val="22"/>
          <w:szCs w:val="22"/>
          <w:lang w:val="en-US"/>
        </w:rPr>
        <w:t>, 2010</w:t>
      </w:r>
      <w:r w:rsidRPr="009978E3">
        <w:rPr>
          <w:rFonts w:eastAsia="MS Mincho"/>
          <w:sz w:val="22"/>
          <w:szCs w:val="22"/>
          <w:lang w:val="en-US"/>
        </w:rPr>
        <w:t>).</w:t>
      </w:r>
    </w:p>
    <w:p w14:paraId="738ECBAB" w14:textId="77777777" w:rsidR="006B3F46" w:rsidRPr="009978E3" w:rsidRDefault="006B3F46" w:rsidP="002E4B39">
      <w:pPr>
        <w:suppressLineNumbers/>
        <w:spacing w:after="120"/>
        <w:jc w:val="both"/>
        <w:rPr>
          <w:sz w:val="22"/>
          <w:szCs w:val="22"/>
        </w:rPr>
      </w:pPr>
      <w:r w:rsidRPr="009978E3">
        <w:rPr>
          <w:rFonts w:eastAsia="MS Mincho"/>
          <w:sz w:val="22"/>
          <w:szCs w:val="22"/>
          <w:lang w:val="en-US"/>
        </w:rPr>
        <w:t xml:space="preserve">In terms of biology, the vent fields also play a primordial role sustaining abundant populations of faunal species in the deep sea through </w:t>
      </w:r>
      <w:r w:rsidRPr="009978E3">
        <w:rPr>
          <w:sz w:val="22"/>
          <w:szCs w:val="22"/>
        </w:rPr>
        <w:t xml:space="preserve">autochthonous chemosynthetic primary production </w:t>
      </w:r>
      <w:r w:rsidRPr="009978E3">
        <w:rPr>
          <w:rFonts w:eastAsia="MS Mincho"/>
          <w:sz w:val="22"/>
          <w:szCs w:val="22"/>
          <w:lang w:val="en-US"/>
        </w:rPr>
        <w:t>(</w:t>
      </w:r>
      <w:r w:rsidRPr="0021277B">
        <w:rPr>
          <w:rFonts w:eastAsia="MS Mincho"/>
          <w:iCs/>
          <w:sz w:val="22"/>
          <w:szCs w:val="22"/>
          <w:lang w:val="en-US"/>
        </w:rPr>
        <w:t>e.g.,</w:t>
      </w:r>
      <w:r w:rsidRPr="009978E3">
        <w:rPr>
          <w:rFonts w:eastAsia="MS Mincho"/>
          <w:sz w:val="22"/>
          <w:szCs w:val="22"/>
          <w:lang w:val="en-US"/>
        </w:rPr>
        <w:t xml:space="preserve"> Lutz &amp; Kennish, 1993; Bemis </w:t>
      </w:r>
      <w:r w:rsidRPr="0006066A">
        <w:rPr>
          <w:rFonts w:eastAsia="MS Mincho"/>
          <w:i/>
          <w:sz w:val="22"/>
          <w:szCs w:val="22"/>
          <w:lang w:val="en-US"/>
        </w:rPr>
        <w:t>et al</w:t>
      </w:r>
      <w:r w:rsidRPr="009978E3">
        <w:rPr>
          <w:rFonts w:eastAsia="MS Mincho"/>
          <w:sz w:val="22"/>
          <w:szCs w:val="22"/>
          <w:lang w:val="en-US"/>
        </w:rPr>
        <w:t xml:space="preserve">., 2012). This process uses reduced compounds (typically hydrogen sulfide, methane or hydrogen) in vent fluids to fix inorganic carbon (Karl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1980)</w:t>
      </w:r>
      <w:r w:rsidRPr="009978E3">
        <w:rPr>
          <w:sz w:val="22"/>
          <w:szCs w:val="22"/>
        </w:rPr>
        <w:t xml:space="preserve"> </w:t>
      </w:r>
      <w:r w:rsidRPr="009978E3">
        <w:rPr>
          <w:rFonts w:eastAsia="MS Mincho"/>
          <w:sz w:val="22"/>
          <w:szCs w:val="22"/>
          <w:lang w:val="en-US"/>
        </w:rPr>
        <w:t xml:space="preserve">that can be oxidized by microbes to release energy for the formation of organic carbon from carbon dioxide, carbon monoxide and/or methane (Van Dover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2002). The chemosynthetic organisms may be present in the water column, at the seafloor as microbial mats, within sediments, fractures of crustal rocks or the sub-seabed, or/and in symbios</w:t>
      </w:r>
      <w:r>
        <w:rPr>
          <w:rFonts w:eastAsia="MS Mincho"/>
          <w:sz w:val="22"/>
          <w:szCs w:val="22"/>
          <w:lang w:val="en-US"/>
        </w:rPr>
        <w:t>i</w:t>
      </w:r>
      <w:r w:rsidRPr="009978E3">
        <w:rPr>
          <w:rFonts w:eastAsia="MS Mincho"/>
          <w:sz w:val="22"/>
          <w:szCs w:val="22"/>
          <w:lang w:val="en-US"/>
        </w:rPr>
        <w:t xml:space="preserve">s with larger multi-cellular organisms (Dubilier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2008).</w:t>
      </w:r>
      <w:r w:rsidRPr="009978E3">
        <w:rPr>
          <w:sz w:val="22"/>
          <w:szCs w:val="22"/>
        </w:rPr>
        <w:t xml:space="preserve"> </w:t>
      </w:r>
    </w:p>
    <w:p w14:paraId="4DF51AE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Initial microbial colonization facilitates the development and maintenance of densely populated ecosystems in which both biomass and faunal abundances are </w:t>
      </w:r>
      <w:r w:rsidRPr="009978E3">
        <w:rPr>
          <w:sz w:val="22"/>
          <w:szCs w:val="22"/>
          <w:lang w:val="en-US"/>
        </w:rPr>
        <w:t>larger</w:t>
      </w:r>
      <w:r w:rsidRPr="009978E3" w:rsidDel="00377A7F">
        <w:rPr>
          <w:rFonts w:eastAsia="MS Mincho"/>
          <w:sz w:val="22"/>
          <w:szCs w:val="22"/>
          <w:lang w:val="en-US"/>
        </w:rPr>
        <w:t xml:space="preserve"> </w:t>
      </w:r>
      <w:r w:rsidRPr="009978E3">
        <w:rPr>
          <w:rFonts w:eastAsia="MS Mincho"/>
          <w:sz w:val="22"/>
          <w:szCs w:val="22"/>
          <w:lang w:val="en-US"/>
        </w:rPr>
        <w:t>than is typical at the deep seafloor (</w:t>
      </w:r>
      <w:r>
        <w:rPr>
          <w:rFonts w:eastAsia="MS Mincho"/>
          <w:sz w:val="22"/>
          <w:szCs w:val="22"/>
          <w:lang w:val="en-US"/>
        </w:rPr>
        <w:t>e.g.,</w:t>
      </w:r>
      <w:r w:rsidRPr="009978E3">
        <w:rPr>
          <w:rFonts w:eastAsia="MS Mincho"/>
          <w:sz w:val="22"/>
          <w:szCs w:val="22"/>
          <w:lang w:val="en-US"/>
        </w:rPr>
        <w:t xml:space="preserve"> Lutz &amp; Kennish, 1993; Smith </w:t>
      </w:r>
      <w:r w:rsidRPr="0006066A">
        <w:rPr>
          <w:rFonts w:eastAsia="MS Mincho"/>
          <w:i/>
          <w:sz w:val="22"/>
          <w:szCs w:val="22"/>
          <w:lang w:val="en-US"/>
        </w:rPr>
        <w:t>et al</w:t>
      </w:r>
      <w:r w:rsidRPr="009978E3">
        <w:rPr>
          <w:rFonts w:eastAsia="MS Mincho"/>
          <w:sz w:val="22"/>
          <w:szCs w:val="22"/>
          <w:lang w:val="en-US"/>
        </w:rPr>
        <w:t>., 2008).</w:t>
      </w:r>
    </w:p>
    <w:p w14:paraId="7C7217A3" w14:textId="77777777" w:rsidR="006B3F46" w:rsidRPr="009978E3" w:rsidRDefault="006B3F46" w:rsidP="002E4B39">
      <w:pPr>
        <w:suppressLineNumbers/>
        <w:spacing w:after="120"/>
        <w:jc w:val="both"/>
        <w:rPr>
          <w:sz w:val="22"/>
          <w:szCs w:val="22"/>
          <w:lang w:val="en-US"/>
        </w:rPr>
      </w:pPr>
      <w:r w:rsidRPr="009978E3">
        <w:rPr>
          <w:rFonts w:eastAsia="MS Mincho"/>
          <w:sz w:val="22"/>
          <w:szCs w:val="22"/>
          <w:lang w:val="en-US"/>
        </w:rPr>
        <w:t xml:space="preserve">Hydrothermal communities have been studied worldwide, leading to the description of more than 400 new species (Desbruyères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2006), greatly enhancing our knowledge of marine biodiversity (Van Dover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2002). </w:t>
      </w:r>
      <w:r w:rsidRPr="009978E3">
        <w:rPr>
          <w:sz w:val="22"/>
          <w:szCs w:val="22"/>
          <w:lang w:val="en-US"/>
        </w:rPr>
        <w:t xml:space="preserve">However, knowledge about these animal communities and the biology and ecology of individual species in these waters remains limited. </w:t>
      </w:r>
    </w:p>
    <w:p w14:paraId="20DF9245" w14:textId="77777777" w:rsidR="006B3F46" w:rsidRPr="009978E3" w:rsidRDefault="006B3F46" w:rsidP="002E4B39">
      <w:pPr>
        <w:suppressLineNumbers/>
        <w:spacing w:after="120"/>
        <w:jc w:val="both"/>
        <w:rPr>
          <w:rFonts w:eastAsia="MS Mincho"/>
          <w:sz w:val="22"/>
          <w:szCs w:val="22"/>
          <w:lang w:val="en-US"/>
        </w:rPr>
      </w:pPr>
      <w:r w:rsidRPr="002E4B39">
        <w:rPr>
          <w:rFonts w:eastAsia="MS Mincho"/>
          <w:sz w:val="22"/>
          <w:szCs w:val="22"/>
          <w:lang w:val="en-US"/>
        </w:rPr>
        <w:t>This</w:t>
      </w:r>
      <w:r w:rsidRPr="009978E3">
        <w:rPr>
          <w:rFonts w:eastAsia="MS Mincho"/>
          <w:sz w:val="22"/>
          <w:szCs w:val="22"/>
          <w:lang w:val="en-US"/>
        </w:rPr>
        <w:t xml:space="preserve"> area covers a section of the Mid</w:t>
      </w:r>
      <w:r>
        <w:rPr>
          <w:rFonts w:eastAsia="MS Mincho"/>
          <w:sz w:val="22"/>
          <w:szCs w:val="22"/>
          <w:lang w:val="en-US"/>
        </w:rPr>
        <w:t>-</w:t>
      </w:r>
      <w:r w:rsidRPr="009978E3">
        <w:rPr>
          <w:rFonts w:eastAsia="MS Mincho"/>
          <w:sz w:val="22"/>
          <w:szCs w:val="22"/>
          <w:lang w:val="en-US"/>
        </w:rPr>
        <w:t xml:space="preserve">Atlantic Ridge (MAR) south of the Azorean archipelago. Five major vent fields are described here: </w:t>
      </w:r>
    </w:p>
    <w:p w14:paraId="2E635B39"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1. Rainbow</w:t>
      </w:r>
    </w:p>
    <w:p w14:paraId="34AF7353"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Rainbow vent field was discovered in 1997 (German </w:t>
      </w:r>
      <w:r w:rsidRPr="0006066A">
        <w:rPr>
          <w:rFonts w:eastAsia="MS Mincho"/>
          <w:i/>
          <w:sz w:val="22"/>
          <w:szCs w:val="22"/>
          <w:lang w:val="en-US"/>
        </w:rPr>
        <w:t>et al</w:t>
      </w:r>
      <w:r w:rsidRPr="009978E3">
        <w:rPr>
          <w:rFonts w:eastAsia="MS Mincho"/>
          <w:sz w:val="22"/>
          <w:szCs w:val="22"/>
          <w:lang w:val="en-US"/>
        </w:rPr>
        <w:t xml:space="preserve">., 1996b). It forms a high temperature (365°C) field of black smokers located on the western flank of the Rainbow massif along the Mid-Atlantic Ridge (MAR) (German </w:t>
      </w:r>
      <w:r w:rsidRPr="0006066A">
        <w:rPr>
          <w:rFonts w:eastAsia="MS Mincho"/>
          <w:i/>
          <w:sz w:val="22"/>
          <w:szCs w:val="22"/>
          <w:lang w:val="en-US"/>
        </w:rPr>
        <w:t>et al</w:t>
      </w:r>
      <w:r w:rsidRPr="009978E3">
        <w:rPr>
          <w:rFonts w:eastAsia="MS Mincho"/>
          <w:sz w:val="22"/>
          <w:szCs w:val="22"/>
          <w:lang w:val="en-US"/>
        </w:rPr>
        <w:t xml:space="preserve">.,1996a, 1999; Charlou </w:t>
      </w:r>
      <w:r w:rsidRPr="0006066A">
        <w:rPr>
          <w:rFonts w:eastAsia="MS Mincho"/>
          <w:i/>
          <w:sz w:val="22"/>
          <w:szCs w:val="22"/>
          <w:lang w:val="en-US"/>
        </w:rPr>
        <w:t>et al</w:t>
      </w:r>
      <w:r w:rsidRPr="009978E3">
        <w:rPr>
          <w:rFonts w:eastAsia="MS Mincho"/>
          <w:sz w:val="22"/>
          <w:szCs w:val="22"/>
          <w:lang w:val="en-US"/>
        </w:rPr>
        <w:t xml:space="preserve">., 1997; Fouquet </w:t>
      </w:r>
      <w:r w:rsidRPr="0006066A">
        <w:rPr>
          <w:rFonts w:eastAsia="MS Mincho"/>
          <w:i/>
          <w:sz w:val="22"/>
          <w:szCs w:val="22"/>
          <w:lang w:val="en-US"/>
        </w:rPr>
        <w:t>et al</w:t>
      </w:r>
      <w:r w:rsidRPr="009978E3">
        <w:rPr>
          <w:rFonts w:eastAsia="MS Mincho"/>
          <w:sz w:val="22"/>
          <w:szCs w:val="22"/>
          <w:lang w:val="en-US"/>
        </w:rPr>
        <w:t>., 1997, 1998). The hydrothermal vents are localized between 2270 - 2320 m depth in international waters where they comprise &gt;30 groups of active small sulphide chimneys over an area of 15 km</w:t>
      </w:r>
      <w:r w:rsidRPr="009978E3">
        <w:rPr>
          <w:rFonts w:eastAsia="MS Mincho"/>
          <w:sz w:val="22"/>
          <w:szCs w:val="22"/>
          <w:vertAlign w:val="superscript"/>
          <w:lang w:val="en-US"/>
        </w:rPr>
        <w:t>2</w:t>
      </w:r>
      <w:r w:rsidRPr="009978E3">
        <w:rPr>
          <w:rFonts w:eastAsia="MS Mincho"/>
          <w:sz w:val="22"/>
          <w:szCs w:val="22"/>
          <w:lang w:val="en-US"/>
        </w:rPr>
        <w:t xml:space="preserve">. There are many inactive structures among a large number of rather short-lived active venting sites (German </w:t>
      </w:r>
      <w:r w:rsidRPr="0006066A">
        <w:rPr>
          <w:rFonts w:eastAsia="MS Mincho"/>
          <w:i/>
          <w:sz w:val="22"/>
          <w:szCs w:val="22"/>
          <w:lang w:val="en-US"/>
        </w:rPr>
        <w:t>et al</w:t>
      </w:r>
      <w:r w:rsidRPr="009978E3">
        <w:rPr>
          <w:rFonts w:eastAsia="MS Mincho"/>
          <w:sz w:val="22"/>
          <w:szCs w:val="22"/>
          <w:lang w:val="en-US"/>
        </w:rPr>
        <w:t xml:space="preserve">., 1996b; Charlou </w:t>
      </w:r>
      <w:r w:rsidRPr="0006066A">
        <w:rPr>
          <w:rFonts w:eastAsia="MS Mincho"/>
          <w:i/>
          <w:sz w:val="22"/>
          <w:szCs w:val="22"/>
          <w:lang w:val="en-US"/>
        </w:rPr>
        <w:t>et al</w:t>
      </w:r>
      <w:r w:rsidRPr="009978E3">
        <w:rPr>
          <w:rFonts w:eastAsia="MS Mincho"/>
          <w:sz w:val="22"/>
          <w:szCs w:val="22"/>
          <w:lang w:val="en-US"/>
        </w:rPr>
        <w:t xml:space="preserve">., 1997; Fouquet </w:t>
      </w:r>
      <w:r w:rsidRPr="0006066A">
        <w:rPr>
          <w:rFonts w:eastAsia="MS Mincho"/>
          <w:i/>
          <w:sz w:val="22"/>
          <w:szCs w:val="22"/>
          <w:lang w:val="en-US"/>
        </w:rPr>
        <w:t>et al</w:t>
      </w:r>
      <w:r w:rsidRPr="009978E3">
        <w:rPr>
          <w:rFonts w:eastAsia="MS Mincho"/>
          <w:sz w:val="22"/>
          <w:szCs w:val="22"/>
          <w:lang w:val="en-US"/>
        </w:rPr>
        <w:t>., 1997).</w:t>
      </w:r>
    </w:p>
    <w:p w14:paraId="6285641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Around the site and through the nontransform discontinuity, a relative chronology of normal dip-slip extensional faulting, the conjugate transtensional faulting and Riedel shears are evident. The western border of the vent field is a 25 m high fault scarp where extensive stock work mineralization and replacement of ultramafic rocks by sulfides are observed (Marques </w:t>
      </w:r>
      <w:r w:rsidRPr="0006066A">
        <w:rPr>
          <w:rFonts w:eastAsia="MS Mincho"/>
          <w:i/>
          <w:sz w:val="22"/>
          <w:szCs w:val="22"/>
          <w:lang w:val="en-US"/>
        </w:rPr>
        <w:t>et al</w:t>
      </w:r>
      <w:r w:rsidRPr="009978E3">
        <w:rPr>
          <w:rFonts w:eastAsia="MS Mincho"/>
          <w:sz w:val="22"/>
          <w:szCs w:val="22"/>
          <w:lang w:val="en-US"/>
        </w:rPr>
        <w:t>., 2006; 2007).</w:t>
      </w:r>
    </w:p>
    <w:p w14:paraId="7EAC71E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Local hydrography and flow regimes dictate that the non-buoyant plume, which reaches neutral buoyancy at 2100 m depth, disperses following local topography to flow north-eastward, clockwise, along and around Rainbow ridge and into the adjacent rift valley (German and Parson, 1998; Thurnherr &amp; Richards, 2001; Thurnherr </w:t>
      </w:r>
      <w:r w:rsidRPr="0006066A">
        <w:rPr>
          <w:rFonts w:eastAsia="MS Mincho"/>
          <w:i/>
          <w:sz w:val="22"/>
          <w:szCs w:val="22"/>
          <w:lang w:val="en-US"/>
        </w:rPr>
        <w:t>et al</w:t>
      </w:r>
      <w:r w:rsidRPr="009978E3">
        <w:rPr>
          <w:rFonts w:eastAsia="MS Mincho"/>
          <w:sz w:val="22"/>
          <w:szCs w:val="22"/>
          <w:lang w:val="en-US"/>
        </w:rPr>
        <w:t>., 2002).</w:t>
      </w:r>
    </w:p>
    <w:p w14:paraId="0554D08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At many places within the Rainbow vent field, unusual sediment lithification around the active field and near the top of the ridge, together with several places with dead mussels, may be related to diffuse low temperature of methane-rich fluid through the sediment. Similar processes were also proposed at low temperature Saldanha and Menez Hom sites, where large amounts of methane discharge through the sediment cover at the top of the ultramafic ridge (Schroeder </w:t>
      </w:r>
      <w:r w:rsidRPr="0006066A">
        <w:rPr>
          <w:rFonts w:eastAsia="MS Mincho"/>
          <w:i/>
          <w:sz w:val="22"/>
          <w:szCs w:val="22"/>
          <w:lang w:val="en-US"/>
        </w:rPr>
        <w:t>et al</w:t>
      </w:r>
      <w:r w:rsidRPr="009978E3">
        <w:rPr>
          <w:rFonts w:eastAsia="MS Mincho"/>
          <w:sz w:val="22"/>
          <w:szCs w:val="22"/>
          <w:lang w:val="en-US"/>
        </w:rPr>
        <w:t xml:space="preserve">., 2002; Ribeiro da Costa </w:t>
      </w:r>
      <w:r w:rsidRPr="0006066A">
        <w:rPr>
          <w:rFonts w:eastAsia="MS Mincho"/>
          <w:i/>
          <w:sz w:val="22"/>
          <w:szCs w:val="22"/>
          <w:lang w:val="en-US"/>
        </w:rPr>
        <w:t>et al</w:t>
      </w:r>
      <w:r w:rsidRPr="009978E3">
        <w:rPr>
          <w:rFonts w:eastAsia="MS Mincho"/>
          <w:sz w:val="22"/>
          <w:szCs w:val="22"/>
          <w:lang w:val="en-US"/>
        </w:rPr>
        <w:t>., 2008).</w:t>
      </w:r>
    </w:p>
    <w:p w14:paraId="5EBC47F7"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Together with the Lucky Strike segment and Menez Gwen vent fields, the Rainbow field forms a group of northern bathyal vents fields. The underlying basement and vent fluid compositions differ from those in basalt-hosted systems due in part to serpentinization of the host rocks at Rainbow. Key characteristics of the Rainbow fluids include high chlorinity (750 mM), low pH (2.8), high methane, and extremely high Fe concentrations (24 mM), resulting in a Fe/H</w:t>
      </w:r>
      <w:r w:rsidRPr="009978E3">
        <w:rPr>
          <w:rFonts w:eastAsia="MS Mincho"/>
          <w:sz w:val="22"/>
          <w:szCs w:val="22"/>
          <w:vertAlign w:val="subscript"/>
          <w:lang w:val="en-US"/>
        </w:rPr>
        <w:t>2</w:t>
      </w:r>
      <w:r w:rsidRPr="009978E3">
        <w:rPr>
          <w:rFonts w:eastAsia="MS Mincho"/>
          <w:sz w:val="22"/>
          <w:szCs w:val="22"/>
          <w:lang w:val="en-US"/>
        </w:rPr>
        <w:t xml:space="preserve">S molar ratio of 24 (Charlou </w:t>
      </w:r>
      <w:r w:rsidRPr="0006066A">
        <w:rPr>
          <w:rFonts w:eastAsia="MS Mincho"/>
          <w:i/>
          <w:sz w:val="22"/>
          <w:szCs w:val="22"/>
          <w:lang w:val="en-US"/>
        </w:rPr>
        <w:t>et al</w:t>
      </w:r>
      <w:r w:rsidRPr="009978E3">
        <w:rPr>
          <w:rFonts w:eastAsia="MS Mincho"/>
          <w:sz w:val="22"/>
          <w:szCs w:val="22"/>
          <w:lang w:val="en-US"/>
        </w:rPr>
        <w:t xml:space="preserve">., 1997; Douville </w:t>
      </w:r>
      <w:r w:rsidRPr="0006066A">
        <w:rPr>
          <w:rFonts w:eastAsia="MS Mincho"/>
          <w:i/>
          <w:sz w:val="22"/>
          <w:szCs w:val="22"/>
          <w:lang w:val="en-US"/>
        </w:rPr>
        <w:t>et al</w:t>
      </w:r>
      <w:r w:rsidRPr="009978E3">
        <w:rPr>
          <w:rFonts w:eastAsia="MS Mincho"/>
          <w:sz w:val="22"/>
          <w:szCs w:val="22"/>
          <w:lang w:val="en-US"/>
        </w:rPr>
        <w:t xml:space="preserve">., 2002). The high temperature vents occur along the shoulder of a W-facing hanging wall of the tilted ultramafic block and are associated with one of the largest hydrothermal plumes in terms of methane output (Charlou </w:t>
      </w:r>
      <w:r w:rsidRPr="0006066A">
        <w:rPr>
          <w:rFonts w:eastAsia="MS Mincho"/>
          <w:i/>
          <w:sz w:val="22"/>
          <w:szCs w:val="22"/>
          <w:lang w:val="en-US"/>
        </w:rPr>
        <w:t>et al</w:t>
      </w:r>
      <w:r w:rsidRPr="009978E3">
        <w:rPr>
          <w:rFonts w:eastAsia="MS Mincho"/>
          <w:sz w:val="22"/>
          <w:szCs w:val="22"/>
          <w:lang w:val="en-US"/>
        </w:rPr>
        <w:t xml:space="preserve">., 1996a), manganese (Aballea </w:t>
      </w:r>
      <w:r w:rsidRPr="0006066A">
        <w:rPr>
          <w:rFonts w:eastAsia="MS Mincho"/>
          <w:i/>
          <w:sz w:val="22"/>
          <w:szCs w:val="22"/>
          <w:lang w:val="en-US"/>
        </w:rPr>
        <w:t>et al</w:t>
      </w:r>
      <w:r w:rsidRPr="009978E3">
        <w:rPr>
          <w:rFonts w:eastAsia="MS Mincho"/>
          <w:sz w:val="22"/>
          <w:szCs w:val="22"/>
          <w:lang w:val="en-US"/>
        </w:rPr>
        <w:t xml:space="preserve">., 1998), sulfide (Radford-Knoery </w:t>
      </w:r>
      <w:r w:rsidRPr="0006066A">
        <w:rPr>
          <w:rFonts w:eastAsia="MS Mincho"/>
          <w:i/>
          <w:sz w:val="22"/>
          <w:szCs w:val="22"/>
          <w:lang w:val="en-US"/>
        </w:rPr>
        <w:t>et al</w:t>
      </w:r>
      <w:r w:rsidRPr="009978E3">
        <w:rPr>
          <w:rFonts w:eastAsia="MS Mincho"/>
          <w:sz w:val="22"/>
          <w:szCs w:val="22"/>
          <w:lang w:val="en-US"/>
        </w:rPr>
        <w:t xml:space="preserve">., 1998), helium and heat (Jean-Baptiste </w:t>
      </w:r>
      <w:r w:rsidRPr="0006066A">
        <w:rPr>
          <w:rFonts w:eastAsia="MS Mincho"/>
          <w:i/>
          <w:sz w:val="22"/>
          <w:szCs w:val="22"/>
          <w:lang w:val="en-US"/>
        </w:rPr>
        <w:t>et al</w:t>
      </w:r>
      <w:r w:rsidRPr="009978E3">
        <w:rPr>
          <w:rFonts w:eastAsia="MS Mincho"/>
          <w:sz w:val="22"/>
          <w:szCs w:val="22"/>
          <w:lang w:val="en-US"/>
        </w:rPr>
        <w:t xml:space="preserve">., 1998), and particles (German </w:t>
      </w:r>
      <w:r w:rsidRPr="0006066A">
        <w:rPr>
          <w:rFonts w:eastAsia="MS Mincho"/>
          <w:i/>
          <w:sz w:val="22"/>
          <w:szCs w:val="22"/>
          <w:lang w:val="en-US"/>
        </w:rPr>
        <w:t>et al</w:t>
      </w:r>
      <w:r w:rsidRPr="009978E3">
        <w:rPr>
          <w:rFonts w:eastAsia="MS Mincho"/>
          <w:sz w:val="22"/>
          <w:szCs w:val="22"/>
          <w:lang w:val="en-US"/>
        </w:rPr>
        <w:t>., 1998).</w:t>
      </w:r>
    </w:p>
    <w:p w14:paraId="436E5F9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Since its discovery, Rainbow has been a frequent focus of scientific expeditions and is the only vent field on the Mid-Atlantic Ridge that has been visited by tourist operators. Scientific investigations have included long-term monitoring, manipulative experiments and geological sampling (McCaig </w:t>
      </w:r>
      <w:r w:rsidRPr="0006066A">
        <w:rPr>
          <w:rFonts w:eastAsia="MS Mincho"/>
          <w:i/>
          <w:sz w:val="22"/>
          <w:szCs w:val="22"/>
          <w:lang w:val="en-US"/>
        </w:rPr>
        <w:t>et al</w:t>
      </w:r>
      <w:r w:rsidRPr="009978E3">
        <w:rPr>
          <w:rFonts w:eastAsia="MS Mincho"/>
          <w:sz w:val="22"/>
          <w:szCs w:val="22"/>
          <w:lang w:val="en-US"/>
        </w:rPr>
        <w:t xml:space="preserve">., 2007; Baker </w:t>
      </w:r>
      <w:r w:rsidRPr="0006066A">
        <w:rPr>
          <w:rFonts w:eastAsia="MS Mincho"/>
          <w:i/>
          <w:sz w:val="22"/>
          <w:szCs w:val="22"/>
          <w:lang w:val="en-US"/>
        </w:rPr>
        <w:t>et al</w:t>
      </w:r>
      <w:r w:rsidRPr="009978E3">
        <w:rPr>
          <w:rFonts w:eastAsia="MS Mincho"/>
          <w:sz w:val="22"/>
          <w:szCs w:val="22"/>
          <w:lang w:val="en-US"/>
        </w:rPr>
        <w:t xml:space="preserve">., 2010; Crawford </w:t>
      </w:r>
      <w:r w:rsidRPr="0006066A">
        <w:rPr>
          <w:rFonts w:eastAsia="MS Mincho"/>
          <w:i/>
          <w:sz w:val="22"/>
          <w:szCs w:val="22"/>
          <w:lang w:val="en-US"/>
        </w:rPr>
        <w:t>et al</w:t>
      </w:r>
      <w:r w:rsidRPr="009978E3">
        <w:rPr>
          <w:rFonts w:eastAsia="MS Mincho"/>
          <w:sz w:val="22"/>
          <w:szCs w:val="22"/>
          <w:lang w:val="en-US"/>
        </w:rPr>
        <w:t>., 2010).</w:t>
      </w:r>
    </w:p>
    <w:p w14:paraId="261BA2FD"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2. Lucky Strike </w:t>
      </w:r>
    </w:p>
    <w:p w14:paraId="0D488D9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Lucky Strike vent field was discovered in 1993. Since then, this field has been extensively studied, particularly during expeditions DIVA1 and FLORES, 1994; LUSTRE, 1996; MoMARETO and Graviluck, 2006; MoMAR, 2008; Bathyluck, 2009 and MoMARSAT 2010 and 2011. It is also the object of long-term monitoring (</w:t>
      </w:r>
      <w:r>
        <w:rPr>
          <w:rFonts w:eastAsia="MS Mincho"/>
          <w:sz w:val="22"/>
          <w:szCs w:val="22"/>
          <w:lang w:val="en-US"/>
        </w:rPr>
        <w:t>e.g.</w:t>
      </w:r>
      <w:r w:rsidRPr="009978E3">
        <w:rPr>
          <w:rFonts w:eastAsia="MS Mincho"/>
          <w:sz w:val="22"/>
          <w:szCs w:val="22"/>
          <w:lang w:val="en-US"/>
        </w:rPr>
        <w:t xml:space="preserve">, Ballu </w:t>
      </w:r>
      <w:r w:rsidRPr="0006066A">
        <w:rPr>
          <w:rFonts w:eastAsia="MS Mincho"/>
          <w:i/>
          <w:sz w:val="22"/>
          <w:szCs w:val="22"/>
          <w:lang w:val="en-US"/>
        </w:rPr>
        <w:t>et al</w:t>
      </w:r>
      <w:r w:rsidRPr="009978E3">
        <w:rPr>
          <w:rFonts w:eastAsia="MS Mincho"/>
          <w:sz w:val="22"/>
          <w:szCs w:val="22"/>
          <w:lang w:val="en-US"/>
        </w:rPr>
        <w:t xml:space="preserve">., 2009; Colaço </w:t>
      </w:r>
      <w:r w:rsidRPr="0006066A">
        <w:rPr>
          <w:rFonts w:eastAsia="MS Mincho"/>
          <w:i/>
          <w:sz w:val="22"/>
          <w:szCs w:val="22"/>
          <w:lang w:val="en-US"/>
        </w:rPr>
        <w:t>et al</w:t>
      </w:r>
      <w:r w:rsidRPr="009978E3">
        <w:rPr>
          <w:rFonts w:eastAsia="MS Mincho"/>
          <w:sz w:val="22"/>
          <w:szCs w:val="22"/>
          <w:lang w:val="en-US"/>
        </w:rPr>
        <w:t>., 2011), including a seafloor observatory (ESONET-EMSO European project</w:t>
      </w:r>
      <w:r>
        <w:rPr>
          <w:rFonts w:eastAsia="MS Mincho"/>
          <w:sz w:val="22"/>
          <w:szCs w:val="22"/>
          <w:lang w:val="en-US"/>
        </w:rPr>
        <w:t>)</w:t>
      </w:r>
      <w:r w:rsidRPr="009978E3">
        <w:rPr>
          <w:rFonts w:eastAsia="MS Mincho"/>
          <w:sz w:val="22"/>
          <w:szCs w:val="22"/>
          <w:lang w:val="en-US"/>
        </w:rPr>
        <w:t xml:space="preserve"> (Ruhl </w:t>
      </w:r>
      <w:r w:rsidRPr="0006066A">
        <w:rPr>
          <w:rFonts w:eastAsia="MS Mincho"/>
          <w:i/>
          <w:sz w:val="22"/>
          <w:szCs w:val="22"/>
          <w:lang w:val="en-US"/>
        </w:rPr>
        <w:t>et al</w:t>
      </w:r>
      <w:r w:rsidRPr="009978E3">
        <w:rPr>
          <w:rFonts w:eastAsia="MS Mincho"/>
          <w:sz w:val="22"/>
          <w:szCs w:val="22"/>
          <w:lang w:val="en-US"/>
        </w:rPr>
        <w:t xml:space="preserve">., 2011). </w:t>
      </w:r>
    </w:p>
    <w:p w14:paraId="4725D03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Lucky Strike is one of the largest hydrothermal areas known to date, with 21 active chimney sites distributed over an area of approximately 150,000 m</w:t>
      </w:r>
      <w:r w:rsidRPr="009978E3">
        <w:rPr>
          <w:rFonts w:eastAsia="MS Mincho"/>
          <w:sz w:val="22"/>
          <w:szCs w:val="22"/>
          <w:vertAlign w:val="superscript"/>
          <w:lang w:val="en-US"/>
        </w:rPr>
        <w:t>2</w:t>
      </w:r>
      <w:r w:rsidRPr="009978E3">
        <w:rPr>
          <w:rFonts w:eastAsia="MS Mincho"/>
          <w:sz w:val="22"/>
          <w:szCs w:val="22"/>
          <w:lang w:val="en-US"/>
        </w:rPr>
        <w:t xml:space="preserve"> at depth range of 1620-1730 m. Despite its proximity to the Azores hot spot, the Lucky Strike segment exhibits a morphological and tectonic architecture with many of the characteristics of a slow</w:t>
      </w:r>
      <w:r>
        <w:rPr>
          <w:rFonts w:eastAsia="MS Mincho"/>
          <w:sz w:val="22"/>
          <w:szCs w:val="22"/>
          <w:lang w:val="en-US"/>
        </w:rPr>
        <w:t>-</w:t>
      </w:r>
      <w:r w:rsidRPr="009978E3">
        <w:rPr>
          <w:rFonts w:eastAsia="MS Mincho"/>
          <w:sz w:val="22"/>
          <w:szCs w:val="22"/>
          <w:lang w:val="en-US"/>
        </w:rPr>
        <w:t>spreading ridge. The Lucky Strike segment is characterized by a well-developed 13–20 km wide axial rift valley, whose depth increases from 1550 m at the segment center to 3700 m at the nodal basins near the segment ends.</w:t>
      </w:r>
    </w:p>
    <w:p w14:paraId="305FA0B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Beyond the rift walls, the seafloor morphology is dominated by fault-controlled abyssal hills (Detrick </w:t>
      </w:r>
      <w:r w:rsidRPr="0006066A">
        <w:rPr>
          <w:rFonts w:eastAsia="MS Mincho"/>
          <w:i/>
          <w:sz w:val="22"/>
          <w:szCs w:val="22"/>
          <w:lang w:val="en-US"/>
        </w:rPr>
        <w:t>et al</w:t>
      </w:r>
      <w:r w:rsidRPr="009978E3">
        <w:rPr>
          <w:rFonts w:eastAsia="MS Mincho"/>
          <w:sz w:val="22"/>
          <w:szCs w:val="22"/>
          <w:lang w:val="en-US"/>
        </w:rPr>
        <w:t>., 1995). The centr</w:t>
      </w:r>
      <w:r>
        <w:rPr>
          <w:rFonts w:eastAsia="MS Mincho"/>
          <w:sz w:val="22"/>
          <w:szCs w:val="22"/>
          <w:lang w:val="en-US"/>
        </w:rPr>
        <w:t>e</w:t>
      </w:r>
      <w:r w:rsidRPr="009978E3">
        <w:rPr>
          <w:rFonts w:eastAsia="MS Mincho"/>
          <w:sz w:val="22"/>
          <w:szCs w:val="22"/>
          <w:lang w:val="en-US"/>
        </w:rPr>
        <w:t xml:space="preserve"> of the segment is dominated by the 8 km wide, 15 km long, and 500 m high Lucky Strike volcano, one of the largest central volcanoes along the MAR axis. The crust is 7.5 km thick beneath the volcano and has thinned to less than 5.5 km at 20 km from the segment centre</w:t>
      </w:r>
      <w:r>
        <w:rPr>
          <w:rFonts w:eastAsia="MS Mincho"/>
          <w:sz w:val="22"/>
          <w:szCs w:val="22"/>
          <w:lang w:val="en-US"/>
        </w:rPr>
        <w:t xml:space="preserve"> </w:t>
      </w:r>
      <w:r w:rsidRPr="009978E3">
        <w:rPr>
          <w:rFonts w:eastAsia="MS Mincho"/>
          <w:sz w:val="22"/>
          <w:szCs w:val="22"/>
          <w:lang w:val="en-US"/>
        </w:rPr>
        <w:t xml:space="preserve">(Crawford </w:t>
      </w:r>
      <w:r w:rsidRPr="0006066A">
        <w:rPr>
          <w:rFonts w:eastAsia="MS Mincho"/>
          <w:i/>
          <w:sz w:val="22"/>
          <w:szCs w:val="22"/>
          <w:lang w:val="en-US"/>
        </w:rPr>
        <w:t>et al</w:t>
      </w:r>
      <w:r w:rsidRPr="009978E3">
        <w:rPr>
          <w:rFonts w:eastAsia="MS Mincho"/>
          <w:sz w:val="22"/>
          <w:szCs w:val="22"/>
          <w:lang w:val="en-US"/>
        </w:rPr>
        <w:t xml:space="preserve">., 2010; Seher </w:t>
      </w:r>
      <w:r w:rsidRPr="0006066A">
        <w:rPr>
          <w:rFonts w:eastAsia="MS Mincho"/>
          <w:i/>
          <w:sz w:val="22"/>
          <w:szCs w:val="22"/>
          <w:lang w:val="en-US"/>
        </w:rPr>
        <w:t>et al</w:t>
      </w:r>
      <w:r w:rsidRPr="009978E3">
        <w:rPr>
          <w:rFonts w:eastAsia="MS Mincho"/>
          <w:sz w:val="22"/>
          <w:szCs w:val="22"/>
          <w:lang w:val="en-US"/>
        </w:rPr>
        <w:t xml:space="preserve">., 2010). </w:t>
      </w:r>
    </w:p>
    <w:p w14:paraId="13544EA3" w14:textId="77777777" w:rsidR="006B3F46"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hydrothermal activity is located on the periphery of the lava lake. Submersible dive programmes documented the presence of high temperature black smoker chimneys, extensive areas of diffuse flow and sulfide deposits distributed around the lava lake margins (Fouquet </w:t>
      </w:r>
      <w:r w:rsidRPr="0006066A">
        <w:rPr>
          <w:rFonts w:eastAsia="MS Mincho"/>
          <w:i/>
          <w:sz w:val="22"/>
          <w:szCs w:val="22"/>
          <w:lang w:val="en-US"/>
        </w:rPr>
        <w:t>et al</w:t>
      </w:r>
      <w:r w:rsidRPr="009978E3">
        <w:rPr>
          <w:rFonts w:eastAsia="MS Mincho"/>
          <w:sz w:val="22"/>
          <w:szCs w:val="22"/>
          <w:lang w:val="en-US"/>
        </w:rPr>
        <w:t xml:space="preserve">., 1994; Langmuir </w:t>
      </w:r>
      <w:r w:rsidRPr="0006066A">
        <w:rPr>
          <w:rFonts w:eastAsia="MS Mincho"/>
          <w:i/>
          <w:sz w:val="22"/>
          <w:szCs w:val="22"/>
          <w:lang w:val="en-US"/>
        </w:rPr>
        <w:t>et al</w:t>
      </w:r>
      <w:r w:rsidRPr="009978E3">
        <w:rPr>
          <w:rFonts w:eastAsia="MS Mincho"/>
          <w:sz w:val="22"/>
          <w:szCs w:val="22"/>
          <w:lang w:val="en-US"/>
        </w:rPr>
        <w:t xml:space="preserve">., 1997; Ondreas </w:t>
      </w:r>
      <w:r w:rsidRPr="0006066A">
        <w:rPr>
          <w:rFonts w:eastAsia="MS Mincho"/>
          <w:i/>
          <w:sz w:val="22"/>
          <w:szCs w:val="22"/>
          <w:lang w:val="en-US"/>
        </w:rPr>
        <w:t>et al</w:t>
      </w:r>
      <w:r w:rsidRPr="009978E3">
        <w:rPr>
          <w:rFonts w:eastAsia="MS Mincho"/>
          <w:sz w:val="22"/>
          <w:szCs w:val="22"/>
          <w:lang w:val="en-US"/>
        </w:rPr>
        <w:t xml:space="preserve">., 2009). The presence of a lava lake at the summit also suggests recent magmatic activity and the potential for an active magma chamber directly beneath the edifice (Singh </w:t>
      </w:r>
      <w:r w:rsidRPr="0006066A">
        <w:rPr>
          <w:rFonts w:eastAsia="MS Mincho"/>
          <w:i/>
          <w:sz w:val="22"/>
          <w:szCs w:val="22"/>
          <w:lang w:val="en-US"/>
        </w:rPr>
        <w:t>et al</w:t>
      </w:r>
      <w:r w:rsidRPr="009978E3">
        <w:rPr>
          <w:rFonts w:eastAsia="MS Mincho"/>
          <w:sz w:val="22"/>
          <w:szCs w:val="22"/>
          <w:lang w:val="en-US"/>
        </w:rPr>
        <w:t>., 2006).</w:t>
      </w:r>
    </w:p>
    <w:p w14:paraId="172E15D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physical/chemical qualities of the vent gases and waters are distinct from other MAR sites due to low sulphur/high methane contents. Vent fluid temperatures range from 330º C in black smokers, to 200-212ºC and even 20ᵒC in diffuse emissions (Von Damm </w:t>
      </w:r>
      <w:r w:rsidRPr="0006066A">
        <w:rPr>
          <w:rFonts w:eastAsia="MS Mincho"/>
          <w:i/>
          <w:sz w:val="22"/>
          <w:szCs w:val="22"/>
          <w:lang w:val="en-US"/>
        </w:rPr>
        <w:t>et al</w:t>
      </w:r>
      <w:r w:rsidRPr="009978E3">
        <w:rPr>
          <w:rFonts w:eastAsia="MS Mincho"/>
          <w:sz w:val="22"/>
          <w:szCs w:val="22"/>
          <w:lang w:val="en-US"/>
        </w:rPr>
        <w:t xml:space="preserve">., 1998; Charlou </w:t>
      </w:r>
      <w:r w:rsidRPr="0006066A">
        <w:rPr>
          <w:rFonts w:eastAsia="MS Mincho"/>
          <w:i/>
          <w:sz w:val="22"/>
          <w:szCs w:val="22"/>
          <w:lang w:val="en-US"/>
        </w:rPr>
        <w:t>et al</w:t>
      </w:r>
      <w:r w:rsidRPr="009978E3">
        <w:rPr>
          <w:rFonts w:eastAsia="MS Mincho"/>
          <w:sz w:val="22"/>
          <w:szCs w:val="22"/>
          <w:lang w:val="en-US"/>
        </w:rPr>
        <w:t xml:space="preserve">., 2000; Cooper </w:t>
      </w:r>
      <w:r w:rsidRPr="0006066A">
        <w:rPr>
          <w:rFonts w:eastAsia="MS Mincho"/>
          <w:i/>
          <w:sz w:val="22"/>
          <w:szCs w:val="22"/>
          <w:lang w:val="en-US"/>
        </w:rPr>
        <w:t>et al</w:t>
      </w:r>
      <w:r w:rsidRPr="009978E3">
        <w:rPr>
          <w:rFonts w:eastAsia="MS Mincho"/>
          <w:sz w:val="22"/>
          <w:szCs w:val="22"/>
          <w:lang w:val="en-US"/>
        </w:rPr>
        <w:t xml:space="preserve">., 2000). The larger active edifices exhibit small zones of high temperature discharge. Elsewhere in the chimneys, discharge is mostly diffuse, as leakage of transparent fluid, through the mussel-covered outer walls of the chimneys. </w:t>
      </w:r>
    </w:p>
    <w:p w14:paraId="13D62543"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chimneys show clear evidence of oxidation caused by seawater. In the more active chimneys oxidation is restricted to an outer layer of oxides a few millimeters thick, mainly of iron. Once fluid flow ceases, oxidation progresses inwards. Primary sulphides are replaced by secondary sulphides and subsequently by oxides. Chimneys become rapidly friable, fall and break into progressively less recognizable fragments. Nearly half of the area of the Lucky Strike field is covered with deeply oxidized chimney debris, with most of the remaining area composed of exposed “slabs” (Barriga &amp; Santos, 2003).</w:t>
      </w:r>
    </w:p>
    <w:p w14:paraId="1D0D15C7" w14:textId="77777777" w:rsidR="006B3F46" w:rsidRPr="009978E3" w:rsidRDefault="006B3F46" w:rsidP="00907941">
      <w:pPr>
        <w:tabs>
          <w:tab w:val="left" w:pos="4820"/>
        </w:tabs>
        <w:jc w:val="both"/>
        <w:rPr>
          <w:rStyle w:val="Strong"/>
          <w:b w:val="0"/>
          <w:sz w:val="22"/>
          <w:szCs w:val="22"/>
        </w:rPr>
      </w:pPr>
      <w:r w:rsidRPr="009978E3">
        <w:rPr>
          <w:rFonts w:eastAsia="MS Mincho"/>
          <w:b/>
          <w:sz w:val="22"/>
          <w:szCs w:val="22"/>
          <w:lang w:val="en-US"/>
        </w:rPr>
        <w:t>3. Menez Gwen</w:t>
      </w:r>
    </w:p>
    <w:p w14:paraId="1A092FB0" w14:textId="77777777" w:rsidR="006B3F46" w:rsidRPr="009978E3" w:rsidRDefault="006B3F46" w:rsidP="002E4B39">
      <w:pPr>
        <w:suppressLineNumbers/>
        <w:spacing w:after="120"/>
        <w:jc w:val="both"/>
        <w:rPr>
          <w:rStyle w:val="Strong"/>
          <w:b w:val="0"/>
          <w:sz w:val="22"/>
          <w:szCs w:val="22"/>
          <w:lang w:val="en-US"/>
        </w:rPr>
      </w:pPr>
      <w:r w:rsidRPr="009978E3">
        <w:rPr>
          <w:rStyle w:val="Strong"/>
          <w:b w:val="0"/>
          <w:sz w:val="22"/>
          <w:szCs w:val="22"/>
          <w:lang w:val="en-US"/>
        </w:rPr>
        <w:t xml:space="preserve">Menez Gwen was discovered in 1991, during submersible dives on the ridge segment north of the Lucky Strike segment (Fouquet </w:t>
      </w:r>
      <w:r w:rsidRPr="0006066A">
        <w:rPr>
          <w:rStyle w:val="Strong"/>
          <w:b w:val="0"/>
          <w:i/>
          <w:sz w:val="22"/>
          <w:szCs w:val="22"/>
          <w:lang w:val="en-US"/>
        </w:rPr>
        <w:t>et al</w:t>
      </w:r>
      <w:r w:rsidRPr="009978E3">
        <w:rPr>
          <w:rStyle w:val="Strong"/>
          <w:b w:val="0"/>
          <w:sz w:val="22"/>
          <w:szCs w:val="22"/>
          <w:lang w:val="en-US"/>
        </w:rPr>
        <w:t xml:space="preserve">., 1994). This segment is characterized by the absence of a central rift and volcano. Circular in shape, it has a diameter of 17 km and height of 700 m, while at its summit there is an axial graben, 6 km long, 2 km wide and 300 m deep. At the graben’s northern end there is a new volcano of 600 m </w:t>
      </w:r>
      <w:r w:rsidRPr="002E4B39">
        <w:rPr>
          <w:rFonts w:eastAsia="MS Mincho"/>
        </w:rPr>
        <w:t>diameter</w:t>
      </w:r>
      <w:r w:rsidRPr="009978E3">
        <w:rPr>
          <w:rStyle w:val="Strong"/>
          <w:b w:val="0"/>
          <w:sz w:val="22"/>
          <w:szCs w:val="22"/>
          <w:lang w:val="en-US"/>
        </w:rPr>
        <w:t xml:space="preserve"> and 120 m height, composed entirely of fresh pillow lavas with no sediment cover. </w:t>
      </w:r>
    </w:p>
    <w:p w14:paraId="1159A78B" w14:textId="77777777" w:rsidR="006B3F46" w:rsidRPr="009978E3" w:rsidRDefault="006B3F46" w:rsidP="002E4B39">
      <w:pPr>
        <w:suppressLineNumbers/>
        <w:spacing w:after="120"/>
        <w:jc w:val="both"/>
        <w:rPr>
          <w:rStyle w:val="Strong"/>
          <w:b w:val="0"/>
          <w:sz w:val="22"/>
          <w:szCs w:val="22"/>
          <w:lang w:val="en-US"/>
        </w:rPr>
      </w:pPr>
      <w:r w:rsidRPr="009978E3">
        <w:rPr>
          <w:rStyle w:val="Strong"/>
          <w:b w:val="0"/>
          <w:sz w:val="22"/>
          <w:szCs w:val="22"/>
          <w:lang w:val="en-US"/>
        </w:rPr>
        <w:t xml:space="preserve">Menez </w:t>
      </w:r>
      <w:r w:rsidRPr="002E4B39">
        <w:rPr>
          <w:rFonts w:eastAsia="MS Mincho"/>
        </w:rPr>
        <w:t>Gwen</w:t>
      </w:r>
      <w:r w:rsidRPr="009978E3">
        <w:rPr>
          <w:rStyle w:val="Strong"/>
          <w:b w:val="0"/>
          <w:sz w:val="22"/>
          <w:szCs w:val="22"/>
          <w:lang w:val="en-US"/>
        </w:rPr>
        <w:t xml:space="preserve"> is located near the top of this new volcano at the bottom of the graben at 840-870 m depth. Its hydrothermal fluids are characterized by temperatures ranging between 265</w:t>
      </w:r>
      <w:r w:rsidRPr="009978E3">
        <w:rPr>
          <w:rFonts w:eastAsia="MS Mincho"/>
          <w:sz w:val="22"/>
          <w:szCs w:val="22"/>
          <w:lang w:val="en-US"/>
        </w:rPr>
        <w:t>ᵒ</w:t>
      </w:r>
      <w:r w:rsidRPr="009978E3">
        <w:rPr>
          <w:rStyle w:val="Strong"/>
          <w:b w:val="0"/>
          <w:sz w:val="22"/>
          <w:szCs w:val="22"/>
          <w:lang w:val="en-US"/>
        </w:rPr>
        <w:t>C and 281</w:t>
      </w:r>
      <w:r w:rsidRPr="009978E3">
        <w:rPr>
          <w:rFonts w:eastAsia="MS Mincho"/>
          <w:sz w:val="22"/>
          <w:szCs w:val="22"/>
          <w:lang w:val="en-US"/>
        </w:rPr>
        <w:t>ᵒ</w:t>
      </w:r>
      <w:r w:rsidRPr="009978E3">
        <w:rPr>
          <w:rStyle w:val="Strong"/>
          <w:b w:val="0"/>
          <w:sz w:val="22"/>
          <w:szCs w:val="22"/>
          <w:lang w:val="en-US"/>
        </w:rPr>
        <w:t>C</w:t>
      </w:r>
      <w:r>
        <w:rPr>
          <w:rStyle w:val="Strong"/>
          <w:b w:val="0"/>
          <w:sz w:val="22"/>
          <w:szCs w:val="22"/>
          <w:lang w:val="en-US"/>
        </w:rPr>
        <w:t>,</w:t>
      </w:r>
      <w:r w:rsidRPr="009978E3">
        <w:rPr>
          <w:rStyle w:val="Strong"/>
          <w:b w:val="0"/>
          <w:sz w:val="22"/>
          <w:szCs w:val="22"/>
          <w:lang w:val="en-US"/>
        </w:rPr>
        <w:t xml:space="preserve"> and these temperatures mark its characteristic physiochemical diversity and presence of anhydrite and barite. The vent is in a basaltic environment, and methane is produced by outgassing of carbon from the mantle and is related to the carbon-enriched character of basalt (Charlou </w:t>
      </w:r>
      <w:r w:rsidRPr="0006066A">
        <w:rPr>
          <w:rStyle w:val="Strong"/>
          <w:b w:val="0"/>
          <w:i/>
          <w:sz w:val="22"/>
          <w:szCs w:val="22"/>
          <w:lang w:val="en-US"/>
        </w:rPr>
        <w:t>et al</w:t>
      </w:r>
      <w:r w:rsidRPr="009978E3">
        <w:rPr>
          <w:rStyle w:val="Strong"/>
          <w:b w:val="0"/>
          <w:sz w:val="22"/>
          <w:szCs w:val="22"/>
          <w:lang w:val="en-US"/>
        </w:rPr>
        <w:t xml:space="preserve">., 1997). In addition, the low pH and low Fe and Si concentrations are consistent with the short duration of fluid-rock interaction linked to a shallow circulation system (Douville </w:t>
      </w:r>
      <w:r w:rsidRPr="0006066A">
        <w:rPr>
          <w:rStyle w:val="Strong"/>
          <w:b w:val="0"/>
          <w:i/>
          <w:sz w:val="22"/>
          <w:szCs w:val="22"/>
          <w:lang w:val="en-US"/>
        </w:rPr>
        <w:t>et al</w:t>
      </w:r>
      <w:r w:rsidRPr="009978E3">
        <w:rPr>
          <w:rStyle w:val="Strong"/>
          <w:b w:val="0"/>
          <w:sz w:val="22"/>
          <w:szCs w:val="22"/>
          <w:lang w:val="en-US"/>
        </w:rPr>
        <w:t>., 1999).</w:t>
      </w:r>
    </w:p>
    <w:p w14:paraId="584A5570" w14:textId="77777777" w:rsidR="006B3F46" w:rsidRPr="009978E3" w:rsidRDefault="006B3F46" w:rsidP="002E4B39">
      <w:pPr>
        <w:suppressLineNumbers/>
        <w:spacing w:after="120"/>
        <w:jc w:val="both"/>
        <w:rPr>
          <w:rStyle w:val="Strong"/>
          <w:b w:val="0"/>
          <w:sz w:val="22"/>
          <w:szCs w:val="22"/>
          <w:lang w:val="en-US"/>
        </w:rPr>
      </w:pPr>
      <w:r w:rsidRPr="009978E3">
        <w:rPr>
          <w:rStyle w:val="Strong"/>
          <w:b w:val="0"/>
          <w:sz w:val="22"/>
          <w:szCs w:val="22"/>
          <w:lang w:val="en-US"/>
        </w:rPr>
        <w:t xml:space="preserve">This </w:t>
      </w:r>
      <w:r w:rsidRPr="002E4B39">
        <w:rPr>
          <w:rFonts w:eastAsia="MS Mincho"/>
        </w:rPr>
        <w:t>shallow</w:t>
      </w:r>
      <w:r w:rsidRPr="009978E3">
        <w:rPr>
          <w:rStyle w:val="Strong"/>
          <w:b w:val="0"/>
          <w:sz w:val="22"/>
          <w:szCs w:val="22"/>
          <w:lang w:val="en-US"/>
        </w:rPr>
        <w:t xml:space="preserve"> system can be affected by explosive volcanic activity (Fouquet </w:t>
      </w:r>
      <w:r w:rsidRPr="0006066A">
        <w:rPr>
          <w:rStyle w:val="Strong"/>
          <w:b w:val="0"/>
          <w:i/>
          <w:sz w:val="22"/>
          <w:szCs w:val="22"/>
          <w:lang w:val="en-US"/>
        </w:rPr>
        <w:t>et al</w:t>
      </w:r>
      <w:r w:rsidRPr="009978E3">
        <w:rPr>
          <w:rStyle w:val="Strong"/>
          <w:b w:val="0"/>
          <w:sz w:val="22"/>
          <w:szCs w:val="22"/>
          <w:lang w:val="en-US"/>
        </w:rPr>
        <w:t>., 1999) on an area of several square kilometres</w:t>
      </w:r>
      <w:r>
        <w:rPr>
          <w:rStyle w:val="Strong"/>
          <w:b w:val="0"/>
          <w:sz w:val="22"/>
          <w:szCs w:val="22"/>
          <w:lang w:val="en-US"/>
        </w:rPr>
        <w:t>,</w:t>
      </w:r>
      <w:r w:rsidRPr="009978E3">
        <w:rPr>
          <w:rStyle w:val="Strong"/>
          <w:b w:val="0"/>
          <w:sz w:val="22"/>
          <w:szCs w:val="22"/>
          <w:lang w:val="en-US"/>
        </w:rPr>
        <w:t xml:space="preserve"> as disclosed by the distribution of volcanic ejecta on the bottom (ash, sand and lapilli). According to Fouquet </w:t>
      </w:r>
      <w:r w:rsidRPr="0006066A">
        <w:rPr>
          <w:rStyle w:val="Strong"/>
          <w:b w:val="0"/>
          <w:i/>
          <w:sz w:val="22"/>
          <w:szCs w:val="22"/>
          <w:lang w:val="en-US"/>
        </w:rPr>
        <w:t>et al</w:t>
      </w:r>
      <w:r w:rsidRPr="009978E3">
        <w:rPr>
          <w:rStyle w:val="Strong"/>
          <w:b w:val="0"/>
          <w:sz w:val="22"/>
          <w:szCs w:val="22"/>
          <w:lang w:val="en-US"/>
        </w:rPr>
        <w:t xml:space="preserve">. (1994), Menez Gwen is, geologically speaking, very young (probably </w:t>
      </w:r>
      <w:r>
        <w:rPr>
          <w:rStyle w:val="Strong"/>
          <w:b w:val="0"/>
          <w:sz w:val="22"/>
          <w:szCs w:val="22"/>
          <w:lang w:val="en-US"/>
        </w:rPr>
        <w:t xml:space="preserve">a </w:t>
      </w:r>
      <w:r w:rsidRPr="009978E3">
        <w:rPr>
          <w:rStyle w:val="Strong"/>
          <w:b w:val="0"/>
          <w:sz w:val="22"/>
          <w:szCs w:val="22"/>
          <w:lang w:val="en-US"/>
        </w:rPr>
        <w:t>few decades</w:t>
      </w:r>
      <w:r>
        <w:rPr>
          <w:rStyle w:val="Strong"/>
          <w:b w:val="0"/>
          <w:sz w:val="22"/>
          <w:szCs w:val="22"/>
          <w:lang w:val="en-US"/>
        </w:rPr>
        <w:t xml:space="preserve"> old</w:t>
      </w:r>
      <w:r w:rsidRPr="009978E3">
        <w:rPr>
          <w:rStyle w:val="Strong"/>
          <w:b w:val="0"/>
          <w:sz w:val="22"/>
          <w:szCs w:val="22"/>
          <w:lang w:val="en-US"/>
        </w:rPr>
        <w:t>)</w:t>
      </w:r>
      <w:r>
        <w:rPr>
          <w:rStyle w:val="Strong"/>
          <w:b w:val="0"/>
          <w:sz w:val="22"/>
          <w:szCs w:val="22"/>
          <w:lang w:val="en-US"/>
        </w:rPr>
        <w:t>; its</w:t>
      </w:r>
      <w:r w:rsidRPr="009978E3">
        <w:rPr>
          <w:rStyle w:val="Strong"/>
          <w:b w:val="0"/>
          <w:sz w:val="22"/>
          <w:szCs w:val="22"/>
          <w:lang w:val="en-US"/>
        </w:rPr>
        <w:t xml:space="preserve"> chimneys are very small, growing directly on fresh pillow lava. Its relatively young age provides an excellent opportunity to monitor the early stages of hydrothermal vent activity and thus yield new </w:t>
      </w:r>
      <w:r w:rsidRPr="002E4B39">
        <w:rPr>
          <w:rFonts w:eastAsia="MS Mincho"/>
        </w:rPr>
        <w:t>knowledge</w:t>
      </w:r>
      <w:r w:rsidRPr="009978E3">
        <w:rPr>
          <w:rStyle w:val="Strong"/>
          <w:b w:val="0"/>
          <w:sz w:val="22"/>
          <w:szCs w:val="22"/>
          <w:lang w:val="en-US"/>
        </w:rPr>
        <w:t xml:space="preserve"> on the development of vents and their associated animal communities (Marcon </w:t>
      </w:r>
      <w:r w:rsidRPr="0006066A">
        <w:rPr>
          <w:rStyle w:val="Strong"/>
          <w:b w:val="0"/>
          <w:i/>
          <w:sz w:val="22"/>
          <w:szCs w:val="22"/>
          <w:lang w:val="en-US"/>
        </w:rPr>
        <w:t>et al</w:t>
      </w:r>
      <w:r w:rsidRPr="009978E3">
        <w:rPr>
          <w:rStyle w:val="Strong"/>
          <w:b w:val="0"/>
          <w:sz w:val="22"/>
          <w:szCs w:val="22"/>
          <w:lang w:val="en-US"/>
        </w:rPr>
        <w:t xml:space="preserve">., 2013; Sarrazin </w:t>
      </w:r>
      <w:r w:rsidRPr="0006066A">
        <w:rPr>
          <w:rStyle w:val="Strong"/>
          <w:b w:val="0"/>
          <w:i/>
          <w:sz w:val="22"/>
          <w:szCs w:val="22"/>
          <w:lang w:val="en-US"/>
        </w:rPr>
        <w:t>et al</w:t>
      </w:r>
      <w:r w:rsidRPr="009978E3">
        <w:rPr>
          <w:rStyle w:val="Strong"/>
          <w:b w:val="0"/>
          <w:sz w:val="22"/>
          <w:szCs w:val="22"/>
          <w:lang w:val="en-US"/>
        </w:rPr>
        <w:t xml:space="preserve">., 2014; Konn </w:t>
      </w:r>
      <w:r w:rsidRPr="0006066A">
        <w:rPr>
          <w:rStyle w:val="Strong"/>
          <w:b w:val="0"/>
          <w:i/>
          <w:sz w:val="22"/>
          <w:szCs w:val="22"/>
          <w:lang w:val="en-US"/>
        </w:rPr>
        <w:t>et al</w:t>
      </w:r>
      <w:r w:rsidRPr="009978E3">
        <w:rPr>
          <w:rStyle w:val="Strong"/>
          <w:b w:val="0"/>
          <w:sz w:val="22"/>
          <w:szCs w:val="22"/>
          <w:lang w:val="en-US"/>
        </w:rPr>
        <w:t>., 2015). The vent fluids are the least toxic of the sites along the MAR and make it possible for non-endemic deep</w:t>
      </w:r>
      <w:r>
        <w:rPr>
          <w:rStyle w:val="Strong"/>
          <w:b w:val="0"/>
          <w:sz w:val="22"/>
          <w:szCs w:val="22"/>
          <w:lang w:val="en-US"/>
        </w:rPr>
        <w:t>-</w:t>
      </w:r>
      <w:r w:rsidRPr="009978E3">
        <w:rPr>
          <w:rStyle w:val="Strong"/>
          <w:b w:val="0"/>
          <w:sz w:val="22"/>
          <w:szCs w:val="22"/>
          <w:lang w:val="en-US"/>
        </w:rPr>
        <w:t xml:space="preserve">sea species to live here (Desbruyères </w:t>
      </w:r>
      <w:r w:rsidRPr="0006066A">
        <w:rPr>
          <w:rStyle w:val="Strong"/>
          <w:b w:val="0"/>
          <w:i/>
          <w:sz w:val="22"/>
          <w:szCs w:val="22"/>
          <w:lang w:val="en-US"/>
        </w:rPr>
        <w:t>et al</w:t>
      </w:r>
      <w:r w:rsidRPr="009978E3">
        <w:rPr>
          <w:rStyle w:val="Strong"/>
          <w:b w:val="0"/>
          <w:sz w:val="22"/>
          <w:szCs w:val="22"/>
          <w:lang w:val="en-US"/>
        </w:rPr>
        <w:t xml:space="preserve">., 1997; Tunnicliffe </w:t>
      </w:r>
      <w:r w:rsidRPr="0006066A">
        <w:rPr>
          <w:rStyle w:val="Strong"/>
          <w:b w:val="0"/>
          <w:i/>
          <w:sz w:val="22"/>
          <w:szCs w:val="22"/>
          <w:lang w:val="en-US"/>
        </w:rPr>
        <w:t>et al</w:t>
      </w:r>
      <w:r w:rsidRPr="009978E3">
        <w:rPr>
          <w:rStyle w:val="Strong"/>
          <w:b w:val="0"/>
          <w:sz w:val="22"/>
          <w:szCs w:val="22"/>
          <w:lang w:val="en-US"/>
        </w:rPr>
        <w:t xml:space="preserve">., 1998; Colaço </w:t>
      </w:r>
      <w:r w:rsidRPr="0006066A">
        <w:rPr>
          <w:rStyle w:val="Strong"/>
          <w:b w:val="0"/>
          <w:i/>
          <w:sz w:val="22"/>
          <w:szCs w:val="22"/>
          <w:lang w:val="en-US"/>
        </w:rPr>
        <w:t>et al</w:t>
      </w:r>
      <w:r w:rsidRPr="009978E3">
        <w:rPr>
          <w:rStyle w:val="Strong"/>
          <w:b w:val="0"/>
          <w:sz w:val="22"/>
          <w:szCs w:val="22"/>
          <w:lang w:val="en-US"/>
        </w:rPr>
        <w:t>., 1998; 2002).</w:t>
      </w:r>
    </w:p>
    <w:p w14:paraId="7D3633DC" w14:textId="77777777" w:rsidR="006B3F46" w:rsidRPr="009978E3" w:rsidRDefault="006B3F46" w:rsidP="00907941">
      <w:pPr>
        <w:tabs>
          <w:tab w:val="left" w:pos="4820"/>
        </w:tabs>
        <w:jc w:val="both"/>
        <w:rPr>
          <w:rStyle w:val="Strong"/>
          <w:sz w:val="22"/>
          <w:szCs w:val="22"/>
          <w:lang w:val="en-US"/>
        </w:rPr>
      </w:pPr>
      <w:r w:rsidRPr="009978E3">
        <w:rPr>
          <w:rStyle w:val="Strong"/>
          <w:sz w:val="22"/>
          <w:szCs w:val="22"/>
          <w:lang w:val="en-US"/>
        </w:rPr>
        <w:t>4. Saldanha</w:t>
      </w:r>
    </w:p>
    <w:p w14:paraId="2370886B"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Saldanha hydrothermal field was discovered in 1998 during the S</w:t>
      </w:r>
      <w:r>
        <w:rPr>
          <w:rFonts w:eastAsia="MS Mincho"/>
          <w:sz w:val="22"/>
          <w:szCs w:val="22"/>
          <w:lang w:val="en-US"/>
        </w:rPr>
        <w:t>aldanha</w:t>
      </w:r>
      <w:r w:rsidRPr="009978E3">
        <w:rPr>
          <w:rFonts w:eastAsia="MS Mincho"/>
          <w:sz w:val="22"/>
          <w:szCs w:val="22"/>
          <w:lang w:val="en-US"/>
        </w:rPr>
        <w:t xml:space="preserve"> Cruise (Barriga </w:t>
      </w:r>
      <w:r w:rsidRPr="0006066A">
        <w:rPr>
          <w:rFonts w:eastAsia="MS Mincho"/>
          <w:i/>
          <w:sz w:val="22"/>
          <w:szCs w:val="22"/>
          <w:lang w:val="en-US"/>
        </w:rPr>
        <w:t>et al</w:t>
      </w:r>
      <w:r w:rsidRPr="009978E3">
        <w:rPr>
          <w:rFonts w:eastAsia="MS Mincho"/>
          <w:sz w:val="22"/>
          <w:szCs w:val="22"/>
          <w:lang w:val="en-US"/>
        </w:rPr>
        <w:t xml:space="preserve">., 1998). It is located between the FAMOUS and AMAR second-order segments and consists of a faulted peridotite massif detached from its segment flanks, almost parallel to the ridge segment. It is composed mainly of ultramafic and gabbroic rocks and a strong methane anomaly within the overlying water column (Charlou </w:t>
      </w:r>
      <w:r w:rsidRPr="0006066A">
        <w:rPr>
          <w:rFonts w:eastAsia="MS Mincho"/>
          <w:i/>
          <w:sz w:val="22"/>
          <w:szCs w:val="22"/>
          <w:lang w:val="en-US"/>
        </w:rPr>
        <w:t>et al</w:t>
      </w:r>
      <w:r w:rsidRPr="009978E3">
        <w:rPr>
          <w:rFonts w:eastAsia="MS Mincho"/>
          <w:sz w:val="22"/>
          <w:szCs w:val="22"/>
          <w:lang w:val="en-US"/>
        </w:rPr>
        <w:t xml:space="preserve">. 1997; Dias &amp; Barriga, 2006). </w:t>
      </w:r>
    </w:p>
    <w:p w14:paraId="1A012750"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Although no vent chimneys are present, hydrothermal activity is expressed as discharge of clear fluid from several small orifices through sediment over an area of at least 50 m</w:t>
      </w:r>
      <w:r w:rsidRPr="009978E3">
        <w:rPr>
          <w:rFonts w:eastAsia="MS Mincho"/>
          <w:sz w:val="22"/>
          <w:szCs w:val="22"/>
          <w:vertAlign w:val="superscript"/>
          <w:lang w:val="en-US"/>
        </w:rPr>
        <w:t>2</w:t>
      </w:r>
      <w:r w:rsidRPr="009978E3">
        <w:rPr>
          <w:rFonts w:eastAsia="MS Mincho"/>
          <w:sz w:val="22"/>
          <w:szCs w:val="22"/>
          <w:lang w:val="en-US"/>
        </w:rPr>
        <w:t xml:space="preserve">, and micro chimneys with silica and sulfides have been observed (Dias, 2001; Dias </w:t>
      </w:r>
      <w:r w:rsidRPr="0006066A">
        <w:rPr>
          <w:rFonts w:eastAsia="MS Mincho"/>
          <w:i/>
          <w:sz w:val="22"/>
          <w:szCs w:val="22"/>
          <w:lang w:val="en-US"/>
        </w:rPr>
        <w:t>et al</w:t>
      </w:r>
      <w:r w:rsidRPr="009978E3">
        <w:rPr>
          <w:rFonts w:eastAsia="MS Mincho"/>
          <w:sz w:val="22"/>
          <w:szCs w:val="22"/>
          <w:lang w:val="en-US"/>
        </w:rPr>
        <w:t xml:space="preserve">., 2002). </w:t>
      </w:r>
    </w:p>
    <w:p w14:paraId="7F8699C7"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discovery of this diffuse venting confirmed the presence of hydrothermal activity related to serpentinization processes, which had been inferred from the detection of geochemical (intense CH</w:t>
      </w:r>
      <w:r w:rsidRPr="009978E3">
        <w:rPr>
          <w:rFonts w:eastAsia="MS Mincho"/>
          <w:sz w:val="22"/>
          <w:szCs w:val="22"/>
          <w:vertAlign w:val="subscript"/>
          <w:lang w:val="en-US"/>
        </w:rPr>
        <w:t>4</w:t>
      </w:r>
      <w:r w:rsidRPr="009978E3">
        <w:rPr>
          <w:rFonts w:eastAsia="MS Mincho"/>
          <w:sz w:val="22"/>
          <w:szCs w:val="22"/>
          <w:lang w:val="en-US"/>
        </w:rPr>
        <w:t xml:space="preserve">) anomalies in the water column (Charlou </w:t>
      </w:r>
      <w:r w:rsidRPr="0006066A">
        <w:rPr>
          <w:rFonts w:eastAsia="MS Mincho"/>
          <w:i/>
          <w:sz w:val="22"/>
          <w:szCs w:val="22"/>
          <w:lang w:val="en-US"/>
        </w:rPr>
        <w:t>et al</w:t>
      </w:r>
      <w:r w:rsidRPr="009978E3">
        <w:rPr>
          <w:rFonts w:eastAsia="MS Mincho"/>
          <w:sz w:val="22"/>
          <w:szCs w:val="22"/>
          <w:lang w:val="en-US"/>
        </w:rPr>
        <w:t xml:space="preserve">., 1997; Bougault </w:t>
      </w:r>
      <w:r w:rsidRPr="0006066A">
        <w:rPr>
          <w:rFonts w:eastAsia="MS Mincho"/>
          <w:i/>
          <w:sz w:val="22"/>
          <w:szCs w:val="22"/>
          <w:lang w:val="en-US"/>
        </w:rPr>
        <w:t>et al</w:t>
      </w:r>
      <w:r w:rsidRPr="009978E3">
        <w:rPr>
          <w:rFonts w:eastAsia="MS Mincho"/>
          <w:sz w:val="22"/>
          <w:szCs w:val="22"/>
          <w:lang w:val="en-US"/>
        </w:rPr>
        <w:t xml:space="preserve">., 1998). During the serpentinization of the ultramafic rock, overlying rocks were pushed upward, generating the observed mélange of talc-rich rocks (steatite) and spilite (Costa, 2001; Costa </w:t>
      </w:r>
      <w:r w:rsidRPr="0006066A">
        <w:rPr>
          <w:rFonts w:eastAsia="MS Mincho"/>
          <w:i/>
          <w:sz w:val="22"/>
          <w:szCs w:val="22"/>
          <w:lang w:val="en-US"/>
        </w:rPr>
        <w:t>et al</w:t>
      </w:r>
      <w:r w:rsidRPr="009978E3">
        <w:rPr>
          <w:rFonts w:eastAsia="MS Mincho"/>
          <w:sz w:val="22"/>
          <w:szCs w:val="22"/>
          <w:lang w:val="en-US"/>
        </w:rPr>
        <w:t xml:space="preserve">., 2002). Diving operations (Fouquet </w:t>
      </w:r>
      <w:r w:rsidRPr="0006066A">
        <w:rPr>
          <w:rFonts w:eastAsia="MS Mincho"/>
          <w:i/>
          <w:sz w:val="22"/>
          <w:szCs w:val="22"/>
          <w:lang w:val="en-US"/>
        </w:rPr>
        <w:t>et al</w:t>
      </w:r>
      <w:r w:rsidRPr="009978E3">
        <w:rPr>
          <w:rFonts w:eastAsia="MS Mincho"/>
          <w:sz w:val="22"/>
          <w:szCs w:val="22"/>
          <w:lang w:val="en-US"/>
        </w:rPr>
        <w:t xml:space="preserve">., 1997, 2000; Barriga </w:t>
      </w:r>
      <w:r w:rsidRPr="0006066A">
        <w:rPr>
          <w:rFonts w:eastAsia="MS Mincho"/>
          <w:i/>
          <w:sz w:val="22"/>
          <w:szCs w:val="22"/>
          <w:lang w:val="en-US"/>
        </w:rPr>
        <w:t>et al</w:t>
      </w:r>
      <w:r w:rsidRPr="009978E3">
        <w:rPr>
          <w:rFonts w:eastAsia="MS Mincho"/>
          <w:sz w:val="22"/>
          <w:szCs w:val="22"/>
          <w:lang w:val="en-US"/>
        </w:rPr>
        <w:t xml:space="preserve">., 1998) revealed intensely altered and locally silicified ultramafic and basaltic rocks consistent with low magma budgets, relatively thin crust and irregular faulting patterns (Gràcia </w:t>
      </w:r>
      <w:r w:rsidRPr="0006066A">
        <w:rPr>
          <w:rFonts w:eastAsia="MS Mincho"/>
          <w:i/>
          <w:sz w:val="22"/>
          <w:szCs w:val="22"/>
          <w:lang w:val="en-US"/>
        </w:rPr>
        <w:t>et al</w:t>
      </w:r>
      <w:r w:rsidRPr="009978E3">
        <w:rPr>
          <w:rFonts w:eastAsia="MS Mincho"/>
          <w:sz w:val="22"/>
          <w:szCs w:val="22"/>
          <w:lang w:val="en-US"/>
        </w:rPr>
        <w:t xml:space="preserve">. 2000) at the top of the massif. Discrete low-temperature diffuse discharge (&lt;6°C) from the sediment was observed near the top of the structure (Biscoito </w:t>
      </w:r>
      <w:r w:rsidRPr="0006066A">
        <w:rPr>
          <w:rFonts w:eastAsia="MS Mincho"/>
          <w:i/>
          <w:sz w:val="22"/>
          <w:szCs w:val="22"/>
          <w:lang w:val="en-US"/>
        </w:rPr>
        <w:t>et al</w:t>
      </w:r>
      <w:r w:rsidRPr="009978E3">
        <w:rPr>
          <w:rFonts w:eastAsia="MS Mincho"/>
          <w:sz w:val="22"/>
          <w:szCs w:val="22"/>
          <w:lang w:val="en-US"/>
        </w:rPr>
        <w:t xml:space="preserve">., 2006). </w:t>
      </w:r>
    </w:p>
    <w:p w14:paraId="7B2CC880"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Studies to date have discovered that the site is hosted in a mélange of folded lithified sediment, relatively fresh to deeply altered basalt, variably deformed ultramafic rocks and some gabbroic rock, in large part covered by sedimentary ooze. The ensemble is interpreted as resulting from active serpentinite protrusion. Sulphide precipitation is taking place within the top of the rock pile, under a blanket of sediment (Dias, 2001; Barriga 2003).</w:t>
      </w:r>
    </w:p>
    <w:p w14:paraId="3B831D72"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5. Menez Hom</w:t>
      </w:r>
    </w:p>
    <w:p w14:paraId="300D67F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Like the Saldanha, the Menez Hom ultramafic dome is situated at an inside corner position relative to the non-transform offset at the south of the Lucky Strike segment. Diving operations have revealed the general outcrop of ultramafic rocks at the top of the dome. No active vents were seen. However, one small carbonate chimney was sampled and anomalous rapid lithification of the sediment covers was observed at the northern side of the dome, near the limit between the ultramafic rocks and the basalt coverage. This may indicate a preferential discharge of diffuse low-temperature CH</w:t>
      </w:r>
      <w:r w:rsidRPr="009978E3">
        <w:rPr>
          <w:rFonts w:eastAsia="MS Mincho"/>
          <w:sz w:val="22"/>
          <w:szCs w:val="22"/>
          <w:vertAlign w:val="subscript"/>
          <w:lang w:val="en-US"/>
        </w:rPr>
        <w:t>4</w:t>
      </w:r>
      <w:r w:rsidRPr="009978E3">
        <w:rPr>
          <w:rFonts w:eastAsia="MS Mincho"/>
          <w:sz w:val="22"/>
          <w:szCs w:val="22"/>
          <w:lang w:val="en-US"/>
        </w:rPr>
        <w:t xml:space="preserve">-rich fluids at the contact between the ultramafic and the basalt cover (Fouquet </w:t>
      </w:r>
      <w:r w:rsidRPr="0006066A">
        <w:rPr>
          <w:rFonts w:eastAsia="MS Mincho"/>
          <w:i/>
          <w:sz w:val="22"/>
          <w:szCs w:val="22"/>
          <w:lang w:val="en-US"/>
        </w:rPr>
        <w:t>et al</w:t>
      </w:r>
      <w:r w:rsidRPr="009978E3">
        <w:rPr>
          <w:rFonts w:eastAsia="MS Mincho"/>
          <w:sz w:val="22"/>
          <w:szCs w:val="22"/>
          <w:lang w:val="en-US"/>
        </w:rPr>
        <w:t>., 2010).</w:t>
      </w:r>
    </w:p>
    <w:p w14:paraId="080A5B1A"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There are two attributes in common to the deep-sea hydrothermal systems</w:t>
      </w:r>
      <w:r>
        <w:rPr>
          <w:sz w:val="22"/>
          <w:szCs w:val="22"/>
          <w:lang w:val="en-US" w:eastAsia="pt-PT"/>
        </w:rPr>
        <w:t xml:space="preserve"> in the area described</w:t>
      </w:r>
      <w:r w:rsidRPr="009978E3">
        <w:rPr>
          <w:sz w:val="22"/>
          <w:szCs w:val="22"/>
          <w:lang w:val="en-US" w:eastAsia="pt-PT"/>
        </w:rPr>
        <w:t xml:space="preserve">: their </w:t>
      </w:r>
      <w:r w:rsidRPr="002E4B39">
        <w:rPr>
          <w:rFonts w:eastAsia="MS Mincho"/>
          <w:sz w:val="22"/>
          <w:szCs w:val="22"/>
          <w:lang w:val="en-US"/>
        </w:rPr>
        <w:t>insularity</w:t>
      </w:r>
      <w:r w:rsidRPr="009978E3">
        <w:rPr>
          <w:sz w:val="22"/>
          <w:szCs w:val="22"/>
          <w:lang w:val="en-US" w:eastAsia="pt-PT"/>
        </w:rPr>
        <w:t xml:space="preserve"> and their gradient regimes of fluid flow and chemistry suggested </w:t>
      </w:r>
      <w:r w:rsidRPr="009978E3">
        <w:rPr>
          <w:i/>
          <w:iCs/>
          <w:sz w:val="22"/>
          <w:szCs w:val="22"/>
          <w:lang w:val="en-US"/>
        </w:rPr>
        <w:t>a priori</w:t>
      </w:r>
      <w:r w:rsidRPr="009978E3">
        <w:rPr>
          <w:sz w:val="22"/>
          <w:szCs w:val="22"/>
          <w:lang w:val="en-US" w:eastAsia="pt-PT"/>
        </w:rPr>
        <w:t xml:space="preserve"> that measures of community structure and similarity at vents would be especially sensitive to the degree of proximity between sites being compared, to the age of the sites and to within-site heterogeneity (Mullineaux &amp; France, 1995, Marsh </w:t>
      </w:r>
      <w:r w:rsidRPr="0006066A">
        <w:rPr>
          <w:i/>
          <w:sz w:val="22"/>
          <w:szCs w:val="22"/>
          <w:lang w:val="en-US" w:eastAsia="pt-PT"/>
        </w:rPr>
        <w:t>et al</w:t>
      </w:r>
      <w:r w:rsidRPr="009978E3">
        <w:rPr>
          <w:sz w:val="22"/>
          <w:szCs w:val="22"/>
          <w:lang w:val="en-US" w:eastAsia="pt-PT"/>
        </w:rPr>
        <w:t xml:space="preserve">. 2001, Van Dover </w:t>
      </w:r>
      <w:r w:rsidRPr="0006066A">
        <w:rPr>
          <w:i/>
          <w:sz w:val="22"/>
          <w:szCs w:val="22"/>
          <w:lang w:val="en-US" w:eastAsia="pt-PT"/>
        </w:rPr>
        <w:t>et al</w:t>
      </w:r>
      <w:r w:rsidRPr="009978E3">
        <w:rPr>
          <w:sz w:val="22"/>
          <w:szCs w:val="22"/>
          <w:lang w:val="en-US" w:eastAsia="pt-PT"/>
        </w:rPr>
        <w:t>. 2001).</w:t>
      </w:r>
      <w:r w:rsidRPr="009978E3">
        <w:rPr>
          <w:rFonts w:eastAsia="MS Mincho"/>
          <w:sz w:val="22"/>
          <w:szCs w:val="22"/>
          <w:lang w:val="en-US"/>
        </w:rPr>
        <w:t xml:space="preserve"> </w:t>
      </w:r>
      <w:r w:rsidRPr="009978E3">
        <w:rPr>
          <w:sz w:val="22"/>
          <w:szCs w:val="22"/>
          <w:lang w:val="en-US" w:eastAsia="pt-PT"/>
        </w:rPr>
        <w:t>These different vent characteristics “create” distinct habitats dominated by different chemosynthetic bacterial mats, and endemic and non-endemic species of tubeworms, mussels, gastropods, clams, shrimp and crabs. In turn these habitats support further associated invertebrate and vertebrate species.</w:t>
      </w:r>
    </w:p>
    <w:p w14:paraId="41401899"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 xml:space="preserve">The </w:t>
      </w:r>
      <w:r w:rsidRPr="002E4B39">
        <w:rPr>
          <w:rFonts w:eastAsia="MS Mincho"/>
          <w:sz w:val="22"/>
          <w:szCs w:val="22"/>
          <w:lang w:val="en-US"/>
        </w:rPr>
        <w:t>majority</w:t>
      </w:r>
      <w:r w:rsidRPr="009978E3">
        <w:rPr>
          <w:sz w:val="22"/>
          <w:szCs w:val="22"/>
          <w:lang w:val="en-US" w:eastAsia="pt-PT"/>
        </w:rPr>
        <w:t xml:space="preserve"> of organisms found in this area developed different strategies </w:t>
      </w:r>
      <w:r>
        <w:rPr>
          <w:sz w:val="22"/>
          <w:szCs w:val="22"/>
          <w:lang w:val="en-US" w:eastAsia="pt-PT"/>
        </w:rPr>
        <w:t xml:space="preserve">to </w:t>
      </w:r>
      <w:r w:rsidRPr="009978E3">
        <w:rPr>
          <w:sz w:val="22"/>
          <w:szCs w:val="22"/>
          <w:lang w:val="en-US" w:eastAsia="pt-PT"/>
        </w:rPr>
        <w:t xml:space="preserve">adapt to </w:t>
      </w:r>
      <w:r>
        <w:rPr>
          <w:sz w:val="22"/>
          <w:szCs w:val="22"/>
          <w:lang w:val="en-US" w:eastAsia="pt-PT"/>
        </w:rPr>
        <w:t>its</w:t>
      </w:r>
      <w:r w:rsidRPr="009978E3">
        <w:rPr>
          <w:sz w:val="22"/>
          <w:szCs w:val="22"/>
          <w:lang w:val="en-US" w:eastAsia="pt-PT"/>
        </w:rPr>
        <w:t xml:space="preserve"> extreme environments, </w:t>
      </w:r>
      <w:r>
        <w:rPr>
          <w:sz w:val="22"/>
          <w:szCs w:val="22"/>
          <w:lang w:val="en-US" w:eastAsia="pt-PT"/>
        </w:rPr>
        <w:t>e.g.,</w:t>
      </w:r>
      <w:r w:rsidRPr="009978E3">
        <w:rPr>
          <w:sz w:val="22"/>
          <w:szCs w:val="22"/>
          <w:lang w:val="en-US" w:eastAsia="pt-PT"/>
        </w:rPr>
        <w:t xml:space="preserve"> biological stabilization of metal (</w:t>
      </w:r>
      <w:r>
        <w:rPr>
          <w:sz w:val="22"/>
          <w:szCs w:val="22"/>
          <w:lang w:val="en-US" w:eastAsia="pt-PT"/>
        </w:rPr>
        <w:t>e.g.</w:t>
      </w:r>
      <w:r w:rsidRPr="009978E3">
        <w:rPr>
          <w:sz w:val="22"/>
          <w:szCs w:val="22"/>
          <w:lang w:val="en-US" w:eastAsia="pt-PT"/>
        </w:rPr>
        <w:t xml:space="preserve">, iron, copper) from hydrothermal vents under dissolved or colloidal organic (Wu </w:t>
      </w:r>
      <w:r w:rsidRPr="0006066A">
        <w:rPr>
          <w:i/>
          <w:sz w:val="22"/>
          <w:szCs w:val="22"/>
          <w:lang w:val="en-US" w:eastAsia="pt-PT"/>
        </w:rPr>
        <w:t>et al</w:t>
      </w:r>
      <w:r w:rsidRPr="009978E3">
        <w:rPr>
          <w:sz w:val="22"/>
          <w:szCs w:val="22"/>
          <w:lang w:val="en-US" w:eastAsia="pt-PT"/>
        </w:rPr>
        <w:t xml:space="preserve">., 2011; Hawkes </w:t>
      </w:r>
      <w:r w:rsidRPr="0006066A">
        <w:rPr>
          <w:i/>
          <w:sz w:val="22"/>
          <w:szCs w:val="22"/>
          <w:lang w:val="en-US" w:eastAsia="pt-PT"/>
        </w:rPr>
        <w:t>et al</w:t>
      </w:r>
      <w:r w:rsidRPr="009978E3">
        <w:rPr>
          <w:sz w:val="22"/>
          <w:szCs w:val="22"/>
          <w:lang w:val="en-US" w:eastAsia="pt-PT"/>
        </w:rPr>
        <w:t xml:space="preserve">., 2013). In the absence of photosynthesis, the food chain is based on primary production of energy and organic molecules by chemolithoautotrophic bacteria. Hydrothermal vent plumes sustain rich microbial communities with potential connections to zooplankton communities and important deep ocean biogeochemical fluxes (Dick </w:t>
      </w:r>
      <w:r w:rsidRPr="0006066A">
        <w:rPr>
          <w:i/>
          <w:sz w:val="22"/>
          <w:szCs w:val="22"/>
          <w:lang w:val="en-US" w:eastAsia="pt-PT"/>
        </w:rPr>
        <w:t>et al</w:t>
      </w:r>
      <w:r w:rsidRPr="009978E3">
        <w:rPr>
          <w:sz w:val="22"/>
          <w:szCs w:val="22"/>
          <w:lang w:val="en-US" w:eastAsia="pt-PT"/>
        </w:rPr>
        <w:t xml:space="preserve">., 2013). These microbial communities extract chemical energy starting from the oxidation of reduced mineral compounds (Minic </w:t>
      </w:r>
      <w:r w:rsidRPr="0006066A">
        <w:rPr>
          <w:i/>
          <w:sz w:val="22"/>
          <w:szCs w:val="22"/>
          <w:lang w:val="en-US" w:eastAsia="pt-PT"/>
        </w:rPr>
        <w:t>et al</w:t>
      </w:r>
      <w:r w:rsidRPr="009978E3">
        <w:rPr>
          <w:sz w:val="22"/>
          <w:szCs w:val="22"/>
          <w:lang w:val="en-US" w:eastAsia="pt-PT"/>
        </w:rPr>
        <w:t xml:space="preserve">., 2006; Boetius &amp; Wenzhöfer, 2013). Studies in community hydrothermal evolution, initial colonization, growth, development and demise, show that colonization at vents is rapid (Lutz </w:t>
      </w:r>
      <w:r w:rsidRPr="0006066A">
        <w:rPr>
          <w:i/>
          <w:sz w:val="22"/>
          <w:szCs w:val="22"/>
          <w:lang w:val="en-US" w:eastAsia="pt-PT"/>
        </w:rPr>
        <w:t>et al</w:t>
      </w:r>
      <w:r w:rsidRPr="009978E3">
        <w:rPr>
          <w:sz w:val="22"/>
          <w:szCs w:val="22"/>
          <w:lang w:val="en-US" w:eastAsia="pt-PT"/>
        </w:rPr>
        <w:t xml:space="preserve">. 1994, Tunnicliffe </w:t>
      </w:r>
      <w:r w:rsidRPr="0006066A">
        <w:rPr>
          <w:i/>
          <w:sz w:val="22"/>
          <w:szCs w:val="22"/>
          <w:lang w:val="en-US" w:eastAsia="pt-PT"/>
        </w:rPr>
        <w:t>et al</w:t>
      </w:r>
      <w:r w:rsidRPr="009978E3">
        <w:rPr>
          <w:sz w:val="22"/>
          <w:szCs w:val="22"/>
          <w:lang w:val="en-US" w:eastAsia="pt-PT"/>
        </w:rPr>
        <w:t xml:space="preserve">. 1997, Shank </w:t>
      </w:r>
      <w:r w:rsidRPr="0006066A">
        <w:rPr>
          <w:i/>
          <w:sz w:val="22"/>
          <w:szCs w:val="22"/>
          <w:lang w:val="en-US" w:eastAsia="pt-PT"/>
        </w:rPr>
        <w:t>et al</w:t>
      </w:r>
      <w:r w:rsidRPr="009978E3">
        <w:rPr>
          <w:sz w:val="22"/>
          <w:szCs w:val="22"/>
          <w:lang w:val="en-US" w:eastAsia="pt-PT"/>
        </w:rPr>
        <w:t>. 1998).</w:t>
      </w:r>
    </w:p>
    <w:p w14:paraId="38BA460D"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 xml:space="preserve">The </w:t>
      </w:r>
      <w:r w:rsidRPr="002E4B39">
        <w:rPr>
          <w:rFonts w:eastAsia="MS Mincho"/>
          <w:sz w:val="22"/>
          <w:szCs w:val="22"/>
          <w:lang w:val="en-US"/>
        </w:rPr>
        <w:t>area</w:t>
      </w:r>
      <w:r w:rsidRPr="009978E3">
        <w:rPr>
          <w:sz w:val="22"/>
          <w:szCs w:val="22"/>
          <w:lang w:val="en-US" w:eastAsia="pt-PT"/>
        </w:rPr>
        <w:t xml:space="preserve"> has an un</w:t>
      </w:r>
      <w:r>
        <w:rPr>
          <w:sz w:val="22"/>
          <w:szCs w:val="22"/>
          <w:lang w:val="en-US" w:eastAsia="pt-PT"/>
        </w:rPr>
        <w:t>even</w:t>
      </w:r>
      <w:r w:rsidRPr="009978E3">
        <w:rPr>
          <w:sz w:val="22"/>
          <w:szCs w:val="22"/>
          <w:lang w:val="en-US" w:eastAsia="pt-PT"/>
        </w:rPr>
        <w:t xml:space="preserve"> number of studies for </w:t>
      </w:r>
      <w:r>
        <w:rPr>
          <w:sz w:val="22"/>
          <w:szCs w:val="22"/>
          <w:lang w:val="en-US" w:eastAsia="pt-PT"/>
        </w:rPr>
        <w:t>its</w:t>
      </w:r>
      <w:r w:rsidRPr="009978E3">
        <w:rPr>
          <w:sz w:val="22"/>
          <w:szCs w:val="22"/>
          <w:lang w:val="en-US" w:eastAsia="pt-PT"/>
        </w:rPr>
        <w:t xml:space="preserve"> different structures</w:t>
      </w:r>
      <w:r>
        <w:rPr>
          <w:sz w:val="22"/>
          <w:szCs w:val="22"/>
          <w:lang w:val="en-US" w:eastAsia="pt-PT"/>
        </w:rPr>
        <w:t>.</w:t>
      </w:r>
      <w:r w:rsidRPr="009978E3">
        <w:rPr>
          <w:sz w:val="22"/>
          <w:szCs w:val="22"/>
          <w:lang w:val="en-US" w:eastAsia="pt-PT"/>
        </w:rPr>
        <w:t xml:space="preserve"> Nevertheless, there are many studies focused on the communities and species of these structures. To date a total of 342 species have been identified within this area (see </w:t>
      </w:r>
      <w:r>
        <w:rPr>
          <w:sz w:val="22"/>
          <w:szCs w:val="22"/>
          <w:lang w:val="en-US" w:eastAsia="pt-PT"/>
        </w:rPr>
        <w:t>“introduction”</w:t>
      </w:r>
      <w:r w:rsidRPr="009978E3">
        <w:rPr>
          <w:sz w:val="22"/>
          <w:szCs w:val="22"/>
          <w:lang w:val="en-US" w:eastAsia="pt-PT"/>
        </w:rPr>
        <w:t>).</w:t>
      </w:r>
    </w:p>
    <w:p w14:paraId="67F9632D"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655EB074"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Since</w:t>
      </w:r>
      <w:r w:rsidRPr="009978E3">
        <w:rPr>
          <w:rFonts w:eastAsia="MS Mincho"/>
          <w:sz w:val="22"/>
          <w:szCs w:val="22"/>
          <w:lang w:val="en-US"/>
        </w:rPr>
        <w:t xml:space="preserve"> the discovery of this area, most studies have been qualitative and often focus on specific taxonomic groups, such as amphipods </w:t>
      </w:r>
      <w:r w:rsidRPr="009978E3">
        <w:rPr>
          <w:sz w:val="22"/>
          <w:szCs w:val="22"/>
          <w:lang w:val="en-US"/>
        </w:rPr>
        <w:t>(</w:t>
      </w:r>
      <w:r w:rsidRPr="0021277B">
        <w:rPr>
          <w:iCs/>
          <w:sz w:val="22"/>
          <w:szCs w:val="22"/>
          <w:lang w:val="en-US"/>
        </w:rPr>
        <w:t>e.g</w:t>
      </w:r>
      <w:r w:rsidRPr="009978E3">
        <w:rPr>
          <w:i/>
          <w:sz w:val="22"/>
          <w:szCs w:val="22"/>
          <w:lang w:val="en-US"/>
        </w:rPr>
        <w:t xml:space="preserve"> </w:t>
      </w:r>
      <w:r w:rsidRPr="009978E3">
        <w:rPr>
          <w:sz w:val="22"/>
          <w:szCs w:val="22"/>
          <w:lang w:val="en-US"/>
        </w:rPr>
        <w:t>Myers and Cunha, 2004;</w:t>
      </w:r>
      <w:r w:rsidRPr="009978E3">
        <w:rPr>
          <w:i/>
          <w:sz w:val="22"/>
          <w:szCs w:val="22"/>
          <w:lang w:val="en-US"/>
        </w:rPr>
        <w:t xml:space="preserve"> </w:t>
      </w:r>
      <w:r w:rsidRPr="009978E3">
        <w:rPr>
          <w:sz w:val="22"/>
          <w:szCs w:val="22"/>
          <w:lang w:val="en-US"/>
        </w:rPr>
        <w:t xml:space="preserve">Bellan-Santini </w:t>
      </w:r>
      <w:r w:rsidRPr="0006066A">
        <w:rPr>
          <w:i/>
          <w:sz w:val="22"/>
          <w:szCs w:val="22"/>
          <w:lang w:val="en-US"/>
        </w:rPr>
        <w:t>et al</w:t>
      </w:r>
      <w:r w:rsidRPr="009978E3">
        <w:rPr>
          <w:sz w:val="22"/>
          <w:szCs w:val="22"/>
          <w:lang w:val="en-US"/>
        </w:rPr>
        <w:t>., 2007</w:t>
      </w:r>
      <w:r w:rsidRPr="009978E3">
        <w:rPr>
          <w:rFonts w:eastAsia="MS Mincho"/>
          <w:sz w:val="22"/>
          <w:szCs w:val="22"/>
          <w:lang w:val="en-US"/>
        </w:rPr>
        <w:t xml:space="preserve">), cirripeds </w:t>
      </w:r>
      <w:r w:rsidRPr="00EC5399">
        <w:rPr>
          <w:rFonts w:eastAsia="MS Mincho"/>
          <w:sz w:val="22"/>
          <w:szCs w:val="22"/>
          <w:lang w:val="en-US"/>
        </w:rPr>
        <w:t>(</w:t>
      </w:r>
      <w:r w:rsidRPr="0021277B">
        <w:rPr>
          <w:rFonts w:eastAsia="MS Mincho"/>
          <w:sz w:val="22"/>
          <w:szCs w:val="22"/>
          <w:lang w:val="en-US"/>
        </w:rPr>
        <w:t>e.g.,</w:t>
      </w:r>
      <w:r w:rsidRPr="009978E3">
        <w:rPr>
          <w:rFonts w:eastAsia="MS Mincho"/>
          <w:sz w:val="22"/>
          <w:szCs w:val="22"/>
          <w:lang w:val="en-US"/>
        </w:rPr>
        <w:t xml:space="preserve"> Young, 1998; 2001), Copepoda (</w:t>
      </w:r>
      <w:r>
        <w:rPr>
          <w:rFonts w:eastAsia="MS Mincho"/>
          <w:sz w:val="22"/>
          <w:szCs w:val="22"/>
          <w:lang w:val="en-US"/>
        </w:rPr>
        <w:t>e.g.,</w:t>
      </w:r>
      <w:r w:rsidRPr="009978E3">
        <w:rPr>
          <w:rFonts w:eastAsia="MS Mincho"/>
          <w:sz w:val="22"/>
          <w:szCs w:val="22"/>
          <w:lang w:val="en-US"/>
        </w:rPr>
        <w:t xml:space="preserve"> Ivaneko </w:t>
      </w:r>
      <w:r w:rsidRPr="009978E3">
        <w:rPr>
          <w:rFonts w:eastAsia="MS Mincho"/>
          <w:i/>
          <w:sz w:val="22"/>
          <w:szCs w:val="22"/>
          <w:lang w:val="en-US"/>
        </w:rPr>
        <w:t>and Defaye</w:t>
      </w:r>
      <w:r w:rsidRPr="009978E3">
        <w:rPr>
          <w:rFonts w:eastAsia="MS Mincho"/>
          <w:sz w:val="22"/>
          <w:szCs w:val="22"/>
          <w:lang w:val="en-US"/>
        </w:rPr>
        <w:t>., 2004; Komai &amp;</w:t>
      </w:r>
      <w:r w:rsidRPr="009978E3">
        <w:rPr>
          <w:sz w:val="22"/>
          <w:szCs w:val="22"/>
        </w:rPr>
        <w:t xml:space="preserve"> </w:t>
      </w:r>
      <w:r w:rsidRPr="009978E3">
        <w:rPr>
          <w:rFonts w:eastAsia="MS Mincho"/>
          <w:sz w:val="22"/>
          <w:szCs w:val="22"/>
          <w:lang w:val="en-US"/>
        </w:rPr>
        <w:t>Segonzac, 2005; Komai &amp; Chan, 2010), Cumeacea (</w:t>
      </w:r>
      <w:r w:rsidRPr="0021277B">
        <w:rPr>
          <w:rFonts w:eastAsia="MS Mincho"/>
          <w:sz w:val="22"/>
          <w:szCs w:val="22"/>
          <w:lang w:val="en-US"/>
        </w:rPr>
        <w:t>e.g.,</w:t>
      </w:r>
      <w:r w:rsidRPr="009978E3">
        <w:rPr>
          <w:rFonts w:eastAsia="MS Mincho"/>
          <w:sz w:val="22"/>
          <w:szCs w:val="22"/>
          <w:lang w:val="en-US"/>
        </w:rPr>
        <w:t xml:space="preserve"> LeBris </w:t>
      </w:r>
      <w:r w:rsidRPr="0006066A">
        <w:rPr>
          <w:rFonts w:eastAsia="MS Mincho"/>
          <w:i/>
          <w:sz w:val="22"/>
          <w:szCs w:val="22"/>
          <w:lang w:val="en-US"/>
        </w:rPr>
        <w:t>et al</w:t>
      </w:r>
      <w:r w:rsidRPr="009978E3">
        <w:rPr>
          <w:rFonts w:eastAsia="MS Mincho"/>
          <w:sz w:val="22"/>
          <w:szCs w:val="22"/>
          <w:lang w:val="en-US"/>
        </w:rPr>
        <w:t xml:space="preserve">., 2000; Corbera </w:t>
      </w:r>
      <w:r w:rsidRPr="0006066A">
        <w:rPr>
          <w:rFonts w:eastAsia="MS Mincho"/>
          <w:i/>
          <w:sz w:val="22"/>
          <w:szCs w:val="22"/>
          <w:lang w:val="en-US"/>
        </w:rPr>
        <w:t>et al</w:t>
      </w:r>
      <w:r w:rsidRPr="009978E3">
        <w:rPr>
          <w:rFonts w:eastAsia="MS Mincho"/>
          <w:sz w:val="22"/>
          <w:szCs w:val="22"/>
          <w:lang w:val="en-US"/>
        </w:rPr>
        <w:t xml:space="preserve">., 2008), echinoderms </w:t>
      </w:r>
      <w:r w:rsidRPr="00EC5399">
        <w:rPr>
          <w:rFonts w:eastAsia="MS Mincho"/>
          <w:sz w:val="22"/>
          <w:szCs w:val="22"/>
          <w:lang w:val="en-US"/>
        </w:rPr>
        <w:t>(</w:t>
      </w:r>
      <w:r w:rsidRPr="0021277B">
        <w:rPr>
          <w:rFonts w:eastAsia="MS Mincho"/>
          <w:sz w:val="22"/>
          <w:szCs w:val="22"/>
          <w:lang w:val="en-US"/>
        </w:rPr>
        <w:t>e.g.,</w:t>
      </w:r>
      <w:r w:rsidRPr="009978E3">
        <w:rPr>
          <w:rFonts w:eastAsia="MS Mincho"/>
          <w:i/>
          <w:sz w:val="22"/>
          <w:szCs w:val="22"/>
          <w:lang w:val="en-US"/>
        </w:rPr>
        <w:t xml:space="preserve"> </w:t>
      </w:r>
      <w:r w:rsidRPr="009978E3">
        <w:rPr>
          <w:rFonts w:eastAsia="MS Mincho"/>
          <w:sz w:val="22"/>
          <w:szCs w:val="22"/>
          <w:lang w:val="en-US"/>
        </w:rPr>
        <w:t xml:space="preserve">Stöhr &amp; Segonzac, 2005), elasmobranchii </w:t>
      </w:r>
      <w:r w:rsidRPr="009978E3">
        <w:rPr>
          <w:sz w:val="22"/>
          <w:szCs w:val="22"/>
          <w:lang w:val="en-US"/>
        </w:rPr>
        <w:t>(</w:t>
      </w:r>
      <w:r w:rsidRPr="0021277B">
        <w:rPr>
          <w:sz w:val="22"/>
          <w:szCs w:val="22"/>
          <w:lang w:val="en-US"/>
        </w:rPr>
        <w:t>e.g.,</w:t>
      </w:r>
      <w:r w:rsidRPr="009978E3">
        <w:rPr>
          <w:i/>
          <w:sz w:val="22"/>
          <w:szCs w:val="22"/>
          <w:lang w:val="en-US"/>
        </w:rPr>
        <w:t xml:space="preserve"> </w:t>
      </w:r>
      <w:r w:rsidRPr="009978E3">
        <w:rPr>
          <w:sz w:val="22"/>
          <w:szCs w:val="22"/>
          <w:lang w:val="en-US"/>
        </w:rPr>
        <w:t xml:space="preserve">Biscoito </w:t>
      </w:r>
      <w:r w:rsidRPr="0006066A">
        <w:rPr>
          <w:i/>
          <w:sz w:val="22"/>
          <w:szCs w:val="22"/>
          <w:lang w:val="en-US"/>
        </w:rPr>
        <w:t>et al</w:t>
      </w:r>
      <w:r w:rsidRPr="009978E3">
        <w:rPr>
          <w:sz w:val="22"/>
          <w:szCs w:val="22"/>
          <w:lang w:val="en-US"/>
        </w:rPr>
        <w:t>., 2002; Biscoito, 2006; Linz, 2006</w:t>
      </w:r>
      <w:r w:rsidRPr="009978E3">
        <w:rPr>
          <w:rFonts w:eastAsia="MS Mincho"/>
          <w:sz w:val="22"/>
          <w:szCs w:val="22"/>
          <w:lang w:val="en-US"/>
        </w:rPr>
        <w:t>), mussels (</w:t>
      </w:r>
      <w:r w:rsidRPr="0021277B">
        <w:rPr>
          <w:rFonts w:eastAsia="MS Mincho"/>
          <w:sz w:val="22"/>
          <w:szCs w:val="22"/>
          <w:lang w:val="en-US"/>
        </w:rPr>
        <w:t>e.g.,</w:t>
      </w:r>
      <w:r w:rsidRPr="009978E3">
        <w:rPr>
          <w:rFonts w:eastAsia="MS Mincho"/>
          <w:i/>
          <w:sz w:val="22"/>
          <w:szCs w:val="22"/>
          <w:lang w:val="en-US"/>
        </w:rPr>
        <w:t xml:space="preserve"> </w:t>
      </w:r>
      <w:r w:rsidRPr="009978E3">
        <w:rPr>
          <w:sz w:val="22"/>
          <w:szCs w:val="22"/>
          <w:lang w:val="en-US"/>
        </w:rPr>
        <w:t xml:space="preserve">Colaço </w:t>
      </w:r>
      <w:r w:rsidRPr="0006066A">
        <w:rPr>
          <w:i/>
          <w:sz w:val="22"/>
          <w:szCs w:val="22"/>
          <w:lang w:val="en-US"/>
        </w:rPr>
        <w:t>et al</w:t>
      </w:r>
      <w:r w:rsidRPr="009978E3">
        <w:rPr>
          <w:sz w:val="22"/>
          <w:szCs w:val="22"/>
          <w:lang w:val="en-US"/>
        </w:rPr>
        <w:t xml:space="preserve">., 2006a; Duperron </w:t>
      </w:r>
      <w:r w:rsidRPr="0006066A">
        <w:rPr>
          <w:i/>
          <w:sz w:val="22"/>
          <w:szCs w:val="22"/>
          <w:lang w:val="en-US"/>
        </w:rPr>
        <w:t>et al</w:t>
      </w:r>
      <w:r w:rsidRPr="009978E3">
        <w:rPr>
          <w:sz w:val="22"/>
          <w:szCs w:val="22"/>
          <w:lang w:val="en-US"/>
        </w:rPr>
        <w:t>., 2006; 2013)</w:t>
      </w:r>
      <w:r w:rsidRPr="009978E3">
        <w:rPr>
          <w:rFonts w:eastAsia="MS Mincho"/>
          <w:sz w:val="22"/>
          <w:szCs w:val="22"/>
          <w:lang w:val="en-US"/>
        </w:rPr>
        <w:t>, polychaeta (</w:t>
      </w:r>
      <w:r w:rsidRPr="0021277B">
        <w:rPr>
          <w:rFonts w:eastAsia="MS Mincho"/>
          <w:sz w:val="22"/>
          <w:szCs w:val="22"/>
          <w:lang w:val="en-US"/>
        </w:rPr>
        <w:t>e.g.,</w:t>
      </w:r>
      <w:r w:rsidRPr="009978E3">
        <w:rPr>
          <w:rFonts w:eastAsia="MS Mincho"/>
          <w:i/>
          <w:sz w:val="22"/>
          <w:szCs w:val="22"/>
          <w:lang w:val="en-US"/>
        </w:rPr>
        <w:t xml:space="preserve"> </w:t>
      </w:r>
      <w:r w:rsidRPr="009978E3">
        <w:rPr>
          <w:rFonts w:eastAsia="MS Mincho"/>
          <w:sz w:val="22"/>
          <w:szCs w:val="22"/>
          <w:lang w:val="en-US"/>
        </w:rPr>
        <w:t>Desbruyères &amp; Hourdez, 2000; Hourdez &amp; Desbruyères, 2003), shrimps (</w:t>
      </w:r>
      <w:r w:rsidRPr="0021277B">
        <w:rPr>
          <w:rFonts w:eastAsia="MS Mincho"/>
          <w:iCs/>
          <w:sz w:val="22"/>
          <w:szCs w:val="22"/>
          <w:lang w:val="en-US"/>
        </w:rPr>
        <w:t>e.g.,</w:t>
      </w:r>
      <w:r w:rsidRPr="009978E3">
        <w:rPr>
          <w:rFonts w:eastAsia="MS Mincho"/>
          <w:i/>
          <w:sz w:val="22"/>
          <w:szCs w:val="22"/>
          <w:lang w:val="en-US"/>
        </w:rPr>
        <w:t xml:space="preserve"> </w:t>
      </w:r>
      <w:r w:rsidRPr="009978E3">
        <w:rPr>
          <w:rFonts w:eastAsia="MS Mincho"/>
          <w:sz w:val="22"/>
          <w:szCs w:val="22"/>
          <w:lang w:val="en-US"/>
        </w:rPr>
        <w:t xml:space="preserve">Shank &amp; Martin, 2003; Nye </w:t>
      </w:r>
      <w:r w:rsidRPr="0006066A">
        <w:rPr>
          <w:rFonts w:eastAsia="MS Mincho"/>
          <w:i/>
          <w:sz w:val="22"/>
          <w:szCs w:val="22"/>
          <w:lang w:val="en-US"/>
        </w:rPr>
        <w:t>et al</w:t>
      </w:r>
      <w:r w:rsidRPr="009978E3">
        <w:rPr>
          <w:rFonts w:eastAsia="MS Mincho"/>
          <w:sz w:val="22"/>
          <w:szCs w:val="22"/>
          <w:lang w:val="en-US"/>
        </w:rPr>
        <w:t xml:space="preserve">., 2012) and tanaidacean (Larsen </w:t>
      </w:r>
      <w:r w:rsidRPr="0006066A">
        <w:rPr>
          <w:rFonts w:eastAsia="MS Mincho"/>
          <w:i/>
          <w:sz w:val="22"/>
          <w:szCs w:val="22"/>
          <w:lang w:val="en-US"/>
        </w:rPr>
        <w:t>et al</w:t>
      </w:r>
      <w:r w:rsidRPr="009978E3">
        <w:rPr>
          <w:rFonts w:eastAsia="MS Mincho"/>
          <w:sz w:val="22"/>
          <w:szCs w:val="22"/>
          <w:lang w:val="en-US"/>
        </w:rPr>
        <w:t xml:space="preserve">., 2006). </w:t>
      </w:r>
      <w:r>
        <w:rPr>
          <w:rFonts w:eastAsia="MS Mincho"/>
          <w:sz w:val="22"/>
          <w:szCs w:val="22"/>
          <w:lang w:val="en-US"/>
        </w:rPr>
        <w:t>Most</w:t>
      </w:r>
      <w:r w:rsidRPr="009978E3">
        <w:rPr>
          <w:rFonts w:eastAsia="MS Mincho"/>
          <w:sz w:val="22"/>
          <w:szCs w:val="22"/>
          <w:lang w:val="en-US"/>
        </w:rPr>
        <w:t xml:space="preserve"> research cruises that </w:t>
      </w:r>
      <w:r>
        <w:rPr>
          <w:rFonts w:eastAsia="MS Mincho"/>
          <w:sz w:val="22"/>
          <w:szCs w:val="22"/>
          <w:lang w:val="en-US"/>
        </w:rPr>
        <w:t xml:space="preserve">have </w:t>
      </w:r>
      <w:r w:rsidRPr="009978E3">
        <w:rPr>
          <w:rFonts w:eastAsia="MS Mincho"/>
          <w:sz w:val="22"/>
          <w:szCs w:val="22"/>
          <w:lang w:val="en-US"/>
        </w:rPr>
        <w:t>visited the area were focused in the deep-sea hydrothermal vent fields south of the Azores (</w:t>
      </w:r>
      <w:r>
        <w:rPr>
          <w:rFonts w:eastAsia="MS Mincho"/>
          <w:sz w:val="22"/>
          <w:szCs w:val="22"/>
          <w:lang w:val="en-US"/>
        </w:rPr>
        <w:t xml:space="preserve">i.e., </w:t>
      </w:r>
      <w:r w:rsidRPr="009978E3">
        <w:rPr>
          <w:rFonts w:eastAsia="MS Mincho"/>
          <w:sz w:val="22"/>
          <w:szCs w:val="22"/>
          <w:lang w:val="en-US"/>
        </w:rPr>
        <w:t xml:space="preserve">Menez Gwen, Lucky strike, Rainbow and Saldanha), that were part of the MoMAR concept (“Monitoring the Mid-Atlantic Ridge”). The OSPAR MPAs (Lucky Strike, Menez Gwen and Rainbow) have a higher number of scientific articles and reports, and consequently are </w:t>
      </w:r>
      <w:r>
        <w:rPr>
          <w:rFonts w:eastAsia="MS Mincho"/>
          <w:sz w:val="22"/>
          <w:szCs w:val="22"/>
          <w:lang w:val="en-US"/>
        </w:rPr>
        <w:t>thus far</w:t>
      </w:r>
      <w:r w:rsidRPr="009978E3">
        <w:rPr>
          <w:rFonts w:eastAsia="MS Mincho"/>
          <w:sz w:val="22"/>
          <w:szCs w:val="22"/>
          <w:lang w:val="en-US"/>
        </w:rPr>
        <w:t xml:space="preserve"> the best studied. The vent fields inside the NAFO/NEAFAC areas were also subject to ICES report of the WGDEC (Working Group on Deep-Water Ecology) (Auster </w:t>
      </w:r>
      <w:r w:rsidRPr="0006066A">
        <w:rPr>
          <w:i/>
          <w:sz w:val="22"/>
          <w:szCs w:val="22"/>
          <w:lang w:val="en-US"/>
        </w:rPr>
        <w:t>et al</w:t>
      </w:r>
      <w:r>
        <w:rPr>
          <w:sz w:val="22"/>
          <w:szCs w:val="22"/>
          <w:lang w:val="en-US"/>
        </w:rPr>
        <w:t>.</w:t>
      </w:r>
      <w:r w:rsidRPr="009978E3">
        <w:rPr>
          <w:rFonts w:eastAsia="MS Mincho"/>
          <w:sz w:val="22"/>
          <w:szCs w:val="22"/>
          <w:lang w:val="en-US"/>
        </w:rPr>
        <w:t xml:space="preserve">, 2013). </w:t>
      </w:r>
      <w:r>
        <w:rPr>
          <w:rFonts w:eastAsia="MS Mincho"/>
          <w:sz w:val="22"/>
          <w:szCs w:val="22"/>
          <w:lang w:val="en-US"/>
        </w:rPr>
        <w:t>S</w:t>
      </w:r>
      <w:r w:rsidRPr="009978E3">
        <w:rPr>
          <w:rFonts w:eastAsia="MS Mincho"/>
          <w:sz w:val="22"/>
          <w:szCs w:val="22"/>
          <w:lang w:val="en-US"/>
        </w:rPr>
        <w:t>tudies have also focused on the distribution of species (</w:t>
      </w:r>
      <w:r>
        <w:rPr>
          <w:rFonts w:eastAsia="MS Mincho"/>
          <w:sz w:val="22"/>
          <w:szCs w:val="22"/>
          <w:lang w:val="en-US"/>
        </w:rPr>
        <w:t>e.g.,</w:t>
      </w:r>
      <w:r w:rsidRPr="009978E3">
        <w:rPr>
          <w:rFonts w:eastAsia="MS Mincho"/>
          <w:sz w:val="22"/>
          <w:szCs w:val="22"/>
          <w:lang w:val="en-US"/>
        </w:rPr>
        <w:t xml:space="preserve"> Cuvelier </w:t>
      </w:r>
      <w:r w:rsidRPr="0006066A">
        <w:rPr>
          <w:rFonts w:eastAsia="MS Mincho"/>
          <w:i/>
          <w:sz w:val="22"/>
          <w:szCs w:val="22"/>
          <w:lang w:val="en-US"/>
        </w:rPr>
        <w:t>et al</w:t>
      </w:r>
      <w:r w:rsidRPr="009978E3">
        <w:rPr>
          <w:rFonts w:eastAsia="MS Mincho"/>
          <w:sz w:val="22"/>
          <w:szCs w:val="22"/>
          <w:lang w:val="en-US"/>
        </w:rPr>
        <w:t xml:space="preserve">, 2011a; Sarrazin </w:t>
      </w:r>
      <w:r w:rsidRPr="0006066A">
        <w:rPr>
          <w:rFonts w:eastAsia="MS Mincho"/>
          <w:i/>
          <w:sz w:val="22"/>
          <w:szCs w:val="22"/>
          <w:lang w:val="en-US"/>
        </w:rPr>
        <w:t>et al</w:t>
      </w:r>
      <w:r w:rsidRPr="009978E3">
        <w:rPr>
          <w:rFonts w:eastAsia="MS Mincho"/>
          <w:sz w:val="22"/>
          <w:szCs w:val="22"/>
          <w:lang w:val="en-US"/>
        </w:rPr>
        <w:t xml:space="preserve">, 2015 ), temporal evolution (Cuvelier </w:t>
      </w:r>
      <w:r w:rsidRPr="0006066A">
        <w:rPr>
          <w:rFonts w:eastAsia="MS Mincho"/>
          <w:i/>
          <w:sz w:val="22"/>
          <w:szCs w:val="22"/>
          <w:lang w:val="en-US"/>
        </w:rPr>
        <w:t>et al</w:t>
      </w:r>
      <w:r w:rsidRPr="009978E3">
        <w:rPr>
          <w:rFonts w:eastAsia="MS Mincho"/>
          <w:sz w:val="22"/>
          <w:szCs w:val="22"/>
          <w:lang w:val="en-US"/>
        </w:rPr>
        <w:t>, 2011b)</w:t>
      </w:r>
      <w:r>
        <w:rPr>
          <w:rFonts w:eastAsia="MS Mincho"/>
          <w:sz w:val="22"/>
          <w:szCs w:val="22"/>
          <w:lang w:val="en-US"/>
        </w:rPr>
        <w:t>,</w:t>
      </w:r>
      <w:r w:rsidRPr="009978E3">
        <w:rPr>
          <w:rFonts w:eastAsia="MS Mincho"/>
          <w:sz w:val="22"/>
          <w:szCs w:val="22"/>
          <w:lang w:val="en-US"/>
        </w:rPr>
        <w:t xml:space="preserve"> foodwebs (Colaço </w:t>
      </w:r>
      <w:r w:rsidRPr="0006066A">
        <w:rPr>
          <w:i/>
          <w:sz w:val="22"/>
          <w:szCs w:val="22"/>
          <w:lang w:val="en-US"/>
        </w:rPr>
        <w:t>et al</w:t>
      </w:r>
      <w:r w:rsidRPr="009978E3">
        <w:rPr>
          <w:rFonts w:eastAsia="MS Mincho"/>
          <w:sz w:val="22"/>
          <w:szCs w:val="22"/>
          <w:lang w:val="en-US"/>
        </w:rPr>
        <w:t xml:space="preserve">., 2002; 2007, De Busserolles </w:t>
      </w:r>
      <w:r w:rsidRPr="0006066A">
        <w:rPr>
          <w:i/>
          <w:sz w:val="22"/>
          <w:szCs w:val="22"/>
          <w:lang w:val="en-US"/>
        </w:rPr>
        <w:t>et al</w:t>
      </w:r>
      <w:r w:rsidRPr="009978E3">
        <w:rPr>
          <w:rFonts w:eastAsia="MS Mincho"/>
          <w:sz w:val="22"/>
          <w:szCs w:val="22"/>
          <w:lang w:val="en-US"/>
        </w:rPr>
        <w:t xml:space="preserve">., 2009, Portail </w:t>
      </w:r>
      <w:r w:rsidRPr="0006066A">
        <w:rPr>
          <w:i/>
          <w:sz w:val="22"/>
          <w:szCs w:val="22"/>
          <w:lang w:val="en-US"/>
        </w:rPr>
        <w:t>et al</w:t>
      </w:r>
      <w:r w:rsidRPr="009978E3">
        <w:rPr>
          <w:rFonts w:eastAsia="MS Mincho"/>
          <w:sz w:val="22"/>
          <w:szCs w:val="22"/>
          <w:lang w:val="en-US"/>
        </w:rPr>
        <w:t>., 2018)</w:t>
      </w:r>
      <w:r>
        <w:rPr>
          <w:rFonts w:eastAsia="MS Mincho"/>
          <w:sz w:val="22"/>
          <w:szCs w:val="22"/>
          <w:lang w:val="en-US"/>
        </w:rPr>
        <w:t>,</w:t>
      </w:r>
      <w:r w:rsidRPr="009978E3">
        <w:rPr>
          <w:rFonts w:eastAsia="MS Mincho"/>
          <w:sz w:val="22"/>
          <w:szCs w:val="22"/>
          <w:lang w:val="en-US"/>
        </w:rPr>
        <w:t xml:space="preserve"> physiology (</w:t>
      </w:r>
      <w:r w:rsidRPr="0021277B">
        <w:rPr>
          <w:rFonts w:eastAsia="MS Mincho"/>
          <w:sz w:val="22"/>
          <w:szCs w:val="22"/>
          <w:lang w:val="en-US"/>
        </w:rPr>
        <w:t>e.g.,</w:t>
      </w:r>
      <w:r w:rsidRPr="009978E3">
        <w:rPr>
          <w:rFonts w:eastAsia="MS Mincho"/>
          <w:sz w:val="22"/>
          <w:szCs w:val="22"/>
          <w:lang w:val="en-US"/>
        </w:rPr>
        <w:t xml:space="preserve"> Bettencourt </w:t>
      </w:r>
      <w:r w:rsidRPr="0006066A">
        <w:rPr>
          <w:i/>
          <w:sz w:val="22"/>
          <w:szCs w:val="22"/>
          <w:lang w:val="en-US"/>
        </w:rPr>
        <w:t>et al</w:t>
      </w:r>
      <w:r w:rsidRPr="009978E3">
        <w:rPr>
          <w:rFonts w:eastAsia="MS Mincho"/>
          <w:sz w:val="22"/>
          <w:szCs w:val="22"/>
          <w:lang w:val="en-US"/>
        </w:rPr>
        <w:t xml:space="preserve">., 2010; Martins </w:t>
      </w:r>
      <w:r w:rsidRPr="0006066A">
        <w:rPr>
          <w:i/>
          <w:sz w:val="22"/>
          <w:szCs w:val="22"/>
          <w:lang w:val="en-US"/>
        </w:rPr>
        <w:t>et al</w:t>
      </w:r>
      <w:r w:rsidRPr="009978E3">
        <w:rPr>
          <w:rFonts w:eastAsia="MS Mincho"/>
          <w:sz w:val="22"/>
          <w:szCs w:val="22"/>
          <w:lang w:val="en-US"/>
        </w:rPr>
        <w:t xml:space="preserve">., 2008; Husson </w:t>
      </w:r>
      <w:r w:rsidRPr="0006066A">
        <w:rPr>
          <w:i/>
          <w:sz w:val="22"/>
          <w:szCs w:val="22"/>
          <w:lang w:val="en-US"/>
        </w:rPr>
        <w:t>et al</w:t>
      </w:r>
      <w:r w:rsidRPr="009978E3">
        <w:rPr>
          <w:rFonts w:eastAsia="MS Mincho"/>
          <w:sz w:val="22"/>
          <w:szCs w:val="22"/>
          <w:lang w:val="en-US"/>
        </w:rPr>
        <w:t>., 2016)</w:t>
      </w:r>
      <w:r>
        <w:rPr>
          <w:rFonts w:eastAsia="MS Mincho"/>
          <w:sz w:val="22"/>
          <w:szCs w:val="22"/>
          <w:lang w:val="en-US"/>
        </w:rPr>
        <w:t>,</w:t>
      </w:r>
      <w:r w:rsidRPr="009978E3">
        <w:rPr>
          <w:rFonts w:eastAsia="MS Mincho"/>
          <w:sz w:val="22"/>
          <w:szCs w:val="22"/>
          <w:lang w:val="en-US"/>
        </w:rPr>
        <w:t xml:space="preserve"> reproduction (</w:t>
      </w:r>
      <w:r w:rsidRPr="0021277B">
        <w:rPr>
          <w:rFonts w:eastAsia="MS Mincho"/>
          <w:sz w:val="22"/>
          <w:szCs w:val="22"/>
          <w:lang w:val="en-US"/>
        </w:rPr>
        <w:t>e.g.,</w:t>
      </w:r>
      <w:r w:rsidRPr="009978E3">
        <w:rPr>
          <w:rFonts w:eastAsia="MS Mincho"/>
          <w:sz w:val="22"/>
          <w:szCs w:val="22"/>
          <w:lang w:val="en-US"/>
        </w:rPr>
        <w:t xml:space="preserve"> Colaço </w:t>
      </w:r>
      <w:r w:rsidRPr="0006066A">
        <w:rPr>
          <w:i/>
          <w:sz w:val="22"/>
          <w:szCs w:val="22"/>
          <w:lang w:val="en-US"/>
        </w:rPr>
        <w:t>et al</w:t>
      </w:r>
      <w:r w:rsidRPr="009978E3">
        <w:rPr>
          <w:rFonts w:eastAsia="MS Mincho"/>
          <w:sz w:val="22"/>
          <w:szCs w:val="22"/>
          <w:lang w:val="en-US"/>
        </w:rPr>
        <w:t xml:space="preserve">., 2006a; Dixon </w:t>
      </w:r>
      <w:r w:rsidRPr="0006066A">
        <w:rPr>
          <w:i/>
          <w:sz w:val="22"/>
          <w:szCs w:val="22"/>
          <w:lang w:val="en-US"/>
        </w:rPr>
        <w:t>et al</w:t>
      </w:r>
      <w:r w:rsidRPr="009978E3">
        <w:rPr>
          <w:rFonts w:eastAsia="MS Mincho"/>
          <w:sz w:val="22"/>
          <w:szCs w:val="22"/>
          <w:lang w:val="en-US"/>
        </w:rPr>
        <w:t>., 2006</w:t>
      </w:r>
      <w:r>
        <w:rPr>
          <w:rFonts w:eastAsia="MS Mincho"/>
          <w:sz w:val="22"/>
          <w:szCs w:val="22"/>
          <w:lang w:val="en-US"/>
        </w:rPr>
        <w:t>),</w:t>
      </w:r>
      <w:r w:rsidRPr="009978E3">
        <w:rPr>
          <w:rFonts w:eastAsia="MS Mincho"/>
          <w:sz w:val="22"/>
          <w:szCs w:val="22"/>
          <w:lang w:val="en-US"/>
        </w:rPr>
        <w:t xml:space="preserve"> ecotoxicological aspects (</w:t>
      </w:r>
      <w:r w:rsidRPr="0021277B">
        <w:rPr>
          <w:rFonts w:eastAsia="MS Mincho"/>
          <w:sz w:val="22"/>
          <w:szCs w:val="22"/>
          <w:lang w:val="en-US"/>
        </w:rPr>
        <w:t>e.g.,</w:t>
      </w:r>
      <w:r w:rsidRPr="009978E3">
        <w:rPr>
          <w:rFonts w:eastAsia="MS Mincho"/>
          <w:sz w:val="22"/>
          <w:szCs w:val="22"/>
          <w:lang w:val="en-US"/>
        </w:rPr>
        <w:t xml:space="preserve"> Colaço </w:t>
      </w:r>
      <w:r w:rsidRPr="0006066A">
        <w:rPr>
          <w:i/>
          <w:sz w:val="22"/>
          <w:szCs w:val="22"/>
          <w:lang w:val="en-US"/>
        </w:rPr>
        <w:t>et al</w:t>
      </w:r>
      <w:r w:rsidRPr="009978E3">
        <w:rPr>
          <w:rFonts w:eastAsia="MS Mincho"/>
          <w:sz w:val="22"/>
          <w:szCs w:val="22"/>
          <w:lang w:val="en-US"/>
        </w:rPr>
        <w:t xml:space="preserve">., 2006b; Martins </w:t>
      </w:r>
      <w:r w:rsidRPr="0006066A">
        <w:rPr>
          <w:i/>
          <w:sz w:val="22"/>
          <w:szCs w:val="22"/>
          <w:lang w:val="en-US"/>
        </w:rPr>
        <w:t>et al</w:t>
      </w:r>
      <w:r w:rsidRPr="009978E3">
        <w:rPr>
          <w:rFonts w:eastAsia="MS Mincho"/>
          <w:sz w:val="22"/>
          <w:szCs w:val="22"/>
          <w:lang w:val="en-US"/>
        </w:rPr>
        <w:t xml:space="preserve">., 2009, 2011; Company </w:t>
      </w:r>
      <w:r w:rsidRPr="0006066A">
        <w:rPr>
          <w:i/>
          <w:sz w:val="22"/>
          <w:szCs w:val="22"/>
          <w:lang w:val="en-US"/>
        </w:rPr>
        <w:t>et al</w:t>
      </w:r>
      <w:r w:rsidRPr="009978E3">
        <w:rPr>
          <w:rFonts w:eastAsia="MS Mincho"/>
          <w:sz w:val="22"/>
          <w:szCs w:val="22"/>
          <w:lang w:val="en-US"/>
        </w:rPr>
        <w:t>., 2008)</w:t>
      </w:r>
      <w:r>
        <w:rPr>
          <w:rFonts w:eastAsia="MS Mincho"/>
          <w:sz w:val="22"/>
          <w:szCs w:val="22"/>
          <w:lang w:val="en-US"/>
        </w:rPr>
        <w:t>,</w:t>
      </w:r>
      <w:r w:rsidRPr="009978E3">
        <w:rPr>
          <w:rFonts w:eastAsia="MS Mincho"/>
          <w:sz w:val="22"/>
          <w:szCs w:val="22"/>
          <w:lang w:val="en-US"/>
        </w:rPr>
        <w:t xml:space="preserve"> behaviour (Matabos </w:t>
      </w:r>
      <w:r w:rsidRPr="0006066A">
        <w:rPr>
          <w:i/>
          <w:sz w:val="22"/>
          <w:szCs w:val="22"/>
          <w:lang w:val="en-US"/>
        </w:rPr>
        <w:t>et al</w:t>
      </w:r>
      <w:r w:rsidRPr="009978E3">
        <w:rPr>
          <w:rFonts w:eastAsia="MS Mincho"/>
          <w:sz w:val="22"/>
          <w:szCs w:val="22"/>
          <w:lang w:val="en-US"/>
        </w:rPr>
        <w:t xml:space="preserve">., 2015) and microbiology (Crepeau </w:t>
      </w:r>
      <w:r w:rsidRPr="0006066A">
        <w:rPr>
          <w:i/>
          <w:sz w:val="22"/>
          <w:szCs w:val="22"/>
          <w:lang w:val="en-US"/>
        </w:rPr>
        <w:t>et al</w:t>
      </w:r>
      <w:r w:rsidRPr="009978E3">
        <w:rPr>
          <w:rFonts w:eastAsia="MS Mincho"/>
          <w:sz w:val="22"/>
          <w:szCs w:val="22"/>
          <w:lang w:val="en-US"/>
        </w:rPr>
        <w:t xml:space="preserve">., 2011 </w:t>
      </w:r>
      <w:r w:rsidRPr="009978E3">
        <w:rPr>
          <w:sz w:val="22"/>
          <w:szCs w:val="22"/>
          <w:lang w:val="en-US"/>
        </w:rPr>
        <w:t>and references therein</w:t>
      </w:r>
      <w:r w:rsidRPr="009978E3">
        <w:rPr>
          <w:rFonts w:eastAsia="MS Mincho"/>
          <w:sz w:val="22"/>
          <w:szCs w:val="22"/>
          <w:lang w:val="en-US"/>
        </w:rPr>
        <w:t>).</w:t>
      </w:r>
    </w:p>
    <w:p w14:paraId="43B91104"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dissolved constituents of the venting fluids </w:t>
      </w:r>
      <w:r>
        <w:rPr>
          <w:rFonts w:eastAsia="MS Mincho"/>
          <w:sz w:val="22"/>
          <w:szCs w:val="22"/>
          <w:lang w:val="en-US"/>
        </w:rPr>
        <w:t xml:space="preserve">of the hydrothermal vents </w:t>
      </w:r>
      <w:r w:rsidRPr="009978E3">
        <w:rPr>
          <w:rFonts w:eastAsia="MS Mincho"/>
          <w:sz w:val="22"/>
          <w:szCs w:val="22"/>
          <w:lang w:val="en-US"/>
        </w:rPr>
        <w:t xml:space="preserve">play an important role in the geochemical mass balance of the oceans (Levin </w:t>
      </w:r>
      <w:r w:rsidRPr="0006066A">
        <w:rPr>
          <w:i/>
          <w:sz w:val="22"/>
          <w:szCs w:val="22"/>
          <w:lang w:val="en-US"/>
        </w:rPr>
        <w:t>et al</w:t>
      </w:r>
      <w:r w:rsidRPr="009978E3">
        <w:rPr>
          <w:rFonts w:eastAsia="MS Mincho"/>
          <w:sz w:val="22"/>
          <w:szCs w:val="22"/>
          <w:lang w:val="en-US"/>
        </w:rPr>
        <w:t xml:space="preserve">, 2016 and </w:t>
      </w:r>
      <w:r w:rsidRPr="009978E3">
        <w:rPr>
          <w:sz w:val="22"/>
          <w:szCs w:val="22"/>
          <w:lang w:val="en-US"/>
        </w:rPr>
        <w:t>references therein</w:t>
      </w:r>
      <w:r w:rsidRPr="009978E3">
        <w:rPr>
          <w:rFonts w:eastAsia="MS Mincho"/>
          <w:sz w:val="22"/>
          <w:szCs w:val="22"/>
          <w:lang w:val="en-US"/>
        </w:rPr>
        <w:t>)</w:t>
      </w:r>
      <w:r>
        <w:rPr>
          <w:rFonts w:eastAsia="MS Mincho"/>
          <w:sz w:val="22"/>
          <w:szCs w:val="22"/>
          <w:lang w:val="en-US"/>
        </w:rPr>
        <w:t>.</w:t>
      </w:r>
      <w:r w:rsidRPr="009978E3">
        <w:rPr>
          <w:rFonts w:eastAsia="MS Mincho"/>
          <w:sz w:val="22"/>
          <w:szCs w:val="22"/>
          <w:lang w:val="en-US"/>
        </w:rPr>
        <w:t xml:space="preserve"> The unusual nature of the marine communities that occur around hydrothermal vents makes them particularly important areas in terms of the biodiversity of the deep sea as well as being a focus for deep-sea research. This type of ecosystem is sensitive because of its high percentage of endemic species and the unique nature of many of the species found there (</w:t>
      </w:r>
      <w:r>
        <w:rPr>
          <w:sz w:val="22"/>
          <w:szCs w:val="22"/>
          <w:lang w:val="en-US"/>
        </w:rPr>
        <w:t>e.g.,</w:t>
      </w:r>
      <w:r w:rsidRPr="009978E3">
        <w:rPr>
          <w:rFonts w:eastAsia="MS Mincho"/>
          <w:sz w:val="22"/>
          <w:szCs w:val="22"/>
          <w:lang w:val="en-US"/>
        </w:rPr>
        <w:t xml:space="preserve"> Vrijenhoek, 2010;</w:t>
      </w:r>
      <w:r w:rsidRPr="009978E3">
        <w:rPr>
          <w:rFonts w:eastAsia="Calibri"/>
          <w:sz w:val="22"/>
          <w:szCs w:val="22"/>
          <w:lang w:val="en-US"/>
        </w:rPr>
        <w:t xml:space="preserve"> Ramirez-Llodra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 xml:space="preserve">2011; VanDover </w:t>
      </w:r>
      <w:r w:rsidRPr="0006066A">
        <w:rPr>
          <w:i/>
          <w:sz w:val="22"/>
          <w:szCs w:val="22"/>
          <w:lang w:val="en-US"/>
        </w:rPr>
        <w:t>et al</w:t>
      </w:r>
      <w:r w:rsidRPr="0021277B">
        <w:rPr>
          <w:i/>
          <w:sz w:val="22"/>
          <w:szCs w:val="22"/>
          <w:lang w:val="en-US"/>
        </w:rPr>
        <w:t>.</w:t>
      </w:r>
      <w:r w:rsidRPr="0021277B">
        <w:rPr>
          <w:rFonts w:eastAsia="Calibri"/>
          <w:i/>
          <w:sz w:val="22"/>
          <w:szCs w:val="22"/>
          <w:lang w:val="en-US"/>
        </w:rPr>
        <w:t>,</w:t>
      </w:r>
      <w:r w:rsidRPr="009978E3">
        <w:rPr>
          <w:rFonts w:eastAsia="Calibri"/>
          <w:sz w:val="22"/>
          <w:szCs w:val="22"/>
          <w:lang w:val="en-US"/>
        </w:rPr>
        <w:t xml:space="preserve"> 2018</w:t>
      </w:r>
      <w:r w:rsidRPr="009978E3">
        <w:rPr>
          <w:rFonts w:eastAsia="MS Mincho"/>
          <w:sz w:val="22"/>
          <w:szCs w:val="22"/>
          <w:lang w:val="en-US"/>
        </w:rPr>
        <w:t xml:space="preserve">). </w:t>
      </w:r>
    </w:p>
    <w:p w14:paraId="6B1BEC96"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T</w:t>
      </w:r>
      <w:r w:rsidRPr="009978E3">
        <w:rPr>
          <w:rFonts w:eastAsia="MS Mincho"/>
          <w:sz w:val="22"/>
          <w:szCs w:val="22"/>
          <w:lang w:val="en-US"/>
        </w:rPr>
        <w:t>here is a biological balance in the vents. Well documented examples of biological interactions are predation and competition</w:t>
      </w:r>
      <w:r>
        <w:rPr>
          <w:rFonts w:eastAsia="MS Mincho"/>
          <w:sz w:val="22"/>
          <w:szCs w:val="22"/>
          <w:lang w:val="en-US"/>
        </w:rPr>
        <w:t>,</w:t>
      </w:r>
      <w:r w:rsidRPr="009978E3">
        <w:rPr>
          <w:rFonts w:eastAsia="MS Mincho"/>
          <w:sz w:val="22"/>
          <w:szCs w:val="22"/>
          <w:lang w:val="en-US"/>
        </w:rPr>
        <w:t xml:space="preserve"> based, for instance, on trophic (</w:t>
      </w:r>
      <w:r>
        <w:rPr>
          <w:rFonts w:eastAsia="MS Mincho"/>
          <w:sz w:val="22"/>
          <w:szCs w:val="22"/>
          <w:lang w:val="en-US"/>
        </w:rPr>
        <w:t>e.g.,</w:t>
      </w:r>
      <w:r w:rsidRPr="009978E3">
        <w:rPr>
          <w:rFonts w:eastAsia="MS Mincho"/>
          <w:sz w:val="22"/>
          <w:szCs w:val="22"/>
          <w:lang w:val="en-US"/>
        </w:rPr>
        <w:t xml:space="preserve"> access to hydrogen sulfide or other resources) and topographic (optimal positioning on the structure or limitation on available space) grounds (Hessler </w:t>
      </w:r>
      <w:r w:rsidRPr="0006066A">
        <w:rPr>
          <w:rFonts w:eastAsia="MS Mincho"/>
          <w:i/>
          <w:sz w:val="22"/>
          <w:szCs w:val="22"/>
          <w:lang w:val="en-US"/>
        </w:rPr>
        <w:t>et al</w:t>
      </w:r>
      <w:r w:rsidRPr="009978E3">
        <w:rPr>
          <w:rFonts w:eastAsia="MS Mincho"/>
          <w:sz w:val="22"/>
          <w:szCs w:val="22"/>
          <w:lang w:val="en-US"/>
        </w:rPr>
        <w:t xml:space="preserve">., 1985; Fustec </w:t>
      </w:r>
      <w:r w:rsidRPr="0006066A">
        <w:rPr>
          <w:rFonts w:eastAsia="MS Mincho"/>
          <w:i/>
          <w:sz w:val="22"/>
          <w:szCs w:val="22"/>
          <w:lang w:val="en-US"/>
        </w:rPr>
        <w:t>et al</w:t>
      </w:r>
      <w:r w:rsidRPr="009978E3">
        <w:rPr>
          <w:rFonts w:eastAsia="MS Mincho"/>
          <w:sz w:val="22"/>
          <w:szCs w:val="22"/>
          <w:lang w:val="en-US"/>
        </w:rPr>
        <w:t xml:space="preserve">., 1987; Comtet and Desbruyères, 1998; </w:t>
      </w:r>
      <w:r w:rsidRPr="009978E3">
        <w:rPr>
          <w:sz w:val="22"/>
          <w:szCs w:val="22"/>
          <w:lang w:val="en-US"/>
        </w:rPr>
        <w:t xml:space="preserve">Colaço </w:t>
      </w:r>
      <w:r w:rsidRPr="0006066A">
        <w:rPr>
          <w:i/>
          <w:sz w:val="22"/>
          <w:szCs w:val="22"/>
          <w:lang w:val="en-US"/>
        </w:rPr>
        <w:t>et al</w:t>
      </w:r>
      <w:r>
        <w:rPr>
          <w:sz w:val="22"/>
          <w:szCs w:val="22"/>
          <w:lang w:val="en-US"/>
        </w:rPr>
        <w:t>.</w:t>
      </w:r>
      <w:r w:rsidRPr="009978E3">
        <w:rPr>
          <w:sz w:val="22"/>
          <w:szCs w:val="22"/>
          <w:lang w:val="en-US"/>
        </w:rPr>
        <w:t xml:space="preserve">, 2002; 2007, Riou </w:t>
      </w:r>
      <w:r w:rsidRPr="0006066A">
        <w:rPr>
          <w:i/>
          <w:sz w:val="22"/>
          <w:szCs w:val="22"/>
          <w:lang w:val="en-US"/>
        </w:rPr>
        <w:t>et al</w:t>
      </w:r>
      <w:r w:rsidRPr="0021277B">
        <w:rPr>
          <w:i/>
          <w:sz w:val="22"/>
          <w:szCs w:val="22"/>
          <w:lang w:val="en-US"/>
        </w:rPr>
        <w:t>.,</w:t>
      </w:r>
      <w:r w:rsidRPr="009978E3">
        <w:rPr>
          <w:sz w:val="22"/>
          <w:szCs w:val="22"/>
          <w:lang w:val="en-US"/>
        </w:rPr>
        <w:t xml:space="preserve"> 2008, 2010a,b, deBusserolles </w:t>
      </w:r>
      <w:r w:rsidRPr="0006066A">
        <w:rPr>
          <w:i/>
          <w:sz w:val="22"/>
          <w:szCs w:val="22"/>
          <w:lang w:val="en-US"/>
        </w:rPr>
        <w:t>et al</w:t>
      </w:r>
      <w:r>
        <w:rPr>
          <w:i/>
          <w:sz w:val="22"/>
          <w:szCs w:val="22"/>
          <w:lang w:val="en-US"/>
        </w:rPr>
        <w:t>.</w:t>
      </w:r>
      <w:r w:rsidRPr="0021277B">
        <w:rPr>
          <w:i/>
          <w:sz w:val="22"/>
          <w:szCs w:val="22"/>
          <w:lang w:val="en-US"/>
        </w:rPr>
        <w:t>,</w:t>
      </w:r>
      <w:r w:rsidRPr="009978E3">
        <w:rPr>
          <w:sz w:val="22"/>
          <w:szCs w:val="22"/>
          <w:lang w:val="en-US"/>
        </w:rPr>
        <w:t xml:space="preserve"> 2009, Portail </w:t>
      </w:r>
      <w:r w:rsidRPr="0006066A">
        <w:rPr>
          <w:i/>
          <w:sz w:val="22"/>
          <w:szCs w:val="22"/>
          <w:lang w:val="en-US"/>
        </w:rPr>
        <w:t>et al</w:t>
      </w:r>
      <w:r w:rsidRPr="0021277B">
        <w:rPr>
          <w:i/>
          <w:sz w:val="22"/>
          <w:szCs w:val="22"/>
          <w:lang w:val="en-US"/>
        </w:rPr>
        <w:t>.,</w:t>
      </w:r>
      <w:r w:rsidRPr="009978E3">
        <w:rPr>
          <w:sz w:val="22"/>
          <w:szCs w:val="22"/>
          <w:lang w:val="en-US"/>
        </w:rPr>
        <w:t xml:space="preserve"> 2018, Sarrazin </w:t>
      </w:r>
      <w:r w:rsidRPr="0006066A">
        <w:rPr>
          <w:i/>
          <w:sz w:val="22"/>
          <w:szCs w:val="22"/>
          <w:lang w:val="en-US"/>
        </w:rPr>
        <w:t>et al</w:t>
      </w:r>
      <w:r w:rsidRPr="0021277B">
        <w:rPr>
          <w:i/>
          <w:sz w:val="22"/>
          <w:szCs w:val="22"/>
          <w:lang w:val="en-US"/>
        </w:rPr>
        <w:t>.,</w:t>
      </w:r>
      <w:r w:rsidRPr="009978E3">
        <w:rPr>
          <w:sz w:val="22"/>
          <w:szCs w:val="22"/>
          <w:lang w:val="en-US"/>
        </w:rPr>
        <w:t xml:space="preserve"> 2015, Cuvelier </w:t>
      </w:r>
      <w:r w:rsidRPr="0006066A">
        <w:rPr>
          <w:i/>
          <w:sz w:val="22"/>
          <w:szCs w:val="22"/>
          <w:lang w:val="en-US"/>
        </w:rPr>
        <w:t>et al</w:t>
      </w:r>
      <w:r w:rsidRPr="0021277B">
        <w:rPr>
          <w:i/>
          <w:sz w:val="22"/>
          <w:szCs w:val="22"/>
          <w:lang w:val="en-US"/>
        </w:rPr>
        <w:t>.,</w:t>
      </w:r>
      <w:r w:rsidRPr="009978E3">
        <w:rPr>
          <w:sz w:val="22"/>
          <w:szCs w:val="22"/>
          <w:lang w:val="en-US"/>
        </w:rPr>
        <w:t xml:space="preserve"> </w:t>
      </w:r>
      <w:r w:rsidRPr="002E4B39">
        <w:rPr>
          <w:rFonts w:eastAsia="MS Mincho"/>
          <w:sz w:val="22"/>
          <w:szCs w:val="22"/>
          <w:lang w:val="en-US"/>
        </w:rPr>
        <w:t>2011</w:t>
      </w:r>
      <w:r w:rsidRPr="009978E3">
        <w:rPr>
          <w:rFonts w:eastAsia="MS Mincho"/>
          <w:sz w:val="22"/>
          <w:szCs w:val="22"/>
          <w:lang w:val="en-US"/>
        </w:rPr>
        <w:t xml:space="preserve">). </w:t>
      </w:r>
    </w:p>
    <w:p w14:paraId="059F98CB"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All five (Menez Gwen, Lucky Strike, Menez Hom, Saldanha and Rainbow) hydrothermal vent fields are included in the Azores Marine Park, created in 2007 and expanded in 2016. Lucky Strike, Menez Gwen and Rainbow are included in the </w:t>
      </w:r>
      <w:r w:rsidRPr="005F56EA">
        <w:rPr>
          <w:sz w:val="22"/>
          <w:szCs w:val="22"/>
          <w:shd w:val="clear" w:color="auto" w:fill="FFFFFF"/>
          <w:lang w:val="en-US"/>
        </w:rPr>
        <w:t>OSPAR Network of Marine Protected Areas</w:t>
      </w:r>
      <w:r w:rsidRPr="009978E3">
        <w:rPr>
          <w:rFonts w:eastAsia="MS Mincho"/>
          <w:sz w:val="22"/>
          <w:szCs w:val="22"/>
          <w:lang w:val="en-US"/>
        </w:rPr>
        <w:t xml:space="preserve">. Lucky Strike and Menez Gwen have been a part of the Natura 2000 network since 2009. All fields are classified under the reef habitat type of the EU Habitats Directive. Lucky Strike and Menez Gwen (MPAs) are also recognized by WWF as a Gift to the Earth (GttE). </w:t>
      </w:r>
    </w:p>
    <w:p w14:paraId="06CE8CA6"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areas comp</w:t>
      </w:r>
      <w:r>
        <w:rPr>
          <w:rFonts w:eastAsia="MS Mincho"/>
          <w:sz w:val="22"/>
          <w:szCs w:val="22"/>
          <w:lang w:val="en-US"/>
        </w:rPr>
        <w:t>ri</w:t>
      </w:r>
      <w:r w:rsidRPr="009978E3">
        <w:rPr>
          <w:rFonts w:eastAsia="MS Mincho"/>
          <w:sz w:val="22"/>
          <w:szCs w:val="22"/>
          <w:lang w:val="en-US"/>
        </w:rPr>
        <w:t>sing the Azores Marine Park, and all the regional protected areas beyond the territorial sea, are classified under IUCN criteria. Lucky Strike (288 km</w:t>
      </w:r>
      <w:r w:rsidRPr="009978E3">
        <w:rPr>
          <w:rFonts w:eastAsia="MS Mincho"/>
          <w:sz w:val="22"/>
          <w:szCs w:val="22"/>
          <w:vertAlign w:val="superscript"/>
          <w:lang w:val="en-US"/>
        </w:rPr>
        <w:t>2</w:t>
      </w:r>
      <w:r w:rsidRPr="009978E3">
        <w:rPr>
          <w:rFonts w:eastAsia="MS Mincho"/>
          <w:sz w:val="22"/>
          <w:szCs w:val="22"/>
          <w:lang w:val="en-US"/>
        </w:rPr>
        <w:t>) and Menez Gwen (95 km</w:t>
      </w:r>
      <w:r w:rsidRPr="009978E3">
        <w:rPr>
          <w:rFonts w:eastAsia="MS Mincho"/>
          <w:sz w:val="22"/>
          <w:szCs w:val="22"/>
          <w:vertAlign w:val="superscript"/>
          <w:lang w:val="en-US"/>
        </w:rPr>
        <w:t>2</w:t>
      </w:r>
      <w:r w:rsidRPr="009978E3">
        <w:rPr>
          <w:rFonts w:eastAsia="MS Mincho"/>
          <w:sz w:val="22"/>
          <w:szCs w:val="22"/>
          <w:lang w:val="en-US"/>
        </w:rPr>
        <w:t>) have zoning plans ranging from “full protection” (Cat</w:t>
      </w:r>
      <w:r>
        <w:rPr>
          <w:rFonts w:eastAsia="MS Mincho"/>
          <w:sz w:val="22"/>
          <w:szCs w:val="22"/>
          <w:lang w:val="en-US"/>
        </w:rPr>
        <w:t>egory</w:t>
      </w:r>
      <w:r w:rsidRPr="009978E3">
        <w:rPr>
          <w:rFonts w:eastAsia="MS Mincho"/>
          <w:sz w:val="22"/>
          <w:szCs w:val="22"/>
          <w:lang w:val="en-US"/>
        </w:rPr>
        <w:t xml:space="preserve"> 1) to “sustainable exploitation” (Cat</w:t>
      </w:r>
      <w:r>
        <w:rPr>
          <w:rFonts w:eastAsia="MS Mincho"/>
          <w:sz w:val="22"/>
          <w:szCs w:val="22"/>
          <w:lang w:val="en-US"/>
        </w:rPr>
        <w:t>egory</w:t>
      </w:r>
      <w:r w:rsidRPr="009978E3">
        <w:rPr>
          <w:rFonts w:eastAsia="MS Mincho"/>
          <w:sz w:val="22"/>
          <w:szCs w:val="22"/>
          <w:lang w:val="en-US"/>
        </w:rPr>
        <w:t xml:space="preserve"> IV and VI), while Rainbow, a smaller vent field, is classified under IUCN </w:t>
      </w:r>
      <w:r>
        <w:rPr>
          <w:rFonts w:eastAsia="MS Mincho"/>
          <w:sz w:val="22"/>
          <w:szCs w:val="22"/>
          <w:lang w:val="en-US"/>
        </w:rPr>
        <w:t>C</w:t>
      </w:r>
      <w:r w:rsidRPr="009978E3">
        <w:rPr>
          <w:rFonts w:eastAsia="MS Mincho"/>
          <w:sz w:val="22"/>
          <w:szCs w:val="22"/>
          <w:lang w:val="en-US"/>
        </w:rPr>
        <w:t xml:space="preserve">ategory IV. Lucky Strike has also been selected as a target field for the installation of the long-term seafloor former MoMAR observatory, and now EMSO-Azores (Santos </w:t>
      </w:r>
      <w:r w:rsidRPr="0006066A">
        <w:rPr>
          <w:rFonts w:eastAsia="MS Mincho"/>
          <w:i/>
          <w:sz w:val="22"/>
          <w:szCs w:val="22"/>
          <w:lang w:val="en-US"/>
        </w:rPr>
        <w:t>et al</w:t>
      </w:r>
      <w:r w:rsidRPr="009978E3">
        <w:rPr>
          <w:rFonts w:eastAsia="MS Mincho"/>
          <w:sz w:val="22"/>
          <w:szCs w:val="22"/>
          <w:lang w:val="en-US"/>
        </w:rPr>
        <w:t xml:space="preserve">., 2002; Person </w:t>
      </w:r>
      <w:r w:rsidRPr="0006066A">
        <w:rPr>
          <w:rFonts w:eastAsia="MS Mincho"/>
          <w:i/>
          <w:sz w:val="22"/>
          <w:szCs w:val="22"/>
          <w:lang w:val="en-US"/>
        </w:rPr>
        <w:t>et al</w:t>
      </w:r>
      <w:r w:rsidRPr="009978E3">
        <w:rPr>
          <w:rFonts w:eastAsia="MS Mincho"/>
          <w:sz w:val="22"/>
          <w:szCs w:val="22"/>
          <w:lang w:val="en-US"/>
        </w:rPr>
        <w:t xml:space="preserve">., 2008; Colaço </w:t>
      </w:r>
      <w:r w:rsidRPr="0006066A">
        <w:rPr>
          <w:i/>
          <w:sz w:val="22"/>
          <w:szCs w:val="22"/>
          <w:lang w:val="en-US"/>
        </w:rPr>
        <w:t>et al</w:t>
      </w:r>
      <w:r w:rsidRPr="0021277B">
        <w:rPr>
          <w:i/>
          <w:sz w:val="22"/>
          <w:szCs w:val="22"/>
          <w:lang w:val="en-US"/>
        </w:rPr>
        <w:t>.,</w:t>
      </w:r>
      <w:r w:rsidRPr="009978E3">
        <w:rPr>
          <w:rFonts w:eastAsia="MS Mincho"/>
          <w:sz w:val="22"/>
          <w:szCs w:val="22"/>
          <w:lang w:val="en-US"/>
        </w:rPr>
        <w:t xml:space="preserve"> 2012). </w:t>
      </w:r>
    </w:p>
    <w:p w14:paraId="0A314203" w14:textId="515C06D4"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Contracting Parties to OSPAR Convention committed themselves to establish an ecologically coherent network of MPAs in the OSPAR Maritime Area by 2010 </w:t>
      </w:r>
      <w:r w:rsidRPr="009978E3">
        <w:rPr>
          <w:sz w:val="22"/>
          <w:szCs w:val="22"/>
          <w:lang w:val="en-US" w:eastAsia="pt-PT"/>
        </w:rPr>
        <w:t xml:space="preserve">(the OSPAR Network of Marine Protected Areas). </w:t>
      </w:r>
      <w:r w:rsidRPr="009978E3">
        <w:rPr>
          <w:rFonts w:eastAsia="MS Mincho"/>
          <w:sz w:val="22"/>
          <w:szCs w:val="22"/>
          <w:lang w:val="en-US"/>
        </w:rPr>
        <w:t>The regional delivery mechanism is based on Annex V to the OSPAR Convention. The first national MPA designated under the high seas is the Rainbow vent field</w:t>
      </w:r>
      <w:r>
        <w:rPr>
          <w:rFonts w:eastAsia="MS Mincho"/>
          <w:sz w:val="22"/>
          <w:szCs w:val="22"/>
          <w:lang w:val="en-US"/>
        </w:rPr>
        <w:t>,</w:t>
      </w:r>
      <w:r w:rsidRPr="009978E3">
        <w:rPr>
          <w:rFonts w:eastAsia="MS Mincho"/>
          <w:sz w:val="22"/>
          <w:szCs w:val="22"/>
          <w:lang w:val="en-US"/>
        </w:rPr>
        <w:t xml:space="preserve"> located in the High Seas sector of the OSPAR Maritime Area (Santos and Colaço, 2010; Ribeiro, 2010). </w:t>
      </w:r>
    </w:p>
    <w:p w14:paraId="1EBE29A2" w14:textId="77777777" w:rsidR="006B3F46"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9978E3">
        <w:rPr>
          <w:rFonts w:eastAsia="MS Mincho"/>
          <w:b/>
          <w:sz w:val="22"/>
          <w:szCs w:val="22"/>
          <w:lang w:val="en-US"/>
        </w:rPr>
        <w:t>rea no. 11</w:t>
      </w:r>
      <w:r>
        <w:rPr>
          <w:rFonts w:eastAsia="MS Mincho"/>
          <w:b/>
          <w:sz w:val="22"/>
          <w:szCs w:val="22"/>
          <w:lang w:val="en-US"/>
        </w:rPr>
        <w:t>,</w:t>
      </w:r>
      <w:r w:rsidRPr="009978E3">
        <w:rPr>
          <w:rFonts w:eastAsia="MS Mincho"/>
          <w:b/>
          <w:sz w:val="22"/>
          <w:szCs w:val="22"/>
          <w:lang w:val="en-US"/>
        </w:rPr>
        <w:t xml:space="preserve"> Ridge South of the Azores</w:t>
      </w:r>
      <w:r>
        <w:rPr>
          <w:rFonts w:eastAsia="MS Mincho"/>
          <w:b/>
          <w:sz w:val="22"/>
          <w:szCs w:val="22"/>
          <w:lang w:val="en-US"/>
        </w:rPr>
        <w:t>, against CBD EBSA Criteria</w:t>
      </w:r>
    </w:p>
    <w:p w14:paraId="004FFCB4" w14:textId="77777777" w:rsidR="006B3F46" w:rsidRPr="009978E3" w:rsidRDefault="006B3F46" w:rsidP="00907941">
      <w:pPr>
        <w:jc w:val="both"/>
        <w:rPr>
          <w:rFonts w:eastAsia="MS Mincho"/>
          <w:i/>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6B3F46" w:rsidRPr="0021277B" w14:paraId="6C359A35" w14:textId="77777777" w:rsidTr="00907941">
        <w:tc>
          <w:tcPr>
            <w:tcW w:w="783" w:type="pct"/>
            <w:vMerge w:val="restart"/>
            <w:shd w:val="clear" w:color="auto" w:fill="auto"/>
          </w:tcPr>
          <w:p w14:paraId="179E387F" w14:textId="77777777" w:rsidR="006B3F46" w:rsidRPr="009978E3" w:rsidRDefault="006B3F46" w:rsidP="00907941">
            <w:pPr>
              <w:widowControl w:val="0"/>
              <w:autoSpaceDE w:val="0"/>
              <w:autoSpaceDN w:val="0"/>
              <w:adjustRightInd w:val="0"/>
              <w:rPr>
                <w:rFonts w:eastAsia="MS Mincho"/>
                <w:b/>
                <w:bCs/>
                <w:color w:val="000000"/>
                <w:sz w:val="22"/>
                <w:szCs w:val="22"/>
                <w:lang w:val="it-IT"/>
              </w:rPr>
            </w:pPr>
            <w:r w:rsidRPr="009978E3">
              <w:rPr>
                <w:rFonts w:eastAsia="MS Mincho"/>
                <w:b/>
                <w:bCs/>
                <w:color w:val="000000"/>
                <w:sz w:val="22"/>
                <w:szCs w:val="22"/>
                <w:lang w:val="it-IT"/>
              </w:rPr>
              <w:t>CBD EBSA Criteria</w:t>
            </w:r>
          </w:p>
          <w:p w14:paraId="2BEA0EF8" w14:textId="77777777" w:rsidR="006B3F46" w:rsidRPr="009978E3" w:rsidRDefault="006B3F46" w:rsidP="00907941">
            <w:pPr>
              <w:widowControl w:val="0"/>
              <w:autoSpaceDE w:val="0"/>
              <w:autoSpaceDN w:val="0"/>
              <w:adjustRightInd w:val="0"/>
              <w:rPr>
                <w:rFonts w:eastAsia="MS Mincho"/>
                <w:bCs/>
                <w:color w:val="000000"/>
                <w:sz w:val="22"/>
                <w:szCs w:val="22"/>
                <w:lang w:val="it-IT"/>
              </w:rPr>
            </w:pPr>
            <w:r w:rsidRPr="009978E3">
              <w:rPr>
                <w:rFonts w:eastAsia="MS Mincho"/>
                <w:bCs/>
                <w:color w:val="000000"/>
                <w:sz w:val="22"/>
                <w:szCs w:val="22"/>
                <w:lang w:val="it-IT"/>
              </w:rPr>
              <w:t>(Annex I to decision IX/20)</w:t>
            </w:r>
          </w:p>
        </w:tc>
        <w:tc>
          <w:tcPr>
            <w:tcW w:w="2280" w:type="pct"/>
            <w:vMerge w:val="restart"/>
            <w:shd w:val="clear" w:color="auto" w:fill="auto"/>
          </w:tcPr>
          <w:p w14:paraId="4D4D1618" w14:textId="77777777" w:rsidR="006B3F46" w:rsidRPr="009978E3" w:rsidRDefault="006B3F46" w:rsidP="00907941">
            <w:pPr>
              <w:widowControl w:val="0"/>
              <w:autoSpaceDE w:val="0"/>
              <w:autoSpaceDN w:val="0"/>
              <w:adjustRightInd w:val="0"/>
              <w:jc w:val="both"/>
              <w:rPr>
                <w:rFonts w:eastAsia="MS Mincho"/>
                <w:b/>
                <w:bCs/>
                <w:sz w:val="22"/>
                <w:szCs w:val="22"/>
                <w:lang w:val="en-US"/>
              </w:rPr>
            </w:pPr>
            <w:r w:rsidRPr="009978E3">
              <w:rPr>
                <w:rFonts w:eastAsia="MS Mincho"/>
                <w:b/>
                <w:bCs/>
                <w:sz w:val="22"/>
                <w:szCs w:val="22"/>
                <w:lang w:val="en-US"/>
              </w:rPr>
              <w:t>Description</w:t>
            </w:r>
          </w:p>
          <w:p w14:paraId="21556625" w14:textId="77777777" w:rsidR="006B3F46" w:rsidRPr="009978E3" w:rsidRDefault="006B3F46" w:rsidP="00907941">
            <w:pPr>
              <w:widowControl w:val="0"/>
              <w:autoSpaceDE w:val="0"/>
              <w:autoSpaceDN w:val="0"/>
              <w:adjustRightInd w:val="0"/>
              <w:jc w:val="both"/>
              <w:rPr>
                <w:rFonts w:eastAsia="MS Mincho"/>
                <w:bCs/>
                <w:sz w:val="22"/>
                <w:szCs w:val="22"/>
                <w:lang w:val="en-US"/>
              </w:rPr>
            </w:pPr>
            <w:r w:rsidRPr="009978E3">
              <w:rPr>
                <w:rFonts w:eastAsia="MS Mincho"/>
                <w:bCs/>
                <w:color w:val="000000"/>
                <w:sz w:val="22"/>
                <w:szCs w:val="22"/>
                <w:lang w:val="it-IT"/>
              </w:rPr>
              <w:t>(Annex I to decision IX/20)</w:t>
            </w:r>
          </w:p>
        </w:tc>
        <w:tc>
          <w:tcPr>
            <w:tcW w:w="1937" w:type="pct"/>
            <w:gridSpan w:val="9"/>
            <w:shd w:val="clear" w:color="auto" w:fill="auto"/>
          </w:tcPr>
          <w:p w14:paraId="643C6198"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 xml:space="preserve">Ranking of criterion relevance </w:t>
            </w:r>
          </w:p>
          <w:p w14:paraId="7B790158"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Cs/>
                <w:color w:val="000000"/>
                <w:sz w:val="22"/>
                <w:szCs w:val="22"/>
                <w:lang w:val="en-US"/>
              </w:rPr>
              <w:t>(please mark one column with an X)</w:t>
            </w:r>
          </w:p>
        </w:tc>
      </w:tr>
      <w:tr w:rsidR="006B3F46" w:rsidRPr="0021277B" w14:paraId="2B07E1B3" w14:textId="77777777" w:rsidTr="00907941">
        <w:tc>
          <w:tcPr>
            <w:tcW w:w="783" w:type="pct"/>
            <w:vMerge/>
            <w:shd w:val="clear" w:color="auto" w:fill="auto"/>
          </w:tcPr>
          <w:p w14:paraId="5F69CC3A"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p>
        </w:tc>
        <w:tc>
          <w:tcPr>
            <w:tcW w:w="2280" w:type="pct"/>
            <w:vMerge/>
            <w:shd w:val="clear" w:color="auto" w:fill="auto"/>
          </w:tcPr>
          <w:p w14:paraId="78CCB957" w14:textId="77777777" w:rsidR="006B3F46" w:rsidRPr="009978E3" w:rsidRDefault="006B3F46" w:rsidP="00907941">
            <w:pPr>
              <w:widowControl w:val="0"/>
              <w:autoSpaceDE w:val="0"/>
              <w:autoSpaceDN w:val="0"/>
              <w:adjustRightInd w:val="0"/>
              <w:jc w:val="both"/>
              <w:rPr>
                <w:rFonts w:eastAsia="MS Mincho"/>
                <w:b/>
                <w:bCs/>
                <w:sz w:val="22"/>
                <w:szCs w:val="22"/>
                <w:lang w:val="en-US"/>
              </w:rPr>
            </w:pPr>
          </w:p>
        </w:tc>
        <w:tc>
          <w:tcPr>
            <w:tcW w:w="547" w:type="pct"/>
            <w:gridSpan w:val="2"/>
            <w:shd w:val="clear" w:color="auto" w:fill="auto"/>
          </w:tcPr>
          <w:p w14:paraId="60EF2A80"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No information</w:t>
            </w:r>
          </w:p>
        </w:tc>
        <w:tc>
          <w:tcPr>
            <w:tcW w:w="547" w:type="pct"/>
            <w:gridSpan w:val="3"/>
            <w:shd w:val="clear" w:color="auto" w:fill="auto"/>
          </w:tcPr>
          <w:p w14:paraId="523E5FEB"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Low</w:t>
            </w:r>
          </w:p>
        </w:tc>
        <w:tc>
          <w:tcPr>
            <w:tcW w:w="411" w:type="pct"/>
            <w:gridSpan w:val="2"/>
            <w:shd w:val="clear" w:color="auto" w:fill="auto"/>
          </w:tcPr>
          <w:p w14:paraId="3DF29808"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Medium</w:t>
            </w:r>
          </w:p>
        </w:tc>
        <w:tc>
          <w:tcPr>
            <w:tcW w:w="432" w:type="pct"/>
            <w:gridSpan w:val="2"/>
            <w:shd w:val="clear" w:color="auto" w:fill="auto"/>
          </w:tcPr>
          <w:p w14:paraId="1EBF46B2"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High</w:t>
            </w:r>
          </w:p>
        </w:tc>
      </w:tr>
      <w:tr w:rsidR="006B3F46" w:rsidRPr="0021277B" w14:paraId="272C7F71" w14:textId="77777777" w:rsidTr="00907941">
        <w:tc>
          <w:tcPr>
            <w:tcW w:w="783" w:type="pct"/>
            <w:shd w:val="clear" w:color="auto" w:fill="auto"/>
          </w:tcPr>
          <w:p w14:paraId="686A4AFE" w14:textId="77777777" w:rsidR="006B3F46" w:rsidRPr="00F66EF7" w:rsidRDefault="006B3F46" w:rsidP="00907941">
            <w:pPr>
              <w:widowControl w:val="0"/>
              <w:autoSpaceDE w:val="0"/>
              <w:autoSpaceDN w:val="0"/>
              <w:adjustRightInd w:val="0"/>
              <w:jc w:val="both"/>
              <w:rPr>
                <w:rFonts w:eastAsia="MS Mincho"/>
                <w:b/>
                <w:bCs/>
                <w:color w:val="000000"/>
                <w:sz w:val="22"/>
                <w:szCs w:val="22"/>
                <w:lang w:val="en-US"/>
              </w:rPr>
            </w:pPr>
            <w:r w:rsidRPr="00F66EF7">
              <w:rPr>
                <w:rFonts w:eastAsia="MS Mincho"/>
                <w:b/>
                <w:bCs/>
                <w:color w:val="000000"/>
                <w:sz w:val="22"/>
                <w:szCs w:val="22"/>
                <w:lang w:val="en-US"/>
              </w:rPr>
              <w:t>Uniqueness or rarity</w:t>
            </w:r>
          </w:p>
        </w:tc>
        <w:tc>
          <w:tcPr>
            <w:tcW w:w="2280" w:type="pct"/>
            <w:shd w:val="clear" w:color="auto" w:fill="auto"/>
          </w:tcPr>
          <w:p w14:paraId="50CBF09A"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vAlign w:val="center"/>
          </w:tcPr>
          <w:p w14:paraId="3ADA273A"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547" w:type="pct"/>
            <w:gridSpan w:val="3"/>
            <w:shd w:val="clear" w:color="auto" w:fill="auto"/>
            <w:vAlign w:val="center"/>
          </w:tcPr>
          <w:p w14:paraId="5E1FA965"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7FB272E9"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7BEF5212"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49D8ABDB" w14:textId="77777777" w:rsidTr="00907941">
        <w:tc>
          <w:tcPr>
            <w:tcW w:w="5000" w:type="pct"/>
            <w:gridSpan w:val="11"/>
            <w:shd w:val="clear" w:color="auto" w:fill="auto"/>
          </w:tcPr>
          <w:p w14:paraId="7121D21D" w14:textId="77777777" w:rsidR="006B3F46" w:rsidRPr="009978E3" w:rsidRDefault="006B3F46" w:rsidP="00907941">
            <w:pPr>
              <w:jc w:val="both"/>
              <w:rPr>
                <w:rFonts w:eastAsia="MS Mincho"/>
                <w:i/>
                <w:iCs/>
                <w:sz w:val="22"/>
                <w:szCs w:val="22"/>
                <w:lang w:val="en-US"/>
              </w:rPr>
            </w:pPr>
            <w:r w:rsidRPr="00F66EF7">
              <w:rPr>
                <w:rFonts w:eastAsia="MS Mincho"/>
                <w:i/>
                <w:iCs/>
                <w:sz w:val="22"/>
                <w:szCs w:val="22"/>
                <w:lang w:val="en-US"/>
              </w:rPr>
              <w:t>Explana</w:t>
            </w:r>
            <w:r w:rsidRPr="009978E3">
              <w:rPr>
                <w:rFonts w:eastAsia="MS Mincho"/>
                <w:i/>
                <w:iCs/>
                <w:sz w:val="22"/>
                <w:szCs w:val="22"/>
                <w:lang w:val="en-US"/>
              </w:rPr>
              <w:t>tion of ranking</w:t>
            </w:r>
          </w:p>
          <w:p w14:paraId="398687FD"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The Ridge South of the Azores</w:t>
            </w:r>
            <w:r>
              <w:rPr>
                <w:rFonts w:eastAsia="MS Mincho"/>
                <w:sz w:val="22"/>
                <w:szCs w:val="22"/>
                <w:lang w:val="en-US"/>
              </w:rPr>
              <w:t xml:space="preserve"> </w:t>
            </w:r>
            <w:r w:rsidRPr="009978E3">
              <w:rPr>
                <w:rFonts w:eastAsia="MS Mincho"/>
                <w:sz w:val="22"/>
                <w:szCs w:val="22"/>
                <w:lang w:val="en-US"/>
              </w:rPr>
              <w:t xml:space="preserve">has: </w:t>
            </w:r>
          </w:p>
          <w:p w14:paraId="791BCCA6" w14:textId="77777777" w:rsidR="006B3F46" w:rsidRPr="009978E3" w:rsidRDefault="006B3F46" w:rsidP="00907941">
            <w:pPr>
              <w:spacing w:after="120"/>
              <w:jc w:val="both"/>
              <w:rPr>
                <w:rFonts w:eastAsia="MS Mincho"/>
                <w:sz w:val="22"/>
                <w:szCs w:val="22"/>
                <w:lang w:val="en-US"/>
              </w:rPr>
            </w:pPr>
            <w:r w:rsidRPr="009978E3">
              <w:rPr>
                <w:rFonts w:eastAsia="MS Mincho"/>
                <w:sz w:val="22"/>
                <w:szCs w:val="22"/>
                <w:lang w:val="en-US"/>
              </w:rPr>
              <w:t>1-Deep-sea vents, which represent one of the most physically and chemically unusual biomes on Earth (Takai &amp; Nakamura, 2011).</w:t>
            </w:r>
          </w:p>
          <w:p w14:paraId="3A86F10B" w14:textId="77777777" w:rsidR="006B3F46" w:rsidRPr="009978E3" w:rsidRDefault="006B3F46" w:rsidP="00907941">
            <w:pPr>
              <w:pStyle w:val="NormalWeb"/>
              <w:spacing w:before="0" w:beforeAutospacing="0" w:after="120" w:afterAutospacing="0"/>
              <w:jc w:val="both"/>
              <w:rPr>
                <w:rFonts w:eastAsia="MS Mincho"/>
                <w:color w:val="000000"/>
                <w:sz w:val="22"/>
                <w:szCs w:val="22"/>
                <w:lang w:val="en-US" w:eastAsia="en-US"/>
              </w:rPr>
            </w:pPr>
            <w:r w:rsidRPr="009978E3">
              <w:rPr>
                <w:rFonts w:eastAsia="MS Mincho"/>
                <w:sz w:val="22"/>
                <w:szCs w:val="22"/>
                <w:lang w:val="en-US" w:eastAsia="en-US"/>
              </w:rPr>
              <w:t>2-</w:t>
            </w:r>
            <w:r w:rsidRPr="009978E3">
              <w:rPr>
                <w:sz w:val="22"/>
                <w:szCs w:val="22"/>
                <w:lang w:val="en-US"/>
              </w:rPr>
              <w:t>The hydrothermal vents of the North MAR may represent a unique biogeographic region of invertebrate species (Van Dover, 2010).</w:t>
            </w:r>
            <w:r w:rsidRPr="009978E3">
              <w:rPr>
                <w:rFonts w:eastAsia="MS Mincho"/>
                <w:sz w:val="22"/>
                <w:szCs w:val="22"/>
                <w:lang w:val="en-US" w:eastAsia="en-US"/>
              </w:rPr>
              <w:t xml:space="preserve"> They have relatively high proportions of endemic species (Tunnicliffe &amp; Fowler, 1996; VanDover </w:t>
            </w:r>
            <w:r w:rsidRPr="0006066A">
              <w:rPr>
                <w:rFonts w:eastAsia="MS Mincho"/>
                <w:i/>
                <w:sz w:val="22"/>
                <w:szCs w:val="22"/>
                <w:lang w:val="en-US"/>
              </w:rPr>
              <w:t>et al</w:t>
            </w:r>
            <w:r w:rsidRPr="009978E3">
              <w:rPr>
                <w:rFonts w:eastAsia="MS Mincho"/>
                <w:sz w:val="22"/>
                <w:szCs w:val="22"/>
                <w:lang w:val="en-US" w:eastAsia="en-US"/>
              </w:rPr>
              <w:t>, 2018)</w:t>
            </w:r>
            <w:r w:rsidRPr="009978E3">
              <w:rPr>
                <w:sz w:val="22"/>
                <w:szCs w:val="22"/>
                <w:lang w:val="en-US"/>
              </w:rPr>
              <w:t xml:space="preserve"> </w:t>
            </w:r>
            <w:r w:rsidRPr="009978E3">
              <w:rPr>
                <w:rFonts w:eastAsia="MS Mincho"/>
                <w:color w:val="000000"/>
                <w:sz w:val="22"/>
                <w:szCs w:val="22"/>
                <w:lang w:val="en-US" w:eastAsia="en-US"/>
              </w:rPr>
              <w:t xml:space="preserve">that cannot live anywhere else, dominated by the blind shrimp </w:t>
            </w:r>
            <w:r w:rsidRPr="009978E3">
              <w:rPr>
                <w:rFonts w:eastAsia="MS Mincho"/>
                <w:i/>
                <w:color w:val="000000"/>
                <w:sz w:val="22"/>
                <w:szCs w:val="22"/>
                <w:lang w:val="en-US" w:eastAsia="en-US"/>
              </w:rPr>
              <w:t>Rimicaris exoculata</w:t>
            </w:r>
            <w:r w:rsidRPr="009978E3">
              <w:rPr>
                <w:rFonts w:eastAsia="MS Mincho"/>
                <w:color w:val="000000"/>
                <w:sz w:val="22"/>
                <w:szCs w:val="22"/>
                <w:lang w:val="en-US" w:eastAsia="en-US"/>
              </w:rPr>
              <w:t xml:space="preserve"> and the mussel </w:t>
            </w:r>
            <w:r w:rsidRPr="009978E3">
              <w:rPr>
                <w:rFonts w:eastAsia="MS Mincho"/>
                <w:i/>
                <w:color w:val="000000"/>
                <w:sz w:val="22"/>
                <w:szCs w:val="22"/>
                <w:lang w:val="en-US" w:eastAsia="en-US"/>
              </w:rPr>
              <w:t>Bathymodiolus azoricus</w:t>
            </w:r>
            <w:r w:rsidRPr="009978E3">
              <w:rPr>
                <w:rFonts w:eastAsia="MS Mincho"/>
                <w:color w:val="000000"/>
                <w:sz w:val="22"/>
                <w:szCs w:val="22"/>
                <w:lang w:val="en-US" w:eastAsia="en-US"/>
              </w:rPr>
              <w:t xml:space="preserve"> </w:t>
            </w:r>
            <w:r w:rsidRPr="009978E3">
              <w:rPr>
                <w:rFonts w:eastAsia="MS Mincho"/>
                <w:sz w:val="22"/>
                <w:szCs w:val="22"/>
                <w:lang w:val="en-US" w:eastAsia="en-US"/>
              </w:rPr>
              <w:t xml:space="preserve">(Desbruyères </w:t>
            </w:r>
            <w:r w:rsidRPr="0006066A">
              <w:rPr>
                <w:rFonts w:eastAsia="MS Mincho"/>
                <w:i/>
                <w:sz w:val="22"/>
                <w:szCs w:val="22"/>
                <w:lang w:val="en-US" w:eastAsia="en-US"/>
              </w:rPr>
              <w:t>et al</w:t>
            </w:r>
            <w:r w:rsidRPr="009978E3">
              <w:rPr>
                <w:rFonts w:eastAsia="MS Mincho"/>
                <w:sz w:val="22"/>
                <w:szCs w:val="22"/>
                <w:lang w:val="en-US" w:eastAsia="en-US"/>
              </w:rPr>
              <w:t>., 2001).</w:t>
            </w:r>
            <w:r w:rsidRPr="009978E3">
              <w:rPr>
                <w:rFonts w:eastAsia="MS Mincho"/>
                <w:color w:val="000000"/>
                <w:sz w:val="22"/>
                <w:szCs w:val="22"/>
                <w:lang w:val="en-US" w:eastAsia="en-US"/>
              </w:rPr>
              <w:t xml:space="preserve"> </w:t>
            </w:r>
          </w:p>
          <w:p w14:paraId="65DA0CD5"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rFonts w:eastAsia="MS Mincho"/>
                <w:color w:val="000000"/>
                <w:sz w:val="22"/>
                <w:szCs w:val="22"/>
                <w:lang w:val="en-US"/>
              </w:rPr>
              <w:t xml:space="preserve">3-The uniqueness of each vent, due to </w:t>
            </w:r>
            <w:r w:rsidRPr="009978E3">
              <w:rPr>
                <w:sz w:val="22"/>
                <w:szCs w:val="22"/>
                <w:lang w:val="en-US"/>
              </w:rPr>
              <w:t>the diversity of hydrothermal settings, the depth range and water mass distribution over oceanic ridge crests, significantly influence</w:t>
            </w:r>
            <w:r>
              <w:rPr>
                <w:sz w:val="22"/>
                <w:szCs w:val="22"/>
                <w:lang w:val="en-US"/>
              </w:rPr>
              <w:t>s</w:t>
            </w:r>
            <w:r w:rsidRPr="009978E3">
              <w:rPr>
                <w:sz w:val="22"/>
                <w:szCs w:val="22"/>
                <w:lang w:val="en-US"/>
              </w:rPr>
              <w:t xml:space="preserve"> biodiversity and species composition (VanDover </w:t>
            </w:r>
            <w:r w:rsidRPr="0006066A">
              <w:rPr>
                <w:i/>
                <w:sz w:val="22"/>
                <w:szCs w:val="22"/>
                <w:lang w:val="en-US"/>
              </w:rPr>
              <w:t>et al</w:t>
            </w:r>
            <w:r w:rsidRPr="009978E3">
              <w:rPr>
                <w:sz w:val="22"/>
                <w:szCs w:val="22"/>
                <w:lang w:val="en-US"/>
              </w:rPr>
              <w:t xml:space="preserve">., 2018). </w:t>
            </w:r>
            <w:r w:rsidRPr="009978E3">
              <w:rPr>
                <w:rFonts w:eastAsia="MS Mincho"/>
                <w:color w:val="000000"/>
                <w:sz w:val="22"/>
                <w:szCs w:val="22"/>
                <w:lang w:val="en-US"/>
              </w:rPr>
              <w:t xml:space="preserve">The hydrothermal biota are characterized also by a high level of endemism, with common specific lineages at the family, genus and even species level, as well as the prevalence of symbioses between invertebrates and bacteria (Dubilier </w:t>
            </w:r>
            <w:r w:rsidRPr="0006066A">
              <w:rPr>
                <w:rFonts w:eastAsia="MS Mincho"/>
                <w:i/>
                <w:color w:val="000000"/>
                <w:sz w:val="22"/>
                <w:szCs w:val="22"/>
                <w:lang w:val="en-US"/>
              </w:rPr>
              <w:t>et al</w:t>
            </w:r>
            <w:r w:rsidRPr="009978E3">
              <w:rPr>
                <w:rFonts w:eastAsia="MS Mincho"/>
                <w:color w:val="000000"/>
                <w:sz w:val="22"/>
                <w:szCs w:val="22"/>
                <w:lang w:val="en-US"/>
              </w:rPr>
              <w:t>., 2008; Kiel, 2010</w:t>
            </w:r>
            <w:r w:rsidRPr="009978E3">
              <w:rPr>
                <w:color w:val="000000"/>
                <w:sz w:val="22"/>
                <w:szCs w:val="22"/>
                <w:lang w:val="en-US"/>
              </w:rPr>
              <w:t xml:space="preserve">). </w:t>
            </w:r>
          </w:p>
          <w:p w14:paraId="792B3F69" w14:textId="77777777" w:rsidR="006B3F46" w:rsidRPr="009978E3" w:rsidRDefault="006B3F46" w:rsidP="00907941">
            <w:pPr>
              <w:spacing w:after="120"/>
              <w:jc w:val="both"/>
              <w:rPr>
                <w:sz w:val="22"/>
                <w:szCs w:val="22"/>
                <w:lang w:val="en-US"/>
              </w:rPr>
            </w:pPr>
            <w:r w:rsidRPr="009978E3">
              <w:rPr>
                <w:rFonts w:eastAsia="MS Mincho"/>
                <w:sz w:val="22"/>
                <w:szCs w:val="22"/>
                <w:lang w:val="en-US"/>
              </w:rPr>
              <w:t>4-</w:t>
            </w:r>
            <w:r w:rsidRPr="009978E3">
              <w:rPr>
                <w:rFonts w:eastAsia="MS Mincho"/>
                <w:color w:val="000000"/>
                <w:sz w:val="22"/>
                <w:szCs w:val="22"/>
                <w:lang w:val="en-US"/>
              </w:rPr>
              <w:t>In addition to the endemic vent fauna</w:t>
            </w:r>
            <w:r w:rsidRPr="009978E3">
              <w:rPr>
                <w:sz w:val="22"/>
                <w:szCs w:val="22"/>
              </w:rPr>
              <w:t xml:space="preserve">, </w:t>
            </w:r>
            <w:r w:rsidRPr="009978E3">
              <w:rPr>
                <w:rFonts w:eastAsia="MS Mincho"/>
                <w:color w:val="000000"/>
                <w:sz w:val="22"/>
                <w:szCs w:val="22"/>
                <w:lang w:val="en-US"/>
              </w:rPr>
              <w:t xml:space="preserve">there are also several topographical elevations associated with </w:t>
            </w:r>
            <w:r>
              <w:rPr>
                <w:rFonts w:eastAsia="MS Mincho"/>
                <w:color w:val="000000"/>
                <w:sz w:val="22"/>
                <w:szCs w:val="22"/>
                <w:lang w:val="en-US"/>
              </w:rPr>
              <w:t xml:space="preserve">the </w:t>
            </w:r>
            <w:r w:rsidRPr="009978E3">
              <w:rPr>
                <w:rFonts w:eastAsia="MS Mincho"/>
                <w:color w:val="000000"/>
                <w:sz w:val="22"/>
                <w:szCs w:val="22"/>
                <w:lang w:val="en-US"/>
              </w:rPr>
              <w:t xml:space="preserve">flanks of </w:t>
            </w:r>
            <w:r>
              <w:rPr>
                <w:rFonts w:eastAsia="MS Mincho"/>
                <w:color w:val="000000"/>
                <w:sz w:val="22"/>
                <w:szCs w:val="22"/>
                <w:lang w:val="en-US"/>
              </w:rPr>
              <w:t xml:space="preserve">the </w:t>
            </w:r>
            <w:r w:rsidRPr="009978E3">
              <w:rPr>
                <w:rFonts w:eastAsia="MS Mincho"/>
                <w:color w:val="000000"/>
                <w:sz w:val="22"/>
                <w:szCs w:val="22"/>
                <w:lang w:val="en-US"/>
              </w:rPr>
              <w:t>MAR</w:t>
            </w:r>
            <w:r>
              <w:rPr>
                <w:rFonts w:eastAsia="MS Mincho"/>
                <w:color w:val="000000"/>
                <w:sz w:val="22"/>
                <w:szCs w:val="22"/>
                <w:lang w:val="en-US"/>
              </w:rPr>
              <w:t>,</w:t>
            </w:r>
            <w:r w:rsidRPr="009978E3">
              <w:rPr>
                <w:rFonts w:eastAsia="MS Mincho"/>
                <w:color w:val="000000"/>
                <w:sz w:val="22"/>
                <w:szCs w:val="22"/>
                <w:lang w:val="en-US"/>
              </w:rPr>
              <w:t xml:space="preserve"> with reported endemic cold-water corals in the region of the Azores (Braga-Henriques </w:t>
            </w:r>
            <w:r w:rsidRPr="0006066A">
              <w:rPr>
                <w:i/>
                <w:color w:val="000000"/>
                <w:sz w:val="22"/>
                <w:szCs w:val="22"/>
                <w:lang w:val="en-US"/>
              </w:rPr>
              <w:t>et al</w:t>
            </w:r>
            <w:r w:rsidRPr="009978E3">
              <w:rPr>
                <w:rFonts w:eastAsia="MS Mincho"/>
                <w:color w:val="000000"/>
                <w:sz w:val="22"/>
                <w:szCs w:val="22"/>
                <w:lang w:val="en-US"/>
              </w:rPr>
              <w:t xml:space="preserve">., 2013; de Matos </w:t>
            </w:r>
            <w:r w:rsidRPr="0006066A">
              <w:rPr>
                <w:i/>
                <w:color w:val="000000"/>
                <w:sz w:val="22"/>
                <w:szCs w:val="22"/>
                <w:lang w:val="en-US"/>
              </w:rPr>
              <w:t>et al</w:t>
            </w:r>
            <w:r w:rsidRPr="009978E3">
              <w:rPr>
                <w:rFonts w:eastAsia="MS Mincho"/>
                <w:color w:val="000000"/>
                <w:sz w:val="22"/>
                <w:szCs w:val="22"/>
                <w:lang w:val="en-US"/>
              </w:rPr>
              <w:t xml:space="preserve"> 2014; Sampaio </w:t>
            </w:r>
            <w:r w:rsidRPr="0006066A">
              <w:rPr>
                <w:i/>
                <w:color w:val="000000"/>
                <w:sz w:val="22"/>
                <w:szCs w:val="22"/>
                <w:lang w:val="en-US"/>
              </w:rPr>
              <w:t>et al</w:t>
            </w:r>
            <w:r w:rsidRPr="009978E3">
              <w:rPr>
                <w:rFonts w:eastAsia="MS Mincho"/>
                <w:color w:val="000000"/>
                <w:sz w:val="22"/>
                <w:szCs w:val="22"/>
                <w:lang w:val="en-US"/>
              </w:rPr>
              <w:t>., 2019), i</w:t>
            </w:r>
            <w:r w:rsidRPr="009978E3">
              <w:rPr>
                <w:sz w:val="22"/>
                <w:szCs w:val="22"/>
                <w:lang w:val="en-US"/>
              </w:rPr>
              <w:t xml:space="preserve">ncluding a species of black coral </w:t>
            </w:r>
            <w:r>
              <w:rPr>
                <w:sz w:val="22"/>
                <w:szCs w:val="22"/>
                <w:lang w:val="en-US"/>
              </w:rPr>
              <w:t>(</w:t>
            </w:r>
            <w:r w:rsidRPr="009978E3">
              <w:rPr>
                <w:i/>
                <w:sz w:val="22"/>
                <w:szCs w:val="22"/>
                <w:lang w:val="en-US"/>
              </w:rPr>
              <w:t>Heteropathes opreski</w:t>
            </w:r>
            <w:r>
              <w:rPr>
                <w:i/>
                <w:sz w:val="22"/>
                <w:szCs w:val="22"/>
                <w:lang w:val="en-US"/>
              </w:rPr>
              <w:t>)</w:t>
            </w:r>
            <w:r>
              <w:rPr>
                <w:sz w:val="22"/>
                <w:szCs w:val="22"/>
                <w:lang w:val="en-US"/>
              </w:rPr>
              <w:t>that</w:t>
            </w:r>
            <w:r w:rsidRPr="009978E3">
              <w:rPr>
                <w:sz w:val="22"/>
                <w:szCs w:val="22"/>
                <w:lang w:val="en-US"/>
              </w:rPr>
              <w:t xml:space="preserve"> is known exclusively from the North MAR south of Azores at depths of 1,955–2,738 m at the Oceanographer fracture zone, (de Matos </w:t>
            </w:r>
            <w:r w:rsidRPr="0006066A">
              <w:rPr>
                <w:i/>
                <w:sz w:val="22"/>
                <w:szCs w:val="22"/>
                <w:lang w:val="en-US"/>
              </w:rPr>
              <w:t>et al</w:t>
            </w:r>
            <w:r w:rsidRPr="009978E3">
              <w:rPr>
                <w:sz w:val="22"/>
                <w:szCs w:val="22"/>
                <w:lang w:val="en-US"/>
              </w:rPr>
              <w:t xml:space="preserve">, 2014, Molodtsova, 2016). </w:t>
            </w:r>
          </w:p>
          <w:p w14:paraId="0B2C9EE7" w14:textId="77777777" w:rsidR="006B3F46" w:rsidRPr="0021277B" w:rsidRDefault="006B3F46" w:rsidP="00907941">
            <w:pPr>
              <w:widowControl w:val="0"/>
              <w:autoSpaceDE w:val="0"/>
              <w:autoSpaceDN w:val="0"/>
              <w:adjustRightInd w:val="0"/>
              <w:jc w:val="both"/>
              <w:rPr>
                <w:rFonts w:eastAsia="MS Mincho"/>
                <w:sz w:val="22"/>
                <w:szCs w:val="22"/>
                <w:lang w:val="en-US"/>
              </w:rPr>
            </w:pPr>
            <w:r>
              <w:rPr>
                <w:rFonts w:eastAsia="MS Mincho"/>
                <w:sz w:val="22"/>
                <w:szCs w:val="22"/>
                <w:lang w:val="en-US"/>
              </w:rPr>
              <w:t>5</w:t>
            </w:r>
            <w:r w:rsidRPr="009978E3">
              <w:rPr>
                <w:rFonts w:eastAsia="MS Mincho"/>
                <w:sz w:val="22"/>
                <w:szCs w:val="22"/>
                <w:lang w:val="en-US"/>
              </w:rPr>
              <w:t>- The vent communities are unique</w:t>
            </w:r>
            <w:r>
              <w:rPr>
                <w:rFonts w:eastAsia="MS Mincho"/>
                <w:sz w:val="22"/>
                <w:szCs w:val="22"/>
                <w:lang w:val="en-US"/>
              </w:rPr>
              <w:t>,</w:t>
            </w:r>
            <w:r w:rsidRPr="009978E3">
              <w:rPr>
                <w:rFonts w:eastAsia="MS Mincho"/>
                <w:sz w:val="22"/>
                <w:szCs w:val="22"/>
                <w:lang w:val="en-US"/>
              </w:rPr>
              <w:t xml:space="preserve"> and the species living in these areas have specialized adaptations. </w:t>
            </w:r>
            <w:r>
              <w:rPr>
                <w:rFonts w:eastAsia="MS Mincho"/>
                <w:sz w:val="22"/>
                <w:szCs w:val="22"/>
                <w:lang w:val="en-US"/>
              </w:rPr>
              <w:t>Such</w:t>
            </w:r>
            <w:r w:rsidRPr="009978E3">
              <w:rPr>
                <w:rFonts w:eastAsia="MS Mincho"/>
                <w:sz w:val="22"/>
                <w:szCs w:val="22"/>
                <w:lang w:val="en-US"/>
              </w:rPr>
              <w:t xml:space="preserve"> features allow the organisms to exploit vent habitats, endowed with major reorganization of internal tissues and physiologies to house microbial symbionts, biochemical adaptations to cope with sulphide poisoning, behavioral and molecular responses to high temperature, presence of metal-binding proteins and development of specialized sensory organs to locate hot chimneys (Tunnicliffe </w:t>
            </w:r>
            <w:r w:rsidRPr="0006066A">
              <w:rPr>
                <w:rFonts w:eastAsia="MS Mincho"/>
                <w:i/>
                <w:sz w:val="22"/>
                <w:szCs w:val="22"/>
                <w:lang w:val="en-US"/>
              </w:rPr>
              <w:t>et al</w:t>
            </w:r>
            <w:r w:rsidRPr="009978E3">
              <w:rPr>
                <w:rFonts w:eastAsia="MS Mincho"/>
                <w:sz w:val="22"/>
                <w:szCs w:val="22"/>
                <w:lang w:val="en-US"/>
              </w:rPr>
              <w:t xml:space="preserve">., 1998). </w:t>
            </w:r>
          </w:p>
        </w:tc>
      </w:tr>
      <w:tr w:rsidR="006B3F46" w:rsidRPr="0021277B" w14:paraId="6FA7C76C" w14:textId="77777777" w:rsidTr="00907941">
        <w:tc>
          <w:tcPr>
            <w:tcW w:w="783" w:type="pct"/>
            <w:shd w:val="clear" w:color="auto" w:fill="auto"/>
          </w:tcPr>
          <w:p w14:paraId="1845C348" w14:textId="77777777" w:rsidR="006B3F46" w:rsidRPr="00F66EF7" w:rsidRDefault="006B3F46" w:rsidP="00907941">
            <w:pPr>
              <w:widowControl w:val="0"/>
              <w:autoSpaceDE w:val="0"/>
              <w:autoSpaceDN w:val="0"/>
              <w:adjustRightInd w:val="0"/>
              <w:rPr>
                <w:rFonts w:eastAsia="MS Mincho"/>
                <w:b/>
                <w:bCs/>
                <w:color w:val="000000"/>
                <w:sz w:val="22"/>
                <w:szCs w:val="22"/>
                <w:lang w:val="en-US"/>
              </w:rPr>
            </w:pPr>
            <w:r w:rsidRPr="00F66EF7">
              <w:rPr>
                <w:rFonts w:eastAsia="MS Mincho"/>
                <w:b/>
                <w:bCs/>
                <w:color w:val="000000"/>
                <w:sz w:val="22"/>
                <w:szCs w:val="22"/>
                <w:lang w:val="en-US"/>
              </w:rPr>
              <w:t>Special importance for life-history stages of species</w:t>
            </w:r>
          </w:p>
        </w:tc>
        <w:tc>
          <w:tcPr>
            <w:tcW w:w="2280" w:type="pct"/>
            <w:shd w:val="clear" w:color="auto" w:fill="auto"/>
          </w:tcPr>
          <w:p w14:paraId="47616903"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Areas that are required for a population to survive and thrive.</w:t>
            </w:r>
          </w:p>
        </w:tc>
        <w:tc>
          <w:tcPr>
            <w:tcW w:w="684" w:type="pct"/>
            <w:gridSpan w:val="3"/>
            <w:shd w:val="clear" w:color="auto" w:fill="auto"/>
            <w:vAlign w:val="center"/>
          </w:tcPr>
          <w:p w14:paraId="7F067958"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366A1C55"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1FCDA9FE"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2FFF4932"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15F22718" w14:textId="77777777" w:rsidTr="00907941">
        <w:tc>
          <w:tcPr>
            <w:tcW w:w="5000" w:type="pct"/>
            <w:gridSpan w:val="11"/>
            <w:shd w:val="clear" w:color="auto" w:fill="auto"/>
          </w:tcPr>
          <w:p w14:paraId="129A6649" w14:textId="77777777" w:rsidR="006B3F46" w:rsidRPr="00F66EF7" w:rsidRDefault="006B3F46" w:rsidP="00907941">
            <w:pPr>
              <w:jc w:val="both"/>
              <w:rPr>
                <w:rFonts w:eastAsia="MS Mincho"/>
                <w:i/>
                <w:iCs/>
                <w:sz w:val="22"/>
                <w:szCs w:val="22"/>
                <w:lang w:val="en-US"/>
              </w:rPr>
            </w:pPr>
            <w:r w:rsidRPr="00F66EF7">
              <w:rPr>
                <w:rFonts w:eastAsia="MS Mincho"/>
                <w:i/>
                <w:iCs/>
                <w:sz w:val="22"/>
                <w:szCs w:val="22"/>
                <w:lang w:val="en-US"/>
              </w:rPr>
              <w:t>Explanation of ranking</w:t>
            </w:r>
          </w:p>
          <w:p w14:paraId="4852AF4C"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 xml:space="preserve">1-Most of the organisms colonizing these habitats are invertebrates and have larval stages that are subject to dispersal in an open system, although mechanisms of larval retention are developed to account for the large settlement events observed (Mullineaux &amp; France 1995, Marsh </w:t>
            </w:r>
            <w:r w:rsidRPr="0006066A">
              <w:rPr>
                <w:rFonts w:eastAsia="MS Mincho"/>
                <w:i/>
                <w:color w:val="000000"/>
                <w:sz w:val="22"/>
                <w:szCs w:val="22"/>
                <w:lang w:val="en-US"/>
              </w:rPr>
              <w:t>et al</w:t>
            </w:r>
            <w:r w:rsidRPr="009978E3">
              <w:rPr>
                <w:rFonts w:eastAsia="MS Mincho"/>
                <w:color w:val="000000"/>
                <w:sz w:val="22"/>
                <w:szCs w:val="22"/>
                <w:lang w:val="en-US"/>
              </w:rPr>
              <w:t xml:space="preserve">. 2001, Van Dover </w:t>
            </w:r>
            <w:r w:rsidRPr="009978E3">
              <w:rPr>
                <w:rFonts w:eastAsia="MS Mincho"/>
                <w:i/>
                <w:color w:val="000000"/>
                <w:sz w:val="22"/>
                <w:szCs w:val="22"/>
                <w:lang w:val="en-US"/>
              </w:rPr>
              <w:t>et al</w:t>
            </w:r>
            <w:r w:rsidRPr="009978E3">
              <w:rPr>
                <w:rFonts w:eastAsia="MS Mincho"/>
                <w:color w:val="000000"/>
                <w:sz w:val="22"/>
                <w:szCs w:val="22"/>
                <w:lang w:val="en-US"/>
              </w:rPr>
              <w:t xml:space="preserve">. 2001). </w:t>
            </w:r>
          </w:p>
          <w:p w14:paraId="271BD9F7"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2-The dominant symbiotrophic species span late winter so their planktotrophic larvae can eventually profit from the increase</w:t>
            </w:r>
            <w:r>
              <w:rPr>
                <w:rFonts w:eastAsia="MS Mincho"/>
                <w:color w:val="000000"/>
                <w:sz w:val="22"/>
                <w:szCs w:val="22"/>
                <w:lang w:val="en-US"/>
              </w:rPr>
              <w:t>d</w:t>
            </w:r>
            <w:r w:rsidRPr="009978E3">
              <w:rPr>
                <w:rFonts w:eastAsia="MS Mincho"/>
                <w:color w:val="000000"/>
                <w:sz w:val="22"/>
                <w:szCs w:val="22"/>
                <w:lang w:val="en-US"/>
              </w:rPr>
              <w:t xml:space="preserve"> productivity </w:t>
            </w:r>
            <w:r>
              <w:rPr>
                <w:rFonts w:eastAsia="MS Mincho"/>
                <w:color w:val="000000"/>
                <w:sz w:val="22"/>
                <w:szCs w:val="22"/>
                <w:lang w:val="en-US"/>
              </w:rPr>
              <w:t>in</w:t>
            </w:r>
            <w:r w:rsidRPr="009978E3">
              <w:rPr>
                <w:rFonts w:eastAsia="MS Mincho"/>
                <w:color w:val="000000"/>
                <w:sz w:val="22"/>
                <w:szCs w:val="22"/>
                <w:lang w:val="en-US"/>
              </w:rPr>
              <w:t xml:space="preserve"> the marine environment </w:t>
            </w:r>
            <w:r>
              <w:rPr>
                <w:rFonts w:eastAsia="MS Mincho"/>
                <w:color w:val="000000"/>
                <w:sz w:val="22"/>
                <w:szCs w:val="22"/>
                <w:lang w:val="en-US"/>
              </w:rPr>
              <w:t>each</w:t>
            </w:r>
            <w:r w:rsidRPr="009978E3">
              <w:rPr>
                <w:rFonts w:eastAsia="MS Mincho"/>
                <w:color w:val="000000"/>
                <w:sz w:val="22"/>
                <w:szCs w:val="22"/>
                <w:lang w:val="en-US"/>
              </w:rPr>
              <w:t xml:space="preserve"> spring (Colaço </w:t>
            </w:r>
            <w:r w:rsidRPr="0006066A">
              <w:rPr>
                <w:rFonts w:eastAsia="MS Mincho"/>
                <w:i/>
                <w:color w:val="000000"/>
                <w:sz w:val="22"/>
                <w:szCs w:val="22"/>
                <w:lang w:val="en-US"/>
              </w:rPr>
              <w:t>et al</w:t>
            </w:r>
            <w:r w:rsidRPr="009978E3">
              <w:rPr>
                <w:rFonts w:eastAsia="MS Mincho"/>
                <w:color w:val="000000"/>
                <w:sz w:val="22"/>
                <w:szCs w:val="22"/>
                <w:lang w:val="en-US"/>
              </w:rPr>
              <w:t xml:space="preserve">, 2006a; Dixon </w:t>
            </w:r>
            <w:r w:rsidRPr="0006066A">
              <w:rPr>
                <w:rFonts w:eastAsia="MS Mincho"/>
                <w:i/>
                <w:color w:val="000000"/>
                <w:sz w:val="22"/>
                <w:szCs w:val="22"/>
                <w:lang w:val="en-US"/>
              </w:rPr>
              <w:t>et al</w:t>
            </w:r>
            <w:r>
              <w:rPr>
                <w:rFonts w:eastAsia="MS Mincho"/>
                <w:i/>
                <w:color w:val="000000"/>
                <w:sz w:val="22"/>
                <w:szCs w:val="22"/>
                <w:lang w:val="en-US"/>
              </w:rPr>
              <w:t>.</w:t>
            </w:r>
            <w:r w:rsidRPr="009978E3">
              <w:rPr>
                <w:rFonts w:eastAsia="MS Mincho"/>
                <w:color w:val="000000"/>
                <w:sz w:val="22"/>
                <w:szCs w:val="22"/>
                <w:lang w:val="en-US"/>
              </w:rPr>
              <w:t xml:space="preserve"> 2006).</w:t>
            </w:r>
          </w:p>
          <w:p w14:paraId="7285AD06" w14:textId="77777777" w:rsidR="006B3F46" w:rsidRPr="009978E3" w:rsidRDefault="006B3F46" w:rsidP="00907941">
            <w:pPr>
              <w:widowControl w:val="0"/>
              <w:autoSpaceDE w:val="0"/>
              <w:autoSpaceDN w:val="0"/>
              <w:adjustRightInd w:val="0"/>
              <w:spacing w:after="120"/>
              <w:jc w:val="both"/>
              <w:rPr>
                <w:sz w:val="22"/>
                <w:szCs w:val="22"/>
                <w:lang w:val="en-US"/>
              </w:rPr>
            </w:pPr>
            <w:r w:rsidRPr="009978E3">
              <w:rPr>
                <w:rFonts w:eastAsia="MS Mincho"/>
                <w:color w:val="000000"/>
                <w:sz w:val="22"/>
                <w:szCs w:val="22"/>
                <w:lang w:val="en-US"/>
              </w:rPr>
              <w:t xml:space="preserve">3-Connectivity among vent fields is poorly known, with just two or three studies showing that there </w:t>
            </w:r>
            <w:r>
              <w:rPr>
                <w:rFonts w:eastAsia="MS Mincho"/>
                <w:color w:val="000000"/>
                <w:sz w:val="22"/>
                <w:szCs w:val="22"/>
                <w:lang w:val="en-US"/>
              </w:rPr>
              <w:t>are</w:t>
            </w:r>
            <w:r w:rsidRPr="009978E3">
              <w:rPr>
                <w:rFonts w:eastAsia="MS Mincho"/>
                <w:color w:val="000000"/>
                <w:sz w:val="22"/>
                <w:szCs w:val="22"/>
                <w:lang w:val="en-US"/>
              </w:rPr>
              <w:t xml:space="preserve"> genetic exchanges, however without know</w:t>
            </w:r>
            <w:r>
              <w:rPr>
                <w:rFonts w:eastAsia="MS Mincho"/>
                <w:color w:val="000000"/>
                <w:sz w:val="22"/>
                <w:szCs w:val="22"/>
                <w:lang w:val="en-US"/>
              </w:rPr>
              <w:t>ledge of</w:t>
            </w:r>
            <w:r w:rsidRPr="009978E3">
              <w:rPr>
                <w:rFonts w:eastAsia="MS Mincho"/>
                <w:color w:val="000000"/>
                <w:sz w:val="22"/>
                <w:szCs w:val="22"/>
                <w:lang w:val="en-US"/>
              </w:rPr>
              <w:t xml:space="preserve"> the time it takes for the exchanges</w:t>
            </w:r>
            <w:r>
              <w:rPr>
                <w:rFonts w:eastAsia="MS Mincho"/>
                <w:color w:val="000000"/>
                <w:sz w:val="22"/>
                <w:szCs w:val="22"/>
                <w:lang w:val="en-US"/>
              </w:rPr>
              <w:t xml:space="preserve"> to take place</w:t>
            </w:r>
            <w:r w:rsidRPr="009978E3">
              <w:rPr>
                <w:rFonts w:eastAsia="MS Mincho"/>
                <w:color w:val="000000"/>
                <w:sz w:val="22"/>
                <w:szCs w:val="22"/>
                <w:lang w:val="en-US"/>
              </w:rPr>
              <w:t xml:space="preserve"> (</w:t>
            </w:r>
            <w:r w:rsidRPr="009978E3">
              <w:rPr>
                <w:sz w:val="22"/>
                <w:szCs w:val="22"/>
                <w:lang w:val="en-US"/>
              </w:rPr>
              <w:t xml:space="preserve">Teixeira </w:t>
            </w:r>
            <w:r w:rsidRPr="0006066A">
              <w:rPr>
                <w:i/>
                <w:sz w:val="22"/>
                <w:szCs w:val="22"/>
                <w:lang w:val="en-US"/>
              </w:rPr>
              <w:t>et al</w:t>
            </w:r>
            <w:r>
              <w:rPr>
                <w:i/>
                <w:sz w:val="22"/>
                <w:szCs w:val="22"/>
                <w:lang w:val="en-US"/>
              </w:rPr>
              <w:t>.</w:t>
            </w:r>
            <w:r w:rsidRPr="009978E3">
              <w:rPr>
                <w:sz w:val="22"/>
                <w:szCs w:val="22"/>
                <w:lang w:val="en-US"/>
              </w:rPr>
              <w:t xml:space="preserve">, 2012, Breusing </w:t>
            </w:r>
            <w:r w:rsidRPr="0006066A">
              <w:rPr>
                <w:i/>
                <w:sz w:val="22"/>
                <w:szCs w:val="22"/>
                <w:lang w:val="en-US"/>
              </w:rPr>
              <w:t>et al</w:t>
            </w:r>
            <w:r>
              <w:rPr>
                <w:i/>
                <w:sz w:val="22"/>
                <w:szCs w:val="22"/>
                <w:lang w:val="en-US"/>
              </w:rPr>
              <w:t>.</w:t>
            </w:r>
            <w:r w:rsidRPr="009978E3">
              <w:rPr>
                <w:sz w:val="22"/>
                <w:szCs w:val="22"/>
                <w:lang w:val="en-US"/>
              </w:rPr>
              <w:t>, 2016)</w:t>
            </w:r>
          </w:p>
          <w:p w14:paraId="0D4BA649" w14:textId="77777777" w:rsidR="006B3F46" w:rsidRPr="009978E3" w:rsidRDefault="006B3F46" w:rsidP="00907941">
            <w:pPr>
              <w:spacing w:after="120"/>
              <w:jc w:val="both"/>
              <w:rPr>
                <w:sz w:val="22"/>
                <w:szCs w:val="22"/>
              </w:rPr>
            </w:pPr>
            <w:r w:rsidRPr="009978E3">
              <w:rPr>
                <w:sz w:val="22"/>
                <w:szCs w:val="22"/>
              </w:rPr>
              <w:t xml:space="preserve">4-Blue shark nursery at the Central North Atlantic, roughly delimited by the Azores archipelago in the North, the Atlantis–Great Meteor seamount complex in the South and the Mid-Atlantic </w:t>
            </w:r>
            <w:r>
              <w:rPr>
                <w:sz w:val="22"/>
                <w:szCs w:val="22"/>
              </w:rPr>
              <w:t>R</w:t>
            </w:r>
            <w:r w:rsidRPr="009978E3">
              <w:rPr>
                <w:sz w:val="22"/>
                <w:szCs w:val="22"/>
              </w:rPr>
              <w:t xml:space="preserve">idge in the South-West (Vandeperre </w:t>
            </w:r>
            <w:r w:rsidRPr="0006066A">
              <w:rPr>
                <w:i/>
                <w:sz w:val="22"/>
                <w:szCs w:val="22"/>
              </w:rPr>
              <w:t>et al</w:t>
            </w:r>
            <w:r>
              <w:rPr>
                <w:i/>
                <w:sz w:val="22"/>
                <w:szCs w:val="22"/>
              </w:rPr>
              <w:t>.</w:t>
            </w:r>
            <w:r w:rsidRPr="009978E3">
              <w:rPr>
                <w:sz w:val="22"/>
                <w:szCs w:val="22"/>
              </w:rPr>
              <w:t>, 2014)</w:t>
            </w:r>
          </w:p>
          <w:p w14:paraId="2A36EF99" w14:textId="77777777" w:rsidR="006B3F46" w:rsidRPr="009978E3" w:rsidRDefault="006B3F46" w:rsidP="00907941">
            <w:pPr>
              <w:spacing w:after="120"/>
              <w:jc w:val="both"/>
              <w:rPr>
                <w:sz w:val="22"/>
                <w:szCs w:val="22"/>
                <w:lang w:val="en-US"/>
              </w:rPr>
            </w:pPr>
            <w:r w:rsidRPr="009978E3">
              <w:rPr>
                <w:rFonts w:eastAsia="MS Mincho"/>
                <w:color w:val="000000"/>
                <w:sz w:val="22"/>
                <w:szCs w:val="22"/>
              </w:rPr>
              <w:t>5</w:t>
            </w:r>
            <w:r w:rsidRPr="009978E3">
              <w:rPr>
                <w:rFonts w:eastAsia="MS Mincho"/>
                <w:color w:val="000000"/>
                <w:sz w:val="22"/>
                <w:szCs w:val="22"/>
                <w:lang w:val="en-US"/>
              </w:rPr>
              <w:t xml:space="preserve">- </w:t>
            </w:r>
            <w:r>
              <w:rPr>
                <w:rFonts w:eastAsia="MS Mincho"/>
                <w:color w:val="000000"/>
                <w:sz w:val="22"/>
                <w:szCs w:val="22"/>
                <w:lang w:val="en-US"/>
              </w:rPr>
              <w:t>S</w:t>
            </w:r>
            <w:r w:rsidRPr="009978E3">
              <w:rPr>
                <w:rFonts w:eastAsia="MS Mincho"/>
                <w:color w:val="000000"/>
                <w:sz w:val="22"/>
                <w:szCs w:val="22"/>
                <w:lang w:val="en-US"/>
              </w:rPr>
              <w:t>everal species of seabirds use these areas as foraging grounds during their breeding (</w:t>
            </w:r>
            <w:r>
              <w:rPr>
                <w:rFonts w:eastAsia="MS Mincho"/>
                <w:color w:val="000000"/>
                <w:sz w:val="22"/>
                <w:szCs w:val="22"/>
                <w:lang w:val="en-US"/>
              </w:rPr>
              <w:t>e.g.,</w:t>
            </w:r>
            <w:r w:rsidRPr="009978E3">
              <w:rPr>
                <w:rFonts w:eastAsia="MS Mincho"/>
                <w:color w:val="000000"/>
                <w:sz w:val="22"/>
                <w:szCs w:val="22"/>
                <w:lang w:val="en-US"/>
              </w:rPr>
              <w:t xml:space="preserve"> </w:t>
            </w:r>
            <w:r w:rsidRPr="009978E3">
              <w:rPr>
                <w:rFonts w:eastAsia="MS Mincho"/>
                <w:i/>
                <w:color w:val="000000"/>
                <w:sz w:val="22"/>
                <w:szCs w:val="22"/>
                <w:lang w:val="en-US"/>
              </w:rPr>
              <w:t>Calonectris borealis</w:t>
            </w:r>
            <w:r w:rsidRPr="009978E3">
              <w:rPr>
                <w:rFonts w:eastAsia="MS Mincho"/>
                <w:color w:val="000000"/>
                <w:sz w:val="22"/>
                <w:szCs w:val="22"/>
                <w:lang w:val="en-US"/>
              </w:rPr>
              <w:t>,</w:t>
            </w:r>
            <w:r w:rsidRPr="009978E3">
              <w:rPr>
                <w:sz w:val="22"/>
                <w:szCs w:val="22"/>
              </w:rPr>
              <w:t xml:space="preserve"> </w:t>
            </w:r>
            <w:r w:rsidRPr="009978E3">
              <w:rPr>
                <w:rFonts w:eastAsia="MS Mincho"/>
                <w:i/>
                <w:color w:val="000000"/>
                <w:sz w:val="22"/>
                <w:szCs w:val="22"/>
                <w:lang w:val="en-US"/>
              </w:rPr>
              <w:t>Puffinus lherminieri baroli</w:t>
            </w:r>
            <w:r w:rsidRPr="009978E3">
              <w:rPr>
                <w:rFonts w:eastAsia="MS Mincho"/>
                <w:color w:val="000000"/>
                <w:sz w:val="22"/>
                <w:szCs w:val="22"/>
                <w:lang w:val="en-US"/>
              </w:rPr>
              <w:t xml:space="preserve">, </w:t>
            </w:r>
            <w:r w:rsidRPr="009978E3">
              <w:rPr>
                <w:rFonts w:eastAsia="MS Mincho"/>
                <w:i/>
                <w:color w:val="000000"/>
                <w:sz w:val="22"/>
                <w:szCs w:val="22"/>
                <w:lang w:val="en-US"/>
              </w:rPr>
              <w:t>Pterodroma deserta</w:t>
            </w:r>
            <w:r w:rsidRPr="009978E3">
              <w:rPr>
                <w:rFonts w:eastAsia="MS Mincho"/>
                <w:color w:val="000000"/>
                <w:sz w:val="22"/>
                <w:szCs w:val="22"/>
                <w:lang w:val="en-US"/>
              </w:rPr>
              <w:t xml:space="preserve">, </w:t>
            </w:r>
            <w:r w:rsidRPr="009978E3">
              <w:rPr>
                <w:rFonts w:eastAsia="MS Mincho"/>
                <w:i/>
                <w:color w:val="000000"/>
                <w:sz w:val="22"/>
                <w:szCs w:val="22"/>
                <w:lang w:val="en-US"/>
              </w:rPr>
              <w:t>Pterodroma madeira</w:t>
            </w:r>
            <w:r w:rsidRPr="009978E3">
              <w:rPr>
                <w:rFonts w:eastAsia="MS Mincho"/>
                <w:color w:val="000000"/>
                <w:sz w:val="22"/>
                <w:szCs w:val="22"/>
                <w:lang w:val="en-US"/>
              </w:rPr>
              <w:t xml:space="preserve">, </w:t>
            </w:r>
            <w:r w:rsidRPr="009978E3">
              <w:rPr>
                <w:rFonts w:eastAsia="MS Mincho"/>
                <w:i/>
                <w:color w:val="000000"/>
                <w:sz w:val="22"/>
                <w:szCs w:val="22"/>
                <w:lang w:val="en-US"/>
              </w:rPr>
              <w:t>Bulweria bulwerii</w:t>
            </w:r>
            <w:r w:rsidRPr="009978E3">
              <w:rPr>
                <w:rFonts w:eastAsia="MS Mincho"/>
                <w:color w:val="000000"/>
                <w:sz w:val="22"/>
                <w:szCs w:val="22"/>
                <w:lang w:val="en-US"/>
              </w:rPr>
              <w:t>) or non-breeding season (</w:t>
            </w:r>
            <w:r w:rsidRPr="009978E3">
              <w:rPr>
                <w:rFonts w:eastAsia="MS Mincho"/>
                <w:i/>
                <w:color w:val="000000"/>
                <w:sz w:val="22"/>
                <w:szCs w:val="22"/>
                <w:lang w:val="en-US"/>
              </w:rPr>
              <w:t>Calonectris diomedea, Puffinus puffinus, Rissa tridactyla, Catharacta maccormicki, Catharacta skua</w:t>
            </w:r>
            <w:r w:rsidRPr="009978E3">
              <w:rPr>
                <w:rFonts w:eastAsia="MS Mincho"/>
                <w:color w:val="000000"/>
                <w:sz w:val="22"/>
                <w:szCs w:val="22"/>
                <w:lang w:val="en-US"/>
              </w:rPr>
              <w:t xml:space="preserve"> and </w:t>
            </w:r>
            <w:r w:rsidRPr="009978E3">
              <w:rPr>
                <w:rFonts w:eastAsia="MS Mincho"/>
                <w:i/>
                <w:color w:val="000000"/>
                <w:sz w:val="22"/>
                <w:szCs w:val="22"/>
                <w:lang w:val="en-US"/>
              </w:rPr>
              <w:t>Stercorarius longicaudus</w:t>
            </w:r>
            <w:r w:rsidRPr="009978E3">
              <w:rPr>
                <w:rFonts w:eastAsia="MS Mincho"/>
                <w:color w:val="000000"/>
                <w:sz w:val="22"/>
                <w:szCs w:val="22"/>
                <w:lang w:val="en-US"/>
              </w:rPr>
              <w:t xml:space="preserve">) (BirdLife International 2019). </w:t>
            </w:r>
          </w:p>
          <w:p w14:paraId="18929973" w14:textId="77777777" w:rsidR="006B3F46" w:rsidRDefault="006B3F46" w:rsidP="00907941">
            <w:pPr>
              <w:jc w:val="both"/>
              <w:rPr>
                <w:rFonts w:eastAsia="MS Mincho"/>
                <w:sz w:val="22"/>
                <w:szCs w:val="22"/>
                <w:lang w:val="en-US"/>
              </w:rPr>
            </w:pPr>
            <w:r w:rsidRPr="009978E3">
              <w:rPr>
                <w:rFonts w:eastAsia="MS Mincho"/>
                <w:sz w:val="22"/>
                <w:szCs w:val="22"/>
                <w:lang w:val="en-US"/>
              </w:rPr>
              <w:t>6-Corals and sponges of topographic highs (</w:t>
            </w:r>
            <w:r>
              <w:rPr>
                <w:rFonts w:eastAsia="MS Mincho"/>
                <w:sz w:val="22"/>
                <w:szCs w:val="22"/>
                <w:lang w:val="en-US"/>
              </w:rPr>
              <w:t>e.g.,</w:t>
            </w:r>
            <w:r w:rsidRPr="009978E3">
              <w:rPr>
                <w:rFonts w:eastAsia="MS Mincho"/>
                <w:sz w:val="22"/>
                <w:szCs w:val="22"/>
                <w:lang w:val="en-US"/>
              </w:rPr>
              <w:t xml:space="preserve"> Albert de Monaco Ridge) also serve as important spawning, nursery, breeding and feeding areas for a multitude of fishes and invertebrates (Pham </w:t>
            </w:r>
            <w:r w:rsidRPr="0006066A">
              <w:rPr>
                <w:rFonts w:eastAsia="MS Mincho"/>
                <w:i/>
                <w:sz w:val="22"/>
                <w:szCs w:val="22"/>
                <w:lang w:val="en-US"/>
              </w:rPr>
              <w:t>et al</w:t>
            </w:r>
            <w:r>
              <w:rPr>
                <w:rFonts w:eastAsia="MS Mincho"/>
                <w:i/>
                <w:sz w:val="22"/>
                <w:szCs w:val="22"/>
                <w:lang w:val="en-US"/>
              </w:rPr>
              <w:t>.</w:t>
            </w:r>
            <w:r w:rsidRPr="009978E3">
              <w:rPr>
                <w:rFonts w:eastAsia="MS Mincho"/>
                <w:sz w:val="22"/>
                <w:szCs w:val="22"/>
                <w:lang w:val="en-US"/>
              </w:rPr>
              <w:t xml:space="preserve"> 2015, Pereira et a</w:t>
            </w:r>
            <w:r>
              <w:rPr>
                <w:rFonts w:eastAsia="MS Mincho"/>
                <w:sz w:val="22"/>
                <w:szCs w:val="22"/>
                <w:lang w:val="en-US"/>
              </w:rPr>
              <w:t>l.</w:t>
            </w:r>
            <w:r w:rsidRPr="009978E3">
              <w:rPr>
                <w:rFonts w:eastAsia="MS Mincho"/>
                <w:sz w:val="22"/>
                <w:szCs w:val="22"/>
                <w:lang w:val="en-US"/>
              </w:rPr>
              <w:t xml:space="preserve"> 2017, Porteiro </w:t>
            </w:r>
            <w:r w:rsidRPr="0006066A">
              <w:rPr>
                <w:rFonts w:eastAsia="MS Mincho"/>
                <w:i/>
                <w:sz w:val="22"/>
                <w:szCs w:val="22"/>
                <w:lang w:val="en-US"/>
              </w:rPr>
              <w:t>et al</w:t>
            </w:r>
            <w:r>
              <w:rPr>
                <w:rFonts w:eastAsia="MS Mincho"/>
                <w:i/>
                <w:sz w:val="22"/>
                <w:szCs w:val="22"/>
                <w:lang w:val="en-US"/>
              </w:rPr>
              <w:t>.</w:t>
            </w:r>
            <w:r w:rsidRPr="009978E3">
              <w:rPr>
                <w:rFonts w:eastAsia="MS Mincho"/>
                <w:sz w:val="22"/>
                <w:szCs w:val="22"/>
                <w:lang w:val="en-US"/>
              </w:rPr>
              <w:t xml:space="preserve">, 2013 Ashford </w:t>
            </w:r>
            <w:r w:rsidRPr="0006066A">
              <w:rPr>
                <w:rFonts w:eastAsia="MS Mincho"/>
                <w:i/>
                <w:sz w:val="22"/>
                <w:szCs w:val="22"/>
                <w:lang w:val="en-US"/>
              </w:rPr>
              <w:t>et al</w:t>
            </w:r>
            <w:r>
              <w:rPr>
                <w:rFonts w:eastAsia="MS Mincho"/>
                <w:i/>
                <w:sz w:val="22"/>
                <w:szCs w:val="22"/>
                <w:lang w:val="en-US"/>
              </w:rPr>
              <w:t>.</w:t>
            </w:r>
            <w:r w:rsidRPr="009978E3">
              <w:rPr>
                <w:rFonts w:eastAsia="MS Mincho"/>
                <w:sz w:val="22"/>
                <w:szCs w:val="22"/>
                <w:lang w:val="en-US"/>
              </w:rPr>
              <w:t>, 2019).</w:t>
            </w:r>
          </w:p>
          <w:p w14:paraId="4B159496" w14:textId="77777777" w:rsidR="006B3F46" w:rsidRPr="009978E3" w:rsidRDefault="006B3F46" w:rsidP="00907941">
            <w:pPr>
              <w:rPr>
                <w:rFonts w:eastAsia="MS Mincho"/>
                <w:color w:val="000000"/>
                <w:sz w:val="22"/>
                <w:szCs w:val="22"/>
                <w:lang w:val="en-US"/>
              </w:rPr>
            </w:pPr>
          </w:p>
        </w:tc>
      </w:tr>
      <w:tr w:rsidR="006B3F46" w:rsidRPr="0021277B" w14:paraId="58713352" w14:textId="77777777" w:rsidTr="00907941">
        <w:tc>
          <w:tcPr>
            <w:tcW w:w="783" w:type="pct"/>
            <w:shd w:val="clear" w:color="auto" w:fill="auto"/>
          </w:tcPr>
          <w:p w14:paraId="05D28D14" w14:textId="77777777" w:rsidR="006B3F46" w:rsidRPr="00F66EF7" w:rsidRDefault="006B3F46" w:rsidP="00907941">
            <w:pPr>
              <w:widowControl w:val="0"/>
              <w:autoSpaceDE w:val="0"/>
              <w:autoSpaceDN w:val="0"/>
              <w:adjustRightInd w:val="0"/>
              <w:rPr>
                <w:rFonts w:eastAsia="MS Mincho"/>
                <w:b/>
                <w:bCs/>
                <w:color w:val="000000"/>
                <w:sz w:val="22"/>
                <w:szCs w:val="22"/>
                <w:lang w:val="en-US"/>
              </w:rPr>
            </w:pPr>
            <w:r w:rsidRPr="00F66EF7">
              <w:rPr>
                <w:rFonts w:eastAsia="MS Mincho"/>
                <w:b/>
                <w:bCs/>
                <w:color w:val="000000"/>
                <w:sz w:val="22"/>
                <w:szCs w:val="22"/>
                <w:lang w:val="en-US"/>
              </w:rPr>
              <w:t>Importance for threatened, endangered or declining species and/or habitats</w:t>
            </w:r>
          </w:p>
        </w:tc>
        <w:tc>
          <w:tcPr>
            <w:tcW w:w="2280" w:type="pct"/>
            <w:shd w:val="clear" w:color="auto" w:fill="auto"/>
          </w:tcPr>
          <w:p w14:paraId="797AE512"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7AB2D534"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39AA1ADC"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4DD54436"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09A6A0BD"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104F4CDA" w14:textId="77777777" w:rsidTr="00907941">
        <w:tc>
          <w:tcPr>
            <w:tcW w:w="5000" w:type="pct"/>
            <w:gridSpan w:val="11"/>
            <w:shd w:val="clear" w:color="auto" w:fill="auto"/>
          </w:tcPr>
          <w:p w14:paraId="09CAC7A1" w14:textId="77777777" w:rsidR="006B3F46" w:rsidRPr="009978E3" w:rsidRDefault="006B3F46" w:rsidP="00907941">
            <w:pPr>
              <w:jc w:val="both"/>
              <w:rPr>
                <w:rFonts w:eastAsia="MS Mincho"/>
                <w:i/>
                <w:iCs/>
                <w:sz w:val="22"/>
                <w:szCs w:val="22"/>
                <w:lang w:val="en-US"/>
              </w:rPr>
            </w:pPr>
            <w:r w:rsidRPr="00F66EF7">
              <w:rPr>
                <w:rFonts w:eastAsia="MS Mincho"/>
                <w:i/>
                <w:iCs/>
                <w:sz w:val="22"/>
                <w:szCs w:val="22"/>
                <w:lang w:val="en-US"/>
              </w:rPr>
              <w:t>Explanation of ranking</w:t>
            </w:r>
          </w:p>
          <w:p w14:paraId="4359221C"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1- The area contains one threatened and/or declining habitat, contained in the OSPAR List (OSPAR publication 2008/358): Oceanic ridges with hydrothermal vents/fields (OSPAR, 2014)</w:t>
            </w:r>
            <w:r>
              <w:rPr>
                <w:rFonts w:eastAsia="MS Mincho"/>
                <w:sz w:val="22"/>
                <w:szCs w:val="22"/>
                <w:lang w:val="en-US"/>
              </w:rPr>
              <w:t>.</w:t>
            </w:r>
          </w:p>
          <w:p w14:paraId="4D7E75F8" w14:textId="77777777" w:rsidR="006B3F46" w:rsidRPr="009978E3" w:rsidRDefault="006B3F46" w:rsidP="00907941">
            <w:pPr>
              <w:widowControl w:val="0"/>
              <w:autoSpaceDE w:val="0"/>
              <w:autoSpaceDN w:val="0"/>
              <w:adjustRightInd w:val="0"/>
              <w:spacing w:after="120"/>
              <w:jc w:val="both"/>
              <w:rPr>
                <w:sz w:val="22"/>
                <w:szCs w:val="22"/>
              </w:rPr>
            </w:pPr>
            <w:r w:rsidRPr="009978E3">
              <w:rPr>
                <w:sz w:val="22"/>
                <w:szCs w:val="22"/>
                <w:lang w:val="en-US"/>
              </w:rPr>
              <w:t xml:space="preserve">2-Cold-water coral species of the </w:t>
            </w:r>
            <w:r>
              <w:rPr>
                <w:sz w:val="22"/>
                <w:szCs w:val="22"/>
                <w:lang w:val="en-US"/>
              </w:rPr>
              <w:t>o</w:t>
            </w:r>
            <w:r w:rsidRPr="009978E3">
              <w:rPr>
                <w:sz w:val="22"/>
                <w:szCs w:val="22"/>
                <w:lang w:val="en-US"/>
              </w:rPr>
              <w:t>rder Antipatharia (</w:t>
            </w:r>
            <w:r>
              <w:rPr>
                <w:sz w:val="22"/>
                <w:szCs w:val="22"/>
                <w:lang w:val="en-US"/>
              </w:rPr>
              <w:t>e.g.,</w:t>
            </w:r>
            <w:r w:rsidRPr="009978E3">
              <w:rPr>
                <w:sz w:val="22"/>
                <w:szCs w:val="22"/>
                <w:lang w:val="en-US"/>
              </w:rPr>
              <w:t xml:space="preserve"> black corals </w:t>
            </w:r>
            <w:r w:rsidRPr="009978E3">
              <w:rPr>
                <w:i/>
                <w:sz w:val="22"/>
                <w:szCs w:val="22"/>
                <w:lang w:val="en-US"/>
              </w:rPr>
              <w:t>Leiopathes</w:t>
            </w:r>
            <w:r w:rsidRPr="009978E3">
              <w:rPr>
                <w:sz w:val="22"/>
                <w:szCs w:val="22"/>
                <w:lang w:val="en-US"/>
              </w:rPr>
              <w:t xml:space="preserve"> sp, </w:t>
            </w:r>
            <w:r w:rsidRPr="009978E3">
              <w:rPr>
                <w:i/>
                <w:sz w:val="22"/>
                <w:szCs w:val="22"/>
                <w:lang w:val="en-US"/>
              </w:rPr>
              <w:t>Bathypathes</w:t>
            </w:r>
            <w:r w:rsidRPr="009978E3">
              <w:rPr>
                <w:sz w:val="22"/>
                <w:szCs w:val="22"/>
                <w:lang w:val="en-US"/>
              </w:rPr>
              <w:t xml:space="preserve"> sp), Scleractinia (</w:t>
            </w:r>
            <w:r>
              <w:rPr>
                <w:sz w:val="22"/>
                <w:szCs w:val="22"/>
                <w:lang w:val="en-US"/>
              </w:rPr>
              <w:t>e.g.,</w:t>
            </w:r>
            <w:r w:rsidRPr="009978E3">
              <w:rPr>
                <w:sz w:val="22"/>
                <w:szCs w:val="22"/>
                <w:lang w:val="en-US"/>
              </w:rPr>
              <w:t xml:space="preserve"> reef</w:t>
            </w:r>
            <w:r>
              <w:rPr>
                <w:sz w:val="22"/>
                <w:szCs w:val="22"/>
                <w:lang w:val="en-US"/>
              </w:rPr>
              <w:t>-</w:t>
            </w:r>
            <w:r w:rsidRPr="009978E3">
              <w:rPr>
                <w:sz w:val="22"/>
                <w:szCs w:val="22"/>
                <w:lang w:val="en-US"/>
              </w:rPr>
              <w:t xml:space="preserve">building corals </w:t>
            </w:r>
            <w:r w:rsidRPr="009978E3">
              <w:rPr>
                <w:i/>
                <w:sz w:val="22"/>
                <w:szCs w:val="22"/>
                <w:lang w:val="en-US"/>
              </w:rPr>
              <w:t>Lophelia pertusa, Madrepora oculata</w:t>
            </w:r>
            <w:r w:rsidRPr="009978E3">
              <w:rPr>
                <w:sz w:val="22"/>
                <w:szCs w:val="22"/>
                <w:lang w:val="en-US"/>
              </w:rPr>
              <w:t>) and family Stylasteridae (</w:t>
            </w:r>
            <w:r>
              <w:rPr>
                <w:sz w:val="22"/>
                <w:szCs w:val="22"/>
                <w:lang w:val="en-US"/>
              </w:rPr>
              <w:t>e.g.,</w:t>
            </w:r>
            <w:r w:rsidRPr="009978E3">
              <w:rPr>
                <w:sz w:val="22"/>
                <w:szCs w:val="22"/>
                <w:lang w:val="en-US"/>
              </w:rPr>
              <w:t xml:space="preserve"> </w:t>
            </w:r>
            <w:r w:rsidRPr="009978E3">
              <w:rPr>
                <w:i/>
                <w:sz w:val="22"/>
                <w:szCs w:val="22"/>
                <w:lang w:val="en-US"/>
              </w:rPr>
              <w:t xml:space="preserve">Errina </w:t>
            </w:r>
            <w:r w:rsidRPr="009978E3">
              <w:rPr>
                <w:sz w:val="22"/>
                <w:szCs w:val="22"/>
                <w:lang w:val="en-US"/>
              </w:rPr>
              <w:t xml:space="preserve">spp, </w:t>
            </w:r>
            <w:r w:rsidRPr="009978E3">
              <w:rPr>
                <w:i/>
                <w:sz w:val="22"/>
                <w:szCs w:val="22"/>
                <w:lang w:val="en-US"/>
              </w:rPr>
              <w:t>Stylaster</w:t>
            </w:r>
            <w:r w:rsidRPr="009978E3">
              <w:rPr>
                <w:sz w:val="22"/>
                <w:szCs w:val="22"/>
                <w:lang w:val="en-US"/>
              </w:rPr>
              <w:t xml:space="preserve"> spp), are listed under </w:t>
            </w:r>
            <w:r>
              <w:rPr>
                <w:sz w:val="22"/>
                <w:szCs w:val="22"/>
                <w:lang w:val="en-US"/>
              </w:rPr>
              <w:t xml:space="preserve">CITES </w:t>
            </w:r>
            <w:r w:rsidRPr="009978E3">
              <w:rPr>
                <w:sz w:val="22"/>
                <w:szCs w:val="22"/>
                <w:lang w:val="en-US"/>
              </w:rPr>
              <w:t>Appendix II (https://www.cites.org/eng/app/appendices.php).</w:t>
            </w:r>
            <w:r w:rsidRPr="009978E3">
              <w:rPr>
                <w:sz w:val="22"/>
                <w:szCs w:val="22"/>
              </w:rPr>
              <w:t xml:space="preserve"> Many of these habitats, including </w:t>
            </w:r>
            <w:r w:rsidRPr="009978E3">
              <w:rPr>
                <w:sz w:val="22"/>
                <w:szCs w:val="22"/>
                <w:lang w:val="en-US"/>
              </w:rPr>
              <w:t xml:space="preserve">the cold-water coral gardens and sponge </w:t>
            </w:r>
            <w:r w:rsidRPr="009978E3">
              <w:rPr>
                <w:sz w:val="22"/>
                <w:szCs w:val="22"/>
              </w:rPr>
              <w:t>aggregations, sea-pen and burrowing megafauna communities, as well as oceanic ridges with hydrothermal vents and seamounts are all listed on the OSPAR List of Threatened and/or Declining Species and Habitats (OSPAR 2009; 2010a.,b,c,d).</w:t>
            </w:r>
          </w:p>
          <w:p w14:paraId="07809738" w14:textId="77777777" w:rsidR="006B3F46" w:rsidRPr="009978E3" w:rsidRDefault="006B3F46" w:rsidP="00907941">
            <w:pPr>
              <w:autoSpaceDE w:val="0"/>
              <w:autoSpaceDN w:val="0"/>
              <w:adjustRightInd w:val="0"/>
              <w:spacing w:after="120"/>
              <w:jc w:val="both"/>
              <w:rPr>
                <w:sz w:val="22"/>
                <w:szCs w:val="22"/>
              </w:rPr>
            </w:pPr>
            <w:r w:rsidRPr="009978E3">
              <w:rPr>
                <w:sz w:val="22"/>
                <w:szCs w:val="22"/>
              </w:rPr>
              <w:t xml:space="preserve">3- </w:t>
            </w:r>
            <w:r w:rsidRPr="009978E3">
              <w:rPr>
                <w:rFonts w:eastAsia="MS Mincho"/>
                <w:sz w:val="22"/>
                <w:szCs w:val="22"/>
                <w:lang w:val="en-US"/>
              </w:rPr>
              <w:t xml:space="preserve">The occurrence of three species under OSPAR legal protection was recorded in the area: </w:t>
            </w:r>
            <w:r w:rsidRPr="009978E3">
              <w:rPr>
                <w:rFonts w:eastAsia="MS Mincho"/>
                <w:i/>
                <w:sz w:val="22"/>
                <w:szCs w:val="22"/>
                <w:lang w:val="en-US"/>
              </w:rPr>
              <w:t>Centrophorus granulosus</w:t>
            </w:r>
            <w:r w:rsidRPr="009978E3">
              <w:rPr>
                <w:rFonts w:eastAsia="MS Mincho"/>
                <w:sz w:val="22"/>
                <w:szCs w:val="22"/>
                <w:lang w:val="en-US"/>
              </w:rPr>
              <w:t xml:space="preserve">, </w:t>
            </w:r>
            <w:r w:rsidRPr="009978E3">
              <w:rPr>
                <w:rFonts w:eastAsia="MS Mincho"/>
                <w:i/>
                <w:sz w:val="22"/>
                <w:szCs w:val="22"/>
                <w:lang w:val="en-US"/>
              </w:rPr>
              <w:t>Centrophorus squamosus</w:t>
            </w:r>
            <w:r w:rsidRPr="009978E3">
              <w:rPr>
                <w:rFonts w:eastAsia="MS Mincho"/>
                <w:sz w:val="22"/>
                <w:szCs w:val="22"/>
                <w:lang w:val="en-US"/>
              </w:rPr>
              <w:t xml:space="preserve"> and</w:t>
            </w:r>
            <w:r w:rsidRPr="009978E3">
              <w:rPr>
                <w:sz w:val="22"/>
                <w:szCs w:val="22"/>
              </w:rPr>
              <w:t xml:space="preserve"> </w:t>
            </w:r>
            <w:r w:rsidRPr="009978E3">
              <w:rPr>
                <w:rFonts w:eastAsia="MS Mincho"/>
                <w:i/>
                <w:sz w:val="22"/>
                <w:szCs w:val="22"/>
                <w:lang w:val="en-US"/>
              </w:rPr>
              <w:t>Centroscymnus coelolepis</w:t>
            </w:r>
            <w:r w:rsidRPr="009978E3">
              <w:rPr>
                <w:rFonts w:eastAsia="MS Mincho"/>
                <w:sz w:val="22"/>
                <w:szCs w:val="22"/>
                <w:lang w:val="en-US"/>
              </w:rPr>
              <w:t xml:space="preserve">. </w:t>
            </w:r>
            <w:r w:rsidRPr="009978E3">
              <w:rPr>
                <w:sz w:val="22"/>
                <w:szCs w:val="22"/>
              </w:rPr>
              <w:t>These three shark species are included in the OSPAR list of Threatened and/or Declining Species and Habitats (BDC/MASH, 2007</w:t>
            </w:r>
            <w:r>
              <w:rPr>
                <w:sz w:val="22"/>
                <w:szCs w:val="22"/>
              </w:rPr>
              <w:t>).</w:t>
            </w:r>
            <w:r w:rsidRPr="009978E3">
              <w:rPr>
                <w:sz w:val="22"/>
                <w:szCs w:val="22"/>
              </w:rPr>
              <w:t xml:space="preserve"> </w:t>
            </w:r>
          </w:p>
          <w:p w14:paraId="6B35F6F0" w14:textId="77777777" w:rsidR="006B3F46" w:rsidRPr="009978E3" w:rsidRDefault="006B3F46" w:rsidP="00907941">
            <w:pPr>
              <w:autoSpaceDE w:val="0"/>
              <w:autoSpaceDN w:val="0"/>
              <w:adjustRightInd w:val="0"/>
              <w:spacing w:after="120"/>
              <w:jc w:val="both"/>
              <w:rPr>
                <w:lang w:val="en-US"/>
              </w:rPr>
            </w:pPr>
            <w:r w:rsidRPr="009978E3">
              <w:rPr>
                <w:rFonts w:eastAsia="MS Mincho"/>
                <w:sz w:val="22"/>
                <w:szCs w:val="22"/>
                <w:lang w:val="en-US"/>
              </w:rPr>
              <w:t xml:space="preserve">4-Four globally threatened seabird species occur in the area - </w:t>
            </w:r>
            <w:r w:rsidRPr="009978E3">
              <w:rPr>
                <w:rFonts w:eastAsia="MS Mincho"/>
                <w:i/>
                <w:sz w:val="22"/>
                <w:szCs w:val="22"/>
                <w:lang w:val="en-US"/>
              </w:rPr>
              <w:t>Rissa tridactyla</w:t>
            </w:r>
            <w:r w:rsidRPr="009978E3">
              <w:rPr>
                <w:rFonts w:eastAsia="MS Mincho"/>
                <w:sz w:val="22"/>
                <w:szCs w:val="22"/>
                <w:lang w:val="en-US"/>
              </w:rPr>
              <w:t xml:space="preserve"> (VU), </w:t>
            </w:r>
            <w:r w:rsidRPr="009978E3">
              <w:rPr>
                <w:rFonts w:eastAsia="MS Mincho"/>
                <w:i/>
                <w:sz w:val="22"/>
                <w:szCs w:val="22"/>
                <w:lang w:val="en-US"/>
              </w:rPr>
              <w:t>Pterodroma deserta</w:t>
            </w:r>
            <w:r w:rsidRPr="009978E3">
              <w:rPr>
                <w:rFonts w:eastAsia="MS Mincho"/>
                <w:sz w:val="22"/>
                <w:szCs w:val="22"/>
                <w:lang w:val="en-US"/>
              </w:rPr>
              <w:t xml:space="preserve"> (VU), </w:t>
            </w:r>
            <w:r w:rsidRPr="009978E3">
              <w:rPr>
                <w:rFonts w:eastAsia="MS Mincho"/>
                <w:i/>
                <w:sz w:val="22"/>
                <w:szCs w:val="22"/>
                <w:lang w:val="en-US"/>
              </w:rPr>
              <w:t>Pterodroma madeira</w:t>
            </w:r>
            <w:r w:rsidRPr="009978E3">
              <w:rPr>
                <w:rFonts w:eastAsia="MS Mincho"/>
                <w:sz w:val="22"/>
                <w:szCs w:val="22"/>
                <w:lang w:val="en-US"/>
              </w:rPr>
              <w:t xml:space="preserve"> (EN) and the OSPAR listed </w:t>
            </w:r>
            <w:r w:rsidRPr="009978E3">
              <w:rPr>
                <w:rFonts w:eastAsia="MS Mincho"/>
                <w:i/>
                <w:color w:val="000000"/>
                <w:sz w:val="22"/>
                <w:szCs w:val="22"/>
                <w:lang w:val="en-US"/>
              </w:rPr>
              <w:t xml:space="preserve">Puffinus </w:t>
            </w:r>
            <w:r w:rsidRPr="009978E3">
              <w:rPr>
                <w:i/>
                <w:iCs/>
                <w:sz w:val="22"/>
                <w:szCs w:val="22"/>
                <w:lang w:eastAsia="en-GB"/>
              </w:rPr>
              <w:t xml:space="preserve">lherminieri baroli </w:t>
            </w:r>
            <w:r w:rsidRPr="009978E3">
              <w:rPr>
                <w:iCs/>
                <w:sz w:val="22"/>
                <w:szCs w:val="22"/>
                <w:lang w:eastAsia="en-GB"/>
              </w:rPr>
              <w:t>(BirdLife International 2019)</w:t>
            </w:r>
            <w:r w:rsidRPr="009978E3">
              <w:rPr>
                <w:i/>
                <w:iCs/>
                <w:sz w:val="22"/>
                <w:szCs w:val="22"/>
                <w:lang w:eastAsia="en-GB"/>
              </w:rPr>
              <w:t>.</w:t>
            </w:r>
          </w:p>
        </w:tc>
      </w:tr>
      <w:tr w:rsidR="006B3F46" w:rsidRPr="0021277B" w14:paraId="6FE5C987" w14:textId="77777777" w:rsidTr="00907941">
        <w:tc>
          <w:tcPr>
            <w:tcW w:w="783" w:type="pct"/>
            <w:shd w:val="clear" w:color="auto" w:fill="auto"/>
          </w:tcPr>
          <w:p w14:paraId="4D43FDD1" w14:textId="77777777" w:rsidR="006B3F46" w:rsidRPr="00F66EF7" w:rsidRDefault="006B3F46" w:rsidP="00907941">
            <w:pPr>
              <w:widowControl w:val="0"/>
              <w:autoSpaceDE w:val="0"/>
              <w:autoSpaceDN w:val="0"/>
              <w:adjustRightInd w:val="0"/>
              <w:rPr>
                <w:rFonts w:eastAsia="MS Mincho"/>
                <w:b/>
                <w:bCs/>
                <w:color w:val="000000"/>
                <w:sz w:val="22"/>
                <w:szCs w:val="22"/>
                <w:lang w:val="en-US"/>
              </w:rPr>
            </w:pPr>
            <w:r w:rsidRPr="00F66EF7">
              <w:rPr>
                <w:rFonts w:eastAsia="MS Mincho"/>
                <w:b/>
                <w:bCs/>
                <w:color w:val="000000"/>
                <w:sz w:val="22"/>
                <w:szCs w:val="22"/>
                <w:lang w:val="en-US"/>
              </w:rPr>
              <w:t>Vulnerability, fragility, sensitivity, or slow recovery</w:t>
            </w:r>
          </w:p>
        </w:tc>
        <w:tc>
          <w:tcPr>
            <w:tcW w:w="2280" w:type="pct"/>
            <w:shd w:val="clear" w:color="auto" w:fill="auto"/>
          </w:tcPr>
          <w:p w14:paraId="446D24B9"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2A26B955"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2AA0A97A"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70927E9D"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3F10504F"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21277B" w14:paraId="0D592351" w14:textId="77777777" w:rsidTr="00907941">
        <w:tc>
          <w:tcPr>
            <w:tcW w:w="5000" w:type="pct"/>
            <w:gridSpan w:val="11"/>
            <w:shd w:val="clear" w:color="auto" w:fill="auto"/>
          </w:tcPr>
          <w:p w14:paraId="5D713049" w14:textId="77777777" w:rsidR="006B3F46" w:rsidRPr="00F66EF7" w:rsidRDefault="006B3F46" w:rsidP="00907941">
            <w:pPr>
              <w:jc w:val="both"/>
              <w:rPr>
                <w:rFonts w:eastAsia="MS Mincho"/>
                <w:i/>
                <w:iCs/>
                <w:sz w:val="22"/>
                <w:szCs w:val="22"/>
                <w:lang w:val="en-US"/>
              </w:rPr>
            </w:pPr>
            <w:r w:rsidRPr="00F66EF7">
              <w:rPr>
                <w:rFonts w:eastAsia="MS Mincho"/>
                <w:i/>
                <w:iCs/>
                <w:sz w:val="22"/>
                <w:szCs w:val="22"/>
                <w:lang w:val="en-US"/>
              </w:rPr>
              <w:t>Explanation of ranking</w:t>
            </w:r>
          </w:p>
          <w:p w14:paraId="5A563E41"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1-The Mid</w:t>
            </w:r>
            <w:r>
              <w:rPr>
                <w:rFonts w:eastAsia="MS Mincho"/>
                <w:sz w:val="22"/>
                <w:szCs w:val="22"/>
                <w:lang w:val="en-US"/>
              </w:rPr>
              <w:t>-</w:t>
            </w:r>
            <w:r w:rsidRPr="009978E3">
              <w:rPr>
                <w:rFonts w:eastAsia="MS Mincho"/>
                <w:sz w:val="22"/>
                <w:szCs w:val="22"/>
                <w:lang w:val="en-US"/>
              </w:rPr>
              <w:t>Atlantic Ridge is a slow-spreading ridge</w:t>
            </w:r>
            <w:r>
              <w:rPr>
                <w:rFonts w:eastAsia="MS Mincho"/>
                <w:sz w:val="22"/>
                <w:szCs w:val="22"/>
                <w:lang w:val="en-US"/>
              </w:rPr>
              <w:t>,</w:t>
            </w:r>
            <w:r w:rsidRPr="009978E3">
              <w:rPr>
                <w:rFonts w:eastAsia="MS Mincho"/>
                <w:sz w:val="22"/>
                <w:szCs w:val="22"/>
                <w:lang w:val="en-US"/>
              </w:rPr>
              <w:t xml:space="preserve"> and hydrothermal vents are estimated to be up to </w:t>
            </w:r>
            <w:r>
              <w:rPr>
                <w:rFonts w:eastAsia="MS Mincho"/>
                <w:sz w:val="22"/>
                <w:szCs w:val="22"/>
                <w:lang w:val="en-US"/>
              </w:rPr>
              <w:t>thousands</w:t>
            </w:r>
            <w:r w:rsidRPr="009978E3">
              <w:rPr>
                <w:rFonts w:eastAsia="MS Mincho"/>
                <w:sz w:val="22"/>
                <w:szCs w:val="22"/>
                <w:lang w:val="en-US"/>
              </w:rPr>
              <w:t xml:space="preserve"> of years </w:t>
            </w:r>
            <w:r>
              <w:rPr>
                <w:rFonts w:eastAsia="MS Mincho"/>
                <w:sz w:val="22"/>
                <w:szCs w:val="22"/>
                <w:lang w:val="en-US"/>
              </w:rPr>
              <w:t>of</w:t>
            </w:r>
            <w:r w:rsidRPr="009978E3">
              <w:rPr>
                <w:rFonts w:eastAsia="MS Mincho"/>
                <w:sz w:val="22"/>
                <w:szCs w:val="22"/>
                <w:lang w:val="en-US"/>
              </w:rPr>
              <w:t xml:space="preserve"> age, although possibly not active continually. However, some of the individual vents are only short-lived naturally. In this case, non-consolidated structures that cannot support eukaryote life are formed easily. Therefore, the vent fields </w:t>
            </w:r>
            <w:r>
              <w:rPr>
                <w:rFonts w:eastAsia="MS Mincho"/>
                <w:sz w:val="22"/>
                <w:szCs w:val="22"/>
                <w:lang w:val="en-US"/>
              </w:rPr>
              <w:t xml:space="preserve">in the area described </w:t>
            </w:r>
            <w:r w:rsidRPr="009978E3">
              <w:rPr>
                <w:rFonts w:eastAsia="MS Mincho"/>
                <w:sz w:val="22"/>
                <w:szCs w:val="22"/>
                <w:lang w:val="en-US"/>
              </w:rPr>
              <w:t xml:space="preserve">are relatively stationary in position, but dynamic regarding the individual smokers and long-term activity (Hannington </w:t>
            </w:r>
            <w:r w:rsidRPr="0006066A">
              <w:rPr>
                <w:rFonts w:eastAsia="MS Mincho"/>
                <w:i/>
                <w:sz w:val="22"/>
                <w:szCs w:val="22"/>
                <w:lang w:val="en-US"/>
              </w:rPr>
              <w:t>et al</w:t>
            </w:r>
            <w:r w:rsidRPr="009978E3">
              <w:rPr>
                <w:rFonts w:eastAsia="MS Mincho"/>
                <w:sz w:val="22"/>
                <w:szCs w:val="22"/>
                <w:lang w:val="en-US"/>
              </w:rPr>
              <w:t xml:space="preserve">., 1995). </w:t>
            </w:r>
          </w:p>
          <w:p w14:paraId="399F265F"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 xml:space="preserve">2- Time series studies over 14 years show that these communities are stable over time, and that big changes might disrupt the stability (Copley </w:t>
            </w:r>
            <w:r w:rsidRPr="0006066A">
              <w:rPr>
                <w:rFonts w:eastAsia="MS Mincho"/>
                <w:i/>
                <w:sz w:val="22"/>
                <w:szCs w:val="22"/>
                <w:lang w:val="en-US"/>
              </w:rPr>
              <w:t>et al</w:t>
            </w:r>
            <w:r>
              <w:rPr>
                <w:rFonts w:eastAsia="MS Mincho"/>
                <w:i/>
                <w:sz w:val="22"/>
                <w:szCs w:val="22"/>
                <w:lang w:val="en-US"/>
              </w:rPr>
              <w:t>.</w:t>
            </w:r>
            <w:r w:rsidRPr="009978E3">
              <w:rPr>
                <w:rFonts w:eastAsia="MS Mincho"/>
                <w:sz w:val="22"/>
                <w:szCs w:val="22"/>
                <w:lang w:val="en-US"/>
              </w:rPr>
              <w:t xml:space="preserve">, 2007; Cuvelier </w:t>
            </w:r>
            <w:r w:rsidRPr="0006066A">
              <w:rPr>
                <w:rFonts w:eastAsia="MS Mincho"/>
                <w:i/>
                <w:sz w:val="22"/>
                <w:szCs w:val="22"/>
                <w:lang w:val="en-US"/>
              </w:rPr>
              <w:t>et al</w:t>
            </w:r>
            <w:r>
              <w:rPr>
                <w:rFonts w:eastAsia="MS Mincho"/>
                <w:i/>
                <w:sz w:val="22"/>
                <w:szCs w:val="22"/>
                <w:lang w:val="en-US"/>
              </w:rPr>
              <w:t>.</w:t>
            </w:r>
            <w:r w:rsidRPr="009978E3">
              <w:rPr>
                <w:rFonts w:eastAsia="MS Mincho"/>
                <w:sz w:val="22"/>
                <w:szCs w:val="22"/>
                <w:lang w:val="en-US"/>
              </w:rPr>
              <w:t>, 2011)</w:t>
            </w:r>
            <w:r>
              <w:rPr>
                <w:rFonts w:eastAsia="MS Mincho"/>
                <w:sz w:val="22"/>
                <w:szCs w:val="22"/>
                <w:lang w:val="en-US"/>
              </w:rPr>
              <w:t xml:space="preserve">. </w:t>
            </w:r>
            <w:r w:rsidRPr="009978E3">
              <w:rPr>
                <w:rFonts w:eastAsia="MS Mincho"/>
                <w:sz w:val="22"/>
                <w:szCs w:val="22"/>
                <w:lang w:val="en-US"/>
              </w:rPr>
              <w:t xml:space="preserve">The occurrence of </w:t>
            </w:r>
            <w:r>
              <w:rPr>
                <w:rFonts w:eastAsia="MS Mincho"/>
                <w:sz w:val="22"/>
                <w:szCs w:val="22"/>
                <w:lang w:val="en-US"/>
              </w:rPr>
              <w:t xml:space="preserve">three </w:t>
            </w:r>
            <w:r w:rsidRPr="009978E3">
              <w:rPr>
                <w:rFonts w:eastAsia="MS Mincho"/>
                <w:sz w:val="22"/>
                <w:szCs w:val="22"/>
                <w:lang w:val="en-US"/>
              </w:rPr>
              <w:t xml:space="preserve">species under OSPAR legal protection was registered in the area: </w:t>
            </w:r>
            <w:r w:rsidRPr="009978E3">
              <w:rPr>
                <w:rFonts w:eastAsia="MS Mincho"/>
                <w:i/>
                <w:sz w:val="22"/>
                <w:szCs w:val="22"/>
                <w:lang w:val="en-US"/>
              </w:rPr>
              <w:t>Centrophorus granulosus</w:t>
            </w:r>
            <w:r w:rsidRPr="009978E3">
              <w:rPr>
                <w:rFonts w:eastAsia="MS Mincho"/>
                <w:sz w:val="22"/>
                <w:szCs w:val="22"/>
                <w:lang w:val="en-US"/>
              </w:rPr>
              <w:t xml:space="preserve">, </w:t>
            </w:r>
            <w:r w:rsidRPr="009978E3">
              <w:rPr>
                <w:rFonts w:eastAsia="MS Mincho"/>
                <w:i/>
                <w:sz w:val="22"/>
                <w:szCs w:val="22"/>
                <w:lang w:val="en-US"/>
              </w:rPr>
              <w:t>Centrophorus squamosus</w:t>
            </w:r>
            <w:r w:rsidRPr="009978E3">
              <w:rPr>
                <w:rFonts w:eastAsia="MS Mincho"/>
                <w:sz w:val="22"/>
                <w:szCs w:val="22"/>
                <w:lang w:val="en-US"/>
              </w:rPr>
              <w:t xml:space="preserve"> and</w:t>
            </w:r>
            <w:r w:rsidRPr="009978E3">
              <w:rPr>
                <w:sz w:val="22"/>
                <w:szCs w:val="22"/>
              </w:rPr>
              <w:t xml:space="preserve"> </w:t>
            </w:r>
            <w:r w:rsidRPr="009978E3">
              <w:rPr>
                <w:rFonts w:eastAsia="MS Mincho"/>
                <w:i/>
                <w:sz w:val="22"/>
                <w:szCs w:val="22"/>
                <w:lang w:val="en-US"/>
              </w:rPr>
              <w:t>Centroscymnus coelolepis</w:t>
            </w:r>
            <w:r w:rsidRPr="009978E3">
              <w:rPr>
                <w:rFonts w:eastAsia="MS Mincho"/>
                <w:sz w:val="22"/>
                <w:szCs w:val="22"/>
                <w:lang w:val="en-US"/>
              </w:rPr>
              <w:t>. These species have particular features attending to biological factors such as longevity, low fecundity, and slow growth rates characteristic to these shark species (</w:t>
            </w:r>
            <w:r w:rsidRPr="0021277B">
              <w:rPr>
                <w:rFonts w:eastAsia="MS Mincho"/>
                <w:sz w:val="22"/>
                <w:szCs w:val="22"/>
                <w:lang w:val="en-US"/>
              </w:rPr>
              <w:t>e.g.</w:t>
            </w:r>
            <w:r w:rsidRPr="006809FF">
              <w:rPr>
                <w:rFonts w:eastAsia="MS Mincho"/>
                <w:sz w:val="22"/>
                <w:szCs w:val="22"/>
                <w:lang w:val="en-US"/>
              </w:rPr>
              <w:t>,</w:t>
            </w:r>
            <w:r w:rsidRPr="009978E3">
              <w:rPr>
                <w:rFonts w:eastAsia="MS Mincho"/>
                <w:sz w:val="22"/>
                <w:szCs w:val="22"/>
                <w:lang w:val="en-US"/>
              </w:rPr>
              <w:t xml:space="preserve"> Clark, 2001; Morato </w:t>
            </w:r>
            <w:r w:rsidRPr="0006066A">
              <w:rPr>
                <w:i/>
                <w:sz w:val="22"/>
                <w:szCs w:val="22"/>
                <w:lang w:val="en-US"/>
              </w:rPr>
              <w:t>et al</w:t>
            </w:r>
            <w:r w:rsidRPr="009978E3">
              <w:rPr>
                <w:i/>
                <w:sz w:val="22"/>
                <w:szCs w:val="22"/>
                <w:lang w:val="en-US"/>
              </w:rPr>
              <w:t>.</w:t>
            </w:r>
            <w:r w:rsidRPr="009978E3">
              <w:rPr>
                <w:rFonts w:eastAsia="MS Mincho"/>
                <w:sz w:val="22"/>
                <w:szCs w:val="22"/>
                <w:lang w:val="en-US"/>
              </w:rPr>
              <w:t>, 2008).</w:t>
            </w:r>
          </w:p>
          <w:p w14:paraId="298FCD6D"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color w:val="000000"/>
                <w:sz w:val="22"/>
                <w:szCs w:val="22"/>
                <w:lang w:val="en-US"/>
              </w:rPr>
            </w:pPr>
            <w:r w:rsidRPr="009978E3">
              <w:rPr>
                <w:color w:val="000000"/>
                <w:sz w:val="22"/>
                <w:szCs w:val="22"/>
                <w:lang w:val="en-US"/>
              </w:rPr>
              <w:t xml:space="preserve">3-Cold-water corals have life history traits such as slow growth, high longevity, low reproductive potential (Clark </w:t>
            </w:r>
            <w:r w:rsidRPr="0006066A">
              <w:rPr>
                <w:i/>
                <w:color w:val="000000"/>
                <w:sz w:val="22"/>
                <w:szCs w:val="22"/>
                <w:lang w:val="en-US"/>
              </w:rPr>
              <w:t>et al</w:t>
            </w:r>
            <w:r w:rsidRPr="009978E3">
              <w:rPr>
                <w:color w:val="000000"/>
                <w:sz w:val="22"/>
                <w:szCs w:val="22"/>
                <w:lang w:val="en-US"/>
              </w:rPr>
              <w:t xml:space="preserve"> 2016; 2019). Octocorals and black corals, which dominate benthic assemblages in the MAR region, have growth rates of less than 1 cm a year and age spans of hundreds of years (</w:t>
            </w:r>
            <w:r>
              <w:rPr>
                <w:color w:val="000000"/>
                <w:sz w:val="22"/>
                <w:szCs w:val="22"/>
                <w:lang w:val="en-US"/>
              </w:rPr>
              <w:t>e.g.,</w:t>
            </w:r>
            <w:r w:rsidRPr="009978E3">
              <w:rPr>
                <w:color w:val="000000"/>
                <w:sz w:val="22"/>
                <w:szCs w:val="22"/>
                <w:lang w:val="en-US"/>
              </w:rPr>
              <w:t xml:space="preserve"> bamboo coral </w:t>
            </w:r>
            <w:r w:rsidRPr="009978E3">
              <w:rPr>
                <w:i/>
                <w:color w:val="000000"/>
                <w:sz w:val="22"/>
                <w:szCs w:val="22"/>
                <w:lang w:val="en-US"/>
              </w:rPr>
              <w:t>Keratoisis</w:t>
            </w:r>
            <w:r w:rsidRPr="009978E3">
              <w:rPr>
                <w:color w:val="000000"/>
                <w:sz w:val="22"/>
                <w:szCs w:val="22"/>
                <w:lang w:val="en-US"/>
              </w:rPr>
              <w:t xml:space="preserve"> sp. : Watling </w:t>
            </w:r>
            <w:r w:rsidRPr="0006066A">
              <w:rPr>
                <w:i/>
                <w:color w:val="000000"/>
                <w:sz w:val="22"/>
                <w:szCs w:val="22"/>
                <w:lang w:val="en-US"/>
              </w:rPr>
              <w:t>et al</w:t>
            </w:r>
            <w:r w:rsidRPr="009978E3">
              <w:rPr>
                <w:color w:val="000000"/>
                <w:sz w:val="22"/>
                <w:szCs w:val="22"/>
                <w:lang w:val="en-US"/>
              </w:rPr>
              <w:t xml:space="preserve">., 2011) to thousands of years (black coral </w:t>
            </w:r>
            <w:r w:rsidRPr="009978E3">
              <w:rPr>
                <w:i/>
                <w:color w:val="000000"/>
                <w:sz w:val="22"/>
                <w:szCs w:val="22"/>
                <w:lang w:val="en-US"/>
              </w:rPr>
              <w:t>Leiopathes</w:t>
            </w:r>
            <w:r w:rsidRPr="009978E3">
              <w:rPr>
                <w:color w:val="000000"/>
                <w:sz w:val="22"/>
                <w:szCs w:val="22"/>
                <w:lang w:val="en-US"/>
              </w:rPr>
              <w:t xml:space="preserve"> sp. Roark </w:t>
            </w:r>
            <w:r w:rsidRPr="0006066A">
              <w:rPr>
                <w:i/>
                <w:color w:val="000000"/>
                <w:sz w:val="22"/>
                <w:szCs w:val="22"/>
                <w:lang w:val="en-US"/>
              </w:rPr>
              <w:t>et al</w:t>
            </w:r>
            <w:r w:rsidRPr="009978E3">
              <w:rPr>
                <w:color w:val="000000"/>
                <w:sz w:val="22"/>
                <w:szCs w:val="22"/>
                <w:lang w:val="en-US"/>
              </w:rPr>
              <w:t xml:space="preserve">., 2009, Carreiro-Silva </w:t>
            </w:r>
            <w:r w:rsidRPr="0006066A">
              <w:rPr>
                <w:i/>
                <w:color w:val="000000"/>
                <w:sz w:val="22"/>
                <w:szCs w:val="22"/>
                <w:lang w:val="en-US"/>
              </w:rPr>
              <w:t>et al</w:t>
            </w:r>
            <w:r w:rsidRPr="009978E3">
              <w:rPr>
                <w:color w:val="000000"/>
                <w:sz w:val="22"/>
                <w:szCs w:val="22"/>
                <w:lang w:val="en-US"/>
              </w:rPr>
              <w:t xml:space="preserve">., 2013). </w:t>
            </w:r>
          </w:p>
          <w:p w14:paraId="0CC889F2" w14:textId="77777777" w:rsidR="006B3F46" w:rsidRPr="009978E3" w:rsidRDefault="006B3F46" w:rsidP="00907941">
            <w:pPr>
              <w:autoSpaceDE w:val="0"/>
              <w:autoSpaceDN w:val="0"/>
              <w:adjustRightInd w:val="0"/>
              <w:spacing w:after="60"/>
              <w:jc w:val="both"/>
              <w:rPr>
                <w:sz w:val="22"/>
                <w:szCs w:val="22"/>
                <w:lang w:val="en-US"/>
              </w:rPr>
            </w:pPr>
            <w:r w:rsidRPr="009978E3">
              <w:rPr>
                <w:color w:val="000000"/>
                <w:sz w:val="22"/>
                <w:szCs w:val="22"/>
                <w:lang w:val="en-US"/>
              </w:rPr>
              <w:t xml:space="preserve">5-Although age estimates for sponge species are scarce, they suggest multi-centennial age spans, </w:t>
            </w:r>
            <w:r>
              <w:rPr>
                <w:color w:val="000000"/>
                <w:sz w:val="22"/>
                <w:szCs w:val="22"/>
                <w:lang w:val="en-US"/>
              </w:rPr>
              <w:t>e.g.,</w:t>
            </w:r>
            <w:r w:rsidRPr="009978E3">
              <w:rPr>
                <w:color w:val="000000"/>
                <w:sz w:val="22"/>
                <w:szCs w:val="22"/>
                <w:lang w:val="en-US"/>
              </w:rPr>
              <w:t xml:space="preserve"> 220 and 440 years </w:t>
            </w:r>
            <w:r w:rsidRPr="009978E3">
              <w:rPr>
                <w:sz w:val="22"/>
                <w:szCs w:val="22"/>
                <w:lang w:val="en-US"/>
              </w:rPr>
              <w:t xml:space="preserve">(Leys and Lauzon, 1998; Fallon </w:t>
            </w:r>
            <w:r w:rsidRPr="0006066A">
              <w:rPr>
                <w:i/>
                <w:iCs/>
                <w:sz w:val="22"/>
                <w:szCs w:val="22"/>
                <w:lang w:val="en-US"/>
              </w:rPr>
              <w:t>et al</w:t>
            </w:r>
            <w:r w:rsidRPr="009978E3">
              <w:rPr>
                <w:sz w:val="22"/>
                <w:szCs w:val="22"/>
                <w:lang w:val="en-US"/>
              </w:rPr>
              <w:t>., 2010), whereas some sponge reefs are estimated to be up to 9</w:t>
            </w:r>
            <w:r>
              <w:rPr>
                <w:sz w:val="22"/>
                <w:szCs w:val="22"/>
                <w:lang w:val="en-US"/>
              </w:rPr>
              <w:t>,</w:t>
            </w:r>
            <w:r w:rsidRPr="009978E3">
              <w:rPr>
                <w:sz w:val="22"/>
                <w:szCs w:val="22"/>
                <w:lang w:val="en-US"/>
              </w:rPr>
              <w:t>000 years old (</w:t>
            </w:r>
            <w:r>
              <w:rPr>
                <w:sz w:val="22"/>
                <w:szCs w:val="22"/>
                <w:lang w:val="en-US"/>
              </w:rPr>
              <w:t>e.g.,</w:t>
            </w:r>
            <w:r w:rsidRPr="009978E3">
              <w:rPr>
                <w:sz w:val="22"/>
                <w:szCs w:val="22"/>
                <w:lang w:val="en-US"/>
              </w:rPr>
              <w:t xml:space="preserve"> Krautter </w:t>
            </w:r>
            <w:r w:rsidRPr="0006066A">
              <w:rPr>
                <w:i/>
                <w:iCs/>
                <w:sz w:val="22"/>
                <w:szCs w:val="22"/>
                <w:lang w:val="en-US"/>
              </w:rPr>
              <w:t>et al</w:t>
            </w:r>
            <w:r w:rsidRPr="009978E3">
              <w:rPr>
                <w:sz w:val="22"/>
                <w:szCs w:val="22"/>
                <w:lang w:val="en-US"/>
              </w:rPr>
              <w:t>., 2001).</w:t>
            </w:r>
          </w:p>
          <w:p w14:paraId="0460B700" w14:textId="77777777" w:rsidR="006B3F46" w:rsidRPr="009978E3" w:rsidRDefault="006B3F46" w:rsidP="00907941">
            <w:pPr>
              <w:widowControl w:val="0"/>
              <w:autoSpaceDE w:val="0"/>
              <w:autoSpaceDN w:val="0"/>
              <w:adjustRightInd w:val="0"/>
              <w:jc w:val="both"/>
              <w:rPr>
                <w:color w:val="000000"/>
                <w:sz w:val="22"/>
                <w:szCs w:val="22"/>
                <w:lang w:val="en-US"/>
              </w:rPr>
            </w:pPr>
            <w:r w:rsidRPr="009978E3">
              <w:rPr>
                <w:rFonts w:eastAsia="MS Mincho"/>
                <w:sz w:val="22"/>
                <w:szCs w:val="22"/>
                <w:lang w:val="en-US"/>
              </w:rPr>
              <w:t xml:space="preserve"> </w:t>
            </w:r>
          </w:p>
        </w:tc>
      </w:tr>
      <w:tr w:rsidR="006B3F46" w:rsidRPr="0021277B" w14:paraId="0E78FDE0" w14:textId="77777777" w:rsidTr="00907941">
        <w:tc>
          <w:tcPr>
            <w:tcW w:w="783" w:type="pct"/>
            <w:shd w:val="clear" w:color="auto" w:fill="auto"/>
          </w:tcPr>
          <w:p w14:paraId="2FAC8343" w14:textId="77777777" w:rsidR="006B3F46" w:rsidRPr="00F66EF7" w:rsidRDefault="006B3F46" w:rsidP="00907941">
            <w:pPr>
              <w:widowControl w:val="0"/>
              <w:autoSpaceDE w:val="0"/>
              <w:autoSpaceDN w:val="0"/>
              <w:adjustRightInd w:val="0"/>
              <w:jc w:val="both"/>
              <w:rPr>
                <w:rFonts w:eastAsia="MS Mincho"/>
                <w:b/>
                <w:bCs/>
                <w:color w:val="000000"/>
                <w:sz w:val="22"/>
                <w:szCs w:val="22"/>
                <w:lang w:val="en-US"/>
              </w:rPr>
            </w:pPr>
            <w:r w:rsidRPr="00F66EF7">
              <w:rPr>
                <w:rFonts w:eastAsia="MS Mincho"/>
                <w:b/>
                <w:bCs/>
                <w:color w:val="000000"/>
                <w:sz w:val="22"/>
                <w:szCs w:val="22"/>
                <w:lang w:val="en-US"/>
              </w:rPr>
              <w:t>Biological productivity</w:t>
            </w:r>
          </w:p>
        </w:tc>
        <w:tc>
          <w:tcPr>
            <w:tcW w:w="2280" w:type="pct"/>
            <w:shd w:val="clear" w:color="auto" w:fill="auto"/>
          </w:tcPr>
          <w:p w14:paraId="08347AF5" w14:textId="77777777" w:rsidR="006B3F46" w:rsidRPr="009978E3" w:rsidRDefault="006B3F46" w:rsidP="00907941">
            <w:pPr>
              <w:widowControl w:val="0"/>
              <w:autoSpaceDE w:val="0"/>
              <w:autoSpaceDN w:val="0"/>
              <w:adjustRightInd w:val="0"/>
              <w:jc w:val="both"/>
              <w:rPr>
                <w:rFonts w:eastAsia="MS Mincho"/>
                <w:bCs/>
                <w:color w:val="000000"/>
                <w:sz w:val="22"/>
                <w:szCs w:val="22"/>
              </w:rPr>
            </w:pPr>
            <w:r w:rsidRPr="009978E3">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605DC5C5" w14:textId="77777777" w:rsidR="006B3F46" w:rsidRPr="009978E3" w:rsidRDefault="006B3F46" w:rsidP="00907941">
            <w:pPr>
              <w:widowControl w:val="0"/>
              <w:autoSpaceDE w:val="0"/>
              <w:autoSpaceDN w:val="0"/>
              <w:adjustRightInd w:val="0"/>
              <w:jc w:val="both"/>
              <w:rPr>
                <w:color w:val="000000"/>
                <w:sz w:val="22"/>
                <w:szCs w:val="22"/>
                <w:lang w:val="en-US"/>
              </w:rPr>
            </w:pPr>
          </w:p>
        </w:tc>
        <w:tc>
          <w:tcPr>
            <w:tcW w:w="410" w:type="pct"/>
            <w:gridSpan w:val="2"/>
            <w:shd w:val="clear" w:color="auto" w:fill="auto"/>
            <w:vAlign w:val="center"/>
          </w:tcPr>
          <w:p w14:paraId="0878FC53"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411" w:type="pct"/>
            <w:gridSpan w:val="2"/>
            <w:shd w:val="clear" w:color="auto" w:fill="auto"/>
            <w:vAlign w:val="center"/>
          </w:tcPr>
          <w:p w14:paraId="2474A2E4"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432" w:type="pct"/>
            <w:gridSpan w:val="2"/>
            <w:shd w:val="clear" w:color="auto" w:fill="auto"/>
            <w:vAlign w:val="center"/>
          </w:tcPr>
          <w:p w14:paraId="2999DB26" w14:textId="77777777" w:rsidR="006B3F46" w:rsidRPr="009978E3" w:rsidRDefault="006B3F46" w:rsidP="00907941">
            <w:pPr>
              <w:widowControl w:val="0"/>
              <w:autoSpaceDE w:val="0"/>
              <w:autoSpaceDN w:val="0"/>
              <w:adjustRightInd w:val="0"/>
              <w:jc w:val="center"/>
              <w:rPr>
                <w:color w:val="000000"/>
                <w:sz w:val="22"/>
                <w:szCs w:val="22"/>
                <w:lang w:val="en-US"/>
              </w:rPr>
            </w:pPr>
            <w:r>
              <w:rPr>
                <w:color w:val="000000"/>
                <w:sz w:val="22"/>
                <w:szCs w:val="22"/>
                <w:lang w:val="en-US"/>
              </w:rPr>
              <w:t>X</w:t>
            </w:r>
          </w:p>
        </w:tc>
      </w:tr>
      <w:tr w:rsidR="006B3F46" w:rsidRPr="0021277B" w14:paraId="00F29824" w14:textId="77777777" w:rsidTr="00907941">
        <w:tc>
          <w:tcPr>
            <w:tcW w:w="5000" w:type="pct"/>
            <w:gridSpan w:val="11"/>
            <w:shd w:val="clear" w:color="auto" w:fill="auto"/>
          </w:tcPr>
          <w:p w14:paraId="52B02F46" w14:textId="77777777" w:rsidR="006B3F46" w:rsidRPr="009978E3" w:rsidRDefault="006B3F46" w:rsidP="00907941">
            <w:pPr>
              <w:jc w:val="both"/>
              <w:rPr>
                <w:rFonts w:eastAsia="MS Mincho"/>
                <w:i/>
                <w:iCs/>
                <w:sz w:val="22"/>
                <w:szCs w:val="22"/>
                <w:lang w:val="en-US"/>
              </w:rPr>
            </w:pPr>
            <w:r w:rsidRPr="00F66EF7">
              <w:rPr>
                <w:rFonts w:eastAsia="MS Mincho"/>
                <w:i/>
                <w:iCs/>
                <w:sz w:val="22"/>
                <w:szCs w:val="22"/>
                <w:lang w:val="en-US"/>
              </w:rPr>
              <w:t>Explanation of ranking</w:t>
            </w:r>
          </w:p>
          <w:p w14:paraId="4C127369" w14:textId="77777777" w:rsidR="006B3F46" w:rsidRPr="009978E3" w:rsidRDefault="006B3F46" w:rsidP="00907941">
            <w:pPr>
              <w:widowControl w:val="0"/>
              <w:autoSpaceDE w:val="0"/>
              <w:autoSpaceDN w:val="0"/>
              <w:adjustRightInd w:val="0"/>
              <w:spacing w:after="120"/>
              <w:jc w:val="both"/>
              <w:rPr>
                <w:rFonts w:eastAsia="MS Mincho"/>
                <w:i/>
                <w:color w:val="000000"/>
                <w:sz w:val="22"/>
                <w:szCs w:val="22"/>
                <w:lang w:val="en-US"/>
              </w:rPr>
            </w:pPr>
            <w:r w:rsidRPr="009978E3">
              <w:rPr>
                <w:rFonts w:eastAsia="MS Mincho"/>
                <w:sz w:val="22"/>
                <w:szCs w:val="22"/>
                <w:lang w:val="en-US"/>
              </w:rPr>
              <w:t xml:space="preserve">1- </w:t>
            </w:r>
            <w:r w:rsidRPr="009978E3">
              <w:rPr>
                <w:sz w:val="22"/>
                <w:szCs w:val="22"/>
              </w:rPr>
              <w:t>The presence of a mid-ocean ridge with a truncated water column disrupts the general oceanographic circulation, potentially creating regions of high biomass that may arise from topographic influences on water circulation (</w:t>
            </w:r>
            <w:r w:rsidRPr="009978E3">
              <w:rPr>
                <w:rStyle w:val="mixed-citation"/>
                <w:sz w:val="22"/>
                <w:szCs w:val="22"/>
              </w:rPr>
              <w:t xml:space="preserve">St Laurent and Thurnherr 2007) </w:t>
            </w:r>
            <w:r w:rsidRPr="009978E3">
              <w:rPr>
                <w:sz w:val="22"/>
                <w:szCs w:val="22"/>
              </w:rPr>
              <w:t xml:space="preserve">upwelling nutrient-rich deep water as well as concentrating biomass over summits creating mid ocean regions of high productivity (Priede </w:t>
            </w:r>
            <w:r w:rsidRPr="0006066A">
              <w:rPr>
                <w:i/>
                <w:sz w:val="22"/>
                <w:szCs w:val="22"/>
              </w:rPr>
              <w:t>et al</w:t>
            </w:r>
            <w:r>
              <w:rPr>
                <w:i/>
                <w:sz w:val="22"/>
                <w:szCs w:val="22"/>
              </w:rPr>
              <w:t>.</w:t>
            </w:r>
            <w:r w:rsidRPr="009978E3">
              <w:rPr>
                <w:sz w:val="22"/>
                <w:szCs w:val="22"/>
              </w:rPr>
              <w:t xml:space="preserve">, 2013). </w:t>
            </w:r>
          </w:p>
          <w:p w14:paraId="7AE25AF5" w14:textId="77777777" w:rsidR="006B3F46" w:rsidRPr="009978E3" w:rsidRDefault="006B3F46" w:rsidP="00907941">
            <w:pPr>
              <w:autoSpaceDE w:val="0"/>
              <w:autoSpaceDN w:val="0"/>
              <w:adjustRightInd w:val="0"/>
              <w:spacing w:after="120"/>
              <w:jc w:val="both"/>
              <w:rPr>
                <w:rFonts w:eastAsia="MS Mincho"/>
                <w:sz w:val="22"/>
                <w:szCs w:val="22"/>
                <w:lang w:val="en-US"/>
              </w:rPr>
            </w:pPr>
            <w:r w:rsidRPr="009978E3">
              <w:rPr>
                <w:rFonts w:eastAsia="MS Mincho"/>
                <w:sz w:val="22"/>
                <w:szCs w:val="22"/>
                <w:lang w:val="en-US"/>
              </w:rPr>
              <w:t xml:space="preserve">2-In the vent biotopes, there is local primary production of energy and organic molecules by chemolithoautotrophic bacteria (Synnes, 2007; Le Bris </w:t>
            </w:r>
            <w:r w:rsidRPr="0006066A">
              <w:rPr>
                <w:rFonts w:eastAsia="MS Mincho"/>
                <w:i/>
                <w:sz w:val="22"/>
                <w:szCs w:val="22"/>
                <w:lang w:val="en-US"/>
              </w:rPr>
              <w:t>et al</w:t>
            </w:r>
            <w:r w:rsidRPr="009978E3">
              <w:rPr>
                <w:rFonts w:eastAsia="MS Mincho"/>
                <w:sz w:val="22"/>
                <w:szCs w:val="22"/>
                <w:lang w:val="en-US"/>
              </w:rPr>
              <w:t xml:space="preserve">., 2016). </w:t>
            </w:r>
          </w:p>
          <w:p w14:paraId="58C864B6" w14:textId="77777777" w:rsidR="006B3F46" w:rsidRPr="009978E3" w:rsidRDefault="006B3F46" w:rsidP="00907941">
            <w:pPr>
              <w:spacing w:after="120"/>
              <w:jc w:val="both"/>
              <w:rPr>
                <w:rFonts w:eastAsia="MS Mincho"/>
                <w:sz w:val="22"/>
                <w:szCs w:val="22"/>
                <w:lang w:val="en-US"/>
              </w:rPr>
            </w:pPr>
            <w:r w:rsidRPr="009978E3">
              <w:rPr>
                <w:rFonts w:eastAsia="MS Mincho"/>
                <w:sz w:val="22"/>
                <w:szCs w:val="22"/>
                <w:lang w:val="en-US"/>
              </w:rPr>
              <w:t xml:space="preserve">3-. Hydrothermal vents are involved in the biogeochemical cycling and elemental transformation of carbon, sulfur, and nitrogen (Petersen </w:t>
            </w:r>
            <w:r w:rsidRPr="0006066A">
              <w:rPr>
                <w:rFonts w:eastAsia="MS Mincho"/>
                <w:i/>
                <w:sz w:val="22"/>
                <w:szCs w:val="22"/>
                <w:lang w:val="en-US"/>
              </w:rPr>
              <w:t>et al</w:t>
            </w:r>
            <w:r>
              <w:rPr>
                <w:rFonts w:eastAsia="MS Mincho"/>
                <w:i/>
                <w:sz w:val="22"/>
                <w:szCs w:val="22"/>
                <w:lang w:val="en-US"/>
              </w:rPr>
              <w:t>.</w:t>
            </w:r>
            <w:r w:rsidRPr="009978E3">
              <w:rPr>
                <w:rFonts w:eastAsia="MS Mincho"/>
                <w:sz w:val="22"/>
                <w:szCs w:val="22"/>
                <w:lang w:val="en-US"/>
              </w:rPr>
              <w:t xml:space="preserve">, 2011; Lilley </w:t>
            </w:r>
            <w:r w:rsidRPr="0006066A">
              <w:rPr>
                <w:rFonts w:eastAsia="MS Mincho"/>
                <w:i/>
                <w:sz w:val="22"/>
                <w:szCs w:val="22"/>
                <w:lang w:val="en-US"/>
              </w:rPr>
              <w:t>et al</w:t>
            </w:r>
            <w:r>
              <w:rPr>
                <w:rFonts w:eastAsia="MS Mincho"/>
                <w:i/>
                <w:sz w:val="22"/>
                <w:szCs w:val="22"/>
                <w:lang w:val="en-US"/>
              </w:rPr>
              <w:t>.</w:t>
            </w:r>
            <w:r w:rsidRPr="009978E3">
              <w:rPr>
                <w:rFonts w:eastAsia="MS Mincho"/>
                <w:sz w:val="22"/>
                <w:szCs w:val="22"/>
                <w:lang w:val="en-US"/>
              </w:rPr>
              <w:t xml:space="preserve">, 1995; Sievert and Vetrini, 2012) and contribute to the huge diversity of deep-sea organisms and habitats. </w:t>
            </w:r>
          </w:p>
          <w:p w14:paraId="1ACC6FC3" w14:textId="77777777" w:rsidR="006B3F46" w:rsidRPr="00EC5399" w:rsidRDefault="006B3F46" w:rsidP="00907941">
            <w:pPr>
              <w:spacing w:after="120"/>
              <w:jc w:val="both"/>
              <w:rPr>
                <w:sz w:val="22"/>
                <w:szCs w:val="22"/>
              </w:rPr>
            </w:pPr>
            <w:r w:rsidRPr="009978E3">
              <w:rPr>
                <w:rFonts w:eastAsia="MS Mincho"/>
                <w:sz w:val="22"/>
                <w:szCs w:val="22"/>
                <w:lang w:val="en-US"/>
              </w:rPr>
              <w:t>4- This ecosystem enhances trophic and structural complexity relative to the surrounding deep sea and provide</w:t>
            </w:r>
            <w:r>
              <w:rPr>
                <w:rFonts w:eastAsia="MS Mincho"/>
                <w:sz w:val="22"/>
                <w:szCs w:val="22"/>
                <w:lang w:val="en-US"/>
              </w:rPr>
              <w:t>s</w:t>
            </w:r>
            <w:r w:rsidRPr="009978E3">
              <w:rPr>
                <w:rFonts w:eastAsia="MS Mincho"/>
                <w:sz w:val="22"/>
                <w:szCs w:val="22"/>
                <w:lang w:val="en-US"/>
              </w:rPr>
              <w:t xml:space="preserve"> the </w:t>
            </w:r>
            <w:r w:rsidRPr="00EC5399">
              <w:rPr>
                <w:rFonts w:eastAsia="MS Mincho"/>
                <w:sz w:val="22"/>
                <w:szCs w:val="22"/>
                <w:lang w:val="en-US"/>
              </w:rPr>
              <w:t xml:space="preserve">setting for complex trophic interactions (e.g., Colaço </w:t>
            </w:r>
            <w:r w:rsidRPr="00EC5399">
              <w:rPr>
                <w:rFonts w:eastAsia="MS Mincho"/>
                <w:i/>
                <w:sz w:val="22"/>
                <w:szCs w:val="22"/>
                <w:lang w:val="en-US"/>
              </w:rPr>
              <w:t>et al.</w:t>
            </w:r>
            <w:r w:rsidRPr="00EC5399">
              <w:rPr>
                <w:rFonts w:eastAsia="MS Mincho"/>
                <w:sz w:val="22"/>
                <w:szCs w:val="22"/>
                <w:lang w:val="en-US"/>
              </w:rPr>
              <w:t xml:space="preserve">, 2007; Portail </w:t>
            </w:r>
            <w:r w:rsidRPr="00EC5399">
              <w:rPr>
                <w:rFonts w:eastAsia="MS Mincho"/>
                <w:i/>
                <w:sz w:val="22"/>
                <w:szCs w:val="22"/>
                <w:lang w:val="en-US"/>
              </w:rPr>
              <w:t>et al.</w:t>
            </w:r>
            <w:r w:rsidRPr="00EC5399">
              <w:rPr>
                <w:rFonts w:eastAsia="MS Mincho"/>
                <w:sz w:val="22"/>
                <w:szCs w:val="22"/>
                <w:lang w:val="en-US"/>
              </w:rPr>
              <w:t>, 2017).</w:t>
            </w:r>
            <w:r w:rsidRPr="00EC5399">
              <w:rPr>
                <w:sz w:val="22"/>
                <w:szCs w:val="22"/>
              </w:rPr>
              <w:t xml:space="preserve"> The chemosynthetic productivity from vents is exchanged with the nearby deep-sea environments, providing labile organic resources to benthic and pelagic ecosystems that otherwise have limited availability of food (Levin </w:t>
            </w:r>
            <w:r w:rsidRPr="00EC5399">
              <w:rPr>
                <w:i/>
                <w:sz w:val="22"/>
                <w:szCs w:val="22"/>
              </w:rPr>
              <w:t>et al</w:t>
            </w:r>
            <w:r w:rsidRPr="00EC5399">
              <w:rPr>
                <w:sz w:val="22"/>
                <w:szCs w:val="22"/>
              </w:rPr>
              <w:t xml:space="preserve">., 2016). </w:t>
            </w:r>
          </w:p>
          <w:p w14:paraId="2FE856EB" w14:textId="77777777" w:rsidR="006B3F46" w:rsidRPr="009978E3" w:rsidRDefault="006B3F46" w:rsidP="00907941">
            <w:pPr>
              <w:widowControl w:val="0"/>
              <w:autoSpaceDE w:val="0"/>
              <w:autoSpaceDN w:val="0"/>
              <w:adjustRightInd w:val="0"/>
              <w:spacing w:after="120"/>
              <w:jc w:val="both"/>
              <w:rPr>
                <w:rFonts w:eastAsia="MS Mincho"/>
                <w:i/>
                <w:color w:val="000000"/>
                <w:sz w:val="22"/>
                <w:szCs w:val="22"/>
                <w:lang w:val="en-US"/>
              </w:rPr>
            </w:pPr>
            <w:r w:rsidRPr="00EC5399">
              <w:rPr>
                <w:sz w:val="22"/>
                <w:szCs w:val="22"/>
              </w:rPr>
              <w:t>5-</w:t>
            </w:r>
            <w:r w:rsidRPr="0021277B">
              <w:rPr>
                <w:sz w:val="22"/>
                <w:szCs w:val="22"/>
              </w:rPr>
              <w:t>O</w:t>
            </w:r>
            <w:r w:rsidRPr="00EC5399">
              <w:rPr>
                <w:sz w:val="22"/>
                <w:szCs w:val="22"/>
              </w:rPr>
              <w:t>rganic matter produced at vent complexes</w:t>
            </w:r>
            <w:r w:rsidRPr="0021277B">
              <w:rPr>
                <w:sz w:val="22"/>
                <w:szCs w:val="22"/>
              </w:rPr>
              <w:t>,</w:t>
            </w:r>
            <w:r w:rsidRPr="00EC5399">
              <w:rPr>
                <w:sz w:val="22"/>
                <w:szCs w:val="22"/>
              </w:rPr>
              <w:t xml:space="preserve"> with metals </w:t>
            </w:r>
            <w:r w:rsidRPr="0021277B">
              <w:rPr>
                <w:sz w:val="22"/>
                <w:szCs w:val="22"/>
              </w:rPr>
              <w:t>such as</w:t>
            </w:r>
            <w:r w:rsidRPr="00EC5399">
              <w:rPr>
                <w:sz w:val="22"/>
                <w:szCs w:val="22"/>
              </w:rPr>
              <w:t xml:space="preserve"> iron or copper released from vents with organic ligands (Bennett </w:t>
            </w:r>
            <w:r w:rsidRPr="00EC5399">
              <w:rPr>
                <w:i/>
                <w:sz w:val="22"/>
                <w:szCs w:val="22"/>
              </w:rPr>
              <w:t>et al</w:t>
            </w:r>
            <w:r w:rsidRPr="00EC5399">
              <w:rPr>
                <w:sz w:val="22"/>
                <w:szCs w:val="22"/>
              </w:rPr>
              <w:t xml:space="preserve">., 2008; Hoffman </w:t>
            </w:r>
            <w:r w:rsidRPr="00EC5399">
              <w:rPr>
                <w:i/>
                <w:sz w:val="22"/>
                <w:szCs w:val="22"/>
              </w:rPr>
              <w:t>et al</w:t>
            </w:r>
            <w:r w:rsidRPr="00EC5399">
              <w:rPr>
                <w:sz w:val="22"/>
                <w:szCs w:val="22"/>
              </w:rPr>
              <w:t>., 2018), is spread with the buoyant plume, contributing</w:t>
            </w:r>
            <w:r w:rsidRPr="009978E3">
              <w:rPr>
                <w:sz w:val="22"/>
                <w:szCs w:val="22"/>
              </w:rPr>
              <w:t xml:space="preserve"> to the global ocean micronutrient budgets (Tagliabue </w:t>
            </w:r>
            <w:r w:rsidRPr="0006066A">
              <w:rPr>
                <w:i/>
                <w:sz w:val="22"/>
                <w:szCs w:val="22"/>
              </w:rPr>
              <w:t>et al</w:t>
            </w:r>
            <w:r w:rsidRPr="009978E3">
              <w:rPr>
                <w:sz w:val="22"/>
                <w:szCs w:val="22"/>
              </w:rPr>
              <w:t xml:space="preserve">., 2010; Resing </w:t>
            </w:r>
            <w:r w:rsidRPr="0006066A">
              <w:rPr>
                <w:i/>
                <w:sz w:val="22"/>
                <w:szCs w:val="22"/>
              </w:rPr>
              <w:t>et al</w:t>
            </w:r>
            <w:r w:rsidRPr="009978E3">
              <w:rPr>
                <w:sz w:val="22"/>
                <w:szCs w:val="22"/>
              </w:rPr>
              <w:t>., 2015).</w:t>
            </w:r>
          </w:p>
          <w:p w14:paraId="7F5B4F5B" w14:textId="77777777" w:rsidR="006B3F46" w:rsidRPr="009978E3" w:rsidRDefault="006B3F46" w:rsidP="00907941">
            <w:pPr>
              <w:autoSpaceDE w:val="0"/>
              <w:autoSpaceDN w:val="0"/>
              <w:adjustRightInd w:val="0"/>
              <w:spacing w:after="120"/>
              <w:jc w:val="both"/>
              <w:rPr>
                <w:sz w:val="22"/>
                <w:szCs w:val="22"/>
                <w:lang w:val="en-US"/>
              </w:rPr>
            </w:pPr>
            <w:r w:rsidRPr="009978E3">
              <w:rPr>
                <w:sz w:val="22"/>
                <w:szCs w:val="22"/>
                <w:lang w:val="en-US"/>
              </w:rPr>
              <w:t xml:space="preserve">6- The hydrothermal fluids are rich in iron (Charlou </w:t>
            </w:r>
            <w:r w:rsidRPr="0006066A">
              <w:rPr>
                <w:i/>
                <w:sz w:val="22"/>
                <w:szCs w:val="22"/>
                <w:lang w:val="en-US"/>
              </w:rPr>
              <w:t>et al</w:t>
            </w:r>
            <w:r w:rsidRPr="009978E3">
              <w:rPr>
                <w:sz w:val="22"/>
                <w:szCs w:val="22"/>
                <w:lang w:val="en-US"/>
              </w:rPr>
              <w:t xml:space="preserve">,2010 Le Bris </w:t>
            </w:r>
            <w:r w:rsidRPr="0006066A">
              <w:rPr>
                <w:i/>
                <w:sz w:val="22"/>
                <w:szCs w:val="22"/>
                <w:lang w:val="en-US"/>
              </w:rPr>
              <w:t>et al</w:t>
            </w:r>
            <w:r w:rsidRPr="009978E3">
              <w:rPr>
                <w:sz w:val="22"/>
                <w:szCs w:val="22"/>
                <w:lang w:val="en-US"/>
              </w:rPr>
              <w:t xml:space="preserve">, 2019). Recent assessments of these iron sources indicate their significance for deep-water budgets at oceanic scales and underscore the possibility for fertilizing surface waters through vertical mixing in particular regional settings (Tagliabue </w:t>
            </w:r>
            <w:r w:rsidRPr="0006066A">
              <w:rPr>
                <w:i/>
                <w:sz w:val="22"/>
                <w:szCs w:val="22"/>
                <w:lang w:val="en-US"/>
              </w:rPr>
              <w:t>et al</w:t>
            </w:r>
            <w:r w:rsidRPr="009978E3">
              <w:rPr>
                <w:sz w:val="22"/>
                <w:szCs w:val="22"/>
                <w:lang w:val="en-US"/>
              </w:rPr>
              <w:t xml:space="preserve">., 2010) and supporting long-range organic carbon transport to abyssal oceanic areas (German </w:t>
            </w:r>
            <w:r w:rsidRPr="0006066A">
              <w:rPr>
                <w:i/>
                <w:sz w:val="22"/>
                <w:szCs w:val="22"/>
                <w:lang w:val="en-US"/>
              </w:rPr>
              <w:t>et al</w:t>
            </w:r>
            <w:r w:rsidRPr="009978E3">
              <w:rPr>
                <w:sz w:val="22"/>
                <w:szCs w:val="22"/>
                <w:lang w:val="en-US"/>
              </w:rPr>
              <w:t>., 2015).</w:t>
            </w:r>
          </w:p>
          <w:p w14:paraId="41D7700E" w14:textId="527EE14F" w:rsidR="006B3F46" w:rsidRPr="009978E3" w:rsidRDefault="006B3F46" w:rsidP="002E4B39">
            <w:pPr>
              <w:widowControl w:val="0"/>
              <w:autoSpaceDE w:val="0"/>
              <w:autoSpaceDN w:val="0"/>
              <w:adjustRightInd w:val="0"/>
              <w:spacing w:after="60"/>
              <w:jc w:val="both"/>
              <w:rPr>
                <w:sz w:val="22"/>
                <w:szCs w:val="22"/>
                <w:lang w:val="en-US"/>
              </w:rPr>
            </w:pPr>
            <w:r w:rsidRPr="009978E3">
              <w:rPr>
                <w:rFonts w:eastAsia="MS Mincho"/>
                <w:sz w:val="22"/>
                <w:szCs w:val="22"/>
                <w:lang w:val="en-US"/>
              </w:rPr>
              <w:t>7</w:t>
            </w:r>
            <w:r w:rsidRPr="009978E3">
              <w:rPr>
                <w:sz w:val="22"/>
                <w:szCs w:val="22"/>
                <w:lang w:val="en-US"/>
              </w:rPr>
              <w:t>-</w:t>
            </w:r>
            <w:r w:rsidRPr="009978E3">
              <w:rPr>
                <w:color w:val="000000"/>
                <w:sz w:val="22"/>
                <w:szCs w:val="22"/>
                <w:lang w:val="en-US"/>
              </w:rPr>
              <w:t xml:space="preserve"> Both cold-water coral communities and sponge grounds are important for global biogeochemical cycles and the ocean’s benthic pelagic coupling loop, being responsible for nearly 30</w:t>
            </w:r>
            <w:r>
              <w:rPr>
                <w:color w:val="000000"/>
                <w:sz w:val="22"/>
                <w:szCs w:val="22"/>
                <w:lang w:val="en-US"/>
              </w:rPr>
              <w:t xml:space="preserve"> per cent</w:t>
            </w:r>
            <w:r w:rsidRPr="009978E3">
              <w:rPr>
                <w:color w:val="000000"/>
                <w:sz w:val="22"/>
                <w:szCs w:val="22"/>
                <w:lang w:val="en-US"/>
              </w:rPr>
              <w:t xml:space="preserve"> of the coupling between organic matter produced at the ocean surface and the seafloor (Cathalot </w:t>
            </w:r>
            <w:r w:rsidRPr="0006066A">
              <w:rPr>
                <w:i/>
                <w:color w:val="000000"/>
                <w:sz w:val="22"/>
                <w:szCs w:val="22"/>
                <w:lang w:val="en-US"/>
              </w:rPr>
              <w:t>et al</w:t>
            </w:r>
            <w:r w:rsidRPr="009978E3">
              <w:rPr>
                <w:color w:val="000000"/>
                <w:sz w:val="22"/>
                <w:szCs w:val="22"/>
                <w:lang w:val="en-US"/>
              </w:rPr>
              <w:t>., 2015). They represent hotspots of ecosystem functioning</w:t>
            </w:r>
            <w:r>
              <w:rPr>
                <w:color w:val="000000"/>
                <w:sz w:val="22"/>
                <w:szCs w:val="22"/>
                <w:lang w:val="en-US"/>
              </w:rPr>
              <w:t>,</w:t>
            </w:r>
            <w:r w:rsidRPr="009978E3">
              <w:rPr>
                <w:color w:val="000000"/>
                <w:sz w:val="22"/>
                <w:szCs w:val="22"/>
                <w:lang w:val="en-US"/>
              </w:rPr>
              <w:t xml:space="preserve"> processing substantial amounts of </w:t>
            </w:r>
            <w:r>
              <w:rPr>
                <w:color w:val="000000"/>
                <w:sz w:val="22"/>
                <w:szCs w:val="22"/>
                <w:lang w:val="en-US"/>
              </w:rPr>
              <w:t>organic matter</w:t>
            </w:r>
            <w:r w:rsidRPr="009978E3">
              <w:rPr>
                <w:color w:val="000000"/>
                <w:sz w:val="22"/>
                <w:szCs w:val="22"/>
                <w:lang w:val="en-US"/>
              </w:rPr>
              <w:t xml:space="preserve"> (White </w:t>
            </w:r>
            <w:r w:rsidRPr="0006066A">
              <w:rPr>
                <w:i/>
                <w:color w:val="000000"/>
                <w:sz w:val="22"/>
                <w:szCs w:val="22"/>
                <w:lang w:val="en-US"/>
              </w:rPr>
              <w:t>et al</w:t>
            </w:r>
            <w:r w:rsidRPr="009978E3">
              <w:rPr>
                <w:color w:val="000000"/>
                <w:sz w:val="22"/>
                <w:szCs w:val="22"/>
                <w:lang w:val="en-US"/>
              </w:rPr>
              <w:t xml:space="preserve">., 2012; Cathalot </w:t>
            </w:r>
            <w:r w:rsidRPr="0006066A">
              <w:rPr>
                <w:i/>
                <w:color w:val="000000"/>
                <w:sz w:val="22"/>
                <w:szCs w:val="22"/>
                <w:lang w:val="en-US"/>
              </w:rPr>
              <w:t>et al</w:t>
            </w:r>
            <w:r w:rsidRPr="009978E3">
              <w:rPr>
                <w:color w:val="000000"/>
                <w:sz w:val="22"/>
                <w:szCs w:val="22"/>
                <w:lang w:val="en-US"/>
              </w:rPr>
              <w:t>., 2015)</w:t>
            </w:r>
            <w:r>
              <w:rPr>
                <w:color w:val="000000"/>
                <w:sz w:val="22"/>
                <w:szCs w:val="22"/>
                <w:lang w:val="en-US"/>
              </w:rPr>
              <w:t>,</w:t>
            </w:r>
            <w:r w:rsidRPr="009978E3">
              <w:rPr>
                <w:color w:val="000000"/>
                <w:sz w:val="22"/>
                <w:szCs w:val="22"/>
                <w:lang w:val="en-US"/>
              </w:rPr>
              <w:t xml:space="preserve"> and release nutrients back into the surrounding water (Van Oevelen </w:t>
            </w:r>
            <w:r w:rsidRPr="0006066A">
              <w:rPr>
                <w:i/>
                <w:color w:val="000000"/>
                <w:sz w:val="22"/>
                <w:szCs w:val="22"/>
                <w:lang w:val="en-US"/>
              </w:rPr>
              <w:t>et al</w:t>
            </w:r>
            <w:r w:rsidRPr="009978E3">
              <w:rPr>
                <w:color w:val="000000"/>
                <w:sz w:val="22"/>
                <w:szCs w:val="22"/>
                <w:lang w:val="en-US"/>
              </w:rPr>
              <w:t xml:space="preserve">., 2009; Cathalot </w:t>
            </w:r>
            <w:r w:rsidRPr="0006066A">
              <w:rPr>
                <w:i/>
                <w:color w:val="000000"/>
                <w:sz w:val="22"/>
                <w:szCs w:val="22"/>
                <w:lang w:val="en-US"/>
              </w:rPr>
              <w:t>et al</w:t>
            </w:r>
            <w:r w:rsidRPr="009978E3">
              <w:rPr>
                <w:color w:val="000000"/>
                <w:sz w:val="22"/>
                <w:szCs w:val="22"/>
                <w:lang w:val="en-US"/>
              </w:rPr>
              <w:t>., 2015) that become available to associated fauna</w:t>
            </w:r>
            <w:r>
              <w:rPr>
                <w:color w:val="000000"/>
                <w:sz w:val="22"/>
                <w:szCs w:val="22"/>
                <w:lang w:val="en-US"/>
              </w:rPr>
              <w:t>, thereby</w:t>
            </w:r>
            <w:r w:rsidRPr="009978E3">
              <w:rPr>
                <w:color w:val="000000"/>
                <w:sz w:val="22"/>
                <w:szCs w:val="22"/>
                <w:lang w:val="en-US"/>
              </w:rPr>
              <w:t xml:space="preserve"> potential</w:t>
            </w:r>
            <w:r>
              <w:rPr>
                <w:color w:val="000000"/>
                <w:sz w:val="22"/>
                <w:szCs w:val="22"/>
                <w:lang w:val="en-US"/>
              </w:rPr>
              <w:t>ly</w:t>
            </w:r>
            <w:r w:rsidRPr="009978E3">
              <w:rPr>
                <w:color w:val="000000"/>
                <w:sz w:val="22"/>
                <w:szCs w:val="22"/>
                <w:lang w:val="en-US"/>
              </w:rPr>
              <w:t xml:space="preserve"> increasing overall biodiversity and biological productivity of these habitats.</w:t>
            </w:r>
          </w:p>
        </w:tc>
      </w:tr>
      <w:tr w:rsidR="006B3F46" w:rsidRPr="0021277B" w14:paraId="60BCA2E5" w14:textId="77777777" w:rsidTr="00907941">
        <w:tc>
          <w:tcPr>
            <w:tcW w:w="783" w:type="pct"/>
            <w:shd w:val="clear" w:color="auto" w:fill="auto"/>
          </w:tcPr>
          <w:p w14:paraId="75C34264" w14:textId="77777777" w:rsidR="006B3F46" w:rsidRPr="00F66EF7" w:rsidRDefault="006B3F46" w:rsidP="00907941">
            <w:pPr>
              <w:widowControl w:val="0"/>
              <w:autoSpaceDE w:val="0"/>
              <w:autoSpaceDN w:val="0"/>
              <w:adjustRightInd w:val="0"/>
              <w:jc w:val="both"/>
              <w:rPr>
                <w:rFonts w:eastAsia="MS Mincho"/>
                <w:b/>
                <w:bCs/>
                <w:color w:val="000000"/>
                <w:sz w:val="22"/>
                <w:szCs w:val="22"/>
                <w:lang w:val="en-US"/>
              </w:rPr>
            </w:pPr>
            <w:r w:rsidRPr="00F66EF7">
              <w:rPr>
                <w:rFonts w:eastAsia="MS Mincho"/>
                <w:b/>
                <w:bCs/>
                <w:color w:val="000000"/>
                <w:sz w:val="22"/>
                <w:szCs w:val="22"/>
                <w:lang w:val="en-US"/>
              </w:rPr>
              <w:t>Biological diversity</w:t>
            </w:r>
          </w:p>
        </w:tc>
        <w:tc>
          <w:tcPr>
            <w:tcW w:w="2280" w:type="pct"/>
            <w:shd w:val="clear" w:color="auto" w:fill="auto"/>
          </w:tcPr>
          <w:p w14:paraId="5ED6E1B3"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vAlign w:val="center"/>
          </w:tcPr>
          <w:p w14:paraId="749D80A4"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595D1401"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62D55117"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2C94BA52"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6834EE5A" w14:textId="77777777" w:rsidTr="00907941">
        <w:tc>
          <w:tcPr>
            <w:tcW w:w="5000" w:type="pct"/>
            <w:gridSpan w:val="11"/>
            <w:shd w:val="clear" w:color="auto" w:fill="auto"/>
          </w:tcPr>
          <w:p w14:paraId="3FC2137E" w14:textId="77777777" w:rsidR="006B3F46" w:rsidRPr="009978E3" w:rsidRDefault="006B3F46" w:rsidP="00907941">
            <w:pPr>
              <w:jc w:val="both"/>
              <w:rPr>
                <w:rFonts w:eastAsia="MS Mincho"/>
                <w:i/>
                <w:iCs/>
                <w:sz w:val="22"/>
                <w:szCs w:val="22"/>
                <w:lang w:val="en-US"/>
              </w:rPr>
            </w:pPr>
            <w:r w:rsidRPr="00F66EF7">
              <w:rPr>
                <w:rFonts w:eastAsia="MS Mincho"/>
                <w:i/>
                <w:iCs/>
                <w:sz w:val="22"/>
                <w:szCs w:val="22"/>
                <w:lang w:val="en-US"/>
              </w:rPr>
              <w:t>Explanation of ranking</w:t>
            </w:r>
          </w:p>
          <w:p w14:paraId="13729C9F"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color w:val="000000"/>
                <w:sz w:val="22"/>
                <w:szCs w:val="22"/>
                <w:lang w:val="en-US"/>
              </w:rPr>
              <w:t>1-</w:t>
            </w:r>
            <w:r>
              <w:rPr>
                <w:color w:val="000000"/>
                <w:sz w:val="22"/>
                <w:szCs w:val="22"/>
                <w:lang w:val="en-US"/>
              </w:rPr>
              <w:t>Fauna associated with v</w:t>
            </w:r>
            <w:r w:rsidRPr="009978E3">
              <w:rPr>
                <w:color w:val="000000"/>
                <w:sz w:val="22"/>
                <w:szCs w:val="22"/>
                <w:lang w:val="en-US"/>
              </w:rPr>
              <w:t>ents are characterized by a high degree of specialization</w:t>
            </w:r>
            <w:r>
              <w:rPr>
                <w:color w:val="000000"/>
                <w:sz w:val="22"/>
                <w:szCs w:val="22"/>
                <w:lang w:val="en-US"/>
              </w:rPr>
              <w:t xml:space="preserve"> </w:t>
            </w:r>
            <w:r w:rsidRPr="009978E3">
              <w:rPr>
                <w:color w:val="000000"/>
                <w:sz w:val="22"/>
                <w:szCs w:val="22"/>
                <w:lang w:val="en-US"/>
              </w:rPr>
              <w:t xml:space="preserve">and relatively high productivity and species abundances compared with the surrounding deep sea. However, slow-spreading ridges, such as the MAR, that are present in the area, present the highest species diversity found at vent communities (Dubilier </w:t>
            </w:r>
            <w:r w:rsidRPr="0006066A">
              <w:rPr>
                <w:i/>
                <w:color w:val="000000"/>
                <w:sz w:val="22"/>
                <w:szCs w:val="22"/>
                <w:lang w:val="en-US"/>
              </w:rPr>
              <w:t>et al</w:t>
            </w:r>
            <w:r w:rsidRPr="009978E3">
              <w:rPr>
                <w:color w:val="000000"/>
                <w:sz w:val="22"/>
                <w:szCs w:val="22"/>
                <w:lang w:val="en-US"/>
              </w:rPr>
              <w:t xml:space="preserve">., 2008; Bernardino </w:t>
            </w:r>
            <w:r w:rsidRPr="0006066A">
              <w:rPr>
                <w:i/>
                <w:color w:val="000000"/>
                <w:sz w:val="22"/>
                <w:szCs w:val="22"/>
                <w:lang w:val="en-US"/>
              </w:rPr>
              <w:t>et al</w:t>
            </w:r>
            <w:r w:rsidRPr="009978E3">
              <w:rPr>
                <w:color w:val="000000"/>
                <w:sz w:val="22"/>
                <w:szCs w:val="22"/>
                <w:lang w:val="en-US"/>
              </w:rPr>
              <w:t xml:space="preserve">., 2012). </w:t>
            </w:r>
          </w:p>
          <w:p w14:paraId="2EEF3D0E"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color w:val="000000"/>
                <w:sz w:val="22"/>
                <w:szCs w:val="22"/>
                <w:lang w:val="en-US"/>
              </w:rPr>
              <w:t xml:space="preserve">2-The adjacent bathyal and abyssal areas are characterized by low biomass and high diversity. During </w:t>
            </w:r>
            <w:r>
              <w:rPr>
                <w:color w:val="000000"/>
                <w:sz w:val="22"/>
                <w:szCs w:val="22"/>
                <w:lang w:val="en-US"/>
              </w:rPr>
              <w:t>recent</w:t>
            </w:r>
            <w:r w:rsidRPr="009978E3">
              <w:rPr>
                <w:color w:val="000000"/>
                <w:sz w:val="22"/>
                <w:szCs w:val="22"/>
                <w:lang w:val="en-US"/>
              </w:rPr>
              <w:t xml:space="preserve"> years</w:t>
            </w:r>
            <w:r>
              <w:rPr>
                <w:color w:val="000000"/>
                <w:sz w:val="22"/>
                <w:szCs w:val="22"/>
                <w:lang w:val="en-US"/>
              </w:rPr>
              <w:t>,</w:t>
            </w:r>
            <w:r w:rsidRPr="009978E3">
              <w:rPr>
                <w:color w:val="000000"/>
                <w:sz w:val="22"/>
                <w:szCs w:val="22"/>
                <w:lang w:val="en-US"/>
              </w:rPr>
              <w:t xml:space="preserve"> new exploration led to new discover</w:t>
            </w:r>
            <w:r>
              <w:rPr>
                <w:color w:val="000000"/>
                <w:sz w:val="22"/>
                <w:szCs w:val="22"/>
                <w:lang w:val="en-US"/>
              </w:rPr>
              <w:t>ie</w:t>
            </w:r>
            <w:r w:rsidRPr="009978E3">
              <w:rPr>
                <w:color w:val="000000"/>
                <w:sz w:val="22"/>
                <w:szCs w:val="22"/>
                <w:lang w:val="en-US"/>
              </w:rPr>
              <w:t xml:space="preserve">s. Around 60 different habitats are </w:t>
            </w:r>
            <w:r w:rsidRPr="009978E3">
              <w:rPr>
                <w:sz w:val="22"/>
                <w:szCs w:val="22"/>
                <w:lang w:val="en-US" w:eastAsia="pt-PT"/>
              </w:rPr>
              <w:t xml:space="preserve">identified by </w:t>
            </w:r>
            <w:r>
              <w:rPr>
                <w:sz w:val="22"/>
                <w:szCs w:val="22"/>
                <w:lang w:val="en-US" w:eastAsia="pt-PT"/>
              </w:rPr>
              <w:t xml:space="preserve">the </w:t>
            </w:r>
            <w:r w:rsidRPr="00336403">
              <w:rPr>
                <w:sz w:val="22"/>
                <w:szCs w:val="22"/>
                <w:lang w:val="en-US" w:eastAsia="pt-PT"/>
              </w:rPr>
              <w:t xml:space="preserve">European Nature Information System </w:t>
            </w:r>
            <w:r>
              <w:rPr>
                <w:sz w:val="22"/>
                <w:szCs w:val="22"/>
                <w:lang w:val="en-US" w:eastAsia="pt-PT"/>
              </w:rPr>
              <w:t>(</w:t>
            </w:r>
            <w:r w:rsidRPr="009978E3">
              <w:rPr>
                <w:sz w:val="22"/>
                <w:szCs w:val="22"/>
                <w:lang w:val="en-US" w:eastAsia="pt-PT"/>
              </w:rPr>
              <w:t>E</w:t>
            </w:r>
            <w:r>
              <w:rPr>
                <w:sz w:val="22"/>
                <w:szCs w:val="22"/>
                <w:lang w:val="en-US" w:eastAsia="pt-PT"/>
              </w:rPr>
              <w:t>UNIS)</w:t>
            </w:r>
            <w:r w:rsidRPr="009978E3">
              <w:rPr>
                <w:sz w:val="22"/>
                <w:szCs w:val="22"/>
                <w:lang w:val="en-US" w:eastAsia="pt-PT"/>
              </w:rPr>
              <w:t xml:space="preserve"> (Tempera </w:t>
            </w:r>
            <w:r w:rsidRPr="0006066A">
              <w:rPr>
                <w:i/>
                <w:sz w:val="22"/>
                <w:szCs w:val="22"/>
                <w:lang w:val="en-US" w:eastAsia="pt-PT"/>
              </w:rPr>
              <w:t>et al</w:t>
            </w:r>
            <w:r>
              <w:rPr>
                <w:i/>
                <w:sz w:val="22"/>
                <w:szCs w:val="22"/>
                <w:lang w:val="en-US" w:eastAsia="pt-PT"/>
              </w:rPr>
              <w:t>.</w:t>
            </w:r>
            <w:r w:rsidRPr="009978E3">
              <w:rPr>
                <w:sz w:val="22"/>
                <w:szCs w:val="22"/>
                <w:lang w:val="en-US" w:eastAsia="pt-PT"/>
              </w:rPr>
              <w:t>, 2013)</w:t>
            </w:r>
            <w:r w:rsidRPr="009978E3">
              <w:rPr>
                <w:color w:val="000000"/>
                <w:sz w:val="22"/>
                <w:szCs w:val="22"/>
                <w:lang w:val="en-US"/>
              </w:rPr>
              <w:t>.</w:t>
            </w:r>
            <w:r w:rsidRPr="009978E3" w:rsidDel="00A07B40">
              <w:rPr>
                <w:color w:val="000000"/>
                <w:sz w:val="22"/>
                <w:szCs w:val="22"/>
                <w:lang w:val="en-US"/>
              </w:rPr>
              <w:t xml:space="preserve"> </w:t>
            </w:r>
          </w:p>
          <w:p w14:paraId="22030073" w14:textId="68967BEC" w:rsidR="006B3F46" w:rsidRPr="00DC50DB" w:rsidRDefault="006B3F46" w:rsidP="002E4B39">
            <w:pPr>
              <w:pStyle w:val="NormalWeb"/>
              <w:spacing w:before="0" w:beforeAutospacing="0" w:after="120" w:afterAutospacing="0"/>
              <w:jc w:val="both"/>
              <w:rPr>
                <w:lang w:val="en-CA"/>
              </w:rPr>
            </w:pPr>
            <w:r w:rsidRPr="009978E3">
              <w:rPr>
                <w:rFonts w:eastAsia="MS Mincho"/>
                <w:sz w:val="22"/>
                <w:szCs w:val="22"/>
                <w:lang w:val="en-US" w:eastAsia="en-US"/>
              </w:rPr>
              <w:t>3-Cold-water coral reefs, gardens</w:t>
            </w:r>
            <w:r>
              <w:rPr>
                <w:rFonts w:eastAsia="MS Mincho"/>
                <w:sz w:val="22"/>
                <w:szCs w:val="22"/>
                <w:lang w:val="en-US" w:eastAsia="en-US"/>
              </w:rPr>
              <w:t xml:space="preserve"> and</w:t>
            </w:r>
            <w:r w:rsidRPr="009978E3">
              <w:rPr>
                <w:rFonts w:eastAsia="MS Mincho"/>
                <w:sz w:val="22"/>
                <w:szCs w:val="22"/>
                <w:lang w:val="en-US" w:eastAsia="en-US"/>
              </w:rPr>
              <w:t xml:space="preserve"> sponge grounds support and enhance </w:t>
            </w:r>
            <w:r>
              <w:rPr>
                <w:rFonts w:eastAsia="MS Mincho"/>
                <w:sz w:val="22"/>
                <w:szCs w:val="22"/>
                <w:lang w:val="en-US" w:eastAsia="en-US"/>
              </w:rPr>
              <w:t xml:space="preserve">a </w:t>
            </w:r>
            <w:r w:rsidRPr="009978E3">
              <w:rPr>
                <w:rFonts w:eastAsia="MS Mincho"/>
                <w:sz w:val="22"/>
                <w:szCs w:val="22"/>
                <w:lang w:val="en-US" w:eastAsia="en-US"/>
              </w:rPr>
              <w:t xml:space="preserve">highly diverse community, comprising faunal biomass that is orders of magnitude above that of the surrounding seafloor (Henry and Roberts, 2007; Roberts </w:t>
            </w:r>
            <w:r w:rsidRPr="0006066A">
              <w:rPr>
                <w:rFonts w:eastAsia="MS Mincho"/>
                <w:i/>
                <w:sz w:val="22"/>
                <w:szCs w:val="22"/>
                <w:lang w:val="en-US" w:eastAsia="en-US"/>
              </w:rPr>
              <w:t>et al</w:t>
            </w:r>
            <w:r w:rsidRPr="009978E3">
              <w:rPr>
                <w:rFonts w:eastAsia="MS Mincho"/>
                <w:sz w:val="22"/>
                <w:szCs w:val="22"/>
                <w:lang w:val="en-US" w:eastAsia="en-US"/>
              </w:rPr>
              <w:t xml:space="preserve">., 2008; Lindsay </w:t>
            </w:r>
            <w:r w:rsidRPr="0006066A">
              <w:rPr>
                <w:rFonts w:eastAsia="MS Mincho"/>
                <w:i/>
                <w:sz w:val="22"/>
                <w:szCs w:val="22"/>
                <w:lang w:val="en-US" w:eastAsia="en-US"/>
              </w:rPr>
              <w:t>et al</w:t>
            </w:r>
            <w:r w:rsidRPr="009978E3">
              <w:rPr>
                <w:rFonts w:eastAsia="MS Mincho"/>
                <w:sz w:val="22"/>
                <w:szCs w:val="22"/>
                <w:lang w:val="en-US" w:eastAsia="en-US"/>
              </w:rPr>
              <w:t xml:space="preserve">, 2013). The composition of megafauna significantly differed between sponge grounds and non-sponge grounds and between different sponge morphologies (Lindsay </w:t>
            </w:r>
            <w:r w:rsidRPr="0006066A">
              <w:rPr>
                <w:rFonts w:eastAsia="MS Mincho"/>
                <w:i/>
                <w:sz w:val="22"/>
                <w:szCs w:val="22"/>
                <w:lang w:val="en-US" w:eastAsia="en-US"/>
              </w:rPr>
              <w:t>et al</w:t>
            </w:r>
            <w:r>
              <w:rPr>
                <w:rFonts w:eastAsia="MS Mincho"/>
                <w:i/>
                <w:sz w:val="22"/>
                <w:szCs w:val="22"/>
                <w:lang w:val="en-US" w:eastAsia="en-US"/>
              </w:rPr>
              <w:t>.</w:t>
            </w:r>
            <w:r w:rsidRPr="009978E3">
              <w:rPr>
                <w:rFonts w:eastAsia="MS Mincho"/>
                <w:sz w:val="22"/>
                <w:szCs w:val="22"/>
                <w:lang w:val="en-US" w:eastAsia="en-US"/>
              </w:rPr>
              <w:t>, 2013).</w:t>
            </w:r>
          </w:p>
        </w:tc>
      </w:tr>
      <w:tr w:rsidR="006B3F46" w:rsidRPr="0021277B" w14:paraId="40E0C1BC" w14:textId="77777777" w:rsidTr="00907941">
        <w:tc>
          <w:tcPr>
            <w:tcW w:w="783" w:type="pct"/>
            <w:shd w:val="clear" w:color="auto" w:fill="auto"/>
          </w:tcPr>
          <w:p w14:paraId="51A8E3D6" w14:textId="77777777" w:rsidR="006B3F46" w:rsidRPr="00F66EF7" w:rsidRDefault="006B3F46" w:rsidP="00907941">
            <w:pPr>
              <w:widowControl w:val="0"/>
              <w:autoSpaceDE w:val="0"/>
              <w:autoSpaceDN w:val="0"/>
              <w:adjustRightInd w:val="0"/>
              <w:jc w:val="both"/>
              <w:rPr>
                <w:rFonts w:eastAsia="MS Mincho"/>
                <w:b/>
                <w:color w:val="000000"/>
                <w:sz w:val="22"/>
                <w:szCs w:val="22"/>
                <w:lang w:val="en-US"/>
              </w:rPr>
            </w:pPr>
            <w:r w:rsidRPr="00F66EF7">
              <w:rPr>
                <w:rFonts w:eastAsia="MS Mincho"/>
                <w:b/>
                <w:color w:val="000000"/>
                <w:sz w:val="22"/>
                <w:szCs w:val="22"/>
                <w:lang w:val="en-US"/>
              </w:rPr>
              <w:t>Naturalness</w:t>
            </w:r>
          </w:p>
        </w:tc>
        <w:tc>
          <w:tcPr>
            <w:tcW w:w="2295" w:type="pct"/>
            <w:gridSpan w:val="2"/>
            <w:shd w:val="clear" w:color="auto" w:fill="auto"/>
          </w:tcPr>
          <w:p w14:paraId="57396D38" w14:textId="77777777" w:rsidR="006B3F46" w:rsidRPr="009978E3" w:rsidRDefault="006B3F46" w:rsidP="00907941">
            <w:pPr>
              <w:widowControl w:val="0"/>
              <w:autoSpaceDE w:val="0"/>
              <w:autoSpaceDN w:val="0"/>
              <w:adjustRightInd w:val="0"/>
              <w:jc w:val="both"/>
              <w:rPr>
                <w:rFonts w:eastAsia="MS Mincho"/>
                <w:color w:val="000000"/>
                <w:sz w:val="22"/>
                <w:szCs w:val="22"/>
                <w:lang w:val="en-US"/>
              </w:rPr>
            </w:pPr>
            <w:r w:rsidRPr="009978E3">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vAlign w:val="center"/>
          </w:tcPr>
          <w:p w14:paraId="511FED70"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453" w:type="pct"/>
            <w:gridSpan w:val="2"/>
            <w:shd w:val="clear" w:color="auto" w:fill="auto"/>
            <w:vAlign w:val="center"/>
          </w:tcPr>
          <w:p w14:paraId="50E4B156"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400" w:type="pct"/>
            <w:gridSpan w:val="2"/>
            <w:shd w:val="clear" w:color="auto" w:fill="auto"/>
            <w:vAlign w:val="center"/>
          </w:tcPr>
          <w:p w14:paraId="70740D4D"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385" w:type="pct"/>
            <w:shd w:val="clear" w:color="auto" w:fill="auto"/>
            <w:vAlign w:val="center"/>
          </w:tcPr>
          <w:p w14:paraId="2F2F33BE" w14:textId="77777777" w:rsidR="006B3F46" w:rsidRPr="009978E3" w:rsidRDefault="006B3F46" w:rsidP="00907941">
            <w:pPr>
              <w:widowControl w:val="0"/>
              <w:autoSpaceDE w:val="0"/>
              <w:autoSpaceDN w:val="0"/>
              <w:adjustRightInd w:val="0"/>
              <w:jc w:val="center"/>
              <w:rPr>
                <w:color w:val="000000"/>
                <w:sz w:val="22"/>
                <w:szCs w:val="22"/>
                <w:lang w:val="en-US"/>
              </w:rPr>
            </w:pPr>
            <w:r w:rsidRPr="009978E3">
              <w:rPr>
                <w:color w:val="000000"/>
                <w:sz w:val="22"/>
                <w:szCs w:val="22"/>
                <w:lang w:val="en-US"/>
              </w:rPr>
              <w:t>X</w:t>
            </w:r>
          </w:p>
        </w:tc>
      </w:tr>
      <w:tr w:rsidR="006B3F46" w:rsidRPr="0021277B" w14:paraId="0BF043A1" w14:textId="77777777" w:rsidTr="00907941">
        <w:tc>
          <w:tcPr>
            <w:tcW w:w="5000" w:type="pct"/>
            <w:gridSpan w:val="11"/>
            <w:shd w:val="clear" w:color="auto" w:fill="auto"/>
          </w:tcPr>
          <w:p w14:paraId="6F899399" w14:textId="701CFFF9" w:rsidR="006B3F46" w:rsidRPr="009978E3" w:rsidRDefault="006B3F46" w:rsidP="00907941">
            <w:pPr>
              <w:jc w:val="both"/>
              <w:rPr>
                <w:rFonts w:eastAsia="MS Mincho"/>
                <w:sz w:val="22"/>
                <w:szCs w:val="22"/>
                <w:lang w:val="en-US"/>
              </w:rPr>
            </w:pPr>
            <w:r w:rsidRPr="00F66EF7">
              <w:rPr>
                <w:sz w:val="22"/>
                <w:szCs w:val="22"/>
                <w:lang w:val="en-IE"/>
              </w:rPr>
              <w:t>Overall t</w:t>
            </w:r>
            <w:r w:rsidRPr="009978E3">
              <w:rPr>
                <w:sz w:val="22"/>
                <w:szCs w:val="22"/>
              </w:rPr>
              <w:t>he naturalness of the described area is classified as high, a</w:t>
            </w:r>
            <w:r>
              <w:rPr>
                <w:sz w:val="22"/>
                <w:szCs w:val="22"/>
              </w:rPr>
              <w:t>s</w:t>
            </w:r>
            <w:r w:rsidRPr="009978E3">
              <w:rPr>
                <w:sz w:val="22"/>
                <w:szCs w:val="22"/>
              </w:rPr>
              <w:t xml:space="preserve"> it is located in a r</w:t>
            </w:r>
            <w:r>
              <w:rPr>
                <w:sz w:val="22"/>
                <w:szCs w:val="22"/>
              </w:rPr>
              <w:t>elatively</w:t>
            </w:r>
            <w:r w:rsidRPr="009978E3">
              <w:rPr>
                <w:sz w:val="22"/>
                <w:szCs w:val="22"/>
              </w:rPr>
              <w:t xml:space="preserve"> remote area.</w:t>
            </w:r>
          </w:p>
        </w:tc>
      </w:tr>
    </w:tbl>
    <w:p w14:paraId="1B5F3276" w14:textId="77777777" w:rsidR="006B3F46" w:rsidRPr="00F66EF7" w:rsidRDefault="006B3F46" w:rsidP="00907941">
      <w:pPr>
        <w:jc w:val="both"/>
        <w:rPr>
          <w:rFonts w:eastAsia="MS Mincho"/>
          <w:b/>
          <w:sz w:val="22"/>
          <w:szCs w:val="22"/>
          <w:lang w:val="en-US"/>
        </w:rPr>
      </w:pPr>
    </w:p>
    <w:p w14:paraId="2E1F8A79" w14:textId="77777777" w:rsidR="006B3F46" w:rsidRPr="009978E3" w:rsidRDefault="006B3F46" w:rsidP="00907941">
      <w:pPr>
        <w:rPr>
          <w:rFonts w:eastAsia="MS Mincho"/>
          <w:bCs/>
          <w:i/>
          <w:color w:val="000000"/>
          <w:sz w:val="22"/>
          <w:szCs w:val="22"/>
          <w:lang w:val="en-US"/>
        </w:rPr>
      </w:pPr>
      <w:r w:rsidRPr="009978E3">
        <w:rPr>
          <w:rFonts w:eastAsia="MS Mincho"/>
          <w:b/>
          <w:sz w:val="22"/>
          <w:szCs w:val="22"/>
          <w:lang w:val="en-US"/>
        </w:rPr>
        <w:t>References</w:t>
      </w:r>
    </w:p>
    <w:p w14:paraId="0B1000E1" w14:textId="77777777" w:rsidR="006B3F46" w:rsidRPr="009978E3" w:rsidRDefault="006B3F46" w:rsidP="00907941">
      <w:pPr>
        <w:ind w:left="708" w:hanging="708"/>
        <w:jc w:val="both"/>
        <w:rPr>
          <w:sz w:val="22"/>
          <w:szCs w:val="22"/>
          <w:lang w:val="en-US"/>
        </w:rPr>
      </w:pPr>
      <w:r w:rsidRPr="009978E3">
        <w:rPr>
          <w:sz w:val="22"/>
          <w:szCs w:val="22"/>
          <w:lang w:val="en-US"/>
        </w:rPr>
        <w:t xml:space="preserve">Aballea, M., Radford-Knoery, J., Appriou, P., Bougault, H., Charlou, J., Donval, J., Etoubleau, J., German, C. &amp; Miranda, M. (1998). Manganese distribution and behavior in the water column near the Azores Triple Junction along the Mid-Atlantic Ridge and in the Azores domain. </w:t>
      </w:r>
      <w:r w:rsidRPr="009978E3">
        <w:rPr>
          <w:i/>
          <w:sz w:val="22"/>
          <w:szCs w:val="22"/>
          <w:lang w:val="en-US"/>
        </w:rPr>
        <w:t>Deep-Sea Research</w:t>
      </w:r>
      <w:r w:rsidRPr="009978E3">
        <w:rPr>
          <w:sz w:val="22"/>
          <w:szCs w:val="22"/>
          <w:lang w:val="en-US"/>
        </w:rPr>
        <w:t>, 45(8): 1319–1338.</w:t>
      </w:r>
    </w:p>
    <w:p w14:paraId="7FFE5EB3" w14:textId="77777777" w:rsidR="006B3F46" w:rsidRPr="009978E3" w:rsidRDefault="006B3F46" w:rsidP="00907941">
      <w:pPr>
        <w:ind w:left="708" w:hanging="708"/>
        <w:jc w:val="both"/>
        <w:rPr>
          <w:sz w:val="22"/>
          <w:szCs w:val="22"/>
          <w:lang w:val="en-US"/>
        </w:rPr>
      </w:pPr>
      <w:r w:rsidRPr="009978E3">
        <w:rPr>
          <w:sz w:val="22"/>
          <w:szCs w:val="22"/>
          <w:lang w:val="en-US"/>
        </w:rPr>
        <w:t xml:space="preserve">Amend, J., McCollom, T., Hentscher, M. &amp; Bach, W. (2011). Catabolic and anabolic energy for chemolithoautotrophs in deep-sea hydrothermal systems hosted in different rock types. </w:t>
      </w:r>
      <w:r w:rsidRPr="009978E3">
        <w:rPr>
          <w:i/>
          <w:sz w:val="22"/>
          <w:szCs w:val="22"/>
          <w:lang w:val="en-US"/>
        </w:rPr>
        <w:t>Geochimica et Cosmochimica Acta</w:t>
      </w:r>
      <w:r w:rsidRPr="009978E3">
        <w:rPr>
          <w:sz w:val="22"/>
          <w:szCs w:val="22"/>
          <w:lang w:val="en-US"/>
        </w:rPr>
        <w:t>, 75(19): 5736–5748.</w:t>
      </w:r>
    </w:p>
    <w:p w14:paraId="5C83E440"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Ashford, O. S., Kenny, A. J., Barrio Froján, C. R., Downie, A., Horton, T., &amp; Rogers, A. D. (2019). On the influence of Vulnerable Marine Ecosystem habitats on peracarid crustacean assemblages in the Northwest Atlantic Fisheries Organisation Regulatory Area. </w:t>
      </w:r>
      <w:r w:rsidRPr="009978E3">
        <w:rPr>
          <w:rFonts w:ascii="Times New Roman" w:hAnsi="Times New Roman" w:cs="Times New Roman"/>
          <w:i/>
          <w:iCs/>
          <w:sz w:val="22"/>
          <w:szCs w:val="22"/>
        </w:rPr>
        <w:t>Frontiers in Marine Science</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6</w:t>
      </w:r>
      <w:r w:rsidRPr="009978E3">
        <w:rPr>
          <w:rFonts w:ascii="Times New Roman" w:hAnsi="Times New Roman" w:cs="Times New Roman"/>
          <w:sz w:val="22"/>
          <w:szCs w:val="22"/>
        </w:rPr>
        <w:t>, 401. DOI - 10.3389/fmars.2019.00401</w:t>
      </w:r>
    </w:p>
    <w:p w14:paraId="4AD84264" w14:textId="77777777" w:rsidR="006B3F46" w:rsidRPr="009978E3" w:rsidRDefault="006B3F46" w:rsidP="00907941">
      <w:pPr>
        <w:ind w:left="708" w:hanging="708"/>
        <w:jc w:val="both"/>
        <w:rPr>
          <w:sz w:val="22"/>
          <w:szCs w:val="22"/>
          <w:lang w:val="en-US"/>
        </w:rPr>
      </w:pPr>
      <w:r w:rsidRPr="009978E3">
        <w:rPr>
          <w:iCs/>
          <w:sz w:val="22"/>
          <w:szCs w:val="22"/>
        </w:rPr>
        <w:t>Auster, P.J.; Bergstad, O.A.; Brock, R.; Colaco, A.; Duran Munoz, P.; Ellwood, H.; Golding, N.; Grehan, A.; Hall-Spencer, J.; Howell, K.; Ingels, J.; Kenchington, E.; McIntyre, F.; Monot, L.; Mortensen, P.B.; Neat, F.; Nieto-Conde, F.; Pinto, C.; Ross, S.; Vinnichenko, V.; Watling, L. (2013) Report of the ICES\ NAFO Joint Working Group on Deep-water Ecology (WGDEC), 11–15 March 2013, Floedevigen, Norway.</w:t>
      </w:r>
    </w:p>
    <w:p w14:paraId="6577D9AE" w14:textId="77777777" w:rsidR="006B3F46" w:rsidRPr="009978E3" w:rsidRDefault="006B3F46" w:rsidP="00907941">
      <w:pPr>
        <w:ind w:left="708" w:hanging="708"/>
        <w:jc w:val="both"/>
        <w:rPr>
          <w:sz w:val="22"/>
          <w:szCs w:val="22"/>
          <w:lang w:val="en-US"/>
        </w:rPr>
      </w:pPr>
      <w:r w:rsidRPr="009978E3">
        <w:rPr>
          <w:sz w:val="22"/>
          <w:szCs w:val="22"/>
          <w:lang w:val="en-US"/>
        </w:rPr>
        <w:t xml:space="preserve">Baker, E. &amp; German, R. (2004). On the global distribution of hydrothermal vent fields, in Mid-Ocean Ridges: Hydrothermal Interactions between the Lithosphere and Oceans. </w:t>
      </w:r>
      <w:r w:rsidRPr="009978E3">
        <w:rPr>
          <w:i/>
          <w:sz w:val="22"/>
          <w:szCs w:val="22"/>
          <w:lang w:val="en-US"/>
        </w:rPr>
        <w:t>Geophysical Monograph</w:t>
      </w:r>
      <w:r w:rsidRPr="009978E3">
        <w:rPr>
          <w:sz w:val="22"/>
          <w:szCs w:val="22"/>
          <w:lang w:val="en-US"/>
        </w:rPr>
        <w:t>, 148: 245–266.</w:t>
      </w:r>
    </w:p>
    <w:p w14:paraId="41E6E2DE" w14:textId="77777777" w:rsidR="006B3F46" w:rsidRPr="009978E3" w:rsidRDefault="006B3F46" w:rsidP="00907941">
      <w:pPr>
        <w:ind w:left="708" w:hanging="708"/>
        <w:jc w:val="both"/>
        <w:rPr>
          <w:sz w:val="22"/>
          <w:szCs w:val="22"/>
          <w:lang w:val="en-US"/>
        </w:rPr>
      </w:pPr>
      <w:r w:rsidRPr="009978E3">
        <w:rPr>
          <w:sz w:val="22"/>
          <w:szCs w:val="22"/>
          <w:lang w:val="en-US"/>
        </w:rPr>
        <w:t xml:space="preserve">Baker, M., Ramirez-Llodra, E., Tyler, P., German, C., Boetius, A., Cordes, E., Dubilier, N., Fisher, C., Levin, L., Metaxas, A., Rowden, A., Santos, R., Shank, T., Van Dover, C., Young, C. &amp; Warén, A. (2010). </w:t>
      </w:r>
      <w:r w:rsidRPr="009978E3">
        <w:rPr>
          <w:i/>
          <w:sz w:val="22"/>
          <w:szCs w:val="22"/>
          <w:lang w:val="en-US"/>
        </w:rPr>
        <w:t>Biogeography, Ecology, and Vulnerability of Chemosynthetic Ecosystems in the Deep Sea</w:t>
      </w:r>
      <w:r w:rsidRPr="009978E3">
        <w:rPr>
          <w:sz w:val="22"/>
          <w:szCs w:val="22"/>
          <w:lang w:val="en-US"/>
        </w:rPr>
        <w:t>, in: McIntyre, A. (Ed.), Life in the World’s Oceans. Wiley-Blackwell, Oxford, UK, pp. 161–182.</w:t>
      </w:r>
    </w:p>
    <w:p w14:paraId="519A45C0" w14:textId="77777777" w:rsidR="006B3F46" w:rsidRPr="009978E3" w:rsidRDefault="006B3F46" w:rsidP="00907941">
      <w:pPr>
        <w:ind w:left="708" w:hanging="708"/>
        <w:jc w:val="both"/>
        <w:rPr>
          <w:sz w:val="22"/>
          <w:szCs w:val="22"/>
          <w:lang w:val="en-US"/>
        </w:rPr>
      </w:pPr>
      <w:r w:rsidRPr="009978E3">
        <w:rPr>
          <w:sz w:val="22"/>
          <w:szCs w:val="22"/>
          <w:lang w:val="en-US"/>
        </w:rPr>
        <w:t xml:space="preserve">Ballu, V., Ammann, J., Pot, O., De Viron, O., Sasagawa, G., Reverdin, G., Bouin, M., Cannat, M., Deplus, C., Deroussi, S., Maia, M. &amp; Diament, M. (2009). A seafloor experiment to monitor vertical deformation at the Lucky Strike volcano, Mid-Atlantic Ridge. </w:t>
      </w:r>
      <w:r w:rsidRPr="009978E3">
        <w:rPr>
          <w:i/>
          <w:sz w:val="22"/>
          <w:szCs w:val="22"/>
          <w:lang w:val="en-US"/>
        </w:rPr>
        <w:t>Journal of Geodesy</w:t>
      </w:r>
      <w:r w:rsidRPr="009978E3">
        <w:rPr>
          <w:sz w:val="22"/>
          <w:szCs w:val="22"/>
          <w:lang w:val="en-US"/>
        </w:rPr>
        <w:t>, 83(2): 147-159.</w:t>
      </w:r>
    </w:p>
    <w:p w14:paraId="2672AE31" w14:textId="77777777" w:rsidR="006B3F46" w:rsidRPr="009978E3" w:rsidRDefault="006B3F46" w:rsidP="00907941">
      <w:pPr>
        <w:ind w:left="708" w:hanging="708"/>
        <w:jc w:val="both"/>
        <w:rPr>
          <w:sz w:val="22"/>
          <w:szCs w:val="22"/>
          <w:lang w:val="en-US"/>
        </w:rPr>
      </w:pPr>
      <w:r w:rsidRPr="009978E3">
        <w:rPr>
          <w:sz w:val="22"/>
          <w:szCs w:val="22"/>
          <w:lang w:val="en-US"/>
        </w:rPr>
        <w:t xml:space="preserve">Barriga, F. &amp; Santos, R. (2003). The MOMAR area: A prime candidate for development of a seafloor observatory. </w:t>
      </w:r>
      <w:r w:rsidRPr="009978E3">
        <w:rPr>
          <w:i/>
          <w:sz w:val="22"/>
          <w:szCs w:val="22"/>
          <w:lang w:val="en-US"/>
        </w:rPr>
        <w:t>SSC 2003 - 3rd International Workshop on Scientific Use of Submarine Cables and Related Technologies</w:t>
      </w:r>
      <w:r w:rsidRPr="009978E3">
        <w:rPr>
          <w:sz w:val="22"/>
          <w:szCs w:val="22"/>
          <w:lang w:val="en-US"/>
        </w:rPr>
        <w:t xml:space="preserve">, 259–262. </w:t>
      </w:r>
    </w:p>
    <w:p w14:paraId="189166AB" w14:textId="77777777" w:rsidR="006B3F46" w:rsidRPr="009978E3" w:rsidRDefault="006B3F46" w:rsidP="00907941">
      <w:pPr>
        <w:ind w:left="708" w:hanging="708"/>
        <w:jc w:val="both"/>
        <w:rPr>
          <w:sz w:val="22"/>
          <w:szCs w:val="22"/>
          <w:lang w:val="pt-PT"/>
        </w:rPr>
      </w:pPr>
      <w:r w:rsidRPr="009978E3">
        <w:rPr>
          <w:sz w:val="22"/>
          <w:szCs w:val="22"/>
          <w:lang w:val="en-US"/>
        </w:rPr>
        <w:t xml:space="preserve">Barriga, F. (2003). Hydrothermal activity at the Mid-Atlantic Ridge in the Azores Region: Lessons concerning old massive sulphide deposits. </w:t>
      </w:r>
      <w:r w:rsidRPr="009978E3">
        <w:rPr>
          <w:i/>
          <w:sz w:val="22"/>
          <w:szCs w:val="22"/>
          <w:lang w:val="pt-PT"/>
        </w:rPr>
        <w:t>Vulcanica</w:t>
      </w:r>
      <w:r w:rsidRPr="009978E3">
        <w:rPr>
          <w:sz w:val="22"/>
          <w:szCs w:val="22"/>
          <w:lang w:val="pt-PT"/>
        </w:rPr>
        <w:t>, I:1–16.</w:t>
      </w:r>
    </w:p>
    <w:p w14:paraId="1D1C71EF" w14:textId="77777777" w:rsidR="006B3F46" w:rsidRPr="009978E3" w:rsidRDefault="006B3F46" w:rsidP="00907941">
      <w:pPr>
        <w:ind w:left="708" w:hanging="708"/>
        <w:jc w:val="both"/>
        <w:rPr>
          <w:sz w:val="22"/>
          <w:szCs w:val="22"/>
          <w:lang w:val="en-US"/>
        </w:rPr>
      </w:pPr>
      <w:r w:rsidRPr="009978E3">
        <w:rPr>
          <w:sz w:val="22"/>
          <w:szCs w:val="22"/>
          <w:lang w:val="pt-PT"/>
        </w:rPr>
        <w:t xml:space="preserve">Barriga, F., Fouquet, Y., Almeida, A., Biscoito, M., Charlou, J., Costa, R., Dias, A., Marques, A., Olu, K., Queiroz, M. &amp; Porteiro, F. (1998). </w:t>
      </w:r>
      <w:r w:rsidRPr="009978E3">
        <w:rPr>
          <w:sz w:val="22"/>
          <w:szCs w:val="22"/>
          <w:lang w:val="en-US"/>
        </w:rPr>
        <w:t>Discovery of the Saldanha hydrothermal field on the FAMOUS segment of the MAR (36</w:t>
      </w:r>
      <w:r w:rsidRPr="009978E3">
        <w:rPr>
          <w:rFonts w:eastAsia="MS Mincho"/>
          <w:sz w:val="22"/>
          <w:szCs w:val="22"/>
          <w:lang w:val="en-US"/>
        </w:rPr>
        <w:t>ᵒ</w:t>
      </w:r>
      <w:r w:rsidRPr="009978E3">
        <w:rPr>
          <w:sz w:val="22"/>
          <w:szCs w:val="22"/>
          <w:lang w:val="en-US"/>
        </w:rPr>
        <w:t xml:space="preserve"> 30′ N). </w:t>
      </w:r>
      <w:r w:rsidRPr="009978E3">
        <w:rPr>
          <w:i/>
          <w:sz w:val="22"/>
          <w:szCs w:val="22"/>
          <w:lang w:val="en-US"/>
        </w:rPr>
        <w:t>Eos, Transactions, American Geophysical Union</w:t>
      </w:r>
      <w:r w:rsidRPr="009978E3">
        <w:rPr>
          <w:sz w:val="22"/>
          <w:szCs w:val="22"/>
          <w:lang w:val="en-US"/>
        </w:rPr>
        <w:t>, 79: 67.</w:t>
      </w:r>
    </w:p>
    <w:p w14:paraId="674BA00F" w14:textId="77777777" w:rsidR="006B3F46" w:rsidRPr="009978E3" w:rsidRDefault="006B3F46" w:rsidP="00907941">
      <w:pPr>
        <w:ind w:left="708" w:hanging="708"/>
        <w:jc w:val="both"/>
        <w:rPr>
          <w:sz w:val="22"/>
          <w:szCs w:val="22"/>
          <w:lang w:val="en-US"/>
        </w:rPr>
      </w:pPr>
      <w:r w:rsidRPr="009978E3">
        <w:rPr>
          <w:sz w:val="22"/>
          <w:szCs w:val="22"/>
          <w:lang w:val="en-US"/>
        </w:rPr>
        <w:t xml:space="preserve">Bellan-Santini, D. (2007). New amphipods of hydrothermal vent environments on the Mid- Atlantic Ridge, Azores Triple junction zone. </w:t>
      </w:r>
      <w:r w:rsidRPr="009978E3">
        <w:rPr>
          <w:i/>
          <w:sz w:val="22"/>
          <w:szCs w:val="22"/>
          <w:lang w:val="en-US"/>
        </w:rPr>
        <w:t>Journal of Natural History</w:t>
      </w:r>
      <w:r w:rsidRPr="009978E3">
        <w:rPr>
          <w:sz w:val="22"/>
          <w:szCs w:val="22"/>
          <w:lang w:val="en-US"/>
        </w:rPr>
        <w:t xml:space="preserve">, 41(9-12): 567-596. </w:t>
      </w:r>
    </w:p>
    <w:p w14:paraId="5B484F2A" w14:textId="77777777" w:rsidR="006B3F46" w:rsidRPr="009978E3" w:rsidRDefault="006B3F46" w:rsidP="00907941">
      <w:pPr>
        <w:ind w:left="708" w:hanging="708"/>
        <w:jc w:val="both"/>
        <w:rPr>
          <w:sz w:val="22"/>
          <w:szCs w:val="22"/>
          <w:lang w:val="en-US"/>
        </w:rPr>
      </w:pPr>
      <w:r w:rsidRPr="009978E3">
        <w:rPr>
          <w:sz w:val="22"/>
          <w:szCs w:val="22"/>
          <w:lang w:val="en-US"/>
        </w:rPr>
        <w:t xml:space="preserve">Bemis, K., Lowell, R. &amp; Farough, A. (2012). Diffuse Flow On and Around Hydrothermal Vents at Mid-Ocean Ridges. </w:t>
      </w:r>
      <w:r w:rsidRPr="009978E3">
        <w:rPr>
          <w:i/>
          <w:sz w:val="22"/>
          <w:szCs w:val="22"/>
          <w:lang w:val="en-US"/>
        </w:rPr>
        <w:t>Oceanography</w:t>
      </w:r>
      <w:r w:rsidRPr="009978E3">
        <w:rPr>
          <w:sz w:val="22"/>
          <w:szCs w:val="22"/>
          <w:lang w:val="en-US"/>
        </w:rPr>
        <w:t xml:space="preserve">, 25(1): 182–191. </w:t>
      </w:r>
    </w:p>
    <w:p w14:paraId="0011F7CC" w14:textId="77777777" w:rsidR="006B3F46" w:rsidRPr="009978E3" w:rsidRDefault="006B3F46" w:rsidP="00907941">
      <w:pPr>
        <w:ind w:left="708" w:hanging="708"/>
        <w:jc w:val="both"/>
        <w:rPr>
          <w:sz w:val="22"/>
          <w:szCs w:val="22"/>
          <w:lang w:val="en-US"/>
        </w:rPr>
      </w:pPr>
      <w:r w:rsidRPr="009978E3">
        <w:rPr>
          <w:sz w:val="22"/>
          <w:szCs w:val="22"/>
          <w:lang w:val="en-US"/>
        </w:rPr>
        <w:t xml:space="preserve">Bennett, S., Achterberg, E., Connely, D., Statham, P., Fones, G. &amp; German, C. (2008). The distribution and stabilization of dissolved Fe in deep-sea hydrothermal plumes. </w:t>
      </w:r>
      <w:r w:rsidRPr="009978E3">
        <w:rPr>
          <w:i/>
          <w:sz w:val="22"/>
          <w:szCs w:val="22"/>
          <w:lang w:val="en-US"/>
        </w:rPr>
        <w:t>Earth and Planetary Science Letters</w:t>
      </w:r>
      <w:r w:rsidRPr="009978E3">
        <w:rPr>
          <w:sz w:val="22"/>
          <w:szCs w:val="22"/>
          <w:lang w:val="en-US"/>
        </w:rPr>
        <w:t>, 270: 157–167.</w:t>
      </w:r>
    </w:p>
    <w:p w14:paraId="4C5BF20C" w14:textId="77777777" w:rsidR="006B3F46" w:rsidRPr="009978E3" w:rsidRDefault="006B3F46" w:rsidP="00907941">
      <w:pPr>
        <w:ind w:left="708" w:hanging="708"/>
        <w:jc w:val="both"/>
        <w:rPr>
          <w:sz w:val="22"/>
          <w:szCs w:val="22"/>
          <w:lang w:val="en-US"/>
        </w:rPr>
      </w:pPr>
      <w:r w:rsidRPr="009978E3">
        <w:rPr>
          <w:sz w:val="22"/>
          <w:szCs w:val="22"/>
          <w:lang w:val="en-US"/>
        </w:rPr>
        <w:t xml:space="preserve">Bernardino, A., Levin, L., Thurber, A. &amp; Smith, C. (2012). Comparative composition, diversity and trophic ecology of sediment macrofauna at vents, seeps and organic falls. </w:t>
      </w:r>
      <w:r w:rsidRPr="009978E3">
        <w:rPr>
          <w:i/>
          <w:sz w:val="22"/>
          <w:szCs w:val="22"/>
          <w:lang w:val="en-US"/>
        </w:rPr>
        <w:t>PLoS ONE</w:t>
      </w:r>
      <w:r w:rsidRPr="009978E3">
        <w:rPr>
          <w:sz w:val="22"/>
          <w:szCs w:val="22"/>
          <w:lang w:val="en-US"/>
        </w:rPr>
        <w:t>, 7(4): e33515.</w:t>
      </w:r>
    </w:p>
    <w:p w14:paraId="7E61A540" w14:textId="77777777" w:rsidR="006B3F46" w:rsidRPr="009978E3" w:rsidRDefault="006B3F46" w:rsidP="00907941">
      <w:pPr>
        <w:ind w:left="708" w:hanging="708"/>
        <w:jc w:val="both"/>
        <w:rPr>
          <w:iCs/>
          <w:sz w:val="22"/>
          <w:szCs w:val="22"/>
        </w:rPr>
      </w:pPr>
      <w:r w:rsidRPr="009978E3">
        <w:rPr>
          <w:iCs/>
          <w:sz w:val="22"/>
          <w:szCs w:val="22"/>
        </w:rPr>
        <w:t xml:space="preserve">Bettencourt, R.; Costa, V.; Laranjo, M.; Rosa, D.; Pires, L.; Colaço, A.; Lopes, H,; Serrão Santos, R. (2010) Out of the Deep-sea into a land-based aquarium environment: Investigating physiological adaptations in the hydrothermal vent mussel Bathymodiolus azoricus. ICES Journal of Marine Science 68 (2):357-364. </w:t>
      </w:r>
    </w:p>
    <w:p w14:paraId="030D8F80" w14:textId="77777777" w:rsidR="006B3F46" w:rsidRPr="00F66EF7" w:rsidRDefault="006B3F46" w:rsidP="00907941">
      <w:pPr>
        <w:ind w:left="708" w:hanging="708"/>
        <w:jc w:val="both"/>
        <w:rPr>
          <w:sz w:val="22"/>
          <w:szCs w:val="22"/>
          <w:lang w:val="en-US"/>
        </w:rPr>
      </w:pPr>
      <w:r w:rsidRPr="009978E3">
        <w:rPr>
          <w:sz w:val="22"/>
          <w:szCs w:val="22"/>
          <w:lang w:val="en-US"/>
        </w:rPr>
        <w:t xml:space="preserve">BirdLife International (2019). The Seabird Tracking Database. </w:t>
      </w:r>
      <w:hyperlink r:id="rId248" w:history="1">
        <w:r w:rsidRPr="009978E3">
          <w:rPr>
            <w:rStyle w:val="Hyperlink"/>
            <w:sz w:val="22"/>
            <w:szCs w:val="22"/>
            <w:lang w:val="en-US"/>
          </w:rPr>
          <w:t>www.seabirdtracking.org</w:t>
        </w:r>
      </w:hyperlink>
    </w:p>
    <w:p w14:paraId="3A46CFBB" w14:textId="77777777" w:rsidR="006B3F46" w:rsidRPr="009978E3" w:rsidRDefault="006B3F46" w:rsidP="00907941">
      <w:pPr>
        <w:ind w:left="708" w:hanging="708"/>
        <w:jc w:val="both"/>
        <w:rPr>
          <w:sz w:val="22"/>
          <w:szCs w:val="22"/>
          <w:lang w:val="en-US"/>
        </w:rPr>
      </w:pPr>
      <w:r w:rsidRPr="009978E3">
        <w:rPr>
          <w:sz w:val="22"/>
          <w:szCs w:val="22"/>
          <w:lang w:val="en-US"/>
        </w:rPr>
        <w:t xml:space="preserve">Biscoito, M. (2006). </w:t>
      </w:r>
      <w:r w:rsidRPr="009978E3">
        <w:rPr>
          <w:i/>
          <w:sz w:val="22"/>
          <w:szCs w:val="22"/>
          <w:lang w:val="en-US"/>
        </w:rPr>
        <w:t>Chordata, Chondrichthyes &amp; Osteichthyes</w:t>
      </w:r>
      <w:r w:rsidRPr="009978E3">
        <w:rPr>
          <w:sz w:val="22"/>
          <w:szCs w:val="22"/>
          <w:lang w:val="en-US"/>
        </w:rPr>
        <w:t>. Handbook of deep-sea hydrothermal vent fauna. Denisia, pp 489-490.</w:t>
      </w:r>
    </w:p>
    <w:p w14:paraId="499C158C" w14:textId="77777777" w:rsidR="006B3F46" w:rsidRPr="009978E3" w:rsidRDefault="006B3F46" w:rsidP="00907941">
      <w:pPr>
        <w:ind w:left="708" w:hanging="708"/>
        <w:jc w:val="both"/>
        <w:rPr>
          <w:sz w:val="22"/>
          <w:szCs w:val="22"/>
          <w:lang w:val="nl-NL"/>
        </w:rPr>
      </w:pPr>
      <w:r w:rsidRPr="009978E3">
        <w:rPr>
          <w:sz w:val="22"/>
          <w:szCs w:val="22"/>
          <w:lang w:val="en-US"/>
        </w:rPr>
        <w:t xml:space="preserve">Biscoito, M., Almeida, A. &amp; Segonzac, M. (2006). Preliminary biological characterization of the Saldanha hydrothermal field at the Mid-Atlantic Ridge (36 degrees 34'N, 32 degrees 26'W, 2200 m). </w:t>
      </w:r>
      <w:r w:rsidRPr="009978E3">
        <w:rPr>
          <w:i/>
          <w:sz w:val="22"/>
          <w:szCs w:val="22"/>
          <w:lang w:val="nl-NL"/>
        </w:rPr>
        <w:t>Cahiers de biologie marine</w:t>
      </w:r>
      <w:r w:rsidRPr="009978E3">
        <w:rPr>
          <w:sz w:val="22"/>
          <w:szCs w:val="22"/>
          <w:lang w:val="nl-NL"/>
        </w:rPr>
        <w:t>, 47(4): 421-427.</w:t>
      </w:r>
    </w:p>
    <w:p w14:paraId="03F379D3" w14:textId="77777777" w:rsidR="006B3F46" w:rsidRPr="009978E3" w:rsidRDefault="006B3F46" w:rsidP="00907941">
      <w:pPr>
        <w:ind w:left="708" w:hanging="708"/>
        <w:jc w:val="both"/>
        <w:rPr>
          <w:sz w:val="22"/>
          <w:szCs w:val="22"/>
          <w:lang w:val="en-US"/>
        </w:rPr>
      </w:pPr>
      <w:r w:rsidRPr="009978E3">
        <w:rPr>
          <w:sz w:val="22"/>
          <w:szCs w:val="22"/>
          <w:lang w:val="nl-NL"/>
        </w:rPr>
        <w:t xml:space="preserve">Biscoito, M., Segonzac, M., Almeida, A., Desbruyeres, D., Geistdoerfer, P., Turnipseed, M. &amp; Van Dover, C. (2002). </w:t>
      </w:r>
      <w:r w:rsidRPr="009978E3">
        <w:rPr>
          <w:sz w:val="22"/>
          <w:szCs w:val="22"/>
          <w:lang w:val="en-US"/>
        </w:rPr>
        <w:t xml:space="preserve">Fishes from the hydrothermal vents and cold seeps - An update. </w:t>
      </w:r>
      <w:r w:rsidRPr="009978E3">
        <w:rPr>
          <w:i/>
          <w:sz w:val="22"/>
          <w:szCs w:val="22"/>
          <w:lang w:val="en-US"/>
        </w:rPr>
        <w:t>Cahiers de Biologie Marine</w:t>
      </w:r>
      <w:r w:rsidRPr="009978E3">
        <w:rPr>
          <w:sz w:val="22"/>
          <w:szCs w:val="22"/>
          <w:lang w:val="en-US"/>
        </w:rPr>
        <w:t>, 43(3-4): 359-362.</w:t>
      </w:r>
    </w:p>
    <w:p w14:paraId="2E953E96" w14:textId="77777777" w:rsidR="006B3F46" w:rsidRPr="009978E3" w:rsidRDefault="006B3F46" w:rsidP="00907941">
      <w:pPr>
        <w:ind w:left="708" w:hanging="708"/>
        <w:jc w:val="both"/>
        <w:rPr>
          <w:sz w:val="22"/>
          <w:szCs w:val="22"/>
          <w:lang w:val="en-US"/>
        </w:rPr>
      </w:pPr>
      <w:r w:rsidRPr="009978E3">
        <w:rPr>
          <w:sz w:val="22"/>
          <w:szCs w:val="22"/>
          <w:lang w:val="en-US"/>
        </w:rPr>
        <w:t xml:space="preserve">Boetius, A. &amp; Wenzhöfer, F. (2013). Seafloor oxygen consumption fuelled by methane from cold seeps. </w:t>
      </w:r>
      <w:r w:rsidRPr="009978E3">
        <w:rPr>
          <w:i/>
          <w:sz w:val="22"/>
          <w:szCs w:val="22"/>
          <w:lang w:val="en-US"/>
        </w:rPr>
        <w:t>Nature Geoscience</w:t>
      </w:r>
      <w:r w:rsidRPr="009978E3">
        <w:rPr>
          <w:sz w:val="22"/>
          <w:szCs w:val="22"/>
          <w:lang w:val="en-US"/>
        </w:rPr>
        <w:t xml:space="preserve">, 6: 725–734. </w:t>
      </w:r>
    </w:p>
    <w:p w14:paraId="2E8EDD68" w14:textId="77777777" w:rsidR="006B3F46" w:rsidRPr="009978E3" w:rsidRDefault="006B3F46" w:rsidP="00907941">
      <w:pPr>
        <w:ind w:left="708" w:hanging="708"/>
        <w:jc w:val="both"/>
        <w:rPr>
          <w:sz w:val="22"/>
          <w:szCs w:val="22"/>
          <w:lang w:val="en-US"/>
        </w:rPr>
      </w:pPr>
      <w:r w:rsidRPr="009978E3">
        <w:rPr>
          <w:sz w:val="22"/>
          <w:szCs w:val="22"/>
          <w:lang w:val="en-US"/>
        </w:rPr>
        <w:t xml:space="preserve">Boetius, A. (2005), Lost city life. </w:t>
      </w:r>
      <w:r w:rsidRPr="009978E3">
        <w:rPr>
          <w:i/>
          <w:sz w:val="22"/>
          <w:szCs w:val="22"/>
          <w:lang w:val="en-US"/>
        </w:rPr>
        <w:t>Science</w:t>
      </w:r>
      <w:r w:rsidRPr="009978E3">
        <w:rPr>
          <w:sz w:val="22"/>
          <w:szCs w:val="22"/>
          <w:lang w:val="en-US"/>
        </w:rPr>
        <w:t>, 307(5714): 1420–1422.</w:t>
      </w:r>
    </w:p>
    <w:p w14:paraId="39D09B40" w14:textId="77777777" w:rsidR="006B3F46" w:rsidRPr="009978E3" w:rsidRDefault="006B3F46" w:rsidP="00907941">
      <w:pPr>
        <w:ind w:left="708" w:hanging="708"/>
        <w:jc w:val="both"/>
        <w:rPr>
          <w:sz w:val="22"/>
          <w:szCs w:val="22"/>
          <w:lang w:val="pt-PT"/>
        </w:rPr>
      </w:pPr>
      <w:r w:rsidRPr="009978E3">
        <w:rPr>
          <w:sz w:val="22"/>
          <w:szCs w:val="22"/>
          <w:lang w:val="en-US"/>
        </w:rPr>
        <w:t xml:space="preserve">Bougault, H., Aballéa, M., Radford-Kronery, Charlou, J., Jean Baptiste, J., APPRIOU, P., Needham, H., German, C. &amp; Miranda, M. (1998) - FAMOUS and AMAR segments on the Mid-Atlantic Ridge: ubiquitous hydrothermal Mn, CH4, δ3He signal along the valley walls and rift offsets. </w:t>
      </w:r>
      <w:r w:rsidRPr="009978E3">
        <w:rPr>
          <w:i/>
          <w:sz w:val="22"/>
          <w:szCs w:val="22"/>
          <w:lang w:val="pt-PT"/>
        </w:rPr>
        <w:t>Earth and Planetary Science Letters</w:t>
      </w:r>
      <w:r w:rsidRPr="009978E3">
        <w:rPr>
          <w:sz w:val="22"/>
          <w:szCs w:val="22"/>
          <w:lang w:val="pt-PT"/>
        </w:rPr>
        <w:t>, 161: 1-17.</w:t>
      </w:r>
    </w:p>
    <w:p w14:paraId="12E0B022"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lang w:val="pt-PT"/>
        </w:rPr>
        <w:t xml:space="preserve">Braga-Henriques, A., Porteiro, F. M., Ribeiro, P. A., Matos, V. D., Sampaio, Í., Ocaña, O., &amp; Santos, R. S. (2013). </w:t>
      </w:r>
      <w:r w:rsidRPr="009978E3">
        <w:rPr>
          <w:rFonts w:ascii="Times New Roman" w:hAnsi="Times New Roman" w:cs="Times New Roman"/>
          <w:sz w:val="22"/>
          <w:szCs w:val="22"/>
        </w:rPr>
        <w:t>Diversity, distribution and spatial structure of the cold-water coral fauna of the Azores (NE Atlantic). </w:t>
      </w:r>
      <w:r w:rsidRPr="009978E3">
        <w:rPr>
          <w:rFonts w:ascii="Times New Roman" w:hAnsi="Times New Roman" w:cs="Times New Roman"/>
          <w:i/>
          <w:iCs/>
          <w:sz w:val="22"/>
          <w:szCs w:val="22"/>
        </w:rPr>
        <w:t>Biogeosciences</w:t>
      </w:r>
      <w:r w:rsidRPr="009978E3">
        <w:rPr>
          <w:rFonts w:ascii="Times New Roman" w:hAnsi="Times New Roman" w:cs="Times New Roman"/>
          <w:sz w:val="22"/>
          <w:szCs w:val="22"/>
        </w:rPr>
        <w:t>, </w:t>
      </w:r>
      <w:r w:rsidRPr="009978E3">
        <w:rPr>
          <w:rFonts w:ascii="Times New Roman" w:hAnsi="Times New Roman" w:cs="Times New Roman"/>
          <w:i/>
          <w:iCs/>
          <w:sz w:val="22"/>
          <w:szCs w:val="22"/>
        </w:rPr>
        <w:t>10</w:t>
      </w:r>
      <w:r w:rsidRPr="009978E3">
        <w:rPr>
          <w:rFonts w:ascii="Times New Roman" w:hAnsi="Times New Roman" w:cs="Times New Roman"/>
          <w:sz w:val="22"/>
          <w:szCs w:val="22"/>
        </w:rPr>
        <w:t>(6), 4009-4036.</w:t>
      </w:r>
    </w:p>
    <w:p w14:paraId="50D1BF93"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Breusing C., Biastoch, A., Drews, A., Metaxas, A., Jollivet, D., Vrijenhoek, R.C., Bayer, T., Melzner, F., Sayavedra, L., Petersen, J.M., Dubilier, N., Schilhabel, M.B., Rosenstiel, P, Reusch, T.B.H, 2016. Biophysical and population genetic models predict presence of "phantom" stepping stones connecting Mid-Atlantic Ridge vent ecosystems. Current Biology 26, 2257-2267. http://dx.doi.org/10.1016/j.cub.2016.06.062</w:t>
      </w:r>
    </w:p>
    <w:p w14:paraId="19AF3F39"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Canales, J. P., R. A. Dunn, R. Arai, and R. A. Sohn (2017), Seismic imaging of magma sills beneath an ultramafic-hosted hydrothermal system, </w:t>
      </w:r>
      <w:r w:rsidRPr="009978E3">
        <w:rPr>
          <w:rFonts w:ascii="Times New Roman" w:hAnsi="Times New Roman" w:cs="Times New Roman"/>
          <w:i/>
          <w:iCs/>
          <w:sz w:val="22"/>
          <w:szCs w:val="22"/>
        </w:rPr>
        <w:t>Geology</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45</w:t>
      </w:r>
      <w:r w:rsidRPr="009978E3">
        <w:rPr>
          <w:rFonts w:ascii="Times New Roman" w:hAnsi="Times New Roman" w:cs="Times New Roman"/>
          <w:sz w:val="22"/>
          <w:szCs w:val="22"/>
        </w:rPr>
        <w:t>, 447-450, doi:10.1130/G38795.1.</w:t>
      </w:r>
    </w:p>
    <w:p w14:paraId="731938DB"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rPr>
        <w:t xml:space="preserve">Cathalot, C. C., Van Oevelen, D., Cox, T. J. S., Kutti, T., Lavaleye, M. S. S., Duineveld, G. C. A., </w:t>
      </w:r>
      <w:r w:rsidRPr="0006066A">
        <w:rPr>
          <w:rFonts w:ascii="Times New Roman" w:hAnsi="Times New Roman" w:cs="Times New Roman"/>
          <w:i/>
          <w:sz w:val="22"/>
          <w:szCs w:val="22"/>
        </w:rPr>
        <w:t>et al</w:t>
      </w:r>
      <w:r w:rsidRPr="009978E3">
        <w:rPr>
          <w:rFonts w:ascii="Times New Roman" w:hAnsi="Times New Roman" w:cs="Times New Roman"/>
          <w:sz w:val="22"/>
          <w:szCs w:val="22"/>
        </w:rPr>
        <w:t xml:space="preserve">. (2015). Cold-water coral reefs and adjacent sponge grounds: hotspots of benthic respiration and organic carbon cycling in the deep sea. </w:t>
      </w:r>
      <w:r w:rsidRPr="009978E3">
        <w:rPr>
          <w:rFonts w:ascii="Times New Roman" w:hAnsi="Times New Roman" w:cs="Times New Roman"/>
          <w:sz w:val="22"/>
          <w:szCs w:val="22"/>
          <w:lang w:val="en-US"/>
        </w:rPr>
        <w:t>Frontiers in Marine Science 2, 1–12. doi:10.3389/fmars.2015.00037.</w:t>
      </w:r>
    </w:p>
    <w:p w14:paraId="29A730E1" w14:textId="77777777" w:rsidR="006B3F46" w:rsidRPr="009978E3" w:rsidRDefault="006B3F46" w:rsidP="00907941">
      <w:pPr>
        <w:ind w:left="708" w:hanging="708"/>
        <w:jc w:val="both"/>
        <w:rPr>
          <w:sz w:val="22"/>
          <w:szCs w:val="22"/>
          <w:lang w:val="en-US"/>
        </w:rPr>
      </w:pPr>
      <w:r w:rsidRPr="009978E3">
        <w:rPr>
          <w:sz w:val="22"/>
          <w:szCs w:val="22"/>
          <w:lang w:val="en-US"/>
        </w:rPr>
        <w:t xml:space="preserve">Cathles, L., Erendi, A. &amp; Barrie, T. (1997). How long can a hydrothermal system be sustained by a single intrusive event?. </w:t>
      </w:r>
      <w:r w:rsidRPr="009978E3">
        <w:rPr>
          <w:i/>
          <w:sz w:val="22"/>
          <w:szCs w:val="22"/>
          <w:lang w:val="en-US"/>
        </w:rPr>
        <w:t>Economic Geology and the Bulletin of the Society of Economic Geologists</w:t>
      </w:r>
      <w:r w:rsidRPr="009978E3">
        <w:rPr>
          <w:sz w:val="22"/>
          <w:szCs w:val="22"/>
          <w:lang w:val="en-US"/>
        </w:rPr>
        <w:t>, 92(7–8): 766–771.</w:t>
      </w:r>
    </w:p>
    <w:p w14:paraId="0E0B0361" w14:textId="77777777" w:rsidR="006B3F46" w:rsidRPr="009978E3" w:rsidRDefault="006B3F46" w:rsidP="00907941">
      <w:pPr>
        <w:ind w:left="708" w:hanging="708"/>
        <w:jc w:val="both"/>
        <w:rPr>
          <w:sz w:val="22"/>
          <w:szCs w:val="22"/>
          <w:lang w:val="en-US"/>
        </w:rPr>
      </w:pPr>
      <w:r w:rsidRPr="009978E3">
        <w:rPr>
          <w:sz w:val="22"/>
          <w:szCs w:val="22"/>
          <w:lang w:val="en-US"/>
        </w:rPr>
        <w:t xml:space="preserve">Charlou, J., Bougault, H., Fouquet, Y., Donval, J., Douville, E., Radford-Knoery, J., Aballea, M., Needham, H., Jean-Baptiste, P., Rona, P., Langmuir, C. &amp; German, C. (1996a) Methane degassing, hydrothermal activity and serpentinization between the Fifteen Twenty fracture zone area and the Azores Triple Junction area (Mid-Atlantic Ridge). </w:t>
      </w:r>
      <w:r w:rsidRPr="009978E3">
        <w:rPr>
          <w:i/>
          <w:sz w:val="22"/>
          <w:szCs w:val="22"/>
          <w:lang w:val="en-US"/>
        </w:rPr>
        <w:t>Joint Meeting Abstracts</w:t>
      </w:r>
      <w:r w:rsidRPr="009978E3">
        <w:rPr>
          <w:sz w:val="22"/>
          <w:szCs w:val="22"/>
          <w:lang w:val="en-US"/>
        </w:rPr>
        <w:t>, 1(2): 771–772.</w:t>
      </w:r>
    </w:p>
    <w:p w14:paraId="578D5955" w14:textId="77777777" w:rsidR="006B3F46" w:rsidRPr="009978E3" w:rsidRDefault="006B3F46" w:rsidP="00907941">
      <w:pPr>
        <w:ind w:left="708" w:hanging="708"/>
        <w:jc w:val="both"/>
        <w:rPr>
          <w:sz w:val="22"/>
          <w:szCs w:val="22"/>
          <w:lang w:val="en-US"/>
        </w:rPr>
      </w:pPr>
      <w:r w:rsidRPr="009978E3">
        <w:rPr>
          <w:sz w:val="22"/>
          <w:szCs w:val="22"/>
          <w:lang w:val="en-US"/>
        </w:rPr>
        <w:t xml:space="preserve">Charlou, J., Donval J., Douville, E., Knoery, J., Fouquet, Y., Bougault, H., Jean-Baptiste, P., Stievenard, M. &amp; Michel, S. (1997). High methane flux between 15° N and the Azores Triple Junction, Mid-Atlantic Ridge. </w:t>
      </w:r>
      <w:r w:rsidRPr="009978E3">
        <w:rPr>
          <w:i/>
          <w:sz w:val="22"/>
          <w:szCs w:val="22"/>
          <w:lang w:val="en-US"/>
        </w:rPr>
        <w:t>Eos, Transactions, American Geophysical Union</w:t>
      </w:r>
      <w:r w:rsidRPr="009978E3">
        <w:rPr>
          <w:sz w:val="22"/>
          <w:szCs w:val="22"/>
          <w:lang w:val="en-US"/>
        </w:rPr>
        <w:t>, 78(46): F831.</w:t>
      </w:r>
    </w:p>
    <w:p w14:paraId="64A8FB73" w14:textId="77777777" w:rsidR="006B3F46" w:rsidRPr="009978E3" w:rsidRDefault="006B3F46" w:rsidP="00907941">
      <w:pPr>
        <w:ind w:left="708" w:hanging="708"/>
        <w:jc w:val="both"/>
        <w:rPr>
          <w:sz w:val="22"/>
          <w:szCs w:val="22"/>
          <w:lang w:val="en-US"/>
        </w:rPr>
      </w:pPr>
      <w:r w:rsidRPr="009978E3">
        <w:rPr>
          <w:sz w:val="22"/>
          <w:szCs w:val="22"/>
          <w:lang w:val="en-US"/>
        </w:rPr>
        <w:t>Charlou, J., Donval, J., Douville, E., Jean-Baptiste, P., Radford-Knoery, J., Fouquet, Y., Dapoigny, A. &amp; Stievenard, M. (2000). Compared geochemical signatures and the evolution of Menez Gwen (37</w:t>
      </w:r>
      <w:r w:rsidRPr="009978E3">
        <w:rPr>
          <w:rFonts w:eastAsia="MS Mincho"/>
          <w:sz w:val="22"/>
          <w:szCs w:val="22"/>
          <w:lang w:val="en-US"/>
        </w:rPr>
        <w:t>ᵒ</w:t>
      </w:r>
      <w:r w:rsidRPr="009978E3">
        <w:rPr>
          <w:sz w:val="22"/>
          <w:szCs w:val="22"/>
          <w:lang w:val="en-US"/>
        </w:rPr>
        <w:t xml:space="preserve"> 50′ N) and Lucky Strike (37</w:t>
      </w:r>
      <w:r w:rsidRPr="009978E3">
        <w:rPr>
          <w:rFonts w:eastAsia="MS Mincho"/>
          <w:sz w:val="22"/>
          <w:szCs w:val="22"/>
          <w:lang w:val="en-US"/>
        </w:rPr>
        <w:t>ᵒ</w:t>
      </w:r>
      <w:r w:rsidRPr="009978E3">
        <w:rPr>
          <w:sz w:val="22"/>
          <w:szCs w:val="22"/>
          <w:lang w:val="en-US"/>
        </w:rPr>
        <w:t xml:space="preserve"> 17′ N) hydrothermal fluids, south of the Azores Triple Junction on the Mid-Atlantic Ridge. </w:t>
      </w:r>
      <w:r w:rsidRPr="009978E3">
        <w:rPr>
          <w:i/>
          <w:sz w:val="22"/>
          <w:szCs w:val="22"/>
          <w:lang w:val="en-US"/>
        </w:rPr>
        <w:t>Chemical geology</w:t>
      </w:r>
      <w:r w:rsidRPr="009978E3">
        <w:rPr>
          <w:sz w:val="22"/>
          <w:szCs w:val="22"/>
          <w:lang w:val="en-US"/>
        </w:rPr>
        <w:t>, 171(1): 49-75.</w:t>
      </w:r>
    </w:p>
    <w:p w14:paraId="41C3685B" w14:textId="77777777" w:rsidR="006B3F46" w:rsidRPr="009978E3" w:rsidRDefault="006B3F46" w:rsidP="00907941">
      <w:pPr>
        <w:ind w:left="708" w:hanging="708"/>
        <w:jc w:val="both"/>
        <w:rPr>
          <w:sz w:val="22"/>
          <w:szCs w:val="22"/>
          <w:lang w:val="en-US"/>
        </w:rPr>
      </w:pPr>
      <w:r w:rsidRPr="009978E3">
        <w:rPr>
          <w:sz w:val="22"/>
          <w:szCs w:val="22"/>
          <w:lang w:val="en-US"/>
        </w:rPr>
        <w:t>Charlou, J., Donval, J., Fouquet, Y., Jean-Baptiste, P. &amp; Holm, N. (2002). Geochemistry of high H</w:t>
      </w:r>
      <w:r w:rsidRPr="009978E3">
        <w:rPr>
          <w:sz w:val="22"/>
          <w:szCs w:val="22"/>
          <w:vertAlign w:val="subscript"/>
          <w:lang w:val="en-US"/>
        </w:rPr>
        <w:t>2</w:t>
      </w:r>
      <w:r w:rsidRPr="009978E3">
        <w:rPr>
          <w:sz w:val="22"/>
          <w:szCs w:val="22"/>
          <w:lang w:val="en-US"/>
        </w:rPr>
        <w:t xml:space="preserve"> and CH</w:t>
      </w:r>
      <w:r w:rsidRPr="009978E3">
        <w:rPr>
          <w:sz w:val="22"/>
          <w:szCs w:val="22"/>
          <w:vertAlign w:val="subscript"/>
          <w:lang w:val="en-US"/>
        </w:rPr>
        <w:t>4</w:t>
      </w:r>
      <w:r w:rsidRPr="009978E3">
        <w:rPr>
          <w:sz w:val="22"/>
          <w:szCs w:val="22"/>
          <w:lang w:val="en-US"/>
        </w:rPr>
        <w:t xml:space="preserve"> vent fluids issuing from ultramafic rocks at the Rainbow hydrothermal field (36</w:t>
      </w:r>
      <w:r w:rsidRPr="009978E3">
        <w:rPr>
          <w:rFonts w:eastAsia="MS Mincho"/>
          <w:sz w:val="22"/>
          <w:szCs w:val="22"/>
          <w:lang w:val="en-US"/>
        </w:rPr>
        <w:t>ᵒ</w:t>
      </w:r>
      <w:r w:rsidRPr="009978E3">
        <w:rPr>
          <w:sz w:val="22"/>
          <w:szCs w:val="22"/>
          <w:lang w:val="en-US"/>
        </w:rPr>
        <w:t xml:space="preserve">14’N,MAR). </w:t>
      </w:r>
      <w:r w:rsidRPr="009978E3">
        <w:rPr>
          <w:i/>
          <w:sz w:val="22"/>
          <w:szCs w:val="22"/>
          <w:lang w:val="en-US"/>
        </w:rPr>
        <w:t>Chemical Geology</w:t>
      </w:r>
      <w:r w:rsidRPr="009978E3">
        <w:rPr>
          <w:sz w:val="22"/>
          <w:szCs w:val="22"/>
          <w:lang w:val="en-US"/>
        </w:rPr>
        <w:t xml:space="preserve">, 191(4): 345–359. </w:t>
      </w:r>
    </w:p>
    <w:p w14:paraId="00875563" w14:textId="77777777" w:rsidR="006B3F46" w:rsidRPr="009978E3" w:rsidRDefault="006B3F46" w:rsidP="00907941">
      <w:pPr>
        <w:ind w:left="708" w:hanging="708"/>
        <w:jc w:val="both"/>
        <w:rPr>
          <w:sz w:val="22"/>
          <w:szCs w:val="22"/>
          <w:lang w:val="en-US"/>
        </w:rPr>
      </w:pPr>
      <w:r w:rsidRPr="009978E3">
        <w:rPr>
          <w:sz w:val="22"/>
          <w:szCs w:val="22"/>
          <w:lang w:val="en-US"/>
        </w:rPr>
        <w:t>Charlou, J., Donval, J., Jean-Baptiste P. &amp; Dapoigny A. (1996). Gases and helium isotopes in high temperature solutions sampled before and after ODP Leg 158 drilling at TAG hydrothermal field (26</w:t>
      </w:r>
      <w:r w:rsidRPr="009978E3">
        <w:rPr>
          <w:rFonts w:eastAsia="MS Mincho"/>
          <w:sz w:val="22"/>
          <w:szCs w:val="22"/>
          <w:lang w:val="en-US"/>
        </w:rPr>
        <w:t xml:space="preserve">ᵒ </w:t>
      </w:r>
      <w:r w:rsidRPr="009978E3">
        <w:rPr>
          <w:sz w:val="22"/>
          <w:szCs w:val="22"/>
          <w:lang w:val="en-US"/>
        </w:rPr>
        <w:t xml:space="preserve">N, MAR). </w:t>
      </w:r>
      <w:r w:rsidRPr="009978E3">
        <w:rPr>
          <w:i/>
          <w:sz w:val="22"/>
          <w:szCs w:val="22"/>
          <w:lang w:val="en-US"/>
        </w:rPr>
        <w:t>Geophysical Research Letters</w:t>
      </w:r>
      <w:r w:rsidRPr="009978E3">
        <w:rPr>
          <w:sz w:val="22"/>
          <w:szCs w:val="22"/>
          <w:lang w:val="en-US"/>
        </w:rPr>
        <w:t>, 23(23): 3491–3494.</w:t>
      </w:r>
    </w:p>
    <w:p w14:paraId="62E360C6" w14:textId="77777777" w:rsidR="006B3F46" w:rsidRPr="009978E3" w:rsidRDefault="006B3F46" w:rsidP="00907941">
      <w:pPr>
        <w:ind w:left="708" w:hanging="708"/>
        <w:jc w:val="both"/>
        <w:rPr>
          <w:sz w:val="22"/>
          <w:szCs w:val="22"/>
          <w:lang w:val="en-US"/>
        </w:rPr>
      </w:pPr>
      <w:r w:rsidRPr="009978E3">
        <w:rPr>
          <w:sz w:val="22"/>
          <w:szCs w:val="22"/>
          <w:lang w:val="en-US"/>
        </w:rPr>
        <w:t xml:space="preserve">Charlou, J., Donval, J., Konn, C., Ondreas, H., Fouquet, Y., Jean-Baptiste, P. &amp; Fourre, E. (2010), High production and fluxes of H2 and CH4 and evidence of abiotic hydrocarbon synthesis by serpentinization in ultramafic-hosted hydrothermal systems on the Mid-Atlantic Ridge, in Diversity of Hydrothermal Systems on Slow Spreading Ocean Ridges. </w:t>
      </w:r>
      <w:r w:rsidRPr="009978E3">
        <w:rPr>
          <w:i/>
          <w:sz w:val="22"/>
          <w:szCs w:val="22"/>
          <w:lang w:val="en-US"/>
        </w:rPr>
        <w:t>Geophysical Monograph</w:t>
      </w:r>
      <w:r w:rsidRPr="009978E3">
        <w:rPr>
          <w:sz w:val="22"/>
          <w:szCs w:val="22"/>
          <w:lang w:val="en-US"/>
        </w:rPr>
        <w:t>, 188: 321–367.</w:t>
      </w:r>
    </w:p>
    <w:p w14:paraId="48047368" w14:textId="77777777" w:rsidR="006B3F46" w:rsidRPr="009978E3" w:rsidRDefault="006B3F46" w:rsidP="00907941">
      <w:pPr>
        <w:ind w:left="708" w:hanging="708"/>
        <w:jc w:val="both"/>
        <w:rPr>
          <w:sz w:val="22"/>
          <w:szCs w:val="22"/>
          <w:lang w:val="en-US"/>
        </w:rPr>
      </w:pPr>
      <w:r w:rsidRPr="009978E3">
        <w:rPr>
          <w:sz w:val="22"/>
          <w:szCs w:val="22"/>
          <w:lang w:val="en-US"/>
        </w:rPr>
        <w:t>Clark MR, Bowden DA Rowden AA and Stewart R (2019) Little Evidence of Benthic Community Resilience to Bottom Trawling on Seamounts After 15 Years. Front. Mar. Sci. 6:63. doi: 10.3389/fmars.2019.00063</w:t>
      </w:r>
    </w:p>
    <w:p w14:paraId="6DCC3C2A" w14:textId="77777777" w:rsidR="006B3F46" w:rsidRPr="009978E3" w:rsidRDefault="006B3F46" w:rsidP="00907941">
      <w:pPr>
        <w:ind w:left="708" w:hanging="708"/>
        <w:jc w:val="both"/>
        <w:rPr>
          <w:sz w:val="22"/>
          <w:szCs w:val="22"/>
          <w:lang w:val="en-US"/>
        </w:rPr>
      </w:pPr>
      <w:r w:rsidRPr="009978E3">
        <w:rPr>
          <w:sz w:val="22"/>
          <w:szCs w:val="22"/>
          <w:lang w:val="en-US"/>
        </w:rPr>
        <w:t xml:space="preserve">Clark, M. &amp; Bowden, D. (2015). Seamount biodiversity: high variability both within and between seamounts in the Ross Sea region of Antarctica. </w:t>
      </w:r>
      <w:r w:rsidRPr="009978E3">
        <w:rPr>
          <w:i/>
          <w:sz w:val="22"/>
          <w:szCs w:val="22"/>
          <w:lang w:val="en-US"/>
        </w:rPr>
        <w:t>Hydrobiologia</w:t>
      </w:r>
      <w:r w:rsidRPr="009978E3">
        <w:rPr>
          <w:sz w:val="22"/>
          <w:szCs w:val="22"/>
          <w:lang w:val="en-US"/>
        </w:rPr>
        <w:t>, 761(1): 161-180.</w:t>
      </w:r>
    </w:p>
    <w:p w14:paraId="4F2CF9DD" w14:textId="77777777" w:rsidR="006B3F46" w:rsidRPr="009978E3" w:rsidRDefault="006B3F46" w:rsidP="00907941">
      <w:pPr>
        <w:ind w:left="708" w:hanging="708"/>
        <w:jc w:val="both"/>
        <w:rPr>
          <w:sz w:val="22"/>
          <w:szCs w:val="22"/>
          <w:lang w:val="en-US"/>
        </w:rPr>
      </w:pPr>
      <w:r w:rsidRPr="009978E3">
        <w:rPr>
          <w:sz w:val="22"/>
          <w:szCs w:val="22"/>
          <w:lang w:val="en-US"/>
        </w:rPr>
        <w:t>Clark, M. R., Althaus, F., Schlacher, T. A., Williams, A., Bowden, D. A., and Rowden, A. A. (2016). The impacts of deep-sea fisheries on benthic communities: a review. ICES J. Mar. Sci. 73, i51–i69. doi: 10.1371/journal.pone.0022588</w:t>
      </w:r>
    </w:p>
    <w:p w14:paraId="0B7A6EA0" w14:textId="77777777" w:rsidR="006B3F46" w:rsidRPr="009978E3" w:rsidRDefault="006B3F46" w:rsidP="00907941">
      <w:pPr>
        <w:ind w:left="708" w:hanging="708"/>
        <w:jc w:val="both"/>
        <w:rPr>
          <w:iCs/>
          <w:sz w:val="22"/>
          <w:szCs w:val="22"/>
        </w:rPr>
      </w:pPr>
      <w:r w:rsidRPr="009978E3">
        <w:rPr>
          <w:iCs/>
          <w:sz w:val="22"/>
          <w:szCs w:val="22"/>
        </w:rPr>
        <w:t>Colaço A.; Bustamante, P.; Fouquet Y.; Sarradin, P.-M.; Serrão Santos, R. (2006) Bioaccumulation of Cu, Zn, and Hg in the Azores Triple Junction hydrothermal vent fields food chains. Chemosphere, 65: 2260-2267</w:t>
      </w:r>
    </w:p>
    <w:p w14:paraId="72F2B3B5" w14:textId="77777777" w:rsidR="006B3F46" w:rsidRPr="009978E3" w:rsidRDefault="006B3F46" w:rsidP="00907941">
      <w:pPr>
        <w:ind w:left="708" w:hanging="708"/>
        <w:jc w:val="both"/>
        <w:rPr>
          <w:sz w:val="22"/>
          <w:szCs w:val="22"/>
          <w:lang w:val="en-US"/>
        </w:rPr>
      </w:pPr>
      <w:r w:rsidRPr="009978E3">
        <w:rPr>
          <w:sz w:val="22"/>
          <w:szCs w:val="22"/>
          <w:lang w:val="en-US"/>
        </w:rPr>
        <w:t xml:space="preserve">Colaço, A., Blandin, J., Cannat, M., Carval, T., Chavagnac, V., Connelly, D., Fabian, M., Ghiron, S., Goslin, J., Miranda, J. M., Reverdin, G., Sarrazin, J., Waldmann, C. &amp; Sarradin, M. (2011). MoMAR-D: a technological challenge to monitor the dynamics of the Lucky Strike vent ecosystem. </w:t>
      </w:r>
      <w:r w:rsidRPr="009978E3">
        <w:rPr>
          <w:i/>
          <w:sz w:val="22"/>
          <w:szCs w:val="22"/>
          <w:lang w:val="en-US"/>
        </w:rPr>
        <w:t>ICES Journal of Marine Science</w:t>
      </w:r>
      <w:r w:rsidRPr="009978E3">
        <w:rPr>
          <w:sz w:val="22"/>
          <w:szCs w:val="22"/>
          <w:lang w:val="en-US"/>
        </w:rPr>
        <w:t>, 68: 416–424.</w:t>
      </w:r>
    </w:p>
    <w:p w14:paraId="63E520CF" w14:textId="77777777" w:rsidR="006B3F46" w:rsidRPr="009978E3" w:rsidRDefault="006B3F46" w:rsidP="00907941">
      <w:pPr>
        <w:ind w:left="708" w:hanging="708"/>
        <w:jc w:val="both"/>
        <w:rPr>
          <w:sz w:val="22"/>
          <w:szCs w:val="22"/>
          <w:lang w:val="en-US"/>
        </w:rPr>
      </w:pPr>
      <w:r w:rsidRPr="009978E3">
        <w:rPr>
          <w:sz w:val="22"/>
          <w:szCs w:val="22"/>
          <w:lang w:val="en-US"/>
        </w:rPr>
        <w:t>Colaço, A., Desbruyères, D. &amp; Dehairs, F. (2002). Nutritional relations of deep-sea hydrothermal fields at the Mid-Atlantic Ridge: a stable isotope approach. Deep-Sea Research, 49: 395–412.</w:t>
      </w:r>
    </w:p>
    <w:p w14:paraId="6828A15A" w14:textId="77777777" w:rsidR="006B3F46" w:rsidRPr="009978E3" w:rsidRDefault="006B3F46" w:rsidP="00907941">
      <w:pPr>
        <w:ind w:left="708" w:hanging="708"/>
        <w:jc w:val="both"/>
        <w:rPr>
          <w:sz w:val="22"/>
          <w:szCs w:val="22"/>
          <w:lang w:val="pt-PT"/>
        </w:rPr>
      </w:pPr>
      <w:r w:rsidRPr="009978E3">
        <w:rPr>
          <w:sz w:val="22"/>
          <w:szCs w:val="22"/>
          <w:lang w:val="en-US"/>
        </w:rPr>
        <w:t xml:space="preserve">Colaço, A., Desbruyeres, D., Comtet, T. &amp; Alayse, A. (1998). Ecology of the Menez Gwen hydrothermal vent field (Mid-Atlantic Ridge/Azores Triple Junction). </w:t>
      </w:r>
      <w:r w:rsidRPr="009978E3">
        <w:rPr>
          <w:i/>
          <w:sz w:val="22"/>
          <w:szCs w:val="22"/>
          <w:lang w:val="pt-PT"/>
        </w:rPr>
        <w:t>Cahiers de Biologie Marines</w:t>
      </w:r>
      <w:r w:rsidRPr="009978E3">
        <w:rPr>
          <w:sz w:val="22"/>
          <w:szCs w:val="22"/>
          <w:lang w:val="pt-PT"/>
        </w:rPr>
        <w:t>, 39: 237-240.</w:t>
      </w:r>
    </w:p>
    <w:p w14:paraId="79C2F912" w14:textId="77777777" w:rsidR="006B3F46" w:rsidRPr="009978E3" w:rsidRDefault="006B3F46" w:rsidP="00907941">
      <w:pPr>
        <w:ind w:left="708" w:hanging="708"/>
        <w:jc w:val="both"/>
        <w:rPr>
          <w:sz w:val="22"/>
          <w:szCs w:val="22"/>
          <w:lang w:val="en-US"/>
        </w:rPr>
      </w:pPr>
      <w:r w:rsidRPr="009978E3">
        <w:rPr>
          <w:sz w:val="22"/>
          <w:szCs w:val="22"/>
          <w:lang w:val="pt-PT"/>
        </w:rPr>
        <w:t xml:space="preserve">Colaço, A., Martins, I., Laranjo, M., Pires, L., Leal, C., Prieto, C., Costa, V., Lopes, H., Rosa, D., Dando, P. &amp; Serrão-Santos, R. (2006). </w:t>
      </w:r>
      <w:r w:rsidRPr="009978E3">
        <w:rPr>
          <w:sz w:val="22"/>
          <w:szCs w:val="22"/>
          <w:lang w:val="en-US"/>
        </w:rPr>
        <w:t xml:space="preserve">Annual spawning of the hydrothermal vent mussel, </w:t>
      </w:r>
      <w:r w:rsidRPr="009978E3">
        <w:rPr>
          <w:i/>
          <w:sz w:val="22"/>
          <w:szCs w:val="22"/>
          <w:lang w:val="en-US"/>
        </w:rPr>
        <w:t>Bathymodiolus azoricus</w:t>
      </w:r>
      <w:r w:rsidRPr="009978E3">
        <w:rPr>
          <w:sz w:val="22"/>
          <w:szCs w:val="22"/>
          <w:lang w:val="en-US"/>
        </w:rPr>
        <w:t xml:space="preserve">, under controlled aquarium, conditions at atmospheric pressure. </w:t>
      </w:r>
      <w:r w:rsidRPr="009978E3">
        <w:rPr>
          <w:i/>
          <w:sz w:val="22"/>
          <w:szCs w:val="22"/>
          <w:lang w:val="en-US"/>
        </w:rPr>
        <w:t>Journal of Experimental Marine Biology and Ecology</w:t>
      </w:r>
      <w:r w:rsidRPr="009978E3">
        <w:rPr>
          <w:sz w:val="22"/>
          <w:szCs w:val="22"/>
          <w:lang w:val="en-US"/>
        </w:rPr>
        <w:t>, 333(2): 166-171.</w:t>
      </w:r>
    </w:p>
    <w:p w14:paraId="47DA1FA6" w14:textId="77777777" w:rsidR="006B3F46" w:rsidRPr="009978E3" w:rsidRDefault="006B3F46" w:rsidP="00907941">
      <w:pPr>
        <w:ind w:left="708" w:hanging="708"/>
        <w:jc w:val="both"/>
        <w:rPr>
          <w:sz w:val="22"/>
          <w:szCs w:val="22"/>
          <w:lang w:val="fr-FR"/>
        </w:rPr>
      </w:pPr>
      <w:r w:rsidRPr="009978E3">
        <w:rPr>
          <w:sz w:val="22"/>
          <w:szCs w:val="22"/>
          <w:lang w:val="en-US"/>
        </w:rPr>
        <w:t xml:space="preserve">Colaço, A.; Dehairs, F.; Desbruyères, D.; Le Bris, N.; Sarradin, P.-M. (2002) The relative availability of sulphide and methane to mussel symbionts rules the d13C signature of hydrothermal mussels. </w:t>
      </w:r>
      <w:r w:rsidRPr="009978E3">
        <w:rPr>
          <w:sz w:val="22"/>
          <w:szCs w:val="22"/>
          <w:lang w:val="fr-FR"/>
        </w:rPr>
        <w:t>Cahiers de Biologie Marine, 43(3-4): 259-262</w:t>
      </w:r>
    </w:p>
    <w:p w14:paraId="15FD03BE" w14:textId="77777777" w:rsidR="006B3F46" w:rsidRPr="009978E3" w:rsidRDefault="006B3F46" w:rsidP="00907941">
      <w:pPr>
        <w:ind w:left="708" w:hanging="708"/>
        <w:jc w:val="both"/>
        <w:rPr>
          <w:sz w:val="22"/>
          <w:szCs w:val="22"/>
          <w:lang w:val="en-US"/>
        </w:rPr>
      </w:pPr>
      <w:r w:rsidRPr="009978E3">
        <w:rPr>
          <w:sz w:val="22"/>
          <w:szCs w:val="22"/>
          <w:lang w:val="fr-FR"/>
        </w:rPr>
        <w:t xml:space="preserve">Colaço, A.; Desbruyères, D.; Guezennec, J. (2007). </w:t>
      </w:r>
      <w:r w:rsidRPr="009978E3">
        <w:rPr>
          <w:sz w:val="22"/>
          <w:szCs w:val="22"/>
          <w:lang w:val="en-US"/>
        </w:rPr>
        <w:t>The use of polar lipid fatty acids to determinetrophic links in chemosynthetic communities. Marine Ecology, 28(1): 15-24.</w:t>
      </w:r>
    </w:p>
    <w:p w14:paraId="26853ABC" w14:textId="77777777" w:rsidR="006B3F46" w:rsidRPr="009978E3" w:rsidRDefault="006B3F46" w:rsidP="00907941">
      <w:pPr>
        <w:ind w:left="708" w:hanging="708"/>
        <w:jc w:val="both"/>
        <w:rPr>
          <w:iCs/>
          <w:sz w:val="22"/>
          <w:szCs w:val="22"/>
        </w:rPr>
      </w:pPr>
      <w:r w:rsidRPr="009978E3">
        <w:rPr>
          <w:iCs/>
          <w:sz w:val="22"/>
          <w:szCs w:val="22"/>
        </w:rPr>
        <w:t xml:space="preserve">Company R.; Serafim, A.; Cosson, R.; Fiala-Médioni, A.; Camus, L.; Colaço, A.; Serrão Santos, R.; Bebianno, M.J. (2008) Metal antioxidant biochemical responses to long-term copper exposure in Bathymodiolus azoricus from Menez-Gwen hydrothermal vent. Science of Total Environment, 389(2-3): 407-417. </w:t>
      </w:r>
    </w:p>
    <w:p w14:paraId="602B064D" w14:textId="77777777" w:rsidR="006B3F46" w:rsidRPr="009978E3" w:rsidRDefault="006B3F46" w:rsidP="00907941">
      <w:pPr>
        <w:ind w:left="708" w:hanging="708"/>
        <w:jc w:val="both"/>
        <w:rPr>
          <w:sz w:val="22"/>
          <w:szCs w:val="22"/>
          <w:lang w:val="en-US"/>
        </w:rPr>
      </w:pPr>
      <w:r w:rsidRPr="009978E3">
        <w:rPr>
          <w:sz w:val="22"/>
          <w:szCs w:val="22"/>
          <w:lang w:val="en-US"/>
        </w:rPr>
        <w:t xml:space="preserve">Comtet, T. &amp; </w:t>
      </w:r>
      <w:r w:rsidRPr="009978E3">
        <w:rPr>
          <w:rFonts w:eastAsia="MS Mincho"/>
          <w:sz w:val="22"/>
          <w:szCs w:val="22"/>
          <w:lang w:val="en-US"/>
        </w:rPr>
        <w:t>Desbruyères</w:t>
      </w:r>
      <w:r w:rsidRPr="009978E3">
        <w:rPr>
          <w:sz w:val="22"/>
          <w:szCs w:val="22"/>
          <w:lang w:val="en-US"/>
        </w:rPr>
        <w:t>, D. (1998). Population structure and recruitment in mytilid bivalves from the Lucky Strike and Menez Gwen hydrothermal vent fields (37</w:t>
      </w:r>
      <w:r w:rsidRPr="009978E3">
        <w:rPr>
          <w:rFonts w:eastAsia="MS Mincho"/>
          <w:sz w:val="22"/>
          <w:szCs w:val="22"/>
          <w:lang w:val="en-US"/>
        </w:rPr>
        <w:t>ᵒ</w:t>
      </w:r>
      <w:r w:rsidRPr="009978E3">
        <w:rPr>
          <w:sz w:val="22"/>
          <w:szCs w:val="22"/>
          <w:lang w:val="en-US"/>
        </w:rPr>
        <w:t>17´N and 37</w:t>
      </w:r>
      <w:r w:rsidRPr="009978E3">
        <w:rPr>
          <w:rFonts w:eastAsia="MS Mincho"/>
          <w:sz w:val="22"/>
          <w:szCs w:val="22"/>
          <w:lang w:val="en-US"/>
        </w:rPr>
        <w:t>ᵒ</w:t>
      </w:r>
      <w:r w:rsidRPr="009978E3">
        <w:rPr>
          <w:sz w:val="22"/>
          <w:szCs w:val="22"/>
          <w:lang w:val="en-US"/>
        </w:rPr>
        <w:t xml:space="preserve">50´N on the Mid-Atlantic Ridge). </w:t>
      </w:r>
      <w:r w:rsidRPr="009978E3">
        <w:rPr>
          <w:i/>
          <w:sz w:val="22"/>
          <w:szCs w:val="22"/>
          <w:lang w:val="en-US"/>
        </w:rPr>
        <w:t>Marine Ecology Progress Series</w:t>
      </w:r>
      <w:r w:rsidRPr="009978E3">
        <w:rPr>
          <w:sz w:val="22"/>
          <w:szCs w:val="22"/>
          <w:lang w:val="en-US"/>
        </w:rPr>
        <w:t>, 163: 165–177.</w:t>
      </w:r>
    </w:p>
    <w:p w14:paraId="6D9DA72A" w14:textId="77777777" w:rsidR="006B3F46" w:rsidRPr="009978E3" w:rsidRDefault="006B3F46" w:rsidP="00907941">
      <w:pPr>
        <w:ind w:left="708" w:hanging="708"/>
        <w:jc w:val="both"/>
        <w:rPr>
          <w:sz w:val="22"/>
          <w:szCs w:val="22"/>
          <w:lang w:val="en-US"/>
        </w:rPr>
      </w:pPr>
      <w:r w:rsidRPr="009978E3">
        <w:rPr>
          <w:sz w:val="22"/>
          <w:szCs w:val="22"/>
          <w:lang w:val="en-US"/>
        </w:rPr>
        <w:t>Cooper, M., Elderfield, H. &amp; Schultz, A. (2000). Diffuse hydrothermal fluids from Lucky Strike hydrothermal vent field: Evidence for a shallow conductively heated system. J</w:t>
      </w:r>
      <w:r w:rsidRPr="009978E3">
        <w:rPr>
          <w:i/>
          <w:sz w:val="22"/>
          <w:szCs w:val="22"/>
          <w:lang w:val="en-US"/>
        </w:rPr>
        <w:t>ournal of Geophysical Research: Solid Earth</w:t>
      </w:r>
      <w:r w:rsidRPr="009978E3">
        <w:rPr>
          <w:sz w:val="22"/>
          <w:szCs w:val="22"/>
          <w:lang w:val="en-US"/>
        </w:rPr>
        <w:t>, 105(B8): 19369-19375.</w:t>
      </w:r>
    </w:p>
    <w:p w14:paraId="5422E560" w14:textId="77777777" w:rsidR="006B3F46" w:rsidRPr="009978E3" w:rsidRDefault="006B3F46" w:rsidP="00907941">
      <w:pPr>
        <w:ind w:left="708" w:hanging="708"/>
        <w:jc w:val="both"/>
        <w:rPr>
          <w:sz w:val="22"/>
          <w:szCs w:val="22"/>
          <w:lang w:val="en-US"/>
        </w:rPr>
      </w:pPr>
      <w:r w:rsidRPr="009978E3">
        <w:rPr>
          <w:sz w:val="22"/>
          <w:szCs w:val="22"/>
          <w:lang w:val="en-US"/>
        </w:rPr>
        <w:t xml:space="preserve">Copley, J., Jorgensen, P. &amp; Sohn, R. (2007). Assessment of decadal-scale ecological change at a deep Mid-Atlantic hydrothermal vent and reproductive time-series in the shrimp </w:t>
      </w:r>
      <w:r w:rsidRPr="009978E3">
        <w:rPr>
          <w:i/>
          <w:sz w:val="22"/>
          <w:szCs w:val="22"/>
          <w:lang w:val="en-US"/>
        </w:rPr>
        <w:t>Rimicaris exoculata</w:t>
      </w:r>
      <w:r w:rsidRPr="009978E3">
        <w:rPr>
          <w:sz w:val="22"/>
          <w:szCs w:val="22"/>
          <w:lang w:val="en-US"/>
        </w:rPr>
        <w:t xml:space="preserve">. </w:t>
      </w:r>
      <w:r w:rsidRPr="009978E3">
        <w:rPr>
          <w:i/>
          <w:sz w:val="22"/>
          <w:szCs w:val="22"/>
          <w:lang w:val="en-US"/>
        </w:rPr>
        <w:t>Journal of the Marine Biological Association of the United Kingdom</w:t>
      </w:r>
      <w:r w:rsidRPr="009978E3">
        <w:rPr>
          <w:sz w:val="22"/>
          <w:szCs w:val="22"/>
          <w:lang w:val="en-US"/>
        </w:rPr>
        <w:t>, 87: 859-867.</w:t>
      </w:r>
    </w:p>
    <w:p w14:paraId="59C67C19" w14:textId="77777777" w:rsidR="006B3F46" w:rsidRPr="009978E3" w:rsidRDefault="006B3F46" w:rsidP="00907941">
      <w:pPr>
        <w:ind w:left="708" w:hanging="708"/>
        <w:jc w:val="both"/>
        <w:rPr>
          <w:sz w:val="22"/>
          <w:szCs w:val="22"/>
          <w:lang w:val="pt-PT"/>
        </w:rPr>
      </w:pPr>
      <w:r w:rsidRPr="009978E3">
        <w:rPr>
          <w:sz w:val="22"/>
          <w:szCs w:val="22"/>
          <w:lang w:val="pt-PT"/>
        </w:rPr>
        <w:t xml:space="preserve">Corbera, J., Segonzac, M. &amp; Cunha, M. (2008). </w:t>
      </w:r>
      <w:r w:rsidRPr="009978E3">
        <w:rPr>
          <w:sz w:val="22"/>
          <w:szCs w:val="22"/>
          <w:lang w:val="en-US"/>
        </w:rPr>
        <w:t xml:space="preserve">A new deep-sea genus of Nannastacidae (Crustacea, Cumacea) from the Lucky Strike hydrothermal vent field (Azores Triple Junction, Mid-Atlantic Ridge). </w:t>
      </w:r>
      <w:r w:rsidRPr="009978E3">
        <w:rPr>
          <w:i/>
          <w:sz w:val="22"/>
          <w:szCs w:val="22"/>
          <w:lang w:val="pt-PT"/>
        </w:rPr>
        <w:t>Marine Biology Research</w:t>
      </w:r>
      <w:r w:rsidRPr="009978E3">
        <w:rPr>
          <w:sz w:val="22"/>
          <w:szCs w:val="22"/>
          <w:lang w:val="pt-PT"/>
        </w:rPr>
        <w:t>, 4(3): 180–192.</w:t>
      </w:r>
    </w:p>
    <w:p w14:paraId="2E93BE53" w14:textId="77777777" w:rsidR="006B3F46" w:rsidRPr="009978E3" w:rsidRDefault="006B3F46" w:rsidP="00907941">
      <w:pPr>
        <w:ind w:left="708" w:hanging="708"/>
        <w:jc w:val="both"/>
        <w:rPr>
          <w:sz w:val="22"/>
          <w:szCs w:val="22"/>
          <w:lang w:val="pt-PT"/>
        </w:rPr>
      </w:pPr>
      <w:r w:rsidRPr="009978E3">
        <w:rPr>
          <w:sz w:val="22"/>
          <w:szCs w:val="22"/>
          <w:lang w:val="pt-PT"/>
        </w:rPr>
        <w:t xml:space="preserve">Costa, R. (2001). </w:t>
      </w:r>
      <w:r w:rsidRPr="009978E3">
        <w:rPr>
          <w:i/>
          <w:sz w:val="22"/>
          <w:szCs w:val="22"/>
          <w:lang w:val="pt-PT"/>
        </w:rPr>
        <w:t>Estudo mineralógico e geoquímico da alteração hidrotermal das rochas vulcânicas e ultramáficas serpentinizadas do monte Saldanha (RMA, Segmento Famous/Amar)</w:t>
      </w:r>
      <w:r w:rsidRPr="009978E3">
        <w:rPr>
          <w:sz w:val="22"/>
          <w:szCs w:val="22"/>
          <w:lang w:val="pt-PT"/>
        </w:rPr>
        <w:t>. Dissertação de Mestrado thesis, 143 pp., Universidade de Lisboa.</w:t>
      </w:r>
    </w:p>
    <w:p w14:paraId="74F93790" w14:textId="77777777" w:rsidR="006B3F46" w:rsidRPr="009978E3" w:rsidRDefault="006B3F46" w:rsidP="00907941">
      <w:pPr>
        <w:ind w:left="708" w:hanging="708"/>
        <w:jc w:val="both"/>
        <w:rPr>
          <w:sz w:val="22"/>
          <w:szCs w:val="22"/>
          <w:lang w:val="en-US"/>
        </w:rPr>
      </w:pPr>
      <w:r w:rsidRPr="009978E3">
        <w:rPr>
          <w:sz w:val="22"/>
          <w:szCs w:val="22"/>
          <w:lang w:val="pt-PT"/>
        </w:rPr>
        <w:t xml:space="preserve">Costa, R., Barriga, F. &amp; Fouquet, Y. (2002). </w:t>
      </w:r>
      <w:r w:rsidRPr="009978E3">
        <w:rPr>
          <w:i/>
          <w:sz w:val="22"/>
          <w:szCs w:val="22"/>
          <w:lang w:val="en-US"/>
        </w:rPr>
        <w:t>Evidence for a late steatization process at the Saldanha massif (MAR 36°33′50″N–36°26′W).</w:t>
      </w:r>
      <w:r w:rsidRPr="009978E3">
        <w:rPr>
          <w:sz w:val="22"/>
          <w:szCs w:val="22"/>
          <w:lang w:val="en-US"/>
        </w:rPr>
        <w:t xml:space="preserve"> Thermal Regime of Ocean Ridges and Dynamics of Hydrothermal Circulation Exploratory Workshop, Italy.</w:t>
      </w:r>
    </w:p>
    <w:p w14:paraId="17D57F1C" w14:textId="77777777" w:rsidR="006B3F46" w:rsidRPr="009978E3" w:rsidRDefault="006B3F46" w:rsidP="00907941">
      <w:pPr>
        <w:ind w:left="708" w:hanging="708"/>
        <w:jc w:val="both"/>
        <w:rPr>
          <w:sz w:val="22"/>
          <w:szCs w:val="22"/>
          <w:lang w:val="en-US"/>
        </w:rPr>
      </w:pPr>
      <w:r w:rsidRPr="009978E3">
        <w:rPr>
          <w:sz w:val="22"/>
          <w:szCs w:val="22"/>
          <w:lang w:val="en-US"/>
        </w:rPr>
        <w:t xml:space="preserve">Crawford, W., Singh, S., Seher, T., Combier, V., Dusunur, D. &amp; Cannat M. (2010). Crustal structure, magma chamber and faulting beneath the Lucky Strike hydrothermal vent field, in Diversity of Hydrothermal Systems on Slow Spreading Ocean Ridges. </w:t>
      </w:r>
      <w:r w:rsidRPr="009978E3">
        <w:rPr>
          <w:i/>
          <w:sz w:val="22"/>
          <w:szCs w:val="22"/>
          <w:lang w:val="en-US"/>
        </w:rPr>
        <w:t>Geophysical Monograph</w:t>
      </w:r>
      <w:r w:rsidRPr="009978E3">
        <w:rPr>
          <w:sz w:val="22"/>
          <w:szCs w:val="22"/>
          <w:lang w:val="en-US"/>
        </w:rPr>
        <w:t>, 188: 113–132.</w:t>
      </w:r>
    </w:p>
    <w:p w14:paraId="747A08F2" w14:textId="77777777" w:rsidR="006B3F46" w:rsidRPr="009978E3" w:rsidRDefault="006B3F46" w:rsidP="00907941">
      <w:pPr>
        <w:ind w:left="708" w:hanging="708"/>
        <w:jc w:val="both"/>
        <w:rPr>
          <w:sz w:val="22"/>
          <w:szCs w:val="22"/>
          <w:lang w:val="nl-NL"/>
        </w:rPr>
      </w:pPr>
      <w:r w:rsidRPr="009978E3">
        <w:rPr>
          <w:sz w:val="22"/>
          <w:szCs w:val="22"/>
          <w:lang w:val="nl-NL"/>
        </w:rPr>
        <w:t>Crepeau, V., Bonavita, M.A.C., Lesongeur, F., Randrianalivelo, H., Sarradin, P.M., Sarrazin, J., Godfroy, A., 2011. Diversity and function in microbial mats from the Lucky Strike hydrothermal vent field. FEMS Microbiology Ecology 76 (3), 524-540.</w:t>
      </w:r>
    </w:p>
    <w:p w14:paraId="08B61977" w14:textId="77777777" w:rsidR="006B3F46" w:rsidRPr="009978E3" w:rsidRDefault="006B3F46" w:rsidP="00907941">
      <w:pPr>
        <w:ind w:left="708" w:hanging="708"/>
        <w:jc w:val="both"/>
        <w:rPr>
          <w:sz w:val="22"/>
          <w:szCs w:val="22"/>
          <w:lang w:val="nl-NL"/>
        </w:rPr>
      </w:pPr>
      <w:r w:rsidRPr="009978E3">
        <w:rPr>
          <w:sz w:val="22"/>
          <w:szCs w:val="22"/>
          <w:lang w:val="nl-NL"/>
        </w:rPr>
        <w:t xml:space="preserve">Cuvelier, D.; Sarradin, P.M.; Sarrazin, J., Colaço, A.; Copley, J.; Desbruyères, D.; Glover, A.; Serrão Santos, R.; Tyler, P. (2011) Hydrothermal faunal assemblages and habitat characterisation at the Atlantic Eiffel Tower edifice (Lucky Strike vent field). Marine Ecology, 32: 243-255. </w:t>
      </w:r>
    </w:p>
    <w:p w14:paraId="4CFB8CEC" w14:textId="77777777" w:rsidR="006B3F46" w:rsidRPr="009978E3" w:rsidRDefault="006B3F46" w:rsidP="00907941">
      <w:pPr>
        <w:ind w:left="708" w:hanging="708"/>
        <w:jc w:val="both"/>
        <w:rPr>
          <w:sz w:val="22"/>
          <w:szCs w:val="22"/>
          <w:lang w:val="nl-NL"/>
        </w:rPr>
      </w:pPr>
      <w:r w:rsidRPr="009978E3">
        <w:rPr>
          <w:sz w:val="22"/>
          <w:szCs w:val="22"/>
          <w:lang w:val="nl-NL"/>
        </w:rPr>
        <w:t xml:space="preserve">Cuvelier, D.; Sarrazin, J.; Colaço, A.; Copley, J.; Glover, A.; Tyler, P.; Serrão Santos, R.; Desbruyères, D. (2011) Community dynamics over 14 years at the Eiffel Tower hydrothermal edifice on the Mid-Atlantic Ridge. Limnology and Oceanography, 56: 1624-1640. </w:t>
      </w:r>
    </w:p>
    <w:p w14:paraId="695A1764" w14:textId="77777777" w:rsidR="006B3F46" w:rsidRPr="009978E3" w:rsidRDefault="006B3F46" w:rsidP="00907941">
      <w:pPr>
        <w:pStyle w:val="NoSpacing"/>
        <w:spacing w:line="240" w:lineRule="auto"/>
        <w:rPr>
          <w:rFonts w:ascii="Times New Roman" w:hAnsi="Times New Roman" w:cs="Times New Roman"/>
          <w:sz w:val="22"/>
          <w:szCs w:val="22"/>
          <w:lang w:val="fr-FR"/>
        </w:rPr>
      </w:pPr>
      <w:r w:rsidRPr="009978E3">
        <w:rPr>
          <w:rFonts w:ascii="Times New Roman" w:hAnsi="Times New Roman" w:cs="Times New Roman"/>
          <w:sz w:val="22"/>
          <w:szCs w:val="22"/>
        </w:rPr>
        <w:t>Davies, A. J., &amp; Guinotte, J. M. (2011). Global habitat suitability for framework-forming cold-water corals. </w:t>
      </w:r>
      <w:r w:rsidRPr="009978E3">
        <w:rPr>
          <w:rFonts w:ascii="Times New Roman" w:hAnsi="Times New Roman" w:cs="Times New Roman"/>
          <w:i/>
          <w:iCs/>
          <w:sz w:val="22"/>
          <w:szCs w:val="22"/>
          <w:lang w:val="fr-FR"/>
        </w:rPr>
        <w:t>PloS one</w:t>
      </w:r>
      <w:r w:rsidRPr="009978E3">
        <w:rPr>
          <w:rFonts w:ascii="Times New Roman" w:hAnsi="Times New Roman" w:cs="Times New Roman"/>
          <w:sz w:val="22"/>
          <w:szCs w:val="22"/>
          <w:lang w:val="fr-FR"/>
        </w:rPr>
        <w:t>, </w:t>
      </w:r>
      <w:r w:rsidRPr="009978E3">
        <w:rPr>
          <w:rFonts w:ascii="Times New Roman" w:hAnsi="Times New Roman" w:cs="Times New Roman"/>
          <w:i/>
          <w:iCs/>
          <w:sz w:val="22"/>
          <w:szCs w:val="22"/>
          <w:lang w:val="fr-FR"/>
        </w:rPr>
        <w:t>6</w:t>
      </w:r>
      <w:r w:rsidRPr="009978E3">
        <w:rPr>
          <w:rFonts w:ascii="Times New Roman" w:hAnsi="Times New Roman" w:cs="Times New Roman"/>
          <w:sz w:val="22"/>
          <w:szCs w:val="22"/>
          <w:lang w:val="fr-FR"/>
        </w:rPr>
        <w:t>(4), e18483.</w:t>
      </w:r>
    </w:p>
    <w:p w14:paraId="4040597B" w14:textId="77777777" w:rsidR="006B3F46" w:rsidRPr="009978E3" w:rsidRDefault="006B3F46" w:rsidP="00907941">
      <w:pPr>
        <w:ind w:left="708" w:hanging="708"/>
        <w:jc w:val="both"/>
        <w:rPr>
          <w:sz w:val="22"/>
          <w:szCs w:val="22"/>
          <w:lang w:val="en-US"/>
        </w:rPr>
      </w:pPr>
      <w:r w:rsidRPr="009978E3">
        <w:rPr>
          <w:sz w:val="22"/>
          <w:szCs w:val="22"/>
          <w:lang w:val="nl-NL"/>
        </w:rPr>
        <w:t xml:space="preserve">De Busserolles, F., Sarrazin, J., Gauthier, O., Gélinas, Y., Fabri, M.C., Sarradin, P.M., Desbruyères, D., 2009. </w:t>
      </w:r>
      <w:r w:rsidRPr="009978E3">
        <w:rPr>
          <w:sz w:val="22"/>
          <w:szCs w:val="22"/>
          <w:lang w:val="en-US"/>
        </w:rPr>
        <w:t>Are spatial variations in the diets of hydrothermal fauna linked to local environmental conditions? Deep Sea Research Part II: Topical Studies in Oceanography 56 (19-20), 1649-1664</w:t>
      </w:r>
    </w:p>
    <w:p w14:paraId="7FB58AB6"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de Matos V, Braga-Henriques A, Santos RS, Ribeiro PA (2014) New species of </w:t>
      </w:r>
      <w:r w:rsidRPr="009978E3">
        <w:rPr>
          <w:rFonts w:ascii="Times New Roman" w:hAnsi="Times New Roman" w:cs="Times New Roman"/>
          <w:i/>
          <w:iCs/>
          <w:sz w:val="22"/>
          <w:szCs w:val="22"/>
        </w:rPr>
        <w:t>Heteropathes</w:t>
      </w:r>
      <w:r w:rsidRPr="009978E3">
        <w:rPr>
          <w:rFonts w:ascii="Times New Roman" w:hAnsi="Times New Roman" w:cs="Times New Roman"/>
          <w:sz w:val="22"/>
          <w:szCs w:val="22"/>
        </w:rPr>
        <w:t> (Anthozoa: Antipatharia) expands genus distribution to the NE Atlantic. Zootaxa 3827:293–300</w:t>
      </w:r>
    </w:p>
    <w:p w14:paraId="72976FCF" w14:textId="77777777" w:rsidR="006B3F46" w:rsidRPr="009978E3" w:rsidRDefault="006B3F46" w:rsidP="00907941">
      <w:pPr>
        <w:ind w:left="708" w:hanging="708"/>
        <w:jc w:val="both"/>
        <w:rPr>
          <w:sz w:val="22"/>
          <w:szCs w:val="22"/>
          <w:lang w:val="en-US"/>
        </w:rPr>
      </w:pPr>
      <w:r w:rsidRPr="009978E3">
        <w:rPr>
          <w:sz w:val="22"/>
          <w:szCs w:val="22"/>
          <w:lang w:val="en-US"/>
        </w:rPr>
        <w:t xml:space="preserve">Desbruyères, D. &amp; Houdez, S. (2000). A new species of scale-worm (Polychaeta: Polynoidae), Lepidonotopodium jouinae sp. nov., from the Azores triple junctionon the Mid-Atlantic Ridge. </w:t>
      </w:r>
      <w:r w:rsidRPr="009978E3">
        <w:rPr>
          <w:i/>
          <w:sz w:val="22"/>
          <w:szCs w:val="22"/>
          <w:lang w:val="en-US"/>
        </w:rPr>
        <w:t>Cahiers de Biologie Marine</w:t>
      </w:r>
      <w:r w:rsidRPr="009978E3">
        <w:rPr>
          <w:sz w:val="22"/>
          <w:szCs w:val="22"/>
          <w:lang w:val="en-US"/>
        </w:rPr>
        <w:t>, 41(4): 399–405.</w:t>
      </w:r>
    </w:p>
    <w:p w14:paraId="36A9569B" w14:textId="77777777" w:rsidR="006B3F46" w:rsidRPr="009978E3" w:rsidRDefault="006B3F46" w:rsidP="00907941">
      <w:pPr>
        <w:ind w:left="708" w:hanging="708"/>
        <w:jc w:val="both"/>
        <w:rPr>
          <w:sz w:val="22"/>
          <w:szCs w:val="22"/>
          <w:lang w:val="en-US"/>
        </w:rPr>
      </w:pPr>
      <w:r w:rsidRPr="009978E3">
        <w:rPr>
          <w:sz w:val="22"/>
          <w:szCs w:val="22"/>
          <w:lang w:val="en-US"/>
        </w:rPr>
        <w:t xml:space="preserve">Desbruyères, D. &amp; Segonzac, M. (Eds.). (1997). </w:t>
      </w:r>
      <w:r w:rsidRPr="009978E3">
        <w:rPr>
          <w:i/>
          <w:sz w:val="22"/>
          <w:szCs w:val="22"/>
          <w:lang w:val="en-US"/>
        </w:rPr>
        <w:t>Handbook of deep-sea hydrothermal vent fauna</w:t>
      </w:r>
      <w:r w:rsidRPr="009978E3">
        <w:rPr>
          <w:sz w:val="22"/>
          <w:szCs w:val="22"/>
          <w:lang w:val="en-US"/>
        </w:rPr>
        <w:t>. Editions Quae.</w:t>
      </w:r>
    </w:p>
    <w:p w14:paraId="196C3C45" w14:textId="77777777" w:rsidR="006B3F46" w:rsidRPr="009978E3" w:rsidRDefault="006B3F46" w:rsidP="00907941">
      <w:pPr>
        <w:ind w:left="708" w:hanging="708"/>
        <w:jc w:val="both"/>
        <w:rPr>
          <w:sz w:val="22"/>
          <w:szCs w:val="22"/>
          <w:lang w:val="en-US"/>
        </w:rPr>
      </w:pPr>
      <w:r w:rsidRPr="009978E3">
        <w:rPr>
          <w:sz w:val="22"/>
          <w:szCs w:val="22"/>
          <w:lang w:val="en-US"/>
        </w:rPr>
        <w:t xml:space="preserve">Desbruyères, D., Biscoito, M., Caprais, J. C., Colaco, A., Comtet, T., Crassous, P., Fouquet, Y., Khripounoff, A., Le Bris, N., Olu, K., Riso, R., Sarradin, P. M., Segonzac, M. &amp; Vangriesheim, A. (2001). Variations in deep-sea hydrothermal vent communities on the Mid-Atlantic Ridge near the Azores plateau. </w:t>
      </w:r>
      <w:r w:rsidRPr="009978E3">
        <w:rPr>
          <w:i/>
          <w:sz w:val="22"/>
          <w:szCs w:val="22"/>
          <w:lang w:val="en-US"/>
        </w:rPr>
        <w:t>Deep-Sea Research</w:t>
      </w:r>
      <w:r w:rsidRPr="009978E3">
        <w:rPr>
          <w:sz w:val="22"/>
          <w:szCs w:val="22"/>
          <w:lang w:val="en-US"/>
        </w:rPr>
        <w:t>, I48: 1325–1346.</w:t>
      </w:r>
    </w:p>
    <w:p w14:paraId="6850F33D" w14:textId="77777777" w:rsidR="006B3F46" w:rsidRPr="009978E3" w:rsidRDefault="006B3F46" w:rsidP="00907941">
      <w:pPr>
        <w:ind w:left="708" w:hanging="708"/>
        <w:jc w:val="both"/>
        <w:rPr>
          <w:sz w:val="22"/>
          <w:szCs w:val="22"/>
          <w:lang w:val="en-US"/>
        </w:rPr>
      </w:pPr>
      <w:r w:rsidRPr="009978E3">
        <w:rPr>
          <w:sz w:val="22"/>
          <w:szCs w:val="22"/>
          <w:lang w:val="en-US"/>
        </w:rPr>
        <w:t>Desbruyères, D., Hashimoto, J. &amp; Fabri, M. C. (2006). Composition and biogeography of hydrothermal vent communities in Western Pacific back</w:t>
      </w:r>
      <w:r w:rsidRPr="0021277B">
        <w:rPr>
          <w:rFonts w:ascii="Cambria Math" w:hAnsi="Cambria Math" w:cs="Cambria Math"/>
          <w:sz w:val="22"/>
          <w:szCs w:val="22"/>
          <w:lang w:val="en-US"/>
        </w:rPr>
        <w:t>‐</w:t>
      </w:r>
      <w:r w:rsidRPr="00F66EF7">
        <w:rPr>
          <w:sz w:val="22"/>
          <w:szCs w:val="22"/>
          <w:lang w:val="en-US"/>
        </w:rPr>
        <w:t xml:space="preserve">arc basins. </w:t>
      </w:r>
      <w:r w:rsidRPr="009978E3">
        <w:rPr>
          <w:i/>
          <w:sz w:val="22"/>
          <w:szCs w:val="22"/>
          <w:lang w:val="en-US"/>
        </w:rPr>
        <w:t>Back-arc spreading systems: geological, biological, chemical, and physical interactions</w:t>
      </w:r>
      <w:r w:rsidRPr="009978E3">
        <w:rPr>
          <w:sz w:val="22"/>
          <w:szCs w:val="22"/>
          <w:lang w:val="en-US"/>
        </w:rPr>
        <w:t>, 215-234.</w:t>
      </w:r>
    </w:p>
    <w:p w14:paraId="049052A4" w14:textId="77777777" w:rsidR="006B3F46" w:rsidRPr="009978E3" w:rsidRDefault="006B3F46" w:rsidP="00907941">
      <w:pPr>
        <w:ind w:left="708" w:hanging="708"/>
        <w:jc w:val="both"/>
        <w:rPr>
          <w:sz w:val="22"/>
          <w:szCs w:val="22"/>
          <w:lang w:val="en-US"/>
        </w:rPr>
      </w:pPr>
      <w:r w:rsidRPr="009978E3">
        <w:rPr>
          <w:sz w:val="22"/>
          <w:szCs w:val="22"/>
          <w:lang w:val="pt-PT"/>
        </w:rPr>
        <w:t xml:space="preserve">Detrick, R., Needham, H. &amp; Renard, V. (1995). </w:t>
      </w:r>
      <w:r w:rsidRPr="009978E3">
        <w:rPr>
          <w:sz w:val="22"/>
          <w:szCs w:val="22"/>
          <w:lang w:val="en-US"/>
        </w:rPr>
        <w:t>Gravity anomalies and crustal thickness variation along Mid-Atlantic Ridge between 33</w:t>
      </w:r>
      <w:r w:rsidRPr="009978E3">
        <w:rPr>
          <w:rFonts w:eastAsia="MS Mincho"/>
          <w:sz w:val="22"/>
          <w:szCs w:val="22"/>
          <w:lang w:val="en-US"/>
        </w:rPr>
        <w:t>ᵒ</w:t>
      </w:r>
      <w:r w:rsidRPr="009978E3">
        <w:rPr>
          <w:sz w:val="22"/>
          <w:szCs w:val="22"/>
          <w:lang w:val="en-US"/>
        </w:rPr>
        <w:t>N and 40</w:t>
      </w:r>
      <w:r w:rsidRPr="009978E3">
        <w:rPr>
          <w:rFonts w:eastAsia="MS Mincho"/>
          <w:sz w:val="22"/>
          <w:szCs w:val="22"/>
          <w:lang w:val="en-US"/>
        </w:rPr>
        <w:t>ᵒ</w:t>
      </w:r>
      <w:r w:rsidRPr="009978E3">
        <w:rPr>
          <w:sz w:val="22"/>
          <w:szCs w:val="22"/>
          <w:lang w:val="en-US"/>
        </w:rPr>
        <w:t xml:space="preserve">N. </w:t>
      </w:r>
      <w:r w:rsidRPr="009978E3">
        <w:rPr>
          <w:i/>
          <w:sz w:val="22"/>
          <w:szCs w:val="22"/>
          <w:lang w:val="en-US"/>
        </w:rPr>
        <w:t>Journal of Geophysical Research</w:t>
      </w:r>
      <w:r w:rsidRPr="009978E3">
        <w:rPr>
          <w:sz w:val="22"/>
          <w:szCs w:val="22"/>
          <w:lang w:val="en-US"/>
        </w:rPr>
        <w:t>, 100: 3767-3787.</w:t>
      </w:r>
    </w:p>
    <w:p w14:paraId="2FBF0B23" w14:textId="77777777" w:rsidR="006B3F46" w:rsidRPr="009978E3" w:rsidRDefault="006B3F46" w:rsidP="00907941">
      <w:pPr>
        <w:ind w:left="708" w:hanging="708"/>
        <w:jc w:val="both"/>
        <w:rPr>
          <w:sz w:val="22"/>
          <w:szCs w:val="22"/>
          <w:lang w:val="pt-PT"/>
        </w:rPr>
      </w:pPr>
      <w:r w:rsidRPr="009978E3">
        <w:rPr>
          <w:sz w:val="22"/>
          <w:szCs w:val="22"/>
          <w:lang w:val="en-US"/>
        </w:rPr>
        <w:t>Dias, A. &amp; Barriga, F. (2006). Mineralogy and geochemistry of hydrothermal sediments from the serpentinite-hosted Saldanha hydrothermal field (36</w:t>
      </w:r>
      <w:r w:rsidRPr="009978E3">
        <w:rPr>
          <w:rFonts w:eastAsia="MS Mincho"/>
          <w:sz w:val="22"/>
          <w:szCs w:val="22"/>
          <w:lang w:val="en-US"/>
        </w:rPr>
        <w:t>ᵒ</w:t>
      </w:r>
      <w:r w:rsidRPr="009978E3">
        <w:rPr>
          <w:sz w:val="22"/>
          <w:szCs w:val="22"/>
          <w:lang w:val="en-US"/>
        </w:rPr>
        <w:t>34’N; 33</w:t>
      </w:r>
      <w:r w:rsidRPr="009978E3">
        <w:rPr>
          <w:rFonts w:eastAsia="MS Mincho"/>
          <w:sz w:val="22"/>
          <w:szCs w:val="22"/>
          <w:lang w:val="en-US"/>
        </w:rPr>
        <w:t>ᵒ</w:t>
      </w:r>
      <w:r w:rsidRPr="009978E3">
        <w:rPr>
          <w:sz w:val="22"/>
          <w:szCs w:val="22"/>
          <w:lang w:val="en-US"/>
        </w:rPr>
        <w:t xml:space="preserve">26’W) at MAR. </w:t>
      </w:r>
      <w:r w:rsidRPr="009978E3">
        <w:rPr>
          <w:i/>
          <w:sz w:val="22"/>
          <w:szCs w:val="22"/>
          <w:lang w:val="pt-PT"/>
        </w:rPr>
        <w:t>Marine Geology</w:t>
      </w:r>
      <w:r w:rsidRPr="009978E3">
        <w:rPr>
          <w:sz w:val="22"/>
          <w:szCs w:val="22"/>
          <w:lang w:val="pt-PT"/>
        </w:rPr>
        <w:t>, 255: 157-175.</w:t>
      </w:r>
    </w:p>
    <w:p w14:paraId="4F1B01F9" w14:textId="77777777" w:rsidR="006B3F46" w:rsidRPr="009978E3" w:rsidRDefault="006B3F46" w:rsidP="00907941">
      <w:pPr>
        <w:ind w:left="708" w:hanging="708"/>
        <w:jc w:val="both"/>
        <w:rPr>
          <w:sz w:val="22"/>
          <w:szCs w:val="22"/>
          <w:lang w:val="pt-PT"/>
        </w:rPr>
      </w:pPr>
      <w:r w:rsidRPr="009978E3">
        <w:rPr>
          <w:sz w:val="22"/>
          <w:szCs w:val="22"/>
          <w:lang w:val="pt-PT"/>
        </w:rPr>
        <w:t xml:space="preserve">Dias, A. (2001). </w:t>
      </w:r>
      <w:r w:rsidRPr="009978E3">
        <w:rPr>
          <w:i/>
          <w:sz w:val="22"/>
          <w:szCs w:val="22"/>
          <w:lang w:val="pt-PT"/>
        </w:rPr>
        <w:t>Sedimentos hidrotermais do Monte Saldanha (crista Médio-Atlântica, Famous/Amar),</w:t>
      </w:r>
      <w:r w:rsidRPr="009978E3">
        <w:rPr>
          <w:sz w:val="22"/>
          <w:szCs w:val="22"/>
          <w:lang w:val="pt-PT"/>
        </w:rPr>
        <w:t xml:space="preserve"> Dissertação de Mestrado thesis, 115 pp., Universidade de Lisboa.</w:t>
      </w:r>
    </w:p>
    <w:p w14:paraId="5A279981" w14:textId="77777777" w:rsidR="006B3F46" w:rsidRPr="009978E3" w:rsidRDefault="006B3F46" w:rsidP="00907941">
      <w:pPr>
        <w:ind w:left="708" w:hanging="708"/>
        <w:jc w:val="both"/>
        <w:rPr>
          <w:sz w:val="22"/>
          <w:szCs w:val="22"/>
        </w:rPr>
      </w:pPr>
      <w:r w:rsidRPr="009978E3">
        <w:rPr>
          <w:sz w:val="22"/>
          <w:szCs w:val="22"/>
          <w:lang w:val="pt-PT"/>
        </w:rPr>
        <w:t xml:space="preserve">Dias, A., Barriga, F. &amp; Fouquet, Y. (2002). </w:t>
      </w:r>
      <w:r w:rsidRPr="009978E3">
        <w:rPr>
          <w:i/>
          <w:sz w:val="22"/>
          <w:szCs w:val="22"/>
          <w:lang w:val="en-US"/>
        </w:rPr>
        <w:t>Hydrothermal sediments from Saldanha Mount (MAR-Famous-Amar)</w:t>
      </w:r>
      <w:r w:rsidRPr="009978E3">
        <w:rPr>
          <w:sz w:val="22"/>
          <w:szCs w:val="22"/>
          <w:lang w:val="en-US"/>
        </w:rPr>
        <w:t xml:space="preserve">. Thermal Regime of Ocean Ridges and Dynamics of Hydrothermal Circulation Exploratory Workshop, </w:t>
      </w:r>
      <w:r w:rsidRPr="009978E3">
        <w:rPr>
          <w:sz w:val="22"/>
          <w:szCs w:val="22"/>
        </w:rPr>
        <w:t>Italy.</w:t>
      </w:r>
    </w:p>
    <w:p w14:paraId="3C38C0DB" w14:textId="77777777" w:rsidR="006B3F46" w:rsidRPr="009978E3" w:rsidRDefault="006B3F46" w:rsidP="00907941">
      <w:pPr>
        <w:ind w:left="708" w:hanging="708"/>
        <w:jc w:val="both"/>
        <w:rPr>
          <w:sz w:val="22"/>
          <w:szCs w:val="22"/>
          <w:lang w:val="en-US"/>
        </w:rPr>
      </w:pPr>
      <w:r w:rsidRPr="009978E3">
        <w:rPr>
          <w:sz w:val="22"/>
          <w:szCs w:val="22"/>
          <w:lang w:val="en-US"/>
        </w:rPr>
        <w:t xml:space="preserve">Dick, G., Anantharaman, K., Baker, B., Li, M., Reed, D. &amp; Sheik, C. (2013). The microbiology of deep-sea hydrothermal vent plumes: ecological and biogeographic linkages to seafloor and water column habitats. </w:t>
      </w:r>
      <w:r w:rsidRPr="009978E3">
        <w:rPr>
          <w:i/>
          <w:sz w:val="22"/>
          <w:szCs w:val="22"/>
          <w:lang w:val="en-US"/>
        </w:rPr>
        <w:t>Frontiers in microbiology</w:t>
      </w:r>
      <w:r w:rsidRPr="009978E3">
        <w:rPr>
          <w:sz w:val="22"/>
          <w:szCs w:val="22"/>
          <w:lang w:val="en-US"/>
        </w:rPr>
        <w:t>, 4: 124.</w:t>
      </w:r>
    </w:p>
    <w:p w14:paraId="684B66FA" w14:textId="77777777" w:rsidR="006B3F46" w:rsidRPr="009978E3" w:rsidRDefault="006B3F46" w:rsidP="00907941">
      <w:pPr>
        <w:ind w:left="708" w:hanging="708"/>
        <w:jc w:val="both"/>
        <w:rPr>
          <w:sz w:val="22"/>
          <w:szCs w:val="22"/>
          <w:lang w:val="en-US"/>
        </w:rPr>
      </w:pPr>
      <w:r w:rsidRPr="009978E3">
        <w:rPr>
          <w:sz w:val="22"/>
          <w:szCs w:val="22"/>
          <w:lang w:val="en-US"/>
        </w:rPr>
        <w:t>Dixon, D.; Lowe, D.; Miller, P.; Villemin, G.; Colaço, A.; Serrão-Santos, R.; Dixon, L. (2006) Evidence for seasonal reproduction in the Atlantic vent mussel Bathymodiolus azoricus, and an apparent link to the timing of photosynthetic primary production. Journal of Marine Biological Association of United Kingdom, 86(6): 1363-1371</w:t>
      </w:r>
    </w:p>
    <w:p w14:paraId="2FBA615C" w14:textId="77777777" w:rsidR="006B3F46" w:rsidRPr="009978E3" w:rsidRDefault="006B3F46" w:rsidP="00907941">
      <w:pPr>
        <w:ind w:left="708" w:hanging="708"/>
        <w:jc w:val="both"/>
        <w:rPr>
          <w:sz w:val="22"/>
          <w:szCs w:val="22"/>
          <w:lang w:val="fr-CA"/>
        </w:rPr>
      </w:pPr>
      <w:r w:rsidRPr="009978E3">
        <w:rPr>
          <w:sz w:val="22"/>
          <w:szCs w:val="22"/>
          <w:lang w:val="en-US"/>
        </w:rPr>
        <w:t xml:space="preserve">Douville, E., Bienvenu, P., Chartou, J., Donvan, J., Fouquet, Y., Appriou, P. &amp; Gamo, T. (1999). Yttrium and rare earth elements in fluids from various deep-sea hydrothermal systems. </w:t>
      </w:r>
      <w:r w:rsidRPr="009978E3">
        <w:rPr>
          <w:i/>
          <w:sz w:val="22"/>
          <w:szCs w:val="22"/>
          <w:lang w:val="fr-CA"/>
        </w:rPr>
        <w:t>Geochimica et Cosmochimica Acta</w:t>
      </w:r>
      <w:r w:rsidRPr="009978E3">
        <w:rPr>
          <w:sz w:val="22"/>
          <w:szCs w:val="22"/>
          <w:lang w:val="fr-CA"/>
        </w:rPr>
        <w:t>, 63(5): 627-643.</w:t>
      </w:r>
    </w:p>
    <w:p w14:paraId="1C35C66A" w14:textId="77777777" w:rsidR="006B3F46" w:rsidRPr="009978E3" w:rsidRDefault="006B3F46" w:rsidP="00907941">
      <w:pPr>
        <w:ind w:left="708" w:hanging="708"/>
        <w:jc w:val="both"/>
        <w:rPr>
          <w:sz w:val="22"/>
          <w:szCs w:val="22"/>
          <w:lang w:val="en-US"/>
        </w:rPr>
      </w:pPr>
      <w:r w:rsidRPr="009978E3">
        <w:rPr>
          <w:sz w:val="22"/>
          <w:szCs w:val="22"/>
          <w:lang w:val="fr-CA"/>
        </w:rPr>
        <w:t xml:space="preserve">Douville, E., Charlou, J., Oelkers, E., Bienvenu, P., Jove Colon, C., Donval, J., Fouquet, Y., Prieur, D. &amp; Appriou, P. (2002). </w:t>
      </w:r>
      <w:r w:rsidRPr="009978E3">
        <w:rPr>
          <w:sz w:val="22"/>
          <w:szCs w:val="22"/>
          <w:lang w:val="en-US"/>
        </w:rPr>
        <w:t>The rainbow vent fluids (36</w:t>
      </w:r>
      <w:r w:rsidRPr="009978E3">
        <w:rPr>
          <w:rFonts w:eastAsia="MS Mincho"/>
          <w:sz w:val="22"/>
          <w:szCs w:val="22"/>
          <w:lang w:val="en-US"/>
        </w:rPr>
        <w:t>ᵒ</w:t>
      </w:r>
      <w:r w:rsidRPr="009978E3">
        <w:rPr>
          <w:sz w:val="22"/>
          <w:szCs w:val="22"/>
          <w:lang w:val="en-US"/>
        </w:rPr>
        <w:t xml:space="preserve">40’N, MAR): the influence of ultramafic rocks and phase separation on trace metal content in Mid-Atlantic Ridge hydrothermal fluids. </w:t>
      </w:r>
      <w:r w:rsidRPr="009978E3">
        <w:rPr>
          <w:i/>
          <w:sz w:val="22"/>
          <w:szCs w:val="22"/>
          <w:lang w:val="en-US"/>
        </w:rPr>
        <w:t>Chemical Geology</w:t>
      </w:r>
      <w:r w:rsidRPr="009978E3">
        <w:rPr>
          <w:sz w:val="22"/>
          <w:szCs w:val="22"/>
          <w:lang w:val="en-US"/>
        </w:rPr>
        <w:t>, 184: 37–48.</w:t>
      </w:r>
    </w:p>
    <w:p w14:paraId="560988A1" w14:textId="77777777" w:rsidR="006B3F46" w:rsidRPr="009978E3" w:rsidRDefault="006B3F46" w:rsidP="00907941">
      <w:pPr>
        <w:ind w:left="708" w:hanging="708"/>
        <w:jc w:val="both"/>
        <w:rPr>
          <w:sz w:val="22"/>
          <w:szCs w:val="22"/>
          <w:lang w:val="en-US"/>
        </w:rPr>
      </w:pPr>
      <w:r w:rsidRPr="009978E3">
        <w:rPr>
          <w:sz w:val="22"/>
          <w:szCs w:val="22"/>
          <w:lang w:val="en-US"/>
        </w:rPr>
        <w:t xml:space="preserve">Dubilier, N., Bergin, C. &amp; Lott, C. (2008). Symbiotic diversity in marine animals: the art of harnessing chemosynthesis. </w:t>
      </w:r>
      <w:r w:rsidRPr="009978E3">
        <w:rPr>
          <w:i/>
          <w:sz w:val="22"/>
          <w:szCs w:val="22"/>
          <w:lang w:val="en-US"/>
        </w:rPr>
        <w:t>Nature Reviews Microbiology</w:t>
      </w:r>
      <w:r w:rsidRPr="009978E3">
        <w:rPr>
          <w:sz w:val="22"/>
          <w:szCs w:val="22"/>
          <w:lang w:val="en-US"/>
        </w:rPr>
        <w:t>, 6: 725–740.</w:t>
      </w:r>
    </w:p>
    <w:p w14:paraId="46CB6433" w14:textId="77777777" w:rsidR="006B3F46" w:rsidRPr="009978E3" w:rsidRDefault="006B3F46" w:rsidP="00907941">
      <w:pPr>
        <w:ind w:left="708" w:hanging="708"/>
        <w:jc w:val="both"/>
        <w:rPr>
          <w:sz w:val="22"/>
          <w:szCs w:val="22"/>
          <w:lang w:val="en-US"/>
        </w:rPr>
      </w:pPr>
      <w:r w:rsidRPr="009978E3">
        <w:rPr>
          <w:sz w:val="22"/>
          <w:szCs w:val="22"/>
          <w:lang w:val="en-US"/>
        </w:rPr>
        <w:t xml:space="preserve">Duperron, S., Bergin, C., Zielinski, F., Blazejak, A., Pernthaler, A., McKiness, Z. P., DeChaine, E., Cavanaugh, C. &amp; Dubilier, N. (2006). A dual symbiosis shared by two mussel species, </w:t>
      </w:r>
      <w:r w:rsidRPr="009978E3">
        <w:rPr>
          <w:i/>
          <w:sz w:val="22"/>
          <w:szCs w:val="22"/>
          <w:lang w:val="en-US"/>
        </w:rPr>
        <w:t>Bathymodiolus azoricus</w:t>
      </w:r>
      <w:r w:rsidRPr="009978E3">
        <w:rPr>
          <w:sz w:val="22"/>
          <w:szCs w:val="22"/>
          <w:lang w:val="en-US"/>
        </w:rPr>
        <w:t xml:space="preserve"> and </w:t>
      </w:r>
      <w:r w:rsidRPr="009978E3">
        <w:rPr>
          <w:i/>
          <w:sz w:val="22"/>
          <w:szCs w:val="22"/>
          <w:lang w:val="en-US"/>
        </w:rPr>
        <w:t>Bathymodiolus puteoserpentis</w:t>
      </w:r>
      <w:r w:rsidRPr="009978E3">
        <w:rPr>
          <w:sz w:val="22"/>
          <w:szCs w:val="22"/>
          <w:lang w:val="en-US"/>
        </w:rPr>
        <w:t xml:space="preserve"> (Bivalvia: Mytilidae), from hydrothermal vents along the northern Mid-Atlantic Ridge. </w:t>
      </w:r>
      <w:r w:rsidRPr="009978E3">
        <w:rPr>
          <w:i/>
          <w:sz w:val="22"/>
          <w:szCs w:val="22"/>
          <w:lang w:val="en-US"/>
        </w:rPr>
        <w:t>Environmental Microbiology</w:t>
      </w:r>
      <w:r w:rsidRPr="009978E3">
        <w:rPr>
          <w:sz w:val="22"/>
          <w:szCs w:val="22"/>
          <w:lang w:val="en-US"/>
        </w:rPr>
        <w:t>, 8(8): 1441–1447.</w:t>
      </w:r>
    </w:p>
    <w:p w14:paraId="03CFDEF5" w14:textId="77777777" w:rsidR="006B3F46" w:rsidRPr="009978E3" w:rsidRDefault="006B3F46" w:rsidP="00907941">
      <w:pPr>
        <w:ind w:left="708" w:hanging="708"/>
        <w:jc w:val="both"/>
        <w:rPr>
          <w:sz w:val="22"/>
          <w:szCs w:val="22"/>
          <w:lang w:val="en-US"/>
        </w:rPr>
      </w:pPr>
      <w:r w:rsidRPr="009978E3">
        <w:rPr>
          <w:sz w:val="22"/>
          <w:szCs w:val="22"/>
          <w:lang w:val="en-US"/>
        </w:rPr>
        <w:t xml:space="preserve">Duperron, S., Gaudron, S., Rodrigues, C., Cunha, M., Decker, C. &amp; Olu, K. (2013). An overview of chemosynthetic symbioses in bivalves from the North Atlantic and Mediterranean Sea. </w:t>
      </w:r>
      <w:r w:rsidRPr="009978E3">
        <w:rPr>
          <w:i/>
          <w:sz w:val="22"/>
          <w:szCs w:val="22"/>
          <w:lang w:val="en-US"/>
        </w:rPr>
        <w:t>Biogeosciences</w:t>
      </w:r>
      <w:r w:rsidRPr="009978E3">
        <w:rPr>
          <w:sz w:val="22"/>
          <w:szCs w:val="22"/>
          <w:lang w:val="en-US"/>
        </w:rPr>
        <w:t xml:space="preserve">, 10(5): 3241–3267. </w:t>
      </w:r>
    </w:p>
    <w:p w14:paraId="58A91C18" w14:textId="77777777" w:rsidR="006B3F46" w:rsidRPr="009978E3" w:rsidRDefault="006B3F46" w:rsidP="00907941">
      <w:pPr>
        <w:ind w:left="708" w:hanging="708"/>
        <w:jc w:val="both"/>
        <w:rPr>
          <w:sz w:val="22"/>
          <w:szCs w:val="22"/>
          <w:lang w:val="en-US"/>
        </w:rPr>
      </w:pPr>
      <w:r w:rsidRPr="009978E3">
        <w:rPr>
          <w:sz w:val="22"/>
          <w:szCs w:val="22"/>
          <w:lang w:val="en-US"/>
        </w:rPr>
        <w:t xml:space="preserve">Edmond, J., Measures, C., McDuff, R., Chan, L., Collier, R., Grant, B., Gordon, L. &amp; Corliss, J. (1979). Ridge crest hydrothermal activity and the balances of the major and minor elements in the ocean: the Galapagos data. </w:t>
      </w:r>
      <w:r w:rsidRPr="009978E3">
        <w:rPr>
          <w:i/>
          <w:sz w:val="22"/>
          <w:szCs w:val="22"/>
          <w:lang w:val="en-US"/>
        </w:rPr>
        <w:t>Earth and Planetary Science Letters</w:t>
      </w:r>
      <w:r w:rsidRPr="009978E3">
        <w:rPr>
          <w:sz w:val="22"/>
          <w:szCs w:val="22"/>
          <w:lang w:val="en-US"/>
        </w:rPr>
        <w:t>, 46(1): 1-18.</w:t>
      </w:r>
    </w:p>
    <w:p w14:paraId="6AA79C4F" w14:textId="77777777" w:rsidR="006B3F46" w:rsidRPr="009978E3" w:rsidRDefault="006B3F46" w:rsidP="00907941">
      <w:pPr>
        <w:ind w:left="708" w:hanging="708"/>
        <w:jc w:val="both"/>
        <w:rPr>
          <w:sz w:val="22"/>
          <w:szCs w:val="22"/>
          <w:lang w:val="en-US"/>
        </w:rPr>
      </w:pPr>
      <w:r w:rsidRPr="009978E3">
        <w:rPr>
          <w:sz w:val="22"/>
          <w:szCs w:val="22"/>
          <w:lang w:val="en-US"/>
        </w:rPr>
        <w:t xml:space="preserve">Elderfield, H. &amp; Schultz, A., 1996. Mid-Ocean ridges hydrothermal fluxes and the chemical composition of the ocean. </w:t>
      </w:r>
      <w:r w:rsidRPr="009978E3">
        <w:rPr>
          <w:i/>
          <w:sz w:val="22"/>
          <w:szCs w:val="22"/>
          <w:lang w:val="en-US"/>
        </w:rPr>
        <w:t>Annual Review of Earth and Planetary Sciences</w:t>
      </w:r>
      <w:r w:rsidRPr="009978E3">
        <w:rPr>
          <w:sz w:val="22"/>
          <w:szCs w:val="22"/>
          <w:lang w:val="en-US"/>
        </w:rPr>
        <w:t>, 24: 191-224.</w:t>
      </w:r>
    </w:p>
    <w:p w14:paraId="3B246980"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lang w:val="en-US"/>
        </w:rPr>
        <w:t>Fallon, S.J., James, K., Norman, R., Kelly, M. &amp; Ellwood, M.J. 2010. A simple radiocarbon dating method for determining the age and growth rate of deep-sea sponges. Nuclear Instruments and Methods in Physics Research, Section B: Beam Interactions with Materials and Atoms. 268(7–8): 1241–1243.</w:t>
      </w:r>
    </w:p>
    <w:p w14:paraId="7EF0356E" w14:textId="77777777" w:rsidR="006B3F46" w:rsidRPr="009978E3" w:rsidRDefault="006B3F46" w:rsidP="00907941">
      <w:pPr>
        <w:ind w:left="708" w:hanging="708"/>
        <w:jc w:val="both"/>
        <w:rPr>
          <w:sz w:val="22"/>
          <w:szCs w:val="22"/>
          <w:lang w:val="en-US"/>
        </w:rPr>
      </w:pPr>
      <w:r w:rsidRPr="009978E3">
        <w:rPr>
          <w:sz w:val="22"/>
          <w:szCs w:val="22"/>
          <w:lang w:val="en-US"/>
        </w:rPr>
        <w:t xml:space="preserve">Fouquet, Y., Barriga, F., Charlou, J.., Elderfield, H., German, C., Ondreas, H., Parson, L., Radford-Knoery, J., Relvas, J., Ribeiro, A., Schultz, A., Apprioual, R., Cambon, P., Costa, I., Donval, J., Douville, E., Landure, J., Normand, A., Pelle, H., Ponsevera, E., Riches, S., Santana, H. &amp; Stephen M. (1998) FLORES diving cruise with the Nautile near the Azores—First dives on the Rainbow field: hydrothermal seawater/mantle interaction. </w:t>
      </w:r>
      <w:r w:rsidRPr="009978E3">
        <w:rPr>
          <w:i/>
          <w:sz w:val="22"/>
          <w:szCs w:val="22"/>
          <w:lang w:val="en-US"/>
        </w:rPr>
        <w:t>InterRidge News</w:t>
      </w:r>
      <w:r w:rsidRPr="009978E3">
        <w:rPr>
          <w:sz w:val="22"/>
          <w:szCs w:val="22"/>
          <w:lang w:val="en-US"/>
        </w:rPr>
        <w:t>, 7: 24–28.</w:t>
      </w:r>
    </w:p>
    <w:p w14:paraId="603EA64F" w14:textId="77777777" w:rsidR="006B3F46" w:rsidRPr="009978E3" w:rsidRDefault="006B3F46" w:rsidP="00907941">
      <w:pPr>
        <w:ind w:left="709" w:hanging="709"/>
        <w:jc w:val="both"/>
        <w:rPr>
          <w:sz w:val="22"/>
          <w:szCs w:val="22"/>
          <w:lang w:val="en-US"/>
        </w:rPr>
      </w:pPr>
      <w:r w:rsidRPr="009978E3">
        <w:rPr>
          <w:sz w:val="22"/>
          <w:szCs w:val="22"/>
          <w:lang w:val="en-US"/>
        </w:rPr>
        <w:t>Fouquet, Y., Cambon, P., Etoubleau, J., Charlou, J., Ondréas, H., Barriga, F., Cherkashov, G., Semkova, T., Poroshina, I., Bohn, M., Donval, J., Henry, K., Murphy, P. &amp; Rouxel, O. (2010). Geodiversity of Hydrothermal Processes Along the Mid</w:t>
      </w:r>
      <w:r w:rsidRPr="0021277B">
        <w:rPr>
          <w:rFonts w:ascii="Cambria Math" w:hAnsi="Cambria Math" w:cs="Cambria Math"/>
          <w:sz w:val="22"/>
          <w:szCs w:val="22"/>
          <w:lang w:val="en-US"/>
        </w:rPr>
        <w:t>‐</w:t>
      </w:r>
      <w:r w:rsidRPr="00F66EF7">
        <w:rPr>
          <w:sz w:val="22"/>
          <w:szCs w:val="22"/>
          <w:lang w:val="en-US"/>
        </w:rPr>
        <w:t>Atlantic Ridge and Ultramafic</w:t>
      </w:r>
      <w:r w:rsidRPr="0021277B">
        <w:rPr>
          <w:rFonts w:ascii="Cambria Math" w:hAnsi="Cambria Math" w:cs="Cambria Math"/>
          <w:sz w:val="22"/>
          <w:szCs w:val="22"/>
          <w:lang w:val="en-US"/>
        </w:rPr>
        <w:t>‐</w:t>
      </w:r>
      <w:r w:rsidRPr="00F66EF7">
        <w:rPr>
          <w:sz w:val="22"/>
          <w:szCs w:val="22"/>
          <w:lang w:val="en-US"/>
        </w:rPr>
        <w:t>Hosted Minerali</w:t>
      </w:r>
      <w:r w:rsidRPr="009978E3">
        <w:rPr>
          <w:sz w:val="22"/>
          <w:szCs w:val="22"/>
          <w:lang w:val="en-US"/>
        </w:rPr>
        <w:t>zation: a New Type Of Oceanic Cu</w:t>
      </w:r>
      <w:r w:rsidRPr="0021277B">
        <w:rPr>
          <w:rFonts w:ascii="Cambria Math" w:hAnsi="Cambria Math" w:cs="Cambria Math"/>
          <w:sz w:val="22"/>
          <w:szCs w:val="22"/>
          <w:lang w:val="en-US"/>
        </w:rPr>
        <w:t>‐</w:t>
      </w:r>
      <w:r w:rsidRPr="00F66EF7">
        <w:rPr>
          <w:sz w:val="22"/>
          <w:szCs w:val="22"/>
          <w:lang w:val="en-US"/>
        </w:rPr>
        <w:t>Zn</w:t>
      </w:r>
      <w:r w:rsidRPr="0021277B">
        <w:rPr>
          <w:rFonts w:ascii="Cambria Math" w:hAnsi="Cambria Math" w:cs="Cambria Math"/>
          <w:sz w:val="22"/>
          <w:szCs w:val="22"/>
          <w:lang w:val="en-US"/>
        </w:rPr>
        <w:t>‐</w:t>
      </w:r>
      <w:r w:rsidRPr="00F66EF7">
        <w:rPr>
          <w:sz w:val="22"/>
          <w:szCs w:val="22"/>
          <w:lang w:val="en-US"/>
        </w:rPr>
        <w:t>Co</w:t>
      </w:r>
      <w:r w:rsidRPr="0021277B">
        <w:rPr>
          <w:rFonts w:ascii="Cambria Math" w:hAnsi="Cambria Math" w:cs="Cambria Math"/>
          <w:sz w:val="22"/>
          <w:szCs w:val="22"/>
          <w:lang w:val="en-US"/>
        </w:rPr>
        <w:t>‐</w:t>
      </w:r>
      <w:r w:rsidRPr="00F66EF7">
        <w:rPr>
          <w:sz w:val="22"/>
          <w:szCs w:val="22"/>
          <w:lang w:val="en-US"/>
        </w:rPr>
        <w:t xml:space="preserve">Au Volcanogenic Massive Sulfide Deposit. </w:t>
      </w:r>
      <w:r w:rsidRPr="009978E3">
        <w:rPr>
          <w:i/>
          <w:sz w:val="22"/>
          <w:szCs w:val="22"/>
          <w:lang w:val="en-US"/>
        </w:rPr>
        <w:t>Diversity of hydrothermal systems on slow spreading ocean ridges</w:t>
      </w:r>
      <w:r w:rsidRPr="009978E3">
        <w:rPr>
          <w:sz w:val="22"/>
          <w:szCs w:val="22"/>
          <w:lang w:val="en-US"/>
        </w:rPr>
        <w:t>, 188: 321-367.</w:t>
      </w:r>
    </w:p>
    <w:p w14:paraId="5E7F0D86" w14:textId="77777777" w:rsidR="006B3F46" w:rsidRPr="009978E3" w:rsidRDefault="006B3F46" w:rsidP="00907941">
      <w:pPr>
        <w:ind w:left="709" w:hanging="709"/>
        <w:jc w:val="both"/>
        <w:rPr>
          <w:sz w:val="22"/>
          <w:szCs w:val="22"/>
          <w:lang w:val="en-US"/>
        </w:rPr>
      </w:pPr>
      <w:r w:rsidRPr="009978E3">
        <w:rPr>
          <w:sz w:val="22"/>
          <w:szCs w:val="22"/>
          <w:lang w:val="en-US"/>
        </w:rPr>
        <w:t xml:space="preserve">Fouquet, Y., Charlou, J., Costa, I., Donval, J., Radford Knoery, J., Pelle, H., Ondreas, H., Lourenço, N., Segonzac, M. &amp; Tivey, M. (1994). A detailed study of the Lucky Strike Hydrothermal site and discovery of a new hydrothermal site: Menez Gwen; preliminary results of the Diva 1 Cruise (5-29 May, 1994). </w:t>
      </w:r>
      <w:r w:rsidRPr="009978E3">
        <w:rPr>
          <w:i/>
          <w:sz w:val="22"/>
          <w:szCs w:val="22"/>
          <w:lang w:val="en-US"/>
        </w:rPr>
        <w:t>InterRidge News</w:t>
      </w:r>
      <w:r w:rsidRPr="009978E3">
        <w:rPr>
          <w:sz w:val="22"/>
          <w:szCs w:val="22"/>
          <w:lang w:val="en-US"/>
        </w:rPr>
        <w:t>, 3(2): 14-17.</w:t>
      </w:r>
    </w:p>
    <w:p w14:paraId="4B36ABF0" w14:textId="77777777" w:rsidR="006B3F46" w:rsidRPr="009978E3" w:rsidRDefault="006B3F46" w:rsidP="00907941">
      <w:pPr>
        <w:ind w:left="708" w:hanging="708"/>
        <w:jc w:val="both"/>
        <w:rPr>
          <w:sz w:val="22"/>
          <w:szCs w:val="22"/>
        </w:rPr>
      </w:pPr>
      <w:r w:rsidRPr="009978E3">
        <w:rPr>
          <w:sz w:val="22"/>
          <w:szCs w:val="22"/>
          <w:lang w:val="en-US"/>
        </w:rPr>
        <w:t>Fouquet, Y., Charlou, J., Ondreas, H., Knoery, J., Donval, J., Douville, E., Apprioual, R., Cambon, P., Pelle, H., Landure, J., Normand, A., Ponsevera, E., German, C., Parson, L., Barriga, F., Costa, I., Relvas, J. &amp; Ribeiro, A. (1997) Discovery and first submersible investigations on the Rainbow hydrothermal field on the MAR (36</w:t>
      </w:r>
      <w:r w:rsidRPr="009978E3">
        <w:rPr>
          <w:rFonts w:eastAsia="MS Mincho"/>
          <w:sz w:val="22"/>
          <w:szCs w:val="22"/>
          <w:lang w:val="en-US"/>
        </w:rPr>
        <w:t>ᵒ</w:t>
      </w:r>
      <w:r w:rsidRPr="009978E3">
        <w:rPr>
          <w:sz w:val="22"/>
          <w:szCs w:val="22"/>
          <w:lang w:val="en-US"/>
        </w:rPr>
        <w:t xml:space="preserve">14’N). </w:t>
      </w:r>
      <w:r w:rsidRPr="009978E3">
        <w:rPr>
          <w:i/>
          <w:sz w:val="22"/>
          <w:szCs w:val="22"/>
          <w:lang w:val="en-US"/>
        </w:rPr>
        <w:t>Eos, Transactions, American Geophysical Union</w:t>
      </w:r>
      <w:r w:rsidRPr="009978E3">
        <w:rPr>
          <w:sz w:val="22"/>
          <w:szCs w:val="22"/>
          <w:lang w:val="en-US"/>
        </w:rPr>
        <w:t>,</w:t>
      </w:r>
      <w:r w:rsidRPr="009978E3">
        <w:rPr>
          <w:sz w:val="22"/>
          <w:szCs w:val="22"/>
        </w:rPr>
        <w:t xml:space="preserve"> 78: 832.</w:t>
      </w:r>
    </w:p>
    <w:p w14:paraId="0B6F035D" w14:textId="77777777" w:rsidR="006B3F46" w:rsidRPr="009978E3" w:rsidRDefault="006B3F46" w:rsidP="00907941">
      <w:pPr>
        <w:ind w:left="709" w:hanging="709"/>
        <w:jc w:val="both"/>
        <w:rPr>
          <w:sz w:val="22"/>
          <w:szCs w:val="22"/>
          <w:lang w:val="pt-PT"/>
        </w:rPr>
      </w:pPr>
      <w:r w:rsidRPr="009978E3">
        <w:rPr>
          <w:sz w:val="22"/>
          <w:szCs w:val="22"/>
          <w:lang w:val="en-US"/>
        </w:rPr>
        <w:t xml:space="preserve">Fouquet, Y., Charlou, J., Onréas, H., Radford-Knoery, J., Cambon, P., Barriga, F., Costa, I., Relvas, J., Ribeiro, A., German, C. &amp; Parson, L. (2000). Hydrothermal processes in oceanic ultramafic environments: the Rainbow hydrothermal sulfide deposit. </w:t>
      </w:r>
      <w:r w:rsidRPr="009978E3">
        <w:rPr>
          <w:i/>
          <w:sz w:val="22"/>
          <w:szCs w:val="22"/>
          <w:lang w:val="pt-PT"/>
        </w:rPr>
        <w:t>31</w:t>
      </w:r>
      <w:r w:rsidRPr="009978E3">
        <w:rPr>
          <w:i/>
          <w:sz w:val="22"/>
          <w:szCs w:val="22"/>
          <w:vertAlign w:val="superscript"/>
          <w:lang w:val="pt-PT"/>
        </w:rPr>
        <w:t>st</w:t>
      </w:r>
      <w:r w:rsidRPr="009978E3">
        <w:rPr>
          <w:i/>
          <w:sz w:val="22"/>
          <w:szCs w:val="22"/>
          <w:lang w:val="pt-PT"/>
        </w:rPr>
        <w:t xml:space="preserve"> International Geological Congress</w:t>
      </w:r>
      <w:r w:rsidRPr="009978E3">
        <w:rPr>
          <w:sz w:val="22"/>
          <w:szCs w:val="22"/>
          <w:lang w:val="pt-PT"/>
        </w:rPr>
        <w:t>, Rio de Janeiro.</w:t>
      </w:r>
    </w:p>
    <w:p w14:paraId="3CE0ACD9" w14:textId="77777777" w:rsidR="006B3F46" w:rsidRPr="009978E3" w:rsidRDefault="006B3F46" w:rsidP="00907941">
      <w:pPr>
        <w:ind w:left="708" w:hanging="708"/>
        <w:jc w:val="both"/>
        <w:rPr>
          <w:sz w:val="22"/>
          <w:szCs w:val="22"/>
          <w:lang w:val="pt-PT"/>
        </w:rPr>
      </w:pPr>
      <w:r w:rsidRPr="009978E3">
        <w:rPr>
          <w:sz w:val="22"/>
          <w:szCs w:val="22"/>
          <w:lang w:val="pt-PT"/>
        </w:rPr>
        <w:t xml:space="preserve">Fouquet, Y., Eissen, J., Ondréas, H., Barriga, F., Batiza, R. &amp; Danyushevsky, L. (1999). </w:t>
      </w:r>
      <w:r w:rsidRPr="009978E3">
        <w:rPr>
          <w:sz w:val="22"/>
          <w:szCs w:val="22"/>
          <w:lang w:val="en-US"/>
        </w:rPr>
        <w:t xml:space="preserve">Extensive volcanoclastic deposits at the Mid-Atlantic Ridge axis: results of deep-water basaltic explosive volcanic activity? </w:t>
      </w:r>
      <w:r w:rsidRPr="009978E3">
        <w:rPr>
          <w:i/>
          <w:sz w:val="22"/>
          <w:szCs w:val="22"/>
          <w:lang w:val="pt-PT"/>
        </w:rPr>
        <w:t>Terra Nova</w:t>
      </w:r>
      <w:r w:rsidRPr="009978E3">
        <w:rPr>
          <w:sz w:val="22"/>
          <w:szCs w:val="22"/>
          <w:lang w:val="pt-PT"/>
        </w:rPr>
        <w:t>, 10: 280–286</w:t>
      </w:r>
    </w:p>
    <w:p w14:paraId="1253E52A" w14:textId="77777777" w:rsidR="006B3F46" w:rsidRPr="009978E3" w:rsidRDefault="006B3F46" w:rsidP="00907941">
      <w:pPr>
        <w:ind w:left="708" w:hanging="708"/>
        <w:jc w:val="both"/>
        <w:rPr>
          <w:sz w:val="22"/>
          <w:szCs w:val="22"/>
          <w:lang w:val="en-US"/>
        </w:rPr>
      </w:pPr>
      <w:r w:rsidRPr="009978E3">
        <w:rPr>
          <w:sz w:val="22"/>
          <w:szCs w:val="22"/>
          <w:lang w:val="pt-PT"/>
        </w:rPr>
        <w:t xml:space="preserve">Fouquet, Y., Ondreas, H., Charlou, J., Donval, J., Radford-Knoery, J., Lourenco, N. &amp; Tivey, M. (1995). </w:t>
      </w:r>
      <w:r w:rsidRPr="009978E3">
        <w:rPr>
          <w:sz w:val="22"/>
          <w:szCs w:val="22"/>
          <w:lang w:val="en-US"/>
        </w:rPr>
        <w:t xml:space="preserve">Atlantic Lava Lakes and Hot Vents. </w:t>
      </w:r>
      <w:r w:rsidRPr="009978E3">
        <w:rPr>
          <w:i/>
          <w:sz w:val="22"/>
          <w:szCs w:val="22"/>
          <w:lang w:val="en-US"/>
        </w:rPr>
        <w:t>Nature</w:t>
      </w:r>
      <w:r w:rsidRPr="009978E3">
        <w:rPr>
          <w:sz w:val="22"/>
          <w:szCs w:val="22"/>
          <w:lang w:val="en-US"/>
        </w:rPr>
        <w:t>. 377: 201.</w:t>
      </w:r>
    </w:p>
    <w:p w14:paraId="378B380D" w14:textId="77777777" w:rsidR="006B3F46" w:rsidRPr="009978E3" w:rsidRDefault="006B3F46" w:rsidP="00907941">
      <w:pPr>
        <w:ind w:left="708" w:hanging="708"/>
        <w:jc w:val="both"/>
        <w:rPr>
          <w:sz w:val="22"/>
          <w:szCs w:val="22"/>
          <w:lang w:val="en-US"/>
        </w:rPr>
      </w:pPr>
      <w:r w:rsidRPr="009978E3">
        <w:rPr>
          <w:sz w:val="22"/>
          <w:szCs w:val="22"/>
          <w:lang w:val="en-US"/>
        </w:rPr>
        <w:t>Fustec, A., Desbruyères, D. &amp; Juniper, S. (1987). Deep-sea hydrothermal vent communities at 13</w:t>
      </w:r>
      <w:r w:rsidRPr="009978E3">
        <w:rPr>
          <w:rFonts w:eastAsia="MS Mincho"/>
          <w:sz w:val="22"/>
          <w:szCs w:val="22"/>
          <w:lang w:val="en-US"/>
        </w:rPr>
        <w:t xml:space="preserve">ᵒ </w:t>
      </w:r>
      <w:r w:rsidRPr="009978E3">
        <w:rPr>
          <w:sz w:val="22"/>
          <w:szCs w:val="22"/>
          <w:lang w:val="en-US"/>
        </w:rPr>
        <w:t xml:space="preserve">N on the East Pacific Rise: microdistribution and temporal variations. </w:t>
      </w:r>
      <w:r w:rsidRPr="009978E3">
        <w:rPr>
          <w:i/>
          <w:sz w:val="22"/>
          <w:szCs w:val="22"/>
          <w:lang w:val="en-US"/>
        </w:rPr>
        <w:t>Biological Oceanography</w:t>
      </w:r>
      <w:r w:rsidRPr="009978E3">
        <w:rPr>
          <w:sz w:val="22"/>
          <w:szCs w:val="22"/>
          <w:lang w:val="en-US"/>
        </w:rPr>
        <w:t>, 4: 121–164.</w:t>
      </w:r>
    </w:p>
    <w:p w14:paraId="72F2229C" w14:textId="77777777" w:rsidR="006B3F46" w:rsidRPr="009978E3" w:rsidRDefault="006B3F46" w:rsidP="00907941">
      <w:pPr>
        <w:ind w:left="708" w:hanging="708"/>
        <w:jc w:val="both"/>
        <w:rPr>
          <w:sz w:val="22"/>
          <w:szCs w:val="22"/>
          <w:lang w:val="en-US"/>
        </w:rPr>
      </w:pPr>
      <w:r w:rsidRPr="009978E3">
        <w:rPr>
          <w:sz w:val="22"/>
          <w:szCs w:val="22"/>
          <w:lang w:val="en-US"/>
        </w:rPr>
        <w:t xml:space="preserve">German, C. &amp; Parson, L. (1998). Distributions of hydrothermal activity along the Mid-Atlantic Ridge interplay of magmatic and tectonic controls. </w:t>
      </w:r>
      <w:r w:rsidRPr="009978E3">
        <w:rPr>
          <w:i/>
          <w:sz w:val="22"/>
          <w:szCs w:val="22"/>
          <w:lang w:val="en-US"/>
        </w:rPr>
        <w:t>Earth and Planetary Science Letters</w:t>
      </w:r>
      <w:r w:rsidRPr="009978E3">
        <w:rPr>
          <w:sz w:val="22"/>
          <w:szCs w:val="22"/>
          <w:lang w:val="en-US"/>
        </w:rPr>
        <w:t>, 160: 327-341.</w:t>
      </w:r>
    </w:p>
    <w:p w14:paraId="4E26BD59" w14:textId="77777777" w:rsidR="006B3F46" w:rsidRPr="009978E3" w:rsidRDefault="006B3F46" w:rsidP="00907941">
      <w:pPr>
        <w:ind w:left="708" w:hanging="708"/>
        <w:jc w:val="both"/>
        <w:rPr>
          <w:sz w:val="22"/>
          <w:szCs w:val="22"/>
          <w:lang w:val="en-US"/>
        </w:rPr>
      </w:pPr>
      <w:r w:rsidRPr="009978E3">
        <w:rPr>
          <w:sz w:val="22"/>
          <w:szCs w:val="22"/>
          <w:lang w:val="en-US"/>
        </w:rPr>
        <w:t xml:space="preserve">German, C., Klinkhamme, G. &amp; Rudnicki, M. (1996a). The Rainbow hydrothermal plume, 36° 15’N. </w:t>
      </w:r>
      <w:r w:rsidRPr="009978E3">
        <w:rPr>
          <w:i/>
          <w:sz w:val="22"/>
          <w:szCs w:val="22"/>
          <w:lang w:val="en-US"/>
        </w:rPr>
        <w:t>MAR Geophysical Research Letters</w:t>
      </w:r>
      <w:r w:rsidRPr="009978E3">
        <w:rPr>
          <w:sz w:val="22"/>
          <w:szCs w:val="22"/>
          <w:lang w:val="en-US"/>
        </w:rPr>
        <w:t>, 23: 2979-2982.</w:t>
      </w:r>
    </w:p>
    <w:p w14:paraId="3F3AD0C8" w14:textId="77777777" w:rsidR="006B3F46" w:rsidRPr="009978E3" w:rsidRDefault="006B3F46" w:rsidP="00907941">
      <w:pPr>
        <w:ind w:left="708" w:hanging="708"/>
        <w:jc w:val="both"/>
        <w:rPr>
          <w:sz w:val="22"/>
          <w:szCs w:val="22"/>
          <w:lang w:val="en-US"/>
        </w:rPr>
      </w:pPr>
      <w:r w:rsidRPr="009978E3">
        <w:rPr>
          <w:sz w:val="22"/>
          <w:szCs w:val="22"/>
        </w:rPr>
        <w:t xml:space="preserve">German, C., Legendre, L., Sander, S., Niquil, N., Luther, G., Bharati, L., Han, X. &amp; Le Bris, N. (2015). </w:t>
      </w:r>
      <w:r w:rsidRPr="009978E3">
        <w:rPr>
          <w:sz w:val="22"/>
          <w:szCs w:val="22"/>
          <w:lang w:val="en-US"/>
        </w:rPr>
        <w:t xml:space="preserve">Hydrothermal Fe cycling and deep ocean organic carbon scavenging: Model-based evidence for significant POC supply to seafloor sediments. </w:t>
      </w:r>
      <w:r w:rsidRPr="009978E3">
        <w:rPr>
          <w:i/>
          <w:sz w:val="22"/>
          <w:szCs w:val="22"/>
          <w:lang w:val="en-US"/>
        </w:rPr>
        <w:t>Earth and Planetary Science Letters</w:t>
      </w:r>
      <w:r w:rsidRPr="009978E3">
        <w:rPr>
          <w:sz w:val="22"/>
          <w:szCs w:val="22"/>
          <w:lang w:val="en-US"/>
        </w:rPr>
        <w:t>, 419: 143–153.</w:t>
      </w:r>
    </w:p>
    <w:p w14:paraId="4E684D24" w14:textId="77777777" w:rsidR="006B3F46" w:rsidRPr="009978E3" w:rsidRDefault="006B3F46" w:rsidP="00907941">
      <w:pPr>
        <w:ind w:left="708" w:hanging="708"/>
        <w:jc w:val="both"/>
        <w:rPr>
          <w:sz w:val="22"/>
          <w:szCs w:val="22"/>
          <w:lang w:val="en-US"/>
        </w:rPr>
      </w:pPr>
      <w:r w:rsidRPr="009978E3">
        <w:rPr>
          <w:sz w:val="22"/>
          <w:szCs w:val="22"/>
          <w:lang w:val="en-US"/>
        </w:rPr>
        <w:t xml:space="preserve">German, C., Parson, L., Bougault, H., Coller, D., Critchley, M., Dapoigny, A., Day, C., Eardley, D., Fearn, A., Flewellen, C., Kirk, R., Klinkhammer, G., Landure, J., Ludford, E., Miranda, M., Needham, H., Patching, J., Pearce, R., Pelle, H., Radford-Knoery, J., Rouse, I., Scott, J., Stoffregen, P., Taylor, P., Teare, D. &amp; Wynar, J. (1996b) Hydrothermal exploration near the Azores Triple-Junction: Tectonic control of venting at slow-spreading ridges? </w:t>
      </w:r>
      <w:r w:rsidRPr="009978E3">
        <w:rPr>
          <w:i/>
          <w:sz w:val="22"/>
          <w:szCs w:val="22"/>
          <w:lang w:val="en-US"/>
        </w:rPr>
        <w:t>Earth and Planetary Science Letters</w:t>
      </w:r>
      <w:r w:rsidRPr="009978E3">
        <w:rPr>
          <w:sz w:val="22"/>
          <w:szCs w:val="22"/>
          <w:lang w:val="en-US"/>
        </w:rPr>
        <w:t xml:space="preserve"> 138(1-4): 93-104.</w:t>
      </w:r>
    </w:p>
    <w:p w14:paraId="126438AB" w14:textId="77777777" w:rsidR="006B3F46" w:rsidRPr="009978E3" w:rsidRDefault="006B3F46" w:rsidP="00907941">
      <w:pPr>
        <w:ind w:left="708" w:hanging="708"/>
        <w:jc w:val="both"/>
        <w:rPr>
          <w:sz w:val="22"/>
          <w:szCs w:val="22"/>
          <w:lang w:val="en-US"/>
        </w:rPr>
      </w:pPr>
      <w:r w:rsidRPr="009978E3">
        <w:rPr>
          <w:sz w:val="22"/>
          <w:szCs w:val="22"/>
          <w:lang w:val="en-US"/>
        </w:rPr>
        <w:t xml:space="preserve">German, C., Richards, K., Rudnicki, M., Lam, M., Charlou, J. &amp; Party, F. (1998). Topographic control of a dispersing hydrothermal plume. </w:t>
      </w:r>
      <w:r w:rsidRPr="009978E3">
        <w:rPr>
          <w:i/>
          <w:sz w:val="22"/>
          <w:szCs w:val="22"/>
          <w:lang w:val="en-US"/>
        </w:rPr>
        <w:t>Earth and Planetary Science Letters</w:t>
      </w:r>
      <w:r w:rsidRPr="009978E3">
        <w:rPr>
          <w:sz w:val="22"/>
          <w:szCs w:val="22"/>
          <w:lang w:val="en-US"/>
        </w:rPr>
        <w:t>, 156(3-4): 267-273.</w:t>
      </w:r>
    </w:p>
    <w:p w14:paraId="29DEC2C0" w14:textId="77777777" w:rsidR="006B3F46" w:rsidRPr="009978E3" w:rsidRDefault="006B3F46" w:rsidP="00907941">
      <w:pPr>
        <w:ind w:left="708" w:hanging="708"/>
        <w:jc w:val="both"/>
        <w:rPr>
          <w:sz w:val="22"/>
          <w:szCs w:val="22"/>
          <w:lang w:val="en-US"/>
        </w:rPr>
      </w:pPr>
      <w:r w:rsidRPr="009978E3">
        <w:rPr>
          <w:sz w:val="22"/>
          <w:szCs w:val="22"/>
          <w:lang w:val="en-US"/>
        </w:rPr>
        <w:t xml:space="preserve">German, C., Rudnicki, M. &amp; Klinkhammer, G. (1999). A segment-scale survey of the Broken Spur hydrothermal plume. </w:t>
      </w:r>
      <w:r w:rsidRPr="009978E3">
        <w:rPr>
          <w:i/>
          <w:sz w:val="22"/>
          <w:szCs w:val="22"/>
          <w:lang w:val="en-US"/>
        </w:rPr>
        <w:t>Deep Sea Research Part I: Oceanographic Research Papers</w:t>
      </w:r>
      <w:r w:rsidRPr="009978E3">
        <w:rPr>
          <w:sz w:val="22"/>
          <w:szCs w:val="22"/>
          <w:lang w:val="en-US"/>
        </w:rPr>
        <w:t>, 46(4): 701-714.</w:t>
      </w:r>
    </w:p>
    <w:p w14:paraId="61E2164A" w14:textId="77777777" w:rsidR="006B3F46" w:rsidRPr="009978E3" w:rsidRDefault="006B3F46" w:rsidP="00907941">
      <w:pPr>
        <w:ind w:left="708" w:hanging="708"/>
        <w:jc w:val="both"/>
        <w:rPr>
          <w:sz w:val="22"/>
          <w:szCs w:val="22"/>
          <w:lang w:val="en-US"/>
        </w:rPr>
      </w:pPr>
      <w:r w:rsidRPr="009978E3">
        <w:rPr>
          <w:sz w:val="22"/>
          <w:szCs w:val="22"/>
          <w:lang w:val="en-US"/>
        </w:rPr>
        <w:t xml:space="preserve">Gold, T. (2013). </w:t>
      </w:r>
      <w:r w:rsidRPr="009978E3">
        <w:rPr>
          <w:i/>
          <w:sz w:val="22"/>
          <w:szCs w:val="22"/>
          <w:lang w:val="en-US"/>
        </w:rPr>
        <w:t>The deep hot biosphere: the myth of fossil fuels</w:t>
      </w:r>
      <w:r w:rsidRPr="009978E3">
        <w:rPr>
          <w:sz w:val="22"/>
          <w:szCs w:val="22"/>
          <w:lang w:val="en-US"/>
        </w:rPr>
        <w:t>. Springer Science &amp; Business Media.</w:t>
      </w:r>
    </w:p>
    <w:p w14:paraId="397E0D38" w14:textId="77777777" w:rsidR="006B3F46" w:rsidRPr="009978E3" w:rsidRDefault="006B3F46" w:rsidP="00907941">
      <w:pPr>
        <w:ind w:left="708" w:hanging="708"/>
        <w:jc w:val="both"/>
        <w:rPr>
          <w:sz w:val="22"/>
          <w:szCs w:val="22"/>
          <w:lang w:val="en-US"/>
        </w:rPr>
      </w:pPr>
      <w:r w:rsidRPr="009978E3">
        <w:rPr>
          <w:sz w:val="22"/>
          <w:szCs w:val="22"/>
          <w:lang w:val="en-US"/>
        </w:rPr>
        <w:t>Gràcia, E., Charlou, J., Radford-Knoery, J. &amp; Parson, L. (2000). Non-transform offs</w:t>
      </w:r>
      <w:r w:rsidRPr="0006066A">
        <w:rPr>
          <w:i/>
          <w:sz w:val="22"/>
          <w:szCs w:val="22"/>
          <w:lang w:val="en-US"/>
        </w:rPr>
        <w:t>et al</w:t>
      </w:r>
      <w:r w:rsidRPr="009978E3">
        <w:rPr>
          <w:sz w:val="22"/>
          <w:szCs w:val="22"/>
          <w:lang w:val="en-US"/>
        </w:rPr>
        <w:t>ong the Mid-Atlantic ridge south of the Azores (38</w:t>
      </w:r>
      <w:r w:rsidRPr="009978E3">
        <w:rPr>
          <w:rFonts w:eastAsia="MS Mincho"/>
          <w:sz w:val="22"/>
          <w:szCs w:val="22"/>
          <w:lang w:val="en-US"/>
        </w:rPr>
        <w:t xml:space="preserve">ᵒ </w:t>
      </w:r>
      <w:r w:rsidRPr="009978E3">
        <w:rPr>
          <w:sz w:val="22"/>
          <w:szCs w:val="22"/>
          <w:lang w:val="en-US"/>
        </w:rPr>
        <w:t>N–34</w:t>
      </w:r>
      <w:r w:rsidRPr="009978E3">
        <w:rPr>
          <w:rFonts w:eastAsia="MS Mincho"/>
          <w:sz w:val="22"/>
          <w:szCs w:val="22"/>
          <w:lang w:val="en-US"/>
        </w:rPr>
        <w:t xml:space="preserve">ᵒ </w:t>
      </w:r>
      <w:r w:rsidRPr="009978E3">
        <w:rPr>
          <w:sz w:val="22"/>
          <w:szCs w:val="22"/>
          <w:lang w:val="en-US"/>
        </w:rPr>
        <w:t xml:space="preserve">N): Ultramafic exposures and hosting of hydrothermal vents. </w:t>
      </w:r>
      <w:r w:rsidRPr="009978E3">
        <w:rPr>
          <w:i/>
          <w:sz w:val="22"/>
          <w:szCs w:val="22"/>
          <w:lang w:val="en-US"/>
        </w:rPr>
        <w:t>Earth and Planetary Science Letters</w:t>
      </w:r>
      <w:r w:rsidRPr="009978E3">
        <w:rPr>
          <w:sz w:val="22"/>
          <w:szCs w:val="22"/>
          <w:lang w:val="en-US"/>
        </w:rPr>
        <w:t>, 177: 89–103.</w:t>
      </w:r>
    </w:p>
    <w:p w14:paraId="33CDEC3F" w14:textId="77777777" w:rsidR="006B3F46" w:rsidRPr="009978E3" w:rsidRDefault="006B3F46" w:rsidP="00907941">
      <w:pPr>
        <w:ind w:left="708" w:hanging="708"/>
        <w:jc w:val="both"/>
        <w:rPr>
          <w:sz w:val="22"/>
          <w:szCs w:val="22"/>
          <w:lang w:val="en-US"/>
        </w:rPr>
      </w:pPr>
      <w:r w:rsidRPr="009978E3">
        <w:rPr>
          <w:sz w:val="22"/>
          <w:szCs w:val="22"/>
          <w:lang w:val="en-US"/>
        </w:rPr>
        <w:t xml:space="preserve">Hannington, M., Jonasson, I., Herzig, P. &amp; Petersen, S. (1995) </w:t>
      </w:r>
      <w:r w:rsidRPr="009978E3">
        <w:rPr>
          <w:i/>
          <w:sz w:val="22"/>
          <w:szCs w:val="22"/>
          <w:lang w:val="en-US"/>
        </w:rPr>
        <w:t>Physical and chemical processes of seafloor mineralization at mid-ocean ridges</w:t>
      </w:r>
      <w:r w:rsidRPr="009978E3">
        <w:rPr>
          <w:sz w:val="22"/>
          <w:szCs w:val="22"/>
          <w:lang w:val="en-US"/>
        </w:rPr>
        <w:t>. In: Humphris SE, Zierenberg RA, Mullineaux LS, Thomson RE, eds. Seafloor hydrothermal systems: physical, chemical, biological, and geological Interactions. Geophysical Monograph 91: 115–157.</w:t>
      </w:r>
    </w:p>
    <w:p w14:paraId="7DECEAA0" w14:textId="77777777" w:rsidR="006B3F46" w:rsidRPr="009978E3" w:rsidRDefault="006B3F46" w:rsidP="00907941">
      <w:pPr>
        <w:ind w:left="708" w:hanging="708"/>
        <w:jc w:val="both"/>
        <w:rPr>
          <w:sz w:val="22"/>
          <w:szCs w:val="22"/>
          <w:lang w:val="en-US"/>
        </w:rPr>
      </w:pPr>
      <w:r w:rsidRPr="009978E3">
        <w:rPr>
          <w:sz w:val="22"/>
          <w:szCs w:val="22"/>
          <w:lang w:val="en-US"/>
        </w:rPr>
        <w:t xml:space="preserve">Hawkes, J., Connelly, D., Gledhill, M. &amp; Achterberg, E. (2013). The stabilization and transportation of dissolved iron from high temperature hydrothermal vent systems. </w:t>
      </w:r>
      <w:r w:rsidRPr="009978E3">
        <w:rPr>
          <w:i/>
          <w:sz w:val="22"/>
          <w:szCs w:val="22"/>
          <w:lang w:val="en-US"/>
        </w:rPr>
        <w:t>Earth and Planetary Science Letters</w:t>
      </w:r>
      <w:r w:rsidRPr="009978E3">
        <w:rPr>
          <w:sz w:val="22"/>
          <w:szCs w:val="22"/>
          <w:lang w:val="en-US"/>
        </w:rPr>
        <w:t>, 375: 280–290.</w:t>
      </w:r>
    </w:p>
    <w:p w14:paraId="04F1EFBE" w14:textId="77777777" w:rsidR="006B3F46" w:rsidRPr="009978E3" w:rsidRDefault="006B3F46" w:rsidP="00907941">
      <w:pPr>
        <w:ind w:left="708" w:hanging="708"/>
        <w:jc w:val="both"/>
        <w:rPr>
          <w:sz w:val="22"/>
          <w:szCs w:val="22"/>
          <w:lang w:val="en-US"/>
        </w:rPr>
      </w:pPr>
      <w:r w:rsidRPr="009978E3">
        <w:rPr>
          <w:sz w:val="22"/>
          <w:szCs w:val="22"/>
          <w:lang w:val="en-US"/>
        </w:rPr>
        <w:t xml:space="preserve">Haymon, R., Koski R. &amp; Abrams M. (1989). Hydrothermal discharge zones beneath massive sulfide deposits mapped in the Oman ophiolite. </w:t>
      </w:r>
      <w:r w:rsidRPr="009978E3">
        <w:rPr>
          <w:i/>
          <w:sz w:val="22"/>
          <w:szCs w:val="22"/>
          <w:lang w:val="en-US"/>
        </w:rPr>
        <w:t>Geology</w:t>
      </w:r>
      <w:r w:rsidRPr="009978E3">
        <w:rPr>
          <w:sz w:val="22"/>
          <w:szCs w:val="22"/>
          <w:lang w:val="en-US"/>
        </w:rPr>
        <w:t>, 17(6): 531–535.</w:t>
      </w:r>
    </w:p>
    <w:p w14:paraId="508709FD" w14:textId="77777777" w:rsidR="006B3F46" w:rsidRPr="009978E3" w:rsidRDefault="006B3F46" w:rsidP="00907941">
      <w:pPr>
        <w:ind w:left="708" w:hanging="708"/>
        <w:jc w:val="both"/>
        <w:rPr>
          <w:sz w:val="22"/>
          <w:szCs w:val="22"/>
          <w:lang w:val="en-US"/>
        </w:rPr>
      </w:pPr>
      <w:r w:rsidRPr="009978E3">
        <w:rPr>
          <w:sz w:val="22"/>
          <w:szCs w:val="22"/>
          <w:lang w:val="en-US"/>
        </w:rPr>
        <w:t xml:space="preserve">Hein, J., Mizell, K., Koschinsky, A. &amp; Conrad, T. (2013). Deep-ocean mineral deposits as a source of critical metals for high- and green-technology applications: Comparison with land-based resources. </w:t>
      </w:r>
      <w:r w:rsidRPr="009978E3">
        <w:rPr>
          <w:i/>
          <w:sz w:val="22"/>
          <w:szCs w:val="22"/>
          <w:lang w:val="en-US"/>
        </w:rPr>
        <w:t>Ore Geology Reviews</w:t>
      </w:r>
      <w:r w:rsidRPr="009978E3">
        <w:rPr>
          <w:sz w:val="22"/>
          <w:szCs w:val="22"/>
          <w:lang w:val="en-US"/>
        </w:rPr>
        <w:t>, 51: 1-14.</w:t>
      </w:r>
    </w:p>
    <w:p w14:paraId="67971110"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Henry, L. A., &amp; Roberts, J. M. (2007). Biodiversity and ecological composition of macrobenthos on cold-water coral mounds and adjacent off-mound habitat in the bathyal Porcupine Seabight, NE Atlantic. </w:t>
      </w:r>
      <w:r w:rsidRPr="009978E3">
        <w:rPr>
          <w:rFonts w:ascii="Times New Roman" w:hAnsi="Times New Roman" w:cs="Times New Roman"/>
          <w:i/>
          <w:iCs/>
          <w:sz w:val="22"/>
          <w:szCs w:val="22"/>
        </w:rPr>
        <w:t>Deep Sea Research Part I: Oceanographic Research Papers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54</w:t>
      </w:r>
      <w:r w:rsidRPr="009978E3">
        <w:rPr>
          <w:rFonts w:ascii="Times New Roman" w:hAnsi="Times New Roman" w:cs="Times New Roman"/>
          <w:sz w:val="22"/>
          <w:szCs w:val="22"/>
        </w:rPr>
        <w:t>(4), 654-672.</w:t>
      </w:r>
    </w:p>
    <w:p w14:paraId="29769112"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Henry, L. A., &amp; Roberts, J. M. (2007). Biodiversity and ecological composition of macrobenthos on cold-water coral mounds and adjacent off-mound habitat in the bathyal Porcupine Seabight, NE Atlantic. </w:t>
      </w:r>
      <w:r w:rsidRPr="009978E3">
        <w:rPr>
          <w:rFonts w:ascii="Times New Roman" w:hAnsi="Times New Roman" w:cs="Times New Roman"/>
          <w:i/>
          <w:iCs/>
          <w:sz w:val="22"/>
          <w:szCs w:val="22"/>
        </w:rPr>
        <w:t>Deep Sea Research Part I: Oceanographic Research Papers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54</w:t>
      </w:r>
      <w:r w:rsidRPr="009978E3">
        <w:rPr>
          <w:rFonts w:ascii="Times New Roman" w:hAnsi="Times New Roman" w:cs="Times New Roman"/>
          <w:sz w:val="22"/>
          <w:szCs w:val="22"/>
        </w:rPr>
        <w:t>(4), 654-672.</w:t>
      </w:r>
    </w:p>
    <w:p w14:paraId="44A8157D" w14:textId="77777777" w:rsidR="006B3F46" w:rsidRPr="009978E3" w:rsidRDefault="006B3F46" w:rsidP="00907941">
      <w:pPr>
        <w:ind w:left="708" w:hanging="708"/>
        <w:jc w:val="both"/>
        <w:rPr>
          <w:sz w:val="22"/>
          <w:szCs w:val="22"/>
          <w:lang w:val="en-US"/>
        </w:rPr>
      </w:pPr>
      <w:r w:rsidRPr="009978E3">
        <w:rPr>
          <w:sz w:val="22"/>
          <w:szCs w:val="22"/>
          <w:lang w:val="en-US"/>
        </w:rPr>
        <w:t xml:space="preserve">Hessler, R., Smithey, W. &amp; Keller, C. (1985) </w:t>
      </w:r>
      <w:r w:rsidRPr="009978E3">
        <w:rPr>
          <w:i/>
          <w:sz w:val="22"/>
          <w:szCs w:val="22"/>
          <w:lang w:val="en-US"/>
        </w:rPr>
        <w:t>Spatial and temporal variation of giant clams, tubeworms and mussels at deep-sea hydrothermal vents</w:t>
      </w:r>
      <w:r w:rsidRPr="009978E3">
        <w:rPr>
          <w:sz w:val="22"/>
          <w:szCs w:val="22"/>
          <w:lang w:val="en-US"/>
        </w:rPr>
        <w:t>. In: Jones ML (ed) The hydrothermal vents of the eastern Pacific: an overview. Bulletin of the Biological Society of Washington, 6: 411–428.</w:t>
      </w:r>
    </w:p>
    <w:p w14:paraId="7F4D2DDB"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Hoffman, C. L., Nicholas, S. L., Ohnemus, D. C., Fitzsimmons, J. N., Sherrell, R. M., German, C. R., ... &amp; Toner, B. M. (2018). Near-field iron and carbon chemistry of non-buoyant hydrothermal plume particles, Southern East Pacific Rise 15° S. </w:t>
      </w:r>
      <w:r w:rsidRPr="009978E3">
        <w:rPr>
          <w:rFonts w:ascii="Times New Roman" w:hAnsi="Times New Roman" w:cs="Times New Roman"/>
          <w:i/>
          <w:iCs/>
          <w:sz w:val="22"/>
          <w:szCs w:val="22"/>
        </w:rPr>
        <w:t>Marine Chemistry</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201</w:t>
      </w:r>
      <w:r w:rsidRPr="009978E3">
        <w:rPr>
          <w:rFonts w:ascii="Times New Roman" w:hAnsi="Times New Roman" w:cs="Times New Roman"/>
          <w:sz w:val="22"/>
          <w:szCs w:val="22"/>
        </w:rPr>
        <w:t>, 183-197. doi: 10.1016/j.marchem.2018.01.011</w:t>
      </w:r>
    </w:p>
    <w:p w14:paraId="4EE51568" w14:textId="77777777" w:rsidR="006B3F46" w:rsidRPr="009978E3" w:rsidRDefault="006B3F46" w:rsidP="00907941">
      <w:pPr>
        <w:ind w:left="708" w:hanging="708"/>
        <w:jc w:val="both"/>
        <w:rPr>
          <w:sz w:val="22"/>
          <w:szCs w:val="22"/>
          <w:lang w:val="fr-FR"/>
        </w:rPr>
      </w:pPr>
      <w:r w:rsidRPr="009978E3">
        <w:rPr>
          <w:sz w:val="22"/>
          <w:szCs w:val="22"/>
          <w:lang w:val="en-US"/>
        </w:rPr>
        <w:t>Hourdez, S. &amp; Desbruyeres, D. (2003). A new species of scale-worm (Polychaeta: Polynoidae), Levensteiniella iris sp nov., from the Rainbow and Lucky Strike vent fields (Mid-Atlantic Ridge</w:t>
      </w:r>
      <w:r w:rsidRPr="009978E3">
        <w:rPr>
          <w:i/>
          <w:sz w:val="22"/>
          <w:szCs w:val="22"/>
          <w:lang w:val="en-US"/>
        </w:rPr>
        <w:t xml:space="preserve">). </w:t>
      </w:r>
      <w:r w:rsidRPr="009978E3">
        <w:rPr>
          <w:i/>
          <w:sz w:val="22"/>
          <w:szCs w:val="22"/>
          <w:lang w:val="fr-FR"/>
        </w:rPr>
        <w:t>Cahiers de Biologie Marine</w:t>
      </w:r>
      <w:r w:rsidRPr="009978E3">
        <w:rPr>
          <w:sz w:val="22"/>
          <w:szCs w:val="22"/>
          <w:lang w:val="fr-FR"/>
        </w:rPr>
        <w:t>, 44(1): 13-21.</w:t>
      </w:r>
    </w:p>
    <w:p w14:paraId="45731185" w14:textId="77777777" w:rsidR="006B3F46" w:rsidRPr="009978E3" w:rsidRDefault="006B3F46" w:rsidP="00907941">
      <w:pPr>
        <w:ind w:left="708" w:hanging="708"/>
        <w:jc w:val="both"/>
        <w:rPr>
          <w:sz w:val="22"/>
          <w:szCs w:val="22"/>
          <w:lang w:val="en-US"/>
        </w:rPr>
      </w:pPr>
      <w:r w:rsidRPr="009978E3">
        <w:rPr>
          <w:sz w:val="22"/>
          <w:szCs w:val="22"/>
          <w:lang w:val="fr-FR"/>
        </w:rPr>
        <w:t xml:space="preserve">Husson, B., Sarradin, P.-M., Zeppilli, D., Sarrazin, J., 2016. </w:t>
      </w:r>
      <w:r w:rsidRPr="009978E3">
        <w:rPr>
          <w:sz w:val="22"/>
          <w:szCs w:val="22"/>
          <w:lang w:val="en-US"/>
        </w:rPr>
        <w:t>Picturing thermal niches and biomass of hydrothermal vent species. Deep Sea Research Part II: Topical Studies in Oceanography.</w:t>
      </w:r>
    </w:p>
    <w:p w14:paraId="6A73F3E1" w14:textId="77777777" w:rsidR="006B3F46" w:rsidRPr="009978E3" w:rsidRDefault="006B3F46" w:rsidP="00907941">
      <w:pPr>
        <w:ind w:left="708" w:hanging="708"/>
        <w:jc w:val="both"/>
        <w:rPr>
          <w:sz w:val="22"/>
          <w:szCs w:val="22"/>
          <w:lang w:val="en-US"/>
        </w:rPr>
      </w:pPr>
      <w:r w:rsidRPr="009978E3">
        <w:rPr>
          <w:sz w:val="22"/>
          <w:szCs w:val="22"/>
          <w:lang w:val="en-US"/>
        </w:rPr>
        <w:t>Ivanenko, V. &amp; Defaye, D. (2004). A new and primitive genus and species of deep-sea Tegastidae (Crustacea, Copepoda, Harpacticoida) from the Mid-Atlantic Ridge, 37</w:t>
      </w:r>
      <w:r w:rsidRPr="009978E3">
        <w:rPr>
          <w:rFonts w:eastAsia="MS Mincho"/>
          <w:sz w:val="22"/>
          <w:szCs w:val="22"/>
          <w:lang w:val="en-US"/>
        </w:rPr>
        <w:t xml:space="preserve">ᵒ </w:t>
      </w:r>
      <w:r w:rsidRPr="009978E3">
        <w:rPr>
          <w:sz w:val="22"/>
          <w:szCs w:val="22"/>
          <w:lang w:val="en-US"/>
        </w:rPr>
        <w:t xml:space="preserve">N (Azores Triple Junction, Lucky Strike). </w:t>
      </w:r>
      <w:r w:rsidRPr="009978E3">
        <w:rPr>
          <w:i/>
          <w:sz w:val="22"/>
          <w:szCs w:val="22"/>
          <w:lang w:val="en-US"/>
        </w:rPr>
        <w:t>Cahiers de Biologie Marine</w:t>
      </w:r>
      <w:r w:rsidRPr="009978E3">
        <w:rPr>
          <w:sz w:val="22"/>
          <w:szCs w:val="22"/>
          <w:lang w:val="en-US"/>
        </w:rPr>
        <w:t>, 45(3): 255–268.</w:t>
      </w:r>
    </w:p>
    <w:p w14:paraId="7D5FF366" w14:textId="77777777" w:rsidR="006B3F46" w:rsidRPr="009978E3" w:rsidRDefault="006B3F46" w:rsidP="00907941">
      <w:pPr>
        <w:ind w:left="708" w:hanging="708"/>
        <w:jc w:val="both"/>
        <w:rPr>
          <w:sz w:val="22"/>
          <w:szCs w:val="22"/>
          <w:lang w:val="en-US"/>
        </w:rPr>
      </w:pPr>
      <w:r w:rsidRPr="009978E3">
        <w:rPr>
          <w:sz w:val="22"/>
          <w:szCs w:val="22"/>
          <w:lang w:val="en-US"/>
        </w:rPr>
        <w:t xml:space="preserve">Jean-Baptiste, P., Bougault, H., Vangriesheim, A., Charlou, J., Radford-Knoery, J., Fouquet, Y., Needham, D. &amp; German, C. (1998). Mantle </w:t>
      </w:r>
      <w:r w:rsidRPr="009978E3">
        <w:rPr>
          <w:sz w:val="22"/>
          <w:szCs w:val="22"/>
          <w:vertAlign w:val="superscript"/>
          <w:lang w:val="en-US"/>
        </w:rPr>
        <w:t>3</w:t>
      </w:r>
      <w:r w:rsidRPr="009978E3">
        <w:rPr>
          <w:sz w:val="22"/>
          <w:szCs w:val="22"/>
          <w:lang w:val="en-US"/>
        </w:rPr>
        <w:t xml:space="preserve">He in hydrothermal vents and plume of the Lucky Strike site (MAR 37°17’N) and associated geothermal heat flux. </w:t>
      </w:r>
      <w:r w:rsidRPr="009978E3">
        <w:rPr>
          <w:i/>
          <w:sz w:val="22"/>
          <w:szCs w:val="22"/>
          <w:lang w:val="en-US"/>
        </w:rPr>
        <w:t>Earth and Planetary Science Letters</w:t>
      </w:r>
      <w:r w:rsidRPr="009978E3">
        <w:rPr>
          <w:sz w:val="22"/>
          <w:szCs w:val="22"/>
          <w:lang w:val="en-US"/>
        </w:rPr>
        <w:t>, 157: 69– 77.</w:t>
      </w:r>
    </w:p>
    <w:p w14:paraId="65098923" w14:textId="77777777" w:rsidR="006B3F46" w:rsidRPr="009978E3" w:rsidRDefault="006B3F46" w:rsidP="00907941">
      <w:pPr>
        <w:ind w:left="708" w:hanging="708"/>
        <w:jc w:val="both"/>
        <w:rPr>
          <w:sz w:val="22"/>
          <w:szCs w:val="22"/>
          <w:lang w:val="en-US"/>
        </w:rPr>
      </w:pPr>
      <w:r w:rsidRPr="009978E3">
        <w:rPr>
          <w:sz w:val="22"/>
          <w:szCs w:val="22"/>
          <w:lang w:val="en-US"/>
        </w:rPr>
        <w:t xml:space="preserve">Kadko, D., Baross, J. &amp; Alt, J.C. (1995). The Magnitude and Global Implications of Hydrothermal Flux. </w:t>
      </w:r>
      <w:r w:rsidRPr="009978E3">
        <w:rPr>
          <w:i/>
          <w:sz w:val="22"/>
          <w:szCs w:val="22"/>
          <w:lang w:val="en-US"/>
        </w:rPr>
        <w:t>American Geophysical Union</w:t>
      </w:r>
      <w:r w:rsidRPr="009978E3">
        <w:rPr>
          <w:sz w:val="22"/>
          <w:szCs w:val="22"/>
          <w:lang w:val="en-US"/>
        </w:rPr>
        <w:t>, 91: 446-466.</w:t>
      </w:r>
    </w:p>
    <w:p w14:paraId="39DEF1EF" w14:textId="77777777" w:rsidR="006B3F46" w:rsidRPr="009978E3" w:rsidRDefault="006B3F46" w:rsidP="00907941">
      <w:pPr>
        <w:ind w:left="708" w:hanging="708"/>
        <w:jc w:val="both"/>
        <w:rPr>
          <w:sz w:val="22"/>
          <w:szCs w:val="22"/>
          <w:lang w:val="en-US"/>
        </w:rPr>
      </w:pPr>
      <w:r w:rsidRPr="009978E3">
        <w:rPr>
          <w:sz w:val="22"/>
          <w:szCs w:val="22"/>
          <w:lang w:val="en-US"/>
        </w:rPr>
        <w:t xml:space="preserve">Karl, D., Wirsen, C. &amp; Jannasch, H. (1980), Deep-sea primary production at the Galapagos hydrothermal vents. </w:t>
      </w:r>
      <w:r w:rsidRPr="009978E3">
        <w:rPr>
          <w:i/>
          <w:sz w:val="22"/>
          <w:szCs w:val="22"/>
          <w:lang w:val="en-US"/>
        </w:rPr>
        <w:t>Science</w:t>
      </w:r>
      <w:r w:rsidRPr="009978E3">
        <w:rPr>
          <w:sz w:val="22"/>
          <w:szCs w:val="22"/>
          <w:lang w:val="en-US"/>
        </w:rPr>
        <w:t xml:space="preserve"> 207: 1345–1347.</w:t>
      </w:r>
    </w:p>
    <w:p w14:paraId="38F43F15" w14:textId="77777777" w:rsidR="006B3F46" w:rsidRPr="009978E3" w:rsidRDefault="006B3F46" w:rsidP="00907941">
      <w:pPr>
        <w:ind w:left="708" w:hanging="708"/>
        <w:jc w:val="both"/>
        <w:rPr>
          <w:sz w:val="22"/>
          <w:szCs w:val="22"/>
          <w:lang w:val="en-US"/>
        </w:rPr>
      </w:pPr>
      <w:r w:rsidRPr="009978E3">
        <w:rPr>
          <w:sz w:val="22"/>
          <w:szCs w:val="22"/>
          <w:lang w:val="en-US"/>
        </w:rPr>
        <w:t xml:space="preserve">Kelley, D., Baross, J. &amp; Delaney, J. (2002). Volcanoes, Fluids, and Life at Mid-Ocean Ridge Spreading Centers. </w:t>
      </w:r>
      <w:r w:rsidRPr="009978E3">
        <w:rPr>
          <w:i/>
          <w:sz w:val="22"/>
          <w:szCs w:val="22"/>
          <w:lang w:val="en-US"/>
        </w:rPr>
        <w:t>Annual Review of Earth and Planetary Sciences</w:t>
      </w:r>
      <w:r w:rsidRPr="009978E3">
        <w:rPr>
          <w:sz w:val="22"/>
          <w:szCs w:val="22"/>
          <w:lang w:val="en-US"/>
        </w:rPr>
        <w:t xml:space="preserve">, 30(1): 385–491. </w:t>
      </w:r>
    </w:p>
    <w:p w14:paraId="0D24D9A1" w14:textId="77777777" w:rsidR="006B3F46" w:rsidRPr="009978E3" w:rsidRDefault="006B3F46" w:rsidP="00907941">
      <w:pPr>
        <w:ind w:left="708" w:hanging="708"/>
        <w:jc w:val="both"/>
        <w:rPr>
          <w:sz w:val="22"/>
          <w:szCs w:val="22"/>
          <w:lang w:val="en-US"/>
        </w:rPr>
      </w:pPr>
      <w:r w:rsidRPr="009978E3">
        <w:rPr>
          <w:sz w:val="22"/>
          <w:szCs w:val="22"/>
          <w:lang w:val="en-US"/>
        </w:rPr>
        <w:t xml:space="preserve">Kelley, D., Karson, J., Früh-Green, G., Yoerger, D., Shank, T., Butterfield, D., Hayes, J., Schrenk, M., Olson, E., Proskurowski, G., Jakuba, M., Bradley, A., Larson, B., Ludwig, K., Glickson, D., Buckman, K., Bradley, A., Brazelton, W., Roe, K., Elend, M., Delacour, A., Bernasconi, S., Lilley, M., Baross, J., Summons, R. &amp; Sylva, S. (2005). A serpentinite-hosted ecosystem: the Lost City hydrothermal field. </w:t>
      </w:r>
      <w:r w:rsidRPr="009978E3">
        <w:rPr>
          <w:i/>
          <w:sz w:val="22"/>
          <w:szCs w:val="22"/>
          <w:lang w:val="en-US"/>
        </w:rPr>
        <w:t>Science</w:t>
      </w:r>
      <w:r w:rsidRPr="009978E3">
        <w:rPr>
          <w:sz w:val="22"/>
          <w:szCs w:val="22"/>
          <w:lang w:val="en-US"/>
        </w:rPr>
        <w:t xml:space="preserve">, 307(5714): 1428-1434. </w:t>
      </w:r>
    </w:p>
    <w:p w14:paraId="59BDB686" w14:textId="77777777" w:rsidR="006B3F46" w:rsidRPr="009978E3" w:rsidRDefault="006B3F46" w:rsidP="00907941">
      <w:pPr>
        <w:ind w:left="708" w:hanging="708"/>
        <w:jc w:val="both"/>
        <w:rPr>
          <w:sz w:val="22"/>
          <w:szCs w:val="22"/>
          <w:lang w:val="en-US"/>
        </w:rPr>
      </w:pPr>
      <w:r w:rsidRPr="009978E3">
        <w:rPr>
          <w:sz w:val="22"/>
          <w:szCs w:val="22"/>
          <w:lang w:val="en-US"/>
        </w:rPr>
        <w:t xml:space="preserve">Komai, T. &amp; Chan, T. (2010). A new genus and two new species of alvinocaridid shrimps (Crustacea: Decapoda: Caridea) from a hydrothermal vent field off northeastern Taiwan. </w:t>
      </w:r>
      <w:r w:rsidRPr="009978E3">
        <w:rPr>
          <w:i/>
          <w:sz w:val="22"/>
          <w:szCs w:val="22"/>
          <w:lang w:val="en-US"/>
        </w:rPr>
        <w:t>Zootaxa</w:t>
      </w:r>
      <w:r w:rsidRPr="009978E3">
        <w:rPr>
          <w:sz w:val="22"/>
          <w:szCs w:val="22"/>
          <w:lang w:val="en-US"/>
        </w:rPr>
        <w:t>, 2372: 15–32.</w:t>
      </w:r>
    </w:p>
    <w:p w14:paraId="5E1025FE" w14:textId="77777777" w:rsidR="006B3F46" w:rsidRPr="009978E3" w:rsidRDefault="006B3F46" w:rsidP="00907941">
      <w:pPr>
        <w:ind w:left="708" w:hanging="708"/>
        <w:jc w:val="both"/>
        <w:rPr>
          <w:sz w:val="22"/>
          <w:szCs w:val="22"/>
          <w:lang w:val="en-US"/>
        </w:rPr>
      </w:pPr>
      <w:r w:rsidRPr="009978E3">
        <w:rPr>
          <w:sz w:val="22"/>
          <w:szCs w:val="22"/>
          <w:lang w:val="en-US"/>
        </w:rPr>
        <w:t xml:space="preserve">Komai, T. &amp; Segonzac, M. (2005). A revision of the genus </w:t>
      </w:r>
      <w:r w:rsidRPr="009978E3">
        <w:rPr>
          <w:i/>
          <w:sz w:val="22"/>
          <w:szCs w:val="22"/>
          <w:lang w:val="en-US"/>
        </w:rPr>
        <w:t>Alvinocaris Williams</w:t>
      </w:r>
      <w:r w:rsidRPr="009978E3">
        <w:rPr>
          <w:sz w:val="22"/>
          <w:szCs w:val="22"/>
          <w:lang w:val="en-US"/>
        </w:rPr>
        <w:t xml:space="preserve"> and </w:t>
      </w:r>
      <w:r w:rsidRPr="009978E3">
        <w:rPr>
          <w:i/>
          <w:sz w:val="22"/>
          <w:szCs w:val="22"/>
          <w:lang w:val="en-US"/>
        </w:rPr>
        <w:t xml:space="preserve">Chace </w:t>
      </w:r>
      <w:r w:rsidRPr="009978E3">
        <w:rPr>
          <w:sz w:val="22"/>
          <w:szCs w:val="22"/>
          <w:lang w:val="en-US"/>
        </w:rPr>
        <w:t xml:space="preserve">(Crustacea: Decapoda: Caridea: Alvinocarididae), with descriptions of a new genus and a new species of Alvinocaris. </w:t>
      </w:r>
      <w:r w:rsidRPr="009978E3">
        <w:rPr>
          <w:i/>
          <w:sz w:val="22"/>
          <w:szCs w:val="22"/>
          <w:lang w:val="en-US"/>
        </w:rPr>
        <w:t>Journal of Natural History</w:t>
      </w:r>
      <w:r w:rsidRPr="009978E3">
        <w:rPr>
          <w:sz w:val="22"/>
          <w:szCs w:val="22"/>
          <w:lang w:val="en-US"/>
        </w:rPr>
        <w:t xml:space="preserve">, 39(778384750): 1111–1175. </w:t>
      </w:r>
    </w:p>
    <w:p w14:paraId="2C8E7005" w14:textId="77777777" w:rsidR="006B3F46" w:rsidRPr="009978E3" w:rsidRDefault="006B3F46" w:rsidP="00907941">
      <w:pPr>
        <w:ind w:left="708" w:hanging="708"/>
        <w:jc w:val="both"/>
        <w:rPr>
          <w:sz w:val="22"/>
          <w:szCs w:val="22"/>
          <w:lang w:val="en-US"/>
        </w:rPr>
      </w:pPr>
      <w:r w:rsidRPr="009978E3">
        <w:rPr>
          <w:sz w:val="22"/>
          <w:szCs w:val="22"/>
          <w:lang w:val="en-US"/>
        </w:rPr>
        <w:t xml:space="preserve">Konn, C., Charlou, J., Holm, N. &amp; Mousis, O. (2015). The production of methane, hydrogen, and organic compounds in ultramafic-hosted hydrothermal vents of the Mid-Atlantic Ridge. </w:t>
      </w:r>
      <w:r w:rsidRPr="009978E3">
        <w:rPr>
          <w:i/>
          <w:sz w:val="22"/>
          <w:szCs w:val="22"/>
          <w:lang w:val="en-US"/>
        </w:rPr>
        <w:t>Astrobiology</w:t>
      </w:r>
      <w:r w:rsidRPr="009978E3">
        <w:rPr>
          <w:sz w:val="22"/>
          <w:szCs w:val="22"/>
          <w:lang w:val="en-US"/>
        </w:rPr>
        <w:t>, 15(5): 381-399.</w:t>
      </w:r>
    </w:p>
    <w:p w14:paraId="6F6C351F"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Krautter, M., Conway, K. W., Barrie, J. V., &amp; Neuweiler, M. (2001). Discovery of a “living dinosaur”: globally unique modern hexactinellid sponge reefs off British Columbia, Canada. </w:t>
      </w:r>
      <w:r w:rsidRPr="009978E3">
        <w:rPr>
          <w:rFonts w:ascii="Times New Roman" w:hAnsi="Times New Roman" w:cs="Times New Roman"/>
          <w:i/>
          <w:iCs/>
          <w:sz w:val="22"/>
          <w:szCs w:val="22"/>
        </w:rPr>
        <w:t>Facies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44</w:t>
      </w:r>
      <w:r w:rsidRPr="009978E3">
        <w:rPr>
          <w:rFonts w:ascii="Times New Roman" w:hAnsi="Times New Roman" w:cs="Times New Roman"/>
          <w:sz w:val="22"/>
          <w:szCs w:val="22"/>
        </w:rPr>
        <w:t>(1), 265-282.</w:t>
      </w:r>
    </w:p>
    <w:p w14:paraId="253EE724" w14:textId="77777777" w:rsidR="006B3F46" w:rsidRPr="009978E3" w:rsidRDefault="006B3F46" w:rsidP="00907941">
      <w:pPr>
        <w:ind w:left="708" w:hanging="708"/>
        <w:jc w:val="both"/>
        <w:rPr>
          <w:sz w:val="22"/>
          <w:szCs w:val="22"/>
          <w:lang w:val="en-US"/>
        </w:rPr>
      </w:pPr>
      <w:r w:rsidRPr="009978E3">
        <w:rPr>
          <w:sz w:val="22"/>
          <w:szCs w:val="22"/>
          <w:lang w:val="en-US"/>
        </w:rPr>
        <w:t>Langmuir, C., Humphris, S., Fornari, D., Van Dover, C., Von Damm, K., Tivey, M., Colodner, D., Charlou, J., Desonie, D., Wilson, C., Fouquet, Y., Klinkhammer, G. &amp; Bougault, H. (1997). Hydrothermal vents near a mantle hot spot: the Lucky Strike vent field at 37</w:t>
      </w:r>
      <w:r w:rsidRPr="009978E3">
        <w:rPr>
          <w:rFonts w:eastAsia="MS Mincho"/>
          <w:sz w:val="22"/>
          <w:szCs w:val="22"/>
          <w:lang w:val="en-US"/>
        </w:rPr>
        <w:t xml:space="preserve">ᵒ </w:t>
      </w:r>
      <w:r w:rsidRPr="009978E3">
        <w:rPr>
          <w:sz w:val="22"/>
          <w:szCs w:val="22"/>
          <w:lang w:val="en-US"/>
        </w:rPr>
        <w:t xml:space="preserve">N on the Mid-Atlantic Ridge. </w:t>
      </w:r>
      <w:r w:rsidRPr="009978E3">
        <w:rPr>
          <w:i/>
          <w:sz w:val="22"/>
          <w:szCs w:val="22"/>
          <w:lang w:val="en-US"/>
        </w:rPr>
        <w:t>Earth and Planetary Science Letters</w:t>
      </w:r>
      <w:r w:rsidRPr="009978E3">
        <w:rPr>
          <w:sz w:val="22"/>
          <w:szCs w:val="22"/>
          <w:lang w:val="en-US"/>
        </w:rPr>
        <w:t xml:space="preserve">, 148(1-2): 69-91. </w:t>
      </w:r>
    </w:p>
    <w:p w14:paraId="793613BC" w14:textId="77777777" w:rsidR="006B3F46" w:rsidRPr="009978E3" w:rsidRDefault="006B3F46" w:rsidP="00907941">
      <w:pPr>
        <w:ind w:left="708" w:hanging="708"/>
        <w:jc w:val="both"/>
        <w:rPr>
          <w:sz w:val="22"/>
          <w:szCs w:val="22"/>
          <w:lang w:val="en-US"/>
        </w:rPr>
      </w:pPr>
      <w:r w:rsidRPr="009978E3">
        <w:rPr>
          <w:sz w:val="22"/>
          <w:szCs w:val="22"/>
          <w:lang w:val="en-US"/>
        </w:rPr>
        <w:t xml:space="preserve">Larsen, K., Błaźewicz-Paszkowycz, M. &amp; Cunha, M. (2006). Tanaidacean (Crustacea: Peracarida) fauna from chemically reduced habitats - The Lucky Strike hydrothermal vent system, Mid-Atlantic Ridge. </w:t>
      </w:r>
      <w:r w:rsidRPr="009978E3">
        <w:rPr>
          <w:i/>
          <w:sz w:val="22"/>
          <w:szCs w:val="22"/>
          <w:lang w:val="en-US"/>
        </w:rPr>
        <w:t>Zootaxa</w:t>
      </w:r>
      <w:r w:rsidRPr="009978E3">
        <w:rPr>
          <w:sz w:val="22"/>
          <w:szCs w:val="22"/>
          <w:lang w:val="en-US"/>
        </w:rPr>
        <w:t>, 36(1187): 1–36.</w:t>
      </w:r>
    </w:p>
    <w:p w14:paraId="2AA01453" w14:textId="77777777" w:rsidR="006B3F46" w:rsidRPr="009978E3" w:rsidRDefault="006B3F46" w:rsidP="00907941">
      <w:pPr>
        <w:ind w:left="708" w:hanging="708"/>
        <w:jc w:val="both"/>
        <w:rPr>
          <w:sz w:val="22"/>
          <w:szCs w:val="22"/>
          <w:lang w:val="en-US"/>
        </w:rPr>
      </w:pPr>
      <w:r w:rsidRPr="009978E3">
        <w:rPr>
          <w:sz w:val="22"/>
          <w:szCs w:val="22"/>
          <w:lang w:val="en-US"/>
        </w:rPr>
        <w:t xml:space="preserve">Le Bris, N., Arnaud-Haond, S., Beaulieu, S., Cordes, E., Hilario, A., Rogers, A. &amp; Watanabe, H. (2016). </w:t>
      </w:r>
      <w:r w:rsidRPr="009978E3">
        <w:rPr>
          <w:i/>
          <w:sz w:val="22"/>
          <w:szCs w:val="22"/>
          <w:lang w:val="en-US"/>
        </w:rPr>
        <w:t>Hydrothermal Vents and Cold Seeps</w:t>
      </w:r>
      <w:r w:rsidRPr="009978E3">
        <w:rPr>
          <w:sz w:val="22"/>
          <w:szCs w:val="22"/>
          <w:lang w:val="en-US"/>
        </w:rPr>
        <w:t>. UN Eds. First Global Integrated Marine Assessment, 18.</w:t>
      </w:r>
    </w:p>
    <w:p w14:paraId="5A3885E6" w14:textId="77777777" w:rsidR="006B3F46" w:rsidRPr="009978E3" w:rsidRDefault="006B3F46" w:rsidP="00907941">
      <w:pPr>
        <w:ind w:left="708" w:hanging="708"/>
        <w:jc w:val="both"/>
        <w:rPr>
          <w:sz w:val="22"/>
          <w:szCs w:val="22"/>
          <w:lang w:val="en-US"/>
        </w:rPr>
      </w:pPr>
      <w:r w:rsidRPr="009978E3">
        <w:rPr>
          <w:sz w:val="22"/>
          <w:szCs w:val="22"/>
          <w:lang w:val="en-US"/>
        </w:rPr>
        <w:t xml:space="preserve">Le Bris, N., Sarradin, P., Birot, D. &amp; Alayse-Danet, A. (2000). A new chemical analyzer for in situ measurement of nitrate and total sulfide over hydrothermal vent biological communities. </w:t>
      </w:r>
      <w:r w:rsidRPr="009978E3">
        <w:rPr>
          <w:i/>
          <w:sz w:val="22"/>
          <w:szCs w:val="22"/>
          <w:lang w:val="en-US"/>
        </w:rPr>
        <w:t>Marine Chemistry</w:t>
      </w:r>
      <w:r w:rsidRPr="009978E3">
        <w:rPr>
          <w:sz w:val="22"/>
          <w:szCs w:val="22"/>
          <w:lang w:val="en-US"/>
        </w:rPr>
        <w:t>, 72(1): 1–15.</w:t>
      </w:r>
    </w:p>
    <w:p w14:paraId="4575A8EA"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lang w:val="en-US"/>
        </w:rPr>
        <w:t xml:space="preserve">Le Bris, N., Yücel, M., Das, A., Sievert, S. M., LokaBharathi, P., &amp; Girguis, P. R. (2019). </w:t>
      </w:r>
      <w:r w:rsidRPr="009978E3">
        <w:rPr>
          <w:rFonts w:ascii="Times New Roman" w:hAnsi="Times New Roman" w:cs="Times New Roman"/>
          <w:sz w:val="22"/>
          <w:szCs w:val="22"/>
        </w:rPr>
        <w:t xml:space="preserve">Hydrothermal Energy Transfer and Organic Carbon Production at the Deep Seafloor. </w:t>
      </w:r>
      <w:r w:rsidRPr="009978E3">
        <w:rPr>
          <w:rFonts w:ascii="Times New Roman" w:hAnsi="Times New Roman" w:cs="Times New Roman"/>
          <w:i/>
          <w:iCs/>
          <w:sz w:val="22"/>
          <w:szCs w:val="22"/>
          <w:lang w:val="en-US"/>
        </w:rPr>
        <w:t>Frontiers in Marine Science</w:t>
      </w:r>
      <w:r w:rsidRPr="009978E3">
        <w:rPr>
          <w:rFonts w:ascii="Times New Roman" w:hAnsi="Times New Roman" w:cs="Times New Roman"/>
          <w:sz w:val="22"/>
          <w:szCs w:val="22"/>
          <w:lang w:val="en-US"/>
        </w:rPr>
        <w:t xml:space="preserve">, </w:t>
      </w:r>
      <w:r w:rsidRPr="009978E3">
        <w:rPr>
          <w:rFonts w:ascii="Times New Roman" w:hAnsi="Times New Roman" w:cs="Times New Roman"/>
          <w:i/>
          <w:iCs/>
          <w:sz w:val="22"/>
          <w:szCs w:val="22"/>
          <w:lang w:val="en-US"/>
        </w:rPr>
        <w:t>5</w:t>
      </w:r>
      <w:r w:rsidRPr="009978E3">
        <w:rPr>
          <w:rFonts w:ascii="Times New Roman" w:hAnsi="Times New Roman" w:cs="Times New Roman"/>
          <w:sz w:val="22"/>
          <w:szCs w:val="22"/>
          <w:lang w:val="en-US"/>
        </w:rPr>
        <w:t>. doi: 10.3389/fmars.2018.00531</w:t>
      </w:r>
    </w:p>
    <w:p w14:paraId="4DDDE31D" w14:textId="77777777" w:rsidR="006B3F46" w:rsidRPr="009978E3" w:rsidRDefault="006B3F46" w:rsidP="00907941">
      <w:pPr>
        <w:ind w:left="708" w:hanging="708"/>
        <w:jc w:val="both"/>
        <w:rPr>
          <w:sz w:val="22"/>
          <w:szCs w:val="22"/>
          <w:lang w:val="en-US"/>
        </w:rPr>
      </w:pPr>
      <w:r w:rsidRPr="009978E3">
        <w:rPr>
          <w:sz w:val="22"/>
          <w:szCs w:val="22"/>
          <w:lang w:val="en-US"/>
        </w:rPr>
        <w:t>Levin LA, Baco AR, Bowden DA, Colaco A, Cordes EE, Cunha MR, Demopoulos AWJ, Gobin J, Grupe BM, Le J, Metaxas A, Netburn AN, Rouse GW, Thurber AR, Tunnicliffe V, Van Dover CL, Vanreusel A and Watling L (2016) Hydrothermal Vents and Methane Seeps: Rethinking the Sphere of Influence. Front. Mar. Sci. 3:72.</w:t>
      </w:r>
    </w:p>
    <w:p w14:paraId="545E9BA9"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Leys, S. P., &amp; Lauzon, N. R. (1998). Hexactinellid sponge ecology: growth rates and seasonality in deep water sponges. </w:t>
      </w:r>
      <w:r w:rsidRPr="009978E3">
        <w:rPr>
          <w:rFonts w:ascii="Times New Roman" w:hAnsi="Times New Roman" w:cs="Times New Roman"/>
          <w:i/>
          <w:iCs/>
          <w:sz w:val="22"/>
          <w:szCs w:val="22"/>
        </w:rPr>
        <w:t>Journal of Experimental Marine Biology and Ecology</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230</w:t>
      </w:r>
      <w:r w:rsidRPr="009978E3">
        <w:rPr>
          <w:rFonts w:ascii="Times New Roman" w:hAnsi="Times New Roman" w:cs="Times New Roman"/>
          <w:sz w:val="22"/>
          <w:szCs w:val="22"/>
        </w:rPr>
        <w:t>(1), 111-129.</w:t>
      </w:r>
    </w:p>
    <w:p w14:paraId="4C869137" w14:textId="77777777" w:rsidR="006B3F46" w:rsidRPr="009978E3" w:rsidRDefault="006B3F46" w:rsidP="00907941">
      <w:pPr>
        <w:ind w:left="708" w:hanging="708"/>
        <w:jc w:val="both"/>
        <w:rPr>
          <w:sz w:val="22"/>
          <w:szCs w:val="22"/>
          <w:lang w:val="en-US"/>
        </w:rPr>
      </w:pPr>
      <w:r w:rsidRPr="009978E3">
        <w:rPr>
          <w:sz w:val="22"/>
          <w:szCs w:val="22"/>
          <w:lang w:val="en-US"/>
        </w:rPr>
        <w:t xml:space="preserve">Lilley, M., Feely, R. &amp; Trefry, J. (1995). </w:t>
      </w:r>
      <w:r w:rsidRPr="009978E3">
        <w:rPr>
          <w:i/>
          <w:sz w:val="22"/>
          <w:szCs w:val="22"/>
          <w:lang w:val="en-US"/>
        </w:rPr>
        <w:t>Chemical and biochemical transformations in hydrothermal systems</w:t>
      </w:r>
      <w:r w:rsidRPr="009978E3">
        <w:rPr>
          <w:sz w:val="22"/>
          <w:szCs w:val="22"/>
          <w:lang w:val="en-US"/>
        </w:rPr>
        <w:t xml:space="preserve">. In: Humpris, S.E., </w:t>
      </w:r>
      <w:r w:rsidRPr="0006066A">
        <w:rPr>
          <w:i/>
          <w:sz w:val="22"/>
          <w:szCs w:val="22"/>
          <w:lang w:val="en-US"/>
        </w:rPr>
        <w:t>et al</w:t>
      </w:r>
      <w:r w:rsidRPr="009978E3">
        <w:rPr>
          <w:sz w:val="22"/>
          <w:szCs w:val="22"/>
          <w:lang w:val="en-US"/>
        </w:rPr>
        <w:t>., (Eds.), Seafloor Hydrothermal Systems: Physical, Chemical, Biological and Geological Interactions. American Geophysical Union.</w:t>
      </w:r>
    </w:p>
    <w:p w14:paraId="617DB741" w14:textId="77777777" w:rsidR="006B3F46" w:rsidRPr="00F66EF7"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Lindsay I. Beazley, Ellen L. Kenchington, Francisco Javier Murillo, María del Mar Sacau, Deep-sea sponge grounds enhance diversity and abundance of epibenthic megafauna in the Northwest Atlantic, ICES Journal of Marine Science, Volume 70, Issue 7, November 2013, Pages 1471–1490, </w:t>
      </w:r>
      <w:hyperlink r:id="rId249" w:history="1">
        <w:r w:rsidRPr="009978E3">
          <w:rPr>
            <w:rFonts w:ascii="Times New Roman" w:hAnsi="Times New Roman" w:cs="Times New Roman"/>
            <w:sz w:val="22"/>
            <w:szCs w:val="22"/>
          </w:rPr>
          <w:t>https://doi.org/10.1093/icesjms/fst124</w:t>
        </w:r>
      </w:hyperlink>
    </w:p>
    <w:p w14:paraId="2EEC355F" w14:textId="77777777" w:rsidR="006B3F46" w:rsidRPr="009978E3" w:rsidRDefault="006B3F46" w:rsidP="00907941">
      <w:pPr>
        <w:ind w:left="708" w:hanging="708"/>
        <w:jc w:val="both"/>
        <w:rPr>
          <w:sz w:val="22"/>
          <w:szCs w:val="22"/>
          <w:lang w:val="en-US"/>
        </w:rPr>
      </w:pPr>
      <w:r w:rsidRPr="009978E3">
        <w:rPr>
          <w:sz w:val="22"/>
          <w:szCs w:val="22"/>
          <w:lang w:val="pt-PT"/>
        </w:rPr>
        <w:t xml:space="preserve">Linz, B. (2006). Chordata, Chondrichthyes &amp; Osteichthyes. </w:t>
      </w:r>
      <w:r w:rsidRPr="009978E3">
        <w:rPr>
          <w:i/>
          <w:sz w:val="22"/>
          <w:szCs w:val="22"/>
          <w:lang w:val="en-US"/>
        </w:rPr>
        <w:t>Atlantic</w:t>
      </w:r>
      <w:r w:rsidRPr="009978E3">
        <w:rPr>
          <w:sz w:val="22"/>
          <w:szCs w:val="22"/>
          <w:lang w:val="en-US"/>
        </w:rPr>
        <w:t>, 18: 489–490.</w:t>
      </w:r>
    </w:p>
    <w:p w14:paraId="36C8418C" w14:textId="77777777" w:rsidR="006B3F46" w:rsidRPr="009978E3" w:rsidRDefault="006B3F46" w:rsidP="00907941">
      <w:pPr>
        <w:ind w:left="708" w:hanging="708"/>
        <w:jc w:val="both"/>
        <w:rPr>
          <w:sz w:val="22"/>
          <w:szCs w:val="22"/>
          <w:lang w:val="en-US"/>
        </w:rPr>
      </w:pPr>
      <w:r w:rsidRPr="009978E3">
        <w:rPr>
          <w:sz w:val="22"/>
          <w:szCs w:val="22"/>
          <w:lang w:val="en-US"/>
        </w:rPr>
        <w:t xml:space="preserve">Lister, C. (1980), Heat-flow and hydrothermal circulation. </w:t>
      </w:r>
      <w:r w:rsidRPr="009978E3">
        <w:rPr>
          <w:i/>
          <w:sz w:val="22"/>
          <w:szCs w:val="22"/>
          <w:lang w:val="en-US"/>
        </w:rPr>
        <w:t>Annual Review of Earth and Planetary Sciences</w:t>
      </w:r>
      <w:r w:rsidRPr="009978E3">
        <w:rPr>
          <w:sz w:val="22"/>
          <w:szCs w:val="22"/>
          <w:lang w:val="en-US"/>
        </w:rPr>
        <w:t>, 8, 95–117.</w:t>
      </w:r>
    </w:p>
    <w:p w14:paraId="3B876F00" w14:textId="77777777" w:rsidR="006B3F46" w:rsidRPr="009978E3" w:rsidRDefault="006B3F46" w:rsidP="00907941">
      <w:pPr>
        <w:ind w:left="708" w:hanging="708"/>
        <w:jc w:val="both"/>
        <w:rPr>
          <w:sz w:val="22"/>
          <w:szCs w:val="22"/>
          <w:lang w:val="en-US"/>
        </w:rPr>
      </w:pPr>
      <w:r w:rsidRPr="009978E3">
        <w:rPr>
          <w:sz w:val="22"/>
          <w:szCs w:val="22"/>
          <w:lang w:val="en-US"/>
        </w:rPr>
        <w:t>Lutz, R. A., &amp; Kennish, M. J. (1993). Ecology of deep</w:t>
      </w:r>
      <w:r w:rsidRPr="0021277B">
        <w:rPr>
          <w:rFonts w:ascii="Cambria Math" w:hAnsi="Cambria Math" w:cs="Cambria Math"/>
          <w:sz w:val="22"/>
          <w:szCs w:val="22"/>
          <w:lang w:val="en-US"/>
        </w:rPr>
        <w:t>‐</w:t>
      </w:r>
      <w:r w:rsidRPr="00F66EF7">
        <w:rPr>
          <w:sz w:val="22"/>
          <w:szCs w:val="22"/>
          <w:lang w:val="en-US"/>
        </w:rPr>
        <w:t xml:space="preserve">sea hydrothermal vent communities: A review. </w:t>
      </w:r>
      <w:r w:rsidRPr="009978E3">
        <w:rPr>
          <w:i/>
          <w:sz w:val="22"/>
          <w:szCs w:val="22"/>
          <w:lang w:val="en-US"/>
        </w:rPr>
        <w:t>Reviews of Geophysics</w:t>
      </w:r>
      <w:r w:rsidRPr="009978E3">
        <w:rPr>
          <w:sz w:val="22"/>
          <w:szCs w:val="22"/>
          <w:lang w:val="en-US"/>
        </w:rPr>
        <w:t>, 31(3): 211-242.</w:t>
      </w:r>
    </w:p>
    <w:p w14:paraId="55BA365B" w14:textId="77777777" w:rsidR="006B3F46" w:rsidRPr="009978E3" w:rsidRDefault="006B3F46" w:rsidP="00907941">
      <w:pPr>
        <w:ind w:left="708" w:hanging="708"/>
        <w:jc w:val="both"/>
        <w:rPr>
          <w:sz w:val="22"/>
          <w:szCs w:val="22"/>
          <w:lang w:val="en-US"/>
        </w:rPr>
      </w:pPr>
      <w:r w:rsidRPr="009978E3">
        <w:rPr>
          <w:sz w:val="22"/>
          <w:szCs w:val="22"/>
          <w:lang w:val="en-US"/>
        </w:rPr>
        <w:t xml:space="preserve">Lutz, R. A., Shank, T. M., Fornari, D. J., Haymon, R. M., Lilley, M. D., Vondamm, K. L., &amp; Desbruyeres, D. (1994). Rapid growth at deep-sea vents. </w:t>
      </w:r>
      <w:r w:rsidRPr="009978E3">
        <w:rPr>
          <w:i/>
          <w:sz w:val="22"/>
          <w:szCs w:val="22"/>
          <w:lang w:val="en-US"/>
        </w:rPr>
        <w:t>Nature</w:t>
      </w:r>
      <w:r w:rsidRPr="009978E3">
        <w:rPr>
          <w:sz w:val="22"/>
          <w:szCs w:val="22"/>
          <w:lang w:val="en-US"/>
        </w:rPr>
        <w:t>, 371(6499): 663-664.</w:t>
      </w:r>
    </w:p>
    <w:p w14:paraId="63C4155A" w14:textId="77777777" w:rsidR="006B3F46" w:rsidRPr="009978E3" w:rsidRDefault="006B3F46" w:rsidP="00907941">
      <w:pPr>
        <w:ind w:left="708" w:hanging="708"/>
        <w:jc w:val="both"/>
        <w:rPr>
          <w:sz w:val="22"/>
          <w:szCs w:val="22"/>
          <w:lang w:val="en-US"/>
        </w:rPr>
      </w:pPr>
      <w:r w:rsidRPr="009978E3">
        <w:rPr>
          <w:sz w:val="22"/>
          <w:szCs w:val="22"/>
          <w:lang w:val="en-US"/>
        </w:rPr>
        <w:t xml:space="preserve"> Marcon, Y., Sahling, H., Borowski, C., dos Santos Ferreira, C., Thal, J. &amp; Bohrmann, G. (2013). Megafaunal distribution and assessment of total methane and sulfide consumption by mussel beds at Menez Gwen hydrothermal vent, based on geo-referenced photomosaics. </w:t>
      </w:r>
      <w:r w:rsidRPr="009978E3">
        <w:rPr>
          <w:i/>
          <w:sz w:val="22"/>
          <w:szCs w:val="22"/>
          <w:lang w:val="en-US"/>
        </w:rPr>
        <w:t>Deep Sea Research Part I: Oceanographic Research Papers</w:t>
      </w:r>
      <w:r w:rsidRPr="009978E3">
        <w:rPr>
          <w:sz w:val="22"/>
          <w:szCs w:val="22"/>
          <w:lang w:val="en-US"/>
        </w:rPr>
        <w:t>, 75: 93-109.</w:t>
      </w:r>
    </w:p>
    <w:p w14:paraId="747404CB" w14:textId="77777777" w:rsidR="006B3F46" w:rsidRPr="009978E3" w:rsidRDefault="006B3F46" w:rsidP="00907941">
      <w:pPr>
        <w:ind w:left="708" w:hanging="708"/>
        <w:jc w:val="both"/>
        <w:rPr>
          <w:sz w:val="22"/>
          <w:szCs w:val="22"/>
          <w:lang w:val="fr-CA"/>
        </w:rPr>
      </w:pPr>
      <w:r w:rsidRPr="009978E3">
        <w:rPr>
          <w:sz w:val="22"/>
          <w:szCs w:val="22"/>
          <w:lang w:val="en-US"/>
        </w:rPr>
        <w:t xml:space="preserve">Marques, A., Barriga, F. &amp; Scott S. (2007). Sulfide mineralization in an ultramafic-rock hosted seafloor hydrothermal system: From serpentinization to the formation of Cu-Zn-(Co)-rich massive sulfides. </w:t>
      </w:r>
      <w:r w:rsidRPr="009978E3">
        <w:rPr>
          <w:i/>
          <w:sz w:val="22"/>
          <w:szCs w:val="22"/>
          <w:lang w:val="fr-CA"/>
        </w:rPr>
        <w:t>Marine Geology</w:t>
      </w:r>
      <w:r w:rsidRPr="009978E3">
        <w:rPr>
          <w:sz w:val="22"/>
          <w:szCs w:val="22"/>
          <w:lang w:val="fr-CA"/>
        </w:rPr>
        <w:t>, 245: 20–39.</w:t>
      </w:r>
    </w:p>
    <w:p w14:paraId="21E8DD8E" w14:textId="77777777" w:rsidR="006B3F46" w:rsidRPr="009978E3" w:rsidRDefault="006B3F46" w:rsidP="00907941">
      <w:pPr>
        <w:ind w:left="708" w:hanging="708"/>
        <w:jc w:val="both"/>
        <w:rPr>
          <w:sz w:val="22"/>
          <w:szCs w:val="22"/>
          <w:lang w:val="en-US"/>
        </w:rPr>
      </w:pPr>
      <w:r w:rsidRPr="009978E3">
        <w:rPr>
          <w:sz w:val="22"/>
          <w:szCs w:val="22"/>
          <w:lang w:val="fr-CA"/>
        </w:rPr>
        <w:t xml:space="preserve">Marques, A., Barriga, F., Chavagnac, V. &amp; Fouquet, Y. (2006). </w:t>
      </w:r>
      <w:r w:rsidRPr="009978E3">
        <w:rPr>
          <w:sz w:val="22"/>
          <w:szCs w:val="22"/>
          <w:lang w:val="en-US"/>
        </w:rPr>
        <w:t xml:space="preserve">Mineralogy, geochemistry, and Nd isotope composition of the Rainbow hydrothermal field, Mid-Atlantic Ridge. </w:t>
      </w:r>
      <w:r w:rsidRPr="009978E3">
        <w:rPr>
          <w:i/>
          <w:sz w:val="22"/>
          <w:szCs w:val="22"/>
          <w:lang w:val="en-US"/>
        </w:rPr>
        <w:t>Mineralium Deposita</w:t>
      </w:r>
      <w:r w:rsidRPr="009978E3">
        <w:rPr>
          <w:sz w:val="22"/>
          <w:szCs w:val="22"/>
          <w:lang w:val="en-US"/>
        </w:rPr>
        <w:t>, 41(1): 52–67.</w:t>
      </w:r>
    </w:p>
    <w:p w14:paraId="7D884329" w14:textId="77777777" w:rsidR="006B3F46" w:rsidRPr="009978E3" w:rsidRDefault="006B3F46" w:rsidP="00907941">
      <w:pPr>
        <w:ind w:left="708" w:hanging="708"/>
        <w:jc w:val="both"/>
        <w:rPr>
          <w:sz w:val="22"/>
          <w:szCs w:val="22"/>
          <w:lang w:val="en-US"/>
        </w:rPr>
      </w:pPr>
      <w:r w:rsidRPr="009978E3">
        <w:rPr>
          <w:sz w:val="22"/>
          <w:szCs w:val="22"/>
          <w:lang w:val="en-US"/>
        </w:rPr>
        <w:t xml:space="preserve">Marsh A., Mullineaux L., Young C. &amp; Manahan D. (2001) Larval dispersal potential of the tubeworm Riftia pachyptila at deep-sea hydrothermal vents. </w:t>
      </w:r>
      <w:r w:rsidRPr="009978E3">
        <w:rPr>
          <w:i/>
          <w:sz w:val="22"/>
          <w:szCs w:val="22"/>
          <w:lang w:val="en-US"/>
        </w:rPr>
        <w:t>Nature</w:t>
      </w:r>
      <w:r w:rsidRPr="009978E3">
        <w:rPr>
          <w:sz w:val="22"/>
          <w:szCs w:val="22"/>
          <w:lang w:val="en-US"/>
        </w:rPr>
        <w:t>, 411: 77–80.</w:t>
      </w:r>
    </w:p>
    <w:p w14:paraId="6F856D09" w14:textId="77777777" w:rsidR="006B3F46" w:rsidRPr="009978E3" w:rsidRDefault="006B3F46" w:rsidP="00907941">
      <w:pPr>
        <w:ind w:left="708" w:hanging="708"/>
        <w:jc w:val="both"/>
        <w:rPr>
          <w:sz w:val="22"/>
          <w:szCs w:val="22"/>
          <w:lang w:val="en-US"/>
        </w:rPr>
      </w:pPr>
      <w:r w:rsidRPr="009978E3">
        <w:rPr>
          <w:sz w:val="22"/>
          <w:szCs w:val="22"/>
          <w:lang w:val="en-US"/>
        </w:rPr>
        <w:t>Martins, I.; Colaço, A.; Dando, P.R.; Martins, I.; Desbruyères, D.; Sarradin, P.M.; Marques, J.C.; Serrão Santos, R. (2008) Size-dependent variations on the nutritional pathway of Bathymodiolus azoricus evidenced by a C-flux model. Ecological Modelling, 217(1-2): 59-71.</w:t>
      </w:r>
    </w:p>
    <w:p w14:paraId="6CB4D6E5" w14:textId="77777777" w:rsidR="006B3F46" w:rsidRPr="009978E3" w:rsidRDefault="006B3F46" w:rsidP="00907941">
      <w:pPr>
        <w:ind w:left="708" w:hanging="708"/>
        <w:jc w:val="both"/>
        <w:rPr>
          <w:sz w:val="22"/>
          <w:szCs w:val="22"/>
          <w:lang w:val="en-US"/>
        </w:rPr>
      </w:pPr>
      <w:r w:rsidRPr="009978E3">
        <w:rPr>
          <w:sz w:val="22"/>
          <w:szCs w:val="22"/>
          <w:lang w:val="en-US"/>
        </w:rPr>
        <w:t xml:space="preserve">Martins, I.; Colaço, A.; Serrão Santos, R.; Lesongeur, F.; Godfroy, A.; Sarradin, P.-M.; Cosson, R.P. (2009) Relationship between the occurrence of filamentous bacteria on Bathymodiolus azoricus shell and the physiological and toxicological status of the vent mussel. Journal of Experimental Marine Biology and Ecology, 376: 1-6. </w:t>
      </w:r>
    </w:p>
    <w:p w14:paraId="70A50D4B" w14:textId="77777777" w:rsidR="006B3F46" w:rsidRPr="009978E3" w:rsidRDefault="006B3F46" w:rsidP="00907941">
      <w:pPr>
        <w:ind w:left="708" w:hanging="708"/>
        <w:jc w:val="both"/>
        <w:rPr>
          <w:sz w:val="22"/>
          <w:szCs w:val="22"/>
          <w:lang w:val="en-US"/>
        </w:rPr>
      </w:pPr>
      <w:r w:rsidRPr="009978E3">
        <w:rPr>
          <w:sz w:val="22"/>
          <w:szCs w:val="22"/>
          <w:lang w:val="en-US"/>
        </w:rPr>
        <w:t xml:space="preserve">Martins, I.; Cosson, R.P.; Riou, V.; Sarradin, P-M.; Sarrazin, J.; Santos, R.S.; Colaço, A. (2011) Relationship between the chemical characteristics of Bathymodiolus azoricus microhabitat and its metal load at Eiffel Tower (MAR, Lucky Strike). Deep-Sea Research I, 58(3): 306-315. </w:t>
      </w:r>
    </w:p>
    <w:p w14:paraId="06FBEB10" w14:textId="77777777" w:rsidR="006B3F46" w:rsidRPr="009978E3" w:rsidRDefault="006B3F46" w:rsidP="00907941">
      <w:pPr>
        <w:ind w:left="708" w:hanging="708"/>
        <w:jc w:val="both"/>
        <w:rPr>
          <w:sz w:val="22"/>
          <w:szCs w:val="22"/>
          <w:lang w:val="en-US"/>
        </w:rPr>
      </w:pPr>
      <w:r w:rsidRPr="009978E3">
        <w:rPr>
          <w:sz w:val="22"/>
          <w:szCs w:val="22"/>
          <w:lang w:val="en-US"/>
        </w:rPr>
        <w:t>Matabos, M., Cuvelier, D., Brouard, J., Shillito, B., Ravaux, J., Zbinden, M., Barthelemy, D., Sarradin, P.M., Sarrazin, J., 2015. Behavioural study of two hydrothermal crustacean decapods: Mirocaris fortunata and Segonzacia mesatlantica, from the Lucky Strike vent field (Mid-Atlantic Ridge). Deep Sea Research Part II: Topical Studies in Oceanography 121, 146- 158.</w:t>
      </w:r>
    </w:p>
    <w:p w14:paraId="09757F2F" w14:textId="77777777" w:rsidR="006B3F46" w:rsidRPr="009978E3" w:rsidRDefault="006B3F46" w:rsidP="00907941">
      <w:pPr>
        <w:ind w:left="708" w:hanging="708"/>
        <w:jc w:val="both"/>
        <w:rPr>
          <w:sz w:val="22"/>
          <w:szCs w:val="22"/>
          <w:lang w:val="en-US"/>
        </w:rPr>
      </w:pPr>
      <w:r w:rsidRPr="009978E3">
        <w:rPr>
          <w:sz w:val="22"/>
          <w:szCs w:val="22"/>
          <w:lang w:val="en-US"/>
        </w:rPr>
        <w:t xml:space="preserve">McCaig, A., Cliff, R., Escartin, J., Fallick, A. &amp; MacLeod, C. (2007). Oceanic detachment faults focus very large volumes of black smoker fluids. </w:t>
      </w:r>
      <w:r w:rsidRPr="009978E3">
        <w:rPr>
          <w:i/>
          <w:sz w:val="22"/>
          <w:szCs w:val="22"/>
          <w:lang w:val="en-US"/>
        </w:rPr>
        <w:t>Geology</w:t>
      </w:r>
      <w:r w:rsidRPr="009978E3">
        <w:rPr>
          <w:sz w:val="22"/>
          <w:szCs w:val="22"/>
          <w:lang w:val="en-US"/>
        </w:rPr>
        <w:t>, 35(10): 935-938.</w:t>
      </w:r>
    </w:p>
    <w:p w14:paraId="7B9CF4A7" w14:textId="77777777" w:rsidR="006B3F46" w:rsidRPr="009978E3" w:rsidRDefault="006B3F46" w:rsidP="00907941">
      <w:pPr>
        <w:ind w:left="708" w:hanging="708"/>
        <w:jc w:val="both"/>
        <w:rPr>
          <w:sz w:val="22"/>
          <w:szCs w:val="22"/>
          <w:lang w:val="en-US"/>
        </w:rPr>
      </w:pPr>
      <w:r w:rsidRPr="009978E3">
        <w:rPr>
          <w:sz w:val="22"/>
          <w:szCs w:val="22"/>
          <w:lang w:val="en-US"/>
        </w:rPr>
        <w:t xml:space="preserve">McClain, C. &amp; Hardy, S. (2010). The dynamics of biogeographic ranges in the deep sea. </w:t>
      </w:r>
      <w:r w:rsidRPr="009978E3">
        <w:rPr>
          <w:i/>
          <w:sz w:val="22"/>
          <w:szCs w:val="22"/>
          <w:lang w:val="en-US"/>
        </w:rPr>
        <w:t>Proceedings of the Royal Society of London B: Biological Sciences</w:t>
      </w:r>
      <w:r w:rsidRPr="009978E3">
        <w:rPr>
          <w:sz w:val="22"/>
          <w:szCs w:val="22"/>
          <w:lang w:val="en-US"/>
        </w:rPr>
        <w:t>, 277(1700): 3533-3546.</w:t>
      </w:r>
    </w:p>
    <w:p w14:paraId="4F62AEEA" w14:textId="77777777" w:rsidR="006B3F46" w:rsidRPr="009978E3" w:rsidRDefault="006B3F46" w:rsidP="00907941">
      <w:pPr>
        <w:ind w:left="708" w:hanging="708"/>
        <w:jc w:val="both"/>
        <w:rPr>
          <w:sz w:val="22"/>
          <w:szCs w:val="22"/>
          <w:lang w:val="en-US"/>
        </w:rPr>
      </w:pPr>
      <w:r w:rsidRPr="009978E3">
        <w:rPr>
          <w:sz w:val="22"/>
          <w:szCs w:val="22"/>
          <w:lang w:val="fr-FR"/>
        </w:rPr>
        <w:t xml:space="preserve">Minic, Z., Serre, V. &amp; Hervé, G. (2006). Adaptation des organismes aux conditions extremes des sources hydrothermales marines profondes. </w:t>
      </w:r>
      <w:r w:rsidRPr="009978E3">
        <w:rPr>
          <w:i/>
          <w:sz w:val="22"/>
          <w:szCs w:val="22"/>
          <w:lang w:val="en-US"/>
        </w:rPr>
        <w:t>Comptes Rendus - Biologies</w:t>
      </w:r>
      <w:r w:rsidRPr="009978E3">
        <w:rPr>
          <w:sz w:val="22"/>
          <w:szCs w:val="22"/>
          <w:lang w:val="en-US"/>
        </w:rPr>
        <w:t xml:space="preserve">, 329(7): 527–540. </w:t>
      </w:r>
    </w:p>
    <w:p w14:paraId="17DD37C7" w14:textId="77777777" w:rsidR="006B3F46" w:rsidRPr="009978E3" w:rsidRDefault="006B3F46" w:rsidP="00907941">
      <w:pPr>
        <w:pStyle w:val="NoSpacing"/>
        <w:spacing w:line="240" w:lineRule="auto"/>
        <w:rPr>
          <w:rFonts w:ascii="Times New Roman" w:hAnsi="Times New Roman" w:cs="Times New Roman"/>
          <w:iCs/>
          <w:sz w:val="22"/>
          <w:szCs w:val="22"/>
        </w:rPr>
      </w:pPr>
      <w:r w:rsidRPr="009978E3">
        <w:rPr>
          <w:rFonts w:ascii="Times New Roman" w:hAnsi="Times New Roman" w:cs="Times New Roman"/>
          <w:sz w:val="22"/>
          <w:szCs w:val="22"/>
        </w:rPr>
        <w:t>Molodtsova, T. N. (2016). New records of Heteropathes Opresko, 2011 (Anthozoa: Antipatharia) from the Mid-Atlantic Ridge. </w:t>
      </w:r>
      <w:r w:rsidRPr="009978E3">
        <w:rPr>
          <w:rFonts w:ascii="Times New Roman" w:hAnsi="Times New Roman" w:cs="Times New Roman"/>
          <w:i/>
          <w:iCs/>
          <w:sz w:val="22"/>
          <w:szCs w:val="22"/>
        </w:rPr>
        <w:t>Marine Biodiversity,</w:t>
      </w:r>
      <w:r w:rsidRPr="009978E3">
        <w:rPr>
          <w:rFonts w:ascii="Times New Roman" w:hAnsi="Times New Roman" w:cs="Times New Roman"/>
          <w:sz w:val="22"/>
          <w:szCs w:val="22"/>
        </w:rPr>
        <w:t xml:space="preserve"> 47: 179–186</w:t>
      </w:r>
    </w:p>
    <w:p w14:paraId="1CB18EEF" w14:textId="77777777" w:rsidR="006B3F46" w:rsidRPr="009978E3" w:rsidRDefault="006B3F46" w:rsidP="00907941">
      <w:pPr>
        <w:ind w:left="708" w:hanging="708"/>
        <w:jc w:val="both"/>
        <w:rPr>
          <w:sz w:val="22"/>
          <w:szCs w:val="22"/>
          <w:lang w:val="en-US"/>
        </w:rPr>
      </w:pPr>
      <w:r w:rsidRPr="009978E3">
        <w:rPr>
          <w:sz w:val="22"/>
          <w:szCs w:val="22"/>
          <w:lang w:val="en-US"/>
        </w:rPr>
        <w:t xml:space="preserve">Morato, T., Machete, M., Kitchingman, A., Tempera, F., Lai, S., Menezes, G. &amp; Santos, R. (2008). Abundance and distribution of seamounts in the Azores. </w:t>
      </w:r>
      <w:r w:rsidRPr="009978E3">
        <w:rPr>
          <w:i/>
          <w:sz w:val="22"/>
          <w:szCs w:val="22"/>
          <w:lang w:val="en-US"/>
        </w:rPr>
        <w:t>Marine Ecology Progress Series</w:t>
      </w:r>
      <w:r w:rsidRPr="009978E3">
        <w:rPr>
          <w:sz w:val="22"/>
          <w:szCs w:val="22"/>
          <w:lang w:val="en-US"/>
        </w:rPr>
        <w:t>, 357: 17-21.</w:t>
      </w:r>
    </w:p>
    <w:p w14:paraId="62C51ECB" w14:textId="77777777" w:rsidR="006B3F46" w:rsidRPr="009978E3" w:rsidRDefault="006B3F46" w:rsidP="00907941">
      <w:pPr>
        <w:ind w:left="708" w:hanging="708"/>
        <w:jc w:val="both"/>
        <w:rPr>
          <w:sz w:val="22"/>
          <w:szCs w:val="22"/>
          <w:lang w:val="en-US"/>
        </w:rPr>
      </w:pPr>
      <w:r w:rsidRPr="009978E3">
        <w:rPr>
          <w:sz w:val="22"/>
          <w:szCs w:val="22"/>
          <w:lang w:val="en-US"/>
        </w:rPr>
        <w:t xml:space="preserve">Mottl, M. &amp; Wheat, C. (1994). Hydrothermal circulation through mid-ocean ridge flanks. </w:t>
      </w:r>
      <w:r w:rsidRPr="009978E3">
        <w:rPr>
          <w:i/>
          <w:sz w:val="22"/>
          <w:szCs w:val="22"/>
          <w:lang w:val="en-US"/>
        </w:rPr>
        <w:t>Geochimica et Cosmochimica Acta</w:t>
      </w:r>
      <w:r w:rsidRPr="009978E3">
        <w:rPr>
          <w:sz w:val="22"/>
          <w:szCs w:val="22"/>
          <w:lang w:val="en-US"/>
        </w:rPr>
        <w:t>, 58: 2225-2237.</w:t>
      </w:r>
    </w:p>
    <w:p w14:paraId="3F3B45E3" w14:textId="77777777" w:rsidR="006B3F46" w:rsidRPr="009978E3" w:rsidRDefault="006B3F46" w:rsidP="00907941">
      <w:pPr>
        <w:ind w:left="708" w:hanging="708"/>
        <w:jc w:val="both"/>
        <w:rPr>
          <w:sz w:val="22"/>
          <w:szCs w:val="22"/>
          <w:lang w:val="en-US"/>
        </w:rPr>
      </w:pPr>
      <w:r w:rsidRPr="009978E3">
        <w:rPr>
          <w:sz w:val="22"/>
          <w:szCs w:val="22"/>
          <w:lang w:val="en-US"/>
        </w:rPr>
        <w:t>Mullineaux, L. &amp; France, S. (1995). Dispersal Mechanisms of Deep</w:t>
      </w:r>
      <w:r w:rsidRPr="0021277B">
        <w:rPr>
          <w:rFonts w:ascii="Cambria Math" w:hAnsi="Cambria Math" w:cs="Cambria Math"/>
          <w:sz w:val="22"/>
          <w:szCs w:val="22"/>
          <w:lang w:val="en-US"/>
        </w:rPr>
        <w:t>‐</w:t>
      </w:r>
      <w:r w:rsidRPr="00F66EF7">
        <w:rPr>
          <w:sz w:val="22"/>
          <w:szCs w:val="22"/>
          <w:lang w:val="en-US"/>
        </w:rPr>
        <w:t>Sea Hydrothermal Vent F</w:t>
      </w:r>
      <w:r w:rsidRPr="009978E3">
        <w:rPr>
          <w:sz w:val="22"/>
          <w:szCs w:val="22"/>
          <w:lang w:val="en-US"/>
        </w:rPr>
        <w:t xml:space="preserve">auna. </w:t>
      </w:r>
      <w:r w:rsidRPr="009978E3">
        <w:rPr>
          <w:i/>
          <w:sz w:val="22"/>
          <w:szCs w:val="22"/>
          <w:lang w:val="en-US"/>
        </w:rPr>
        <w:t>Seafloor Hydrothermal Systems: Physical, Chemical, Biological, and Geological Interactions</w:t>
      </w:r>
      <w:r w:rsidRPr="009978E3">
        <w:rPr>
          <w:sz w:val="22"/>
          <w:szCs w:val="22"/>
          <w:lang w:val="en-US"/>
        </w:rPr>
        <w:t>, 408-424.</w:t>
      </w:r>
    </w:p>
    <w:p w14:paraId="5FF4DDC5" w14:textId="77777777" w:rsidR="006B3F46" w:rsidRPr="009978E3" w:rsidRDefault="006B3F46" w:rsidP="00907941">
      <w:pPr>
        <w:ind w:left="708" w:hanging="708"/>
        <w:jc w:val="both"/>
        <w:rPr>
          <w:sz w:val="22"/>
          <w:szCs w:val="22"/>
          <w:lang w:val="en-US"/>
        </w:rPr>
      </w:pPr>
      <w:r w:rsidRPr="009978E3">
        <w:rPr>
          <w:sz w:val="22"/>
          <w:szCs w:val="22"/>
          <w:lang w:val="en-US"/>
        </w:rPr>
        <w:t xml:space="preserve">Myers, A. &amp; Cunha, M. (2004). New and little known corophiidean amphipods from the “Lucky Strike” hydrothermal vent, Mid-Atlantic Ridge. </w:t>
      </w:r>
      <w:r w:rsidRPr="009978E3">
        <w:rPr>
          <w:i/>
          <w:sz w:val="22"/>
          <w:szCs w:val="22"/>
          <w:lang w:val="en-US"/>
        </w:rPr>
        <w:t>Journal of the Marine Biological Association of the UK</w:t>
      </w:r>
      <w:r w:rsidRPr="009978E3">
        <w:rPr>
          <w:sz w:val="22"/>
          <w:szCs w:val="22"/>
          <w:lang w:val="en-US"/>
        </w:rPr>
        <w:t>, 84(5): 1019–1025.</w:t>
      </w:r>
    </w:p>
    <w:p w14:paraId="4FECB345" w14:textId="77777777" w:rsidR="006B3F46" w:rsidRPr="009978E3" w:rsidRDefault="006B3F46" w:rsidP="00907941">
      <w:pPr>
        <w:ind w:left="708" w:hanging="708"/>
        <w:jc w:val="both"/>
        <w:rPr>
          <w:sz w:val="22"/>
          <w:szCs w:val="22"/>
          <w:lang w:val="en-US"/>
        </w:rPr>
      </w:pPr>
      <w:r w:rsidRPr="009978E3">
        <w:rPr>
          <w:sz w:val="22"/>
          <w:szCs w:val="22"/>
          <w:lang w:val="en-US"/>
        </w:rPr>
        <w:t xml:space="preserve">Nye, V., Copley, J. &amp; Plouviez, S. (2012). A new species of </w:t>
      </w:r>
      <w:r w:rsidRPr="009978E3">
        <w:rPr>
          <w:i/>
          <w:sz w:val="22"/>
          <w:szCs w:val="22"/>
          <w:lang w:val="en-US"/>
        </w:rPr>
        <w:t>Rimicaris</w:t>
      </w:r>
      <w:r w:rsidRPr="009978E3">
        <w:rPr>
          <w:sz w:val="22"/>
          <w:szCs w:val="22"/>
          <w:lang w:val="en-US"/>
        </w:rPr>
        <w:t xml:space="preserve"> (Crustacea: Decapoda: Caridea: Alvinocarididae) from hydrothermal vent fields on the Mid-Cayman Spreading Centre, Caribbean. </w:t>
      </w:r>
      <w:r w:rsidRPr="009978E3">
        <w:rPr>
          <w:i/>
          <w:sz w:val="22"/>
          <w:szCs w:val="22"/>
          <w:lang w:val="en-US"/>
        </w:rPr>
        <w:t>Journal of the Marine Biological Association of the United Kingdom</w:t>
      </w:r>
      <w:r w:rsidRPr="009978E3">
        <w:rPr>
          <w:sz w:val="22"/>
          <w:szCs w:val="22"/>
          <w:lang w:val="en-US"/>
        </w:rPr>
        <w:t>, 1(1): 1–16.</w:t>
      </w:r>
    </w:p>
    <w:p w14:paraId="46A63CB3" w14:textId="77777777" w:rsidR="006B3F46" w:rsidRPr="009978E3" w:rsidRDefault="006B3F46" w:rsidP="00907941">
      <w:pPr>
        <w:ind w:left="708" w:hanging="708"/>
        <w:jc w:val="both"/>
        <w:rPr>
          <w:sz w:val="22"/>
          <w:szCs w:val="22"/>
          <w:lang w:val="en-US"/>
        </w:rPr>
      </w:pPr>
      <w:r w:rsidRPr="009978E3">
        <w:rPr>
          <w:sz w:val="22"/>
          <w:szCs w:val="22"/>
          <w:lang w:val="en-US"/>
        </w:rPr>
        <w:t xml:space="preserve">Ohmoto, H., Watanabe, Y., Yamaguchi, K. E., Naraoka, H., Haruna, M., Kakegawa, T., Hayashi K. &amp; Kato, Y. (2006). Chemical and biological evolution of early Earth: constraints from banded iron formations. </w:t>
      </w:r>
      <w:r w:rsidRPr="009978E3">
        <w:rPr>
          <w:i/>
          <w:sz w:val="22"/>
          <w:szCs w:val="22"/>
          <w:lang w:val="en-US"/>
        </w:rPr>
        <w:t>Geological Society of America Memoirs</w:t>
      </w:r>
      <w:r w:rsidRPr="009978E3">
        <w:rPr>
          <w:sz w:val="22"/>
          <w:szCs w:val="22"/>
          <w:lang w:val="en-US"/>
        </w:rPr>
        <w:t>, 198: 291-331.</w:t>
      </w:r>
    </w:p>
    <w:p w14:paraId="727388AC" w14:textId="77777777" w:rsidR="006B3F46" w:rsidRPr="009978E3" w:rsidRDefault="006B3F46" w:rsidP="00907941">
      <w:pPr>
        <w:ind w:left="708" w:hanging="708"/>
        <w:jc w:val="both"/>
        <w:rPr>
          <w:sz w:val="22"/>
          <w:szCs w:val="22"/>
          <w:lang w:val="en-US"/>
        </w:rPr>
      </w:pPr>
      <w:r w:rsidRPr="009978E3">
        <w:rPr>
          <w:sz w:val="22"/>
          <w:szCs w:val="22"/>
          <w:lang w:val="en-US"/>
        </w:rPr>
        <w:t>Ondreas, H., Cannat, M., Fouquet, Y. &amp; Normand, A. (2012). Geological context and vents morphology of the ultramafic-hosted Ashadze hydrothermal areas (Mid-Atlantic Ridge 13</w:t>
      </w:r>
      <w:r w:rsidRPr="009978E3">
        <w:rPr>
          <w:rFonts w:eastAsia="MS Mincho"/>
          <w:sz w:val="22"/>
          <w:szCs w:val="22"/>
          <w:lang w:val="en-US"/>
        </w:rPr>
        <w:t>ᵒ</w:t>
      </w:r>
      <w:r w:rsidRPr="009978E3">
        <w:rPr>
          <w:sz w:val="22"/>
          <w:szCs w:val="22"/>
          <w:lang w:val="en-US"/>
        </w:rPr>
        <w:t>N). Geochemistry Geophysics Geosystems, 13: Q0AG14.</w:t>
      </w:r>
    </w:p>
    <w:p w14:paraId="554F3308"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lang w:val="en-US"/>
        </w:rPr>
        <w:t xml:space="preserve">OSPAR (2009) Background document on Lophelia pertusa reefs Biodiversity Series, Publication No 423/2009 Available at </w:t>
      </w:r>
      <w:hyperlink r:id="rId250" w:history="1">
        <w:r w:rsidRPr="009978E3">
          <w:rPr>
            <w:rStyle w:val="Hyperlink"/>
            <w:rFonts w:ascii="Times New Roman" w:hAnsi="Times New Roman"/>
            <w:sz w:val="22"/>
            <w:szCs w:val="22"/>
            <w:lang w:val="en-US"/>
          </w:rPr>
          <w:t>https://www.ospar.org/work-areas/bdc/species-habitats/list-of-threatened-declining-species-habitats</w:t>
        </w:r>
      </w:hyperlink>
      <w:r w:rsidRPr="00F66EF7">
        <w:rPr>
          <w:rFonts w:ascii="Times New Roman" w:hAnsi="Times New Roman" w:cs="Times New Roman"/>
          <w:sz w:val="22"/>
          <w:szCs w:val="22"/>
          <w:lang w:val="en-US"/>
        </w:rPr>
        <w:t>.</w:t>
      </w:r>
    </w:p>
    <w:p w14:paraId="5A65A02F"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lang w:val="en-US"/>
        </w:rPr>
        <w:t>OSPAR (2010d) Background Document for Deep-sea sponge aggregations. Biodiversity Series Available at: https://www.ospar.org/work-areas/bdc/species-habitats/list-of-threatened-declining-species-habitats</w:t>
      </w:r>
    </w:p>
    <w:p w14:paraId="07BF0298" w14:textId="77777777" w:rsidR="006B3F46" w:rsidRPr="009978E3" w:rsidRDefault="006B3F46" w:rsidP="00907941">
      <w:pPr>
        <w:ind w:left="708" w:hanging="708"/>
        <w:jc w:val="both"/>
        <w:rPr>
          <w:sz w:val="22"/>
          <w:szCs w:val="22"/>
          <w:lang w:val="en-US"/>
        </w:rPr>
      </w:pPr>
      <w:r w:rsidRPr="009978E3">
        <w:rPr>
          <w:sz w:val="22"/>
          <w:szCs w:val="22"/>
          <w:lang w:val="en-US"/>
        </w:rPr>
        <w:t xml:space="preserve">OSPAR (2014). </w:t>
      </w:r>
      <w:r w:rsidRPr="009978E3">
        <w:rPr>
          <w:i/>
          <w:sz w:val="22"/>
          <w:szCs w:val="22"/>
          <w:lang w:val="en-US"/>
        </w:rPr>
        <w:t>OSPAR 14/21/1 Annex 16</w:t>
      </w:r>
      <w:r w:rsidRPr="009978E3">
        <w:rPr>
          <w:sz w:val="22"/>
          <w:szCs w:val="22"/>
          <w:lang w:val="en-US"/>
        </w:rPr>
        <w:t>. OSPAR Recommendation 2014/11 on furthering the protection and conservation of hydrothermal vents/fields occurring on oceanic ridges in Region V of the OSPAR maritime area. 6pp. OSPAR Commission.</w:t>
      </w:r>
    </w:p>
    <w:p w14:paraId="45D33AB0"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lang w:val="en-US"/>
        </w:rPr>
        <w:t>OSPAR 2010a), Background Document for Seamounts. Biodiversity Series, Publication No. 492/2010.</w:t>
      </w:r>
    </w:p>
    <w:p w14:paraId="537F57FD"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lang w:val="en-US"/>
        </w:rPr>
        <w:t xml:space="preserve">OSPAR 2010b), Background Document for Oceanic ridges with hydrothermal vents/fields. Biodiversity Series, Publication No. 490/2010 Available at </w:t>
      </w:r>
      <w:hyperlink r:id="rId251" w:history="1">
        <w:r w:rsidRPr="009978E3">
          <w:rPr>
            <w:rStyle w:val="Hyperlink"/>
            <w:rFonts w:ascii="Times New Roman" w:hAnsi="Times New Roman"/>
            <w:sz w:val="22"/>
            <w:szCs w:val="22"/>
            <w:lang w:val="en-US"/>
          </w:rPr>
          <w:t>https://www.ospar.org/work-areas/bdc/species-habitats/list-of-threatened-declining-species-habitats</w:t>
        </w:r>
      </w:hyperlink>
      <w:r w:rsidRPr="00F66EF7">
        <w:rPr>
          <w:rFonts w:ascii="Times New Roman" w:hAnsi="Times New Roman" w:cs="Times New Roman"/>
          <w:sz w:val="22"/>
          <w:szCs w:val="22"/>
          <w:lang w:val="en-US"/>
        </w:rPr>
        <w:t>.</w:t>
      </w:r>
    </w:p>
    <w:p w14:paraId="575F6DE2"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lang w:val="en-US"/>
        </w:rPr>
        <w:t>OSPAR 2010c).</w:t>
      </w:r>
      <w:r w:rsidRPr="009978E3">
        <w:rPr>
          <w:rFonts w:ascii="Times New Roman" w:hAnsi="Times New Roman" w:cs="Times New Roman"/>
          <w:sz w:val="22"/>
          <w:szCs w:val="22"/>
        </w:rPr>
        <w:t xml:space="preserve"> </w:t>
      </w:r>
      <w:r w:rsidRPr="009978E3">
        <w:rPr>
          <w:rFonts w:ascii="Times New Roman" w:hAnsi="Times New Roman" w:cs="Times New Roman"/>
          <w:sz w:val="22"/>
          <w:szCs w:val="22"/>
          <w:lang w:val="en-US"/>
        </w:rPr>
        <w:t xml:space="preserve">Background document for coral gardens. Biodiversity Series, Publication Number: 486/2010 Available at: </w:t>
      </w:r>
      <w:hyperlink r:id="rId252" w:history="1">
        <w:r w:rsidRPr="009978E3">
          <w:rPr>
            <w:rStyle w:val="Hyperlink"/>
            <w:rFonts w:ascii="Times New Roman" w:hAnsi="Times New Roman"/>
            <w:sz w:val="22"/>
            <w:szCs w:val="22"/>
            <w:lang w:val="en-US"/>
          </w:rPr>
          <w:t>https://www.ospar.org/work-areas/bdc/species-habitats/list-of-threatened-declining-species-habitats</w:t>
        </w:r>
      </w:hyperlink>
      <w:r w:rsidRPr="00F66EF7">
        <w:rPr>
          <w:rFonts w:ascii="Times New Roman" w:hAnsi="Times New Roman" w:cs="Times New Roman"/>
          <w:sz w:val="22"/>
          <w:szCs w:val="22"/>
          <w:lang w:val="en-US"/>
        </w:rPr>
        <w:t>.</w:t>
      </w:r>
    </w:p>
    <w:p w14:paraId="0307634D"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lang w:val="pt-PT"/>
        </w:rPr>
        <w:t xml:space="preserve">Pereira J.N., Carmo V., Catarino D., Jakobsen J., Alvarez H., Aguilar R., Hart J., Giacomello E., Menezes G., Stefanni S., Colaço A., Morato T., Santos R.S., Tempera F., Porteiro F., 2017. </w:t>
      </w:r>
      <w:r w:rsidRPr="009978E3">
        <w:rPr>
          <w:rFonts w:ascii="Times New Roman" w:hAnsi="Times New Roman" w:cs="Times New Roman"/>
          <w:sz w:val="22"/>
          <w:szCs w:val="22"/>
        </w:rPr>
        <w:t xml:space="preserve">Cold-water corals and large hydrozoans provide essential fish habitat for Lappanella fasciata and Benthocometes robustus Deep-Sea Research Part II, 145: 33-48. </w:t>
      </w:r>
    </w:p>
    <w:p w14:paraId="4D793F8A" w14:textId="77777777" w:rsidR="006B3F46" w:rsidRPr="009978E3" w:rsidRDefault="006B3F46" w:rsidP="00907941">
      <w:pPr>
        <w:ind w:left="708" w:hanging="708"/>
        <w:jc w:val="both"/>
        <w:rPr>
          <w:sz w:val="22"/>
          <w:szCs w:val="22"/>
          <w:lang w:val="en-US"/>
        </w:rPr>
      </w:pPr>
      <w:r w:rsidRPr="009978E3">
        <w:rPr>
          <w:sz w:val="22"/>
          <w:szCs w:val="22"/>
          <w:lang w:val="en-US"/>
        </w:rPr>
        <w:t xml:space="preserve">Person, R., Beranzoli, L., Berndt, C., Danobitia, J. J., Diepenbroecke, M., Favali, P., Gillooly, M., Lykousis, V., Miranda, J., Mienert, J., Priede, I., Serrão Santos, R., Thomsen, L., Van Weering, T. &amp; Waldman, C. (2008). </w:t>
      </w:r>
      <w:r w:rsidRPr="009978E3">
        <w:rPr>
          <w:i/>
          <w:sz w:val="22"/>
          <w:szCs w:val="22"/>
          <w:lang w:val="en-US"/>
        </w:rPr>
        <w:t>ESONET: An European sea observatory initiative</w:t>
      </w:r>
      <w:r w:rsidRPr="009978E3">
        <w:rPr>
          <w:sz w:val="22"/>
          <w:szCs w:val="22"/>
          <w:lang w:val="en-US"/>
        </w:rPr>
        <w:t>. In OCEANS 2008-MTS/IEEE Kobe Techno-Ocean (pp. 1-6). IEEE.</w:t>
      </w:r>
    </w:p>
    <w:p w14:paraId="3F875E50" w14:textId="77777777" w:rsidR="006B3F46" w:rsidRPr="009978E3" w:rsidRDefault="006B3F46" w:rsidP="00907941">
      <w:pPr>
        <w:pStyle w:val="NoSpacing"/>
        <w:spacing w:line="240" w:lineRule="auto"/>
        <w:rPr>
          <w:rFonts w:ascii="Times New Roman" w:hAnsi="Times New Roman" w:cs="Times New Roman"/>
          <w:sz w:val="22"/>
          <w:szCs w:val="22"/>
          <w:lang w:val="pt-PT"/>
        </w:rPr>
      </w:pPr>
      <w:r w:rsidRPr="009978E3">
        <w:rPr>
          <w:rFonts w:ascii="Times New Roman" w:hAnsi="Times New Roman" w:cs="Times New Roman"/>
          <w:sz w:val="22"/>
          <w:szCs w:val="22"/>
          <w:lang w:val="en-US"/>
        </w:rPr>
        <w:t xml:space="preserve">Petersen, J. M., Zielinski, F. U., Pape, T., Seifert, R., Moraru, C., Amann, R., ... </w:t>
      </w:r>
      <w:r w:rsidRPr="009978E3">
        <w:rPr>
          <w:rFonts w:ascii="Times New Roman" w:hAnsi="Times New Roman" w:cs="Times New Roman"/>
          <w:sz w:val="22"/>
          <w:szCs w:val="22"/>
        </w:rPr>
        <w:t xml:space="preserve">&amp; Pelletier, E. (2011). Hydrogen is an energy source for hydrothermal vent symbioses. </w:t>
      </w:r>
      <w:r w:rsidRPr="009978E3">
        <w:rPr>
          <w:rFonts w:ascii="Times New Roman" w:hAnsi="Times New Roman" w:cs="Times New Roman"/>
          <w:i/>
          <w:iCs/>
          <w:sz w:val="22"/>
          <w:szCs w:val="22"/>
          <w:lang w:val="pt-PT"/>
        </w:rPr>
        <w:t>Nature</w:t>
      </w:r>
      <w:r w:rsidRPr="009978E3">
        <w:rPr>
          <w:rFonts w:ascii="Times New Roman" w:hAnsi="Times New Roman" w:cs="Times New Roman"/>
          <w:sz w:val="22"/>
          <w:szCs w:val="22"/>
          <w:lang w:val="pt-PT"/>
        </w:rPr>
        <w:t xml:space="preserve">, </w:t>
      </w:r>
      <w:r w:rsidRPr="009978E3">
        <w:rPr>
          <w:rFonts w:ascii="Times New Roman" w:hAnsi="Times New Roman" w:cs="Times New Roman"/>
          <w:i/>
          <w:iCs/>
          <w:sz w:val="22"/>
          <w:szCs w:val="22"/>
          <w:lang w:val="pt-PT"/>
        </w:rPr>
        <w:t>476</w:t>
      </w:r>
      <w:r w:rsidRPr="009978E3">
        <w:rPr>
          <w:rFonts w:ascii="Times New Roman" w:hAnsi="Times New Roman" w:cs="Times New Roman"/>
          <w:sz w:val="22"/>
          <w:szCs w:val="22"/>
          <w:lang w:val="pt-PT"/>
        </w:rPr>
        <w:t>(7359), 176. doi: 10.1038/nature10325</w:t>
      </w:r>
    </w:p>
    <w:p w14:paraId="4739F0FD"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lang w:val="pt-PT"/>
        </w:rPr>
        <w:t xml:space="preserve">Pham, C. K., Vandeperre, F., Menezes, G., Porteiro, F., Isidro, E., &amp; Morato, T. (2015). </w:t>
      </w:r>
      <w:r w:rsidRPr="009978E3">
        <w:rPr>
          <w:rFonts w:ascii="Times New Roman" w:hAnsi="Times New Roman" w:cs="Times New Roman"/>
          <w:sz w:val="22"/>
          <w:szCs w:val="22"/>
        </w:rPr>
        <w:t xml:space="preserve">The importance of deep-sea vulnerable marine ecosystems for demersal fish in the Azores. </w:t>
      </w:r>
      <w:r w:rsidRPr="009978E3">
        <w:rPr>
          <w:rFonts w:ascii="Times New Roman" w:hAnsi="Times New Roman" w:cs="Times New Roman"/>
          <w:i/>
          <w:iCs/>
          <w:sz w:val="22"/>
          <w:szCs w:val="22"/>
        </w:rPr>
        <w:t>Deep Sea Research Part I: Oceanographic Research Papers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96</w:t>
      </w:r>
      <w:r w:rsidRPr="009978E3">
        <w:rPr>
          <w:rFonts w:ascii="Times New Roman" w:hAnsi="Times New Roman" w:cs="Times New Roman"/>
          <w:sz w:val="22"/>
          <w:szCs w:val="22"/>
        </w:rPr>
        <w:t>, 80-88.</w:t>
      </w:r>
    </w:p>
    <w:p w14:paraId="14DEF028" w14:textId="77777777" w:rsidR="006B3F46" w:rsidRPr="00F66EF7" w:rsidRDefault="006B3F46" w:rsidP="00907941">
      <w:pPr>
        <w:ind w:left="708" w:hanging="708"/>
        <w:jc w:val="both"/>
        <w:rPr>
          <w:sz w:val="22"/>
          <w:szCs w:val="22"/>
          <w:lang w:val="pt-PT"/>
        </w:rPr>
      </w:pPr>
      <w:r w:rsidRPr="009978E3">
        <w:rPr>
          <w:color w:val="000000"/>
          <w:sz w:val="22"/>
          <w:szCs w:val="22"/>
          <w:shd w:val="clear" w:color="auto" w:fill="FFFFFF"/>
          <w:lang w:val="en-US"/>
        </w:rPr>
        <w:t xml:space="preserve">Portail M.; Brandily C.; Cathalot C.; Colaço A.; Gélinas Y, Husson B.; Sarradin P-M; Sarrazin J., 2018. Food-web complexity across hydrothermal vents on the Azores triple junction. </w:t>
      </w:r>
      <w:r w:rsidRPr="009978E3">
        <w:rPr>
          <w:color w:val="000000"/>
          <w:sz w:val="22"/>
          <w:szCs w:val="22"/>
          <w:shd w:val="clear" w:color="auto" w:fill="FFFFFF"/>
          <w:lang w:val="pt-PT"/>
        </w:rPr>
        <w:t>Deep-sea research I</w:t>
      </w:r>
      <w:hyperlink r:id="rId253" w:history="1">
        <w:r w:rsidRPr="009978E3">
          <w:rPr>
            <w:rStyle w:val="size-m"/>
            <w:szCs w:val="22"/>
            <w:lang w:val="pt-PT"/>
          </w:rPr>
          <w:t xml:space="preserve">; 131: 101-120 </w:t>
        </w:r>
      </w:hyperlink>
    </w:p>
    <w:p w14:paraId="47AFE4A1"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lang w:val="pt-PT"/>
        </w:rPr>
        <w:t xml:space="preserve">Porteiro, F. M., Gomes-Pereira, J. N., Pham, C. K., Tempera, F., &amp; Santos, R. S. (2013). </w:t>
      </w:r>
      <w:r w:rsidRPr="009978E3">
        <w:rPr>
          <w:rFonts w:ascii="Times New Roman" w:hAnsi="Times New Roman" w:cs="Times New Roman"/>
          <w:sz w:val="22"/>
          <w:szCs w:val="22"/>
        </w:rPr>
        <w:t xml:space="preserve">Distribution and habitat association of benthic fish on the Condor seamount (NE Atlantic, Azores) from in situ observations. </w:t>
      </w:r>
      <w:r w:rsidRPr="009978E3">
        <w:rPr>
          <w:rFonts w:ascii="Times New Roman" w:hAnsi="Times New Roman" w:cs="Times New Roman"/>
          <w:i/>
          <w:iCs/>
          <w:sz w:val="22"/>
          <w:szCs w:val="22"/>
        </w:rPr>
        <w:t>Deep Sea Research Part II: Topical Studies in Oceanography</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98</w:t>
      </w:r>
      <w:r w:rsidRPr="009978E3">
        <w:rPr>
          <w:rFonts w:ascii="Times New Roman" w:hAnsi="Times New Roman" w:cs="Times New Roman"/>
          <w:sz w:val="22"/>
          <w:szCs w:val="22"/>
        </w:rPr>
        <w:t>, 114-128.</w:t>
      </w:r>
    </w:p>
    <w:p w14:paraId="41E2D3DF"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Priede I.G., O.A. Bergstad, P.I. Miller, M. Vecchione, A. Gebruk, </w:t>
      </w:r>
      <w:r w:rsidRPr="0006066A">
        <w:rPr>
          <w:rFonts w:ascii="Times New Roman" w:hAnsi="Times New Roman" w:cs="Times New Roman"/>
          <w:i/>
          <w:sz w:val="22"/>
          <w:szCs w:val="22"/>
        </w:rPr>
        <w:t>et al</w:t>
      </w:r>
      <w:r w:rsidRPr="009978E3">
        <w:rPr>
          <w:rFonts w:ascii="Times New Roman" w:hAnsi="Times New Roman" w:cs="Times New Roman"/>
          <w:sz w:val="22"/>
          <w:szCs w:val="22"/>
        </w:rPr>
        <w:t>. 2013. Does presence of a mid-ocean ridge enhance biomass and biodiversity? PLoS ONE 8(5): e61550. doi:10.1371/journal.pone.0061550</w:t>
      </w:r>
    </w:p>
    <w:p w14:paraId="35E6F49E"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Priede, I. G., Bergstad, O. A., Miller, P. I., Vecchione, M., Gebruk, A., Falkenhaug, T., ... &amp; Lorance, P. (2013). Does presence of a mid-ocean ridge enhance biomass and biodiversity?. </w:t>
      </w:r>
      <w:r w:rsidRPr="009978E3">
        <w:rPr>
          <w:rFonts w:ascii="Times New Roman" w:hAnsi="Times New Roman" w:cs="Times New Roman"/>
          <w:i/>
          <w:iCs/>
          <w:sz w:val="22"/>
          <w:szCs w:val="22"/>
        </w:rPr>
        <w:t>PloS one</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8</w:t>
      </w:r>
      <w:r w:rsidRPr="009978E3">
        <w:rPr>
          <w:rFonts w:ascii="Times New Roman" w:hAnsi="Times New Roman" w:cs="Times New Roman"/>
          <w:sz w:val="22"/>
          <w:szCs w:val="22"/>
        </w:rPr>
        <w:t xml:space="preserve">(5), e61550. doi: 10.1371/journal.pone.0061550. </w:t>
      </w:r>
    </w:p>
    <w:p w14:paraId="78432CBC" w14:textId="77777777" w:rsidR="006B3F46" w:rsidRPr="009978E3" w:rsidRDefault="006B3F46" w:rsidP="00907941">
      <w:pPr>
        <w:ind w:left="708" w:hanging="708"/>
        <w:jc w:val="both"/>
        <w:rPr>
          <w:sz w:val="22"/>
          <w:szCs w:val="22"/>
          <w:lang w:val="en-US"/>
        </w:rPr>
      </w:pPr>
      <w:r w:rsidRPr="009978E3">
        <w:rPr>
          <w:sz w:val="22"/>
          <w:szCs w:val="22"/>
          <w:lang w:val="en-US"/>
        </w:rPr>
        <w:t xml:space="preserve">Radford-Knoery, J., Charlou, J., Donval, J., Aballea, M., Fouquet, Y. &amp; Ondreas, H. (1998). Distribution of sulfide, methane and manganese near the seafloor at the Lucky Strike (37°17'N) and Menez Gwen (37°50'N) hydrothermal vent sites on the mid- Atlantic Ridge. </w:t>
      </w:r>
      <w:r w:rsidRPr="009978E3">
        <w:rPr>
          <w:i/>
          <w:sz w:val="22"/>
          <w:szCs w:val="22"/>
          <w:lang w:val="en-US"/>
        </w:rPr>
        <w:t>Deep-Sea Research</w:t>
      </w:r>
      <w:r w:rsidRPr="009978E3">
        <w:rPr>
          <w:sz w:val="22"/>
          <w:szCs w:val="22"/>
          <w:lang w:val="en-US"/>
        </w:rPr>
        <w:t>, 45(3): 367– 386.</w:t>
      </w:r>
    </w:p>
    <w:p w14:paraId="4418123F" w14:textId="77777777" w:rsidR="006B3F46" w:rsidRPr="009978E3" w:rsidRDefault="006B3F46" w:rsidP="00907941">
      <w:pPr>
        <w:ind w:left="708" w:hanging="708"/>
        <w:jc w:val="both"/>
        <w:rPr>
          <w:sz w:val="22"/>
          <w:szCs w:val="22"/>
          <w:lang w:val="en-US"/>
        </w:rPr>
      </w:pPr>
      <w:r w:rsidRPr="009978E3">
        <w:rPr>
          <w:sz w:val="22"/>
          <w:szCs w:val="22"/>
          <w:lang w:val="en-US"/>
        </w:rPr>
        <w:t xml:space="preserve">Ramirez-Llodra, E., Tyler, P., Baker, M., Bergstad, O., Clark, M., Escobar, E., Levin, L., Menot, L., Rowden, A., Smith, C. &amp; Van Dover, C. (2011). Man and the last great wilderness: human impact on the deep sea. </w:t>
      </w:r>
      <w:r w:rsidRPr="009978E3">
        <w:rPr>
          <w:i/>
          <w:sz w:val="22"/>
          <w:szCs w:val="22"/>
          <w:lang w:val="en-US"/>
        </w:rPr>
        <w:t>PLoS One</w:t>
      </w:r>
      <w:r w:rsidRPr="009978E3">
        <w:rPr>
          <w:sz w:val="22"/>
          <w:szCs w:val="22"/>
          <w:lang w:val="en-US"/>
        </w:rPr>
        <w:t>, 6(8): e22588.</w:t>
      </w:r>
    </w:p>
    <w:p w14:paraId="6A80CEBB" w14:textId="77777777" w:rsidR="006B3F46" w:rsidRPr="009978E3" w:rsidRDefault="006B3F46" w:rsidP="00907941">
      <w:pPr>
        <w:pStyle w:val="NoSpacing"/>
        <w:spacing w:line="240" w:lineRule="auto"/>
        <w:rPr>
          <w:rFonts w:ascii="Times New Roman" w:hAnsi="Times New Roman" w:cs="Times New Roman"/>
          <w:sz w:val="22"/>
          <w:szCs w:val="22"/>
          <w:lang w:val="pt-PT"/>
        </w:rPr>
      </w:pPr>
      <w:r w:rsidRPr="009978E3">
        <w:rPr>
          <w:rFonts w:ascii="Times New Roman" w:hAnsi="Times New Roman" w:cs="Times New Roman"/>
          <w:sz w:val="22"/>
          <w:szCs w:val="22"/>
        </w:rPr>
        <w:t xml:space="preserve">Resing, J. A., Sedwick, P. N., German, C. R., Jenkins, W. J., Moffett, J. W., Sohst, B. M., &amp; Tagliabue, A. (2015). Basin-scale transport of hydrothermal dissolved metals across the South Pacific Ocean. </w:t>
      </w:r>
      <w:r w:rsidRPr="009978E3">
        <w:rPr>
          <w:rFonts w:ascii="Times New Roman" w:hAnsi="Times New Roman" w:cs="Times New Roman"/>
          <w:i/>
          <w:iCs/>
          <w:sz w:val="22"/>
          <w:szCs w:val="22"/>
          <w:lang w:val="pt-PT"/>
        </w:rPr>
        <w:t>Nature</w:t>
      </w:r>
      <w:r w:rsidRPr="009978E3">
        <w:rPr>
          <w:rFonts w:ascii="Times New Roman" w:hAnsi="Times New Roman" w:cs="Times New Roman"/>
          <w:sz w:val="22"/>
          <w:szCs w:val="22"/>
          <w:lang w:val="pt-PT"/>
        </w:rPr>
        <w:t xml:space="preserve">, </w:t>
      </w:r>
      <w:r w:rsidRPr="009978E3">
        <w:rPr>
          <w:rFonts w:ascii="Times New Roman" w:hAnsi="Times New Roman" w:cs="Times New Roman"/>
          <w:i/>
          <w:iCs/>
          <w:sz w:val="22"/>
          <w:szCs w:val="22"/>
          <w:lang w:val="pt-PT"/>
        </w:rPr>
        <w:t>523</w:t>
      </w:r>
      <w:r w:rsidRPr="009978E3">
        <w:rPr>
          <w:rFonts w:ascii="Times New Roman" w:hAnsi="Times New Roman" w:cs="Times New Roman"/>
          <w:sz w:val="22"/>
          <w:szCs w:val="22"/>
          <w:lang w:val="pt-PT"/>
        </w:rPr>
        <w:t>(7559), 200. doi: 10.1038/nature14577</w:t>
      </w:r>
    </w:p>
    <w:p w14:paraId="6A87BF96" w14:textId="77777777" w:rsidR="006B3F46" w:rsidRPr="009978E3" w:rsidRDefault="006B3F46" w:rsidP="00907941">
      <w:pPr>
        <w:ind w:left="708" w:hanging="708"/>
        <w:jc w:val="both"/>
        <w:rPr>
          <w:sz w:val="22"/>
          <w:szCs w:val="22"/>
          <w:lang w:val="en-US"/>
        </w:rPr>
      </w:pPr>
      <w:r w:rsidRPr="009978E3">
        <w:rPr>
          <w:sz w:val="22"/>
          <w:szCs w:val="22"/>
          <w:lang w:val="pt-PT"/>
        </w:rPr>
        <w:t xml:space="preserve">Ribeiro da Costa, I., Barriga, F. &amp; Taylor R. (2008). </w:t>
      </w:r>
      <w:r w:rsidRPr="009978E3">
        <w:rPr>
          <w:sz w:val="22"/>
          <w:szCs w:val="22"/>
          <w:lang w:val="en-US"/>
        </w:rPr>
        <w:t xml:space="preserve">Late seafloor carbonate precipitation in serpentinites from the Rainbow and Saldanha sites (Mid-Atlantic Ridge). </w:t>
      </w:r>
      <w:r w:rsidRPr="009978E3">
        <w:rPr>
          <w:i/>
          <w:sz w:val="22"/>
          <w:szCs w:val="22"/>
          <w:lang w:val="en-US"/>
        </w:rPr>
        <w:t>European Journal of Mineralogy</w:t>
      </w:r>
      <w:r w:rsidRPr="009978E3">
        <w:rPr>
          <w:sz w:val="22"/>
          <w:szCs w:val="22"/>
          <w:lang w:val="en-US"/>
        </w:rPr>
        <w:t>, 20(2): 173–181.</w:t>
      </w:r>
    </w:p>
    <w:p w14:paraId="74CDCDA8" w14:textId="77777777" w:rsidR="006B3F46" w:rsidRPr="009978E3" w:rsidRDefault="006B3F46" w:rsidP="00907941">
      <w:pPr>
        <w:ind w:left="708" w:hanging="708"/>
        <w:jc w:val="both"/>
        <w:rPr>
          <w:sz w:val="22"/>
          <w:szCs w:val="22"/>
          <w:lang w:val="en-US"/>
        </w:rPr>
      </w:pPr>
      <w:r w:rsidRPr="009978E3">
        <w:rPr>
          <w:sz w:val="22"/>
          <w:szCs w:val="22"/>
          <w:lang w:val="en-US"/>
        </w:rPr>
        <w:t xml:space="preserve">Ribeiro, M. (2010). The “Rainbow”: The First National Marine Protected Area Proposed Under the High Seas. </w:t>
      </w:r>
      <w:r w:rsidRPr="009978E3">
        <w:rPr>
          <w:i/>
          <w:sz w:val="22"/>
          <w:szCs w:val="22"/>
          <w:lang w:val="en-US"/>
        </w:rPr>
        <w:t>International Journal of Marine and Coastal Law</w:t>
      </w:r>
      <w:r w:rsidRPr="009978E3">
        <w:rPr>
          <w:sz w:val="22"/>
          <w:szCs w:val="22"/>
          <w:lang w:val="en-US"/>
        </w:rPr>
        <w:t>, 25: 183–207.</w:t>
      </w:r>
    </w:p>
    <w:p w14:paraId="1657A304" w14:textId="77777777" w:rsidR="006B3F46" w:rsidRPr="009978E3" w:rsidRDefault="006B3F46" w:rsidP="00907941">
      <w:pPr>
        <w:ind w:left="708" w:hanging="708"/>
        <w:jc w:val="both"/>
        <w:rPr>
          <w:sz w:val="22"/>
          <w:szCs w:val="22"/>
          <w:lang w:val="en-US"/>
        </w:rPr>
      </w:pPr>
      <w:r w:rsidRPr="009978E3">
        <w:rPr>
          <w:sz w:val="22"/>
          <w:szCs w:val="22"/>
          <w:lang w:val="en-US"/>
        </w:rPr>
        <w:t>Riou, V.; Bouillon, S.; Serrão Santos, R.; Dehairs, F.; Colaço, A. (2010b) Tracing carbon assimilation in endosymbiotic deep-sea hydrothermal vent Mytilid fatty acids by 13Cfingerprinting. Biogeosciences, 7: 3453–3475.</w:t>
      </w:r>
    </w:p>
    <w:p w14:paraId="3B158308" w14:textId="77777777" w:rsidR="006B3F46" w:rsidRPr="009978E3" w:rsidRDefault="006B3F46" w:rsidP="00907941">
      <w:pPr>
        <w:ind w:left="708" w:hanging="708"/>
        <w:jc w:val="both"/>
        <w:rPr>
          <w:sz w:val="22"/>
          <w:szCs w:val="22"/>
          <w:lang w:val="en-US"/>
        </w:rPr>
      </w:pPr>
      <w:r w:rsidRPr="009978E3">
        <w:rPr>
          <w:sz w:val="22"/>
          <w:szCs w:val="22"/>
          <w:lang w:val="en-US"/>
        </w:rPr>
        <w:t>Riou, V.; Colaço, A.; Bouillon, S.; Khripounoff, A.; Dando, P.; Mangion P.; Chevalier, E.; Korntheuer, M.; Serrão Santos, R.; Dehairs, F. (2010a) The mixotrophic side of the deep sea hydrothermal, dual endosymbiotic, mytilid Bathymodiolus azoricus: assimilation of dissolved and particulate organic matter. Marine Ecology Progress Series, 405: 187-201.</w:t>
      </w:r>
    </w:p>
    <w:p w14:paraId="435094AF" w14:textId="77777777" w:rsidR="006B3F46" w:rsidRPr="009978E3" w:rsidRDefault="006B3F46" w:rsidP="00907941">
      <w:pPr>
        <w:ind w:left="708" w:hanging="708"/>
        <w:jc w:val="both"/>
        <w:rPr>
          <w:sz w:val="22"/>
          <w:szCs w:val="22"/>
          <w:lang w:val="en-US"/>
        </w:rPr>
      </w:pPr>
      <w:r w:rsidRPr="009978E3">
        <w:rPr>
          <w:sz w:val="22"/>
          <w:szCs w:val="22"/>
          <w:lang w:val="en-US"/>
        </w:rPr>
        <w:t>Riou, V.; Halary, S.; Duperron, S.; Bouillon, S.; Elskens, M.; Bettencourt, R.; Santos, R.; Dehairs, F.; Colaço, A. (2008) Influence of CH4 and H2S availability on symbiont distribution, carbon assimilation and transfer in the dual symbiotic vent mussel Bathymodiolus azoricus. Journal of Geophysical Research – Biogeosciences, 5: 1681-1691.</w:t>
      </w:r>
    </w:p>
    <w:p w14:paraId="0564E20F"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Roark, E. B., Guilderson, T. P., Dunbar, R. B., Fallon, S. J., &amp; Mucciarone, D. A. (2009). Extreme longevity in proteinaceous deep-sea corals. </w:t>
      </w:r>
      <w:r w:rsidRPr="009978E3">
        <w:rPr>
          <w:rFonts w:ascii="Times New Roman" w:hAnsi="Times New Roman" w:cs="Times New Roman"/>
          <w:i/>
          <w:iCs/>
          <w:sz w:val="22"/>
          <w:szCs w:val="22"/>
        </w:rPr>
        <w:t>Proceedings of the National Academy of Sciences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106</w:t>
      </w:r>
      <w:r w:rsidRPr="009978E3">
        <w:rPr>
          <w:rFonts w:ascii="Times New Roman" w:hAnsi="Times New Roman" w:cs="Times New Roman"/>
          <w:sz w:val="22"/>
          <w:szCs w:val="22"/>
        </w:rPr>
        <w:t>(13), 5204-5208.</w:t>
      </w:r>
    </w:p>
    <w:p w14:paraId="0A40FCD2"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Roberts, J. M., Henry, L. A., Long, D., &amp; Hartley, J. P. (2008). Cold-water coral reef frameworks, megafaunal communities and evidence for coral carbonate mounds on the Hatton Bank, north east Atlantic. </w:t>
      </w:r>
      <w:r w:rsidRPr="009978E3">
        <w:rPr>
          <w:rFonts w:ascii="Times New Roman" w:hAnsi="Times New Roman" w:cs="Times New Roman"/>
          <w:i/>
          <w:iCs/>
          <w:sz w:val="22"/>
          <w:szCs w:val="22"/>
        </w:rPr>
        <w:t>Facies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54</w:t>
      </w:r>
      <w:r w:rsidRPr="009978E3">
        <w:rPr>
          <w:rFonts w:ascii="Times New Roman" w:hAnsi="Times New Roman" w:cs="Times New Roman"/>
          <w:sz w:val="22"/>
          <w:szCs w:val="22"/>
        </w:rPr>
        <w:t>(3), 297-316.</w:t>
      </w:r>
    </w:p>
    <w:p w14:paraId="7A2FAD92"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Roberts, J. M., Henry, L. A., Long, D., &amp; Hartley, J. P. (2008). Cold-water coral reef frameworks, megafaunal communities and evidence for coral carbonate mounds on the Hatton Bank, north east Atlantic. </w:t>
      </w:r>
      <w:r w:rsidRPr="009978E3">
        <w:rPr>
          <w:rFonts w:ascii="Times New Roman" w:hAnsi="Times New Roman" w:cs="Times New Roman"/>
          <w:i/>
          <w:iCs/>
          <w:sz w:val="22"/>
          <w:szCs w:val="22"/>
        </w:rPr>
        <w:t>Facies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54</w:t>
      </w:r>
      <w:r w:rsidRPr="009978E3">
        <w:rPr>
          <w:rFonts w:ascii="Times New Roman" w:hAnsi="Times New Roman" w:cs="Times New Roman"/>
          <w:sz w:val="22"/>
          <w:szCs w:val="22"/>
        </w:rPr>
        <w:t>(3), 297-316.</w:t>
      </w:r>
    </w:p>
    <w:p w14:paraId="1222BD77" w14:textId="77777777" w:rsidR="006B3F46" w:rsidRPr="009978E3" w:rsidRDefault="006B3F46" w:rsidP="00907941">
      <w:pPr>
        <w:ind w:left="708" w:hanging="708"/>
        <w:jc w:val="both"/>
        <w:rPr>
          <w:sz w:val="22"/>
          <w:szCs w:val="22"/>
          <w:lang w:val="pt-PT"/>
        </w:rPr>
      </w:pPr>
      <w:r w:rsidRPr="009978E3">
        <w:rPr>
          <w:sz w:val="22"/>
          <w:szCs w:val="22"/>
          <w:lang w:val="en-US"/>
        </w:rPr>
        <w:t xml:space="preserve">Ruhl, H. A., André, M., Beranzoli, L., Çağatay, M. N., Colaço, A., Cannat, M., Dañobeitia, J., Favali, P., Géli, L., Gillooly, M., Greinert, J., hall, P., Huber, R., Karstensen, J., Lampitt, R., Larkin, K., Lykousis, V., Mienert, J., Miranda, J., Person, R., Priede, I., Thomsen, L. &amp;  Waldmann, C. (2011). Societal need for improved understanding of climate change, anthropogenic impacts, and geo-hazard warning drive development of ocean observatories in European Seas. </w:t>
      </w:r>
      <w:r w:rsidRPr="009978E3">
        <w:rPr>
          <w:i/>
          <w:sz w:val="22"/>
          <w:szCs w:val="22"/>
          <w:lang w:val="pt-PT"/>
        </w:rPr>
        <w:t>Progress in Oceanography</w:t>
      </w:r>
      <w:r w:rsidRPr="009978E3">
        <w:rPr>
          <w:sz w:val="22"/>
          <w:szCs w:val="22"/>
          <w:lang w:val="pt-PT"/>
        </w:rPr>
        <w:t xml:space="preserve">, 91(1): 1-33. </w:t>
      </w:r>
    </w:p>
    <w:p w14:paraId="59CB48C8" w14:textId="77777777" w:rsidR="006B3F46" w:rsidRPr="009978E3" w:rsidRDefault="006B3F46" w:rsidP="00907941">
      <w:pPr>
        <w:pStyle w:val="NoSpacing"/>
        <w:spacing w:line="240" w:lineRule="auto"/>
        <w:rPr>
          <w:rFonts w:ascii="Times New Roman" w:hAnsi="Times New Roman" w:cs="Times New Roman"/>
          <w:sz w:val="22"/>
          <w:szCs w:val="22"/>
          <w:lang w:val="pt-PT"/>
        </w:rPr>
      </w:pPr>
      <w:r w:rsidRPr="009978E3">
        <w:rPr>
          <w:rFonts w:ascii="Times New Roman" w:hAnsi="Times New Roman" w:cs="Times New Roman"/>
          <w:sz w:val="22"/>
          <w:szCs w:val="22"/>
          <w:lang w:val="pt-PT"/>
        </w:rPr>
        <w:t xml:space="preserve">Sampaio, Í., Freiwald, A., Porteiro, F. M., Menezes, G., &amp; Carreiro-Silva, M. (2019). </w:t>
      </w:r>
      <w:r w:rsidRPr="009978E3">
        <w:rPr>
          <w:rFonts w:ascii="Times New Roman" w:hAnsi="Times New Roman" w:cs="Times New Roman"/>
          <w:sz w:val="22"/>
          <w:szCs w:val="22"/>
        </w:rPr>
        <w:t xml:space="preserve">Census of Octocorallia (Cnidaria: Anthozoa) of the Azores (NE Atlantic): a nomenclature update. </w:t>
      </w:r>
      <w:r w:rsidRPr="009978E3">
        <w:rPr>
          <w:rFonts w:ascii="Times New Roman" w:hAnsi="Times New Roman" w:cs="Times New Roman"/>
          <w:i/>
          <w:sz w:val="22"/>
          <w:szCs w:val="22"/>
          <w:lang w:val="pt-PT"/>
        </w:rPr>
        <w:t>Zootaxa</w:t>
      </w:r>
      <w:r w:rsidRPr="009978E3">
        <w:rPr>
          <w:rFonts w:ascii="Times New Roman" w:hAnsi="Times New Roman" w:cs="Times New Roman"/>
          <w:sz w:val="22"/>
          <w:szCs w:val="22"/>
          <w:lang w:val="pt-PT"/>
        </w:rPr>
        <w:t>, 4550 (4), 451–498. http://dx.doi.org/10.11646/zootaxa.4550.4.1.</w:t>
      </w:r>
    </w:p>
    <w:p w14:paraId="66B41697" w14:textId="77777777" w:rsidR="006B3F46" w:rsidRPr="009978E3" w:rsidRDefault="006B3F46" w:rsidP="00907941">
      <w:pPr>
        <w:ind w:left="708" w:hanging="708"/>
        <w:jc w:val="both"/>
        <w:rPr>
          <w:sz w:val="22"/>
          <w:szCs w:val="22"/>
          <w:lang w:val="en-US"/>
        </w:rPr>
      </w:pPr>
      <w:r w:rsidRPr="009978E3">
        <w:rPr>
          <w:sz w:val="22"/>
          <w:szCs w:val="22"/>
          <w:lang w:val="pt-PT"/>
        </w:rPr>
        <w:t xml:space="preserve">Santos, R. &amp; Colaço, A. (2010). </w:t>
      </w:r>
      <w:r w:rsidRPr="009978E3">
        <w:rPr>
          <w:i/>
          <w:sz w:val="22"/>
          <w:szCs w:val="22"/>
          <w:lang w:val="en-US"/>
        </w:rPr>
        <w:t>Background Document for Oceanic ridges with hydrothermal vents/fields, Biodiversity Series,</w:t>
      </w:r>
      <w:r w:rsidRPr="009978E3">
        <w:rPr>
          <w:sz w:val="22"/>
          <w:szCs w:val="22"/>
          <w:lang w:val="en-US"/>
        </w:rPr>
        <w:t xml:space="preserve"> OSPAR Commission, 17pp.</w:t>
      </w:r>
    </w:p>
    <w:p w14:paraId="25D39B50" w14:textId="77777777" w:rsidR="006B3F46" w:rsidRPr="009978E3" w:rsidRDefault="006B3F46" w:rsidP="00907941">
      <w:pPr>
        <w:ind w:left="708" w:hanging="708"/>
        <w:jc w:val="both"/>
        <w:rPr>
          <w:sz w:val="22"/>
          <w:szCs w:val="22"/>
          <w:lang w:val="en-US"/>
        </w:rPr>
      </w:pPr>
      <w:r w:rsidRPr="009978E3">
        <w:rPr>
          <w:sz w:val="22"/>
          <w:szCs w:val="22"/>
          <w:lang w:val="pt-PT"/>
        </w:rPr>
        <w:t xml:space="preserve">Santos, R., Escartin, J., Colaço, A. &amp; Adamczewska, A. (2002). </w:t>
      </w:r>
      <w:r w:rsidRPr="009978E3">
        <w:rPr>
          <w:i/>
          <w:sz w:val="22"/>
          <w:szCs w:val="22"/>
          <w:lang w:val="en-US"/>
        </w:rPr>
        <w:t>Towards planning of seafloor observatory programs for the MAR region (Proceedings of the II MoMAR Workshop)</w:t>
      </w:r>
      <w:r w:rsidRPr="009978E3">
        <w:rPr>
          <w:sz w:val="22"/>
          <w:szCs w:val="22"/>
          <w:lang w:val="en-US"/>
        </w:rPr>
        <w:t>. Arquipélago–Life and Marine Sciences, University of the Azores, Ponta Delgada, (ISBN: 972-8612-11-7) Supplement 3: xii + 64pp.</w:t>
      </w:r>
    </w:p>
    <w:p w14:paraId="41FA1A96" w14:textId="77777777" w:rsidR="006B3F46" w:rsidRPr="009978E3" w:rsidRDefault="006B3F46" w:rsidP="00907941">
      <w:pPr>
        <w:ind w:left="708" w:hanging="708"/>
        <w:jc w:val="both"/>
        <w:rPr>
          <w:sz w:val="22"/>
          <w:szCs w:val="22"/>
          <w:lang w:val="en-US"/>
        </w:rPr>
      </w:pPr>
      <w:r w:rsidRPr="009978E3">
        <w:rPr>
          <w:sz w:val="22"/>
          <w:szCs w:val="22"/>
          <w:lang w:val="fr-FR"/>
        </w:rPr>
        <w:t xml:space="preserve">Sarrazin, J., Cuvelier, D., Peton, L., Legendre, P. &amp; Sarradin, P. (2014). </w:t>
      </w:r>
      <w:r w:rsidRPr="009978E3">
        <w:rPr>
          <w:sz w:val="22"/>
          <w:szCs w:val="22"/>
          <w:lang w:val="en-US"/>
        </w:rPr>
        <w:t xml:space="preserve">High-resolution dynamics of a deep-sea hydrothermal mussel assemblage monitored by the EMSO-Açores MoMAR observatory. </w:t>
      </w:r>
      <w:r w:rsidRPr="009978E3">
        <w:rPr>
          <w:i/>
          <w:sz w:val="22"/>
          <w:szCs w:val="22"/>
          <w:lang w:val="en-US"/>
        </w:rPr>
        <w:t>Deep Sea Research Part I: Oceanographic Research Papers,</w:t>
      </w:r>
      <w:r w:rsidRPr="009978E3">
        <w:rPr>
          <w:sz w:val="22"/>
          <w:szCs w:val="22"/>
          <w:lang w:val="en-US"/>
        </w:rPr>
        <w:t xml:space="preserve"> 90: 62-75.</w:t>
      </w:r>
    </w:p>
    <w:p w14:paraId="32DAD41F" w14:textId="77777777" w:rsidR="006B3F46" w:rsidRPr="009978E3" w:rsidRDefault="006B3F46" w:rsidP="00907941">
      <w:pPr>
        <w:ind w:left="708" w:hanging="708"/>
        <w:jc w:val="both"/>
        <w:rPr>
          <w:sz w:val="22"/>
          <w:szCs w:val="22"/>
          <w:lang w:val="en-US"/>
        </w:rPr>
      </w:pPr>
      <w:r w:rsidRPr="009978E3">
        <w:rPr>
          <w:sz w:val="22"/>
          <w:szCs w:val="22"/>
          <w:lang w:val="en-US"/>
        </w:rPr>
        <w:t>Sarrazin, J., Legendre, P., De Busserolles, F., Fabri, M.-C., Guilini, K., Ivanenko, V.N., Morineaux, M., Vanreusel, A., Sarradin, P.-M., 2015. Biodiversity patterns, environmental drivers and indicator species on a High-temperature Hydrothermal edifice, mid-Atlantic ridge. Deep Sea Research Part II: Topical Studies in Oceanography 121, 177-192.</w:t>
      </w:r>
    </w:p>
    <w:p w14:paraId="100864C2" w14:textId="77777777" w:rsidR="006B3F46" w:rsidRPr="009978E3" w:rsidRDefault="006B3F46" w:rsidP="00907941">
      <w:pPr>
        <w:ind w:left="708" w:hanging="708"/>
        <w:jc w:val="both"/>
        <w:rPr>
          <w:sz w:val="22"/>
          <w:szCs w:val="22"/>
          <w:lang w:val="en-US"/>
        </w:rPr>
      </w:pPr>
      <w:r w:rsidRPr="009978E3">
        <w:rPr>
          <w:sz w:val="22"/>
          <w:szCs w:val="22"/>
          <w:lang w:val="en-US"/>
        </w:rPr>
        <w:t xml:space="preserve">Schroeder, T., John, B. &amp; Frost, B. (2002). Geologic implications of seawater circulation through peridotite exposed at slow-spreading mid-ocean ridges. </w:t>
      </w:r>
      <w:r w:rsidRPr="009978E3">
        <w:rPr>
          <w:i/>
          <w:sz w:val="22"/>
          <w:szCs w:val="22"/>
          <w:lang w:val="en-US"/>
        </w:rPr>
        <w:t>Geology</w:t>
      </w:r>
      <w:r w:rsidRPr="009978E3">
        <w:rPr>
          <w:sz w:val="22"/>
          <w:szCs w:val="22"/>
          <w:lang w:val="en-US"/>
        </w:rPr>
        <w:t>, 30: 367–370.</w:t>
      </w:r>
    </w:p>
    <w:p w14:paraId="2D0E227F" w14:textId="77777777" w:rsidR="006B3F46" w:rsidRPr="009978E3" w:rsidRDefault="006B3F46" w:rsidP="00907941">
      <w:pPr>
        <w:ind w:left="708" w:hanging="708"/>
        <w:jc w:val="both"/>
        <w:rPr>
          <w:sz w:val="22"/>
          <w:szCs w:val="22"/>
          <w:lang w:val="en-US"/>
        </w:rPr>
      </w:pPr>
      <w:r w:rsidRPr="009978E3">
        <w:rPr>
          <w:sz w:val="22"/>
          <w:szCs w:val="22"/>
          <w:lang w:val="en-US"/>
        </w:rPr>
        <w:t xml:space="preserve">Seher, T., Crawford, W., Singh, S., Cannat, M., Combier V. &amp; Dusunur, D. (2010). Crustal velocity structure of the Lucky Strike segment of the Mid-Atlantic Ridge at 37°N from seismic refraction measurements. </w:t>
      </w:r>
      <w:r w:rsidRPr="009978E3">
        <w:rPr>
          <w:i/>
          <w:sz w:val="22"/>
          <w:szCs w:val="22"/>
          <w:lang w:val="en-US"/>
        </w:rPr>
        <w:t>Journal of Geophysical Research</w:t>
      </w:r>
      <w:r w:rsidRPr="009978E3">
        <w:rPr>
          <w:sz w:val="22"/>
          <w:szCs w:val="22"/>
          <w:lang w:val="en-US"/>
        </w:rPr>
        <w:t>, 115: B03103.</w:t>
      </w:r>
    </w:p>
    <w:p w14:paraId="124E2893" w14:textId="77777777" w:rsidR="006B3F46" w:rsidRPr="009978E3" w:rsidRDefault="006B3F46" w:rsidP="00907941">
      <w:pPr>
        <w:ind w:left="708" w:hanging="708"/>
        <w:jc w:val="both"/>
        <w:rPr>
          <w:sz w:val="22"/>
          <w:szCs w:val="22"/>
          <w:lang w:val="en-US"/>
        </w:rPr>
      </w:pPr>
      <w:r w:rsidRPr="009978E3">
        <w:rPr>
          <w:sz w:val="22"/>
          <w:szCs w:val="22"/>
          <w:lang w:val="en-US"/>
        </w:rPr>
        <w:t xml:space="preserve">Shank T., Fornari D., Von Damm K., Lilley M., Haymon R. &amp; Lutz R. (1998). Temporal and spatial patterns of biological community development at nascent deep-sea hydrothermal vents (9° N, East Pacific Rise). </w:t>
      </w:r>
      <w:r w:rsidRPr="009978E3">
        <w:rPr>
          <w:i/>
          <w:sz w:val="22"/>
          <w:szCs w:val="22"/>
          <w:lang w:val="en-US"/>
        </w:rPr>
        <w:t>Deep-Sea Research Part II</w:t>
      </w:r>
      <w:r w:rsidRPr="009978E3">
        <w:rPr>
          <w:sz w:val="22"/>
          <w:szCs w:val="22"/>
          <w:lang w:val="en-US"/>
        </w:rPr>
        <w:t>, 45: 465–516</w:t>
      </w:r>
    </w:p>
    <w:p w14:paraId="5B7738FC" w14:textId="77777777" w:rsidR="006B3F46" w:rsidRPr="009978E3" w:rsidRDefault="006B3F46" w:rsidP="00907941">
      <w:pPr>
        <w:ind w:left="708" w:hanging="708"/>
        <w:jc w:val="both"/>
        <w:rPr>
          <w:sz w:val="22"/>
          <w:szCs w:val="22"/>
          <w:lang w:val="en-US"/>
        </w:rPr>
      </w:pPr>
      <w:r w:rsidRPr="009978E3">
        <w:rPr>
          <w:sz w:val="22"/>
          <w:szCs w:val="22"/>
          <w:lang w:val="en-US"/>
        </w:rPr>
        <w:t xml:space="preserve">Shank, T. &amp; Martin, J. (2003). A new caridean shrimp of the family Alvinocarididae from thermal vents at Menez Gwen on the Mid-Atlantic Ridge. </w:t>
      </w:r>
      <w:r w:rsidRPr="009978E3">
        <w:rPr>
          <w:i/>
          <w:sz w:val="22"/>
          <w:szCs w:val="22"/>
          <w:lang w:val="en-US"/>
        </w:rPr>
        <w:t>Proceedings Biological Society of Washington</w:t>
      </w:r>
      <w:r w:rsidRPr="009978E3">
        <w:rPr>
          <w:sz w:val="22"/>
          <w:szCs w:val="22"/>
          <w:lang w:val="en-US"/>
        </w:rPr>
        <w:t>, 116(1): 158-167.</w:t>
      </w:r>
    </w:p>
    <w:p w14:paraId="07D2147C"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lang w:val="en-US"/>
        </w:rPr>
        <w:t xml:space="preserve">Sievert, S. M., &amp; Vetriani, C. (2012). </w:t>
      </w:r>
      <w:r w:rsidRPr="009978E3">
        <w:rPr>
          <w:rFonts w:ascii="Times New Roman" w:hAnsi="Times New Roman" w:cs="Times New Roman"/>
          <w:sz w:val="22"/>
          <w:szCs w:val="22"/>
        </w:rPr>
        <w:t xml:space="preserve">Chemoautotrophy at deep-sea vents: past, present, and future. </w:t>
      </w:r>
      <w:r w:rsidRPr="009978E3">
        <w:rPr>
          <w:rFonts w:ascii="Times New Roman" w:hAnsi="Times New Roman" w:cs="Times New Roman"/>
          <w:i/>
          <w:iCs/>
          <w:sz w:val="22"/>
          <w:szCs w:val="22"/>
        </w:rPr>
        <w:t>Oceanography</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25</w:t>
      </w:r>
      <w:r w:rsidRPr="009978E3">
        <w:rPr>
          <w:rFonts w:ascii="Times New Roman" w:hAnsi="Times New Roman" w:cs="Times New Roman"/>
          <w:sz w:val="22"/>
          <w:szCs w:val="22"/>
        </w:rPr>
        <w:t>(1), 218-233. Retrieved from http://www.jstor.org/stable/24861161</w:t>
      </w:r>
    </w:p>
    <w:p w14:paraId="216892F8" w14:textId="77777777" w:rsidR="006B3F46" w:rsidRPr="009978E3" w:rsidRDefault="006B3F46" w:rsidP="00907941">
      <w:pPr>
        <w:ind w:left="708" w:hanging="708"/>
        <w:jc w:val="both"/>
        <w:rPr>
          <w:sz w:val="22"/>
          <w:szCs w:val="22"/>
          <w:lang w:val="fr-FR"/>
        </w:rPr>
      </w:pPr>
      <w:r w:rsidRPr="009978E3">
        <w:rPr>
          <w:sz w:val="22"/>
          <w:szCs w:val="22"/>
          <w:lang w:val="en-US"/>
        </w:rPr>
        <w:t xml:space="preserve">Silva, M.A., Prieto, R., Jonsen, I., Baumgartner, M.F., Santos, R.S. 2013. North Atlantic Blue and Fin Whales Suspend Their Spring Migration to Forage in Middle Latitudes: Building up Energy Reserves for the Journey? </w:t>
      </w:r>
      <w:r w:rsidRPr="009978E3">
        <w:rPr>
          <w:sz w:val="22"/>
          <w:szCs w:val="22"/>
          <w:lang w:val="fr-FR"/>
        </w:rPr>
        <w:t>PLoS ONE 8(10): e76507. https://doi.org/10.1371/journal.pone.0076507</w:t>
      </w:r>
    </w:p>
    <w:p w14:paraId="43DAF73B" w14:textId="77777777" w:rsidR="006B3F46" w:rsidRPr="009978E3" w:rsidRDefault="006B3F46" w:rsidP="00907941">
      <w:pPr>
        <w:ind w:left="708" w:hanging="708"/>
        <w:jc w:val="both"/>
        <w:rPr>
          <w:sz w:val="22"/>
          <w:szCs w:val="22"/>
          <w:lang w:val="en-US"/>
        </w:rPr>
      </w:pPr>
      <w:r w:rsidRPr="009978E3">
        <w:rPr>
          <w:sz w:val="22"/>
          <w:szCs w:val="22"/>
          <w:lang w:val="fr-FR"/>
        </w:rPr>
        <w:t xml:space="preserve">Singh, S., Crawford, W., Carton, H., Seher, T., Combier, V., Cannat, M., Canales, J., Dusunur, D., Escartín, J. &amp; Miranda, J. (2006). </w:t>
      </w:r>
      <w:r w:rsidRPr="009978E3">
        <w:rPr>
          <w:sz w:val="22"/>
          <w:szCs w:val="22"/>
          <w:lang w:val="en-US"/>
        </w:rPr>
        <w:t xml:space="preserve">Discovery of a magma chamber and faults beneath a Mid-Atlantic Ridge hydrothermal field. </w:t>
      </w:r>
      <w:r w:rsidRPr="009978E3">
        <w:rPr>
          <w:i/>
          <w:sz w:val="22"/>
          <w:szCs w:val="22"/>
          <w:lang w:val="en-US"/>
        </w:rPr>
        <w:t>Nature</w:t>
      </w:r>
      <w:r w:rsidRPr="009978E3">
        <w:rPr>
          <w:sz w:val="22"/>
          <w:szCs w:val="22"/>
          <w:lang w:val="en-US"/>
        </w:rPr>
        <w:t>, 442: 1029–1032.</w:t>
      </w:r>
    </w:p>
    <w:p w14:paraId="424B62AF" w14:textId="77777777" w:rsidR="006B3F46" w:rsidRPr="009978E3" w:rsidRDefault="006B3F46" w:rsidP="00907941">
      <w:pPr>
        <w:ind w:left="708" w:hanging="708"/>
        <w:jc w:val="both"/>
        <w:rPr>
          <w:sz w:val="22"/>
          <w:szCs w:val="22"/>
          <w:lang w:val="en-US"/>
        </w:rPr>
      </w:pPr>
      <w:r w:rsidRPr="009978E3">
        <w:rPr>
          <w:sz w:val="22"/>
          <w:szCs w:val="22"/>
          <w:lang w:val="en-US"/>
        </w:rPr>
        <w:t xml:space="preserve">Smith, J., Campbell, B., Hanson, T., Zhang, C. &amp; Cary, S. (2008). </w:t>
      </w:r>
      <w:r w:rsidRPr="009978E3">
        <w:rPr>
          <w:i/>
          <w:sz w:val="22"/>
          <w:szCs w:val="22"/>
          <w:lang w:val="en-US"/>
        </w:rPr>
        <w:t>Nautilia profundicola</w:t>
      </w:r>
      <w:r w:rsidRPr="009978E3">
        <w:rPr>
          <w:sz w:val="22"/>
          <w:szCs w:val="22"/>
          <w:lang w:val="en-US"/>
        </w:rPr>
        <w:t xml:space="preserve"> sp. nov., a thermophilic, sulfur-reducing epsilonproteobacterium from deep-sea hydrothermal vents. </w:t>
      </w:r>
      <w:r w:rsidRPr="009978E3">
        <w:rPr>
          <w:i/>
          <w:sz w:val="22"/>
          <w:szCs w:val="22"/>
          <w:lang w:val="en-US"/>
        </w:rPr>
        <w:t>International journal of systematic and evolutionary microbiology</w:t>
      </w:r>
      <w:r w:rsidRPr="009978E3">
        <w:rPr>
          <w:sz w:val="22"/>
          <w:szCs w:val="22"/>
          <w:lang w:val="en-US"/>
        </w:rPr>
        <w:t>, 58(7): 1598-1602.</w:t>
      </w:r>
    </w:p>
    <w:p w14:paraId="61159BA7"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St Laurent, L. C., &amp; Thurnherr, A. M. (2007). Intense mixing of lower thermocline water on the crest of the Mid-Atlantic Ridge. </w:t>
      </w:r>
      <w:r w:rsidRPr="009978E3">
        <w:rPr>
          <w:rFonts w:ascii="Times New Roman" w:hAnsi="Times New Roman" w:cs="Times New Roman"/>
          <w:i/>
          <w:iCs/>
          <w:sz w:val="22"/>
          <w:szCs w:val="22"/>
        </w:rPr>
        <w:t>Nature</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448</w:t>
      </w:r>
      <w:r w:rsidRPr="009978E3">
        <w:rPr>
          <w:rFonts w:ascii="Times New Roman" w:hAnsi="Times New Roman" w:cs="Times New Roman"/>
          <w:sz w:val="22"/>
          <w:szCs w:val="22"/>
        </w:rPr>
        <w:t>(7154), 680–683.</w:t>
      </w:r>
    </w:p>
    <w:p w14:paraId="15014BD5" w14:textId="77777777" w:rsidR="006B3F46" w:rsidRPr="009978E3" w:rsidRDefault="006B3F46" w:rsidP="00907941">
      <w:pPr>
        <w:ind w:left="708" w:hanging="708"/>
        <w:jc w:val="both"/>
        <w:rPr>
          <w:sz w:val="22"/>
          <w:szCs w:val="22"/>
          <w:lang w:val="en-US"/>
        </w:rPr>
      </w:pPr>
      <w:r w:rsidRPr="009978E3">
        <w:rPr>
          <w:sz w:val="22"/>
          <w:szCs w:val="22"/>
          <w:lang w:val="en-US"/>
        </w:rPr>
        <w:t>Stöhr, S. &amp; Segonzac, M. (2005). Deep-sea ophiuroids (Echinodermata) from reducing and non-reducing environments in the North Atlantic Ocean. J</w:t>
      </w:r>
      <w:r w:rsidRPr="009978E3">
        <w:rPr>
          <w:i/>
          <w:sz w:val="22"/>
          <w:szCs w:val="22"/>
          <w:lang w:val="en-US"/>
        </w:rPr>
        <w:t>ournal of the Marine Biological Association of the UK</w:t>
      </w:r>
      <w:r w:rsidRPr="009978E3">
        <w:rPr>
          <w:sz w:val="22"/>
          <w:szCs w:val="22"/>
          <w:lang w:val="en-US"/>
        </w:rPr>
        <w:t>, 85(2): 383–402.</w:t>
      </w:r>
    </w:p>
    <w:p w14:paraId="6DC6EF03" w14:textId="77777777" w:rsidR="006B3F46" w:rsidRPr="009978E3" w:rsidRDefault="006B3F46" w:rsidP="00907941">
      <w:pPr>
        <w:ind w:left="708" w:hanging="708"/>
        <w:jc w:val="both"/>
        <w:rPr>
          <w:sz w:val="22"/>
          <w:szCs w:val="22"/>
          <w:lang w:val="en-US"/>
        </w:rPr>
      </w:pPr>
      <w:r w:rsidRPr="009978E3">
        <w:rPr>
          <w:sz w:val="22"/>
          <w:szCs w:val="22"/>
          <w:lang w:val="en-US"/>
        </w:rPr>
        <w:t xml:space="preserve">Synnes, M. (2007). Bioprospecting of organisms from the deep sea: scientific and environmental aspects. </w:t>
      </w:r>
      <w:r w:rsidRPr="009978E3">
        <w:rPr>
          <w:i/>
          <w:sz w:val="22"/>
          <w:szCs w:val="22"/>
          <w:lang w:val="en-US"/>
        </w:rPr>
        <w:t>Clean Technologies and Environmental Policy</w:t>
      </w:r>
      <w:r w:rsidRPr="009978E3">
        <w:rPr>
          <w:sz w:val="22"/>
          <w:szCs w:val="22"/>
          <w:lang w:val="en-US"/>
        </w:rPr>
        <w:t>, 9(1): 53-59.</w:t>
      </w:r>
    </w:p>
    <w:p w14:paraId="03CC2E9E" w14:textId="77777777" w:rsidR="006B3F46" w:rsidRPr="009978E3" w:rsidRDefault="006B3F46" w:rsidP="00907941">
      <w:pPr>
        <w:ind w:left="708" w:hanging="708"/>
        <w:jc w:val="both"/>
        <w:rPr>
          <w:sz w:val="22"/>
          <w:szCs w:val="22"/>
          <w:lang w:val="en-US"/>
        </w:rPr>
      </w:pPr>
      <w:r w:rsidRPr="009978E3">
        <w:rPr>
          <w:sz w:val="22"/>
          <w:szCs w:val="22"/>
          <w:lang w:val="en-US"/>
        </w:rPr>
        <w:t xml:space="preserve">Tagliabue, A., Bopp, L., Dutay, J., Bowie, A., Chever, F., Jean-Baptiste, P., Bucciarelli, E., Lannuzel, D., Remenyi, T., Sarthou, G., Aumont, O., Gehlen, M. &amp; Jeandel, C. (2010). Hydrothermal contribution to the oceanic dissolved iron inventory. </w:t>
      </w:r>
      <w:r w:rsidRPr="009978E3">
        <w:rPr>
          <w:i/>
          <w:sz w:val="22"/>
          <w:szCs w:val="22"/>
          <w:lang w:val="en-US"/>
        </w:rPr>
        <w:t>Nature Geoscience</w:t>
      </w:r>
      <w:r w:rsidRPr="009978E3">
        <w:rPr>
          <w:sz w:val="22"/>
          <w:szCs w:val="22"/>
          <w:lang w:val="en-US"/>
        </w:rPr>
        <w:t xml:space="preserve">, 3: 252–256. </w:t>
      </w:r>
    </w:p>
    <w:p w14:paraId="4B2525DC" w14:textId="77777777" w:rsidR="006B3F46" w:rsidRPr="009978E3" w:rsidRDefault="006B3F46" w:rsidP="00907941">
      <w:pPr>
        <w:ind w:left="708" w:hanging="708"/>
        <w:jc w:val="both"/>
        <w:rPr>
          <w:sz w:val="22"/>
          <w:szCs w:val="22"/>
          <w:lang w:val="nl-NL"/>
        </w:rPr>
      </w:pPr>
      <w:r w:rsidRPr="009978E3">
        <w:rPr>
          <w:sz w:val="22"/>
          <w:szCs w:val="22"/>
          <w:lang w:val="en-US"/>
        </w:rPr>
        <w:t xml:space="preserve">Takai, K. &amp; Nakamura, K. (2010). </w:t>
      </w:r>
      <w:r w:rsidRPr="009978E3">
        <w:rPr>
          <w:i/>
          <w:sz w:val="22"/>
          <w:szCs w:val="22"/>
          <w:lang w:val="en-US"/>
        </w:rPr>
        <w:t>Compositional, Physiological and Metabolic Variability in Microbial Communities Associated with Geochemically Diverse, Deep-Sea Hydrothermal Vent Fluids</w:t>
      </w:r>
      <w:r w:rsidRPr="009978E3">
        <w:rPr>
          <w:sz w:val="22"/>
          <w:szCs w:val="22"/>
          <w:lang w:val="en-US"/>
        </w:rPr>
        <w:t xml:space="preserve">, in: Barton, L., Mandl, M., Loy, A. (Eds.), Geomicrobiology: Molecular and Environmental Perspective. </w:t>
      </w:r>
      <w:r w:rsidRPr="009978E3">
        <w:rPr>
          <w:sz w:val="22"/>
          <w:szCs w:val="22"/>
          <w:lang w:val="nl-NL"/>
        </w:rPr>
        <w:t>Springer Netherlands, Dordrecht, pp. 251–283.</w:t>
      </w:r>
    </w:p>
    <w:p w14:paraId="6B2A472E" w14:textId="77777777" w:rsidR="006B3F46" w:rsidRPr="009978E3" w:rsidRDefault="006B3F46" w:rsidP="00907941">
      <w:pPr>
        <w:pStyle w:val="NoSpacing"/>
        <w:spacing w:line="240" w:lineRule="auto"/>
        <w:rPr>
          <w:rFonts w:ascii="Times New Roman" w:hAnsi="Times New Roman" w:cs="Times New Roman"/>
          <w:sz w:val="22"/>
          <w:szCs w:val="22"/>
          <w:lang w:val="pt-PT"/>
        </w:rPr>
      </w:pPr>
      <w:r w:rsidRPr="009978E3">
        <w:rPr>
          <w:rFonts w:ascii="Times New Roman" w:hAnsi="Times New Roman" w:cs="Times New Roman"/>
          <w:sz w:val="22"/>
          <w:szCs w:val="22"/>
        </w:rPr>
        <w:t xml:space="preserve">Teixeira S, Serrão EA, Arnaud-Haond S (2012) Panmixia in a Fragmented and Unstable Environment: The Hydrothermal Shrimp </w:t>
      </w:r>
      <w:r w:rsidRPr="009978E3">
        <w:rPr>
          <w:rFonts w:ascii="Times New Roman" w:hAnsi="Times New Roman" w:cs="Times New Roman"/>
          <w:i/>
          <w:iCs/>
          <w:sz w:val="22"/>
          <w:szCs w:val="22"/>
        </w:rPr>
        <w:t>Rimicaris exoculata</w:t>
      </w:r>
      <w:r w:rsidRPr="009978E3">
        <w:rPr>
          <w:rFonts w:ascii="Times New Roman" w:hAnsi="Times New Roman" w:cs="Times New Roman"/>
          <w:sz w:val="22"/>
          <w:szCs w:val="22"/>
        </w:rPr>
        <w:t xml:space="preserve"> Disperses Extensively along the Mid-Atlantic Ridge. </w:t>
      </w:r>
      <w:r w:rsidRPr="009978E3">
        <w:rPr>
          <w:rFonts w:ascii="Times New Roman" w:hAnsi="Times New Roman" w:cs="Times New Roman"/>
          <w:sz w:val="22"/>
          <w:szCs w:val="22"/>
          <w:lang w:val="pt-PT"/>
        </w:rPr>
        <w:t>PLoS ONE 7(6): e38521. https://doi.org/10.1371/journal.pone.0038521</w:t>
      </w:r>
    </w:p>
    <w:p w14:paraId="4FF99CE1"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lang w:val="pt-PT"/>
        </w:rPr>
        <w:t xml:space="preserve">Tempera, F., Atchoi, E., Amorim, J. Gomes-Pereira &amp; J. Gonçalves (2013). </w:t>
      </w:r>
      <w:r w:rsidRPr="009978E3">
        <w:rPr>
          <w:rFonts w:ascii="Times New Roman" w:hAnsi="Times New Roman" w:cs="Times New Roman"/>
          <w:sz w:val="22"/>
          <w:szCs w:val="22"/>
        </w:rPr>
        <w:t>Atlantic Area Marine Habitats. Adding new Macaronesian habitat types from the Azores to the EUNIS Habitat Classification. Technical Report No. 4/2013 - MeshAtlantic, IMAR/DOP-UAç, Horta, 126pp.</w:t>
      </w:r>
    </w:p>
    <w:p w14:paraId="3604569B" w14:textId="77777777" w:rsidR="006B3F46" w:rsidRPr="009978E3" w:rsidRDefault="006B3F46" w:rsidP="00907941">
      <w:pPr>
        <w:ind w:left="708" w:hanging="708"/>
        <w:jc w:val="both"/>
        <w:rPr>
          <w:sz w:val="22"/>
          <w:szCs w:val="22"/>
          <w:lang w:val="en-US"/>
        </w:rPr>
      </w:pPr>
      <w:r w:rsidRPr="009978E3">
        <w:rPr>
          <w:sz w:val="22"/>
          <w:szCs w:val="22"/>
          <w:lang w:val="en-US"/>
        </w:rPr>
        <w:t xml:space="preserve">Thurnherr A. &amp; Richards K. (2001) Hydrography and high temperature heat flux of the Rainbow hydrothermal site (36 degrees 14' N, Mid-Atlantic Ridge). </w:t>
      </w:r>
      <w:r w:rsidRPr="009978E3">
        <w:rPr>
          <w:i/>
          <w:sz w:val="22"/>
          <w:szCs w:val="22"/>
          <w:lang w:val="en-US"/>
        </w:rPr>
        <w:t>Journal of Geophysical Research</w:t>
      </w:r>
      <w:r w:rsidRPr="009978E3">
        <w:rPr>
          <w:sz w:val="22"/>
          <w:szCs w:val="22"/>
          <w:lang w:val="en-US"/>
        </w:rPr>
        <w:t>, 106: 9411–9426.</w:t>
      </w:r>
    </w:p>
    <w:p w14:paraId="5F7B3D3E" w14:textId="77777777" w:rsidR="006B3F46" w:rsidRPr="009978E3" w:rsidRDefault="006B3F46" w:rsidP="00907941">
      <w:pPr>
        <w:ind w:left="708" w:hanging="708"/>
        <w:jc w:val="both"/>
        <w:rPr>
          <w:sz w:val="22"/>
          <w:szCs w:val="22"/>
          <w:lang w:val="en-US"/>
        </w:rPr>
      </w:pPr>
      <w:r w:rsidRPr="009978E3">
        <w:rPr>
          <w:sz w:val="22"/>
          <w:szCs w:val="22"/>
          <w:lang w:val="en-US"/>
        </w:rPr>
        <w:t xml:space="preserve">Thurnherr, A., Richards, K., German, C., Lane-Serff, G. &amp; Speer, K. (2002). Flow and mixing in the rift valley of the Mid-Atlantic Ridge. </w:t>
      </w:r>
      <w:r w:rsidRPr="009978E3">
        <w:rPr>
          <w:i/>
          <w:sz w:val="22"/>
          <w:szCs w:val="22"/>
          <w:lang w:val="en-US"/>
        </w:rPr>
        <w:t>Journal of Physical Oceanography</w:t>
      </w:r>
      <w:r w:rsidRPr="009978E3">
        <w:rPr>
          <w:sz w:val="22"/>
          <w:szCs w:val="22"/>
          <w:lang w:val="en-US"/>
        </w:rPr>
        <w:t>, 132: 1763– 1778.</w:t>
      </w:r>
    </w:p>
    <w:p w14:paraId="15E95190" w14:textId="77777777" w:rsidR="006B3F46" w:rsidRPr="009978E3" w:rsidRDefault="006B3F46" w:rsidP="00907941">
      <w:pPr>
        <w:ind w:left="708" w:hanging="708"/>
        <w:jc w:val="both"/>
        <w:rPr>
          <w:sz w:val="22"/>
          <w:szCs w:val="22"/>
          <w:lang w:val="en-US"/>
        </w:rPr>
      </w:pPr>
      <w:r w:rsidRPr="009978E3">
        <w:rPr>
          <w:sz w:val="22"/>
          <w:szCs w:val="22"/>
          <w:lang w:val="en-US"/>
        </w:rPr>
        <w:t>Tufar, W., Tufar, E. &amp; Lange J. (1986). Ore paragenesis of recent hydrothermal deposits at the Cocos-Nazca plate boundary (Galapagos Rift) at 85</w:t>
      </w:r>
      <w:r w:rsidRPr="009978E3">
        <w:rPr>
          <w:color w:val="333333"/>
          <w:spacing w:val="2"/>
          <w:sz w:val="22"/>
          <w:szCs w:val="22"/>
          <w:shd w:val="clear" w:color="auto" w:fill="FCFCFC"/>
        </w:rPr>
        <w:t>‡</w:t>
      </w:r>
      <w:r w:rsidRPr="009978E3">
        <w:rPr>
          <w:sz w:val="22"/>
          <w:szCs w:val="22"/>
          <w:lang w:val="en-US"/>
        </w:rPr>
        <w:t>51′ and 85</w:t>
      </w:r>
      <w:r w:rsidRPr="009978E3">
        <w:rPr>
          <w:color w:val="333333"/>
          <w:spacing w:val="2"/>
          <w:sz w:val="22"/>
          <w:szCs w:val="22"/>
          <w:shd w:val="clear" w:color="auto" w:fill="FCFCFC"/>
        </w:rPr>
        <w:t>‡</w:t>
      </w:r>
      <w:r w:rsidRPr="009978E3">
        <w:rPr>
          <w:sz w:val="22"/>
          <w:szCs w:val="22"/>
          <w:lang w:val="en-US"/>
        </w:rPr>
        <w:t xml:space="preserve">55′W: Complex massive sulfide mineralizations, non-sulfidic mineralizations and mineralized basalts. </w:t>
      </w:r>
      <w:r w:rsidRPr="009978E3">
        <w:rPr>
          <w:i/>
          <w:sz w:val="22"/>
          <w:szCs w:val="22"/>
          <w:lang w:val="en-US"/>
        </w:rPr>
        <w:t>Geologische Rundschau</w:t>
      </w:r>
      <w:r w:rsidRPr="009978E3">
        <w:rPr>
          <w:sz w:val="22"/>
          <w:szCs w:val="22"/>
          <w:lang w:val="en-US"/>
        </w:rPr>
        <w:t>, 75(3): 829–861.</w:t>
      </w:r>
    </w:p>
    <w:p w14:paraId="32EAB337" w14:textId="77777777" w:rsidR="006B3F46" w:rsidRPr="009978E3" w:rsidRDefault="006B3F46" w:rsidP="00907941">
      <w:pPr>
        <w:ind w:left="708" w:hanging="708"/>
        <w:jc w:val="both"/>
        <w:rPr>
          <w:sz w:val="22"/>
          <w:szCs w:val="22"/>
          <w:lang w:val="en-US"/>
        </w:rPr>
      </w:pPr>
      <w:r w:rsidRPr="009978E3">
        <w:rPr>
          <w:sz w:val="22"/>
          <w:szCs w:val="22"/>
          <w:lang w:val="en-US"/>
        </w:rPr>
        <w:t xml:space="preserve">Tunnicliffe, V. &amp; Fowler, C. (1996). Influence of sea-floor spreading on the global hydrothermal vent fauna. </w:t>
      </w:r>
      <w:r w:rsidRPr="009978E3">
        <w:rPr>
          <w:i/>
          <w:sz w:val="22"/>
          <w:szCs w:val="22"/>
          <w:lang w:val="en-US"/>
        </w:rPr>
        <w:t>Nature</w:t>
      </w:r>
      <w:r w:rsidRPr="009978E3">
        <w:rPr>
          <w:sz w:val="22"/>
          <w:szCs w:val="22"/>
          <w:lang w:val="en-US"/>
        </w:rPr>
        <w:t>, 379(6565): 531.</w:t>
      </w:r>
    </w:p>
    <w:p w14:paraId="70EA1DC5" w14:textId="77777777" w:rsidR="006B3F46" w:rsidRPr="009978E3" w:rsidRDefault="006B3F46" w:rsidP="00907941">
      <w:pPr>
        <w:ind w:left="708" w:hanging="708"/>
        <w:jc w:val="both"/>
        <w:rPr>
          <w:sz w:val="22"/>
          <w:szCs w:val="22"/>
          <w:lang w:val="en-US"/>
        </w:rPr>
      </w:pPr>
      <w:r w:rsidRPr="009978E3">
        <w:rPr>
          <w:sz w:val="22"/>
          <w:szCs w:val="22"/>
          <w:lang w:val="en-US"/>
        </w:rPr>
        <w:t xml:space="preserve">Tunnicliffe, V., Embley, R., Holden, J., Butterfield, D., Massoth, G. &amp; Juniper, S. (1997). Biological colonization of new hydrothermal vents following an eruption on Juan de Fuca Ridge. </w:t>
      </w:r>
      <w:r w:rsidRPr="009978E3">
        <w:rPr>
          <w:i/>
          <w:sz w:val="22"/>
          <w:szCs w:val="22"/>
          <w:lang w:val="en-US"/>
        </w:rPr>
        <w:t>Deep Sea Research Part I: Oceanographic Research Papers</w:t>
      </w:r>
      <w:r w:rsidRPr="009978E3">
        <w:rPr>
          <w:sz w:val="22"/>
          <w:szCs w:val="22"/>
          <w:lang w:val="en-US"/>
        </w:rPr>
        <w:t>, 44(9): 1627-1644.</w:t>
      </w:r>
    </w:p>
    <w:p w14:paraId="6084F1C5" w14:textId="77777777" w:rsidR="006B3F46" w:rsidRPr="009978E3" w:rsidRDefault="006B3F46" w:rsidP="00907941">
      <w:pPr>
        <w:ind w:left="708" w:hanging="708"/>
        <w:jc w:val="both"/>
        <w:rPr>
          <w:sz w:val="22"/>
          <w:szCs w:val="22"/>
          <w:lang w:val="en-US"/>
        </w:rPr>
      </w:pPr>
      <w:r w:rsidRPr="009978E3">
        <w:rPr>
          <w:sz w:val="22"/>
          <w:szCs w:val="22"/>
          <w:lang w:val="en-US"/>
        </w:rPr>
        <w:t xml:space="preserve">Tunnicliffe, V., McArthur, A. &amp; McHugh, D. (1998). A Biogeographical Perspective of the Deep- Sea hydrothermal vent fauna. </w:t>
      </w:r>
      <w:r w:rsidRPr="009978E3">
        <w:rPr>
          <w:i/>
          <w:sz w:val="22"/>
          <w:szCs w:val="22"/>
          <w:lang w:val="en-US"/>
        </w:rPr>
        <w:t>Advances in Marine Biology</w:t>
      </w:r>
      <w:r w:rsidRPr="009978E3">
        <w:rPr>
          <w:sz w:val="22"/>
          <w:szCs w:val="22"/>
          <w:lang w:val="en-US"/>
        </w:rPr>
        <w:t>, 34: 353-442.</w:t>
      </w:r>
    </w:p>
    <w:p w14:paraId="673BFF49" w14:textId="77777777" w:rsidR="006B3F46" w:rsidRPr="009978E3" w:rsidRDefault="006B3F46" w:rsidP="00907941">
      <w:pPr>
        <w:ind w:left="708" w:hanging="708"/>
        <w:jc w:val="both"/>
        <w:rPr>
          <w:sz w:val="22"/>
          <w:szCs w:val="22"/>
          <w:lang w:val="en-US"/>
        </w:rPr>
      </w:pPr>
      <w:r w:rsidRPr="009978E3">
        <w:rPr>
          <w:sz w:val="22"/>
          <w:szCs w:val="22"/>
          <w:lang w:val="en-US"/>
        </w:rPr>
        <w:t xml:space="preserve">Van Dover, C., German, C., Speer, K., Parson, L. &amp; Vrijenhoek, R. (2002). Evolution and biogeography of deep-sea vent and seep invertebrates. </w:t>
      </w:r>
      <w:r w:rsidRPr="009978E3">
        <w:rPr>
          <w:i/>
          <w:sz w:val="22"/>
          <w:szCs w:val="22"/>
          <w:lang w:val="en-US"/>
        </w:rPr>
        <w:t>Science</w:t>
      </w:r>
      <w:r w:rsidRPr="009978E3">
        <w:rPr>
          <w:sz w:val="22"/>
          <w:szCs w:val="22"/>
          <w:lang w:val="en-US"/>
        </w:rPr>
        <w:t xml:space="preserve">, 295(5558): 1253–1257. </w:t>
      </w:r>
    </w:p>
    <w:p w14:paraId="03BD82DE" w14:textId="77777777" w:rsidR="006B3F46" w:rsidRPr="009978E3" w:rsidRDefault="006B3F46" w:rsidP="00907941">
      <w:pPr>
        <w:ind w:left="708" w:hanging="708"/>
        <w:jc w:val="both"/>
        <w:rPr>
          <w:sz w:val="22"/>
          <w:szCs w:val="22"/>
          <w:lang w:val="en-US"/>
        </w:rPr>
      </w:pPr>
      <w:r w:rsidRPr="009978E3">
        <w:rPr>
          <w:sz w:val="22"/>
          <w:szCs w:val="22"/>
          <w:lang w:val="en-US"/>
        </w:rPr>
        <w:t xml:space="preserve">Van Dover, C., Jenkins, C. &amp; Turnipseed, M. (2001) Corralling of larvae in the deep sea. </w:t>
      </w:r>
      <w:r w:rsidRPr="009978E3">
        <w:rPr>
          <w:i/>
          <w:sz w:val="22"/>
          <w:szCs w:val="22"/>
          <w:lang w:val="en-US"/>
        </w:rPr>
        <w:t>Journal of the Marine Biological Association of the United Kingdom</w:t>
      </w:r>
      <w:r w:rsidRPr="009978E3">
        <w:rPr>
          <w:sz w:val="22"/>
          <w:szCs w:val="22"/>
          <w:lang w:val="en-US"/>
        </w:rPr>
        <w:t>, 81: 823–826.</w:t>
      </w:r>
    </w:p>
    <w:p w14:paraId="18522EFB" w14:textId="77777777" w:rsidR="006B3F46" w:rsidRPr="009978E3" w:rsidRDefault="006B3F46" w:rsidP="00907941">
      <w:pPr>
        <w:ind w:left="708" w:hanging="708"/>
        <w:jc w:val="both"/>
        <w:rPr>
          <w:sz w:val="22"/>
          <w:szCs w:val="22"/>
          <w:lang w:val="en-US"/>
        </w:rPr>
      </w:pPr>
      <w:r w:rsidRPr="009978E3">
        <w:rPr>
          <w:sz w:val="22"/>
          <w:szCs w:val="22"/>
          <w:lang w:val="en-US"/>
        </w:rPr>
        <w:t>Van Dover, C.L. Arnaud-Haond, S. Gianni, M. Helmreich S., Huber J.A., Jaeckel A.L., Metaxas A., Pendleton L.H., Petersen S., Ramirez-Llodra E., Steinberg P.E., Tunnicliffe V., Yamamoto H.,2018. Scientific rationale and international obligations for protection of active hydrothermal vent ecosystems from deep-sea mining,Marine Policy, 90: 20-28</w:t>
      </w:r>
    </w:p>
    <w:p w14:paraId="23E10CBB" w14:textId="77777777" w:rsidR="006B3F46" w:rsidRPr="009978E3" w:rsidRDefault="006B3F46" w:rsidP="00907941">
      <w:pPr>
        <w:pStyle w:val="NoSpacing"/>
        <w:spacing w:line="240" w:lineRule="auto"/>
        <w:rPr>
          <w:rFonts w:ascii="Times New Roman" w:hAnsi="Times New Roman" w:cs="Times New Roman"/>
          <w:sz w:val="22"/>
          <w:szCs w:val="22"/>
          <w:lang w:val="pt-PT"/>
        </w:rPr>
      </w:pPr>
      <w:r w:rsidRPr="009978E3">
        <w:rPr>
          <w:rFonts w:ascii="Times New Roman" w:hAnsi="Times New Roman" w:cs="Times New Roman"/>
          <w:sz w:val="22"/>
          <w:szCs w:val="22"/>
        </w:rPr>
        <w:t>Van Oevelen, D. V., Duineveld, G., Lavaleye, M., Mienis, F., Soetaert, K., &amp; Heip, C. H. (2009). The cold</w:t>
      </w:r>
      <w:r w:rsidRPr="0021277B">
        <w:rPr>
          <w:rFonts w:ascii="Cambria Math" w:hAnsi="Cambria Math" w:cs="Cambria Math"/>
          <w:sz w:val="22"/>
          <w:szCs w:val="22"/>
        </w:rPr>
        <w:t>‐</w:t>
      </w:r>
      <w:r w:rsidRPr="00F66EF7">
        <w:rPr>
          <w:rFonts w:ascii="Times New Roman" w:hAnsi="Times New Roman" w:cs="Times New Roman"/>
          <w:sz w:val="22"/>
          <w:szCs w:val="22"/>
        </w:rPr>
        <w:t>water coral community as hotspot of carbon cycling on continental margins: A food</w:t>
      </w:r>
      <w:r w:rsidRPr="0021277B">
        <w:rPr>
          <w:rFonts w:ascii="Cambria Math" w:hAnsi="Cambria Math" w:cs="Cambria Math"/>
          <w:sz w:val="22"/>
          <w:szCs w:val="22"/>
        </w:rPr>
        <w:t>‐</w:t>
      </w:r>
      <w:r w:rsidRPr="00F66EF7">
        <w:rPr>
          <w:rFonts w:ascii="Times New Roman" w:hAnsi="Times New Roman" w:cs="Times New Roman"/>
          <w:sz w:val="22"/>
          <w:szCs w:val="22"/>
        </w:rPr>
        <w:t xml:space="preserve">web analysis from Rockall Bank (northeast Atlantic). </w:t>
      </w:r>
      <w:r w:rsidRPr="009978E3">
        <w:rPr>
          <w:rFonts w:ascii="Times New Roman" w:hAnsi="Times New Roman" w:cs="Times New Roman"/>
          <w:sz w:val="22"/>
          <w:szCs w:val="22"/>
          <w:lang w:val="pt-PT"/>
        </w:rPr>
        <w:t>Limnology and Oceanography, 54(6), 1829-1844.</w:t>
      </w:r>
    </w:p>
    <w:p w14:paraId="0BB22898" w14:textId="77777777" w:rsidR="006B3F46" w:rsidRPr="009978E3" w:rsidRDefault="006B3F46" w:rsidP="00907941">
      <w:pPr>
        <w:ind w:left="1134" w:hanging="1134"/>
        <w:jc w:val="both"/>
        <w:rPr>
          <w:rFonts w:eastAsia="Calibri"/>
          <w:sz w:val="22"/>
          <w:szCs w:val="22"/>
          <w:lang w:val="en-US"/>
        </w:rPr>
      </w:pPr>
      <w:r w:rsidRPr="009978E3">
        <w:rPr>
          <w:rFonts w:eastAsia="Calibri"/>
          <w:sz w:val="22"/>
          <w:szCs w:val="22"/>
          <w:lang w:val="pt-PT"/>
        </w:rPr>
        <w:t xml:space="preserve">Vandeperre F, Aires-da-Silva A, Fontes J, Santos M, Serrao Santos R, </w:t>
      </w:r>
      <w:r w:rsidRPr="0006066A">
        <w:rPr>
          <w:rFonts w:eastAsia="Calibri"/>
          <w:i/>
          <w:sz w:val="22"/>
          <w:szCs w:val="22"/>
          <w:lang w:val="pt-PT"/>
        </w:rPr>
        <w:t>et al</w:t>
      </w:r>
      <w:r w:rsidRPr="009978E3">
        <w:rPr>
          <w:rFonts w:eastAsia="Calibri"/>
          <w:sz w:val="22"/>
          <w:szCs w:val="22"/>
          <w:lang w:val="pt-PT"/>
        </w:rPr>
        <w:t xml:space="preserve">. </w:t>
      </w:r>
      <w:r w:rsidRPr="009978E3">
        <w:rPr>
          <w:rFonts w:eastAsia="Calibri"/>
          <w:sz w:val="22"/>
          <w:szCs w:val="22"/>
          <w:lang w:val="en-US"/>
        </w:rPr>
        <w:t>(2014) Movements of Blue Sharks ( Prionace  glauca ) across Their Life History. PLoS ONE 9(8): e103538. doi:10.1371/journal.pone.0103538</w:t>
      </w:r>
    </w:p>
    <w:p w14:paraId="4CCC0DB5" w14:textId="77777777" w:rsidR="006B3F46" w:rsidRPr="009978E3" w:rsidRDefault="006B3F46" w:rsidP="00907941">
      <w:pPr>
        <w:ind w:left="708" w:hanging="708"/>
        <w:jc w:val="both"/>
        <w:rPr>
          <w:sz w:val="22"/>
          <w:szCs w:val="22"/>
          <w:lang w:val="en-US"/>
        </w:rPr>
      </w:pPr>
      <w:r w:rsidRPr="009978E3">
        <w:rPr>
          <w:sz w:val="22"/>
          <w:szCs w:val="22"/>
          <w:lang w:val="en-US"/>
        </w:rPr>
        <w:t xml:space="preserve">Von Damm, K., Bray, A., Buttermore, L. &amp; Oosting, S. (1998). The geochemical controls on vent fluids from the Lucky Strike vent field, Mid-Atlantic Ridge. </w:t>
      </w:r>
      <w:r w:rsidRPr="009978E3">
        <w:rPr>
          <w:i/>
          <w:sz w:val="22"/>
          <w:szCs w:val="22"/>
          <w:lang w:val="en-US"/>
        </w:rPr>
        <w:t>Earth and Planetary Science Letters</w:t>
      </w:r>
      <w:r w:rsidRPr="009978E3">
        <w:rPr>
          <w:sz w:val="22"/>
          <w:szCs w:val="22"/>
          <w:lang w:val="en-US"/>
        </w:rPr>
        <w:t>, 160: 521–536.</w:t>
      </w:r>
    </w:p>
    <w:p w14:paraId="4B36C553" w14:textId="77777777" w:rsidR="006B3F46" w:rsidRPr="009978E3" w:rsidRDefault="006B3F46" w:rsidP="00907941">
      <w:pPr>
        <w:ind w:left="708" w:hanging="708"/>
        <w:jc w:val="both"/>
        <w:rPr>
          <w:sz w:val="22"/>
          <w:szCs w:val="22"/>
          <w:lang w:val="en-US"/>
        </w:rPr>
      </w:pPr>
      <w:r w:rsidRPr="009978E3">
        <w:rPr>
          <w:sz w:val="22"/>
          <w:szCs w:val="22"/>
          <w:lang w:val="en-US"/>
        </w:rPr>
        <w:t>Vrijenhoek, R. (2010). Genetic diversity and connectivity of deep</w:t>
      </w:r>
      <w:r w:rsidRPr="0021277B">
        <w:rPr>
          <w:rFonts w:ascii="Cambria Math" w:hAnsi="Cambria Math" w:cs="Cambria Math"/>
          <w:sz w:val="22"/>
          <w:szCs w:val="22"/>
          <w:lang w:val="en-US"/>
        </w:rPr>
        <w:t>‐</w:t>
      </w:r>
      <w:r w:rsidRPr="00F66EF7">
        <w:rPr>
          <w:sz w:val="22"/>
          <w:szCs w:val="22"/>
          <w:lang w:val="en-US"/>
        </w:rPr>
        <w:t>se</w:t>
      </w:r>
      <w:r w:rsidRPr="009978E3">
        <w:rPr>
          <w:sz w:val="22"/>
          <w:szCs w:val="22"/>
          <w:lang w:val="en-US"/>
        </w:rPr>
        <w:t xml:space="preserve">a hydrothermal vent metapopulations. </w:t>
      </w:r>
      <w:r w:rsidRPr="009978E3">
        <w:rPr>
          <w:i/>
          <w:sz w:val="22"/>
          <w:szCs w:val="22"/>
          <w:lang w:val="en-US"/>
        </w:rPr>
        <w:t>Molecular ecology</w:t>
      </w:r>
      <w:r w:rsidRPr="009978E3">
        <w:rPr>
          <w:sz w:val="22"/>
          <w:szCs w:val="22"/>
          <w:lang w:val="en-US"/>
        </w:rPr>
        <w:t>, 19(20): 4391-4411.</w:t>
      </w:r>
    </w:p>
    <w:p w14:paraId="0F3CE290" w14:textId="77777777" w:rsidR="006B3F46" w:rsidRPr="009978E3" w:rsidRDefault="006B3F46" w:rsidP="00907941">
      <w:pPr>
        <w:pStyle w:val="NoSpacing"/>
        <w:spacing w:line="240" w:lineRule="auto"/>
        <w:rPr>
          <w:rFonts w:ascii="Times New Roman" w:hAnsi="Times New Roman" w:cs="Times New Roman"/>
          <w:sz w:val="22"/>
          <w:szCs w:val="22"/>
          <w:lang w:val="en-US"/>
        </w:rPr>
      </w:pPr>
      <w:r w:rsidRPr="009978E3">
        <w:rPr>
          <w:rFonts w:ascii="Times New Roman" w:hAnsi="Times New Roman" w:cs="Times New Roman"/>
          <w:sz w:val="22"/>
          <w:szCs w:val="22"/>
        </w:rPr>
        <w:t xml:space="preserve">Watling, L., Haedrich, R.L., Devine, J., Drazen, J., Dunn, M.R., Gianni, M., Baker, K., Cailliet, G., Figueiredo, I., Kyne, P.M., Menezes, G., Neat, F., Orlov, A., Duran, P., Perez, J.A., Ardron, J.A., Bezaury, </w:t>
      </w:r>
      <w:r w:rsidRPr="009978E3">
        <w:rPr>
          <w:rFonts w:ascii="Times New Roman" w:hAnsi="Times New Roman" w:cs="Times New Roman"/>
          <w:sz w:val="22"/>
          <w:szCs w:val="22"/>
          <w:lang w:val="en-US"/>
        </w:rPr>
        <w:t xml:space="preserve">J., Revenga, C. &amp; Nouvian, C. (2011). </w:t>
      </w:r>
      <w:r w:rsidRPr="009978E3">
        <w:rPr>
          <w:rFonts w:ascii="Times New Roman" w:hAnsi="Times New Roman" w:cs="Times New Roman"/>
          <w:i/>
          <w:sz w:val="22"/>
          <w:szCs w:val="22"/>
        </w:rPr>
        <w:t>Can ecosystem-based deep-sea fishing be sustained? Report of a workshop held 31 August-3 September 2010. Walpole</w:t>
      </w:r>
      <w:r w:rsidRPr="009978E3">
        <w:rPr>
          <w:rFonts w:ascii="Times New Roman" w:hAnsi="Times New Roman" w:cs="Times New Roman"/>
          <w:sz w:val="22"/>
          <w:szCs w:val="22"/>
        </w:rPr>
        <w:t>, ME: University of Maine, Darling Marine Center. Darling Marine Center Special Publication 11-1. 84p.</w:t>
      </w:r>
    </w:p>
    <w:p w14:paraId="2DCC66E3"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rPr>
        <w:t xml:space="preserve">White, M., Wolff, G. A., Lundälv, T., Guihen, D., Kiriakoulakis, K., Lavaleye, M. S. S., </w:t>
      </w:r>
      <w:r w:rsidRPr="0006066A">
        <w:rPr>
          <w:rFonts w:ascii="Times New Roman" w:hAnsi="Times New Roman" w:cs="Times New Roman"/>
          <w:i/>
          <w:sz w:val="22"/>
          <w:szCs w:val="22"/>
        </w:rPr>
        <w:t>et al</w:t>
      </w:r>
      <w:r w:rsidRPr="009978E3">
        <w:rPr>
          <w:rFonts w:ascii="Times New Roman" w:hAnsi="Times New Roman" w:cs="Times New Roman"/>
          <w:sz w:val="22"/>
          <w:szCs w:val="22"/>
        </w:rPr>
        <w:t>. (2012). Cold-water coral ecosystem (Tisler Reef, Norwegian shelf) may be a hotspot for carbon cycling. Marine Ecology Progress Series, 465, 11–23.</w:t>
      </w:r>
    </w:p>
    <w:p w14:paraId="1593CB43" w14:textId="77777777" w:rsidR="006B3F46" w:rsidRPr="009978E3" w:rsidRDefault="006B3F46" w:rsidP="00907941">
      <w:pPr>
        <w:ind w:left="708" w:hanging="708"/>
        <w:jc w:val="both"/>
        <w:rPr>
          <w:sz w:val="22"/>
          <w:szCs w:val="22"/>
          <w:lang w:val="pt-PT"/>
        </w:rPr>
      </w:pPr>
      <w:r w:rsidRPr="009978E3">
        <w:rPr>
          <w:sz w:val="22"/>
          <w:szCs w:val="22"/>
          <w:lang w:val="en-US"/>
        </w:rPr>
        <w:t xml:space="preserve">Wu, J., Wells, M. &amp; Rember, R. (2011). Dissolved iron anomaly in the deep tropical–subtropical Pacific: Evidence for long-range transport of hydrothermal iron. </w:t>
      </w:r>
      <w:r w:rsidRPr="009978E3">
        <w:rPr>
          <w:i/>
          <w:sz w:val="22"/>
          <w:szCs w:val="22"/>
          <w:lang w:val="pt-PT"/>
        </w:rPr>
        <w:t>Geochimica et Cosmochimica Acta</w:t>
      </w:r>
      <w:r w:rsidRPr="009978E3">
        <w:rPr>
          <w:sz w:val="22"/>
          <w:szCs w:val="22"/>
          <w:lang w:val="pt-PT"/>
        </w:rPr>
        <w:t xml:space="preserve"> 75: 460–468. </w:t>
      </w:r>
    </w:p>
    <w:p w14:paraId="61E9970A" w14:textId="77777777" w:rsidR="006B3F46" w:rsidRPr="009978E3" w:rsidRDefault="006B3F46" w:rsidP="00907941">
      <w:pPr>
        <w:pStyle w:val="NoSpacing"/>
        <w:spacing w:line="240" w:lineRule="auto"/>
        <w:rPr>
          <w:rFonts w:ascii="Times New Roman" w:hAnsi="Times New Roman" w:cs="Times New Roman"/>
          <w:sz w:val="22"/>
          <w:szCs w:val="22"/>
        </w:rPr>
      </w:pPr>
      <w:r w:rsidRPr="009978E3">
        <w:rPr>
          <w:rFonts w:ascii="Times New Roman" w:hAnsi="Times New Roman" w:cs="Times New Roman"/>
          <w:sz w:val="22"/>
          <w:szCs w:val="22"/>
          <w:lang w:val="pt-PT"/>
        </w:rPr>
        <w:t xml:space="preserve">Yesson, C., Taylor, M. L., Tittensor, D. P., Davies, A. J., Guinotte, J., Baco, A., ... </w:t>
      </w:r>
      <w:r w:rsidRPr="009978E3">
        <w:rPr>
          <w:rFonts w:ascii="Times New Roman" w:hAnsi="Times New Roman" w:cs="Times New Roman"/>
          <w:sz w:val="22"/>
          <w:szCs w:val="22"/>
        </w:rPr>
        <w:t>&amp; Rogers, A. D. (2012). Global habitat suitability of cold</w:t>
      </w:r>
      <w:r w:rsidRPr="0021277B">
        <w:rPr>
          <w:rFonts w:ascii="Cambria Math" w:hAnsi="Cambria Math" w:cs="Cambria Math"/>
          <w:sz w:val="22"/>
          <w:szCs w:val="22"/>
        </w:rPr>
        <w:t>‐</w:t>
      </w:r>
      <w:r w:rsidRPr="00F66EF7">
        <w:rPr>
          <w:rFonts w:ascii="Times New Roman" w:hAnsi="Times New Roman" w:cs="Times New Roman"/>
          <w:sz w:val="22"/>
          <w:szCs w:val="22"/>
        </w:rPr>
        <w:t>water octocorals.</w:t>
      </w:r>
      <w:r w:rsidRPr="009978E3">
        <w:rPr>
          <w:rFonts w:ascii="Times New Roman" w:hAnsi="Times New Roman" w:cs="Times New Roman"/>
          <w:sz w:val="22"/>
          <w:szCs w:val="22"/>
        </w:rPr>
        <w:t> </w:t>
      </w:r>
      <w:r w:rsidRPr="009978E3">
        <w:rPr>
          <w:rFonts w:ascii="Times New Roman" w:hAnsi="Times New Roman" w:cs="Times New Roman"/>
          <w:i/>
          <w:iCs/>
          <w:sz w:val="22"/>
          <w:szCs w:val="22"/>
        </w:rPr>
        <w:t>Journal of Biogeography</w:t>
      </w:r>
      <w:r w:rsidRPr="009978E3">
        <w:rPr>
          <w:rFonts w:ascii="Times New Roman" w:hAnsi="Times New Roman" w:cs="Times New Roman"/>
          <w:sz w:val="22"/>
          <w:szCs w:val="22"/>
        </w:rPr>
        <w:t>, </w:t>
      </w:r>
      <w:r w:rsidRPr="009978E3">
        <w:rPr>
          <w:rFonts w:ascii="Times New Roman" w:hAnsi="Times New Roman" w:cs="Times New Roman"/>
          <w:i/>
          <w:iCs/>
          <w:sz w:val="22"/>
          <w:szCs w:val="22"/>
        </w:rPr>
        <w:t>39</w:t>
      </w:r>
      <w:r w:rsidRPr="009978E3">
        <w:rPr>
          <w:rFonts w:ascii="Times New Roman" w:hAnsi="Times New Roman" w:cs="Times New Roman"/>
          <w:sz w:val="22"/>
          <w:szCs w:val="22"/>
        </w:rPr>
        <w:t>(7), 1278-1292.</w:t>
      </w:r>
    </w:p>
    <w:p w14:paraId="59544255" w14:textId="77777777" w:rsidR="006B3F46" w:rsidRPr="009978E3" w:rsidRDefault="006B3F46" w:rsidP="00907941">
      <w:pPr>
        <w:ind w:left="708" w:hanging="708"/>
        <w:jc w:val="both"/>
        <w:rPr>
          <w:sz w:val="22"/>
          <w:szCs w:val="22"/>
          <w:lang w:val="en-US"/>
        </w:rPr>
      </w:pPr>
      <w:r w:rsidRPr="009978E3">
        <w:rPr>
          <w:sz w:val="22"/>
          <w:szCs w:val="22"/>
          <w:lang w:val="en-US"/>
        </w:rPr>
        <w:t xml:space="preserve">Young, P. (1998). Cirripeds (Crustacea) from the Mid-Atlantic Ridge collected by the submersible Nautile. </w:t>
      </w:r>
      <w:r w:rsidRPr="009978E3">
        <w:rPr>
          <w:i/>
          <w:sz w:val="22"/>
          <w:szCs w:val="22"/>
          <w:lang w:val="en-US"/>
        </w:rPr>
        <w:t>Cahiers de Biologie Marine</w:t>
      </w:r>
      <w:r w:rsidRPr="009978E3">
        <w:rPr>
          <w:sz w:val="22"/>
          <w:szCs w:val="22"/>
          <w:lang w:val="en-US"/>
        </w:rPr>
        <w:t>, 39(2): 109–119.</w:t>
      </w:r>
    </w:p>
    <w:p w14:paraId="10819FB5" w14:textId="77777777" w:rsidR="006B3F46" w:rsidRPr="009978E3" w:rsidRDefault="006B3F46" w:rsidP="00907941">
      <w:pPr>
        <w:ind w:left="708" w:hanging="708"/>
        <w:jc w:val="both"/>
        <w:rPr>
          <w:sz w:val="22"/>
          <w:szCs w:val="22"/>
          <w:lang w:val="en-US"/>
        </w:rPr>
      </w:pPr>
      <w:r w:rsidRPr="009978E3">
        <w:rPr>
          <w:sz w:val="22"/>
          <w:szCs w:val="22"/>
          <w:lang w:val="en-US"/>
        </w:rPr>
        <w:t xml:space="preserve">Young, P. (2001). Deep-sea Cirripedia Thoracica (Crustacea) from the northeastern Atlantic collected by French expeditions. </w:t>
      </w:r>
      <w:r w:rsidRPr="009978E3">
        <w:rPr>
          <w:i/>
          <w:sz w:val="22"/>
          <w:szCs w:val="22"/>
          <w:lang w:val="en-US"/>
        </w:rPr>
        <w:t>Zoosystema</w:t>
      </w:r>
      <w:r w:rsidRPr="009978E3">
        <w:rPr>
          <w:sz w:val="22"/>
          <w:szCs w:val="22"/>
          <w:lang w:val="en-US"/>
        </w:rPr>
        <w:t xml:space="preserve">, 23(4):5–756. </w:t>
      </w:r>
    </w:p>
    <w:p w14:paraId="57D89AA6" w14:textId="77777777" w:rsidR="006B3F46" w:rsidRDefault="006B3F46" w:rsidP="00907941">
      <w:pPr>
        <w:pStyle w:val="NoSpacing"/>
        <w:spacing w:line="240" w:lineRule="auto"/>
        <w:rPr>
          <w:rFonts w:ascii="Times New Roman" w:eastAsia="Malgun Gothic" w:hAnsi="Times New Roman" w:cs="Times New Roman"/>
          <w:sz w:val="22"/>
          <w:szCs w:val="22"/>
          <w:lang w:eastAsia="en-CA"/>
        </w:rPr>
      </w:pPr>
    </w:p>
    <w:p w14:paraId="2BB1BF7A" w14:textId="77777777" w:rsidR="006B3F46" w:rsidRDefault="006B3F46" w:rsidP="00907941">
      <w:pPr>
        <w:pStyle w:val="NoSpacing"/>
        <w:spacing w:line="240" w:lineRule="auto"/>
        <w:rPr>
          <w:rFonts w:ascii="Times New Roman" w:eastAsia="Malgun Gothic" w:hAnsi="Times New Roman" w:cs="Times New Roman"/>
          <w:sz w:val="22"/>
          <w:szCs w:val="22"/>
          <w:lang w:eastAsia="en-CA"/>
        </w:rPr>
      </w:pPr>
    </w:p>
    <w:p w14:paraId="5D0B77BF" w14:textId="77777777" w:rsidR="006B3F46" w:rsidRPr="009978E3" w:rsidRDefault="006B3F46" w:rsidP="00907941">
      <w:pPr>
        <w:pStyle w:val="NoSpacing"/>
        <w:spacing w:line="240" w:lineRule="auto"/>
        <w:rPr>
          <w:rFonts w:ascii="Times New Roman" w:hAnsi="Times New Roman" w:cs="Times New Roman"/>
          <w:sz w:val="22"/>
          <w:szCs w:val="22"/>
        </w:rPr>
      </w:pPr>
    </w:p>
    <w:p w14:paraId="708A54A2" w14:textId="2394DB3C" w:rsidR="006B3F46" w:rsidRPr="009978E3" w:rsidRDefault="006B3F46" w:rsidP="002E4B39">
      <w:pPr>
        <w:keepNext/>
        <w:ind w:left="709" w:hanging="709"/>
        <w:jc w:val="both"/>
        <w:rPr>
          <w:rFonts w:eastAsia="MS Mincho"/>
          <w:b/>
          <w:sz w:val="22"/>
          <w:szCs w:val="22"/>
          <w:lang w:val="en-US"/>
        </w:rPr>
      </w:pPr>
      <w:r w:rsidRPr="009978E3">
        <w:rPr>
          <w:rFonts w:eastAsia="MS Mincho"/>
          <w:b/>
          <w:sz w:val="22"/>
          <w:szCs w:val="22"/>
          <w:lang w:val="en-US"/>
        </w:rPr>
        <w:t>Maps and Figures</w:t>
      </w:r>
    </w:p>
    <w:p w14:paraId="05DDC91C" w14:textId="77777777" w:rsidR="006B3F46" w:rsidRDefault="009E53BE" w:rsidP="00907941">
      <w:pPr>
        <w:ind w:left="708" w:hanging="708"/>
        <w:jc w:val="both"/>
        <w:rPr>
          <w:rFonts w:eastAsia="MS Mincho"/>
          <w:b/>
          <w:sz w:val="22"/>
          <w:szCs w:val="22"/>
          <w:lang w:val="en-US"/>
        </w:rPr>
      </w:pPr>
      <w:r>
        <w:pict w14:anchorId="4289CCC2">
          <v:shape id="_x0000_i1127" type="#_x0000_t75" style="width:6in;height:6in">
            <v:imagedata r:id="rId254" o:title=""/>
          </v:shape>
        </w:pict>
      </w:r>
    </w:p>
    <w:p w14:paraId="2878ED32" w14:textId="77777777" w:rsidR="006B3F46" w:rsidRDefault="006B3F46" w:rsidP="00907941">
      <w:pPr>
        <w:jc w:val="both"/>
        <w:rPr>
          <w:rFonts w:eastAsia="MS Mincho"/>
          <w:b/>
          <w:sz w:val="22"/>
          <w:szCs w:val="22"/>
          <w:lang w:val="en-US"/>
        </w:rPr>
      </w:pPr>
    </w:p>
    <w:p w14:paraId="42306F94" w14:textId="77777777" w:rsidR="006B3F46" w:rsidRPr="0021277B" w:rsidRDefault="006B3F46" w:rsidP="00907941">
      <w:pPr>
        <w:ind w:left="708" w:hanging="708"/>
        <w:jc w:val="center"/>
        <w:rPr>
          <w:rFonts w:eastAsia="MS Mincho"/>
          <w:b/>
          <w:bCs/>
          <w:sz w:val="22"/>
          <w:szCs w:val="22"/>
          <w:lang w:val="en-US"/>
        </w:rPr>
      </w:pPr>
      <w:r w:rsidRPr="0021277B">
        <w:rPr>
          <w:rFonts w:eastAsia="MS Mincho"/>
          <w:b/>
          <w:bCs/>
          <w:sz w:val="22"/>
          <w:szCs w:val="22"/>
          <w:lang w:val="en-US"/>
        </w:rPr>
        <w:t>Location of area no. 11: Ridge South of the Azores</w:t>
      </w:r>
    </w:p>
    <w:p w14:paraId="5735677E" w14:textId="77777777" w:rsidR="006B3F46" w:rsidRPr="009978E3" w:rsidRDefault="006B3F46" w:rsidP="00907941">
      <w:pPr>
        <w:ind w:left="708" w:hanging="708"/>
        <w:jc w:val="both"/>
        <w:rPr>
          <w:rFonts w:eastAsia="MS Mincho"/>
          <w:b/>
          <w:sz w:val="22"/>
          <w:szCs w:val="22"/>
          <w:lang w:val="en-US"/>
        </w:rPr>
      </w:pPr>
    </w:p>
    <w:p w14:paraId="36D027BD" w14:textId="77777777" w:rsidR="006B3F46" w:rsidRPr="009978E3" w:rsidRDefault="006B3F46" w:rsidP="00907941">
      <w:pPr>
        <w:jc w:val="center"/>
        <w:rPr>
          <w:rFonts w:eastAsia="MS Mincho"/>
          <w:b/>
          <w:color w:val="000000"/>
          <w:sz w:val="22"/>
          <w:szCs w:val="22"/>
          <w:lang w:val="en-US"/>
        </w:rPr>
      </w:pPr>
      <w:r w:rsidRPr="009978E3">
        <w:rPr>
          <w:rFonts w:eastAsia="MS Mincho"/>
          <w:bCs/>
          <w:sz w:val="22"/>
          <w:szCs w:val="22"/>
          <w:lang w:val="en-US"/>
        </w:rPr>
        <w:br w:type="page"/>
      </w:r>
      <w:r w:rsidRPr="009978E3">
        <w:rPr>
          <w:rFonts w:eastAsia="MS Mincho"/>
          <w:b/>
          <w:color w:val="000000"/>
          <w:sz w:val="22"/>
          <w:szCs w:val="22"/>
          <w:lang w:val="en-US"/>
        </w:rPr>
        <w:t>Area no. 12: Graciosa</w:t>
      </w:r>
    </w:p>
    <w:p w14:paraId="6207FB80" w14:textId="77777777" w:rsidR="006B3F46" w:rsidRPr="009978E3" w:rsidRDefault="006B3F46" w:rsidP="00907941">
      <w:pPr>
        <w:jc w:val="both"/>
        <w:rPr>
          <w:rFonts w:eastAsia="MS Mincho"/>
          <w:color w:val="000000"/>
          <w:sz w:val="22"/>
          <w:szCs w:val="22"/>
          <w:lang w:val="en-US"/>
        </w:rPr>
      </w:pPr>
      <w:r w:rsidRPr="009978E3">
        <w:rPr>
          <w:rFonts w:eastAsia="MS Mincho"/>
          <w:b/>
          <w:color w:val="000000"/>
          <w:sz w:val="22"/>
          <w:szCs w:val="22"/>
          <w:lang w:val="en-US"/>
        </w:rPr>
        <w:t xml:space="preserve">Abstract </w:t>
      </w:r>
    </w:p>
    <w:p w14:paraId="674857B5" w14:textId="77777777" w:rsidR="006B3F46" w:rsidRPr="009978E3" w:rsidRDefault="006B3F46" w:rsidP="002E4B39">
      <w:pPr>
        <w:suppressLineNumbers/>
        <w:spacing w:after="120"/>
        <w:jc w:val="both"/>
        <w:rPr>
          <w:iCs/>
          <w:color w:val="000000"/>
          <w:sz w:val="22"/>
          <w:szCs w:val="22"/>
          <w:lang w:eastAsia="en-GB"/>
        </w:rPr>
      </w:pPr>
      <w:r w:rsidRPr="009978E3">
        <w:rPr>
          <w:rFonts w:eastAsia="MS Mincho"/>
          <w:color w:val="000000"/>
          <w:sz w:val="22"/>
          <w:szCs w:val="22"/>
          <w:lang w:val="en-US"/>
        </w:rPr>
        <w:t>Graciosa is a key area for the only breeding population of the vulnerable and endemic Monteiro’s storm-petrel (</w:t>
      </w:r>
      <w:r w:rsidRPr="009978E3">
        <w:rPr>
          <w:rFonts w:eastAsia="MS Mincho"/>
          <w:i/>
          <w:color w:val="000000"/>
          <w:sz w:val="22"/>
          <w:szCs w:val="22"/>
          <w:lang w:val="en-US"/>
        </w:rPr>
        <w:t>Hydrobates monteiroi)</w:t>
      </w:r>
      <w:r w:rsidRPr="009978E3">
        <w:rPr>
          <w:color w:val="000000"/>
          <w:sz w:val="22"/>
          <w:szCs w:val="22"/>
          <w:shd w:val="clear" w:color="auto" w:fill="FFFFFF"/>
        </w:rPr>
        <w:t xml:space="preserve"> and is also important for the breeding population of t</w:t>
      </w:r>
      <w:r w:rsidRPr="009978E3">
        <w:rPr>
          <w:iCs/>
          <w:color w:val="000000"/>
          <w:sz w:val="22"/>
          <w:szCs w:val="22"/>
          <w:lang w:eastAsia="en-GB"/>
        </w:rPr>
        <w:t>he Audubon’s shearwater</w:t>
      </w:r>
      <w:r w:rsidRPr="009978E3">
        <w:rPr>
          <w:i/>
          <w:iCs/>
          <w:color w:val="000000"/>
          <w:sz w:val="22"/>
          <w:szCs w:val="22"/>
          <w:lang w:eastAsia="en-GB"/>
        </w:rPr>
        <w:t xml:space="preserve"> (Puffinus lherminieri baroli)</w:t>
      </w:r>
      <w:r>
        <w:rPr>
          <w:i/>
          <w:iCs/>
          <w:color w:val="000000"/>
          <w:sz w:val="22"/>
          <w:szCs w:val="22"/>
          <w:lang w:eastAsia="en-GB"/>
        </w:rPr>
        <w:t xml:space="preserve">, </w:t>
      </w:r>
      <w:r w:rsidRPr="0021277B">
        <w:rPr>
          <w:iCs/>
          <w:color w:val="000000"/>
          <w:sz w:val="22"/>
          <w:szCs w:val="22"/>
          <w:lang w:eastAsia="en-GB"/>
        </w:rPr>
        <w:t>which is</w:t>
      </w:r>
      <w:r w:rsidRPr="009978E3">
        <w:rPr>
          <w:iCs/>
          <w:color w:val="000000"/>
          <w:sz w:val="22"/>
          <w:szCs w:val="22"/>
          <w:lang w:eastAsia="en-GB"/>
        </w:rPr>
        <w:t xml:space="preserve"> listed by OSPAR as a threatened and/or declining species. Many other seabirds occur in these waters, such as band-rumped storm-petrel (</w:t>
      </w:r>
      <w:r w:rsidRPr="009978E3">
        <w:rPr>
          <w:i/>
          <w:iCs/>
          <w:color w:val="000000"/>
          <w:sz w:val="22"/>
          <w:szCs w:val="22"/>
          <w:lang w:eastAsia="en-GB"/>
        </w:rPr>
        <w:t>Hydrobates</w:t>
      </w:r>
      <w:r w:rsidRPr="009978E3">
        <w:rPr>
          <w:iCs/>
          <w:color w:val="000000"/>
          <w:sz w:val="22"/>
          <w:szCs w:val="22"/>
          <w:lang w:eastAsia="en-GB"/>
        </w:rPr>
        <w:t xml:space="preserve"> </w:t>
      </w:r>
      <w:r w:rsidRPr="009978E3">
        <w:rPr>
          <w:i/>
          <w:iCs/>
          <w:color w:val="000000"/>
          <w:sz w:val="22"/>
          <w:szCs w:val="22"/>
          <w:lang w:eastAsia="en-GB"/>
        </w:rPr>
        <w:t>castro)</w:t>
      </w:r>
      <w:r w:rsidRPr="009978E3">
        <w:rPr>
          <w:iCs/>
          <w:color w:val="000000"/>
          <w:sz w:val="22"/>
          <w:szCs w:val="22"/>
          <w:lang w:eastAsia="en-GB"/>
        </w:rPr>
        <w:t>, Cory’s shearwater (</w:t>
      </w:r>
      <w:r w:rsidRPr="009978E3">
        <w:rPr>
          <w:i/>
          <w:iCs/>
          <w:color w:val="000000"/>
          <w:sz w:val="22"/>
          <w:szCs w:val="22"/>
          <w:lang w:eastAsia="en-GB"/>
        </w:rPr>
        <w:t>Calonectris borealis)</w:t>
      </w:r>
      <w:r w:rsidRPr="009978E3">
        <w:rPr>
          <w:iCs/>
          <w:color w:val="000000"/>
          <w:sz w:val="22"/>
          <w:szCs w:val="22"/>
          <w:lang w:eastAsia="en-GB"/>
        </w:rPr>
        <w:t xml:space="preserve">, </w:t>
      </w:r>
      <w:r w:rsidRPr="009978E3">
        <w:rPr>
          <w:rFonts w:eastAsia="MS Mincho"/>
          <w:color w:val="000000"/>
          <w:sz w:val="22"/>
          <w:szCs w:val="22"/>
          <w:lang w:val="en-US"/>
        </w:rPr>
        <w:t>common tern (</w:t>
      </w:r>
      <w:r w:rsidRPr="009978E3">
        <w:rPr>
          <w:rFonts w:eastAsia="MS Mincho"/>
          <w:i/>
          <w:color w:val="000000"/>
          <w:sz w:val="22"/>
          <w:szCs w:val="22"/>
          <w:lang w:val="en-US"/>
        </w:rPr>
        <w:t>Sterna hirundo)</w:t>
      </w:r>
      <w:r w:rsidRPr="009978E3">
        <w:rPr>
          <w:iCs/>
          <w:color w:val="000000"/>
          <w:sz w:val="22"/>
          <w:szCs w:val="22"/>
          <w:lang w:eastAsia="en-GB"/>
        </w:rPr>
        <w:t xml:space="preserve"> and roseate tern (</w:t>
      </w:r>
      <w:r w:rsidRPr="009978E3">
        <w:rPr>
          <w:i/>
          <w:iCs/>
          <w:color w:val="000000"/>
          <w:sz w:val="22"/>
          <w:szCs w:val="22"/>
          <w:lang w:eastAsia="en-GB"/>
        </w:rPr>
        <w:t>Sterna dougallii)</w:t>
      </w:r>
      <w:r w:rsidRPr="009978E3">
        <w:rPr>
          <w:iCs/>
          <w:color w:val="000000"/>
          <w:sz w:val="22"/>
          <w:szCs w:val="22"/>
          <w:lang w:eastAsia="en-GB"/>
        </w:rPr>
        <w:t xml:space="preserve">. All these species have low recovery rates and are highly sensitive to environmental degradation or depletion by </w:t>
      </w:r>
      <w:r w:rsidRPr="002E4B39">
        <w:rPr>
          <w:rFonts w:eastAsia="MS Mincho"/>
          <w:sz w:val="22"/>
          <w:szCs w:val="22"/>
          <w:lang w:val="en-US"/>
        </w:rPr>
        <w:t>human</w:t>
      </w:r>
      <w:r w:rsidRPr="009978E3">
        <w:rPr>
          <w:iCs/>
          <w:color w:val="000000"/>
          <w:sz w:val="22"/>
          <w:szCs w:val="22"/>
          <w:lang w:eastAsia="en-GB"/>
        </w:rPr>
        <w:t xml:space="preserve"> activity. </w:t>
      </w:r>
    </w:p>
    <w:p w14:paraId="521EEBF3"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Introduction</w:t>
      </w:r>
    </w:p>
    <w:p w14:paraId="074E9FE6" w14:textId="77777777" w:rsidR="006B3F46" w:rsidRPr="009978E3" w:rsidRDefault="006B3F46" w:rsidP="002E4B39">
      <w:pPr>
        <w:suppressLineNumbers/>
        <w:spacing w:after="120"/>
        <w:jc w:val="both"/>
        <w:rPr>
          <w:rFonts w:eastAsia="MS Mincho"/>
          <w:color w:val="000000"/>
          <w:sz w:val="22"/>
          <w:szCs w:val="22"/>
          <w:lang w:val="en-US"/>
        </w:rPr>
      </w:pPr>
      <w:r w:rsidRPr="009978E3">
        <w:rPr>
          <w:rFonts w:eastAsia="MS Mincho"/>
          <w:color w:val="000000"/>
          <w:sz w:val="22"/>
          <w:szCs w:val="22"/>
          <w:lang w:val="en-US"/>
        </w:rPr>
        <w:t>The area includes the water column and surface, which are used by seabirds for foraging and resting. The depth of these waters range</w:t>
      </w:r>
      <w:r>
        <w:rPr>
          <w:rFonts w:eastAsia="MS Mincho"/>
          <w:color w:val="000000"/>
          <w:sz w:val="22"/>
          <w:szCs w:val="22"/>
          <w:lang w:val="en-US"/>
        </w:rPr>
        <w:t>s</w:t>
      </w:r>
      <w:r w:rsidRPr="009978E3">
        <w:rPr>
          <w:rFonts w:eastAsia="MS Mincho"/>
          <w:color w:val="000000"/>
          <w:sz w:val="22"/>
          <w:szCs w:val="22"/>
          <w:lang w:val="en-US"/>
        </w:rPr>
        <w:t xml:space="preserve"> between 0 and 1207 metres (</w:t>
      </w:r>
      <w:hyperlink r:id="rId255" w:history="1">
        <w:r w:rsidRPr="009978E3">
          <w:rPr>
            <w:rStyle w:val="Hyperlink"/>
            <w:color w:val="000000"/>
            <w:sz w:val="22"/>
            <w:szCs w:val="22"/>
          </w:rPr>
          <w:t>https://www.gebco.net/</w:t>
        </w:r>
      </w:hyperlink>
      <w:r w:rsidRPr="00F66EF7">
        <w:rPr>
          <w:rFonts w:eastAsia="MS Mincho"/>
          <w:color w:val="000000"/>
          <w:sz w:val="22"/>
          <w:szCs w:val="22"/>
          <w:lang w:val="en-US"/>
        </w:rPr>
        <w:t>). The most relevant feature supporting the description of the area is the assemblage of seabird species that breeds in the nearby islands that use th</w:t>
      </w:r>
      <w:r w:rsidRPr="009978E3">
        <w:rPr>
          <w:rFonts w:eastAsia="MS Mincho"/>
          <w:color w:val="000000"/>
          <w:sz w:val="22"/>
          <w:szCs w:val="22"/>
          <w:lang w:val="en-US"/>
        </w:rPr>
        <w:t xml:space="preserve">e area to forage, rest or commute (Monteiro &amp; Furness 1998, Monteiro </w:t>
      </w:r>
      <w:r w:rsidRPr="0006066A">
        <w:rPr>
          <w:rFonts w:eastAsia="MS Mincho"/>
          <w:i/>
          <w:color w:val="000000"/>
          <w:sz w:val="22"/>
          <w:szCs w:val="22"/>
          <w:lang w:val="en-US"/>
        </w:rPr>
        <w:t>et al</w:t>
      </w:r>
      <w:r w:rsidRPr="009978E3">
        <w:rPr>
          <w:rFonts w:eastAsia="MS Mincho"/>
          <w:color w:val="000000"/>
          <w:sz w:val="22"/>
          <w:szCs w:val="22"/>
          <w:lang w:val="en-US"/>
        </w:rPr>
        <w:t xml:space="preserve">. 1999, Bolton </w:t>
      </w:r>
      <w:r w:rsidRPr="0006066A">
        <w:rPr>
          <w:rFonts w:eastAsia="MS Mincho"/>
          <w:i/>
          <w:color w:val="000000"/>
          <w:sz w:val="22"/>
          <w:szCs w:val="22"/>
          <w:lang w:val="en-US"/>
        </w:rPr>
        <w:t>et al</w:t>
      </w:r>
      <w:r w:rsidRPr="009978E3">
        <w:rPr>
          <w:rFonts w:eastAsia="MS Mincho"/>
          <w:color w:val="000000"/>
          <w:sz w:val="22"/>
          <w:szCs w:val="22"/>
          <w:lang w:val="en-US"/>
        </w:rPr>
        <w:t xml:space="preserve">. 2008, Magalhães </w:t>
      </w:r>
      <w:r w:rsidRPr="0006066A">
        <w:rPr>
          <w:rFonts w:eastAsia="MS Mincho"/>
          <w:i/>
          <w:color w:val="000000"/>
          <w:sz w:val="22"/>
          <w:szCs w:val="22"/>
          <w:lang w:val="en-US"/>
        </w:rPr>
        <w:t>et al</w:t>
      </w:r>
      <w:r w:rsidRPr="009978E3">
        <w:rPr>
          <w:rFonts w:eastAsia="MS Mincho"/>
          <w:color w:val="000000"/>
          <w:sz w:val="22"/>
          <w:szCs w:val="22"/>
          <w:lang w:val="en-US"/>
        </w:rPr>
        <w:t xml:space="preserve">. 2008). Of particular importance is the endemic population of Monteiro’s storm-petrel </w:t>
      </w:r>
      <w:r>
        <w:rPr>
          <w:rFonts w:eastAsia="MS Mincho"/>
          <w:color w:val="000000"/>
          <w:sz w:val="22"/>
          <w:szCs w:val="22"/>
          <w:lang w:val="en-US"/>
        </w:rPr>
        <w:t>(</w:t>
      </w:r>
      <w:r w:rsidRPr="009978E3">
        <w:rPr>
          <w:rFonts w:eastAsia="MS Mincho"/>
          <w:i/>
          <w:color w:val="000000"/>
          <w:sz w:val="22"/>
          <w:szCs w:val="22"/>
          <w:lang w:val="en-US"/>
        </w:rPr>
        <w:t>Hydrobates monteiroi</w:t>
      </w:r>
      <w:r>
        <w:rPr>
          <w:rFonts w:eastAsia="MS Mincho"/>
          <w:i/>
          <w:color w:val="000000"/>
          <w:sz w:val="22"/>
          <w:szCs w:val="22"/>
          <w:lang w:val="en-US"/>
        </w:rPr>
        <w:t>,</w:t>
      </w:r>
      <w:r>
        <w:rPr>
          <w:rFonts w:eastAsia="MS Mincho"/>
          <w:color w:val="000000"/>
          <w:sz w:val="22"/>
          <w:szCs w:val="22"/>
          <w:lang w:val="en-US"/>
        </w:rPr>
        <w:t xml:space="preserve"> </w:t>
      </w:r>
      <w:r w:rsidRPr="009978E3">
        <w:rPr>
          <w:rFonts w:eastAsia="MS Mincho"/>
          <w:color w:val="000000"/>
          <w:sz w:val="22"/>
          <w:szCs w:val="22"/>
          <w:lang w:val="en-US"/>
        </w:rPr>
        <w:t>classified as vulnerable in the Red List; BirdLife International 2018), as well as the breeding population of the Audubon’s shearwater (</w:t>
      </w:r>
      <w:r w:rsidRPr="009978E3">
        <w:rPr>
          <w:rFonts w:eastAsia="MS Mincho"/>
          <w:i/>
          <w:color w:val="000000"/>
          <w:sz w:val="22"/>
          <w:szCs w:val="22"/>
          <w:lang w:val="en-US"/>
        </w:rPr>
        <w:t>Puffinus lherminieri baroli)</w:t>
      </w:r>
      <w:r w:rsidRPr="009978E3">
        <w:rPr>
          <w:rFonts w:eastAsia="MS Mincho"/>
          <w:color w:val="000000"/>
          <w:sz w:val="22"/>
          <w:szCs w:val="22"/>
          <w:lang w:val="en-US"/>
        </w:rPr>
        <w:t xml:space="preserve"> – listed by OSPAR as a </w:t>
      </w:r>
      <w:r w:rsidRPr="002E4B39">
        <w:rPr>
          <w:rFonts w:eastAsia="MS Mincho"/>
          <w:sz w:val="22"/>
          <w:szCs w:val="22"/>
          <w:lang w:val="en-US"/>
        </w:rPr>
        <w:t>threatened</w:t>
      </w:r>
      <w:r w:rsidRPr="009978E3">
        <w:rPr>
          <w:rFonts w:eastAsia="MS Mincho"/>
          <w:color w:val="000000"/>
          <w:sz w:val="22"/>
          <w:szCs w:val="22"/>
          <w:lang w:val="en-US"/>
        </w:rPr>
        <w:t xml:space="preserve"> and/or declining species (OSPAR 2009a).</w:t>
      </w:r>
    </w:p>
    <w:p w14:paraId="648DFC21" w14:textId="77777777" w:rsidR="006B3F46" w:rsidRPr="009978E3" w:rsidRDefault="006B3F46" w:rsidP="00907941">
      <w:pPr>
        <w:jc w:val="both"/>
        <w:rPr>
          <w:rFonts w:eastAsia="MS Mincho"/>
          <w:color w:val="000000"/>
          <w:sz w:val="22"/>
          <w:szCs w:val="22"/>
          <w:lang w:val="en-US"/>
        </w:rPr>
      </w:pPr>
      <w:r w:rsidRPr="009978E3">
        <w:rPr>
          <w:rFonts w:eastAsia="MS Mincho"/>
          <w:b/>
          <w:color w:val="000000"/>
          <w:sz w:val="22"/>
          <w:szCs w:val="22"/>
          <w:lang w:val="en-US"/>
        </w:rPr>
        <w:t>Location</w:t>
      </w:r>
    </w:p>
    <w:p w14:paraId="360E629E" w14:textId="77777777" w:rsidR="006B3F46" w:rsidRPr="009978E3" w:rsidRDefault="006B3F46" w:rsidP="002E4B39">
      <w:pPr>
        <w:suppressLineNumbers/>
        <w:spacing w:after="120"/>
        <w:jc w:val="both"/>
        <w:rPr>
          <w:color w:val="000000"/>
          <w:sz w:val="22"/>
          <w:szCs w:val="22"/>
          <w:shd w:val="clear" w:color="auto" w:fill="FFFFFF"/>
        </w:rPr>
      </w:pPr>
      <w:r w:rsidRPr="0021277B">
        <w:rPr>
          <w:rFonts w:eastAsia="MS Mincho"/>
          <w:color w:val="000000"/>
          <w:sz w:val="22"/>
          <w:szCs w:val="22"/>
          <w:lang w:val="en-US"/>
        </w:rPr>
        <w:t>This area</w:t>
      </w:r>
      <w:r w:rsidRPr="009978E3">
        <w:rPr>
          <w:rFonts w:eastAsia="MS Mincho"/>
          <w:i/>
          <w:color w:val="000000"/>
          <w:sz w:val="22"/>
          <w:szCs w:val="22"/>
          <w:lang w:val="en-US"/>
        </w:rPr>
        <w:t xml:space="preserve"> </w:t>
      </w:r>
      <w:r w:rsidRPr="009978E3">
        <w:rPr>
          <w:rFonts w:eastAsia="MS Mincho"/>
          <w:color w:val="000000"/>
          <w:sz w:val="22"/>
          <w:szCs w:val="22"/>
          <w:lang w:val="en-US"/>
        </w:rPr>
        <w:t xml:space="preserve">encompasses the surrounding waters of Graciosa Island and two smaller islands: Baixo and Praia islets. It </w:t>
      </w:r>
      <w:r>
        <w:rPr>
          <w:rFonts w:eastAsia="MS Mincho"/>
          <w:color w:val="000000"/>
          <w:sz w:val="22"/>
          <w:szCs w:val="22"/>
          <w:lang w:val="en-US"/>
        </w:rPr>
        <w:t>has an area of</w:t>
      </w:r>
      <w:r w:rsidRPr="009978E3">
        <w:rPr>
          <w:rFonts w:eastAsia="MS Mincho"/>
          <w:color w:val="000000"/>
          <w:sz w:val="22"/>
          <w:szCs w:val="22"/>
          <w:lang w:val="en-US"/>
        </w:rPr>
        <w:t xml:space="preserve"> </w:t>
      </w:r>
      <w:r w:rsidRPr="009978E3">
        <w:rPr>
          <w:color w:val="000000"/>
          <w:sz w:val="22"/>
          <w:szCs w:val="22"/>
        </w:rPr>
        <w:t>277 km</w:t>
      </w:r>
      <w:r w:rsidRPr="009978E3">
        <w:rPr>
          <w:color w:val="000000"/>
          <w:sz w:val="22"/>
          <w:szCs w:val="22"/>
          <w:vertAlign w:val="superscript"/>
        </w:rPr>
        <w:t>2</w:t>
      </w:r>
      <w:r w:rsidRPr="009978E3">
        <w:rPr>
          <w:color w:val="000000"/>
          <w:sz w:val="22"/>
          <w:szCs w:val="22"/>
        </w:rPr>
        <w:t xml:space="preserve"> and is the northernmost island of the Azores, Portugal (39.05</w:t>
      </w:r>
      <w:r w:rsidRPr="009978E3">
        <w:rPr>
          <w:color w:val="000000"/>
          <w:sz w:val="22"/>
          <w:szCs w:val="22"/>
          <w:shd w:val="clear" w:color="auto" w:fill="FFFFFF"/>
        </w:rPr>
        <w:t xml:space="preserve">N/-27.99W). </w:t>
      </w:r>
    </w:p>
    <w:p w14:paraId="10B69696"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Feature description of the area</w:t>
      </w:r>
    </w:p>
    <w:p w14:paraId="47BBAFF0" w14:textId="77777777" w:rsidR="006B3F46" w:rsidRPr="009978E3" w:rsidRDefault="006B3F46" w:rsidP="002E4B39">
      <w:pPr>
        <w:suppressLineNumbers/>
        <w:spacing w:after="120"/>
        <w:jc w:val="both"/>
        <w:rPr>
          <w:rFonts w:eastAsia="MS Mincho"/>
          <w:color w:val="000000"/>
          <w:sz w:val="22"/>
          <w:szCs w:val="22"/>
          <w:lang w:val="en-US"/>
        </w:rPr>
      </w:pPr>
      <w:r w:rsidRPr="002E4B39">
        <w:rPr>
          <w:rFonts w:eastAsia="MS Mincho"/>
          <w:sz w:val="22"/>
          <w:szCs w:val="22"/>
          <w:lang w:val="en-US"/>
        </w:rPr>
        <w:t>Graciosa</w:t>
      </w:r>
      <w:r w:rsidRPr="009978E3">
        <w:rPr>
          <w:rFonts w:eastAsia="MS Mincho"/>
          <w:color w:val="000000"/>
          <w:sz w:val="22"/>
          <w:szCs w:val="22"/>
          <w:lang w:val="en-US"/>
        </w:rPr>
        <w:t xml:space="preserve"> is a globally important site for the vulnerable and endemic Monteiro’s storm-petrel (</w:t>
      </w:r>
      <w:r w:rsidRPr="009978E3">
        <w:rPr>
          <w:rFonts w:eastAsia="MS Mincho"/>
          <w:i/>
          <w:color w:val="000000"/>
          <w:sz w:val="22"/>
          <w:szCs w:val="22"/>
          <w:lang w:val="en-US"/>
        </w:rPr>
        <w:t>Hydrobates monteiroi)</w:t>
      </w:r>
      <w:r w:rsidRPr="009978E3">
        <w:rPr>
          <w:color w:val="000000"/>
          <w:sz w:val="22"/>
          <w:szCs w:val="22"/>
          <w:shd w:val="clear" w:color="auto" w:fill="FFFFFF"/>
        </w:rPr>
        <w:t xml:space="preserve"> (Monteiro &amp; Furness 1998, Bolton </w:t>
      </w:r>
      <w:r w:rsidRPr="0006066A">
        <w:rPr>
          <w:i/>
          <w:color w:val="000000"/>
          <w:sz w:val="22"/>
          <w:szCs w:val="22"/>
          <w:shd w:val="clear" w:color="auto" w:fill="FFFFFF"/>
        </w:rPr>
        <w:t>et al</w:t>
      </w:r>
      <w:r w:rsidRPr="009978E3">
        <w:rPr>
          <w:color w:val="000000"/>
          <w:sz w:val="22"/>
          <w:szCs w:val="22"/>
          <w:shd w:val="clear" w:color="auto" w:fill="FFFFFF"/>
        </w:rPr>
        <w:t xml:space="preserve">. 2008), with </w:t>
      </w:r>
      <w:r w:rsidRPr="009978E3">
        <w:rPr>
          <w:rFonts w:eastAsia="MS Mincho"/>
          <w:color w:val="000000"/>
          <w:sz w:val="22"/>
          <w:szCs w:val="22"/>
          <w:lang w:val="en-US"/>
        </w:rPr>
        <w:t xml:space="preserve">330 to 380 breeding pairs </w:t>
      </w:r>
      <w:r w:rsidRPr="009978E3">
        <w:rPr>
          <w:color w:val="000000"/>
          <w:sz w:val="22"/>
          <w:szCs w:val="22"/>
          <w:shd w:val="clear" w:color="auto" w:fill="FFFFFF"/>
        </w:rPr>
        <w:t>(Oliveira 2016; BirdLife International 2019a)</w:t>
      </w:r>
      <w:r w:rsidRPr="009978E3">
        <w:rPr>
          <w:rFonts w:eastAsia="MS Mincho"/>
          <w:color w:val="000000"/>
          <w:sz w:val="22"/>
          <w:szCs w:val="22"/>
          <w:lang w:val="en-US"/>
        </w:rPr>
        <w:t xml:space="preserve">. It also contains globally important multi-species assemblages (Monteiro </w:t>
      </w:r>
      <w:r w:rsidRPr="0006066A">
        <w:rPr>
          <w:rFonts w:eastAsia="MS Mincho"/>
          <w:i/>
          <w:color w:val="000000"/>
          <w:sz w:val="22"/>
          <w:szCs w:val="22"/>
          <w:lang w:val="en-US"/>
        </w:rPr>
        <w:t>et al</w:t>
      </w:r>
      <w:r w:rsidRPr="009978E3">
        <w:rPr>
          <w:rFonts w:eastAsia="MS Mincho"/>
          <w:color w:val="000000"/>
          <w:sz w:val="22"/>
          <w:szCs w:val="22"/>
          <w:lang w:val="en-US"/>
        </w:rPr>
        <w:t xml:space="preserve">. 1999), including a </w:t>
      </w:r>
      <w:r w:rsidRPr="009978E3">
        <w:rPr>
          <w:color w:val="000000"/>
          <w:sz w:val="22"/>
          <w:szCs w:val="22"/>
          <w:shd w:val="clear" w:color="auto" w:fill="FFFFFF"/>
        </w:rPr>
        <w:t>breeding population of t</w:t>
      </w:r>
      <w:r w:rsidRPr="009978E3">
        <w:rPr>
          <w:iCs/>
          <w:color w:val="000000"/>
          <w:sz w:val="22"/>
          <w:szCs w:val="22"/>
          <w:lang w:eastAsia="en-GB"/>
        </w:rPr>
        <w:t>he Audubon’s shearwater</w:t>
      </w:r>
      <w:r w:rsidRPr="009978E3">
        <w:rPr>
          <w:i/>
          <w:iCs/>
          <w:color w:val="000000"/>
          <w:sz w:val="22"/>
          <w:szCs w:val="22"/>
          <w:lang w:eastAsia="en-GB"/>
        </w:rPr>
        <w:t xml:space="preserve"> (Puffinus lherminieri baroli</w:t>
      </w:r>
      <w:r>
        <w:rPr>
          <w:i/>
          <w:iCs/>
          <w:color w:val="000000"/>
          <w:sz w:val="22"/>
          <w:szCs w:val="22"/>
          <w:lang w:eastAsia="en-GB"/>
        </w:rPr>
        <w:t>)</w:t>
      </w:r>
      <w:r w:rsidRPr="009978E3">
        <w:rPr>
          <w:i/>
          <w:iCs/>
          <w:color w:val="000000"/>
          <w:sz w:val="22"/>
          <w:szCs w:val="22"/>
          <w:lang w:eastAsia="en-GB"/>
        </w:rPr>
        <w:t>,</w:t>
      </w:r>
      <w:r w:rsidRPr="009978E3">
        <w:rPr>
          <w:iCs/>
          <w:color w:val="000000"/>
          <w:sz w:val="22"/>
          <w:szCs w:val="22"/>
          <w:lang w:eastAsia="en-GB"/>
        </w:rPr>
        <w:t xml:space="preserve"> listed by OSPAR as a threatened and/or declining species </w:t>
      </w:r>
      <w:r>
        <w:rPr>
          <w:iCs/>
          <w:color w:val="000000"/>
          <w:sz w:val="22"/>
          <w:szCs w:val="22"/>
          <w:lang w:eastAsia="en-GB"/>
        </w:rPr>
        <w:t>(</w:t>
      </w:r>
      <w:r w:rsidRPr="009978E3">
        <w:rPr>
          <w:iCs/>
          <w:color w:val="000000"/>
          <w:sz w:val="22"/>
          <w:szCs w:val="22"/>
          <w:lang w:eastAsia="en-GB"/>
        </w:rPr>
        <w:t>OSPAR 2009a</w:t>
      </w:r>
      <w:r>
        <w:rPr>
          <w:iCs/>
          <w:color w:val="000000"/>
          <w:sz w:val="22"/>
          <w:szCs w:val="22"/>
          <w:lang w:eastAsia="en-GB"/>
        </w:rPr>
        <w:t>)</w:t>
      </w:r>
      <w:r w:rsidRPr="009978E3">
        <w:rPr>
          <w:iCs/>
          <w:color w:val="000000"/>
          <w:sz w:val="22"/>
          <w:szCs w:val="22"/>
          <w:lang w:eastAsia="en-GB"/>
        </w:rPr>
        <w:t xml:space="preserve">; </w:t>
      </w:r>
      <w:r w:rsidRPr="009978E3">
        <w:rPr>
          <w:rFonts w:eastAsia="MS Mincho"/>
          <w:color w:val="000000"/>
          <w:sz w:val="22"/>
          <w:szCs w:val="22"/>
          <w:lang w:val="en-US"/>
        </w:rPr>
        <w:t xml:space="preserve">a population of &gt;25,000 individuals of </w:t>
      </w:r>
      <w:r w:rsidRPr="009978E3">
        <w:rPr>
          <w:color w:val="000000"/>
          <w:sz w:val="22"/>
          <w:szCs w:val="22"/>
          <w:shd w:val="clear" w:color="auto" w:fill="FFFFFF"/>
        </w:rPr>
        <w:t>Cory's shearwater (</w:t>
      </w:r>
      <w:r w:rsidRPr="009978E3">
        <w:rPr>
          <w:i/>
          <w:color w:val="000000"/>
          <w:sz w:val="22"/>
          <w:szCs w:val="22"/>
          <w:shd w:val="clear" w:color="auto" w:fill="FFFFFF"/>
        </w:rPr>
        <w:t>Calonectris borealis)</w:t>
      </w:r>
      <w:r w:rsidRPr="009978E3">
        <w:rPr>
          <w:color w:val="000000"/>
          <w:sz w:val="22"/>
          <w:szCs w:val="22"/>
          <w:shd w:val="clear" w:color="auto" w:fill="FFFFFF"/>
        </w:rPr>
        <w:t xml:space="preserve"> (BirdLife </w:t>
      </w:r>
      <w:r w:rsidRPr="0006066A">
        <w:rPr>
          <w:i/>
          <w:color w:val="000000"/>
          <w:sz w:val="22"/>
          <w:szCs w:val="22"/>
          <w:shd w:val="clear" w:color="auto" w:fill="FFFFFF"/>
        </w:rPr>
        <w:t>et al</w:t>
      </w:r>
      <w:r w:rsidRPr="009978E3">
        <w:rPr>
          <w:color w:val="000000"/>
          <w:sz w:val="22"/>
          <w:szCs w:val="22"/>
          <w:shd w:val="clear" w:color="auto" w:fill="FFFFFF"/>
        </w:rPr>
        <w:t>. 2019b)</w:t>
      </w:r>
      <w:r w:rsidRPr="009978E3">
        <w:rPr>
          <w:i/>
          <w:color w:val="000000"/>
          <w:sz w:val="22"/>
          <w:szCs w:val="22"/>
          <w:shd w:val="clear" w:color="auto" w:fill="FFFFFF"/>
        </w:rPr>
        <w:t xml:space="preserve">; </w:t>
      </w:r>
      <w:r w:rsidRPr="009978E3">
        <w:rPr>
          <w:color w:val="000000"/>
          <w:sz w:val="22"/>
          <w:szCs w:val="22"/>
          <w:shd w:val="clear" w:color="auto" w:fill="FFFFFF"/>
        </w:rPr>
        <w:t>and the largest colony on the Azores of roseate terns (</w:t>
      </w:r>
      <w:r w:rsidRPr="009978E3">
        <w:rPr>
          <w:i/>
          <w:color w:val="000000"/>
          <w:sz w:val="22"/>
          <w:szCs w:val="22"/>
          <w:shd w:val="clear" w:color="auto" w:fill="FFFFFF"/>
        </w:rPr>
        <w:t>Sterna dougallii</w:t>
      </w:r>
      <w:r>
        <w:rPr>
          <w:i/>
          <w:color w:val="000000"/>
          <w:sz w:val="22"/>
          <w:szCs w:val="22"/>
          <w:shd w:val="clear" w:color="auto" w:fill="FFFFFF"/>
        </w:rPr>
        <w:t>)</w:t>
      </w:r>
      <w:r w:rsidRPr="009978E3">
        <w:rPr>
          <w:i/>
          <w:color w:val="000000"/>
          <w:sz w:val="22"/>
          <w:szCs w:val="22"/>
          <w:shd w:val="clear" w:color="auto" w:fill="FFFFFF"/>
        </w:rPr>
        <w:t>,</w:t>
      </w:r>
      <w:r w:rsidRPr="009978E3">
        <w:rPr>
          <w:color w:val="000000"/>
          <w:sz w:val="22"/>
          <w:szCs w:val="22"/>
          <w:shd w:val="clear" w:color="auto" w:fill="FFFFFF"/>
        </w:rPr>
        <w:t xml:space="preserve"> also </w:t>
      </w:r>
      <w:r w:rsidRPr="009978E3">
        <w:rPr>
          <w:iCs/>
          <w:color w:val="000000"/>
          <w:sz w:val="22"/>
          <w:szCs w:val="22"/>
          <w:lang w:eastAsia="en-GB"/>
        </w:rPr>
        <w:t xml:space="preserve">listed by OSPAR as a threatened and/or declining species </w:t>
      </w:r>
      <w:r>
        <w:rPr>
          <w:iCs/>
          <w:color w:val="000000"/>
          <w:sz w:val="22"/>
          <w:szCs w:val="22"/>
          <w:lang w:eastAsia="en-GB"/>
        </w:rPr>
        <w:t>(</w:t>
      </w:r>
      <w:r w:rsidRPr="009978E3">
        <w:rPr>
          <w:color w:val="000000"/>
          <w:sz w:val="22"/>
          <w:szCs w:val="22"/>
        </w:rPr>
        <w:t>OSPAR 2009b</w:t>
      </w:r>
      <w:r w:rsidRPr="009978E3">
        <w:rPr>
          <w:iCs/>
          <w:color w:val="000000"/>
          <w:sz w:val="22"/>
          <w:szCs w:val="22"/>
          <w:lang w:eastAsia="en-GB"/>
        </w:rPr>
        <w:t>)</w:t>
      </w:r>
      <w:r w:rsidRPr="009978E3">
        <w:rPr>
          <w:color w:val="000000"/>
          <w:sz w:val="22"/>
          <w:szCs w:val="22"/>
          <w:shd w:val="clear" w:color="auto" w:fill="FFFFFF"/>
        </w:rPr>
        <w:t>. T</w:t>
      </w:r>
      <w:r w:rsidRPr="009978E3">
        <w:rPr>
          <w:color w:val="000000"/>
          <w:sz w:val="22"/>
          <w:szCs w:val="22"/>
        </w:rPr>
        <w:t xml:space="preserve">he site has been classified as an Important Bird and Biodiversity Area by BirdLife International (BirdLife International 2019b). </w:t>
      </w:r>
    </w:p>
    <w:p w14:paraId="30C096CD" w14:textId="77777777" w:rsidR="006B3F46" w:rsidRPr="009978E3" w:rsidRDefault="006B3F46" w:rsidP="002E4B39">
      <w:pPr>
        <w:suppressLineNumbers/>
        <w:spacing w:after="120"/>
        <w:jc w:val="both"/>
        <w:rPr>
          <w:rFonts w:eastAsia="MS Mincho"/>
          <w:color w:val="000000"/>
          <w:sz w:val="22"/>
          <w:szCs w:val="22"/>
          <w:lang w:val="en-US"/>
        </w:rPr>
      </w:pPr>
      <w:r w:rsidRPr="009978E3">
        <w:rPr>
          <w:rFonts w:eastAsia="MS Mincho"/>
          <w:color w:val="000000"/>
          <w:sz w:val="22"/>
          <w:szCs w:val="22"/>
          <w:lang w:val="en-US"/>
        </w:rPr>
        <w:t xml:space="preserve">This </w:t>
      </w:r>
      <w:r w:rsidRPr="002E4B39">
        <w:rPr>
          <w:rFonts w:eastAsia="MS Mincho"/>
          <w:sz w:val="22"/>
          <w:szCs w:val="22"/>
          <w:lang w:val="en-US"/>
        </w:rPr>
        <w:t>area</w:t>
      </w:r>
      <w:r w:rsidRPr="009978E3">
        <w:rPr>
          <w:rFonts w:eastAsia="MS Mincho"/>
          <w:color w:val="000000"/>
          <w:sz w:val="22"/>
          <w:szCs w:val="22"/>
          <w:lang w:val="en-US"/>
        </w:rPr>
        <w:t xml:space="preserve"> </w:t>
      </w:r>
      <w:r>
        <w:rPr>
          <w:rFonts w:eastAsia="MS Mincho"/>
          <w:color w:val="000000"/>
          <w:sz w:val="22"/>
          <w:szCs w:val="22"/>
          <w:lang w:val="en-US"/>
        </w:rPr>
        <w:t xml:space="preserve">completely </w:t>
      </w:r>
      <w:r w:rsidRPr="009978E3">
        <w:rPr>
          <w:rFonts w:eastAsia="MS Mincho"/>
          <w:color w:val="000000"/>
          <w:sz w:val="22"/>
          <w:szCs w:val="22"/>
          <w:lang w:val="en-US"/>
        </w:rPr>
        <w:t>surrounds Graciosa Island, as there are populations of common tern and roseate tern that feed in waters around the island almost exclusively (</w:t>
      </w:r>
      <w:r w:rsidRPr="009978E3">
        <w:rPr>
          <w:color w:val="000000"/>
          <w:sz w:val="22"/>
          <w:szCs w:val="22"/>
        </w:rPr>
        <w:t>BirdLife International 2019b</w:t>
      </w:r>
      <w:r w:rsidRPr="009978E3">
        <w:rPr>
          <w:rFonts w:eastAsia="MS Mincho"/>
          <w:color w:val="000000"/>
          <w:sz w:val="22"/>
          <w:szCs w:val="22"/>
          <w:lang w:val="en-US"/>
        </w:rPr>
        <w:t xml:space="preserve">). Around the main island there are smaller islands, two of which are classified as Special Protection Areas: Baixo and Praia islets, the only known breeding site in the world of the </w:t>
      </w:r>
      <w:r>
        <w:rPr>
          <w:rFonts w:eastAsia="MS Mincho"/>
          <w:color w:val="000000"/>
          <w:sz w:val="22"/>
          <w:szCs w:val="22"/>
          <w:lang w:val="en-US"/>
        </w:rPr>
        <w:t>“</w:t>
      </w:r>
      <w:r w:rsidRPr="009978E3">
        <w:rPr>
          <w:rFonts w:eastAsia="MS Mincho"/>
          <w:color w:val="000000"/>
          <w:sz w:val="22"/>
          <w:szCs w:val="22"/>
          <w:lang w:val="en-US"/>
        </w:rPr>
        <w:t>hot-season</w:t>
      </w:r>
      <w:r>
        <w:rPr>
          <w:rFonts w:eastAsia="MS Mincho"/>
          <w:color w:val="000000"/>
          <w:sz w:val="22"/>
          <w:szCs w:val="22"/>
          <w:lang w:val="en-US"/>
        </w:rPr>
        <w:t>”</w:t>
      </w:r>
      <w:r w:rsidRPr="009978E3">
        <w:rPr>
          <w:rFonts w:eastAsia="MS Mincho"/>
          <w:color w:val="000000"/>
          <w:sz w:val="22"/>
          <w:szCs w:val="22"/>
          <w:lang w:val="en-US"/>
        </w:rPr>
        <w:t xml:space="preserve"> Monteiro's storm-petrel </w:t>
      </w:r>
      <w:r>
        <w:rPr>
          <w:rFonts w:eastAsia="MS Mincho"/>
          <w:color w:val="000000"/>
          <w:sz w:val="22"/>
          <w:szCs w:val="22"/>
          <w:lang w:val="en-US"/>
        </w:rPr>
        <w:t>(</w:t>
      </w:r>
      <w:r w:rsidRPr="009978E3">
        <w:rPr>
          <w:rFonts w:eastAsia="MS Mincho"/>
          <w:i/>
          <w:color w:val="000000"/>
          <w:sz w:val="22"/>
          <w:szCs w:val="22"/>
          <w:lang w:val="en-US"/>
        </w:rPr>
        <w:t>Hydrobates monteiroi</w:t>
      </w:r>
      <w:r>
        <w:rPr>
          <w:rFonts w:eastAsia="MS Mincho"/>
          <w:i/>
          <w:color w:val="000000"/>
          <w:sz w:val="22"/>
          <w:szCs w:val="22"/>
          <w:lang w:val="en-US"/>
        </w:rPr>
        <w:t xml:space="preserve">) </w:t>
      </w:r>
      <w:r w:rsidRPr="009978E3">
        <w:rPr>
          <w:rFonts w:eastAsia="MS Mincho"/>
          <w:color w:val="000000"/>
          <w:sz w:val="22"/>
          <w:szCs w:val="22"/>
          <w:lang w:val="en-US"/>
        </w:rPr>
        <w:t>(</w:t>
      </w:r>
      <w:r w:rsidRPr="009978E3">
        <w:rPr>
          <w:color w:val="000000"/>
          <w:sz w:val="22"/>
          <w:szCs w:val="22"/>
          <w:shd w:val="clear" w:color="auto" w:fill="FFFFFF"/>
        </w:rPr>
        <w:t>Monteiro &amp; Furness 1998</w:t>
      </w:r>
      <w:r w:rsidRPr="009978E3">
        <w:rPr>
          <w:rFonts w:eastAsia="MS Mincho"/>
          <w:color w:val="000000"/>
          <w:sz w:val="22"/>
          <w:szCs w:val="22"/>
          <w:lang w:val="en-US"/>
        </w:rPr>
        <w:t xml:space="preserve">). </w:t>
      </w:r>
      <w:r>
        <w:rPr>
          <w:rFonts w:eastAsia="MS Mincho"/>
          <w:color w:val="000000"/>
          <w:sz w:val="22"/>
          <w:szCs w:val="22"/>
          <w:lang w:val="en-US"/>
        </w:rPr>
        <w:t>S</w:t>
      </w:r>
      <w:r w:rsidRPr="009978E3">
        <w:rPr>
          <w:rFonts w:eastAsia="MS Mincho"/>
          <w:color w:val="000000"/>
          <w:sz w:val="22"/>
          <w:szCs w:val="22"/>
          <w:lang w:val="en-US"/>
        </w:rPr>
        <w:t xml:space="preserve">even species of seabird breed </w:t>
      </w:r>
      <w:r>
        <w:rPr>
          <w:rFonts w:eastAsia="MS Mincho"/>
          <w:color w:val="000000"/>
          <w:sz w:val="22"/>
          <w:szCs w:val="22"/>
          <w:lang w:val="en-US"/>
        </w:rPr>
        <w:t>o</w:t>
      </w:r>
      <w:r w:rsidRPr="009978E3">
        <w:rPr>
          <w:rFonts w:eastAsia="MS Mincho"/>
          <w:color w:val="000000"/>
          <w:sz w:val="22"/>
          <w:szCs w:val="22"/>
          <w:lang w:val="en-US"/>
        </w:rPr>
        <w:t>n Baixo islet, , in what is one of the most important multi-specific colonies in the archipelago, while on Praia islet the largest breeding colonies of common tern and band-rumped storm-petrel are to be found, as well as an important roseate tern colony (</w:t>
      </w:r>
      <w:r w:rsidRPr="009978E3">
        <w:rPr>
          <w:color w:val="000000"/>
          <w:sz w:val="22"/>
          <w:szCs w:val="22"/>
          <w:shd w:val="clear" w:color="auto" w:fill="FFFFFF"/>
        </w:rPr>
        <w:t xml:space="preserve">BirdLife </w:t>
      </w:r>
      <w:r w:rsidRPr="0006066A">
        <w:rPr>
          <w:i/>
          <w:color w:val="000000"/>
          <w:sz w:val="22"/>
          <w:szCs w:val="22"/>
          <w:shd w:val="clear" w:color="auto" w:fill="FFFFFF"/>
        </w:rPr>
        <w:t>et al</w:t>
      </w:r>
      <w:r w:rsidRPr="009978E3">
        <w:rPr>
          <w:color w:val="000000"/>
          <w:sz w:val="22"/>
          <w:szCs w:val="22"/>
          <w:shd w:val="clear" w:color="auto" w:fill="FFFFFF"/>
        </w:rPr>
        <w:t>. 2019b</w:t>
      </w:r>
      <w:r w:rsidRPr="009978E3">
        <w:rPr>
          <w:rFonts w:eastAsia="MS Mincho"/>
          <w:color w:val="000000"/>
          <w:sz w:val="22"/>
          <w:szCs w:val="22"/>
          <w:lang w:val="en-US"/>
        </w:rPr>
        <w:t>).</w:t>
      </w:r>
    </w:p>
    <w:p w14:paraId="4D0912B9" w14:textId="77777777" w:rsidR="006B3F46" w:rsidRPr="009978E3" w:rsidRDefault="006B3F46" w:rsidP="002E4B39">
      <w:pPr>
        <w:suppressLineNumbers/>
        <w:spacing w:after="120"/>
        <w:jc w:val="both"/>
        <w:rPr>
          <w:rFonts w:eastAsia="MS Mincho"/>
          <w:color w:val="000000"/>
          <w:sz w:val="22"/>
          <w:szCs w:val="22"/>
          <w:lang w:val="en-US"/>
        </w:rPr>
      </w:pPr>
      <w:r w:rsidRPr="009978E3">
        <w:rPr>
          <w:rFonts w:eastAsia="MS Mincho"/>
          <w:color w:val="000000"/>
          <w:sz w:val="22"/>
          <w:szCs w:val="22"/>
          <w:lang w:val="en-US"/>
        </w:rPr>
        <w:t xml:space="preserve">The </w:t>
      </w:r>
      <w:r w:rsidRPr="002E4B39">
        <w:rPr>
          <w:rFonts w:eastAsia="MS Mincho"/>
          <w:sz w:val="22"/>
          <w:szCs w:val="22"/>
          <w:lang w:val="en-US"/>
        </w:rPr>
        <w:t>Cory's</w:t>
      </w:r>
      <w:r w:rsidRPr="009978E3">
        <w:rPr>
          <w:rFonts w:eastAsia="MS Mincho"/>
          <w:color w:val="000000"/>
          <w:sz w:val="22"/>
          <w:szCs w:val="22"/>
          <w:lang w:val="en-US"/>
        </w:rPr>
        <w:t xml:space="preserve"> shearwater (</w:t>
      </w:r>
      <w:r w:rsidRPr="009978E3">
        <w:rPr>
          <w:rFonts w:eastAsia="MS Mincho"/>
          <w:i/>
          <w:color w:val="000000"/>
          <w:sz w:val="22"/>
          <w:szCs w:val="22"/>
          <w:lang w:val="en-US"/>
        </w:rPr>
        <w:t>Calonectris borealis)</w:t>
      </w:r>
      <w:r w:rsidRPr="009978E3">
        <w:rPr>
          <w:rFonts w:eastAsia="MS Mincho"/>
          <w:color w:val="000000"/>
          <w:sz w:val="22"/>
          <w:szCs w:val="22"/>
          <w:lang w:val="en-US"/>
        </w:rPr>
        <w:t xml:space="preserve"> is the most abundant species using the area, with a population estimated at over 25,000 individuals (</w:t>
      </w:r>
      <w:r w:rsidRPr="009978E3">
        <w:rPr>
          <w:color w:val="000000"/>
          <w:sz w:val="22"/>
          <w:szCs w:val="22"/>
          <w:shd w:val="clear" w:color="auto" w:fill="FFFFFF"/>
        </w:rPr>
        <w:t xml:space="preserve">BirdLife </w:t>
      </w:r>
      <w:r w:rsidRPr="0006066A">
        <w:rPr>
          <w:i/>
          <w:color w:val="000000"/>
          <w:sz w:val="22"/>
          <w:szCs w:val="22"/>
          <w:shd w:val="clear" w:color="auto" w:fill="FFFFFF"/>
        </w:rPr>
        <w:t>et al</w:t>
      </w:r>
      <w:r w:rsidRPr="009978E3">
        <w:rPr>
          <w:color w:val="000000"/>
          <w:sz w:val="22"/>
          <w:szCs w:val="22"/>
          <w:shd w:val="clear" w:color="auto" w:fill="FFFFFF"/>
        </w:rPr>
        <w:t>. 2019b</w:t>
      </w:r>
      <w:r w:rsidRPr="009978E3">
        <w:rPr>
          <w:rFonts w:eastAsia="MS Mincho"/>
          <w:color w:val="000000"/>
          <w:sz w:val="22"/>
          <w:szCs w:val="22"/>
          <w:lang w:val="en-US"/>
        </w:rPr>
        <w:t xml:space="preserve">). Individual tagging work indicates that Cory's shearwaters use the area to forage and to rest before returning to the colony (Magalhães </w:t>
      </w:r>
      <w:r w:rsidRPr="0006066A">
        <w:rPr>
          <w:rFonts w:eastAsia="MS Mincho"/>
          <w:i/>
          <w:color w:val="000000"/>
          <w:sz w:val="22"/>
          <w:szCs w:val="22"/>
          <w:lang w:val="en-US"/>
        </w:rPr>
        <w:t>et al</w:t>
      </w:r>
      <w:r w:rsidRPr="009978E3">
        <w:rPr>
          <w:rFonts w:eastAsia="MS Mincho"/>
          <w:color w:val="000000"/>
          <w:sz w:val="22"/>
          <w:szCs w:val="22"/>
          <w:lang w:val="en-US"/>
        </w:rPr>
        <w:t xml:space="preserve">. 2008). </w:t>
      </w:r>
      <w:r w:rsidRPr="009978E3">
        <w:rPr>
          <w:color w:val="000000"/>
          <w:sz w:val="22"/>
          <w:szCs w:val="22"/>
          <w:shd w:val="clear" w:color="auto" w:fill="FFFFFF"/>
        </w:rPr>
        <w:t>T</w:t>
      </w:r>
      <w:r w:rsidRPr="009978E3">
        <w:rPr>
          <w:iCs/>
          <w:color w:val="000000"/>
          <w:sz w:val="22"/>
          <w:szCs w:val="22"/>
          <w:lang w:eastAsia="en-GB"/>
        </w:rPr>
        <w:t>he little shearwater</w:t>
      </w:r>
      <w:r w:rsidRPr="009978E3">
        <w:rPr>
          <w:i/>
          <w:iCs/>
          <w:color w:val="000000"/>
          <w:sz w:val="22"/>
          <w:szCs w:val="22"/>
          <w:lang w:eastAsia="en-GB"/>
        </w:rPr>
        <w:t xml:space="preserve"> (Puffinus lherminieri baroli)</w:t>
      </w:r>
      <w:r w:rsidRPr="009978E3">
        <w:rPr>
          <w:rFonts w:eastAsia="MS Mincho"/>
          <w:color w:val="000000"/>
          <w:sz w:val="22"/>
          <w:szCs w:val="22"/>
          <w:lang w:val="en-US"/>
        </w:rPr>
        <w:t xml:space="preserve"> population breeding on Baixo and Praia islands also occur</w:t>
      </w:r>
      <w:r>
        <w:rPr>
          <w:rFonts w:eastAsia="MS Mincho"/>
          <w:color w:val="000000"/>
          <w:sz w:val="22"/>
          <w:szCs w:val="22"/>
          <w:lang w:val="en-US"/>
        </w:rPr>
        <w:t>s</w:t>
      </w:r>
      <w:r w:rsidRPr="009978E3">
        <w:rPr>
          <w:rFonts w:eastAsia="MS Mincho"/>
          <w:color w:val="000000"/>
          <w:sz w:val="22"/>
          <w:szCs w:val="22"/>
          <w:lang w:val="en-US"/>
        </w:rPr>
        <w:t xml:space="preserve"> in the area (Monteiro &amp; Furness 1998). The waters are also used by the band-rumped storm-petrel (</w:t>
      </w:r>
      <w:r w:rsidRPr="009978E3">
        <w:rPr>
          <w:rFonts w:eastAsia="MS Mincho"/>
          <w:i/>
          <w:color w:val="000000"/>
          <w:sz w:val="22"/>
          <w:szCs w:val="22"/>
          <w:lang w:val="en-US"/>
        </w:rPr>
        <w:t>Hydrobates castro)</w:t>
      </w:r>
      <w:r w:rsidRPr="009978E3">
        <w:rPr>
          <w:rFonts w:eastAsia="MS Mincho"/>
          <w:color w:val="000000"/>
          <w:sz w:val="22"/>
          <w:szCs w:val="22"/>
          <w:lang w:val="en-US"/>
        </w:rPr>
        <w:t xml:space="preserve"> breeding in Praia and Baixo islets, corresponding to around two-thirds of the breeding population of the species in the Azores (Monteiro &amp; Furness 1998; Bolton </w:t>
      </w:r>
      <w:r w:rsidRPr="0006066A">
        <w:rPr>
          <w:rFonts w:eastAsia="MS Mincho"/>
          <w:i/>
          <w:color w:val="000000"/>
          <w:sz w:val="22"/>
          <w:szCs w:val="22"/>
          <w:lang w:val="en-US"/>
        </w:rPr>
        <w:t>et al</w:t>
      </w:r>
      <w:r w:rsidRPr="009978E3">
        <w:rPr>
          <w:rFonts w:eastAsia="MS Mincho"/>
          <w:color w:val="000000"/>
          <w:sz w:val="22"/>
          <w:szCs w:val="22"/>
          <w:lang w:val="en-US"/>
        </w:rPr>
        <w:t>. 2004). A population of 320 pairs of yellow-legged gull (</w:t>
      </w:r>
      <w:r w:rsidRPr="009978E3">
        <w:rPr>
          <w:rFonts w:eastAsia="MS Mincho"/>
          <w:i/>
          <w:color w:val="000000"/>
          <w:sz w:val="22"/>
          <w:szCs w:val="22"/>
          <w:lang w:val="en-US"/>
        </w:rPr>
        <w:t>Larus cachinnans)</w:t>
      </w:r>
      <w:r w:rsidRPr="009978E3">
        <w:rPr>
          <w:rFonts w:eastAsia="MS Mincho"/>
          <w:color w:val="000000"/>
          <w:sz w:val="22"/>
          <w:szCs w:val="22"/>
          <w:lang w:val="en-US"/>
        </w:rPr>
        <w:t xml:space="preserve"> nesting in Baixo islet also use</w:t>
      </w:r>
      <w:r>
        <w:rPr>
          <w:rFonts w:eastAsia="MS Mincho"/>
          <w:color w:val="000000"/>
          <w:sz w:val="22"/>
          <w:szCs w:val="22"/>
          <w:lang w:val="en-US"/>
        </w:rPr>
        <w:t>s</w:t>
      </w:r>
      <w:r w:rsidRPr="009978E3">
        <w:rPr>
          <w:rFonts w:eastAsia="MS Mincho"/>
          <w:color w:val="000000"/>
          <w:sz w:val="22"/>
          <w:szCs w:val="22"/>
          <w:lang w:val="en-US"/>
        </w:rPr>
        <w:t xml:space="preserve"> these waters (Neves </w:t>
      </w:r>
      <w:r w:rsidRPr="0021277B">
        <w:rPr>
          <w:rFonts w:eastAsia="MS Mincho"/>
          <w:i/>
          <w:color w:val="000000"/>
          <w:sz w:val="22"/>
          <w:szCs w:val="22"/>
          <w:lang w:val="en-US"/>
        </w:rPr>
        <w:t>et al.</w:t>
      </w:r>
      <w:r w:rsidRPr="009978E3">
        <w:rPr>
          <w:rFonts w:eastAsia="MS Mincho"/>
          <w:color w:val="000000"/>
          <w:sz w:val="22"/>
          <w:szCs w:val="22"/>
          <w:lang w:val="en-US"/>
        </w:rPr>
        <w:t xml:space="preserve"> 2006), along with roseate tern (</w:t>
      </w:r>
      <w:r w:rsidRPr="009978E3">
        <w:rPr>
          <w:rFonts w:eastAsia="MS Mincho"/>
          <w:i/>
          <w:color w:val="000000"/>
          <w:sz w:val="22"/>
          <w:szCs w:val="22"/>
          <w:lang w:val="en-US"/>
        </w:rPr>
        <w:t xml:space="preserve">Sterna dougallii); </w:t>
      </w:r>
      <w:r w:rsidRPr="009978E3">
        <w:rPr>
          <w:rFonts w:eastAsia="MS Mincho"/>
          <w:color w:val="000000"/>
          <w:sz w:val="22"/>
          <w:szCs w:val="22"/>
          <w:lang w:val="en-US"/>
        </w:rPr>
        <w:t>the largest colony of this species breeds in nearby Praia islet, with a recorded maximum of 467 breeding pairs in 2006 (</w:t>
      </w:r>
      <w:r w:rsidRPr="009978E3">
        <w:rPr>
          <w:color w:val="000000"/>
          <w:sz w:val="22"/>
          <w:szCs w:val="22"/>
          <w:shd w:val="clear" w:color="auto" w:fill="FFFFFF"/>
        </w:rPr>
        <w:t xml:space="preserve">BirdLife </w:t>
      </w:r>
      <w:r w:rsidRPr="0006066A">
        <w:rPr>
          <w:i/>
          <w:color w:val="000000"/>
          <w:sz w:val="22"/>
          <w:szCs w:val="22"/>
          <w:shd w:val="clear" w:color="auto" w:fill="FFFFFF"/>
        </w:rPr>
        <w:t>et al</w:t>
      </w:r>
      <w:r w:rsidRPr="009978E3">
        <w:rPr>
          <w:color w:val="000000"/>
          <w:sz w:val="22"/>
          <w:szCs w:val="22"/>
          <w:shd w:val="clear" w:color="auto" w:fill="FFFFFF"/>
        </w:rPr>
        <w:t>. 2019b</w:t>
      </w:r>
      <w:r w:rsidRPr="009978E3">
        <w:rPr>
          <w:rFonts w:eastAsia="MS Mincho"/>
          <w:color w:val="000000"/>
          <w:sz w:val="22"/>
          <w:szCs w:val="22"/>
          <w:lang w:val="en-US"/>
        </w:rPr>
        <w:t>), as do common tern (</w:t>
      </w:r>
      <w:r w:rsidRPr="009978E3">
        <w:rPr>
          <w:rFonts w:eastAsia="MS Mincho"/>
          <w:i/>
          <w:color w:val="000000"/>
          <w:sz w:val="22"/>
          <w:szCs w:val="22"/>
          <w:lang w:val="en-US"/>
        </w:rPr>
        <w:t>Sterna hirundo)</w:t>
      </w:r>
      <w:r w:rsidRPr="009978E3">
        <w:rPr>
          <w:rFonts w:eastAsia="MS Mincho"/>
          <w:color w:val="000000"/>
          <w:sz w:val="22"/>
          <w:szCs w:val="22"/>
          <w:lang w:val="en-US"/>
        </w:rPr>
        <w:t xml:space="preserve"> (a yearly monitoring survey carried out in 2007 estimated a total population in the area of the proposed IBA of 304 couples</w:t>
      </w:r>
      <w:r>
        <w:rPr>
          <w:rFonts w:eastAsia="MS Mincho"/>
          <w:color w:val="000000"/>
          <w:sz w:val="22"/>
          <w:szCs w:val="22"/>
          <w:lang w:val="en-US"/>
        </w:rPr>
        <w:t xml:space="preserve">; </w:t>
      </w:r>
      <w:r w:rsidRPr="009978E3">
        <w:rPr>
          <w:rFonts w:eastAsia="MS Mincho"/>
          <w:color w:val="000000"/>
          <w:sz w:val="22"/>
          <w:szCs w:val="22"/>
          <w:lang w:val="en-US"/>
        </w:rPr>
        <w:t xml:space="preserve">Neves 2007). Great shearwater </w:t>
      </w:r>
      <w:r>
        <w:rPr>
          <w:rFonts w:eastAsia="MS Mincho"/>
          <w:color w:val="000000"/>
          <w:sz w:val="22"/>
          <w:szCs w:val="22"/>
          <w:lang w:val="en-US"/>
        </w:rPr>
        <w:t>(</w:t>
      </w:r>
      <w:r w:rsidRPr="009978E3">
        <w:rPr>
          <w:rFonts w:eastAsia="MS Mincho"/>
          <w:i/>
          <w:color w:val="000000"/>
          <w:sz w:val="22"/>
          <w:szCs w:val="22"/>
          <w:lang w:val="en-US"/>
        </w:rPr>
        <w:t>Ardenna gravis</w:t>
      </w:r>
      <w:r>
        <w:rPr>
          <w:rFonts w:eastAsia="MS Mincho"/>
          <w:i/>
          <w:color w:val="000000"/>
          <w:sz w:val="22"/>
          <w:szCs w:val="22"/>
          <w:lang w:val="en-US"/>
        </w:rPr>
        <w:t>)</w:t>
      </w:r>
      <w:r w:rsidRPr="009978E3">
        <w:rPr>
          <w:rFonts w:eastAsia="MS Mincho"/>
          <w:color w:val="000000"/>
          <w:sz w:val="22"/>
          <w:szCs w:val="22"/>
          <w:lang w:val="en-US"/>
        </w:rPr>
        <w:t xml:space="preserve"> and Bulwer's petrel </w:t>
      </w:r>
      <w:r>
        <w:rPr>
          <w:rFonts w:eastAsia="MS Mincho"/>
          <w:color w:val="000000"/>
          <w:sz w:val="22"/>
          <w:szCs w:val="22"/>
          <w:lang w:val="en-US"/>
        </w:rPr>
        <w:t>(</w:t>
      </w:r>
      <w:r w:rsidRPr="009978E3">
        <w:rPr>
          <w:rFonts w:eastAsia="MS Mincho"/>
          <w:i/>
          <w:color w:val="000000"/>
          <w:sz w:val="22"/>
          <w:szCs w:val="22"/>
          <w:lang w:val="en-US"/>
        </w:rPr>
        <w:t>Bulweria bulwerii</w:t>
      </w:r>
      <w:r>
        <w:rPr>
          <w:rFonts w:eastAsia="MS Mincho"/>
          <w:i/>
          <w:color w:val="000000"/>
          <w:sz w:val="22"/>
          <w:szCs w:val="22"/>
          <w:lang w:val="en-US"/>
        </w:rPr>
        <w:t>)</w:t>
      </w:r>
      <w:r w:rsidRPr="009978E3">
        <w:rPr>
          <w:rFonts w:eastAsia="MS Mincho"/>
          <w:color w:val="000000"/>
          <w:sz w:val="22"/>
          <w:szCs w:val="22"/>
          <w:lang w:val="en-US"/>
        </w:rPr>
        <w:t xml:space="preserve"> are also regularly seen in this area (</w:t>
      </w:r>
      <w:r w:rsidRPr="009978E3">
        <w:rPr>
          <w:color w:val="000000"/>
          <w:sz w:val="22"/>
          <w:szCs w:val="22"/>
          <w:shd w:val="clear" w:color="auto" w:fill="FFFFFF"/>
        </w:rPr>
        <w:t xml:space="preserve">BirdLife </w:t>
      </w:r>
      <w:r w:rsidRPr="0006066A">
        <w:rPr>
          <w:i/>
          <w:color w:val="000000"/>
          <w:sz w:val="22"/>
          <w:szCs w:val="22"/>
          <w:shd w:val="clear" w:color="auto" w:fill="FFFFFF"/>
        </w:rPr>
        <w:t>et al</w:t>
      </w:r>
      <w:r w:rsidRPr="009978E3">
        <w:rPr>
          <w:color w:val="000000"/>
          <w:sz w:val="22"/>
          <w:szCs w:val="22"/>
          <w:shd w:val="clear" w:color="auto" w:fill="FFFFFF"/>
        </w:rPr>
        <w:t>. 2019b</w:t>
      </w:r>
      <w:r w:rsidRPr="009978E3">
        <w:rPr>
          <w:rFonts w:eastAsia="MS Mincho"/>
          <w:color w:val="000000"/>
          <w:sz w:val="22"/>
          <w:szCs w:val="22"/>
          <w:lang w:val="en-US"/>
        </w:rPr>
        <w:t>).</w:t>
      </w:r>
    </w:p>
    <w:p w14:paraId="1C041BA7" w14:textId="77777777" w:rsidR="006B3F46" w:rsidRPr="009978E3" w:rsidRDefault="006B3F46" w:rsidP="002E4B39">
      <w:pPr>
        <w:suppressLineNumbers/>
        <w:spacing w:after="120"/>
        <w:jc w:val="both"/>
        <w:rPr>
          <w:rFonts w:eastAsia="MS Mincho"/>
          <w:color w:val="000000"/>
          <w:sz w:val="22"/>
          <w:szCs w:val="22"/>
          <w:lang w:val="en-US"/>
        </w:rPr>
      </w:pPr>
      <w:r w:rsidRPr="009978E3">
        <w:rPr>
          <w:rFonts w:eastAsia="MS Mincho"/>
          <w:color w:val="000000"/>
          <w:sz w:val="22"/>
          <w:szCs w:val="22"/>
          <w:lang w:val="en-US"/>
        </w:rPr>
        <w:t>The area is also known to be used by 12 species of cetaceans</w:t>
      </w:r>
      <w:r w:rsidRPr="009978E3">
        <w:rPr>
          <w:color w:val="000000"/>
          <w:sz w:val="22"/>
          <w:szCs w:val="22"/>
        </w:rPr>
        <w:t>: sperm whale (</w:t>
      </w:r>
      <w:r w:rsidRPr="009978E3">
        <w:rPr>
          <w:i/>
          <w:color w:val="000000"/>
          <w:sz w:val="22"/>
          <w:szCs w:val="22"/>
        </w:rPr>
        <w:t>Physeter microcephalus)</w:t>
      </w:r>
      <w:r w:rsidRPr="009978E3">
        <w:rPr>
          <w:color w:val="000000"/>
          <w:sz w:val="22"/>
          <w:szCs w:val="22"/>
        </w:rPr>
        <w:t>, Cuvier’s beaked whale (</w:t>
      </w:r>
      <w:r w:rsidRPr="009978E3">
        <w:rPr>
          <w:i/>
          <w:color w:val="000000"/>
          <w:sz w:val="22"/>
          <w:szCs w:val="22"/>
        </w:rPr>
        <w:t>Ziphius cavirostris)</w:t>
      </w:r>
      <w:r w:rsidRPr="009978E3">
        <w:rPr>
          <w:color w:val="000000"/>
          <w:sz w:val="22"/>
          <w:szCs w:val="22"/>
        </w:rPr>
        <w:t>, northern bottlenose whale (</w:t>
      </w:r>
      <w:r w:rsidRPr="009978E3">
        <w:rPr>
          <w:i/>
          <w:color w:val="000000"/>
          <w:sz w:val="22"/>
          <w:szCs w:val="22"/>
        </w:rPr>
        <w:t>Hyperodon ampulatus)</w:t>
      </w:r>
      <w:r w:rsidRPr="009978E3">
        <w:rPr>
          <w:color w:val="000000"/>
          <w:sz w:val="22"/>
          <w:szCs w:val="22"/>
        </w:rPr>
        <w:t>, beaked whale species (</w:t>
      </w:r>
      <w:r w:rsidRPr="009978E3">
        <w:rPr>
          <w:i/>
          <w:color w:val="000000"/>
          <w:sz w:val="22"/>
          <w:szCs w:val="22"/>
        </w:rPr>
        <w:t>Mesoplodon spp</w:t>
      </w:r>
      <w:r w:rsidRPr="009978E3">
        <w:rPr>
          <w:color w:val="000000"/>
          <w:sz w:val="22"/>
          <w:szCs w:val="22"/>
        </w:rPr>
        <w:t>.), bottlenose dolphins (</w:t>
      </w:r>
      <w:r w:rsidRPr="009978E3">
        <w:rPr>
          <w:i/>
          <w:color w:val="000000"/>
          <w:sz w:val="22"/>
          <w:szCs w:val="22"/>
        </w:rPr>
        <w:t>Tursiops truncates)</w:t>
      </w:r>
      <w:r w:rsidRPr="009978E3">
        <w:rPr>
          <w:color w:val="000000"/>
          <w:sz w:val="22"/>
          <w:szCs w:val="22"/>
        </w:rPr>
        <w:t>, Atlantic spotted dolphin (</w:t>
      </w:r>
      <w:r w:rsidRPr="009978E3">
        <w:rPr>
          <w:i/>
          <w:color w:val="000000"/>
          <w:sz w:val="22"/>
          <w:szCs w:val="22"/>
        </w:rPr>
        <w:t>Stenella frontalis)</w:t>
      </w:r>
      <w:r w:rsidRPr="009978E3">
        <w:rPr>
          <w:color w:val="000000"/>
          <w:sz w:val="22"/>
          <w:szCs w:val="22"/>
        </w:rPr>
        <w:t>, striped dolphin (</w:t>
      </w:r>
      <w:r w:rsidRPr="009978E3">
        <w:rPr>
          <w:i/>
          <w:color w:val="000000"/>
          <w:sz w:val="22"/>
          <w:szCs w:val="22"/>
        </w:rPr>
        <w:t>Stenella coeruleoalba)</w:t>
      </w:r>
      <w:r w:rsidRPr="009978E3">
        <w:rPr>
          <w:color w:val="000000"/>
          <w:sz w:val="22"/>
          <w:szCs w:val="22"/>
        </w:rPr>
        <w:t>, Risso’s dolphin (</w:t>
      </w:r>
      <w:r w:rsidRPr="009978E3">
        <w:rPr>
          <w:i/>
          <w:color w:val="000000"/>
          <w:sz w:val="22"/>
          <w:szCs w:val="22"/>
        </w:rPr>
        <w:t>Grampus griseus)</w:t>
      </w:r>
      <w:r w:rsidRPr="009978E3">
        <w:rPr>
          <w:color w:val="000000"/>
          <w:sz w:val="22"/>
          <w:szCs w:val="22"/>
        </w:rPr>
        <w:t>, common dolphin (</w:t>
      </w:r>
      <w:r w:rsidRPr="009978E3">
        <w:rPr>
          <w:i/>
          <w:color w:val="000000"/>
          <w:sz w:val="22"/>
          <w:szCs w:val="22"/>
        </w:rPr>
        <w:t>Delphinus delphis)</w:t>
      </w:r>
      <w:r w:rsidRPr="009978E3">
        <w:rPr>
          <w:color w:val="000000"/>
          <w:sz w:val="22"/>
          <w:szCs w:val="22"/>
        </w:rPr>
        <w:t>, false killer whale (</w:t>
      </w:r>
      <w:r w:rsidRPr="009978E3">
        <w:rPr>
          <w:i/>
          <w:color w:val="000000"/>
          <w:sz w:val="22"/>
          <w:szCs w:val="22"/>
        </w:rPr>
        <w:t>Psuedorca crassidens</w:t>
      </w:r>
      <w:r>
        <w:rPr>
          <w:i/>
          <w:color w:val="000000"/>
          <w:sz w:val="22"/>
          <w:szCs w:val="22"/>
        </w:rPr>
        <w:t>)</w:t>
      </w:r>
      <w:r w:rsidRPr="009978E3">
        <w:rPr>
          <w:color w:val="000000"/>
          <w:sz w:val="22"/>
          <w:szCs w:val="22"/>
        </w:rPr>
        <w:t xml:space="preserve">, pilot whale </w:t>
      </w:r>
      <w:r>
        <w:rPr>
          <w:color w:val="000000"/>
          <w:sz w:val="22"/>
          <w:szCs w:val="22"/>
        </w:rPr>
        <w:t>(</w:t>
      </w:r>
      <w:r w:rsidRPr="009978E3">
        <w:rPr>
          <w:i/>
          <w:color w:val="000000"/>
          <w:sz w:val="22"/>
          <w:szCs w:val="22"/>
        </w:rPr>
        <w:t>Globicephala spp</w:t>
      </w:r>
      <w:r w:rsidRPr="009978E3">
        <w:rPr>
          <w:color w:val="000000"/>
          <w:sz w:val="22"/>
          <w:szCs w:val="22"/>
        </w:rPr>
        <w:t>.</w:t>
      </w:r>
      <w:r>
        <w:rPr>
          <w:color w:val="000000"/>
          <w:sz w:val="22"/>
          <w:szCs w:val="22"/>
        </w:rPr>
        <w:t>)</w:t>
      </w:r>
      <w:r w:rsidRPr="009978E3">
        <w:rPr>
          <w:color w:val="000000"/>
          <w:sz w:val="22"/>
          <w:szCs w:val="22"/>
        </w:rPr>
        <w:t xml:space="preserve"> and sei whale (</w:t>
      </w:r>
      <w:r w:rsidRPr="009978E3">
        <w:rPr>
          <w:i/>
          <w:color w:val="000000"/>
          <w:sz w:val="22"/>
          <w:szCs w:val="22"/>
        </w:rPr>
        <w:t>Balaenoptera borealis)</w:t>
      </w:r>
      <w:r w:rsidRPr="009978E3">
        <w:rPr>
          <w:color w:val="000000"/>
          <w:sz w:val="22"/>
          <w:szCs w:val="22"/>
        </w:rPr>
        <w:t xml:space="preserve"> </w:t>
      </w:r>
      <w:r w:rsidRPr="009978E3">
        <w:rPr>
          <w:rFonts w:eastAsia="MS Mincho"/>
          <w:color w:val="000000"/>
          <w:sz w:val="22"/>
          <w:szCs w:val="22"/>
          <w:lang w:val="en-US"/>
        </w:rPr>
        <w:t>(</w:t>
      </w:r>
      <w:r w:rsidRPr="009978E3">
        <w:rPr>
          <w:color w:val="000000"/>
          <w:sz w:val="22"/>
          <w:szCs w:val="22"/>
        </w:rPr>
        <w:t xml:space="preserve">Silva </w:t>
      </w:r>
      <w:r w:rsidRPr="0006066A">
        <w:rPr>
          <w:i/>
          <w:color w:val="000000"/>
          <w:sz w:val="22"/>
          <w:szCs w:val="22"/>
        </w:rPr>
        <w:t>et al</w:t>
      </w:r>
      <w:r w:rsidRPr="009978E3">
        <w:rPr>
          <w:color w:val="000000"/>
          <w:sz w:val="22"/>
          <w:szCs w:val="22"/>
        </w:rPr>
        <w:t>. 2014)</w:t>
      </w:r>
    </w:p>
    <w:p w14:paraId="40A47E6B"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Feature condition and future outlook of the area</w:t>
      </w:r>
    </w:p>
    <w:p w14:paraId="0192B5C0" w14:textId="77777777" w:rsidR="006B3F46" w:rsidRPr="009978E3" w:rsidRDefault="006B3F46" w:rsidP="002E4B39">
      <w:pPr>
        <w:suppressLineNumbers/>
        <w:spacing w:after="120"/>
        <w:jc w:val="both"/>
        <w:rPr>
          <w:rFonts w:eastAsia="MS Mincho"/>
          <w:color w:val="000000"/>
          <w:sz w:val="22"/>
          <w:szCs w:val="22"/>
          <w:lang w:val="en-US"/>
        </w:rPr>
      </w:pPr>
      <w:r w:rsidRPr="009978E3">
        <w:rPr>
          <w:rFonts w:eastAsia="MS Mincho"/>
          <w:color w:val="000000"/>
          <w:sz w:val="22"/>
          <w:szCs w:val="22"/>
          <w:lang w:val="en-US"/>
        </w:rPr>
        <w:t xml:space="preserve">The </w:t>
      </w:r>
      <w:r w:rsidRPr="002E4B39">
        <w:rPr>
          <w:rFonts w:eastAsia="MS Mincho"/>
          <w:sz w:val="22"/>
          <w:szCs w:val="22"/>
          <w:lang w:val="en-US"/>
        </w:rPr>
        <w:t>seabird</w:t>
      </w:r>
      <w:r w:rsidRPr="009978E3">
        <w:rPr>
          <w:rFonts w:eastAsia="MS Mincho"/>
          <w:color w:val="000000"/>
          <w:sz w:val="22"/>
          <w:szCs w:val="22"/>
          <w:lang w:val="en-US"/>
        </w:rPr>
        <w:t xml:space="preserve"> community using the area has been the subject of several scientific studies (</w:t>
      </w:r>
      <w:r>
        <w:rPr>
          <w:rFonts w:eastAsia="MS Mincho"/>
          <w:color w:val="000000"/>
          <w:sz w:val="22"/>
          <w:szCs w:val="22"/>
          <w:lang w:val="en-US"/>
        </w:rPr>
        <w:t>e.g.,</w:t>
      </w:r>
      <w:r w:rsidRPr="009978E3">
        <w:rPr>
          <w:rFonts w:eastAsia="MS Mincho"/>
          <w:color w:val="000000"/>
          <w:sz w:val="22"/>
          <w:szCs w:val="22"/>
          <w:lang w:val="en-US"/>
        </w:rPr>
        <w:t xml:space="preserve"> Monteiro </w:t>
      </w:r>
      <w:r w:rsidRPr="0006066A">
        <w:rPr>
          <w:rFonts w:eastAsia="MS Mincho"/>
          <w:i/>
          <w:color w:val="000000"/>
          <w:sz w:val="22"/>
          <w:szCs w:val="22"/>
          <w:lang w:val="en-US"/>
        </w:rPr>
        <w:t>et al</w:t>
      </w:r>
      <w:r w:rsidRPr="009978E3">
        <w:rPr>
          <w:rFonts w:eastAsia="MS Mincho"/>
          <w:color w:val="000000"/>
          <w:sz w:val="22"/>
          <w:szCs w:val="22"/>
          <w:lang w:val="en-US"/>
        </w:rPr>
        <w:t xml:space="preserve">. 1999; Bolton </w:t>
      </w:r>
      <w:r w:rsidRPr="0006066A">
        <w:rPr>
          <w:rFonts w:eastAsia="MS Mincho"/>
          <w:i/>
          <w:color w:val="000000"/>
          <w:sz w:val="22"/>
          <w:szCs w:val="22"/>
          <w:lang w:val="en-US"/>
        </w:rPr>
        <w:t>et al</w:t>
      </w:r>
      <w:r w:rsidRPr="009978E3">
        <w:rPr>
          <w:rFonts w:eastAsia="MS Mincho"/>
          <w:color w:val="000000"/>
          <w:sz w:val="22"/>
          <w:szCs w:val="22"/>
          <w:lang w:val="en-US"/>
        </w:rPr>
        <w:t xml:space="preserve">. 2008; Magalhães </w:t>
      </w:r>
      <w:r w:rsidRPr="0006066A">
        <w:rPr>
          <w:rFonts w:eastAsia="MS Mincho"/>
          <w:i/>
          <w:color w:val="000000"/>
          <w:sz w:val="22"/>
          <w:szCs w:val="22"/>
          <w:lang w:val="en-US"/>
        </w:rPr>
        <w:t>et al</w:t>
      </w:r>
      <w:r w:rsidRPr="009978E3">
        <w:rPr>
          <w:rFonts w:eastAsia="MS Mincho"/>
          <w:color w:val="000000"/>
          <w:sz w:val="22"/>
          <w:szCs w:val="22"/>
          <w:lang w:val="en-US"/>
        </w:rPr>
        <w:t xml:space="preserve">. 2008; Silva </w:t>
      </w:r>
      <w:r w:rsidRPr="0006066A">
        <w:rPr>
          <w:rFonts w:eastAsia="MS Mincho"/>
          <w:i/>
          <w:color w:val="000000"/>
          <w:sz w:val="22"/>
          <w:szCs w:val="22"/>
          <w:lang w:val="en-US"/>
        </w:rPr>
        <w:t>et al</w:t>
      </w:r>
      <w:r w:rsidRPr="009978E3">
        <w:rPr>
          <w:rFonts w:eastAsia="MS Mincho"/>
          <w:color w:val="000000"/>
          <w:sz w:val="22"/>
          <w:szCs w:val="22"/>
          <w:lang w:val="en-US"/>
        </w:rPr>
        <w:t xml:space="preserve">. 2016), some of them ongoing </w:t>
      </w:r>
      <w:r>
        <w:rPr>
          <w:rFonts w:eastAsia="MS Mincho"/>
          <w:color w:val="000000"/>
          <w:sz w:val="22"/>
          <w:szCs w:val="22"/>
          <w:lang w:val="en-US"/>
        </w:rPr>
        <w:t xml:space="preserve">and </w:t>
      </w:r>
      <w:r w:rsidRPr="009978E3">
        <w:rPr>
          <w:rFonts w:eastAsia="MS Mincho"/>
          <w:color w:val="000000"/>
          <w:sz w:val="22"/>
          <w:szCs w:val="22"/>
          <w:lang w:val="en-US"/>
        </w:rPr>
        <w:t xml:space="preserve">mainly led by University of the Azores. The conditions are supposedly stable, although the recreational diving in this area is apparently increasing (Meirinho </w:t>
      </w:r>
      <w:r w:rsidRPr="0006066A">
        <w:rPr>
          <w:rFonts w:eastAsia="MS Mincho"/>
          <w:i/>
          <w:color w:val="000000"/>
          <w:sz w:val="22"/>
          <w:szCs w:val="22"/>
          <w:lang w:val="en-US"/>
        </w:rPr>
        <w:t>et al</w:t>
      </w:r>
      <w:r w:rsidRPr="009978E3">
        <w:rPr>
          <w:rFonts w:eastAsia="MS Mincho"/>
          <w:color w:val="000000"/>
          <w:sz w:val="22"/>
          <w:szCs w:val="22"/>
          <w:lang w:val="en-US"/>
        </w:rPr>
        <w:t xml:space="preserve">. 2003; BirdLife International 2019b); fishing in the area is not very extensive and mostly uses traditional approaches (Meirinho </w:t>
      </w:r>
      <w:r w:rsidRPr="0006066A">
        <w:rPr>
          <w:rFonts w:eastAsia="MS Mincho"/>
          <w:i/>
          <w:color w:val="000000"/>
          <w:sz w:val="22"/>
          <w:szCs w:val="22"/>
          <w:lang w:val="en-US"/>
        </w:rPr>
        <w:t>et al</w:t>
      </w:r>
      <w:r w:rsidRPr="009978E3">
        <w:rPr>
          <w:rFonts w:eastAsia="MS Mincho"/>
          <w:color w:val="000000"/>
          <w:sz w:val="22"/>
          <w:szCs w:val="22"/>
          <w:lang w:val="en-US"/>
        </w:rPr>
        <w:t>. 2003).</w:t>
      </w:r>
    </w:p>
    <w:p w14:paraId="3A2F5AC0"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 xml:space="preserve">Assessment of  </w:t>
      </w:r>
      <w:r>
        <w:rPr>
          <w:rFonts w:eastAsia="MS Mincho"/>
          <w:b/>
          <w:color w:val="000000"/>
          <w:sz w:val="22"/>
          <w:szCs w:val="22"/>
          <w:lang w:val="en-US"/>
        </w:rPr>
        <w:t>a</w:t>
      </w:r>
      <w:r w:rsidRPr="0025777F">
        <w:rPr>
          <w:rFonts w:eastAsia="MS Mincho"/>
          <w:b/>
          <w:color w:val="000000"/>
          <w:sz w:val="22"/>
          <w:szCs w:val="22"/>
          <w:lang w:val="en-US"/>
        </w:rPr>
        <w:t>rea no. 12</w:t>
      </w:r>
      <w:r>
        <w:rPr>
          <w:rFonts w:eastAsia="MS Mincho"/>
          <w:b/>
          <w:color w:val="000000"/>
          <w:sz w:val="22"/>
          <w:szCs w:val="22"/>
          <w:lang w:val="en-US"/>
        </w:rPr>
        <w:t>,</w:t>
      </w:r>
      <w:r w:rsidRPr="0025777F">
        <w:rPr>
          <w:rFonts w:eastAsia="MS Mincho"/>
          <w:b/>
          <w:color w:val="000000"/>
          <w:sz w:val="22"/>
          <w:szCs w:val="22"/>
          <w:lang w:val="en-US"/>
        </w:rPr>
        <w:t xml:space="preserve"> Graciosa</w:t>
      </w:r>
      <w:r>
        <w:rPr>
          <w:rFonts w:eastAsia="MS Mincho"/>
          <w:b/>
          <w:color w:val="000000"/>
          <w:sz w:val="22"/>
          <w:szCs w:val="22"/>
          <w:lang w:val="en-US"/>
        </w:rPr>
        <w:t>,</w:t>
      </w:r>
      <w:r w:rsidRPr="0025777F">
        <w:rPr>
          <w:rFonts w:eastAsia="MS Mincho"/>
          <w:b/>
          <w:color w:val="000000"/>
          <w:sz w:val="22"/>
          <w:szCs w:val="22"/>
          <w:lang w:val="en-US"/>
        </w:rPr>
        <w:t xml:space="preserve"> </w:t>
      </w:r>
      <w:r w:rsidRPr="009978E3">
        <w:rPr>
          <w:rFonts w:eastAsia="MS Mincho"/>
          <w:b/>
          <w:color w:val="000000"/>
          <w:sz w:val="22"/>
          <w:szCs w:val="22"/>
          <w:lang w:val="en-US"/>
        </w:rPr>
        <w:t xml:space="preserve">against CBD EBSA Criteria </w:t>
      </w:r>
    </w:p>
    <w:p w14:paraId="45B9460D"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9978E3" w14:paraId="1C044902" w14:textId="77777777" w:rsidTr="002E4B39">
        <w:tc>
          <w:tcPr>
            <w:tcW w:w="832" w:type="pct"/>
            <w:vMerge w:val="restart"/>
            <w:shd w:val="clear" w:color="auto" w:fill="auto"/>
          </w:tcPr>
          <w:p w14:paraId="6FC13371" w14:textId="77777777" w:rsidR="006B3F46" w:rsidRPr="009978E3" w:rsidRDefault="006B3F46" w:rsidP="00907941">
            <w:pPr>
              <w:widowControl w:val="0"/>
              <w:autoSpaceDE w:val="0"/>
              <w:autoSpaceDN w:val="0"/>
              <w:adjustRightInd w:val="0"/>
              <w:rPr>
                <w:rFonts w:eastAsia="MS Mincho"/>
                <w:b/>
                <w:bCs/>
                <w:color w:val="000000"/>
                <w:sz w:val="22"/>
                <w:szCs w:val="22"/>
                <w:lang w:val="it-IT"/>
              </w:rPr>
            </w:pPr>
            <w:r w:rsidRPr="009978E3">
              <w:rPr>
                <w:rFonts w:eastAsia="MS Mincho"/>
                <w:b/>
                <w:bCs/>
                <w:color w:val="000000"/>
                <w:sz w:val="22"/>
                <w:szCs w:val="22"/>
                <w:lang w:val="it-IT"/>
              </w:rPr>
              <w:t>CBD EBSA Criteria</w:t>
            </w:r>
          </w:p>
          <w:p w14:paraId="61DF6445" w14:textId="77777777" w:rsidR="006B3F46" w:rsidRPr="009978E3" w:rsidRDefault="006B3F46" w:rsidP="00907941">
            <w:pPr>
              <w:widowControl w:val="0"/>
              <w:autoSpaceDE w:val="0"/>
              <w:autoSpaceDN w:val="0"/>
              <w:adjustRightInd w:val="0"/>
              <w:rPr>
                <w:rFonts w:eastAsia="MS Mincho"/>
                <w:bCs/>
                <w:color w:val="000000"/>
                <w:sz w:val="22"/>
                <w:szCs w:val="22"/>
                <w:lang w:val="it-IT"/>
              </w:rPr>
            </w:pPr>
            <w:r w:rsidRPr="009978E3">
              <w:rPr>
                <w:rFonts w:eastAsia="MS Mincho"/>
                <w:bCs/>
                <w:color w:val="000000"/>
                <w:sz w:val="22"/>
                <w:szCs w:val="22"/>
                <w:lang w:val="it-IT"/>
              </w:rPr>
              <w:t>(Annex I to decision IX/20)</w:t>
            </w:r>
          </w:p>
        </w:tc>
        <w:tc>
          <w:tcPr>
            <w:tcW w:w="2232" w:type="pct"/>
            <w:vMerge w:val="restart"/>
            <w:shd w:val="clear" w:color="auto" w:fill="auto"/>
          </w:tcPr>
          <w:p w14:paraId="52168C66"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Description</w:t>
            </w:r>
          </w:p>
          <w:p w14:paraId="4614FD05"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it-IT"/>
              </w:rPr>
              <w:t>(Annex I to decision IX/20)</w:t>
            </w:r>
          </w:p>
        </w:tc>
        <w:tc>
          <w:tcPr>
            <w:tcW w:w="1937" w:type="pct"/>
            <w:gridSpan w:val="9"/>
            <w:shd w:val="clear" w:color="auto" w:fill="auto"/>
          </w:tcPr>
          <w:p w14:paraId="2E3B8C19"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 xml:space="preserve">Ranking of criterion relevance </w:t>
            </w:r>
          </w:p>
          <w:p w14:paraId="3D7A6869"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Cs/>
                <w:color w:val="000000"/>
                <w:sz w:val="22"/>
                <w:szCs w:val="22"/>
                <w:lang w:val="en-US"/>
              </w:rPr>
              <w:t>(please mark one column with an X)</w:t>
            </w:r>
          </w:p>
        </w:tc>
      </w:tr>
      <w:tr w:rsidR="006B3F46" w:rsidRPr="009978E3" w14:paraId="385B1612" w14:textId="77777777" w:rsidTr="002E4B39">
        <w:tc>
          <w:tcPr>
            <w:tcW w:w="832" w:type="pct"/>
            <w:vMerge/>
            <w:shd w:val="clear" w:color="auto" w:fill="auto"/>
          </w:tcPr>
          <w:p w14:paraId="6B71826D"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p>
        </w:tc>
        <w:tc>
          <w:tcPr>
            <w:tcW w:w="2232" w:type="pct"/>
            <w:vMerge/>
            <w:shd w:val="clear" w:color="auto" w:fill="auto"/>
          </w:tcPr>
          <w:p w14:paraId="7CA59258"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p>
        </w:tc>
        <w:tc>
          <w:tcPr>
            <w:tcW w:w="547" w:type="pct"/>
            <w:gridSpan w:val="2"/>
            <w:shd w:val="clear" w:color="auto" w:fill="auto"/>
          </w:tcPr>
          <w:p w14:paraId="76EC38D2"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No information</w:t>
            </w:r>
          </w:p>
        </w:tc>
        <w:tc>
          <w:tcPr>
            <w:tcW w:w="547" w:type="pct"/>
            <w:gridSpan w:val="3"/>
            <w:shd w:val="clear" w:color="auto" w:fill="auto"/>
          </w:tcPr>
          <w:p w14:paraId="5F4CBE0F"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Low</w:t>
            </w:r>
          </w:p>
        </w:tc>
        <w:tc>
          <w:tcPr>
            <w:tcW w:w="411" w:type="pct"/>
            <w:gridSpan w:val="2"/>
            <w:shd w:val="clear" w:color="auto" w:fill="auto"/>
          </w:tcPr>
          <w:p w14:paraId="1E242356"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Medium</w:t>
            </w:r>
          </w:p>
        </w:tc>
        <w:tc>
          <w:tcPr>
            <w:tcW w:w="432" w:type="pct"/>
            <w:gridSpan w:val="2"/>
            <w:shd w:val="clear" w:color="auto" w:fill="auto"/>
          </w:tcPr>
          <w:p w14:paraId="6B6C6492"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High</w:t>
            </w:r>
          </w:p>
        </w:tc>
      </w:tr>
      <w:tr w:rsidR="006B3F46" w:rsidRPr="009978E3" w14:paraId="2D756DA3" w14:textId="77777777" w:rsidTr="002E4B39">
        <w:tc>
          <w:tcPr>
            <w:tcW w:w="832" w:type="pct"/>
            <w:shd w:val="clear" w:color="auto" w:fill="auto"/>
          </w:tcPr>
          <w:p w14:paraId="196A9313"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Uniqueness or rarity</w:t>
            </w:r>
          </w:p>
        </w:tc>
        <w:tc>
          <w:tcPr>
            <w:tcW w:w="2232" w:type="pct"/>
            <w:shd w:val="clear" w:color="auto" w:fill="auto"/>
          </w:tcPr>
          <w:p w14:paraId="2898EDE9"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0DEBCB5B" w14:textId="77777777" w:rsidR="006B3F46" w:rsidRPr="009978E3" w:rsidRDefault="006B3F46" w:rsidP="00907941">
            <w:pPr>
              <w:widowControl w:val="0"/>
              <w:autoSpaceDE w:val="0"/>
              <w:autoSpaceDN w:val="0"/>
              <w:adjustRightInd w:val="0"/>
              <w:rPr>
                <w:rFonts w:eastAsia="MS Mincho"/>
                <w:bCs/>
                <w:color w:val="000000"/>
                <w:sz w:val="22"/>
                <w:szCs w:val="22"/>
                <w:lang w:val="en-US"/>
              </w:rPr>
            </w:pPr>
          </w:p>
        </w:tc>
        <w:tc>
          <w:tcPr>
            <w:tcW w:w="547" w:type="pct"/>
            <w:gridSpan w:val="3"/>
            <w:shd w:val="clear" w:color="auto" w:fill="auto"/>
          </w:tcPr>
          <w:p w14:paraId="29E50F04"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537DE5B1"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1FE19DF4"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9978E3" w14:paraId="2E8C7456" w14:textId="77777777" w:rsidTr="00907941">
        <w:tc>
          <w:tcPr>
            <w:tcW w:w="5000" w:type="pct"/>
            <w:gridSpan w:val="11"/>
            <w:shd w:val="clear" w:color="auto" w:fill="auto"/>
          </w:tcPr>
          <w:p w14:paraId="0CFBD172" w14:textId="77777777" w:rsidR="006B3F46" w:rsidRPr="009978E3" w:rsidRDefault="006B3F46" w:rsidP="00907941">
            <w:pPr>
              <w:widowControl w:val="0"/>
              <w:autoSpaceDE w:val="0"/>
              <w:autoSpaceDN w:val="0"/>
              <w:adjustRightInd w:val="0"/>
              <w:rPr>
                <w:rFonts w:eastAsia="MS Mincho"/>
                <w:i/>
                <w:color w:val="000000"/>
                <w:sz w:val="22"/>
                <w:szCs w:val="22"/>
                <w:lang w:val="en-US"/>
              </w:rPr>
            </w:pPr>
            <w:r w:rsidRPr="009978E3">
              <w:rPr>
                <w:rFonts w:eastAsia="MS Mincho"/>
                <w:i/>
                <w:color w:val="000000"/>
                <w:sz w:val="22"/>
                <w:szCs w:val="22"/>
                <w:lang w:val="en-US"/>
              </w:rPr>
              <w:t>Explanation for ranking</w:t>
            </w:r>
          </w:p>
          <w:p w14:paraId="6CD1252F" w14:textId="20AB564E" w:rsidR="006B3F46" w:rsidRPr="009978E3" w:rsidRDefault="006B3F46" w:rsidP="002E4B39">
            <w:pPr>
              <w:jc w:val="both"/>
              <w:rPr>
                <w:rFonts w:eastAsia="MS Mincho"/>
                <w:b/>
                <w:bCs/>
                <w:color w:val="000000"/>
                <w:sz w:val="22"/>
                <w:szCs w:val="22"/>
                <w:lang w:val="en-US"/>
              </w:rPr>
            </w:pPr>
            <w:r w:rsidRPr="009978E3">
              <w:rPr>
                <w:rFonts w:eastAsia="MS Mincho"/>
                <w:color w:val="000000"/>
                <w:sz w:val="22"/>
                <w:szCs w:val="22"/>
                <w:lang w:val="en-US"/>
              </w:rPr>
              <w:t xml:space="preserve">The area holds the only breeding population in the region (and in the world) of the Monteiro’s storm-petrel </w:t>
            </w:r>
            <w:r>
              <w:rPr>
                <w:rFonts w:eastAsia="MS Mincho"/>
                <w:color w:val="000000"/>
                <w:sz w:val="22"/>
                <w:szCs w:val="22"/>
                <w:lang w:val="en-US"/>
              </w:rPr>
              <w:t>(</w:t>
            </w:r>
            <w:r w:rsidRPr="009978E3">
              <w:rPr>
                <w:rFonts w:eastAsia="MS Mincho"/>
                <w:i/>
                <w:color w:val="000000"/>
                <w:sz w:val="22"/>
                <w:szCs w:val="22"/>
                <w:lang w:val="en-US"/>
              </w:rPr>
              <w:t>Hydrobates monteiroi</w:t>
            </w:r>
            <w:r>
              <w:rPr>
                <w:rFonts w:eastAsia="MS Mincho"/>
                <w:i/>
                <w:color w:val="000000"/>
                <w:sz w:val="22"/>
                <w:szCs w:val="22"/>
                <w:lang w:val="en-US"/>
              </w:rPr>
              <w:t>)</w:t>
            </w:r>
            <w:r w:rsidRPr="009978E3">
              <w:rPr>
                <w:color w:val="000000"/>
                <w:sz w:val="22"/>
                <w:szCs w:val="22"/>
                <w:shd w:val="clear" w:color="auto" w:fill="FFFFFF"/>
              </w:rPr>
              <w:t xml:space="preserve"> (Bolton </w:t>
            </w:r>
            <w:r w:rsidRPr="0006066A">
              <w:rPr>
                <w:i/>
                <w:color w:val="000000"/>
                <w:sz w:val="22"/>
                <w:szCs w:val="22"/>
                <w:shd w:val="clear" w:color="auto" w:fill="FFFFFF"/>
              </w:rPr>
              <w:t>et al</w:t>
            </w:r>
            <w:r w:rsidRPr="009978E3">
              <w:rPr>
                <w:color w:val="000000"/>
                <w:sz w:val="22"/>
                <w:szCs w:val="22"/>
                <w:shd w:val="clear" w:color="auto" w:fill="FFFFFF"/>
              </w:rPr>
              <w:t xml:space="preserve">. 2008). Around </w:t>
            </w:r>
            <w:r w:rsidRPr="009978E3">
              <w:rPr>
                <w:rFonts w:eastAsia="MS Mincho"/>
                <w:color w:val="000000"/>
                <w:sz w:val="22"/>
                <w:szCs w:val="22"/>
                <w:lang w:val="en-US"/>
              </w:rPr>
              <w:t>350 breeding pairs of this species breed in the nearby islands and use the area for foraging and resting (</w:t>
            </w:r>
            <w:r w:rsidRPr="009978E3">
              <w:rPr>
                <w:color w:val="000000"/>
                <w:sz w:val="22"/>
                <w:szCs w:val="22"/>
                <w:shd w:val="clear" w:color="auto" w:fill="FFFFFF"/>
              </w:rPr>
              <w:t>Oliveira 2016</w:t>
            </w:r>
            <w:r w:rsidRPr="009978E3">
              <w:rPr>
                <w:rFonts w:eastAsia="MS Mincho"/>
                <w:color w:val="000000"/>
                <w:sz w:val="22"/>
                <w:szCs w:val="22"/>
                <w:lang w:val="en-US"/>
              </w:rPr>
              <w:t>).</w:t>
            </w:r>
          </w:p>
        </w:tc>
      </w:tr>
      <w:tr w:rsidR="006B3F46" w:rsidRPr="009978E3" w14:paraId="6EE76E88" w14:textId="77777777" w:rsidTr="002E4B39">
        <w:tc>
          <w:tcPr>
            <w:tcW w:w="832" w:type="pct"/>
            <w:shd w:val="clear" w:color="auto" w:fill="auto"/>
          </w:tcPr>
          <w:p w14:paraId="5D57CF3F"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Special importance for life-history stages of species</w:t>
            </w:r>
          </w:p>
        </w:tc>
        <w:tc>
          <w:tcPr>
            <w:tcW w:w="2232" w:type="pct"/>
            <w:shd w:val="clear" w:color="auto" w:fill="auto"/>
          </w:tcPr>
          <w:p w14:paraId="0CB69315"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Areas that are required for a population to survive and thrive.</w:t>
            </w:r>
          </w:p>
        </w:tc>
        <w:tc>
          <w:tcPr>
            <w:tcW w:w="684" w:type="pct"/>
            <w:gridSpan w:val="3"/>
            <w:shd w:val="clear" w:color="auto" w:fill="auto"/>
          </w:tcPr>
          <w:p w14:paraId="53355562"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401978C1"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C3A4A06"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53368DB6"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9978E3" w14:paraId="229D9FEC" w14:textId="77777777" w:rsidTr="00907941">
        <w:tc>
          <w:tcPr>
            <w:tcW w:w="5000" w:type="pct"/>
            <w:gridSpan w:val="11"/>
            <w:shd w:val="clear" w:color="auto" w:fill="auto"/>
          </w:tcPr>
          <w:p w14:paraId="3F885B6E" w14:textId="77777777" w:rsidR="006B3F46" w:rsidRPr="009978E3" w:rsidRDefault="006B3F46" w:rsidP="00907941">
            <w:pPr>
              <w:widowControl w:val="0"/>
              <w:autoSpaceDE w:val="0"/>
              <w:autoSpaceDN w:val="0"/>
              <w:adjustRightInd w:val="0"/>
              <w:rPr>
                <w:rFonts w:eastAsia="MS Mincho"/>
                <w:i/>
                <w:color w:val="000000"/>
                <w:sz w:val="22"/>
                <w:szCs w:val="22"/>
                <w:lang w:val="en-US"/>
              </w:rPr>
            </w:pPr>
            <w:r w:rsidRPr="009978E3">
              <w:rPr>
                <w:rFonts w:eastAsia="MS Mincho"/>
                <w:i/>
                <w:color w:val="000000"/>
                <w:sz w:val="22"/>
                <w:szCs w:val="22"/>
                <w:lang w:val="en-US"/>
              </w:rPr>
              <w:t>Explanation for ranking</w:t>
            </w:r>
          </w:p>
          <w:p w14:paraId="42005A86" w14:textId="681AA914" w:rsidR="006B3F46" w:rsidRPr="009978E3" w:rsidRDefault="006B3F46" w:rsidP="002E4B39">
            <w:pPr>
              <w:widowControl w:val="0"/>
              <w:autoSpaceDE w:val="0"/>
              <w:autoSpaceDN w:val="0"/>
              <w:adjustRightInd w:val="0"/>
              <w:jc w:val="both"/>
              <w:rPr>
                <w:rFonts w:eastAsia="MS Mincho"/>
                <w:b/>
                <w:bCs/>
                <w:color w:val="000000"/>
                <w:sz w:val="22"/>
                <w:szCs w:val="22"/>
                <w:lang w:val="en-US"/>
              </w:rPr>
            </w:pPr>
            <w:r w:rsidRPr="009978E3">
              <w:rPr>
                <w:rFonts w:eastAsia="MS Mincho"/>
                <w:color w:val="000000"/>
                <w:sz w:val="22"/>
                <w:szCs w:val="22"/>
                <w:lang w:val="en-US"/>
              </w:rPr>
              <w:t>Graciosa is a regionally and globally important area for the breeding population of the endemic Monteiro’s storm-petrel (</w:t>
            </w:r>
            <w:r w:rsidRPr="009978E3">
              <w:rPr>
                <w:rFonts w:eastAsia="MS Mincho"/>
                <w:i/>
                <w:color w:val="000000"/>
                <w:sz w:val="22"/>
                <w:szCs w:val="22"/>
                <w:lang w:val="en-US"/>
              </w:rPr>
              <w:t>Hydrobates monteiroi)</w:t>
            </w:r>
            <w:r w:rsidRPr="009978E3">
              <w:rPr>
                <w:color w:val="000000"/>
                <w:sz w:val="22"/>
                <w:szCs w:val="22"/>
                <w:shd w:val="clear" w:color="auto" w:fill="FFFFFF"/>
              </w:rPr>
              <w:t xml:space="preserve"> (Monteiro &amp; Furness 1998)</w:t>
            </w:r>
            <w:r w:rsidRPr="009978E3">
              <w:rPr>
                <w:rFonts w:eastAsia="MS Mincho"/>
                <w:color w:val="000000"/>
                <w:sz w:val="22"/>
                <w:szCs w:val="22"/>
                <w:lang w:val="en-US"/>
              </w:rPr>
              <w:t xml:space="preserve">. It is also used by globally important multi-species assemblages, including the </w:t>
            </w:r>
            <w:r w:rsidRPr="009978E3">
              <w:rPr>
                <w:color w:val="000000"/>
                <w:sz w:val="22"/>
                <w:szCs w:val="22"/>
                <w:shd w:val="clear" w:color="auto" w:fill="FFFFFF"/>
              </w:rPr>
              <w:t>breeding populations of Audubon’s</w:t>
            </w:r>
            <w:r w:rsidRPr="009978E3">
              <w:rPr>
                <w:iCs/>
                <w:color w:val="000000"/>
                <w:sz w:val="22"/>
                <w:szCs w:val="22"/>
                <w:lang w:eastAsia="en-GB"/>
              </w:rPr>
              <w:t xml:space="preserve"> shearwater</w:t>
            </w:r>
            <w:r w:rsidRPr="009978E3">
              <w:rPr>
                <w:i/>
                <w:iCs/>
                <w:color w:val="000000"/>
                <w:sz w:val="22"/>
                <w:szCs w:val="22"/>
                <w:lang w:eastAsia="en-GB"/>
              </w:rPr>
              <w:t xml:space="preserve"> (Puffinus lherminieri baroli)</w:t>
            </w:r>
            <w:r w:rsidRPr="009978E3">
              <w:rPr>
                <w:iCs/>
                <w:color w:val="000000"/>
                <w:sz w:val="22"/>
                <w:szCs w:val="22"/>
                <w:lang w:eastAsia="en-GB"/>
              </w:rPr>
              <w:t xml:space="preserve">, </w:t>
            </w:r>
            <w:r w:rsidRPr="009978E3">
              <w:rPr>
                <w:color w:val="000000"/>
                <w:sz w:val="22"/>
                <w:szCs w:val="22"/>
                <w:shd w:val="clear" w:color="auto" w:fill="FFFFFF"/>
              </w:rPr>
              <w:t>roseate tern (</w:t>
            </w:r>
            <w:r w:rsidRPr="009978E3">
              <w:rPr>
                <w:i/>
                <w:color w:val="000000"/>
                <w:sz w:val="22"/>
                <w:szCs w:val="22"/>
                <w:shd w:val="clear" w:color="auto" w:fill="FFFFFF"/>
              </w:rPr>
              <w:t xml:space="preserve">Sterna dougallii) </w:t>
            </w:r>
            <w:r w:rsidRPr="009978E3">
              <w:rPr>
                <w:color w:val="000000"/>
                <w:sz w:val="22"/>
                <w:szCs w:val="22"/>
                <w:shd w:val="clear" w:color="auto" w:fill="FFFFFF"/>
              </w:rPr>
              <w:t>(both</w:t>
            </w:r>
            <w:r w:rsidRPr="009978E3">
              <w:rPr>
                <w:iCs/>
                <w:color w:val="000000"/>
                <w:sz w:val="22"/>
                <w:szCs w:val="22"/>
                <w:lang w:eastAsia="en-GB"/>
              </w:rPr>
              <w:t xml:space="preserve"> listed by OSPAR as a threatened and/or declining Species; OSPAR 2009a,b), Cory's shearwater (</w:t>
            </w:r>
            <w:r w:rsidRPr="009978E3">
              <w:rPr>
                <w:i/>
                <w:iCs/>
                <w:color w:val="000000"/>
                <w:sz w:val="22"/>
                <w:szCs w:val="22"/>
                <w:lang w:eastAsia="en-GB"/>
              </w:rPr>
              <w:t>Calonectris borealis)</w:t>
            </w:r>
            <w:r w:rsidRPr="009978E3">
              <w:rPr>
                <w:iCs/>
                <w:color w:val="000000"/>
                <w:sz w:val="22"/>
                <w:szCs w:val="22"/>
                <w:lang w:eastAsia="en-GB"/>
              </w:rPr>
              <w:t xml:space="preserve">, </w:t>
            </w:r>
            <w:r w:rsidRPr="009978E3">
              <w:rPr>
                <w:rFonts w:eastAsia="MS Mincho"/>
                <w:color w:val="000000"/>
                <w:sz w:val="22"/>
                <w:szCs w:val="22"/>
                <w:lang w:val="en-US"/>
              </w:rPr>
              <w:t xml:space="preserve">band-rumped </w:t>
            </w:r>
            <w:r w:rsidRPr="009978E3">
              <w:rPr>
                <w:iCs/>
                <w:color w:val="000000"/>
                <w:sz w:val="22"/>
                <w:szCs w:val="22"/>
                <w:lang w:eastAsia="en-GB"/>
              </w:rPr>
              <w:t>storm-petrel (</w:t>
            </w:r>
            <w:r w:rsidRPr="009978E3">
              <w:rPr>
                <w:rFonts w:eastAsia="MS Mincho"/>
                <w:i/>
                <w:color w:val="000000"/>
                <w:sz w:val="22"/>
                <w:szCs w:val="22"/>
                <w:lang w:val="en-US"/>
              </w:rPr>
              <w:t xml:space="preserve">Hydrobates </w:t>
            </w:r>
            <w:r w:rsidRPr="009978E3">
              <w:rPr>
                <w:i/>
                <w:iCs/>
                <w:color w:val="000000"/>
                <w:sz w:val="22"/>
                <w:szCs w:val="22"/>
                <w:lang w:eastAsia="en-GB"/>
              </w:rPr>
              <w:t>castro)</w:t>
            </w:r>
            <w:r w:rsidRPr="009978E3">
              <w:rPr>
                <w:iCs/>
                <w:color w:val="000000"/>
                <w:sz w:val="22"/>
                <w:szCs w:val="22"/>
                <w:lang w:eastAsia="en-GB"/>
              </w:rPr>
              <w:t>, yellow-legged gull (</w:t>
            </w:r>
            <w:r w:rsidRPr="009978E3">
              <w:rPr>
                <w:i/>
                <w:iCs/>
                <w:color w:val="000000"/>
                <w:sz w:val="22"/>
                <w:szCs w:val="22"/>
                <w:lang w:eastAsia="en-GB"/>
              </w:rPr>
              <w:t>Larus cachinnans)</w:t>
            </w:r>
            <w:r w:rsidRPr="009978E3">
              <w:rPr>
                <w:iCs/>
                <w:color w:val="000000"/>
                <w:sz w:val="22"/>
                <w:szCs w:val="22"/>
                <w:lang w:eastAsia="en-GB"/>
              </w:rPr>
              <w:t>, roseate tern (</w:t>
            </w:r>
            <w:r w:rsidRPr="009978E3">
              <w:rPr>
                <w:i/>
                <w:iCs/>
                <w:color w:val="000000"/>
                <w:sz w:val="22"/>
                <w:szCs w:val="22"/>
                <w:lang w:eastAsia="en-GB"/>
              </w:rPr>
              <w:t>Sterna dougallii)</w:t>
            </w:r>
            <w:r w:rsidRPr="009978E3">
              <w:rPr>
                <w:iCs/>
                <w:color w:val="000000"/>
                <w:sz w:val="22"/>
                <w:szCs w:val="22"/>
                <w:lang w:eastAsia="en-GB"/>
              </w:rPr>
              <w:t>, common tern (</w:t>
            </w:r>
            <w:r w:rsidRPr="009978E3">
              <w:rPr>
                <w:i/>
                <w:iCs/>
                <w:color w:val="000000"/>
                <w:sz w:val="22"/>
                <w:szCs w:val="22"/>
                <w:lang w:eastAsia="en-GB"/>
              </w:rPr>
              <w:t>Sterna hirundo)</w:t>
            </w:r>
            <w:r w:rsidRPr="009978E3">
              <w:rPr>
                <w:iCs/>
                <w:color w:val="000000"/>
                <w:sz w:val="22"/>
                <w:szCs w:val="22"/>
                <w:lang w:eastAsia="en-GB"/>
              </w:rPr>
              <w:t xml:space="preserve"> and Bulwer's petrel (</w:t>
            </w:r>
            <w:r w:rsidRPr="009978E3">
              <w:rPr>
                <w:i/>
                <w:iCs/>
                <w:color w:val="000000"/>
                <w:sz w:val="22"/>
                <w:szCs w:val="22"/>
                <w:lang w:eastAsia="en-GB"/>
              </w:rPr>
              <w:t>Bulweria bulwerii)</w:t>
            </w:r>
            <w:r w:rsidRPr="009978E3">
              <w:rPr>
                <w:iCs/>
                <w:color w:val="000000"/>
                <w:sz w:val="22"/>
                <w:szCs w:val="22"/>
                <w:lang w:eastAsia="en-GB"/>
              </w:rPr>
              <w:t xml:space="preserve"> (</w:t>
            </w:r>
            <w:r w:rsidRPr="009978E3">
              <w:rPr>
                <w:rFonts w:eastAsia="MS Mincho"/>
                <w:color w:val="000000"/>
                <w:sz w:val="22"/>
                <w:szCs w:val="22"/>
                <w:lang w:val="en-US"/>
              </w:rPr>
              <w:t>BirdLife International 2019</w:t>
            </w:r>
            <w:r w:rsidRPr="009978E3">
              <w:rPr>
                <w:iCs/>
                <w:color w:val="000000"/>
                <w:sz w:val="22"/>
                <w:szCs w:val="22"/>
                <w:lang w:eastAsia="en-GB"/>
              </w:rPr>
              <w:t>). The area is also used by the non-breeding population of great shearwater (</w:t>
            </w:r>
            <w:r w:rsidRPr="009978E3">
              <w:rPr>
                <w:i/>
                <w:iCs/>
                <w:color w:val="000000"/>
                <w:sz w:val="22"/>
                <w:szCs w:val="22"/>
                <w:lang w:eastAsia="en-GB"/>
              </w:rPr>
              <w:t>Ardenna gravis)</w:t>
            </w:r>
            <w:r w:rsidRPr="009978E3">
              <w:rPr>
                <w:iCs/>
                <w:color w:val="000000"/>
                <w:sz w:val="22"/>
                <w:szCs w:val="22"/>
                <w:lang w:eastAsia="en-GB"/>
              </w:rPr>
              <w:t xml:space="preserve"> (a migratory species traveling from the South Atlantic to spend the winter in the North Atlantic; Meirinho </w:t>
            </w:r>
            <w:r w:rsidRPr="0006066A">
              <w:rPr>
                <w:i/>
                <w:iCs/>
                <w:color w:val="000000"/>
                <w:sz w:val="22"/>
                <w:szCs w:val="22"/>
                <w:lang w:eastAsia="en-GB"/>
              </w:rPr>
              <w:t>et al</w:t>
            </w:r>
            <w:r w:rsidRPr="009978E3">
              <w:rPr>
                <w:iCs/>
                <w:color w:val="000000"/>
                <w:sz w:val="22"/>
                <w:szCs w:val="22"/>
                <w:lang w:eastAsia="en-GB"/>
              </w:rPr>
              <w:t>. 2014).</w:t>
            </w:r>
          </w:p>
        </w:tc>
      </w:tr>
      <w:tr w:rsidR="006B3F46" w:rsidRPr="009978E3" w14:paraId="0C69FBEF" w14:textId="77777777" w:rsidTr="002E4B39">
        <w:tc>
          <w:tcPr>
            <w:tcW w:w="832" w:type="pct"/>
            <w:shd w:val="clear" w:color="auto" w:fill="auto"/>
          </w:tcPr>
          <w:p w14:paraId="140CE107"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Importance for threatened, endangered or declining species and/or habitats</w:t>
            </w:r>
          </w:p>
        </w:tc>
        <w:tc>
          <w:tcPr>
            <w:tcW w:w="2232" w:type="pct"/>
            <w:shd w:val="clear" w:color="auto" w:fill="auto"/>
          </w:tcPr>
          <w:p w14:paraId="4D21772C"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17E5C494"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64B32353"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75F24E2"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2816C400"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9978E3" w14:paraId="0CB20B1D" w14:textId="77777777" w:rsidTr="00907941">
        <w:tc>
          <w:tcPr>
            <w:tcW w:w="5000" w:type="pct"/>
            <w:gridSpan w:val="11"/>
            <w:shd w:val="clear" w:color="auto" w:fill="auto"/>
          </w:tcPr>
          <w:p w14:paraId="58F2C1AF" w14:textId="77777777" w:rsidR="006B3F46" w:rsidRPr="009978E3" w:rsidRDefault="006B3F46" w:rsidP="00907941">
            <w:pPr>
              <w:widowControl w:val="0"/>
              <w:autoSpaceDE w:val="0"/>
              <w:autoSpaceDN w:val="0"/>
              <w:adjustRightInd w:val="0"/>
              <w:rPr>
                <w:rFonts w:eastAsia="MS Mincho"/>
                <w:i/>
                <w:color w:val="000000"/>
                <w:sz w:val="22"/>
                <w:szCs w:val="22"/>
                <w:lang w:val="en-US"/>
              </w:rPr>
            </w:pPr>
            <w:r w:rsidRPr="009978E3">
              <w:rPr>
                <w:rFonts w:eastAsia="MS Mincho"/>
                <w:i/>
                <w:color w:val="000000"/>
                <w:sz w:val="22"/>
                <w:szCs w:val="22"/>
                <w:lang w:val="en-US"/>
              </w:rPr>
              <w:t>Explanation for ranking</w:t>
            </w:r>
          </w:p>
          <w:p w14:paraId="57059856" w14:textId="61D54DB0" w:rsidR="006B3F46" w:rsidRPr="009978E3" w:rsidRDefault="006B3F46" w:rsidP="002E4B39">
            <w:pPr>
              <w:widowControl w:val="0"/>
              <w:autoSpaceDE w:val="0"/>
              <w:autoSpaceDN w:val="0"/>
              <w:adjustRightInd w:val="0"/>
              <w:jc w:val="both"/>
              <w:rPr>
                <w:rFonts w:eastAsia="MS Mincho"/>
                <w:b/>
                <w:bCs/>
                <w:color w:val="000000"/>
                <w:sz w:val="22"/>
                <w:szCs w:val="22"/>
              </w:rPr>
            </w:pPr>
            <w:r w:rsidRPr="009978E3">
              <w:rPr>
                <w:rFonts w:eastAsia="MS Mincho"/>
                <w:color w:val="000000"/>
                <w:sz w:val="22"/>
                <w:szCs w:val="22"/>
                <w:lang w:val="en-US"/>
              </w:rPr>
              <w:t>Graciosa is a globally important site for the vulnerable and endemic Monteiro’s storm-petrel (</w:t>
            </w:r>
            <w:r w:rsidRPr="009978E3">
              <w:rPr>
                <w:rFonts w:eastAsia="MS Mincho"/>
                <w:i/>
                <w:color w:val="000000"/>
                <w:sz w:val="22"/>
                <w:szCs w:val="22"/>
                <w:lang w:val="en-US"/>
              </w:rPr>
              <w:t>Hydrobates monteiroi)</w:t>
            </w:r>
            <w:r w:rsidRPr="009978E3">
              <w:rPr>
                <w:color w:val="000000"/>
                <w:sz w:val="22"/>
                <w:szCs w:val="22"/>
                <w:shd w:val="clear" w:color="auto" w:fill="FFFFFF"/>
              </w:rPr>
              <w:t xml:space="preserve"> (Monteiro &amp; Furness 1998; Bolton </w:t>
            </w:r>
            <w:r w:rsidRPr="0006066A">
              <w:rPr>
                <w:i/>
                <w:color w:val="000000"/>
                <w:sz w:val="22"/>
                <w:szCs w:val="22"/>
                <w:shd w:val="clear" w:color="auto" w:fill="FFFFFF"/>
              </w:rPr>
              <w:t>et al</w:t>
            </w:r>
            <w:r w:rsidRPr="009978E3">
              <w:rPr>
                <w:color w:val="000000"/>
                <w:sz w:val="22"/>
                <w:szCs w:val="22"/>
                <w:shd w:val="clear" w:color="auto" w:fill="FFFFFF"/>
              </w:rPr>
              <w:t xml:space="preserve">. 2008), with some </w:t>
            </w:r>
            <w:r w:rsidRPr="009978E3">
              <w:rPr>
                <w:rFonts w:eastAsia="MS Mincho"/>
                <w:color w:val="000000"/>
                <w:sz w:val="22"/>
                <w:szCs w:val="22"/>
                <w:lang w:val="en-US"/>
              </w:rPr>
              <w:t xml:space="preserve">350 breeding pairs </w:t>
            </w:r>
            <w:r w:rsidRPr="009978E3">
              <w:rPr>
                <w:color w:val="000000"/>
                <w:sz w:val="22"/>
                <w:szCs w:val="22"/>
                <w:shd w:val="clear" w:color="auto" w:fill="FFFFFF"/>
              </w:rPr>
              <w:t>(Oliveira 2016).</w:t>
            </w:r>
            <w:r w:rsidRPr="009978E3">
              <w:rPr>
                <w:rFonts w:eastAsia="MS Mincho"/>
                <w:color w:val="000000"/>
                <w:sz w:val="22"/>
                <w:szCs w:val="22"/>
                <w:lang w:val="en-US"/>
              </w:rPr>
              <w:t xml:space="preserve"> It also contains globally important multi-species assemblages (BirdLife International 2019), including: </w:t>
            </w:r>
            <w:r w:rsidRPr="009978E3">
              <w:rPr>
                <w:color w:val="000000"/>
                <w:sz w:val="22"/>
                <w:szCs w:val="22"/>
                <w:shd w:val="clear" w:color="auto" w:fill="FFFFFF"/>
              </w:rPr>
              <w:t>breeding population of t</w:t>
            </w:r>
            <w:r w:rsidRPr="009978E3">
              <w:rPr>
                <w:iCs/>
                <w:color w:val="000000"/>
                <w:sz w:val="22"/>
                <w:szCs w:val="22"/>
                <w:lang w:eastAsia="en-GB"/>
              </w:rPr>
              <w:t>he little shearwater</w:t>
            </w:r>
            <w:r w:rsidRPr="009978E3">
              <w:rPr>
                <w:i/>
                <w:iCs/>
                <w:color w:val="000000"/>
                <w:sz w:val="22"/>
                <w:szCs w:val="22"/>
                <w:lang w:eastAsia="en-GB"/>
              </w:rPr>
              <w:t xml:space="preserve"> (Puffinus lherminieri baroli)</w:t>
            </w:r>
            <w:r w:rsidRPr="009978E3">
              <w:rPr>
                <w:iCs/>
                <w:color w:val="000000"/>
                <w:sz w:val="22"/>
                <w:szCs w:val="22"/>
                <w:lang w:eastAsia="en-GB"/>
              </w:rPr>
              <w:t xml:space="preserve"> and </w:t>
            </w:r>
            <w:r w:rsidRPr="009978E3">
              <w:rPr>
                <w:color w:val="000000"/>
                <w:sz w:val="22"/>
                <w:szCs w:val="22"/>
                <w:shd w:val="clear" w:color="auto" w:fill="FFFFFF"/>
              </w:rPr>
              <w:t>roseate tern (</w:t>
            </w:r>
            <w:r w:rsidRPr="009978E3">
              <w:rPr>
                <w:i/>
                <w:color w:val="000000"/>
                <w:sz w:val="22"/>
                <w:szCs w:val="22"/>
                <w:shd w:val="clear" w:color="auto" w:fill="FFFFFF"/>
              </w:rPr>
              <w:t>Sterna dougallii),</w:t>
            </w:r>
            <w:r w:rsidRPr="009978E3">
              <w:rPr>
                <w:color w:val="000000"/>
                <w:sz w:val="22"/>
                <w:szCs w:val="22"/>
                <w:shd w:val="clear" w:color="auto" w:fill="FFFFFF"/>
              </w:rPr>
              <w:t xml:space="preserve"> both of which are </w:t>
            </w:r>
            <w:r w:rsidRPr="009978E3">
              <w:rPr>
                <w:iCs/>
                <w:color w:val="000000"/>
                <w:sz w:val="22"/>
                <w:szCs w:val="22"/>
                <w:lang w:eastAsia="en-GB"/>
              </w:rPr>
              <w:t>listed by OSPAR as threatened and/or declining species (OSPAR 2009a,</w:t>
            </w:r>
            <w:r>
              <w:rPr>
                <w:iCs/>
                <w:color w:val="000000"/>
                <w:sz w:val="22"/>
                <w:szCs w:val="22"/>
                <w:lang w:eastAsia="en-GB"/>
              </w:rPr>
              <w:t xml:space="preserve"> </w:t>
            </w:r>
            <w:r w:rsidRPr="009978E3">
              <w:rPr>
                <w:iCs/>
                <w:color w:val="000000"/>
                <w:sz w:val="22"/>
                <w:szCs w:val="22"/>
                <w:lang w:eastAsia="en-GB"/>
              </w:rPr>
              <w:t>b).</w:t>
            </w:r>
          </w:p>
        </w:tc>
      </w:tr>
      <w:tr w:rsidR="006B3F46" w:rsidRPr="009978E3" w14:paraId="6AAB5A85" w14:textId="77777777" w:rsidTr="002E4B39">
        <w:tc>
          <w:tcPr>
            <w:tcW w:w="832" w:type="pct"/>
            <w:shd w:val="clear" w:color="auto" w:fill="auto"/>
          </w:tcPr>
          <w:p w14:paraId="25611248"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Vulnerability, fragility, sensitivity, or slow recovery</w:t>
            </w:r>
          </w:p>
        </w:tc>
        <w:tc>
          <w:tcPr>
            <w:tcW w:w="2232" w:type="pct"/>
            <w:shd w:val="clear" w:color="auto" w:fill="auto"/>
          </w:tcPr>
          <w:p w14:paraId="18071738"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6312889F"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59102E53"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5CCE1BF0"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6A12B4B4"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9978E3" w14:paraId="25C0134F" w14:textId="77777777" w:rsidTr="00907941">
        <w:tc>
          <w:tcPr>
            <w:tcW w:w="5000" w:type="pct"/>
            <w:gridSpan w:val="11"/>
            <w:shd w:val="clear" w:color="auto" w:fill="auto"/>
          </w:tcPr>
          <w:p w14:paraId="4ABC8731" w14:textId="77777777" w:rsidR="006B3F46" w:rsidRPr="009978E3" w:rsidRDefault="006B3F46" w:rsidP="00907941">
            <w:pPr>
              <w:widowControl w:val="0"/>
              <w:autoSpaceDE w:val="0"/>
              <w:autoSpaceDN w:val="0"/>
              <w:adjustRightInd w:val="0"/>
              <w:rPr>
                <w:rFonts w:eastAsia="MS Mincho"/>
                <w:i/>
                <w:color w:val="000000"/>
                <w:sz w:val="22"/>
                <w:szCs w:val="22"/>
                <w:lang w:val="en-US"/>
              </w:rPr>
            </w:pPr>
            <w:r w:rsidRPr="009978E3">
              <w:rPr>
                <w:rFonts w:eastAsia="MS Mincho"/>
                <w:i/>
                <w:color w:val="000000"/>
                <w:sz w:val="22"/>
                <w:szCs w:val="22"/>
                <w:lang w:val="en-US"/>
              </w:rPr>
              <w:t>Explanation for ranking</w:t>
            </w:r>
          </w:p>
          <w:p w14:paraId="3D9B4BB3" w14:textId="77777777" w:rsidR="006B3F46" w:rsidRPr="009978E3" w:rsidRDefault="006B3F46" w:rsidP="002E4B39">
            <w:pPr>
              <w:suppressLineNumbers/>
              <w:spacing w:after="120"/>
              <w:jc w:val="both"/>
              <w:rPr>
                <w:color w:val="000000"/>
                <w:sz w:val="22"/>
                <w:szCs w:val="22"/>
                <w:shd w:val="clear" w:color="auto" w:fill="FFFFFF"/>
              </w:rPr>
            </w:pPr>
            <w:r w:rsidRPr="009978E3">
              <w:rPr>
                <w:rFonts w:eastAsia="MS Mincho"/>
                <w:color w:val="000000"/>
                <w:sz w:val="22"/>
                <w:szCs w:val="22"/>
                <w:lang w:val="en-US"/>
              </w:rPr>
              <w:t>The Monteiro’s storm-petrel (</w:t>
            </w:r>
            <w:r w:rsidRPr="009978E3">
              <w:rPr>
                <w:rFonts w:eastAsia="MS Mincho"/>
                <w:i/>
                <w:color w:val="000000"/>
                <w:sz w:val="22"/>
                <w:szCs w:val="22"/>
                <w:lang w:val="en-US"/>
              </w:rPr>
              <w:t>Hydrobates monteiroi)</w:t>
            </w:r>
            <w:r w:rsidRPr="009978E3">
              <w:rPr>
                <w:rFonts w:eastAsia="MS Mincho"/>
                <w:color w:val="000000"/>
                <w:sz w:val="22"/>
                <w:szCs w:val="22"/>
                <w:lang w:val="en-US"/>
              </w:rPr>
              <w:t xml:space="preserve"> </w:t>
            </w:r>
            <w:r w:rsidRPr="009978E3">
              <w:rPr>
                <w:color w:val="000000"/>
                <w:sz w:val="22"/>
                <w:szCs w:val="22"/>
                <w:shd w:val="clear" w:color="auto" w:fill="FFFFFF"/>
              </w:rPr>
              <w:t xml:space="preserve">is listed as vulnerable because it has a very small population, which is restricted to breeding on </w:t>
            </w:r>
            <w:r>
              <w:rPr>
                <w:color w:val="000000"/>
                <w:sz w:val="22"/>
                <w:szCs w:val="22"/>
                <w:shd w:val="clear" w:color="auto" w:fill="FFFFFF"/>
              </w:rPr>
              <w:t xml:space="preserve">a </w:t>
            </w:r>
            <w:r w:rsidRPr="009978E3">
              <w:rPr>
                <w:color w:val="000000"/>
                <w:sz w:val="22"/>
                <w:szCs w:val="22"/>
                <w:shd w:val="clear" w:color="auto" w:fill="FFFFFF"/>
              </w:rPr>
              <w:t xml:space="preserve">few small islets. It is therefore highly susceptible to stochastic events and remains at risk of mammalian introductions, avian and reptile predators and light </w:t>
            </w:r>
            <w:r w:rsidRPr="002E4B39">
              <w:rPr>
                <w:rFonts w:eastAsia="MS Mincho"/>
                <w:sz w:val="22"/>
                <w:szCs w:val="22"/>
                <w:lang w:val="en-US"/>
              </w:rPr>
              <w:t>pollution</w:t>
            </w:r>
            <w:r w:rsidRPr="009978E3">
              <w:rPr>
                <w:color w:val="000000"/>
                <w:sz w:val="22"/>
                <w:szCs w:val="22"/>
                <w:shd w:val="clear" w:color="auto" w:fill="FFFFFF"/>
              </w:rPr>
              <w:t xml:space="preserve"> (Dias </w:t>
            </w:r>
            <w:r w:rsidRPr="0006066A">
              <w:rPr>
                <w:i/>
                <w:color w:val="000000"/>
                <w:sz w:val="22"/>
                <w:szCs w:val="22"/>
                <w:shd w:val="clear" w:color="auto" w:fill="FFFFFF"/>
              </w:rPr>
              <w:t>et al</w:t>
            </w:r>
            <w:r w:rsidRPr="009978E3">
              <w:rPr>
                <w:color w:val="000000"/>
                <w:sz w:val="22"/>
                <w:szCs w:val="22"/>
                <w:shd w:val="clear" w:color="auto" w:fill="FFFFFF"/>
              </w:rPr>
              <w:t xml:space="preserve">. 2019, Rodríguez </w:t>
            </w:r>
            <w:r w:rsidRPr="0006066A">
              <w:rPr>
                <w:i/>
                <w:color w:val="000000"/>
                <w:sz w:val="22"/>
                <w:szCs w:val="22"/>
                <w:shd w:val="clear" w:color="auto" w:fill="FFFFFF"/>
              </w:rPr>
              <w:t>et al</w:t>
            </w:r>
            <w:r w:rsidRPr="009978E3">
              <w:rPr>
                <w:color w:val="000000"/>
                <w:sz w:val="22"/>
                <w:szCs w:val="22"/>
                <w:shd w:val="clear" w:color="auto" w:fill="FFFFFF"/>
              </w:rPr>
              <w:t>. 2019, BirdLife International 2019a).</w:t>
            </w:r>
          </w:p>
          <w:p w14:paraId="582161A9" w14:textId="77777777" w:rsidR="006B3F46" w:rsidRPr="009978E3" w:rsidRDefault="006B3F46" w:rsidP="002E4B39">
            <w:pPr>
              <w:suppressLineNumbers/>
              <w:spacing w:after="120"/>
              <w:jc w:val="both"/>
              <w:rPr>
                <w:iCs/>
                <w:color w:val="000000"/>
                <w:sz w:val="22"/>
                <w:szCs w:val="22"/>
                <w:lang w:eastAsia="en-GB"/>
              </w:rPr>
            </w:pPr>
            <w:r w:rsidRPr="009978E3">
              <w:rPr>
                <w:iCs/>
                <w:color w:val="000000"/>
                <w:sz w:val="22"/>
                <w:szCs w:val="22"/>
                <w:lang w:eastAsia="en-GB"/>
              </w:rPr>
              <w:t>The little shearwater</w:t>
            </w:r>
            <w:r w:rsidRPr="009978E3">
              <w:rPr>
                <w:i/>
                <w:iCs/>
                <w:color w:val="000000"/>
                <w:sz w:val="22"/>
                <w:szCs w:val="22"/>
                <w:lang w:eastAsia="en-GB"/>
              </w:rPr>
              <w:t xml:space="preserve"> (Puffinus lherminieri baroli)</w:t>
            </w:r>
            <w:r w:rsidRPr="009978E3">
              <w:rPr>
                <w:iCs/>
                <w:color w:val="000000"/>
                <w:sz w:val="22"/>
                <w:szCs w:val="22"/>
                <w:lang w:eastAsia="en-GB"/>
              </w:rPr>
              <w:t xml:space="preserve">, listed by OSPAR as a threatened and/or declining species, has a </w:t>
            </w:r>
            <w:r w:rsidRPr="009978E3">
              <w:rPr>
                <w:color w:val="000000"/>
                <w:sz w:val="22"/>
                <w:szCs w:val="22"/>
                <w:lang w:eastAsia="en-GB"/>
              </w:rPr>
              <w:t>small population size and is considered rare</w:t>
            </w:r>
            <w:r w:rsidRPr="009978E3">
              <w:rPr>
                <w:iCs/>
                <w:color w:val="000000"/>
                <w:sz w:val="22"/>
                <w:szCs w:val="22"/>
                <w:lang w:eastAsia="en-GB"/>
              </w:rPr>
              <w:t>. Much of the suitable breeding habitat for this species has been rendered unsuitable due to the introduction of rats and cats, putting it at risk of further declines (OSPAR 2009a).</w:t>
            </w:r>
          </w:p>
          <w:p w14:paraId="1A5E1108" w14:textId="4F124894" w:rsidR="006B3F46" w:rsidRPr="009978E3" w:rsidRDefault="006B3F46" w:rsidP="002E4B39">
            <w:pPr>
              <w:suppressLineNumbers/>
              <w:spacing w:after="120"/>
              <w:jc w:val="both"/>
              <w:rPr>
                <w:rFonts w:eastAsia="MS Mincho"/>
                <w:b/>
                <w:bCs/>
                <w:color w:val="000000"/>
                <w:sz w:val="22"/>
                <w:szCs w:val="22"/>
                <w:lang w:val="en-US"/>
              </w:rPr>
            </w:pPr>
            <w:r w:rsidRPr="002E4B39">
              <w:rPr>
                <w:rFonts w:eastAsia="MS Mincho"/>
                <w:sz w:val="22"/>
                <w:szCs w:val="22"/>
                <w:lang w:val="en-US"/>
              </w:rPr>
              <w:t>Roseate</w:t>
            </w:r>
            <w:r w:rsidRPr="009978E3">
              <w:rPr>
                <w:color w:val="000000"/>
                <w:sz w:val="22"/>
                <w:szCs w:val="22"/>
                <w:shd w:val="clear" w:color="auto" w:fill="FFFFFF"/>
              </w:rPr>
              <w:t xml:space="preserve"> terns (</w:t>
            </w:r>
            <w:r w:rsidRPr="009978E3">
              <w:rPr>
                <w:i/>
                <w:color w:val="000000"/>
                <w:sz w:val="22"/>
                <w:szCs w:val="22"/>
                <w:shd w:val="clear" w:color="auto" w:fill="FFFFFF"/>
              </w:rPr>
              <w:t>Sterna dougallii),</w:t>
            </w:r>
            <w:r w:rsidRPr="009978E3">
              <w:rPr>
                <w:color w:val="000000"/>
                <w:sz w:val="22"/>
                <w:szCs w:val="22"/>
                <w:shd w:val="clear" w:color="auto" w:fill="FFFFFF"/>
              </w:rPr>
              <w:t xml:space="preserve"> </w:t>
            </w:r>
            <w:r w:rsidRPr="009978E3">
              <w:rPr>
                <w:iCs/>
                <w:color w:val="000000"/>
                <w:sz w:val="22"/>
                <w:szCs w:val="22"/>
                <w:lang w:eastAsia="en-GB"/>
              </w:rPr>
              <w:t>listed by OSPAR as a threatened and/or declining species,</w:t>
            </w:r>
            <w:r w:rsidRPr="009978E3">
              <w:rPr>
                <w:color w:val="000000"/>
                <w:sz w:val="22"/>
                <w:szCs w:val="22"/>
                <w:shd w:val="clear" w:color="auto" w:fill="FFFFFF"/>
              </w:rPr>
              <w:t xml:space="preserve"> </w:t>
            </w:r>
            <w:r w:rsidRPr="009978E3">
              <w:rPr>
                <w:color w:val="000000"/>
                <w:sz w:val="22"/>
                <w:szCs w:val="22"/>
                <w:lang w:eastAsia="en-GB"/>
              </w:rPr>
              <w:t xml:space="preserve">have comparatively low adult survival rates (Green, 1995) and therefore need to maintain exceptionally high productivity to achieve population stability (Newton, 2004). They are threatened by predation and disturbance at the breeding colonies, in particular </w:t>
            </w:r>
            <w:r w:rsidRPr="009978E3">
              <w:rPr>
                <w:iCs/>
                <w:color w:val="000000"/>
                <w:sz w:val="22"/>
                <w:szCs w:val="22"/>
                <w:lang w:eastAsia="en-GB"/>
              </w:rPr>
              <w:t xml:space="preserve">(OSPAR 2009b, Dias </w:t>
            </w:r>
            <w:r w:rsidRPr="0006066A">
              <w:rPr>
                <w:i/>
                <w:iCs/>
                <w:color w:val="000000"/>
                <w:sz w:val="22"/>
                <w:szCs w:val="22"/>
                <w:lang w:eastAsia="en-GB"/>
              </w:rPr>
              <w:t>et al</w:t>
            </w:r>
            <w:r w:rsidRPr="009978E3">
              <w:rPr>
                <w:iCs/>
                <w:color w:val="000000"/>
                <w:sz w:val="22"/>
                <w:szCs w:val="22"/>
                <w:lang w:eastAsia="en-GB"/>
              </w:rPr>
              <w:t>. 2019)</w:t>
            </w:r>
            <w:r w:rsidRPr="009978E3">
              <w:rPr>
                <w:color w:val="000000"/>
                <w:sz w:val="22"/>
                <w:szCs w:val="22"/>
                <w:lang w:eastAsia="en-GB"/>
              </w:rPr>
              <w:t>.</w:t>
            </w:r>
          </w:p>
        </w:tc>
      </w:tr>
      <w:tr w:rsidR="006B3F46" w:rsidRPr="009978E3" w14:paraId="509D6106" w14:textId="77777777" w:rsidTr="002E4B39">
        <w:tc>
          <w:tcPr>
            <w:tcW w:w="832" w:type="pct"/>
            <w:shd w:val="clear" w:color="auto" w:fill="auto"/>
          </w:tcPr>
          <w:p w14:paraId="54B18867"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Biological productivity</w:t>
            </w:r>
          </w:p>
        </w:tc>
        <w:tc>
          <w:tcPr>
            <w:tcW w:w="2232" w:type="pct"/>
            <w:shd w:val="clear" w:color="auto" w:fill="auto"/>
          </w:tcPr>
          <w:p w14:paraId="39CAB4EE" w14:textId="77777777" w:rsidR="006B3F46" w:rsidRPr="009978E3" w:rsidRDefault="006B3F46" w:rsidP="00907941">
            <w:pPr>
              <w:widowControl w:val="0"/>
              <w:autoSpaceDE w:val="0"/>
              <w:autoSpaceDN w:val="0"/>
              <w:adjustRightInd w:val="0"/>
              <w:rPr>
                <w:rFonts w:eastAsia="MS Mincho"/>
                <w:bCs/>
                <w:color w:val="000000"/>
                <w:sz w:val="22"/>
                <w:szCs w:val="22"/>
              </w:rPr>
            </w:pPr>
            <w:r w:rsidRPr="009978E3">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308BDC50"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c>
          <w:tcPr>
            <w:tcW w:w="410" w:type="pct"/>
            <w:gridSpan w:val="2"/>
            <w:shd w:val="clear" w:color="auto" w:fill="auto"/>
          </w:tcPr>
          <w:p w14:paraId="008FB857"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49F9BD4"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1A29CCAA"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9978E3" w14:paraId="200C2365" w14:textId="77777777" w:rsidTr="00907941">
        <w:tc>
          <w:tcPr>
            <w:tcW w:w="5000" w:type="pct"/>
            <w:gridSpan w:val="11"/>
            <w:shd w:val="clear" w:color="auto" w:fill="auto"/>
          </w:tcPr>
          <w:p w14:paraId="409FFB68" w14:textId="77777777" w:rsidR="006B3F46" w:rsidRPr="009978E3" w:rsidRDefault="006B3F46" w:rsidP="00907941">
            <w:pPr>
              <w:widowControl w:val="0"/>
              <w:autoSpaceDE w:val="0"/>
              <w:autoSpaceDN w:val="0"/>
              <w:adjustRightInd w:val="0"/>
              <w:jc w:val="both"/>
              <w:rPr>
                <w:rFonts w:eastAsia="MS Mincho"/>
                <w:i/>
                <w:color w:val="000000"/>
                <w:sz w:val="22"/>
                <w:szCs w:val="22"/>
                <w:lang w:val="en-US"/>
              </w:rPr>
            </w:pPr>
            <w:r w:rsidRPr="009978E3">
              <w:rPr>
                <w:rFonts w:eastAsia="MS Mincho"/>
                <w:i/>
                <w:color w:val="000000"/>
                <w:sz w:val="22"/>
                <w:szCs w:val="22"/>
                <w:lang w:val="en-US"/>
              </w:rPr>
              <w:t>Explanation for ranking</w:t>
            </w:r>
          </w:p>
          <w:p w14:paraId="547CAD3B" w14:textId="77777777" w:rsidR="006B3F46" w:rsidRPr="009978E3" w:rsidRDefault="006B3F46" w:rsidP="00907941">
            <w:pPr>
              <w:widowControl w:val="0"/>
              <w:autoSpaceDE w:val="0"/>
              <w:autoSpaceDN w:val="0"/>
              <w:adjustRightInd w:val="0"/>
              <w:rPr>
                <w:rFonts w:eastAsia="MS Mincho"/>
                <w:color w:val="000000"/>
                <w:sz w:val="22"/>
                <w:szCs w:val="22"/>
                <w:lang w:val="en-US"/>
              </w:rPr>
            </w:pPr>
          </w:p>
          <w:p w14:paraId="4E0E9237"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p>
        </w:tc>
      </w:tr>
      <w:tr w:rsidR="006B3F46" w:rsidRPr="009978E3" w14:paraId="6CA7F104" w14:textId="77777777" w:rsidTr="002E4B39">
        <w:tc>
          <w:tcPr>
            <w:tcW w:w="832" w:type="pct"/>
            <w:shd w:val="clear" w:color="auto" w:fill="auto"/>
          </w:tcPr>
          <w:p w14:paraId="0CB6A440"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Biological diversity</w:t>
            </w:r>
          </w:p>
        </w:tc>
        <w:tc>
          <w:tcPr>
            <w:tcW w:w="2232" w:type="pct"/>
            <w:shd w:val="clear" w:color="auto" w:fill="auto"/>
          </w:tcPr>
          <w:p w14:paraId="55C7D476"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6E2E88F5"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c>
          <w:tcPr>
            <w:tcW w:w="410" w:type="pct"/>
            <w:gridSpan w:val="2"/>
            <w:shd w:val="clear" w:color="auto" w:fill="auto"/>
          </w:tcPr>
          <w:p w14:paraId="0A4913E5"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08CF975"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2B4AB900"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9978E3" w14:paraId="016FADB9" w14:textId="77777777" w:rsidTr="00907941">
        <w:tc>
          <w:tcPr>
            <w:tcW w:w="5000" w:type="pct"/>
            <w:gridSpan w:val="11"/>
            <w:shd w:val="clear" w:color="auto" w:fill="auto"/>
          </w:tcPr>
          <w:p w14:paraId="01D61341" w14:textId="77777777" w:rsidR="006B3F46" w:rsidRPr="009978E3" w:rsidRDefault="006B3F46" w:rsidP="00907941">
            <w:pPr>
              <w:widowControl w:val="0"/>
              <w:autoSpaceDE w:val="0"/>
              <w:autoSpaceDN w:val="0"/>
              <w:adjustRightInd w:val="0"/>
              <w:jc w:val="both"/>
              <w:rPr>
                <w:rFonts w:eastAsia="MS Mincho"/>
                <w:i/>
                <w:color w:val="000000"/>
                <w:sz w:val="22"/>
                <w:szCs w:val="22"/>
                <w:lang w:val="en-US"/>
              </w:rPr>
            </w:pPr>
            <w:r w:rsidRPr="009978E3">
              <w:rPr>
                <w:rFonts w:eastAsia="MS Mincho"/>
                <w:i/>
                <w:color w:val="000000"/>
                <w:sz w:val="22"/>
                <w:szCs w:val="22"/>
                <w:lang w:val="en-US"/>
              </w:rPr>
              <w:t>Explanation for ranking</w:t>
            </w:r>
          </w:p>
          <w:p w14:paraId="0CAD4E34" w14:textId="77777777" w:rsidR="006B3F46" w:rsidRPr="009978E3" w:rsidRDefault="006B3F46" w:rsidP="00907941">
            <w:pPr>
              <w:widowControl w:val="0"/>
              <w:autoSpaceDE w:val="0"/>
              <w:autoSpaceDN w:val="0"/>
              <w:adjustRightInd w:val="0"/>
              <w:jc w:val="both"/>
              <w:rPr>
                <w:rFonts w:eastAsia="MS Mincho"/>
                <w:color w:val="000000"/>
                <w:sz w:val="22"/>
                <w:szCs w:val="22"/>
                <w:lang w:val="en-US"/>
              </w:rPr>
            </w:pPr>
          </w:p>
          <w:p w14:paraId="6F9DCD19" w14:textId="77777777" w:rsidR="006B3F46" w:rsidRPr="009978E3" w:rsidRDefault="006B3F46" w:rsidP="00907941">
            <w:pPr>
              <w:widowControl w:val="0"/>
              <w:autoSpaceDE w:val="0"/>
              <w:autoSpaceDN w:val="0"/>
              <w:adjustRightInd w:val="0"/>
              <w:jc w:val="both"/>
              <w:rPr>
                <w:rFonts w:eastAsia="MS Mincho"/>
                <w:color w:val="000000"/>
                <w:sz w:val="22"/>
                <w:szCs w:val="22"/>
                <w:lang w:val="en-US"/>
              </w:rPr>
            </w:pPr>
          </w:p>
          <w:p w14:paraId="13D22F5D"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p>
        </w:tc>
      </w:tr>
      <w:tr w:rsidR="006B3F46" w:rsidRPr="009978E3" w14:paraId="5A505FBF" w14:textId="77777777" w:rsidTr="002E4B39">
        <w:tc>
          <w:tcPr>
            <w:tcW w:w="832" w:type="pct"/>
            <w:shd w:val="clear" w:color="auto" w:fill="auto"/>
          </w:tcPr>
          <w:p w14:paraId="346848C2" w14:textId="77777777" w:rsidR="006B3F46" w:rsidRPr="009978E3" w:rsidRDefault="006B3F46" w:rsidP="00907941">
            <w:pPr>
              <w:widowControl w:val="0"/>
              <w:autoSpaceDE w:val="0"/>
              <w:autoSpaceDN w:val="0"/>
              <w:adjustRightInd w:val="0"/>
              <w:jc w:val="both"/>
              <w:rPr>
                <w:rFonts w:eastAsia="MS Mincho"/>
                <w:b/>
                <w:color w:val="000000"/>
                <w:sz w:val="22"/>
                <w:szCs w:val="22"/>
                <w:lang w:val="en-US"/>
              </w:rPr>
            </w:pPr>
            <w:r w:rsidRPr="009978E3">
              <w:rPr>
                <w:rFonts w:eastAsia="MS Mincho"/>
                <w:b/>
                <w:color w:val="000000"/>
                <w:sz w:val="22"/>
                <w:szCs w:val="22"/>
                <w:lang w:val="en-US"/>
              </w:rPr>
              <w:t>Naturalness</w:t>
            </w:r>
          </w:p>
        </w:tc>
        <w:tc>
          <w:tcPr>
            <w:tcW w:w="2247" w:type="pct"/>
            <w:gridSpan w:val="2"/>
            <w:shd w:val="clear" w:color="auto" w:fill="auto"/>
          </w:tcPr>
          <w:p w14:paraId="1FBBF6F2" w14:textId="77777777" w:rsidR="006B3F46" w:rsidRPr="009978E3" w:rsidRDefault="006B3F46" w:rsidP="00907941">
            <w:pPr>
              <w:widowControl w:val="0"/>
              <w:autoSpaceDE w:val="0"/>
              <w:autoSpaceDN w:val="0"/>
              <w:adjustRightInd w:val="0"/>
              <w:rPr>
                <w:rFonts w:eastAsia="MS Mincho"/>
                <w:color w:val="000000"/>
                <w:sz w:val="22"/>
                <w:szCs w:val="22"/>
                <w:lang w:val="en-US"/>
              </w:rPr>
            </w:pPr>
            <w:r w:rsidRPr="009978E3">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08FD774C" w14:textId="77777777" w:rsidR="006B3F46" w:rsidRPr="009978E3" w:rsidRDefault="006B3F46" w:rsidP="00907941">
            <w:pPr>
              <w:widowControl w:val="0"/>
              <w:autoSpaceDE w:val="0"/>
              <w:autoSpaceDN w:val="0"/>
              <w:adjustRightInd w:val="0"/>
              <w:jc w:val="center"/>
              <w:rPr>
                <w:rFonts w:eastAsia="MS Mincho"/>
                <w:color w:val="000000"/>
                <w:sz w:val="22"/>
                <w:szCs w:val="22"/>
                <w:lang w:val="en-US"/>
              </w:rPr>
            </w:pPr>
            <w:r w:rsidRPr="009978E3">
              <w:rPr>
                <w:rFonts w:eastAsia="MS Mincho"/>
                <w:color w:val="000000"/>
                <w:sz w:val="22"/>
                <w:szCs w:val="22"/>
                <w:lang w:val="en-US"/>
              </w:rPr>
              <w:t>X</w:t>
            </w:r>
          </w:p>
        </w:tc>
        <w:tc>
          <w:tcPr>
            <w:tcW w:w="453" w:type="pct"/>
            <w:gridSpan w:val="2"/>
            <w:shd w:val="clear" w:color="auto" w:fill="auto"/>
          </w:tcPr>
          <w:p w14:paraId="7ED6647A" w14:textId="77777777" w:rsidR="006B3F46" w:rsidRPr="009978E3"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tcPr>
          <w:p w14:paraId="01D997EB" w14:textId="77777777" w:rsidR="006B3F46" w:rsidRPr="009978E3" w:rsidRDefault="006B3F46" w:rsidP="00907941">
            <w:pPr>
              <w:widowControl w:val="0"/>
              <w:autoSpaceDE w:val="0"/>
              <w:autoSpaceDN w:val="0"/>
              <w:adjustRightInd w:val="0"/>
              <w:jc w:val="center"/>
              <w:rPr>
                <w:rFonts w:eastAsia="MS Mincho"/>
                <w:color w:val="000000"/>
                <w:sz w:val="22"/>
                <w:szCs w:val="22"/>
                <w:lang w:val="en-US"/>
              </w:rPr>
            </w:pPr>
          </w:p>
        </w:tc>
        <w:tc>
          <w:tcPr>
            <w:tcW w:w="385" w:type="pct"/>
            <w:shd w:val="clear" w:color="auto" w:fill="auto"/>
          </w:tcPr>
          <w:p w14:paraId="13A5CA58" w14:textId="77777777" w:rsidR="006B3F46" w:rsidRPr="009978E3" w:rsidRDefault="006B3F46" w:rsidP="00907941">
            <w:pPr>
              <w:widowControl w:val="0"/>
              <w:autoSpaceDE w:val="0"/>
              <w:autoSpaceDN w:val="0"/>
              <w:adjustRightInd w:val="0"/>
              <w:jc w:val="center"/>
              <w:rPr>
                <w:rFonts w:eastAsia="MS Mincho"/>
                <w:color w:val="000000"/>
                <w:sz w:val="22"/>
                <w:szCs w:val="22"/>
                <w:lang w:val="en-US"/>
              </w:rPr>
            </w:pPr>
          </w:p>
        </w:tc>
      </w:tr>
      <w:tr w:rsidR="006B3F46" w:rsidRPr="009978E3" w14:paraId="422BE54D" w14:textId="77777777" w:rsidTr="00907941">
        <w:tc>
          <w:tcPr>
            <w:tcW w:w="5000" w:type="pct"/>
            <w:gridSpan w:val="11"/>
            <w:shd w:val="clear" w:color="auto" w:fill="auto"/>
          </w:tcPr>
          <w:p w14:paraId="587601B2" w14:textId="77777777" w:rsidR="006B3F46" w:rsidRPr="009978E3" w:rsidRDefault="006B3F46" w:rsidP="00907941">
            <w:pPr>
              <w:widowControl w:val="0"/>
              <w:autoSpaceDE w:val="0"/>
              <w:autoSpaceDN w:val="0"/>
              <w:adjustRightInd w:val="0"/>
              <w:jc w:val="both"/>
              <w:rPr>
                <w:rFonts w:eastAsia="MS Mincho"/>
                <w:i/>
                <w:color w:val="000000"/>
                <w:sz w:val="22"/>
                <w:szCs w:val="22"/>
                <w:lang w:val="en-US"/>
              </w:rPr>
            </w:pPr>
            <w:r w:rsidRPr="009978E3">
              <w:rPr>
                <w:rFonts w:eastAsia="MS Mincho"/>
                <w:i/>
                <w:color w:val="000000"/>
                <w:sz w:val="22"/>
                <w:szCs w:val="22"/>
                <w:lang w:val="en-US"/>
              </w:rPr>
              <w:t>Explanation for ranking</w:t>
            </w:r>
          </w:p>
        </w:tc>
      </w:tr>
    </w:tbl>
    <w:p w14:paraId="4A195789"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Sharing experiences and information applying other criteria</w:t>
      </w:r>
    </w:p>
    <w:p w14:paraId="493FF9FC" w14:textId="77777777" w:rsidR="006B3F46" w:rsidRPr="009978E3" w:rsidRDefault="006B3F46" w:rsidP="00907941">
      <w:pPr>
        <w:jc w:val="both"/>
        <w:rPr>
          <w:rFonts w:eastAsia="MS Mincho"/>
          <w:b/>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8"/>
        <w:gridCol w:w="4221"/>
        <w:gridCol w:w="966"/>
        <w:gridCol w:w="937"/>
        <w:gridCol w:w="985"/>
        <w:gridCol w:w="753"/>
      </w:tblGrid>
      <w:tr w:rsidR="006B3F46" w:rsidRPr="009978E3" w14:paraId="21FF65E5" w14:textId="77777777" w:rsidTr="00907941">
        <w:tc>
          <w:tcPr>
            <w:tcW w:w="1530" w:type="dxa"/>
            <w:vMerge w:val="restart"/>
            <w:shd w:val="clear" w:color="auto" w:fill="auto"/>
          </w:tcPr>
          <w:p w14:paraId="366622DF" w14:textId="77777777" w:rsidR="006B3F46" w:rsidRPr="009978E3" w:rsidRDefault="006B3F46" w:rsidP="00907941">
            <w:pPr>
              <w:widowControl w:val="0"/>
              <w:autoSpaceDE w:val="0"/>
              <w:autoSpaceDN w:val="0"/>
              <w:adjustRightInd w:val="0"/>
              <w:rPr>
                <w:rFonts w:eastAsia="MS Mincho"/>
                <w:b/>
                <w:bCs/>
                <w:color w:val="000000"/>
                <w:sz w:val="22"/>
                <w:szCs w:val="22"/>
                <w:lang w:val="it-IT"/>
              </w:rPr>
            </w:pPr>
            <w:r w:rsidRPr="009978E3">
              <w:rPr>
                <w:rFonts w:eastAsia="MS Mincho"/>
                <w:b/>
                <w:bCs/>
                <w:color w:val="000000"/>
                <w:sz w:val="22"/>
                <w:szCs w:val="22"/>
                <w:lang w:val="it-IT"/>
              </w:rPr>
              <w:t>Other Criteria</w:t>
            </w:r>
          </w:p>
          <w:p w14:paraId="07549530" w14:textId="77777777" w:rsidR="006B3F46" w:rsidRPr="009978E3" w:rsidRDefault="006B3F46" w:rsidP="00907941">
            <w:pPr>
              <w:widowControl w:val="0"/>
              <w:autoSpaceDE w:val="0"/>
              <w:autoSpaceDN w:val="0"/>
              <w:adjustRightInd w:val="0"/>
              <w:rPr>
                <w:rFonts w:eastAsia="MS Mincho"/>
                <w:bCs/>
                <w:color w:val="000000"/>
                <w:sz w:val="22"/>
                <w:szCs w:val="22"/>
                <w:lang w:val="it-IT"/>
              </w:rPr>
            </w:pPr>
          </w:p>
        </w:tc>
        <w:tc>
          <w:tcPr>
            <w:tcW w:w="4356" w:type="dxa"/>
            <w:vMerge w:val="restart"/>
            <w:shd w:val="clear" w:color="auto" w:fill="auto"/>
          </w:tcPr>
          <w:p w14:paraId="52EC138D"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Description</w:t>
            </w:r>
          </w:p>
          <w:p w14:paraId="45B6DC24" w14:textId="77777777" w:rsidR="006B3F46" w:rsidRPr="009978E3" w:rsidRDefault="006B3F46" w:rsidP="00907941">
            <w:pPr>
              <w:widowControl w:val="0"/>
              <w:autoSpaceDE w:val="0"/>
              <w:autoSpaceDN w:val="0"/>
              <w:adjustRightInd w:val="0"/>
              <w:rPr>
                <w:rFonts w:eastAsia="MS Mincho"/>
                <w:bCs/>
                <w:color w:val="000000"/>
                <w:sz w:val="22"/>
                <w:szCs w:val="22"/>
                <w:lang w:val="en-US"/>
              </w:rPr>
            </w:pPr>
          </w:p>
        </w:tc>
        <w:tc>
          <w:tcPr>
            <w:tcW w:w="3734" w:type="dxa"/>
            <w:gridSpan w:val="4"/>
            <w:shd w:val="clear" w:color="auto" w:fill="auto"/>
          </w:tcPr>
          <w:p w14:paraId="13283BB4"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 xml:space="preserve">Ranking of criterion relevance </w:t>
            </w:r>
          </w:p>
          <w:p w14:paraId="09872E14"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Cs/>
                <w:color w:val="000000"/>
                <w:sz w:val="22"/>
                <w:szCs w:val="22"/>
                <w:lang w:val="en-US"/>
              </w:rPr>
              <w:t>(please mark one column with an X)</w:t>
            </w:r>
          </w:p>
        </w:tc>
      </w:tr>
      <w:tr w:rsidR="006B3F46" w:rsidRPr="009978E3" w14:paraId="1E4FD79A" w14:textId="77777777" w:rsidTr="00907941">
        <w:tc>
          <w:tcPr>
            <w:tcW w:w="1530" w:type="dxa"/>
            <w:vMerge/>
            <w:shd w:val="clear" w:color="auto" w:fill="auto"/>
          </w:tcPr>
          <w:p w14:paraId="5DF4D79C"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p>
        </w:tc>
        <w:tc>
          <w:tcPr>
            <w:tcW w:w="4356" w:type="dxa"/>
            <w:vMerge/>
            <w:shd w:val="clear" w:color="auto" w:fill="auto"/>
          </w:tcPr>
          <w:p w14:paraId="15005836"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p>
        </w:tc>
        <w:tc>
          <w:tcPr>
            <w:tcW w:w="991" w:type="dxa"/>
            <w:shd w:val="clear" w:color="auto" w:fill="auto"/>
          </w:tcPr>
          <w:p w14:paraId="4944CF9B"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Don’t Know</w:t>
            </w:r>
          </w:p>
        </w:tc>
        <w:tc>
          <w:tcPr>
            <w:tcW w:w="961" w:type="dxa"/>
            <w:shd w:val="clear" w:color="auto" w:fill="auto"/>
          </w:tcPr>
          <w:p w14:paraId="6FDD4BCA"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Low</w:t>
            </w:r>
          </w:p>
        </w:tc>
        <w:tc>
          <w:tcPr>
            <w:tcW w:w="1011" w:type="dxa"/>
            <w:shd w:val="clear" w:color="auto" w:fill="auto"/>
          </w:tcPr>
          <w:p w14:paraId="17B18676"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Medium</w:t>
            </w:r>
          </w:p>
        </w:tc>
        <w:tc>
          <w:tcPr>
            <w:tcW w:w="771" w:type="dxa"/>
            <w:shd w:val="clear" w:color="auto" w:fill="auto"/>
          </w:tcPr>
          <w:p w14:paraId="10801CEF"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High</w:t>
            </w:r>
          </w:p>
          <w:p w14:paraId="1DE2BBEB" w14:textId="77777777" w:rsidR="006B3F46" w:rsidRPr="009978E3" w:rsidRDefault="006B3F46" w:rsidP="00907941">
            <w:pPr>
              <w:rPr>
                <w:rFonts w:eastAsia="MS Mincho"/>
                <w:color w:val="000000"/>
                <w:sz w:val="22"/>
                <w:szCs w:val="22"/>
                <w:lang w:val="en-US"/>
              </w:rPr>
            </w:pPr>
          </w:p>
        </w:tc>
      </w:tr>
      <w:tr w:rsidR="006B3F46" w:rsidRPr="009978E3" w14:paraId="3D249EBC" w14:textId="77777777" w:rsidTr="00907941">
        <w:tc>
          <w:tcPr>
            <w:tcW w:w="1530" w:type="dxa"/>
            <w:shd w:val="clear" w:color="auto" w:fill="auto"/>
          </w:tcPr>
          <w:p w14:paraId="780EEF61"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IBA criteria</w:t>
            </w:r>
          </w:p>
          <w:p w14:paraId="70026488"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4356" w:type="dxa"/>
            <w:shd w:val="clear" w:color="auto" w:fill="auto"/>
          </w:tcPr>
          <w:p w14:paraId="26D79ED5"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 xml:space="preserve">The site is known or thought regularly to hold significant numbers of a globally threatened species (Donald </w:t>
            </w:r>
            <w:r w:rsidRPr="0006066A">
              <w:rPr>
                <w:rFonts w:eastAsia="MS Mincho"/>
                <w:bCs/>
                <w:i/>
                <w:color w:val="000000"/>
                <w:sz w:val="22"/>
                <w:szCs w:val="22"/>
                <w:lang w:val="en-US"/>
              </w:rPr>
              <w:t>et al</w:t>
            </w:r>
            <w:r w:rsidRPr="009978E3">
              <w:rPr>
                <w:rFonts w:eastAsia="MS Mincho"/>
                <w:bCs/>
                <w:color w:val="000000"/>
                <w:sz w:val="22"/>
                <w:szCs w:val="22"/>
                <w:lang w:val="en-US"/>
              </w:rPr>
              <w:t>. 2018)</w:t>
            </w:r>
          </w:p>
          <w:p w14:paraId="38F51ABC" w14:textId="77777777" w:rsidR="006B3F46" w:rsidRPr="009978E3" w:rsidRDefault="006B3F46" w:rsidP="00907941">
            <w:pPr>
              <w:widowControl w:val="0"/>
              <w:autoSpaceDE w:val="0"/>
              <w:autoSpaceDN w:val="0"/>
              <w:adjustRightInd w:val="0"/>
              <w:rPr>
                <w:rFonts w:eastAsia="MS Mincho"/>
                <w:bCs/>
                <w:color w:val="000000"/>
                <w:sz w:val="22"/>
                <w:szCs w:val="22"/>
                <w:lang w:val="en-US"/>
              </w:rPr>
            </w:pPr>
          </w:p>
          <w:p w14:paraId="2E0F7178" w14:textId="77777777"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The site is known or thought to hold congregations of ≥1</w:t>
            </w:r>
            <w:r>
              <w:rPr>
                <w:rFonts w:eastAsia="MS Mincho"/>
                <w:bCs/>
                <w:color w:val="000000"/>
                <w:sz w:val="22"/>
                <w:szCs w:val="22"/>
                <w:lang w:val="en-US"/>
              </w:rPr>
              <w:t xml:space="preserve"> per cent</w:t>
            </w:r>
            <w:r w:rsidRPr="009978E3">
              <w:rPr>
                <w:rFonts w:eastAsia="MS Mincho"/>
                <w:bCs/>
                <w:color w:val="000000"/>
                <w:sz w:val="22"/>
                <w:szCs w:val="22"/>
                <w:lang w:val="en-US"/>
              </w:rPr>
              <w:t xml:space="preserve"> of the global population of one or more species on a regular or predictable basis (Donald </w:t>
            </w:r>
            <w:r w:rsidRPr="0006066A">
              <w:rPr>
                <w:rFonts w:eastAsia="MS Mincho"/>
                <w:bCs/>
                <w:i/>
                <w:color w:val="000000"/>
                <w:sz w:val="22"/>
                <w:szCs w:val="22"/>
                <w:lang w:val="en-US"/>
              </w:rPr>
              <w:t>et al</w:t>
            </w:r>
            <w:r w:rsidRPr="009978E3">
              <w:rPr>
                <w:rFonts w:eastAsia="MS Mincho"/>
                <w:bCs/>
                <w:color w:val="000000"/>
                <w:sz w:val="22"/>
                <w:szCs w:val="22"/>
                <w:lang w:val="en-US"/>
              </w:rPr>
              <w:t>. 2018)</w:t>
            </w:r>
          </w:p>
        </w:tc>
        <w:tc>
          <w:tcPr>
            <w:tcW w:w="991" w:type="dxa"/>
            <w:shd w:val="clear" w:color="auto" w:fill="auto"/>
          </w:tcPr>
          <w:p w14:paraId="2180D3E6"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961" w:type="dxa"/>
            <w:shd w:val="clear" w:color="auto" w:fill="auto"/>
          </w:tcPr>
          <w:p w14:paraId="664DE715"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1011" w:type="dxa"/>
            <w:shd w:val="clear" w:color="auto" w:fill="auto"/>
          </w:tcPr>
          <w:p w14:paraId="55A70A3D"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771" w:type="dxa"/>
            <w:shd w:val="clear" w:color="auto" w:fill="auto"/>
          </w:tcPr>
          <w:p w14:paraId="0440986F"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9978E3" w14:paraId="7C01F66D" w14:textId="77777777" w:rsidTr="00907941">
        <w:tc>
          <w:tcPr>
            <w:tcW w:w="9620" w:type="dxa"/>
            <w:gridSpan w:val="6"/>
            <w:shd w:val="clear" w:color="auto" w:fill="auto"/>
          </w:tcPr>
          <w:p w14:paraId="7B54B71E" w14:textId="0B774856"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color w:val="000000"/>
                <w:sz w:val="22"/>
                <w:szCs w:val="22"/>
                <w:lang w:val="en-US"/>
              </w:rPr>
              <w:t xml:space="preserve">The area fulfills the criteria to be classified as an Important Bird and Biodiversity Area (IBA) by BirdLife International (Donald </w:t>
            </w:r>
            <w:r w:rsidRPr="0006066A">
              <w:rPr>
                <w:rFonts w:eastAsia="MS Mincho"/>
                <w:bCs/>
                <w:i/>
                <w:color w:val="000000"/>
                <w:sz w:val="22"/>
                <w:szCs w:val="22"/>
                <w:lang w:val="en-US"/>
              </w:rPr>
              <w:t>et al</w:t>
            </w:r>
            <w:r w:rsidRPr="009978E3">
              <w:rPr>
                <w:rFonts w:eastAsia="MS Mincho"/>
                <w:bCs/>
                <w:color w:val="000000"/>
                <w:sz w:val="22"/>
                <w:szCs w:val="22"/>
                <w:lang w:val="en-US"/>
              </w:rPr>
              <w:t xml:space="preserve">. 2018, BirdLife International 2019b), </w:t>
            </w:r>
            <w:r>
              <w:rPr>
                <w:rFonts w:eastAsia="MS Mincho"/>
                <w:bCs/>
                <w:color w:val="000000"/>
                <w:sz w:val="22"/>
                <w:szCs w:val="22"/>
                <w:lang w:val="en-US"/>
              </w:rPr>
              <w:t xml:space="preserve">the criteria for </w:t>
            </w:r>
            <w:r w:rsidRPr="009978E3">
              <w:rPr>
                <w:rFonts w:eastAsia="MS Mincho"/>
                <w:bCs/>
                <w:color w:val="000000"/>
                <w:sz w:val="22"/>
                <w:szCs w:val="22"/>
                <w:lang w:val="en-US"/>
              </w:rPr>
              <w:t xml:space="preserve">which are very </w:t>
            </w:r>
            <w:r>
              <w:rPr>
                <w:rFonts w:eastAsia="MS Mincho"/>
                <w:bCs/>
                <w:color w:val="000000"/>
                <w:sz w:val="22"/>
                <w:szCs w:val="22"/>
                <w:lang w:val="en-US"/>
              </w:rPr>
              <w:t>closely</w:t>
            </w:r>
            <w:r w:rsidRPr="009978E3">
              <w:rPr>
                <w:rFonts w:eastAsia="MS Mincho"/>
                <w:bCs/>
                <w:color w:val="000000"/>
                <w:sz w:val="22"/>
                <w:szCs w:val="22"/>
                <w:lang w:val="en-US"/>
              </w:rPr>
              <w:t xml:space="preserve"> aligned with the EBSA criteria (</w:t>
            </w:r>
            <w:r w:rsidRPr="009978E3">
              <w:rPr>
                <w:color w:val="000000"/>
                <w:sz w:val="22"/>
                <w:szCs w:val="22"/>
              </w:rPr>
              <w:t xml:space="preserve">Waliczky </w:t>
            </w:r>
            <w:r w:rsidRPr="0006066A">
              <w:rPr>
                <w:i/>
                <w:color w:val="000000"/>
                <w:sz w:val="22"/>
                <w:szCs w:val="22"/>
              </w:rPr>
              <w:t>et al</w:t>
            </w:r>
            <w:r w:rsidRPr="009978E3">
              <w:rPr>
                <w:color w:val="000000"/>
                <w:sz w:val="22"/>
                <w:szCs w:val="22"/>
              </w:rPr>
              <w:t>. 2018).</w:t>
            </w:r>
          </w:p>
        </w:tc>
      </w:tr>
    </w:tbl>
    <w:p w14:paraId="7257AF9A" w14:textId="77777777" w:rsidR="006B3F46" w:rsidRPr="009978E3" w:rsidRDefault="006B3F46" w:rsidP="00907941">
      <w:pPr>
        <w:rPr>
          <w:rFonts w:eastAsia="MS Mincho"/>
          <w:b/>
          <w:color w:val="000000"/>
          <w:sz w:val="22"/>
          <w:szCs w:val="22"/>
          <w:lang w:val="en-US"/>
        </w:rPr>
      </w:pPr>
    </w:p>
    <w:p w14:paraId="28F89877" w14:textId="77777777" w:rsidR="006B3F46" w:rsidRPr="009978E3" w:rsidRDefault="006B3F46" w:rsidP="00907941">
      <w:pPr>
        <w:rPr>
          <w:rFonts w:eastAsia="MS Mincho"/>
          <w:b/>
          <w:color w:val="000000"/>
          <w:sz w:val="22"/>
          <w:szCs w:val="22"/>
          <w:lang w:val="en-US"/>
        </w:rPr>
      </w:pPr>
      <w:r w:rsidRPr="009978E3">
        <w:rPr>
          <w:rFonts w:eastAsia="MS Mincho"/>
          <w:b/>
          <w:color w:val="000000"/>
          <w:sz w:val="22"/>
          <w:szCs w:val="22"/>
          <w:lang w:val="en-US"/>
        </w:rPr>
        <w:t>References</w:t>
      </w:r>
    </w:p>
    <w:p w14:paraId="63FDC7E6" w14:textId="77777777" w:rsidR="006B3F46" w:rsidRPr="009978E3" w:rsidRDefault="006B3F46" w:rsidP="00907941">
      <w:pPr>
        <w:spacing w:after="120"/>
        <w:ind w:left="720" w:hanging="720"/>
        <w:jc w:val="both"/>
        <w:rPr>
          <w:color w:val="000000"/>
          <w:sz w:val="22"/>
          <w:szCs w:val="22"/>
          <w:shd w:val="clear" w:color="auto" w:fill="FFFFFF"/>
        </w:rPr>
      </w:pPr>
      <w:r w:rsidRPr="009978E3">
        <w:rPr>
          <w:color w:val="000000"/>
          <w:sz w:val="22"/>
          <w:szCs w:val="22"/>
          <w:shd w:val="clear" w:color="auto" w:fill="FFFFFF"/>
        </w:rPr>
        <w:t>BirdLife International (2019a). Species factsheet: </w:t>
      </w:r>
      <w:r w:rsidRPr="009978E3">
        <w:rPr>
          <w:i/>
          <w:iCs/>
          <w:color w:val="000000"/>
          <w:sz w:val="22"/>
          <w:szCs w:val="22"/>
          <w:shd w:val="clear" w:color="auto" w:fill="FFFFFF"/>
        </w:rPr>
        <w:t>Hydrobates monteiroi</w:t>
      </w:r>
      <w:r w:rsidRPr="009978E3">
        <w:rPr>
          <w:color w:val="000000"/>
          <w:sz w:val="22"/>
          <w:szCs w:val="22"/>
          <w:shd w:val="clear" w:color="auto" w:fill="FFFFFF"/>
        </w:rPr>
        <w:t>. Downloaded from </w:t>
      </w:r>
      <w:hyperlink r:id="rId256" w:tgtFrame="_blank" w:history="1">
        <w:r w:rsidRPr="009978E3">
          <w:rPr>
            <w:rStyle w:val="Hyperlink"/>
            <w:color w:val="000000"/>
            <w:sz w:val="22"/>
            <w:szCs w:val="22"/>
            <w:shd w:val="clear" w:color="auto" w:fill="FFFFFF"/>
          </w:rPr>
          <w:t>http://www.birdlife.org</w:t>
        </w:r>
      </w:hyperlink>
      <w:r w:rsidRPr="00F66EF7">
        <w:rPr>
          <w:color w:val="000000"/>
          <w:sz w:val="22"/>
          <w:szCs w:val="22"/>
          <w:shd w:val="clear" w:color="auto" w:fill="FFFFFF"/>
        </w:rPr>
        <w:t> on 28/08/2019.</w:t>
      </w:r>
    </w:p>
    <w:p w14:paraId="19EAA503" w14:textId="77777777" w:rsidR="006B3F46" w:rsidRPr="009978E3" w:rsidRDefault="006B3F46" w:rsidP="00907941">
      <w:pPr>
        <w:spacing w:after="120"/>
        <w:ind w:left="720" w:hanging="720"/>
        <w:jc w:val="both"/>
        <w:rPr>
          <w:color w:val="000000"/>
          <w:sz w:val="22"/>
          <w:szCs w:val="22"/>
          <w:shd w:val="clear" w:color="auto" w:fill="FFFFFF"/>
        </w:rPr>
      </w:pPr>
      <w:r w:rsidRPr="009978E3">
        <w:rPr>
          <w:color w:val="000000"/>
          <w:sz w:val="22"/>
          <w:szCs w:val="22"/>
          <w:shd w:val="clear" w:color="auto" w:fill="FFFFFF"/>
        </w:rPr>
        <w:t>BirdLife International (2019b). Important Bird Areas factsheet: Graciosa. Downloaded from </w:t>
      </w:r>
      <w:hyperlink r:id="rId257" w:tgtFrame="_blank" w:history="1">
        <w:r w:rsidRPr="009978E3">
          <w:rPr>
            <w:rStyle w:val="Hyperlink"/>
            <w:color w:val="000000"/>
            <w:sz w:val="22"/>
            <w:szCs w:val="22"/>
            <w:shd w:val="clear" w:color="auto" w:fill="FFFFFF"/>
          </w:rPr>
          <w:t>http://www.birdlife.org</w:t>
        </w:r>
      </w:hyperlink>
      <w:r w:rsidRPr="00F66EF7">
        <w:rPr>
          <w:color w:val="000000"/>
          <w:sz w:val="22"/>
          <w:szCs w:val="22"/>
          <w:shd w:val="clear" w:color="auto" w:fill="FFFFFF"/>
        </w:rPr>
        <w:t> on 28/08/2019.</w:t>
      </w:r>
    </w:p>
    <w:p w14:paraId="59C9317D" w14:textId="77777777" w:rsidR="006B3F46" w:rsidRPr="009978E3" w:rsidRDefault="006B3F46" w:rsidP="00907941">
      <w:pPr>
        <w:autoSpaceDE w:val="0"/>
        <w:autoSpaceDN w:val="0"/>
        <w:adjustRightInd w:val="0"/>
        <w:spacing w:after="120"/>
        <w:ind w:left="720" w:hanging="720"/>
        <w:jc w:val="both"/>
        <w:rPr>
          <w:color w:val="000000"/>
          <w:sz w:val="22"/>
          <w:szCs w:val="22"/>
          <w:lang w:eastAsia="en-GB"/>
        </w:rPr>
      </w:pPr>
      <w:r w:rsidRPr="009978E3">
        <w:rPr>
          <w:color w:val="000000"/>
          <w:sz w:val="22"/>
          <w:szCs w:val="22"/>
          <w:shd w:val="clear" w:color="auto" w:fill="FFFFFF"/>
        </w:rPr>
        <w:t>BirdLife International (</w:t>
      </w:r>
      <w:r w:rsidRPr="009978E3">
        <w:rPr>
          <w:color w:val="000000"/>
          <w:sz w:val="22"/>
          <w:szCs w:val="22"/>
          <w:bdr w:val="none" w:sz="0" w:space="0" w:color="auto" w:frame="1"/>
          <w:shd w:val="clear" w:color="auto" w:fill="FFFFFF"/>
        </w:rPr>
        <w:t>2018). </w:t>
      </w:r>
      <w:r w:rsidRPr="009978E3">
        <w:rPr>
          <w:i/>
          <w:iCs/>
          <w:color w:val="000000"/>
          <w:sz w:val="22"/>
          <w:szCs w:val="22"/>
          <w:bdr w:val="none" w:sz="0" w:space="0" w:color="auto" w:frame="1"/>
          <w:shd w:val="clear" w:color="auto" w:fill="FFFFFF"/>
        </w:rPr>
        <w:t>Hydrobates monteiroi</w:t>
      </w:r>
      <w:r w:rsidRPr="009978E3">
        <w:rPr>
          <w:color w:val="000000"/>
          <w:sz w:val="22"/>
          <w:szCs w:val="22"/>
          <w:bdr w:val="none" w:sz="0" w:space="0" w:color="auto" w:frame="1"/>
          <w:shd w:val="clear" w:color="auto" w:fill="FFFFFF"/>
        </w:rPr>
        <w:t>. </w:t>
      </w:r>
      <w:r w:rsidRPr="009978E3">
        <w:rPr>
          <w:i/>
          <w:iCs/>
          <w:color w:val="000000"/>
          <w:sz w:val="22"/>
          <w:szCs w:val="22"/>
          <w:bdr w:val="none" w:sz="0" w:space="0" w:color="auto" w:frame="1"/>
          <w:shd w:val="clear" w:color="auto" w:fill="FFFFFF"/>
        </w:rPr>
        <w:t>The IUCN Red List of Threatened Species</w:t>
      </w:r>
      <w:r w:rsidRPr="009978E3">
        <w:rPr>
          <w:color w:val="000000"/>
          <w:sz w:val="22"/>
          <w:szCs w:val="22"/>
          <w:bdr w:val="none" w:sz="0" w:space="0" w:color="auto" w:frame="1"/>
          <w:shd w:val="clear" w:color="auto" w:fill="FFFFFF"/>
        </w:rPr>
        <w:t> 2018: e.T22735624A132665118. </w:t>
      </w:r>
      <w:hyperlink r:id="rId258" w:history="1">
        <w:r w:rsidRPr="009978E3">
          <w:rPr>
            <w:rStyle w:val="Hyperlink"/>
            <w:color w:val="000000"/>
            <w:sz w:val="22"/>
            <w:szCs w:val="22"/>
            <w:bdr w:val="none" w:sz="0" w:space="0" w:color="auto" w:frame="1"/>
            <w:shd w:val="clear" w:color="auto" w:fill="FFFFFF"/>
          </w:rPr>
          <w:t>http://dx.doi.org/10.2305/IUCN.UK.2018-2.RLTS.T22735624A132665118.en</w:t>
        </w:r>
      </w:hyperlink>
      <w:r w:rsidRPr="00F66EF7">
        <w:rPr>
          <w:color w:val="000000"/>
          <w:sz w:val="22"/>
          <w:szCs w:val="22"/>
          <w:bdr w:val="none" w:sz="0" w:space="0" w:color="auto" w:frame="1"/>
          <w:shd w:val="clear" w:color="auto" w:fill="FFFFFF"/>
        </w:rPr>
        <w:t>. </w:t>
      </w:r>
      <w:r w:rsidRPr="009978E3">
        <w:rPr>
          <w:color w:val="000000"/>
          <w:sz w:val="22"/>
          <w:szCs w:val="22"/>
          <w:shd w:val="clear" w:color="auto" w:fill="FFFFFF"/>
        </w:rPr>
        <w:t>Downloaded on 25 September 2019.</w:t>
      </w:r>
      <w:r w:rsidRPr="009978E3">
        <w:rPr>
          <w:color w:val="000000"/>
          <w:sz w:val="22"/>
          <w:szCs w:val="22"/>
          <w:lang w:eastAsia="en-GB"/>
        </w:rPr>
        <w:t xml:space="preserve"> </w:t>
      </w:r>
    </w:p>
    <w:p w14:paraId="167C7A9B" w14:textId="77777777" w:rsidR="006B3F46" w:rsidRPr="009978E3" w:rsidRDefault="006B3F46" w:rsidP="00907941">
      <w:pPr>
        <w:spacing w:after="120"/>
        <w:ind w:left="720" w:hanging="720"/>
        <w:jc w:val="both"/>
        <w:rPr>
          <w:color w:val="000000"/>
          <w:sz w:val="22"/>
          <w:szCs w:val="22"/>
          <w:lang w:eastAsia="en-GB"/>
        </w:rPr>
      </w:pPr>
      <w:r w:rsidRPr="009978E3">
        <w:rPr>
          <w:color w:val="000000"/>
          <w:sz w:val="22"/>
          <w:szCs w:val="22"/>
          <w:lang w:val="pt-PT" w:eastAsia="en-GB"/>
        </w:rPr>
        <w:t xml:space="preserve">Bolton, M., Medeiros, R., Hothersall, B., Campos, A., (2004). </w:t>
      </w:r>
      <w:r w:rsidRPr="009978E3">
        <w:rPr>
          <w:color w:val="000000"/>
          <w:sz w:val="22"/>
          <w:szCs w:val="22"/>
          <w:lang w:eastAsia="en-GB"/>
        </w:rPr>
        <w:t>The use of artificial breeding chambers as a conservation measure for cavity-nesting procellariiform seabirds: a case study of the Madeiran storm petrel (</w:t>
      </w:r>
      <w:r w:rsidRPr="009978E3">
        <w:rPr>
          <w:i/>
          <w:color w:val="000000"/>
          <w:sz w:val="22"/>
          <w:szCs w:val="22"/>
          <w:lang w:eastAsia="en-GB"/>
        </w:rPr>
        <w:t>Oceanodroma castro</w:t>
      </w:r>
      <w:r w:rsidRPr="009978E3">
        <w:rPr>
          <w:color w:val="000000"/>
          <w:sz w:val="22"/>
          <w:szCs w:val="22"/>
          <w:lang w:eastAsia="en-GB"/>
        </w:rPr>
        <w:t>). Biological Conservation 116, 73–80. https://doi.org/10.1016/S0006-3207(03)00178-2</w:t>
      </w:r>
    </w:p>
    <w:p w14:paraId="407838E4" w14:textId="77777777" w:rsidR="006B3F46" w:rsidRPr="009978E3" w:rsidRDefault="006B3F46" w:rsidP="00907941">
      <w:pPr>
        <w:spacing w:after="120"/>
        <w:ind w:left="720" w:hanging="720"/>
        <w:jc w:val="both"/>
        <w:rPr>
          <w:color w:val="000000"/>
          <w:sz w:val="22"/>
          <w:szCs w:val="22"/>
        </w:rPr>
      </w:pPr>
      <w:r w:rsidRPr="009978E3">
        <w:rPr>
          <w:color w:val="000000"/>
          <w:sz w:val="22"/>
          <w:szCs w:val="22"/>
        </w:rPr>
        <w:t xml:space="preserve">Bolton, M.; Smith, A. L.; Gómez-Díaz, E.; Friesen, V. L.; Medeiros, R.; Bried, J.; Roscales, J. L.; Furness, R. W. (2008). Monteiro's Storm Petrel </w:t>
      </w:r>
      <w:r w:rsidRPr="009978E3">
        <w:rPr>
          <w:i/>
          <w:color w:val="000000"/>
          <w:sz w:val="22"/>
          <w:szCs w:val="22"/>
        </w:rPr>
        <w:t>Oceanodroma monteiroi</w:t>
      </w:r>
      <w:r w:rsidRPr="009978E3">
        <w:rPr>
          <w:color w:val="000000"/>
          <w:sz w:val="22"/>
          <w:szCs w:val="22"/>
        </w:rPr>
        <w:t>: a new species from the Azores. Ibis 150(4): 717-727.</w:t>
      </w:r>
    </w:p>
    <w:p w14:paraId="5F2B5F96" w14:textId="77777777" w:rsidR="006B3F46" w:rsidRPr="00F66EF7" w:rsidRDefault="006B3F46" w:rsidP="00907941">
      <w:pPr>
        <w:autoSpaceDE w:val="0"/>
        <w:autoSpaceDN w:val="0"/>
        <w:adjustRightInd w:val="0"/>
        <w:spacing w:after="120"/>
        <w:ind w:left="720" w:hanging="720"/>
        <w:jc w:val="both"/>
        <w:rPr>
          <w:color w:val="000000"/>
          <w:sz w:val="22"/>
          <w:szCs w:val="22"/>
          <w:lang w:eastAsia="en-GB"/>
        </w:rPr>
      </w:pPr>
      <w:r w:rsidRPr="009978E3">
        <w:rPr>
          <w:color w:val="000000"/>
          <w:sz w:val="22"/>
          <w:szCs w:val="22"/>
          <w:lang w:eastAsia="en-GB"/>
        </w:rPr>
        <w:t xml:space="preserve">Donald, P.F., Fishpool, L.D.C., Ajagbe, A., Bennun, L.A., Bunting, G., Burfield, I.J., Butchart, S.H.M., Capellan, S., Crosby, M.J., Dias, M.P., Diaz, D., Evans, M.I., Grimmett, R., Heath, M., Jones, V.R., Lascelles, B.G., Merriman, J.C., O’brien, M., Ramírez, I., Waliczky, Z., Wege, D.C., (2018). Important Bird and Biodiversity Areas (IBAs): the development and characteristics of a global inventory of key sites for biodiversity. Bird Conservation International 1–22. </w:t>
      </w:r>
      <w:hyperlink r:id="rId259" w:history="1">
        <w:r w:rsidRPr="009978E3">
          <w:rPr>
            <w:rStyle w:val="Hyperlink"/>
            <w:color w:val="000000"/>
            <w:sz w:val="22"/>
            <w:szCs w:val="22"/>
            <w:lang w:eastAsia="en-GB"/>
          </w:rPr>
          <w:t>https://doi.org/10.1017/S0959270918000102</w:t>
        </w:r>
      </w:hyperlink>
    </w:p>
    <w:p w14:paraId="1DFEF8C0" w14:textId="77777777" w:rsidR="006B3F46" w:rsidRPr="009978E3" w:rsidRDefault="006B3F46" w:rsidP="00907941">
      <w:pPr>
        <w:autoSpaceDE w:val="0"/>
        <w:autoSpaceDN w:val="0"/>
        <w:adjustRightInd w:val="0"/>
        <w:spacing w:after="120"/>
        <w:ind w:left="720" w:hanging="720"/>
        <w:jc w:val="both"/>
        <w:rPr>
          <w:color w:val="000000"/>
          <w:sz w:val="22"/>
          <w:szCs w:val="22"/>
          <w:lang w:eastAsia="en-GB"/>
        </w:rPr>
      </w:pPr>
      <w:r w:rsidRPr="009978E3">
        <w:rPr>
          <w:color w:val="000000"/>
          <w:sz w:val="22"/>
          <w:szCs w:val="22"/>
          <w:lang w:eastAsia="en-GB"/>
        </w:rPr>
        <w:t xml:space="preserve">Dias, M.P., Martin, R., Pearmain, E.J., Burfield, I.J., Small, C., Phillips, R.A., Yates, O., Lascelles, B., Borboroglu, P.G., Croxall, J.P., (2019). Threats to seabirds: A global assessment. Biological Conservation in press. </w:t>
      </w:r>
      <w:hyperlink r:id="rId260" w:history="1">
        <w:r w:rsidRPr="009978E3">
          <w:rPr>
            <w:rStyle w:val="Hyperlink"/>
            <w:color w:val="000000"/>
            <w:sz w:val="22"/>
            <w:szCs w:val="22"/>
            <w:lang w:eastAsia="en-GB"/>
          </w:rPr>
          <w:t>https://doi.org/10.1016/j.biocon.2019.06.033</w:t>
        </w:r>
      </w:hyperlink>
      <w:r w:rsidRPr="00F66EF7">
        <w:rPr>
          <w:color w:val="000000"/>
          <w:sz w:val="22"/>
          <w:szCs w:val="22"/>
          <w:lang w:eastAsia="en-GB"/>
        </w:rPr>
        <w:t xml:space="preserve"> </w:t>
      </w:r>
    </w:p>
    <w:p w14:paraId="5999AFDF" w14:textId="77777777" w:rsidR="006B3F46" w:rsidRPr="009978E3" w:rsidRDefault="006B3F46" w:rsidP="00907941">
      <w:pPr>
        <w:autoSpaceDE w:val="0"/>
        <w:autoSpaceDN w:val="0"/>
        <w:adjustRightInd w:val="0"/>
        <w:spacing w:after="120"/>
        <w:ind w:left="720" w:hanging="720"/>
        <w:jc w:val="both"/>
        <w:rPr>
          <w:color w:val="000000"/>
          <w:sz w:val="22"/>
          <w:szCs w:val="22"/>
          <w:lang w:eastAsia="en-GB"/>
        </w:rPr>
      </w:pPr>
      <w:r w:rsidRPr="009978E3">
        <w:rPr>
          <w:color w:val="000000"/>
          <w:sz w:val="22"/>
          <w:szCs w:val="22"/>
          <w:lang w:eastAsia="en-GB"/>
        </w:rPr>
        <w:t xml:space="preserve">Green, R.E., (1995). Demography of Roseate Terns in Britain and Ireland. Pp 8-11 </w:t>
      </w:r>
      <w:r w:rsidRPr="009978E3">
        <w:rPr>
          <w:iCs/>
          <w:color w:val="000000"/>
          <w:sz w:val="22"/>
          <w:szCs w:val="22"/>
          <w:lang w:eastAsia="en-GB"/>
        </w:rPr>
        <w:t>in</w:t>
      </w:r>
      <w:r w:rsidRPr="009978E3">
        <w:rPr>
          <w:color w:val="000000"/>
          <w:sz w:val="22"/>
          <w:szCs w:val="22"/>
          <w:lang w:eastAsia="en-GB"/>
        </w:rPr>
        <w:t xml:space="preserve">: Ratcliffe, N. (ed) </w:t>
      </w:r>
      <w:r w:rsidRPr="009978E3">
        <w:rPr>
          <w:iCs/>
          <w:color w:val="000000"/>
          <w:sz w:val="22"/>
          <w:szCs w:val="22"/>
          <w:lang w:eastAsia="en-GB"/>
        </w:rPr>
        <w:t>Proceedings of the 6th Roseate Tern Workshop</w:t>
      </w:r>
      <w:r w:rsidRPr="009978E3">
        <w:rPr>
          <w:i/>
          <w:iCs/>
          <w:color w:val="000000"/>
          <w:sz w:val="22"/>
          <w:szCs w:val="22"/>
          <w:lang w:eastAsia="en-GB"/>
        </w:rPr>
        <w:t xml:space="preserve">. </w:t>
      </w:r>
      <w:r w:rsidRPr="009978E3">
        <w:rPr>
          <w:color w:val="000000"/>
          <w:sz w:val="22"/>
          <w:szCs w:val="22"/>
          <w:lang w:eastAsia="en-GB"/>
        </w:rPr>
        <w:t>RSBP: Sandy, UK.</w:t>
      </w:r>
    </w:p>
    <w:p w14:paraId="77FCDAD8" w14:textId="77777777" w:rsidR="006B3F46" w:rsidRPr="00F66EF7" w:rsidRDefault="006B3F46" w:rsidP="00907941">
      <w:pPr>
        <w:spacing w:after="120"/>
        <w:ind w:left="720" w:hanging="720"/>
        <w:jc w:val="both"/>
        <w:rPr>
          <w:color w:val="000000"/>
          <w:sz w:val="22"/>
          <w:szCs w:val="22"/>
          <w:lang w:val="pt-PT"/>
        </w:rPr>
      </w:pPr>
      <w:r w:rsidRPr="009978E3">
        <w:rPr>
          <w:color w:val="000000"/>
          <w:sz w:val="22"/>
          <w:szCs w:val="22"/>
        </w:rPr>
        <w:t xml:space="preserve">Magalhães, M.C., Santos, R.S., Hamer, K.C., (2008). Dual-foraging of Cory’s shearwaters in the Azores: feeding locations, behaviour at sea and implications for food provisioning of chicks. </w:t>
      </w:r>
      <w:r w:rsidRPr="009978E3">
        <w:rPr>
          <w:color w:val="000000"/>
          <w:sz w:val="22"/>
          <w:szCs w:val="22"/>
          <w:lang w:val="pt-PT"/>
        </w:rPr>
        <w:t xml:space="preserve">Marine Ecology Progress Series 359, 283–293. </w:t>
      </w:r>
      <w:hyperlink r:id="rId261" w:history="1">
        <w:r w:rsidRPr="009978E3">
          <w:rPr>
            <w:rStyle w:val="Hyperlink"/>
            <w:color w:val="000000"/>
            <w:sz w:val="22"/>
            <w:szCs w:val="22"/>
            <w:lang w:val="pt-PT"/>
          </w:rPr>
          <w:t>https://doi.org/10.3354/meps07340</w:t>
        </w:r>
      </w:hyperlink>
    </w:p>
    <w:p w14:paraId="3A6492B2" w14:textId="77777777" w:rsidR="006B3F46" w:rsidRPr="009978E3" w:rsidRDefault="006B3F46" w:rsidP="00907941">
      <w:pPr>
        <w:spacing w:after="120"/>
        <w:ind w:left="720" w:hanging="720"/>
        <w:jc w:val="both"/>
        <w:rPr>
          <w:color w:val="000000"/>
          <w:sz w:val="22"/>
          <w:szCs w:val="22"/>
          <w:lang w:val="pt-PT"/>
        </w:rPr>
      </w:pPr>
      <w:r w:rsidRPr="009978E3">
        <w:rPr>
          <w:color w:val="000000"/>
          <w:sz w:val="22"/>
          <w:szCs w:val="22"/>
          <w:lang w:val="pt-PT"/>
        </w:rPr>
        <w:t>Meirinho, A., Pitta Groz, M., Silva, A.G. (2003). Proposta de Plano de Gestão da Zona de Protecção Especial Ilhéu da Praia. Departamento de Oceanografia e Pescas da Universidade dos Açores, Horta</w:t>
      </w:r>
    </w:p>
    <w:p w14:paraId="3F5C84D1" w14:textId="77777777" w:rsidR="006B3F46" w:rsidRPr="009978E3" w:rsidRDefault="006B3F46" w:rsidP="00907941">
      <w:pPr>
        <w:spacing w:after="120"/>
        <w:ind w:left="720" w:hanging="720"/>
        <w:jc w:val="both"/>
        <w:rPr>
          <w:color w:val="000000"/>
          <w:sz w:val="22"/>
          <w:szCs w:val="22"/>
        </w:rPr>
      </w:pPr>
      <w:r w:rsidRPr="009978E3">
        <w:rPr>
          <w:color w:val="000000"/>
          <w:sz w:val="22"/>
          <w:szCs w:val="22"/>
          <w:lang w:val="pt-PT"/>
        </w:rPr>
        <w:t xml:space="preserve">Meirinho, A., Barros, N., Oliveira, N., Catry, P., Lecoq, M., Paiva, V., Geraldes, P., Granadeiro, J.P., Ramírez, I., Andrade, J., (2014). Atlas das Aves Marinhas de Portugal. Sociedade Portuguesa para o Estudo das Aves. </w:t>
      </w:r>
      <w:r w:rsidRPr="009978E3">
        <w:rPr>
          <w:color w:val="000000"/>
          <w:sz w:val="22"/>
          <w:szCs w:val="22"/>
        </w:rPr>
        <w:t xml:space="preserve">Lisboa </w:t>
      </w:r>
    </w:p>
    <w:p w14:paraId="5B600AB5" w14:textId="77777777" w:rsidR="006B3F46" w:rsidRPr="009978E3" w:rsidRDefault="006B3F46" w:rsidP="00907941">
      <w:pPr>
        <w:spacing w:after="120"/>
        <w:ind w:left="720" w:hanging="720"/>
        <w:jc w:val="both"/>
        <w:rPr>
          <w:color w:val="000000"/>
          <w:sz w:val="22"/>
          <w:szCs w:val="22"/>
        </w:rPr>
      </w:pPr>
      <w:r w:rsidRPr="009978E3">
        <w:rPr>
          <w:color w:val="000000"/>
          <w:sz w:val="22"/>
          <w:szCs w:val="22"/>
          <w:lang w:val="pt-PT"/>
        </w:rPr>
        <w:t xml:space="preserve">Monteiro, L.R., Furness, R.W., (1998). </w:t>
      </w:r>
      <w:r w:rsidRPr="009978E3">
        <w:rPr>
          <w:color w:val="000000"/>
          <w:sz w:val="22"/>
          <w:szCs w:val="22"/>
        </w:rPr>
        <w:t>Speciation through temporal segregation of Madeiran storm petrel (</w:t>
      </w:r>
      <w:r w:rsidRPr="009978E3">
        <w:rPr>
          <w:i/>
          <w:color w:val="000000"/>
          <w:sz w:val="22"/>
          <w:szCs w:val="22"/>
        </w:rPr>
        <w:t>Oceanodroma castro</w:t>
      </w:r>
      <w:r w:rsidRPr="009978E3">
        <w:rPr>
          <w:color w:val="000000"/>
          <w:sz w:val="22"/>
          <w:szCs w:val="22"/>
        </w:rPr>
        <w:t>) populations in the Azores? Philosophical Transactions of the Royal Society of London B 353: 945-953</w:t>
      </w:r>
    </w:p>
    <w:p w14:paraId="0E87B838" w14:textId="77777777" w:rsidR="006B3F46" w:rsidRPr="00F66EF7" w:rsidRDefault="006B3F46" w:rsidP="00907941">
      <w:pPr>
        <w:spacing w:after="120"/>
        <w:ind w:left="720" w:hanging="720"/>
        <w:jc w:val="both"/>
        <w:rPr>
          <w:rStyle w:val="Hyperlink"/>
          <w:color w:val="000000"/>
          <w:sz w:val="22"/>
          <w:szCs w:val="22"/>
        </w:rPr>
      </w:pPr>
      <w:r w:rsidRPr="009978E3">
        <w:rPr>
          <w:color w:val="000000"/>
          <w:sz w:val="22"/>
          <w:szCs w:val="22"/>
        </w:rPr>
        <w:t xml:space="preserve">Monteiro, L.R., Ramos, J.A., Pereira, J.C., Monteiro, P.R., Feio, R.S., Thompson, D.R., Bearhop, S., Furness, R.W., Laranjo, M., Hilton, G., Neves, V.C., Groz, M.P., Thompson, K.R., (1999). Status and Distribution of Fea’s Petrel, Bulwer’s Petrel, Manx Shearwater, Little Shearwater and Band-Rumped Storm-Petrel in the Azores Archipelago. Waterbirds: The International Journal of Waterbird Biology 22, 358–366. </w:t>
      </w:r>
      <w:hyperlink r:id="rId262" w:history="1">
        <w:r w:rsidRPr="009978E3">
          <w:rPr>
            <w:rStyle w:val="Hyperlink"/>
            <w:color w:val="000000"/>
            <w:sz w:val="22"/>
            <w:szCs w:val="22"/>
          </w:rPr>
          <w:t>https://doi.org/10.2307/1522111</w:t>
        </w:r>
      </w:hyperlink>
    </w:p>
    <w:p w14:paraId="07B2F67E" w14:textId="77777777" w:rsidR="006B3F46" w:rsidRPr="009978E3" w:rsidRDefault="006B3F46" w:rsidP="00907941">
      <w:pPr>
        <w:spacing w:after="120"/>
        <w:ind w:left="720" w:hanging="720"/>
        <w:jc w:val="both"/>
        <w:rPr>
          <w:color w:val="000000"/>
          <w:sz w:val="22"/>
          <w:szCs w:val="22"/>
          <w:lang w:val="pt-PT"/>
        </w:rPr>
      </w:pPr>
      <w:r w:rsidRPr="009978E3">
        <w:rPr>
          <w:color w:val="000000"/>
          <w:sz w:val="22"/>
          <w:szCs w:val="22"/>
          <w:lang w:val="pt-PT"/>
        </w:rPr>
        <w:t xml:space="preserve">Neves, V.C., (2007). Azores 2007 Tern Census. Arquivos do DOP, Séries Estudos 4/2007, 21pp </w:t>
      </w:r>
    </w:p>
    <w:p w14:paraId="77A6F173" w14:textId="77777777" w:rsidR="006B3F46" w:rsidRPr="009978E3" w:rsidRDefault="006B3F46" w:rsidP="00907941">
      <w:pPr>
        <w:spacing w:after="120"/>
        <w:ind w:left="720" w:hanging="720"/>
        <w:jc w:val="both"/>
        <w:rPr>
          <w:color w:val="000000"/>
          <w:sz w:val="22"/>
          <w:szCs w:val="22"/>
        </w:rPr>
      </w:pPr>
      <w:r w:rsidRPr="009978E3">
        <w:rPr>
          <w:color w:val="000000"/>
          <w:sz w:val="22"/>
          <w:szCs w:val="22"/>
        </w:rPr>
        <w:t>Neves, V.C., Murdoch, N., Furness, R.W., (2006). Population status and diet of the Yellow-legged Gull in the Azores. Life  and  Marine  Sciences. 23A: 59-73.</w:t>
      </w:r>
    </w:p>
    <w:p w14:paraId="5A89B306" w14:textId="77777777" w:rsidR="006B3F46" w:rsidRPr="009978E3" w:rsidRDefault="006B3F46" w:rsidP="00907941">
      <w:pPr>
        <w:autoSpaceDE w:val="0"/>
        <w:autoSpaceDN w:val="0"/>
        <w:adjustRightInd w:val="0"/>
        <w:spacing w:after="120"/>
        <w:ind w:left="720" w:hanging="720"/>
        <w:jc w:val="both"/>
        <w:rPr>
          <w:color w:val="000000"/>
          <w:sz w:val="22"/>
          <w:szCs w:val="22"/>
          <w:lang w:eastAsia="en-GB"/>
        </w:rPr>
      </w:pPr>
      <w:r w:rsidRPr="009978E3">
        <w:rPr>
          <w:color w:val="000000"/>
          <w:sz w:val="22"/>
          <w:szCs w:val="22"/>
          <w:lang w:eastAsia="en-GB"/>
        </w:rPr>
        <w:t xml:space="preserve">Newton, S.F.m (2004). Roseate Tern </w:t>
      </w:r>
      <w:r w:rsidRPr="009978E3">
        <w:rPr>
          <w:i/>
          <w:iCs/>
          <w:color w:val="000000"/>
          <w:sz w:val="22"/>
          <w:szCs w:val="22"/>
          <w:lang w:eastAsia="en-GB"/>
        </w:rPr>
        <w:t xml:space="preserve">Sterna dougallii </w:t>
      </w:r>
      <w:r w:rsidRPr="009978E3">
        <w:rPr>
          <w:color w:val="000000"/>
          <w:sz w:val="22"/>
          <w:szCs w:val="22"/>
          <w:lang w:eastAsia="en-GB"/>
        </w:rPr>
        <w:t xml:space="preserve">pp 302-314 </w:t>
      </w:r>
      <w:r w:rsidRPr="009978E3">
        <w:rPr>
          <w:iCs/>
          <w:color w:val="000000"/>
          <w:sz w:val="22"/>
          <w:szCs w:val="22"/>
          <w:lang w:eastAsia="en-GB"/>
        </w:rPr>
        <w:t>in</w:t>
      </w:r>
      <w:r w:rsidRPr="009978E3">
        <w:rPr>
          <w:i/>
          <w:iCs/>
          <w:color w:val="000000"/>
          <w:sz w:val="22"/>
          <w:szCs w:val="22"/>
          <w:lang w:eastAsia="en-GB"/>
        </w:rPr>
        <w:t xml:space="preserve">: </w:t>
      </w:r>
      <w:r w:rsidRPr="009978E3">
        <w:rPr>
          <w:color w:val="000000"/>
          <w:sz w:val="22"/>
          <w:szCs w:val="22"/>
          <w:lang w:eastAsia="en-GB"/>
        </w:rPr>
        <w:t xml:space="preserve">Mitchell, P.L., Newton, S.F., Ratcliffe, N. and Dunn, T.C. (eds.) </w:t>
      </w:r>
      <w:r w:rsidRPr="009978E3">
        <w:rPr>
          <w:iCs/>
          <w:color w:val="000000"/>
          <w:sz w:val="22"/>
          <w:szCs w:val="22"/>
          <w:lang w:eastAsia="en-GB"/>
        </w:rPr>
        <w:t>Seabird Populations of Britain and Ireland</w:t>
      </w:r>
      <w:r w:rsidRPr="009978E3">
        <w:rPr>
          <w:i/>
          <w:iCs/>
          <w:color w:val="000000"/>
          <w:sz w:val="22"/>
          <w:szCs w:val="22"/>
          <w:lang w:eastAsia="en-GB"/>
        </w:rPr>
        <w:t xml:space="preserve"> </w:t>
      </w:r>
      <w:r w:rsidRPr="009978E3">
        <w:rPr>
          <w:color w:val="000000"/>
          <w:sz w:val="22"/>
          <w:szCs w:val="22"/>
          <w:lang w:eastAsia="en-GB"/>
        </w:rPr>
        <w:t>T &amp; AD Poyser, London.</w:t>
      </w:r>
    </w:p>
    <w:p w14:paraId="6FA5DCE5" w14:textId="77777777" w:rsidR="006B3F46" w:rsidRPr="009978E3" w:rsidRDefault="006B3F46" w:rsidP="00907941">
      <w:pPr>
        <w:spacing w:after="120"/>
        <w:ind w:left="720" w:hanging="720"/>
        <w:jc w:val="both"/>
        <w:rPr>
          <w:color w:val="000000"/>
          <w:sz w:val="22"/>
          <w:szCs w:val="22"/>
          <w:shd w:val="clear" w:color="auto" w:fill="FFFFFF"/>
          <w:lang w:val="pt-PT"/>
        </w:rPr>
      </w:pPr>
      <w:r w:rsidRPr="009978E3">
        <w:rPr>
          <w:color w:val="000000"/>
          <w:sz w:val="22"/>
          <w:szCs w:val="22"/>
          <w:shd w:val="clear" w:color="auto" w:fill="FFFFFF"/>
        </w:rPr>
        <w:t xml:space="preserve">Oliveira, N., (compiler). (2016). Status Report for Monteiro’s Storm-petrel </w:t>
      </w:r>
      <w:r w:rsidRPr="009978E3">
        <w:rPr>
          <w:i/>
          <w:color w:val="000000"/>
          <w:sz w:val="22"/>
          <w:szCs w:val="22"/>
          <w:shd w:val="clear" w:color="auto" w:fill="FFFFFF"/>
        </w:rPr>
        <w:t>Hydrobates monteiroi</w:t>
      </w:r>
      <w:r w:rsidRPr="009978E3">
        <w:rPr>
          <w:color w:val="000000"/>
          <w:sz w:val="22"/>
          <w:szCs w:val="22"/>
          <w:shd w:val="clear" w:color="auto" w:fill="FFFFFF"/>
        </w:rPr>
        <w:t xml:space="preserve">. Report of the Action A10, Project LIFE EuroSAP. </w:t>
      </w:r>
      <w:r w:rsidRPr="009978E3">
        <w:rPr>
          <w:color w:val="000000"/>
          <w:sz w:val="22"/>
          <w:szCs w:val="22"/>
          <w:shd w:val="clear" w:color="auto" w:fill="FFFFFF"/>
          <w:lang w:val="pt-PT"/>
        </w:rPr>
        <w:t>Sociedade Portuguesa para o Estudo das Aves, Lisboa.</w:t>
      </w:r>
    </w:p>
    <w:p w14:paraId="491836BA" w14:textId="77777777" w:rsidR="006B3F46" w:rsidRPr="009978E3" w:rsidRDefault="006B3F46" w:rsidP="00907941">
      <w:pPr>
        <w:spacing w:after="120"/>
        <w:ind w:left="720" w:hanging="720"/>
        <w:jc w:val="both"/>
        <w:rPr>
          <w:iCs/>
          <w:color w:val="000000"/>
          <w:sz w:val="22"/>
          <w:szCs w:val="22"/>
          <w:lang w:eastAsia="en-GB"/>
        </w:rPr>
      </w:pPr>
      <w:r w:rsidRPr="009978E3">
        <w:rPr>
          <w:color w:val="000000"/>
          <w:sz w:val="22"/>
          <w:szCs w:val="22"/>
          <w:lang w:val="pt-PT" w:eastAsia="en-GB"/>
        </w:rPr>
        <w:t xml:space="preserve">OSPAR (2009a). </w:t>
      </w:r>
      <w:r w:rsidRPr="009978E3">
        <w:rPr>
          <w:color w:val="000000"/>
          <w:sz w:val="22"/>
          <w:szCs w:val="22"/>
          <w:lang w:eastAsia="en-GB"/>
        </w:rPr>
        <w:t xml:space="preserve">Background document for Little Shearwater </w:t>
      </w:r>
      <w:r w:rsidRPr="009978E3">
        <w:rPr>
          <w:i/>
          <w:iCs/>
          <w:color w:val="000000"/>
          <w:sz w:val="22"/>
          <w:szCs w:val="22"/>
          <w:lang w:eastAsia="en-GB"/>
        </w:rPr>
        <w:t xml:space="preserve">Puffinus assimilis baroli. </w:t>
      </w:r>
      <w:r w:rsidRPr="009978E3">
        <w:rPr>
          <w:iCs/>
          <w:color w:val="000000"/>
          <w:sz w:val="22"/>
          <w:szCs w:val="22"/>
          <w:lang w:eastAsia="en-GB"/>
        </w:rPr>
        <w:t xml:space="preserve">Biodiversity Series, 13p. </w:t>
      </w:r>
    </w:p>
    <w:p w14:paraId="40F84906" w14:textId="77777777" w:rsidR="006B3F46" w:rsidRPr="009978E3" w:rsidRDefault="006B3F46" w:rsidP="00907941">
      <w:pPr>
        <w:spacing w:after="120"/>
        <w:ind w:left="720" w:hanging="720"/>
        <w:jc w:val="both"/>
        <w:rPr>
          <w:color w:val="000000"/>
          <w:sz w:val="22"/>
          <w:szCs w:val="22"/>
          <w:shd w:val="clear" w:color="auto" w:fill="FFFFFF"/>
        </w:rPr>
      </w:pPr>
      <w:r w:rsidRPr="009978E3">
        <w:rPr>
          <w:color w:val="000000"/>
          <w:sz w:val="22"/>
          <w:szCs w:val="22"/>
          <w:lang w:eastAsia="en-GB"/>
        </w:rPr>
        <w:t xml:space="preserve">OSPAR (2009b). Background document for Roseate Tern </w:t>
      </w:r>
      <w:r w:rsidRPr="009978E3">
        <w:rPr>
          <w:i/>
          <w:color w:val="000000"/>
          <w:sz w:val="22"/>
          <w:szCs w:val="22"/>
          <w:lang w:eastAsia="en-GB"/>
        </w:rPr>
        <w:t>Sterna dougallii</w:t>
      </w:r>
      <w:r w:rsidRPr="009978E3">
        <w:rPr>
          <w:i/>
          <w:iCs/>
          <w:color w:val="000000"/>
          <w:sz w:val="22"/>
          <w:szCs w:val="22"/>
          <w:lang w:eastAsia="en-GB"/>
        </w:rPr>
        <w:t xml:space="preserve">. </w:t>
      </w:r>
      <w:r w:rsidRPr="009978E3">
        <w:rPr>
          <w:iCs/>
          <w:color w:val="000000"/>
          <w:sz w:val="22"/>
          <w:szCs w:val="22"/>
          <w:lang w:eastAsia="en-GB"/>
        </w:rPr>
        <w:t>Biodiversity Series. 29p</w:t>
      </w:r>
    </w:p>
    <w:p w14:paraId="101641A6" w14:textId="77777777" w:rsidR="006B3F46" w:rsidRPr="009978E3" w:rsidRDefault="006B3F46" w:rsidP="00907941">
      <w:pPr>
        <w:spacing w:after="120"/>
        <w:ind w:left="720" w:hanging="720"/>
        <w:jc w:val="both"/>
        <w:rPr>
          <w:color w:val="000000"/>
          <w:sz w:val="22"/>
          <w:szCs w:val="22"/>
        </w:rPr>
      </w:pPr>
      <w:r w:rsidRPr="009978E3">
        <w:rPr>
          <w:color w:val="000000"/>
          <w:sz w:val="22"/>
          <w:szCs w:val="22"/>
        </w:rPr>
        <w:t xml:space="preserve">Rodríguez, A., Arcos, J.M., Bretagnolle, V., Dias, M.P., Holmes, N.D., Louzao, M., Provencher, J., Raine, A.F., Ramírez, F., Rodríguez, B., Ronconi, R.A., Taylor, R.S., Bonnaud, E., Borrelle, S.B., Cortés, V., Descamps, S., Friesen, V.L., Genovart, M., Hedd, A., Hodum, P., Humphries, G.R.W., Le Corre, M., Lebarbenchon, C., Martin, R., Melvin, E.F., Montevecchi, W.A., Pinet, P., Pollet, I.L., Ramos, R., Russell, J.C., Ryan, P.G., Sanz-Aguilar, A., Spatz, D.R., Travers, M., Votier, S.C., Wanless, R.M., Woehler, E., Chiaradia, A., (2019). Future Directions in Conservation Research on Petrels and Shearwaters. Front. Mar. Sci. 6. https://doi.org/10.3389/fmars.2019.00094 </w:t>
      </w:r>
    </w:p>
    <w:p w14:paraId="40E1484F" w14:textId="77777777" w:rsidR="006B3F46" w:rsidRPr="009978E3" w:rsidRDefault="006B3F46" w:rsidP="00907941">
      <w:pPr>
        <w:spacing w:after="120"/>
        <w:ind w:left="720" w:hanging="720"/>
        <w:jc w:val="both"/>
        <w:rPr>
          <w:color w:val="000000"/>
          <w:sz w:val="22"/>
          <w:szCs w:val="22"/>
        </w:rPr>
      </w:pPr>
      <w:r w:rsidRPr="009978E3">
        <w:rPr>
          <w:color w:val="000000"/>
          <w:sz w:val="22"/>
          <w:szCs w:val="22"/>
          <w:lang w:val="pt-PT"/>
        </w:rPr>
        <w:t xml:space="preserve">Silva, M., Prieto, R., Cascão, I., Seabra, M., Machete, M., Baumgartner, M., Santos, R., (2014). </w:t>
      </w:r>
      <w:r w:rsidRPr="009978E3">
        <w:rPr>
          <w:color w:val="000000"/>
          <w:sz w:val="22"/>
          <w:szCs w:val="22"/>
        </w:rPr>
        <w:t>Spatial and temporal distribution of cetaceans in the mid-Atlantic waters around the Azores. Marine Biology Research. 10. 123-137. 10.1080/17451000.2013.793814.</w:t>
      </w:r>
    </w:p>
    <w:p w14:paraId="1D9FD1B9" w14:textId="77777777" w:rsidR="006B3F46" w:rsidRPr="00F66EF7" w:rsidRDefault="006B3F46" w:rsidP="00907941">
      <w:pPr>
        <w:spacing w:after="120"/>
        <w:ind w:left="720" w:hanging="720"/>
        <w:jc w:val="both"/>
        <w:rPr>
          <w:color w:val="000000"/>
          <w:sz w:val="22"/>
          <w:szCs w:val="22"/>
        </w:rPr>
      </w:pPr>
      <w:r w:rsidRPr="009978E3">
        <w:rPr>
          <w:color w:val="000000"/>
          <w:sz w:val="22"/>
          <w:szCs w:val="22"/>
        </w:rPr>
        <w:t xml:space="preserve">Silva, M.F., Smith, A.L., Friesen, V.L., Bried, J., Hasegawa, O., Coelho, M.M., Silva, M.C., (2016). Mechanisms of global diversification in the marine species Madeiran Storm-petrel </w:t>
      </w:r>
      <w:r w:rsidRPr="009978E3">
        <w:rPr>
          <w:i/>
          <w:color w:val="000000"/>
          <w:sz w:val="22"/>
          <w:szCs w:val="22"/>
        </w:rPr>
        <w:t>Oceanodroma castro</w:t>
      </w:r>
      <w:r w:rsidRPr="009978E3">
        <w:rPr>
          <w:color w:val="000000"/>
          <w:sz w:val="22"/>
          <w:szCs w:val="22"/>
        </w:rPr>
        <w:t xml:space="preserve"> and Monteiro’s Storm-petrel </w:t>
      </w:r>
      <w:r w:rsidRPr="009978E3">
        <w:rPr>
          <w:i/>
          <w:color w:val="000000"/>
          <w:sz w:val="22"/>
          <w:szCs w:val="22"/>
        </w:rPr>
        <w:t>O. monteiroi</w:t>
      </w:r>
      <w:r w:rsidRPr="009978E3">
        <w:rPr>
          <w:color w:val="000000"/>
          <w:sz w:val="22"/>
          <w:szCs w:val="22"/>
        </w:rPr>
        <w:t xml:space="preserve">: Insights from a multi-locus approach. Molecular Phylogenetics and Evolution 98, 314–323. </w:t>
      </w:r>
      <w:hyperlink r:id="rId263" w:history="1">
        <w:r w:rsidRPr="009978E3">
          <w:rPr>
            <w:rStyle w:val="Hyperlink"/>
            <w:color w:val="000000"/>
            <w:sz w:val="22"/>
            <w:szCs w:val="22"/>
          </w:rPr>
          <w:t>https://doi.org/10.1016/j.ympev.2016.02.014</w:t>
        </w:r>
      </w:hyperlink>
    </w:p>
    <w:p w14:paraId="173D6393" w14:textId="77777777" w:rsidR="006B3F46" w:rsidRPr="009978E3" w:rsidRDefault="006B3F46" w:rsidP="00907941">
      <w:pPr>
        <w:ind w:left="720" w:hanging="720"/>
        <w:jc w:val="both"/>
        <w:rPr>
          <w:color w:val="000000"/>
          <w:sz w:val="22"/>
          <w:szCs w:val="22"/>
        </w:rPr>
      </w:pPr>
      <w:r w:rsidRPr="009978E3">
        <w:rPr>
          <w:color w:val="000000"/>
          <w:sz w:val="22"/>
          <w:szCs w:val="22"/>
        </w:rPr>
        <w:t xml:space="preserve">Waliczky, Z., Fishpool, L.D.C., Butchart, S.H.M., Thomas, D., Heath, M.F., Hazin, C., Donald, P.F., Kowalska, A., Dias, M.P., Allinson, T.S.M., (2018). Important Bird and Biodiversity Areas (IBAs): their impact on conservation policy, advocacy and action. Bird Conservation International 1–17. </w:t>
      </w:r>
      <w:hyperlink r:id="rId264" w:history="1">
        <w:r w:rsidRPr="009978E3">
          <w:rPr>
            <w:rStyle w:val="Hyperlink"/>
            <w:color w:val="000000"/>
            <w:sz w:val="22"/>
            <w:szCs w:val="22"/>
          </w:rPr>
          <w:t>https://doi.org/10.1017/S0959270918000175</w:t>
        </w:r>
      </w:hyperlink>
      <w:r w:rsidRPr="00F66EF7">
        <w:rPr>
          <w:color w:val="000000"/>
          <w:sz w:val="22"/>
          <w:szCs w:val="22"/>
        </w:rPr>
        <w:t xml:space="preserve"> </w:t>
      </w:r>
    </w:p>
    <w:p w14:paraId="2921CF2D" w14:textId="77777777" w:rsidR="006B3F46" w:rsidRPr="009978E3" w:rsidRDefault="006B3F46" w:rsidP="00907941">
      <w:pPr>
        <w:ind w:hanging="720"/>
        <w:rPr>
          <w:rFonts w:eastAsia="MS Mincho"/>
          <w:b/>
          <w:color w:val="000000"/>
          <w:sz w:val="22"/>
          <w:szCs w:val="22"/>
          <w:lang w:val="en-US"/>
        </w:rPr>
      </w:pPr>
    </w:p>
    <w:p w14:paraId="1115C3D9" w14:textId="77777777" w:rsidR="006B3F46" w:rsidRPr="009978E3" w:rsidRDefault="006B3F46" w:rsidP="00907941">
      <w:pPr>
        <w:ind w:hanging="720"/>
        <w:rPr>
          <w:rFonts w:eastAsia="MS Mincho"/>
          <w:b/>
          <w:color w:val="000000"/>
          <w:sz w:val="22"/>
          <w:szCs w:val="22"/>
          <w:lang w:val="en-US"/>
        </w:rPr>
      </w:pPr>
      <w:r>
        <w:rPr>
          <w:rFonts w:eastAsia="MS Mincho"/>
          <w:b/>
          <w:color w:val="000000"/>
          <w:sz w:val="22"/>
          <w:szCs w:val="22"/>
          <w:lang w:val="en-US"/>
        </w:rPr>
        <w:br w:type="page"/>
      </w:r>
    </w:p>
    <w:p w14:paraId="0B070EC9" w14:textId="77777777" w:rsidR="006B3F46" w:rsidRDefault="006B3F46" w:rsidP="00907941">
      <w:pPr>
        <w:rPr>
          <w:rFonts w:eastAsia="MS Mincho"/>
          <w:b/>
          <w:color w:val="000000"/>
          <w:sz w:val="22"/>
          <w:szCs w:val="22"/>
          <w:lang w:val="en-US"/>
        </w:rPr>
      </w:pPr>
      <w:r w:rsidRPr="009978E3">
        <w:rPr>
          <w:rFonts w:eastAsia="MS Mincho"/>
          <w:b/>
          <w:color w:val="000000"/>
          <w:sz w:val="22"/>
          <w:szCs w:val="22"/>
          <w:lang w:val="en-US"/>
        </w:rPr>
        <w:t>Maps and Figures</w:t>
      </w:r>
    </w:p>
    <w:p w14:paraId="28CEFC47" w14:textId="77777777" w:rsidR="006B3F46" w:rsidRPr="009978E3" w:rsidRDefault="006B3F46" w:rsidP="00907941">
      <w:pPr>
        <w:rPr>
          <w:rFonts w:eastAsia="MS Mincho"/>
          <w:b/>
          <w:color w:val="000000"/>
          <w:sz w:val="22"/>
          <w:szCs w:val="22"/>
          <w:lang w:val="en-US"/>
        </w:rPr>
      </w:pPr>
    </w:p>
    <w:p w14:paraId="27B0FFAB" w14:textId="77777777" w:rsidR="006B3F46" w:rsidRPr="009978E3" w:rsidRDefault="009E53BE" w:rsidP="00907941">
      <w:pPr>
        <w:rPr>
          <w:rFonts w:eastAsia="MS Mincho"/>
          <w:bCs/>
          <w:color w:val="000000"/>
          <w:sz w:val="22"/>
          <w:szCs w:val="22"/>
          <w:lang w:val="en-US"/>
        </w:rPr>
      </w:pPr>
      <w:r>
        <w:pict w14:anchorId="3B81114F">
          <v:shape id="_x0000_i1128" type="#_x0000_t75" style="width:6in;height:6in">
            <v:imagedata r:id="rId265" o:title=""/>
          </v:shape>
        </w:pict>
      </w:r>
    </w:p>
    <w:p w14:paraId="4C4D0EB9" w14:textId="77777777" w:rsidR="006B3F46" w:rsidRDefault="006B3F46" w:rsidP="00907941">
      <w:pPr>
        <w:rPr>
          <w:rFonts w:eastAsia="MS Mincho"/>
          <w:b/>
          <w:color w:val="000000"/>
          <w:sz w:val="22"/>
          <w:szCs w:val="22"/>
          <w:lang w:val="en-US"/>
        </w:rPr>
      </w:pPr>
    </w:p>
    <w:p w14:paraId="433AB39C" w14:textId="77777777" w:rsidR="006B3F46" w:rsidRPr="009978E3" w:rsidRDefault="006B3F46" w:rsidP="00907941">
      <w:pPr>
        <w:ind w:left="-90"/>
        <w:jc w:val="center"/>
        <w:rPr>
          <w:rFonts w:eastAsia="MS Mincho"/>
          <w:b/>
          <w:sz w:val="22"/>
          <w:szCs w:val="22"/>
          <w:lang w:val="en-US"/>
        </w:rPr>
      </w:pPr>
      <w:r w:rsidRPr="0021277B">
        <w:rPr>
          <w:rFonts w:eastAsia="MS Mincho"/>
          <w:b/>
          <w:bCs/>
          <w:color w:val="000000"/>
          <w:sz w:val="22"/>
          <w:szCs w:val="22"/>
          <w:lang w:val="en-US"/>
        </w:rPr>
        <w:t>Location of area no. 12: Graciosa</w:t>
      </w:r>
      <w:r w:rsidRPr="009978E3">
        <w:rPr>
          <w:rFonts w:eastAsia="MS Mincho"/>
          <w:b/>
          <w:color w:val="000000"/>
          <w:sz w:val="22"/>
          <w:szCs w:val="22"/>
          <w:lang w:val="en-US"/>
        </w:rPr>
        <w:br w:type="page"/>
      </w:r>
      <w:r w:rsidRPr="009978E3">
        <w:rPr>
          <w:rFonts w:eastAsia="MS Mincho"/>
          <w:b/>
          <w:sz w:val="22"/>
          <w:szCs w:val="22"/>
          <w:lang w:val="en-US"/>
        </w:rPr>
        <w:t>Area no. 13: North Azores Plateau</w:t>
      </w:r>
    </w:p>
    <w:p w14:paraId="066D75E2" w14:textId="77777777" w:rsidR="006B3F46" w:rsidRPr="009978E3" w:rsidRDefault="006B3F46" w:rsidP="00907941">
      <w:pPr>
        <w:jc w:val="both"/>
        <w:rPr>
          <w:rFonts w:eastAsia="MS Mincho"/>
          <w:i/>
          <w:sz w:val="22"/>
          <w:szCs w:val="22"/>
          <w:lang w:val="en-US"/>
        </w:rPr>
      </w:pPr>
      <w:r w:rsidRPr="009978E3">
        <w:rPr>
          <w:rFonts w:eastAsia="MS Mincho"/>
          <w:b/>
          <w:sz w:val="22"/>
          <w:szCs w:val="22"/>
          <w:lang w:val="en-US"/>
        </w:rPr>
        <w:t xml:space="preserve">Abstract </w:t>
      </w:r>
    </w:p>
    <w:p w14:paraId="3050156D"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This area is composed of several seamounts, one hydrothermal vent field, an undersea trough and a large portion of the Mid-Atlantic Ridge north of the Azores Plateau. The structures in this area are hotspots of marine life and, in general, areas of enhanced productivity, especially when compared with surrounding abyssal areas. The Moytirra is the first known deep-sea hydrothermal vent field on the slow-spreading Mid-Atlantic Ridge north of the Azores, making this area highly unique. A total of 536 species have been observed in this area, 6</w:t>
      </w:r>
      <w:r>
        <w:rPr>
          <w:rFonts w:eastAsia="MS Mincho"/>
          <w:sz w:val="22"/>
          <w:szCs w:val="22"/>
          <w:lang w:val="en-US"/>
        </w:rPr>
        <w:t xml:space="preserve"> per cent</w:t>
      </w:r>
      <w:r w:rsidRPr="009978E3">
        <w:rPr>
          <w:rFonts w:eastAsia="MS Mincho"/>
          <w:sz w:val="22"/>
          <w:szCs w:val="22"/>
          <w:lang w:val="en-US"/>
        </w:rPr>
        <w:t xml:space="preserve"> of which are protected under international or regional law. </w:t>
      </w:r>
    </w:p>
    <w:p w14:paraId="014A1EED"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Introduction</w:t>
      </w:r>
    </w:p>
    <w:p w14:paraId="13912033"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area includes several seamounts (Altair, Antialtair, Chaucer, Cherkis, Crumb, Lukin- Lebedev and Sedlo), one hydrothermal vent field (Moytirra), Kings Trough and a large portion of the Mid</w:t>
      </w:r>
      <w:r>
        <w:rPr>
          <w:rFonts w:eastAsia="MS Mincho"/>
          <w:sz w:val="22"/>
          <w:szCs w:val="22"/>
          <w:lang w:val="en-US"/>
        </w:rPr>
        <w:t>-</w:t>
      </w:r>
      <w:r w:rsidRPr="009978E3">
        <w:rPr>
          <w:rFonts w:eastAsia="MS Mincho"/>
          <w:sz w:val="22"/>
          <w:szCs w:val="22"/>
          <w:lang w:val="en-US"/>
        </w:rPr>
        <w:t xml:space="preserve">Atlantic Ridge (MAR) north of the Azores Plateau. </w:t>
      </w:r>
    </w:p>
    <w:p w14:paraId="58E7D1F7" w14:textId="77777777" w:rsidR="006B3F46" w:rsidRPr="009978E3" w:rsidRDefault="006B3F46" w:rsidP="002E4B39">
      <w:pPr>
        <w:suppressLineNumbers/>
        <w:spacing w:after="120"/>
        <w:jc w:val="both"/>
        <w:rPr>
          <w:sz w:val="22"/>
          <w:szCs w:val="22"/>
        </w:rPr>
      </w:pPr>
      <w:r w:rsidRPr="009978E3">
        <w:rPr>
          <w:sz w:val="22"/>
          <w:szCs w:val="22"/>
        </w:rPr>
        <w:t xml:space="preserve">Rising </w:t>
      </w:r>
      <w:r w:rsidRPr="002E4B39">
        <w:rPr>
          <w:rFonts w:eastAsia="MS Mincho"/>
          <w:sz w:val="22"/>
          <w:szCs w:val="22"/>
          <w:lang w:val="en-US"/>
        </w:rPr>
        <w:t>from</w:t>
      </w:r>
      <w:r w:rsidRPr="009978E3">
        <w:rPr>
          <w:sz w:val="22"/>
          <w:szCs w:val="22"/>
        </w:rPr>
        <w:t xml:space="preserve"> bathyal and abyssal depths, the MAR dominates the seafloor topography in the </w:t>
      </w:r>
      <w:r>
        <w:rPr>
          <w:sz w:val="22"/>
          <w:szCs w:val="22"/>
        </w:rPr>
        <w:t>h</w:t>
      </w:r>
      <w:r w:rsidRPr="009978E3">
        <w:rPr>
          <w:sz w:val="22"/>
          <w:szCs w:val="22"/>
        </w:rPr>
        <w:t xml:space="preserve">igh </w:t>
      </w:r>
      <w:r>
        <w:rPr>
          <w:sz w:val="22"/>
          <w:szCs w:val="22"/>
        </w:rPr>
        <w:t>s</w:t>
      </w:r>
      <w:r w:rsidRPr="009978E3">
        <w:rPr>
          <w:sz w:val="22"/>
          <w:szCs w:val="22"/>
        </w:rPr>
        <w:t xml:space="preserve">eas of the OSPAR region. The topography is highly differentiated with depths ranging from 4500 m in the deepest channel to only 700-800m on top of adjacent seamounts (Dinter, 2001). The MAR </w:t>
      </w:r>
      <w:r>
        <w:rPr>
          <w:sz w:val="22"/>
          <w:szCs w:val="22"/>
        </w:rPr>
        <w:t>plays</w:t>
      </w:r>
      <w:r w:rsidRPr="009978E3">
        <w:rPr>
          <w:sz w:val="22"/>
          <w:szCs w:val="22"/>
        </w:rPr>
        <w:t xml:space="preserve"> a</w:t>
      </w:r>
      <w:r>
        <w:rPr>
          <w:sz w:val="22"/>
          <w:szCs w:val="22"/>
        </w:rPr>
        <w:t>n important</w:t>
      </w:r>
      <w:r w:rsidRPr="009978E3">
        <w:rPr>
          <w:sz w:val="22"/>
          <w:szCs w:val="22"/>
        </w:rPr>
        <w:t xml:space="preserve"> role </w:t>
      </w:r>
      <w:r>
        <w:rPr>
          <w:sz w:val="22"/>
          <w:szCs w:val="22"/>
        </w:rPr>
        <w:t>i</w:t>
      </w:r>
      <w:r w:rsidRPr="009978E3">
        <w:rPr>
          <w:sz w:val="22"/>
          <w:szCs w:val="22"/>
        </w:rPr>
        <w:t xml:space="preserve">n the circulation of the water masses in the North Atlantic (Rossby, 1999; Bower </w:t>
      </w:r>
      <w:r w:rsidRPr="0006066A">
        <w:rPr>
          <w:i/>
          <w:sz w:val="22"/>
          <w:szCs w:val="22"/>
        </w:rPr>
        <w:t>et al</w:t>
      </w:r>
      <w:r w:rsidRPr="009978E3">
        <w:rPr>
          <w:sz w:val="22"/>
          <w:szCs w:val="22"/>
        </w:rPr>
        <w:t xml:space="preserve">., 2002; Heger </w:t>
      </w:r>
      <w:r w:rsidRPr="0006066A">
        <w:rPr>
          <w:i/>
          <w:sz w:val="22"/>
          <w:szCs w:val="22"/>
        </w:rPr>
        <w:t>et al</w:t>
      </w:r>
      <w:r w:rsidRPr="009978E3">
        <w:rPr>
          <w:sz w:val="22"/>
          <w:szCs w:val="22"/>
        </w:rPr>
        <w:t xml:space="preserve">., 2008; Søiland </w:t>
      </w:r>
      <w:r w:rsidRPr="0006066A">
        <w:rPr>
          <w:i/>
          <w:sz w:val="22"/>
          <w:szCs w:val="22"/>
        </w:rPr>
        <w:t>et al</w:t>
      </w:r>
      <w:r w:rsidRPr="009978E3">
        <w:rPr>
          <w:sz w:val="22"/>
          <w:szCs w:val="22"/>
        </w:rPr>
        <w:t xml:space="preserve">., 2008). The complex hydrographic setting around the MAR in general, and the presence of the ridge itself, leads to enhanced vertical mixing and turbulence that results in areas of increased productivity over the MAR (Falkowski </w:t>
      </w:r>
      <w:r w:rsidRPr="0006066A">
        <w:rPr>
          <w:i/>
          <w:sz w:val="22"/>
          <w:szCs w:val="22"/>
        </w:rPr>
        <w:t>et al</w:t>
      </w:r>
      <w:r w:rsidRPr="009978E3">
        <w:rPr>
          <w:sz w:val="22"/>
          <w:szCs w:val="22"/>
        </w:rPr>
        <w:t xml:space="preserve">., 1998; Heger </w:t>
      </w:r>
      <w:r w:rsidRPr="0006066A">
        <w:rPr>
          <w:i/>
          <w:sz w:val="22"/>
          <w:szCs w:val="22"/>
        </w:rPr>
        <w:t>et al</w:t>
      </w:r>
      <w:r w:rsidRPr="009978E3">
        <w:rPr>
          <w:sz w:val="22"/>
          <w:szCs w:val="22"/>
        </w:rPr>
        <w:t xml:space="preserve">., 2008). Despite generally limited surface production, there is evidence of enhanced near-ridge demersal fish biomass above the MAR (Fock </w:t>
      </w:r>
      <w:r w:rsidRPr="0006066A">
        <w:rPr>
          <w:i/>
          <w:sz w:val="22"/>
          <w:szCs w:val="22"/>
        </w:rPr>
        <w:t>et al</w:t>
      </w:r>
      <w:r w:rsidRPr="009978E3">
        <w:rPr>
          <w:sz w:val="22"/>
          <w:szCs w:val="22"/>
        </w:rPr>
        <w:t xml:space="preserve">., 2002; Bergstad </w:t>
      </w:r>
      <w:r w:rsidRPr="0006066A">
        <w:rPr>
          <w:i/>
          <w:sz w:val="22"/>
          <w:szCs w:val="22"/>
        </w:rPr>
        <w:t>et al</w:t>
      </w:r>
      <w:r w:rsidRPr="009978E3">
        <w:rPr>
          <w:sz w:val="22"/>
          <w:szCs w:val="22"/>
        </w:rPr>
        <w:t>., 2008). There is also evidence that the mid-ocean ridges are ecologically important for higher trophic levels relative to the surrounding abyssal plains and the open ocean (</w:t>
      </w:r>
      <w:r>
        <w:rPr>
          <w:sz w:val="22"/>
          <w:szCs w:val="22"/>
        </w:rPr>
        <w:t xml:space="preserve">e.g., </w:t>
      </w:r>
      <w:r w:rsidRPr="009978E3">
        <w:rPr>
          <w:sz w:val="22"/>
          <w:szCs w:val="22"/>
        </w:rPr>
        <w:t>blue ling and roundnose grenadier spawning aggregations on the northern MAR</w:t>
      </w:r>
      <w:r>
        <w:rPr>
          <w:sz w:val="22"/>
          <w:szCs w:val="22"/>
        </w:rPr>
        <w:t>)</w:t>
      </w:r>
      <w:r w:rsidRPr="009978E3">
        <w:rPr>
          <w:sz w:val="22"/>
          <w:szCs w:val="22"/>
        </w:rPr>
        <w:t xml:space="preserve"> (Magnusson &amp; Magnusson 1995, Vinnichenko &amp; Khlivnoy 2004).</w:t>
      </w:r>
    </w:p>
    <w:p w14:paraId="47C818E8"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Most</w:t>
      </w:r>
      <w:r w:rsidRPr="009978E3">
        <w:rPr>
          <w:rFonts w:eastAsia="MS Mincho"/>
          <w:sz w:val="22"/>
          <w:szCs w:val="22"/>
          <w:lang w:val="en-US"/>
        </w:rPr>
        <w:t xml:space="preserve"> of the structures are classified as seamounts, ridge</w:t>
      </w:r>
      <w:r>
        <w:rPr>
          <w:rFonts w:eastAsia="MS Mincho"/>
          <w:sz w:val="22"/>
          <w:szCs w:val="22"/>
          <w:lang w:val="en-US"/>
        </w:rPr>
        <w:t>s</w:t>
      </w:r>
      <w:r w:rsidRPr="009978E3">
        <w:rPr>
          <w:rFonts w:eastAsia="MS Mincho"/>
          <w:sz w:val="22"/>
          <w:szCs w:val="22"/>
          <w:lang w:val="en-US"/>
        </w:rPr>
        <w:t xml:space="preserve">, </w:t>
      </w:r>
      <w:r>
        <w:rPr>
          <w:rFonts w:eastAsia="MS Mincho"/>
          <w:sz w:val="22"/>
          <w:szCs w:val="22"/>
          <w:lang w:val="en-US"/>
        </w:rPr>
        <w:t>or</w:t>
      </w:r>
      <w:r w:rsidRPr="009978E3">
        <w:rPr>
          <w:rFonts w:eastAsia="MS Mincho"/>
          <w:sz w:val="22"/>
          <w:szCs w:val="22"/>
          <w:lang w:val="en-US"/>
        </w:rPr>
        <w:t xml:space="preserve"> ridge</w:t>
      </w:r>
      <w:r>
        <w:rPr>
          <w:rFonts w:eastAsia="MS Mincho"/>
          <w:sz w:val="22"/>
          <w:szCs w:val="22"/>
          <w:lang w:val="en-US"/>
        </w:rPr>
        <w:t>-</w:t>
      </w:r>
      <w:r w:rsidRPr="009978E3">
        <w:rPr>
          <w:rFonts w:eastAsia="MS Mincho"/>
          <w:sz w:val="22"/>
          <w:szCs w:val="22"/>
          <w:lang w:val="en-US"/>
        </w:rPr>
        <w:t>associated seamounts. These structures can be an obstacle to the free circulation of the oceans</w:t>
      </w:r>
      <w:r>
        <w:rPr>
          <w:rFonts w:eastAsia="MS Mincho"/>
          <w:sz w:val="22"/>
          <w:szCs w:val="22"/>
          <w:lang w:val="en-US"/>
        </w:rPr>
        <w:t>, thereby leading</w:t>
      </w:r>
      <w:r w:rsidRPr="009978E3">
        <w:rPr>
          <w:rFonts w:eastAsia="MS Mincho"/>
          <w:sz w:val="22"/>
          <w:szCs w:val="22"/>
          <w:lang w:val="en-US"/>
        </w:rPr>
        <w:t xml:space="preserve"> to different kinds of phenomena and disturbances, including an increase in the speed of ocean currents, upwellings, turbulence, Taylor cones, eddies, and even jets in the zones where the seamounts interact with ocean currents (</w:t>
      </w:r>
      <w:r w:rsidRPr="009978E3">
        <w:rPr>
          <w:sz w:val="22"/>
          <w:szCs w:val="22"/>
          <w:lang w:val="en-US"/>
        </w:rPr>
        <w:t xml:space="preserve">Richardson </w:t>
      </w:r>
      <w:r w:rsidRPr="0006066A">
        <w:rPr>
          <w:i/>
          <w:sz w:val="22"/>
          <w:szCs w:val="22"/>
          <w:lang w:val="en-US"/>
        </w:rPr>
        <w:t>et al</w:t>
      </w:r>
      <w:r w:rsidRPr="009978E3">
        <w:rPr>
          <w:i/>
          <w:sz w:val="22"/>
          <w:szCs w:val="22"/>
          <w:lang w:val="en-US"/>
        </w:rPr>
        <w:t xml:space="preserve">., </w:t>
      </w:r>
      <w:r w:rsidRPr="009978E3">
        <w:rPr>
          <w:sz w:val="22"/>
          <w:szCs w:val="22"/>
          <w:lang w:val="en-US"/>
        </w:rPr>
        <w:t>2000</w:t>
      </w:r>
      <w:r w:rsidRPr="009978E3">
        <w:rPr>
          <w:rFonts w:eastAsia="MS Mincho"/>
          <w:sz w:val="22"/>
          <w:szCs w:val="22"/>
          <w:lang w:val="en-US"/>
        </w:rPr>
        <w:t xml:space="preserve">; </w:t>
      </w:r>
      <w:r w:rsidRPr="009978E3">
        <w:rPr>
          <w:sz w:val="22"/>
          <w:szCs w:val="22"/>
          <w:lang w:val="en-US"/>
        </w:rPr>
        <w:t>Kunze &amp; Smith, 2004</w:t>
      </w:r>
      <w:r w:rsidRPr="009978E3">
        <w:rPr>
          <w:rFonts w:eastAsia="MS Mincho"/>
          <w:sz w:val="22"/>
          <w:szCs w:val="22"/>
          <w:lang w:val="en-US"/>
        </w:rPr>
        <w:t xml:space="preserve">; </w:t>
      </w:r>
      <w:r w:rsidRPr="009978E3">
        <w:rPr>
          <w:sz w:val="22"/>
          <w:szCs w:val="22"/>
          <w:lang w:val="en-US"/>
        </w:rPr>
        <w:t xml:space="preserve">White </w:t>
      </w:r>
      <w:r w:rsidRPr="0006066A">
        <w:rPr>
          <w:i/>
          <w:sz w:val="22"/>
          <w:szCs w:val="22"/>
          <w:lang w:val="en-US"/>
        </w:rPr>
        <w:t>et al</w:t>
      </w:r>
      <w:r w:rsidRPr="009978E3">
        <w:rPr>
          <w:i/>
          <w:sz w:val="22"/>
          <w:szCs w:val="22"/>
          <w:lang w:val="en-US"/>
        </w:rPr>
        <w:t xml:space="preserve">., </w:t>
      </w:r>
      <w:r w:rsidRPr="009978E3">
        <w:rPr>
          <w:sz w:val="22"/>
          <w:szCs w:val="22"/>
          <w:lang w:val="en-US"/>
        </w:rPr>
        <w:t>2007; Pakhorukov, 2008</w:t>
      </w:r>
      <w:r w:rsidRPr="009978E3">
        <w:rPr>
          <w:rFonts w:eastAsia="MS Mincho"/>
          <w:sz w:val="22"/>
          <w:szCs w:val="22"/>
          <w:lang w:val="en-US"/>
        </w:rPr>
        <w:t xml:space="preserve">). </w:t>
      </w:r>
    </w:p>
    <w:p w14:paraId="0A069C0D"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area shelters the only deep-sea hydrothermal vent field known to date on the MAR north of the Azores. Since most of the seamounts and other structures in the area remain unexplored, the presence of more vent communities and more seamounts cannot be excluded with full confidence.</w:t>
      </w:r>
    </w:p>
    <w:p w14:paraId="3FCEE70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hydrothermal vent fields play a pivotal role in sustaining abundant populations of deep</w:t>
      </w:r>
      <w:r>
        <w:rPr>
          <w:rFonts w:eastAsia="MS Mincho"/>
          <w:sz w:val="22"/>
          <w:szCs w:val="22"/>
          <w:lang w:val="en-US"/>
        </w:rPr>
        <w:t>-</w:t>
      </w:r>
      <w:r w:rsidRPr="009978E3">
        <w:rPr>
          <w:rFonts w:eastAsia="MS Mincho"/>
          <w:sz w:val="22"/>
          <w:szCs w:val="22"/>
          <w:lang w:val="en-US"/>
        </w:rPr>
        <w:t xml:space="preserve">sea species through the chemosynthetic primary production (Van Dover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2002). </w:t>
      </w:r>
    </w:p>
    <w:p w14:paraId="58B413D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Sedlo seamount shows a high diversity of sessile megabenthos, which may form dense aggregations (mainly coral Hexacorallia – </w:t>
      </w:r>
      <w:r w:rsidRPr="009978E3">
        <w:rPr>
          <w:rFonts w:eastAsia="MS Mincho"/>
          <w:i/>
          <w:sz w:val="22"/>
          <w:szCs w:val="22"/>
          <w:lang w:val="en-US"/>
        </w:rPr>
        <w:t>Madrepora oculata</w:t>
      </w:r>
      <w:r w:rsidRPr="009978E3">
        <w:rPr>
          <w:rFonts w:eastAsia="MS Mincho"/>
          <w:sz w:val="22"/>
          <w:szCs w:val="22"/>
          <w:lang w:val="en-US"/>
        </w:rPr>
        <w:t xml:space="preserve"> – and sponges) on the predominantly rocky surface of its summit (OASIS, 2006). Investigations of the demersal fish community were also performed and recorded large reproductive aggregations of both alfonsino (</w:t>
      </w:r>
      <w:r w:rsidRPr="009978E3">
        <w:rPr>
          <w:rFonts w:eastAsia="MS Mincho"/>
          <w:i/>
          <w:sz w:val="22"/>
          <w:szCs w:val="22"/>
          <w:lang w:val="en-US"/>
        </w:rPr>
        <w:t>Beryx splendens</w:t>
      </w:r>
      <w:r w:rsidRPr="009978E3">
        <w:rPr>
          <w:rFonts w:eastAsia="MS Mincho"/>
          <w:sz w:val="22"/>
          <w:szCs w:val="22"/>
          <w:lang w:val="en-US"/>
        </w:rPr>
        <w:t>) and black cardinal fish (</w:t>
      </w:r>
      <w:r w:rsidRPr="009978E3">
        <w:rPr>
          <w:rFonts w:eastAsia="MS Mincho"/>
          <w:i/>
          <w:sz w:val="22"/>
          <w:szCs w:val="22"/>
          <w:lang w:val="en-US"/>
        </w:rPr>
        <w:t>Epigonus telescopus</w:t>
      </w:r>
      <w:r w:rsidRPr="009978E3">
        <w:rPr>
          <w:rFonts w:eastAsia="MS Mincho"/>
          <w:sz w:val="22"/>
          <w:szCs w:val="22"/>
          <w:lang w:val="en-US"/>
        </w:rPr>
        <w:t xml:space="preserve">) (Menezes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2009) two species recognized as typical seamount aggregating deep-sea fish (Koslow, 1996; Morato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2006). These observations make Sedlo seamount the only known reproductive area for alfonsino and black cardinal fish in the Azores (</w:t>
      </w:r>
      <w:r w:rsidRPr="009978E3">
        <w:rPr>
          <w:sz w:val="22"/>
          <w:szCs w:val="22"/>
          <w:lang w:val="en-US"/>
        </w:rPr>
        <w:t xml:space="preserve">Santos </w:t>
      </w:r>
      <w:r w:rsidRPr="0006066A">
        <w:rPr>
          <w:i/>
          <w:sz w:val="22"/>
          <w:szCs w:val="22"/>
          <w:lang w:val="en-US"/>
        </w:rPr>
        <w:t>et al</w:t>
      </w:r>
      <w:r w:rsidRPr="009978E3">
        <w:rPr>
          <w:i/>
          <w:sz w:val="22"/>
          <w:szCs w:val="22"/>
          <w:lang w:val="en-US"/>
        </w:rPr>
        <w:t xml:space="preserve">., </w:t>
      </w:r>
      <w:r w:rsidRPr="009978E3">
        <w:rPr>
          <w:sz w:val="22"/>
          <w:szCs w:val="22"/>
          <w:lang w:val="en-US"/>
        </w:rPr>
        <w:t>2009)</w:t>
      </w:r>
      <w:r w:rsidRPr="009978E3">
        <w:rPr>
          <w:rFonts w:eastAsia="MS Mincho"/>
          <w:sz w:val="22"/>
          <w:szCs w:val="22"/>
          <w:lang w:val="en-US"/>
        </w:rPr>
        <w:t>. Several threatened deep-sea shark species were also recorded in these structure</w:t>
      </w:r>
      <w:r>
        <w:rPr>
          <w:rFonts w:eastAsia="MS Mincho"/>
          <w:sz w:val="22"/>
          <w:szCs w:val="22"/>
          <w:lang w:val="en-US"/>
        </w:rPr>
        <w:t>s</w:t>
      </w:r>
      <w:r w:rsidRPr="009978E3">
        <w:rPr>
          <w:rFonts w:eastAsia="MS Mincho"/>
          <w:sz w:val="22"/>
          <w:szCs w:val="22"/>
          <w:lang w:val="en-US"/>
        </w:rPr>
        <w:t>, such as the leafscale gulper shark (</w:t>
      </w:r>
      <w:r w:rsidRPr="009978E3">
        <w:rPr>
          <w:rFonts w:eastAsia="MS Mincho"/>
          <w:i/>
          <w:sz w:val="22"/>
          <w:szCs w:val="22"/>
          <w:lang w:val="en-US"/>
        </w:rPr>
        <w:t>Centrophorus squamosus</w:t>
      </w:r>
      <w:r w:rsidRPr="009978E3">
        <w:rPr>
          <w:rFonts w:eastAsia="MS Mincho"/>
          <w:sz w:val="22"/>
          <w:szCs w:val="22"/>
          <w:lang w:val="en-US"/>
        </w:rPr>
        <w:t>) and the Portuguese dogfish (</w:t>
      </w:r>
      <w:r w:rsidRPr="009978E3">
        <w:rPr>
          <w:rFonts w:eastAsia="MS Mincho"/>
          <w:i/>
          <w:sz w:val="22"/>
          <w:szCs w:val="22"/>
          <w:lang w:val="en-US"/>
        </w:rPr>
        <w:t>Centroscymnus coelolepis</w:t>
      </w:r>
      <w:r w:rsidRPr="009978E3">
        <w:rPr>
          <w:rFonts w:eastAsia="MS Mincho"/>
          <w:sz w:val="22"/>
          <w:szCs w:val="22"/>
          <w:lang w:val="en-US"/>
        </w:rPr>
        <w:t xml:space="preserve">) (Melo &amp; Menezes, 2002; Menezes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2009), both considered vulnerable and near threatened, respectively, in the IUCN (2011) </w:t>
      </w:r>
      <w:r>
        <w:rPr>
          <w:rFonts w:eastAsia="MS Mincho"/>
          <w:sz w:val="22"/>
          <w:szCs w:val="22"/>
          <w:lang w:val="en-US"/>
        </w:rPr>
        <w:t>R</w:t>
      </w:r>
      <w:r w:rsidRPr="009978E3">
        <w:rPr>
          <w:rFonts w:eastAsia="MS Mincho"/>
          <w:sz w:val="22"/>
          <w:szCs w:val="22"/>
          <w:lang w:val="en-US"/>
        </w:rPr>
        <w:t xml:space="preserve">ed </w:t>
      </w:r>
      <w:r>
        <w:rPr>
          <w:rFonts w:eastAsia="MS Mincho"/>
          <w:sz w:val="22"/>
          <w:szCs w:val="22"/>
          <w:lang w:val="en-US"/>
        </w:rPr>
        <w:t>L</w:t>
      </w:r>
      <w:r w:rsidRPr="009978E3">
        <w:rPr>
          <w:rFonts w:eastAsia="MS Mincho"/>
          <w:sz w:val="22"/>
          <w:szCs w:val="22"/>
          <w:lang w:val="en-US"/>
        </w:rPr>
        <w:t>ist. The endangered fin whale (</w:t>
      </w:r>
      <w:r w:rsidRPr="009978E3">
        <w:rPr>
          <w:rFonts w:eastAsia="MS Mincho"/>
          <w:i/>
          <w:sz w:val="22"/>
          <w:szCs w:val="22"/>
          <w:lang w:val="en-US"/>
        </w:rPr>
        <w:t>Balaenoptera physalus</w:t>
      </w:r>
      <w:r w:rsidRPr="009978E3">
        <w:rPr>
          <w:rFonts w:eastAsia="MS Mincho"/>
          <w:sz w:val="22"/>
          <w:szCs w:val="22"/>
          <w:lang w:val="en-US"/>
        </w:rPr>
        <w:t>) and sei whale (</w:t>
      </w:r>
      <w:r w:rsidRPr="009978E3">
        <w:rPr>
          <w:rFonts w:eastAsia="MS Mincho"/>
          <w:i/>
          <w:sz w:val="22"/>
          <w:szCs w:val="22"/>
          <w:lang w:val="en-US"/>
        </w:rPr>
        <w:t>Balaenoptera borealis</w:t>
      </w:r>
      <w:r w:rsidRPr="009978E3">
        <w:rPr>
          <w:rFonts w:eastAsia="MS Mincho"/>
          <w:sz w:val="22"/>
          <w:szCs w:val="22"/>
          <w:lang w:val="en-US"/>
        </w:rPr>
        <w:t>) (IUCN, 2011) have been observed in the vicinity of the seamount (</w:t>
      </w:r>
      <w:r w:rsidRPr="009978E3">
        <w:rPr>
          <w:sz w:val="22"/>
          <w:szCs w:val="22"/>
          <w:lang w:val="en-US"/>
        </w:rPr>
        <w:t xml:space="preserve">Santos </w:t>
      </w:r>
      <w:r w:rsidRPr="0006066A">
        <w:rPr>
          <w:i/>
          <w:sz w:val="22"/>
          <w:szCs w:val="22"/>
          <w:lang w:val="en-US"/>
        </w:rPr>
        <w:t>et al</w:t>
      </w:r>
      <w:r w:rsidRPr="009978E3">
        <w:rPr>
          <w:i/>
          <w:sz w:val="22"/>
          <w:szCs w:val="22"/>
          <w:lang w:val="en-US"/>
        </w:rPr>
        <w:t xml:space="preserve">., </w:t>
      </w:r>
      <w:r w:rsidRPr="009978E3">
        <w:rPr>
          <w:sz w:val="22"/>
          <w:szCs w:val="22"/>
          <w:lang w:val="en-US"/>
        </w:rPr>
        <w:t>2009)</w:t>
      </w:r>
      <w:r w:rsidRPr="009978E3">
        <w:rPr>
          <w:rFonts w:eastAsia="MS Mincho"/>
          <w:sz w:val="22"/>
          <w:szCs w:val="22"/>
          <w:lang w:val="en-US"/>
        </w:rPr>
        <w:t xml:space="preserve">. </w:t>
      </w:r>
    </w:p>
    <w:p w14:paraId="7DDF880C" w14:textId="77777777" w:rsidR="006B3F46" w:rsidRPr="009978E3" w:rsidRDefault="006B3F46" w:rsidP="002E4B39">
      <w:pPr>
        <w:suppressLineNumbers/>
        <w:spacing w:after="120"/>
        <w:jc w:val="both"/>
        <w:rPr>
          <w:sz w:val="22"/>
          <w:szCs w:val="22"/>
          <w:lang w:val="en-US"/>
        </w:rPr>
      </w:pPr>
      <w:r w:rsidRPr="002E4B39">
        <w:rPr>
          <w:rFonts w:eastAsia="MS Mincho"/>
          <w:sz w:val="22"/>
          <w:szCs w:val="22"/>
          <w:lang w:val="en-US"/>
        </w:rPr>
        <w:t>Another</w:t>
      </w:r>
      <w:r w:rsidRPr="009978E3">
        <w:rPr>
          <w:sz w:val="22"/>
          <w:szCs w:val="22"/>
          <w:lang w:val="en-US"/>
        </w:rPr>
        <w:t xml:space="preserve"> important </w:t>
      </w:r>
      <w:r>
        <w:rPr>
          <w:sz w:val="22"/>
          <w:szCs w:val="22"/>
          <w:lang w:val="en-US"/>
        </w:rPr>
        <w:t>feature</w:t>
      </w:r>
      <w:r w:rsidRPr="009978E3">
        <w:rPr>
          <w:sz w:val="22"/>
          <w:szCs w:val="22"/>
          <w:lang w:val="en-US"/>
        </w:rPr>
        <w:t xml:space="preserve"> in the area is a section of the </w:t>
      </w:r>
      <w:r w:rsidRPr="00AF3494">
        <w:rPr>
          <w:sz w:val="22"/>
          <w:szCs w:val="22"/>
          <w:lang w:val="en-US"/>
        </w:rPr>
        <w:t xml:space="preserve">Mid-Atlantic Ridge North of the Azores High Seas MPA </w:t>
      </w:r>
      <w:r w:rsidRPr="009978E3">
        <w:rPr>
          <w:sz w:val="22"/>
          <w:szCs w:val="22"/>
          <w:lang w:val="en-US"/>
        </w:rPr>
        <w:t>(MARNA)</w:t>
      </w:r>
      <w:r>
        <w:rPr>
          <w:sz w:val="22"/>
          <w:szCs w:val="22"/>
          <w:lang w:val="en-US"/>
        </w:rPr>
        <w:t xml:space="preserve">, part of the </w:t>
      </w:r>
      <w:r w:rsidRPr="009978E3">
        <w:rPr>
          <w:sz w:val="22"/>
          <w:szCs w:val="22"/>
          <w:lang w:val="en-US"/>
        </w:rPr>
        <w:t xml:space="preserve">OSPAR </w:t>
      </w:r>
      <w:r>
        <w:rPr>
          <w:sz w:val="22"/>
          <w:szCs w:val="22"/>
          <w:lang w:val="en-US"/>
        </w:rPr>
        <w:t xml:space="preserve">Network of Marine Protected Areas. </w:t>
      </w:r>
      <w:r w:rsidRPr="009978E3">
        <w:rPr>
          <w:sz w:val="22"/>
          <w:szCs w:val="22"/>
          <w:lang w:val="en-US"/>
        </w:rPr>
        <w:t>The ridge is a peculiar topographic feature of the Atlantic Ocean stretching from north of Iceland to the Southern Ocean, representing the spreading zone between the Eurasian and American continental plates. Although mid-ocean ridges have an extensive distribution and cover 22</w:t>
      </w:r>
      <w:r>
        <w:rPr>
          <w:sz w:val="22"/>
          <w:szCs w:val="22"/>
          <w:lang w:val="en-US"/>
        </w:rPr>
        <w:t xml:space="preserve"> per cent</w:t>
      </w:r>
      <w:r w:rsidRPr="009978E3">
        <w:rPr>
          <w:sz w:val="22"/>
          <w:szCs w:val="22"/>
          <w:lang w:val="en-US"/>
        </w:rPr>
        <w:t xml:space="preserve"> of the Earth’s surface (Garrison, 2005) these remote areas are largely unexplored (Bergstad </w:t>
      </w:r>
      <w:r w:rsidRPr="0006066A">
        <w:rPr>
          <w:i/>
          <w:sz w:val="22"/>
          <w:szCs w:val="22"/>
          <w:lang w:val="en-US"/>
        </w:rPr>
        <w:t>et al</w:t>
      </w:r>
      <w:r w:rsidRPr="009978E3">
        <w:rPr>
          <w:i/>
          <w:sz w:val="22"/>
          <w:szCs w:val="22"/>
          <w:lang w:val="en-US"/>
        </w:rPr>
        <w:t>.</w:t>
      </w:r>
      <w:r w:rsidRPr="009978E3">
        <w:rPr>
          <w:sz w:val="22"/>
          <w:szCs w:val="22"/>
          <w:lang w:val="en-US"/>
        </w:rPr>
        <w:t xml:space="preserve">, 2010). </w:t>
      </w:r>
      <w:r>
        <w:rPr>
          <w:sz w:val="22"/>
          <w:szCs w:val="22"/>
          <w:lang w:val="en-US"/>
        </w:rPr>
        <w:t>K</w:t>
      </w:r>
      <w:r w:rsidRPr="009978E3">
        <w:rPr>
          <w:sz w:val="22"/>
          <w:szCs w:val="22"/>
          <w:lang w:val="en-US"/>
        </w:rPr>
        <w:t xml:space="preserve">nowledge </w:t>
      </w:r>
      <w:r>
        <w:rPr>
          <w:sz w:val="22"/>
          <w:szCs w:val="22"/>
          <w:lang w:val="en-US"/>
        </w:rPr>
        <w:t>of</w:t>
      </w:r>
      <w:r w:rsidRPr="009978E3">
        <w:rPr>
          <w:sz w:val="22"/>
          <w:szCs w:val="22"/>
          <w:lang w:val="en-US"/>
        </w:rPr>
        <w:t xml:space="preserve"> the animal communities and biology and ecology of individual species in these waters remains limited. The rugged terrain and great </w:t>
      </w:r>
      <w:r w:rsidRPr="002E4B39">
        <w:rPr>
          <w:rFonts w:eastAsia="MS Mincho"/>
          <w:sz w:val="22"/>
          <w:szCs w:val="22"/>
          <w:lang w:val="en-US"/>
        </w:rPr>
        <w:t>depths</w:t>
      </w:r>
      <w:r w:rsidRPr="009978E3">
        <w:rPr>
          <w:sz w:val="22"/>
          <w:szCs w:val="22"/>
          <w:lang w:val="en-US"/>
        </w:rPr>
        <w:t xml:space="preserve"> make the ridges particularly challenging study areas (Bergstad </w:t>
      </w:r>
      <w:r w:rsidRPr="0006066A">
        <w:rPr>
          <w:i/>
          <w:sz w:val="22"/>
          <w:szCs w:val="22"/>
          <w:lang w:val="en-US"/>
        </w:rPr>
        <w:t>et al</w:t>
      </w:r>
      <w:r w:rsidRPr="009978E3">
        <w:rPr>
          <w:i/>
          <w:sz w:val="22"/>
          <w:szCs w:val="22"/>
          <w:lang w:val="en-US"/>
        </w:rPr>
        <w:t>.</w:t>
      </w:r>
      <w:r w:rsidRPr="009978E3">
        <w:rPr>
          <w:sz w:val="22"/>
          <w:szCs w:val="22"/>
          <w:lang w:val="en-US"/>
        </w:rPr>
        <w:t>, 2008).</w:t>
      </w:r>
    </w:p>
    <w:p w14:paraId="72C32BF1"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 xml:space="preserve">There is </w:t>
      </w:r>
      <w:r w:rsidRPr="009978E3">
        <w:rPr>
          <w:rFonts w:eastAsia="MS Mincho"/>
          <w:sz w:val="22"/>
          <w:szCs w:val="22"/>
          <w:lang w:val="en-US"/>
        </w:rPr>
        <w:t xml:space="preserve">a considerable volume of information </w:t>
      </w:r>
      <w:r>
        <w:rPr>
          <w:rFonts w:eastAsia="MS Mincho"/>
          <w:sz w:val="22"/>
          <w:szCs w:val="22"/>
          <w:lang w:val="en-US"/>
        </w:rPr>
        <w:t xml:space="preserve">on </w:t>
      </w:r>
      <w:r w:rsidRPr="009978E3">
        <w:rPr>
          <w:rFonts w:eastAsia="MS Mincho"/>
          <w:sz w:val="22"/>
          <w:szCs w:val="22"/>
          <w:lang w:val="en-US"/>
        </w:rPr>
        <w:t>Altair and Antialtair seamounts</w:t>
      </w:r>
      <w:r>
        <w:rPr>
          <w:rFonts w:eastAsia="MS Mincho"/>
          <w:sz w:val="22"/>
          <w:szCs w:val="22"/>
          <w:lang w:val="en-US"/>
        </w:rPr>
        <w:t>,</w:t>
      </w:r>
      <w:r w:rsidRPr="009978E3">
        <w:rPr>
          <w:rFonts w:eastAsia="MS Mincho"/>
          <w:sz w:val="22"/>
          <w:szCs w:val="22"/>
          <w:lang w:val="en-US"/>
        </w:rPr>
        <w:t xml:space="preserve"> as both structures are also components of the OSPAR Network of Marine Protected Areas. </w:t>
      </w:r>
    </w:p>
    <w:p w14:paraId="095A172F"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I</w:t>
      </w:r>
      <w:r w:rsidRPr="009978E3">
        <w:rPr>
          <w:rFonts w:eastAsia="MS Mincho"/>
          <w:sz w:val="22"/>
          <w:szCs w:val="22"/>
          <w:lang w:val="en-US"/>
        </w:rPr>
        <w:t>nformation about Moytirra is relatively scarce because this hydrothermal vent was only</w:t>
      </w:r>
      <w:r w:rsidRPr="009978E3">
        <w:rPr>
          <w:sz w:val="22"/>
          <w:szCs w:val="22"/>
        </w:rPr>
        <w:t xml:space="preserve"> recently discovered (in 2011). This is t</w:t>
      </w:r>
      <w:r w:rsidRPr="009978E3">
        <w:rPr>
          <w:rFonts w:eastAsia="MS Mincho"/>
          <w:sz w:val="22"/>
          <w:szCs w:val="22"/>
          <w:lang w:val="en-US"/>
        </w:rPr>
        <w:t xml:space="preserve">he first known deep-sea hydrothermal vent field on the slow-spreading Mid-Atlantic Ridge north of the Azores and as a result has only been subject to a few studies, most of </w:t>
      </w:r>
      <w:r>
        <w:rPr>
          <w:rFonts w:eastAsia="MS Mincho"/>
          <w:sz w:val="22"/>
          <w:szCs w:val="22"/>
          <w:lang w:val="en-US"/>
        </w:rPr>
        <w:t>which</w:t>
      </w:r>
      <w:r w:rsidRPr="009978E3">
        <w:rPr>
          <w:rFonts w:eastAsia="MS Mincho"/>
          <w:sz w:val="22"/>
          <w:szCs w:val="22"/>
          <w:lang w:val="en-US"/>
        </w:rPr>
        <w:t xml:space="preserve"> describ</w:t>
      </w:r>
      <w:r>
        <w:rPr>
          <w:rFonts w:eastAsia="MS Mincho"/>
          <w:sz w:val="22"/>
          <w:szCs w:val="22"/>
          <w:lang w:val="en-US"/>
        </w:rPr>
        <w:t>e its</w:t>
      </w:r>
      <w:r w:rsidRPr="009978E3">
        <w:rPr>
          <w:rFonts w:eastAsia="MS Mincho"/>
          <w:sz w:val="22"/>
          <w:szCs w:val="22"/>
          <w:lang w:val="en-US"/>
        </w:rPr>
        <w:t xml:space="preserve"> genesis and geological data </w:t>
      </w:r>
      <w:r>
        <w:rPr>
          <w:rFonts w:eastAsia="MS Mincho"/>
          <w:sz w:val="22"/>
          <w:szCs w:val="22"/>
          <w:lang w:val="en-US"/>
        </w:rPr>
        <w:t>but provide</w:t>
      </w:r>
      <w:r w:rsidRPr="009978E3">
        <w:rPr>
          <w:rFonts w:eastAsia="MS Mincho"/>
          <w:sz w:val="22"/>
          <w:szCs w:val="22"/>
          <w:lang w:val="en-US"/>
        </w:rPr>
        <w:t xml:space="preserve"> little biological information (Wheeler </w:t>
      </w:r>
      <w:r w:rsidRPr="0006066A">
        <w:rPr>
          <w:rFonts w:eastAsia="MS Mincho"/>
          <w:i/>
          <w:sz w:val="22"/>
          <w:szCs w:val="22"/>
          <w:lang w:val="en-US"/>
        </w:rPr>
        <w:t>et al</w:t>
      </w:r>
      <w:r w:rsidRPr="009978E3">
        <w:rPr>
          <w:rFonts w:eastAsia="MS Mincho"/>
          <w:sz w:val="22"/>
          <w:szCs w:val="22"/>
          <w:lang w:val="en-US"/>
        </w:rPr>
        <w:t xml:space="preserve">. 2013). </w:t>
      </w:r>
    </w:p>
    <w:p w14:paraId="6175BC3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area </w:t>
      </w:r>
      <w:r>
        <w:rPr>
          <w:rFonts w:eastAsia="MS Mincho"/>
          <w:sz w:val="22"/>
          <w:szCs w:val="22"/>
          <w:lang w:val="en-US"/>
        </w:rPr>
        <w:t>comprises</w:t>
      </w:r>
      <w:r w:rsidRPr="009978E3">
        <w:rPr>
          <w:rFonts w:eastAsia="MS Mincho"/>
          <w:sz w:val="22"/>
          <w:szCs w:val="22"/>
          <w:lang w:val="en-US"/>
        </w:rPr>
        <w:t xml:space="preserve"> multiple types of structures (hydrothermal vent field, MARNA MPA, and seamounts) </w:t>
      </w:r>
      <w:r>
        <w:rPr>
          <w:rFonts w:eastAsia="MS Mincho"/>
          <w:sz w:val="22"/>
          <w:szCs w:val="22"/>
          <w:lang w:val="en-US"/>
        </w:rPr>
        <w:t>that</w:t>
      </w:r>
      <w:r w:rsidRPr="009978E3">
        <w:rPr>
          <w:rFonts w:eastAsia="MS Mincho"/>
          <w:sz w:val="22"/>
          <w:szCs w:val="22"/>
          <w:lang w:val="en-US"/>
        </w:rPr>
        <w:t xml:space="preserve"> are very distinct in terms of biology and geology, showing different compositions, locations and ages</w:t>
      </w:r>
      <w:r>
        <w:rPr>
          <w:rFonts w:eastAsia="MS Mincho"/>
          <w:sz w:val="22"/>
          <w:szCs w:val="22"/>
          <w:lang w:val="en-US"/>
        </w:rPr>
        <w:t xml:space="preserve">. </w:t>
      </w:r>
    </w:p>
    <w:p w14:paraId="30A5B385" w14:textId="4FE4020F"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Wheller described the Moytirra vent field (named after the Irish mythological “plain of the pillars”) in 2013. This vent is the only fully described high temperature hydrothermal vent known between the Azores and Iceland, making it a unique geophysical structure in the high seas of the North Atlantic and within the MAR.</w:t>
      </w:r>
      <w:r w:rsidRPr="009978E3">
        <w:rPr>
          <w:sz w:val="22"/>
          <w:szCs w:val="22"/>
        </w:rPr>
        <w:t xml:space="preserve"> </w:t>
      </w:r>
      <w:r w:rsidRPr="009978E3">
        <w:rPr>
          <w:rFonts w:eastAsia="MS Mincho"/>
          <w:sz w:val="22"/>
          <w:szCs w:val="22"/>
          <w:lang w:val="en-US"/>
        </w:rPr>
        <w:t xml:space="preserve">The structure is located at a depth of 2095 m and is situated at 45°N on the 300 m high fault scarp of the eastern axial wall of the MAR, 3.5 km from the axial volcanic ridge crest (Wheeler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2013). The portion of the MAR contained within the area</w:t>
      </w:r>
      <w:r w:rsidRPr="009978E3">
        <w:rPr>
          <w:sz w:val="22"/>
          <w:szCs w:val="22"/>
          <w:lang w:val="en-US"/>
        </w:rPr>
        <w:t>, which includes the MARNA MPA</w:t>
      </w:r>
      <w:r w:rsidRPr="009978E3">
        <w:rPr>
          <w:rFonts w:eastAsia="MS Mincho"/>
          <w:sz w:val="22"/>
          <w:szCs w:val="22"/>
          <w:lang w:val="en-US"/>
        </w:rPr>
        <w:t>, is characterized by rough bottom topography comprising underwater peaks (minimum 660 and maximum depth 3700 m), a central rift valley, recent volcanic terrain</w:t>
      </w:r>
      <w:r>
        <w:rPr>
          <w:rFonts w:eastAsia="MS Mincho"/>
          <w:sz w:val="22"/>
          <w:szCs w:val="22"/>
          <w:lang w:val="en-US"/>
        </w:rPr>
        <w:t xml:space="preserve"> and</w:t>
      </w:r>
      <w:r w:rsidRPr="009978E3">
        <w:rPr>
          <w:rFonts w:eastAsia="MS Mincho"/>
          <w:sz w:val="22"/>
          <w:szCs w:val="22"/>
          <w:lang w:val="en-US"/>
        </w:rPr>
        <w:t xml:space="preserve"> fracture zones and has the highest concentration of seamount features on the MAR (Epp &amp; Smoot, 1989; Gebruk </w:t>
      </w:r>
      <w:r w:rsidRPr="0006066A">
        <w:rPr>
          <w:rFonts w:eastAsia="MS Mincho"/>
          <w:i/>
          <w:sz w:val="22"/>
          <w:szCs w:val="22"/>
          <w:lang w:val="en-US"/>
        </w:rPr>
        <w:t>et al</w:t>
      </w:r>
      <w:r w:rsidRPr="009978E3">
        <w:rPr>
          <w:rFonts w:eastAsia="MS Mincho"/>
          <w:sz w:val="22"/>
          <w:szCs w:val="22"/>
          <w:lang w:val="en-US"/>
        </w:rPr>
        <w:t>, 2010). It occupies an area of 93</w:t>
      </w:r>
      <w:r>
        <w:rPr>
          <w:rFonts w:eastAsia="MS Mincho"/>
          <w:sz w:val="22"/>
          <w:szCs w:val="22"/>
          <w:lang w:val="en-US"/>
        </w:rPr>
        <w:t>,</w:t>
      </w:r>
      <w:r w:rsidRPr="009978E3">
        <w:rPr>
          <w:rFonts w:eastAsia="MS Mincho"/>
          <w:sz w:val="22"/>
          <w:szCs w:val="22"/>
          <w:lang w:val="en-US"/>
        </w:rPr>
        <w:t>415 km</w:t>
      </w:r>
      <w:r w:rsidRPr="00EC5399">
        <w:rPr>
          <w:rFonts w:eastAsia="MS Mincho"/>
          <w:sz w:val="22"/>
          <w:szCs w:val="22"/>
          <w:vertAlign w:val="superscript"/>
          <w:lang w:val="en-US"/>
        </w:rPr>
        <w:t>2</w:t>
      </w:r>
      <w:r w:rsidRPr="00EC5399">
        <w:rPr>
          <w:rFonts w:eastAsia="MS Mincho"/>
          <w:sz w:val="22"/>
          <w:szCs w:val="22"/>
          <w:lang w:val="en-US"/>
        </w:rPr>
        <w:t>. The</w:t>
      </w:r>
      <w:r w:rsidRPr="009978E3">
        <w:rPr>
          <w:rFonts w:eastAsia="MS Mincho"/>
          <w:sz w:val="22"/>
          <w:szCs w:val="22"/>
          <w:lang w:val="en-US"/>
        </w:rPr>
        <w:t xml:space="preserve"> MPA contains a section of the axis of the volcanic ridge, generally NNE-SSE, which runs through the Azores Platform. The central part of this ridge is occupied by an overall steering valley NNE-SSW with a width typically within 7 km and 9 km, which extends over the whole area and the base of which lies typically between 3000 and 3500 m deep (Dias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2007; Silveira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2010). The flank of the central valley can rise to depths </w:t>
      </w:r>
      <w:r>
        <w:rPr>
          <w:rFonts w:eastAsia="MS Mincho"/>
          <w:sz w:val="22"/>
          <w:szCs w:val="22"/>
          <w:lang w:val="en-US"/>
        </w:rPr>
        <w:t xml:space="preserve">below </w:t>
      </w:r>
      <w:r w:rsidRPr="009978E3">
        <w:rPr>
          <w:rFonts w:eastAsia="MS Mincho"/>
          <w:sz w:val="22"/>
          <w:szCs w:val="22"/>
          <w:lang w:val="en-US"/>
        </w:rPr>
        <w:t>1000 m, although the crests are typically between 1000 m and 1500 m deep. The surface of the crest flank diverging from the central valley is rough but essentially inclines toward</w:t>
      </w:r>
      <w:r w:rsidR="005B097E">
        <w:rPr>
          <w:rFonts w:eastAsia="MS Mincho"/>
          <w:sz w:val="22"/>
          <w:szCs w:val="22"/>
          <w:lang w:val="en-US"/>
        </w:rPr>
        <w:t>s</w:t>
      </w:r>
      <w:r w:rsidRPr="009978E3">
        <w:rPr>
          <w:rFonts w:eastAsia="MS Mincho"/>
          <w:sz w:val="22"/>
          <w:szCs w:val="22"/>
          <w:lang w:val="en-US"/>
        </w:rPr>
        <w:t xml:space="preserve"> deeper areas between 3400 m in the east and 3700 m in the west.</w:t>
      </w:r>
      <w:r w:rsidRPr="009978E3">
        <w:rPr>
          <w:sz w:val="22"/>
          <w:szCs w:val="22"/>
        </w:rPr>
        <w:t xml:space="preserve"> </w:t>
      </w:r>
      <w:r w:rsidRPr="009978E3">
        <w:rPr>
          <w:rFonts w:eastAsia="MS Mincho"/>
          <w:sz w:val="22"/>
          <w:szCs w:val="22"/>
          <w:lang w:val="en-US"/>
        </w:rPr>
        <w:t xml:space="preserve">This area contains </w:t>
      </w:r>
      <w:r>
        <w:rPr>
          <w:rFonts w:eastAsia="MS Mincho"/>
          <w:sz w:val="22"/>
          <w:szCs w:val="22"/>
          <w:lang w:val="en-US"/>
        </w:rPr>
        <w:t>many</w:t>
      </w:r>
      <w:r w:rsidRPr="009978E3">
        <w:rPr>
          <w:rFonts w:eastAsia="MS Mincho"/>
          <w:sz w:val="22"/>
          <w:szCs w:val="22"/>
          <w:lang w:val="en-US"/>
        </w:rPr>
        <w:t xml:space="preserve"> seamounts </w:t>
      </w:r>
      <w:r>
        <w:rPr>
          <w:rFonts w:eastAsia="MS Mincho"/>
          <w:sz w:val="22"/>
          <w:szCs w:val="22"/>
          <w:lang w:val="en-US"/>
        </w:rPr>
        <w:t xml:space="preserve">that have </w:t>
      </w:r>
      <w:r w:rsidRPr="009978E3">
        <w:rPr>
          <w:rFonts w:eastAsia="MS Mincho"/>
          <w:sz w:val="22"/>
          <w:szCs w:val="22"/>
          <w:lang w:val="en-US"/>
        </w:rPr>
        <w:t xml:space="preserve">not </w:t>
      </w:r>
      <w:r>
        <w:rPr>
          <w:rFonts w:eastAsia="MS Mincho"/>
          <w:sz w:val="22"/>
          <w:szCs w:val="22"/>
          <w:lang w:val="en-US"/>
        </w:rPr>
        <w:t xml:space="preserve">been </w:t>
      </w:r>
      <w:r w:rsidRPr="009978E3">
        <w:rPr>
          <w:rFonts w:eastAsia="MS Mincho"/>
          <w:sz w:val="22"/>
          <w:szCs w:val="22"/>
          <w:lang w:val="en-US"/>
        </w:rPr>
        <w:t xml:space="preserve">studied or named (Bergstad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w:t>
      </w:r>
      <w:r w:rsidRPr="009978E3">
        <w:rPr>
          <w:rFonts w:eastAsia="MS Mincho"/>
          <w:i/>
          <w:sz w:val="22"/>
          <w:szCs w:val="22"/>
          <w:lang w:val="en-US"/>
        </w:rPr>
        <w:t xml:space="preserve"> </w:t>
      </w:r>
      <w:r w:rsidRPr="009978E3">
        <w:rPr>
          <w:rFonts w:eastAsia="MS Mincho"/>
          <w:sz w:val="22"/>
          <w:szCs w:val="22"/>
          <w:lang w:val="en-US"/>
        </w:rPr>
        <w:t xml:space="preserve">2012). In the area </w:t>
      </w:r>
      <w:r>
        <w:rPr>
          <w:rFonts w:eastAsia="MS Mincho"/>
          <w:sz w:val="22"/>
          <w:szCs w:val="22"/>
          <w:lang w:val="en-US"/>
        </w:rPr>
        <w:t>seven</w:t>
      </w:r>
      <w:r w:rsidRPr="009978E3">
        <w:rPr>
          <w:rFonts w:eastAsia="MS Mincho"/>
          <w:sz w:val="22"/>
          <w:szCs w:val="22"/>
          <w:lang w:val="en-US"/>
        </w:rPr>
        <w:t xml:space="preserve"> known seamounts are present (there is evidence that there are more), three of them belonging to MPAs – Altair, Antialtair and Sedlo.</w:t>
      </w:r>
    </w:p>
    <w:p w14:paraId="68310019"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A</w:t>
      </w:r>
      <w:r w:rsidRPr="009978E3">
        <w:rPr>
          <w:rFonts w:eastAsia="MS Mincho"/>
          <w:sz w:val="22"/>
          <w:szCs w:val="22"/>
          <w:lang w:val="en-US"/>
        </w:rPr>
        <w:t>n area of 4</w:t>
      </w:r>
      <w:r>
        <w:rPr>
          <w:rFonts w:eastAsia="MS Mincho"/>
          <w:sz w:val="22"/>
          <w:szCs w:val="22"/>
          <w:lang w:val="en-US"/>
        </w:rPr>
        <w:t>,</w:t>
      </w:r>
      <w:r w:rsidRPr="009978E3">
        <w:rPr>
          <w:rFonts w:eastAsia="MS Mincho"/>
          <w:sz w:val="22"/>
          <w:szCs w:val="22"/>
          <w:lang w:val="en-US"/>
        </w:rPr>
        <w:t>384 km</w:t>
      </w:r>
      <w:r w:rsidRPr="009978E3">
        <w:rPr>
          <w:rFonts w:eastAsia="MS Mincho"/>
          <w:sz w:val="22"/>
          <w:szCs w:val="22"/>
          <w:vertAlign w:val="superscript"/>
          <w:lang w:val="en-US"/>
        </w:rPr>
        <w:t>2</w:t>
      </w:r>
      <w:r>
        <w:rPr>
          <w:rFonts w:eastAsia="MS Mincho"/>
          <w:sz w:val="22"/>
          <w:szCs w:val="22"/>
          <w:vertAlign w:val="superscript"/>
          <w:lang w:val="en-US"/>
        </w:rPr>
        <w:t xml:space="preserve"> </w:t>
      </w:r>
      <w:r w:rsidRPr="009978E3">
        <w:rPr>
          <w:rFonts w:eastAsia="MS Mincho"/>
          <w:sz w:val="22"/>
          <w:szCs w:val="22"/>
          <w:vertAlign w:val="superscript"/>
          <w:lang w:val="en-US"/>
        </w:rPr>
        <w:t xml:space="preserve"> </w:t>
      </w:r>
      <w:r>
        <w:rPr>
          <w:rFonts w:eastAsia="MS Mincho"/>
          <w:sz w:val="22"/>
          <w:szCs w:val="22"/>
          <w:lang w:val="en-US"/>
        </w:rPr>
        <w:t>of t</w:t>
      </w:r>
      <w:r w:rsidRPr="009978E3">
        <w:rPr>
          <w:rFonts w:eastAsia="MS Mincho"/>
          <w:sz w:val="22"/>
          <w:szCs w:val="22"/>
          <w:lang w:val="en-US"/>
        </w:rPr>
        <w:t xml:space="preserve">he </w:t>
      </w:r>
      <w:r w:rsidRPr="00B92C13">
        <w:rPr>
          <w:rFonts w:eastAsia="MS Mincho"/>
          <w:sz w:val="22"/>
          <w:szCs w:val="22"/>
          <w:lang w:val="en-US"/>
        </w:rPr>
        <w:t xml:space="preserve">Altair Seamount High Seas MPA </w:t>
      </w:r>
      <w:r>
        <w:rPr>
          <w:rFonts w:eastAsia="MS Mincho"/>
          <w:sz w:val="22"/>
          <w:szCs w:val="22"/>
          <w:lang w:val="en-US"/>
        </w:rPr>
        <w:t>(</w:t>
      </w:r>
      <w:r w:rsidRPr="009978E3">
        <w:rPr>
          <w:rFonts w:eastAsia="MS Mincho"/>
          <w:sz w:val="22"/>
          <w:szCs w:val="22"/>
          <w:lang w:val="en-US"/>
        </w:rPr>
        <w:t xml:space="preserve">OSPAR </w:t>
      </w:r>
      <w:r>
        <w:rPr>
          <w:rFonts w:eastAsia="MS Mincho"/>
          <w:sz w:val="22"/>
          <w:szCs w:val="22"/>
          <w:lang w:val="en-US"/>
        </w:rPr>
        <w:t>Network) is included in the area described</w:t>
      </w:r>
      <w:r w:rsidRPr="009978E3">
        <w:rPr>
          <w:rFonts w:eastAsia="MS Mincho"/>
          <w:sz w:val="22"/>
          <w:szCs w:val="22"/>
          <w:lang w:val="en-US"/>
        </w:rPr>
        <w:t xml:space="preserve"> (OSPAR, 2013). </w:t>
      </w:r>
      <w:r>
        <w:rPr>
          <w:rFonts w:eastAsia="MS Mincho"/>
          <w:sz w:val="22"/>
          <w:szCs w:val="22"/>
          <w:lang w:val="en-US"/>
        </w:rPr>
        <w:t>The seabed of m</w:t>
      </w:r>
      <w:r w:rsidRPr="009978E3">
        <w:rPr>
          <w:rFonts w:eastAsia="MS Mincho"/>
          <w:sz w:val="22"/>
          <w:szCs w:val="22"/>
          <w:lang w:val="en-US"/>
        </w:rPr>
        <w:t xml:space="preserve">ost of this area </w:t>
      </w:r>
      <w:r>
        <w:rPr>
          <w:rFonts w:eastAsia="MS Mincho"/>
          <w:sz w:val="22"/>
          <w:szCs w:val="22"/>
          <w:lang w:val="en-US"/>
        </w:rPr>
        <w:t xml:space="preserve"> is</w:t>
      </w:r>
      <w:r w:rsidRPr="009978E3">
        <w:rPr>
          <w:rFonts w:eastAsia="MS Mincho"/>
          <w:sz w:val="22"/>
          <w:szCs w:val="22"/>
          <w:lang w:val="en-US"/>
        </w:rPr>
        <w:t xml:space="preserve"> located at a depth between 3500 m and 3700 m. The rupture of </w:t>
      </w:r>
      <w:r>
        <w:rPr>
          <w:rFonts w:eastAsia="MS Mincho"/>
          <w:sz w:val="22"/>
          <w:szCs w:val="22"/>
          <w:lang w:val="en-US"/>
        </w:rPr>
        <w:t xml:space="preserve">the </w:t>
      </w:r>
      <w:r w:rsidRPr="009978E3">
        <w:rPr>
          <w:rFonts w:eastAsia="MS Mincho"/>
          <w:sz w:val="22"/>
          <w:szCs w:val="22"/>
          <w:lang w:val="en-US"/>
        </w:rPr>
        <w:t xml:space="preserve">slope in the transition to the relief circumscribed by the isobaths of 3200 m is more pronounced in the </w:t>
      </w:r>
      <w:r>
        <w:rPr>
          <w:rFonts w:eastAsia="MS Mincho"/>
          <w:sz w:val="22"/>
          <w:szCs w:val="22"/>
          <w:lang w:val="en-US"/>
        </w:rPr>
        <w:t>n</w:t>
      </w:r>
      <w:r w:rsidRPr="009978E3">
        <w:rPr>
          <w:rFonts w:eastAsia="MS Mincho"/>
          <w:sz w:val="22"/>
          <w:szCs w:val="22"/>
          <w:lang w:val="en-US"/>
        </w:rPr>
        <w:t xml:space="preserve">orth and </w:t>
      </w:r>
      <w:r>
        <w:rPr>
          <w:rFonts w:eastAsia="MS Mincho"/>
          <w:sz w:val="22"/>
          <w:szCs w:val="22"/>
          <w:lang w:val="en-US"/>
        </w:rPr>
        <w:t>s</w:t>
      </w:r>
      <w:r w:rsidRPr="009978E3">
        <w:rPr>
          <w:rFonts w:eastAsia="MS Mincho"/>
          <w:sz w:val="22"/>
          <w:szCs w:val="22"/>
          <w:lang w:val="en-US"/>
        </w:rPr>
        <w:t xml:space="preserve">outhwest quadrants </w:t>
      </w:r>
      <w:r>
        <w:rPr>
          <w:rFonts w:eastAsia="MS Mincho"/>
          <w:sz w:val="22"/>
          <w:szCs w:val="22"/>
          <w:lang w:val="en-US"/>
        </w:rPr>
        <w:t>than in</w:t>
      </w:r>
      <w:r w:rsidRPr="009978E3">
        <w:rPr>
          <w:rFonts w:eastAsia="MS Mincho"/>
          <w:sz w:val="22"/>
          <w:szCs w:val="22"/>
          <w:lang w:val="en-US"/>
        </w:rPr>
        <w:t xml:space="preserve"> the </w:t>
      </w:r>
      <w:r>
        <w:rPr>
          <w:rFonts w:eastAsia="MS Mincho"/>
          <w:sz w:val="22"/>
          <w:szCs w:val="22"/>
          <w:lang w:val="en-US"/>
        </w:rPr>
        <w:t>e</w:t>
      </w:r>
      <w:r w:rsidRPr="009978E3">
        <w:rPr>
          <w:rFonts w:eastAsia="MS Mincho"/>
          <w:sz w:val="22"/>
          <w:szCs w:val="22"/>
          <w:lang w:val="en-US"/>
        </w:rPr>
        <w:t xml:space="preserve">astern sectors. The Altair seamount extends from northwest to southeast, and its dimensions at the 3300 m isobath are 73x46 km. Altair seamount is an isolated volcanic uplift on the </w:t>
      </w:r>
      <w:r>
        <w:rPr>
          <w:rFonts w:eastAsia="MS Mincho"/>
          <w:sz w:val="22"/>
          <w:szCs w:val="22"/>
          <w:lang w:val="en-US"/>
        </w:rPr>
        <w:t>e</w:t>
      </w:r>
      <w:r w:rsidRPr="009978E3">
        <w:rPr>
          <w:rFonts w:eastAsia="MS Mincho"/>
          <w:sz w:val="22"/>
          <w:szCs w:val="22"/>
          <w:lang w:val="en-US"/>
        </w:rPr>
        <w:t xml:space="preserve">astern slope of the Newfoundland Basin and the North American-Canary abyssal plain. The middle and upper crusts of the seamount, at depths of 1600-2500 m, are marked by the widespread development of ferromanganese crusts. Stations at the summit and slope are often rocky, with cobbles and boulders in places, but also patches of coarse, biogenic sediment (Matthews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1969; Varentsov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1988; O'Leary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2012).</w:t>
      </w:r>
    </w:p>
    <w:p w14:paraId="649C0C3F" w14:textId="77777777" w:rsidR="006B3F46" w:rsidRPr="009978E3" w:rsidRDefault="006B3F46" w:rsidP="002E4B39">
      <w:pPr>
        <w:suppressLineNumbers/>
        <w:spacing w:after="120"/>
        <w:jc w:val="both"/>
        <w:rPr>
          <w:sz w:val="22"/>
          <w:szCs w:val="22"/>
          <w:lang w:val="en-US"/>
        </w:rPr>
      </w:pPr>
      <w:r w:rsidRPr="009978E3">
        <w:rPr>
          <w:sz w:val="22"/>
          <w:szCs w:val="22"/>
          <w:lang w:val="en-US"/>
        </w:rPr>
        <w:t xml:space="preserve">The </w:t>
      </w:r>
      <w:r w:rsidRPr="002E4B39">
        <w:rPr>
          <w:rFonts w:eastAsia="MS Mincho"/>
          <w:sz w:val="22"/>
          <w:szCs w:val="22"/>
          <w:lang w:val="en-US"/>
        </w:rPr>
        <w:t>structures</w:t>
      </w:r>
      <w:r w:rsidRPr="009978E3">
        <w:rPr>
          <w:sz w:val="22"/>
          <w:szCs w:val="22"/>
          <w:lang w:val="en-US"/>
        </w:rPr>
        <w:t xml:space="preserve"> of the Altair seamount rise within the western and eastern sectors of the Central Adantic region belonging, according to Zolotarev (1984), to the volcanic-uplift association, developed on the slopes of the MAR. The Altair seamount consists of two clearly merging conical piles: the summit of the western pile lies at a water depth of 1545 m, and the two summits of the double-peaked eastern cones at 1350 and 935 m.</w:t>
      </w:r>
    </w:p>
    <w:p w14:paraId="6B1762CA" w14:textId="77777777" w:rsidR="006B3F46" w:rsidRPr="009978E3" w:rsidRDefault="006B3F46" w:rsidP="002E4B39">
      <w:pPr>
        <w:suppressLineNumbers/>
        <w:spacing w:after="120"/>
        <w:jc w:val="both"/>
        <w:rPr>
          <w:sz w:val="22"/>
          <w:szCs w:val="22"/>
          <w:lang w:val="en-US"/>
        </w:rPr>
      </w:pPr>
      <w:r w:rsidRPr="009978E3">
        <w:rPr>
          <w:rFonts w:eastAsia="MS Mincho"/>
          <w:sz w:val="22"/>
          <w:szCs w:val="22"/>
          <w:lang w:val="en-US"/>
        </w:rPr>
        <w:t xml:space="preserve">The </w:t>
      </w:r>
      <w:r w:rsidRPr="00A73043">
        <w:rPr>
          <w:rFonts w:eastAsia="MS Mincho"/>
          <w:sz w:val="22"/>
          <w:szCs w:val="22"/>
          <w:lang w:val="en-US"/>
        </w:rPr>
        <w:t>Antialtair Seamount High Seas MPA</w:t>
      </w:r>
      <w:r>
        <w:rPr>
          <w:rFonts w:eastAsia="MS Mincho"/>
          <w:sz w:val="22"/>
          <w:szCs w:val="22"/>
          <w:lang w:val="en-US"/>
        </w:rPr>
        <w:t>, which</w:t>
      </w:r>
      <w:r w:rsidRPr="009978E3">
        <w:rPr>
          <w:rFonts w:eastAsia="MS Mincho"/>
          <w:sz w:val="22"/>
          <w:szCs w:val="22"/>
          <w:lang w:val="en-US"/>
        </w:rPr>
        <w:t xml:space="preserve"> occupies an area of </w:t>
      </w:r>
      <w:r w:rsidRPr="009978E3">
        <w:rPr>
          <w:sz w:val="22"/>
          <w:szCs w:val="22"/>
          <w:lang w:val="en-US"/>
        </w:rPr>
        <w:t>2807 km</w:t>
      </w:r>
      <w:r w:rsidRPr="009978E3">
        <w:rPr>
          <w:sz w:val="22"/>
          <w:szCs w:val="22"/>
          <w:vertAlign w:val="superscript"/>
          <w:lang w:val="en-US"/>
        </w:rPr>
        <w:t>2</w:t>
      </w:r>
      <w:r w:rsidRPr="009978E3">
        <w:rPr>
          <w:sz w:val="22"/>
          <w:szCs w:val="22"/>
          <w:lang w:val="en-US"/>
        </w:rPr>
        <w:t>, is part of a volcanic ridge with a NW-SE general direction, and the top is about 1000 m de</w:t>
      </w:r>
      <w:r>
        <w:rPr>
          <w:sz w:val="22"/>
          <w:szCs w:val="22"/>
          <w:lang w:val="en-US"/>
        </w:rPr>
        <w:t>e</w:t>
      </w:r>
      <w:r w:rsidRPr="009978E3">
        <w:rPr>
          <w:sz w:val="22"/>
          <w:szCs w:val="22"/>
          <w:lang w:val="en-US"/>
        </w:rPr>
        <w:t xml:space="preserve">p. The flanks of this structure are asymmetrical and reach the flattened seabed at 4500 m deep (North) and about 3000 m deep in the South (Druel, 2011; </w:t>
      </w:r>
      <w:r w:rsidRPr="009978E3">
        <w:rPr>
          <w:rFonts w:eastAsia="Calibri"/>
          <w:sz w:val="22"/>
          <w:szCs w:val="22"/>
          <w:lang w:val="en-US"/>
        </w:rPr>
        <w:t xml:space="preserve">O'Leary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2012)</w:t>
      </w:r>
      <w:r w:rsidRPr="009978E3">
        <w:rPr>
          <w:sz w:val="22"/>
          <w:szCs w:val="22"/>
          <w:lang w:val="en-US"/>
        </w:rPr>
        <w:t>.</w:t>
      </w:r>
      <w:r w:rsidRPr="009978E3">
        <w:rPr>
          <w:sz w:val="22"/>
          <w:szCs w:val="22"/>
        </w:rPr>
        <w:t xml:space="preserve"> </w:t>
      </w:r>
      <w:r w:rsidRPr="009978E3">
        <w:rPr>
          <w:sz w:val="22"/>
          <w:szCs w:val="22"/>
          <w:lang w:val="en-US"/>
        </w:rPr>
        <w:t xml:space="preserve">Few studies have been </w:t>
      </w:r>
      <w:r>
        <w:rPr>
          <w:sz w:val="22"/>
          <w:szCs w:val="22"/>
          <w:lang w:val="en-US"/>
        </w:rPr>
        <w:t>conducted</w:t>
      </w:r>
      <w:r w:rsidRPr="009978E3">
        <w:rPr>
          <w:sz w:val="22"/>
          <w:szCs w:val="22"/>
          <w:lang w:val="en-US"/>
        </w:rPr>
        <w:t xml:space="preserve"> on this seamount. However, its geology reveals a rugged relief bottom with steep slopes of rocky nature (Muñoz </w:t>
      </w:r>
      <w:r w:rsidRPr="0006066A">
        <w:rPr>
          <w:i/>
          <w:sz w:val="22"/>
          <w:szCs w:val="22"/>
          <w:lang w:val="en-US"/>
        </w:rPr>
        <w:t>et al</w:t>
      </w:r>
      <w:r w:rsidRPr="009978E3">
        <w:rPr>
          <w:i/>
          <w:sz w:val="22"/>
          <w:szCs w:val="22"/>
          <w:lang w:val="en-US"/>
        </w:rPr>
        <w:t xml:space="preserve">., </w:t>
      </w:r>
      <w:r w:rsidRPr="009978E3">
        <w:rPr>
          <w:sz w:val="22"/>
          <w:szCs w:val="22"/>
          <w:lang w:val="en-US"/>
        </w:rPr>
        <w:t>2000).</w:t>
      </w:r>
    </w:p>
    <w:p w14:paraId="591AB9EA"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most studied structure in this area is the Sedlo seamount. The seamount is </w:t>
      </w:r>
      <w:r w:rsidRPr="009978E3">
        <w:rPr>
          <w:sz w:val="22"/>
          <w:szCs w:val="22"/>
          <w:lang w:val="en-US"/>
        </w:rPr>
        <w:t>located at the North of the Azores. Sedlo</w:t>
      </w:r>
      <w:r>
        <w:rPr>
          <w:sz w:val="22"/>
          <w:szCs w:val="22"/>
          <w:lang w:val="en-US"/>
        </w:rPr>
        <w:t>’s</w:t>
      </w:r>
      <w:r w:rsidRPr="009978E3">
        <w:rPr>
          <w:sz w:val="22"/>
          <w:szCs w:val="22"/>
          <w:lang w:val="en-US"/>
        </w:rPr>
        <w:t xml:space="preserve"> odd bathymetry can be described as a three-summit seamount, with the summit peaks becoming shallower towards the southeast (Machín </w:t>
      </w:r>
      <w:r w:rsidRPr="0006066A">
        <w:rPr>
          <w:i/>
          <w:sz w:val="22"/>
          <w:szCs w:val="22"/>
          <w:lang w:val="en-US"/>
        </w:rPr>
        <w:t>et al</w:t>
      </w:r>
      <w:r w:rsidRPr="009978E3">
        <w:rPr>
          <w:i/>
          <w:sz w:val="22"/>
          <w:szCs w:val="22"/>
          <w:lang w:val="en-US"/>
        </w:rPr>
        <w:t xml:space="preserve">., </w:t>
      </w:r>
      <w:r w:rsidRPr="009978E3">
        <w:rPr>
          <w:sz w:val="22"/>
          <w:szCs w:val="22"/>
          <w:lang w:val="en-US"/>
        </w:rPr>
        <w:t>2009). It would therefore be classified as an intermediate depth seamount, i.e. one whose summit depth is significantly below the euphotic zone</w:t>
      </w:r>
      <w:r>
        <w:rPr>
          <w:sz w:val="22"/>
          <w:szCs w:val="22"/>
          <w:lang w:val="en-US"/>
        </w:rPr>
        <w:t xml:space="preserve"> </w:t>
      </w:r>
      <w:r w:rsidRPr="009978E3">
        <w:rPr>
          <w:sz w:val="22"/>
          <w:szCs w:val="22"/>
          <w:lang w:val="en-US"/>
        </w:rPr>
        <w:t>but reach</w:t>
      </w:r>
      <w:r>
        <w:rPr>
          <w:sz w:val="22"/>
          <w:szCs w:val="22"/>
          <w:lang w:val="en-US"/>
        </w:rPr>
        <w:t>es</w:t>
      </w:r>
      <w:r w:rsidRPr="009978E3">
        <w:rPr>
          <w:sz w:val="22"/>
          <w:szCs w:val="22"/>
          <w:lang w:val="en-US"/>
        </w:rPr>
        <w:t xml:space="preserve"> the permanent thermocline (Mohn </w:t>
      </w:r>
      <w:r w:rsidRPr="0006066A">
        <w:rPr>
          <w:i/>
          <w:sz w:val="22"/>
          <w:szCs w:val="22"/>
          <w:lang w:val="en-US"/>
        </w:rPr>
        <w:t>et al</w:t>
      </w:r>
      <w:r w:rsidRPr="009978E3">
        <w:rPr>
          <w:i/>
          <w:sz w:val="22"/>
          <w:szCs w:val="22"/>
          <w:lang w:val="en-US"/>
        </w:rPr>
        <w:t xml:space="preserve">., </w:t>
      </w:r>
      <w:r w:rsidRPr="009978E3">
        <w:rPr>
          <w:sz w:val="22"/>
          <w:szCs w:val="22"/>
          <w:lang w:val="en-US"/>
        </w:rPr>
        <w:t xml:space="preserve">2009; Santos </w:t>
      </w:r>
      <w:r w:rsidRPr="0006066A">
        <w:rPr>
          <w:i/>
          <w:sz w:val="22"/>
          <w:szCs w:val="22"/>
          <w:lang w:val="en-US"/>
        </w:rPr>
        <w:t>et al</w:t>
      </w:r>
      <w:r w:rsidRPr="009978E3">
        <w:rPr>
          <w:i/>
          <w:sz w:val="22"/>
          <w:szCs w:val="22"/>
          <w:lang w:val="en-US"/>
        </w:rPr>
        <w:t xml:space="preserve">., </w:t>
      </w:r>
      <w:r w:rsidRPr="009978E3">
        <w:rPr>
          <w:sz w:val="22"/>
          <w:szCs w:val="22"/>
          <w:lang w:val="en-US"/>
        </w:rPr>
        <w:t xml:space="preserve">2009). The shallowest part of summit has a depth of ~660 m. The seamount is elongated, multi-peaked, orientated NW–SE, close to the end of a spur. The basin descends to 5000-6000 m and is bounded by the MAR to the west and the European and African </w:t>
      </w:r>
      <w:r w:rsidRPr="002E4B39">
        <w:rPr>
          <w:rFonts w:eastAsia="MS Mincho"/>
          <w:sz w:val="22"/>
          <w:szCs w:val="22"/>
          <w:lang w:val="en-US"/>
        </w:rPr>
        <w:t>continents</w:t>
      </w:r>
      <w:r w:rsidRPr="009978E3">
        <w:rPr>
          <w:sz w:val="22"/>
          <w:szCs w:val="22"/>
          <w:lang w:val="en-US"/>
        </w:rPr>
        <w:t xml:space="preserve"> to the east (</w:t>
      </w:r>
      <w:r w:rsidRPr="009978E3">
        <w:rPr>
          <w:rFonts w:eastAsia="Calibri"/>
          <w:sz w:val="22"/>
          <w:szCs w:val="22"/>
          <w:lang w:val="en-US"/>
        </w:rPr>
        <w:t>Arístegui</w:t>
      </w:r>
      <w:r w:rsidRPr="009978E3">
        <w:rPr>
          <w:sz w:val="22"/>
          <w:szCs w:val="22"/>
          <w:lang w:val="en-US"/>
        </w:rPr>
        <w:t xml:space="preserve"> </w:t>
      </w:r>
      <w:r w:rsidRPr="0006066A">
        <w:rPr>
          <w:i/>
          <w:sz w:val="22"/>
          <w:szCs w:val="22"/>
          <w:lang w:val="en-US"/>
        </w:rPr>
        <w:t>et al</w:t>
      </w:r>
      <w:r w:rsidRPr="009978E3">
        <w:rPr>
          <w:i/>
          <w:sz w:val="22"/>
          <w:szCs w:val="22"/>
          <w:lang w:val="en-US"/>
        </w:rPr>
        <w:t xml:space="preserve">., </w:t>
      </w:r>
      <w:r w:rsidRPr="009978E3">
        <w:rPr>
          <w:sz w:val="22"/>
          <w:szCs w:val="22"/>
          <w:lang w:val="en-US"/>
        </w:rPr>
        <w:t xml:space="preserve">2009; Mohn </w:t>
      </w:r>
      <w:r w:rsidRPr="0006066A">
        <w:rPr>
          <w:i/>
          <w:sz w:val="22"/>
          <w:szCs w:val="22"/>
          <w:lang w:val="en-US"/>
        </w:rPr>
        <w:t>et al</w:t>
      </w:r>
      <w:r w:rsidRPr="009978E3">
        <w:rPr>
          <w:i/>
          <w:sz w:val="22"/>
          <w:szCs w:val="22"/>
          <w:lang w:val="en-US"/>
        </w:rPr>
        <w:t xml:space="preserve">., </w:t>
      </w:r>
      <w:r w:rsidRPr="009978E3">
        <w:rPr>
          <w:sz w:val="22"/>
          <w:szCs w:val="22"/>
          <w:lang w:val="en-US"/>
        </w:rPr>
        <w:t xml:space="preserve">2009; Santos </w:t>
      </w:r>
      <w:r w:rsidRPr="0006066A">
        <w:rPr>
          <w:i/>
          <w:sz w:val="22"/>
          <w:szCs w:val="22"/>
          <w:lang w:val="en-US"/>
        </w:rPr>
        <w:t>et al</w:t>
      </w:r>
      <w:r w:rsidRPr="009978E3">
        <w:rPr>
          <w:i/>
          <w:sz w:val="22"/>
          <w:szCs w:val="22"/>
          <w:lang w:val="en-US"/>
        </w:rPr>
        <w:t xml:space="preserve">., </w:t>
      </w:r>
      <w:r w:rsidRPr="009978E3">
        <w:rPr>
          <w:sz w:val="22"/>
          <w:szCs w:val="22"/>
          <w:lang w:val="en-US"/>
        </w:rPr>
        <w:t xml:space="preserve">2009; Morato </w:t>
      </w:r>
      <w:r w:rsidRPr="0006066A">
        <w:rPr>
          <w:i/>
          <w:sz w:val="22"/>
          <w:szCs w:val="22"/>
          <w:lang w:val="en-US"/>
        </w:rPr>
        <w:t>et al</w:t>
      </w:r>
      <w:r w:rsidRPr="009978E3">
        <w:rPr>
          <w:i/>
          <w:sz w:val="22"/>
          <w:szCs w:val="22"/>
          <w:lang w:val="en-US"/>
        </w:rPr>
        <w:t xml:space="preserve">., </w:t>
      </w:r>
      <w:r w:rsidRPr="009978E3">
        <w:rPr>
          <w:sz w:val="22"/>
          <w:szCs w:val="22"/>
          <w:lang w:val="en-US"/>
        </w:rPr>
        <w:t>2012).</w:t>
      </w:r>
      <w:r w:rsidRPr="009978E3">
        <w:rPr>
          <w:rFonts w:eastAsia="MS Mincho"/>
          <w:sz w:val="22"/>
          <w:szCs w:val="22"/>
          <w:lang w:val="en-US"/>
        </w:rPr>
        <w:t xml:space="preserve"> </w:t>
      </w:r>
    </w:p>
    <w:p w14:paraId="5373B06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The Sedlo structure is located within the North Atlantic sub-tropical gyre. The seamount is influenced by eastern and western Atlantic central waters, and west of the Iberian Peninsula, in the path of the Mediterranean outflow. At mid-latitudes, most of the upper ocean consists of subducted water that recirculates along the upper thermocline (Harvey and Arhan, 1988; Rios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1992; Pollard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1996,</w:t>
      </w:r>
      <w:r w:rsidRPr="009978E3">
        <w:rPr>
          <w:rFonts w:eastAsia="Calibri"/>
          <w:sz w:val="22"/>
          <w:szCs w:val="22"/>
          <w:lang w:val="en-US"/>
        </w:rPr>
        <w:t xml:space="preserve"> Machín</w:t>
      </w:r>
      <w:r w:rsidRPr="009978E3">
        <w:rPr>
          <w:rFonts w:eastAsia="MS Mincho"/>
          <w:sz w:val="22"/>
          <w:szCs w:val="22"/>
          <w:lang w:val="en-US"/>
        </w:rPr>
        <w:t xml:space="preserve">, 2009). In the western North Atlantic the upper-thermocline layers are influenced by relatively fresh waters of southern origin reaching the western boundary through the equatorial region. These waters are transported north by the Gulf Stream, and later northeast via the North Atlantic Current and east via the Azores Current, as they rise towards the sea surface with the out-cropping </w:t>
      </w:r>
      <w:bookmarkStart w:id="34" w:name="_Hlk23330934"/>
      <w:r w:rsidRPr="009978E3">
        <w:rPr>
          <w:rFonts w:eastAsia="MS Mincho"/>
          <w:sz w:val="22"/>
          <w:szCs w:val="22"/>
          <w:lang w:val="en-US"/>
        </w:rPr>
        <w:t>isopycnals</w:t>
      </w:r>
      <w:bookmarkEnd w:id="34"/>
      <w:r w:rsidRPr="009978E3">
        <w:rPr>
          <w:rFonts w:eastAsia="MS Mincho"/>
          <w:sz w:val="22"/>
          <w:szCs w:val="22"/>
          <w:lang w:val="en-US"/>
        </w:rPr>
        <w:t xml:space="preserve"> (McCartney, 1992; Weaver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1999; Brix &amp; Gerdes, 2003). They constitute the Western North Atlantic Central Water (WNAW) and, west of the MAR, occupy the whole permanent thermocline. In the eastern North Atlantic the winter mixed layer gets quite deep, up to some 500 m, so that high-salinity surface waters reach the upper thermocline and give rise to the Eastern North Atlantic Central Water (ENAW) (</w:t>
      </w:r>
      <w:r w:rsidRPr="009978E3">
        <w:rPr>
          <w:sz w:val="22"/>
          <w:szCs w:val="22"/>
          <w:lang w:val="en-US"/>
        </w:rPr>
        <w:t xml:space="preserve">de Boyer Montégut </w:t>
      </w:r>
      <w:r w:rsidRPr="0006066A">
        <w:rPr>
          <w:i/>
          <w:sz w:val="22"/>
          <w:szCs w:val="22"/>
          <w:lang w:val="en-US"/>
        </w:rPr>
        <w:t>et al</w:t>
      </w:r>
      <w:r w:rsidRPr="009978E3">
        <w:rPr>
          <w:i/>
          <w:sz w:val="22"/>
          <w:szCs w:val="22"/>
          <w:lang w:val="en-US"/>
        </w:rPr>
        <w:t>.</w:t>
      </w:r>
      <w:r w:rsidRPr="009978E3">
        <w:rPr>
          <w:sz w:val="22"/>
          <w:szCs w:val="22"/>
          <w:lang w:val="en-US"/>
        </w:rPr>
        <w:t>, 2007)</w:t>
      </w:r>
      <w:r w:rsidRPr="009978E3">
        <w:rPr>
          <w:rFonts w:eastAsia="MS Mincho"/>
          <w:sz w:val="22"/>
          <w:szCs w:val="22"/>
          <w:lang w:val="en-US"/>
        </w:rPr>
        <w:t xml:space="preserve">. ENAW has been further divided between those of subpolar and subtropical origin by Rios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(1992), according to their latitude of formation and their posterior propagation (</w:t>
      </w:r>
      <w:r w:rsidRPr="009978E3">
        <w:rPr>
          <w:rFonts w:eastAsia="Calibri"/>
          <w:sz w:val="22"/>
          <w:szCs w:val="22"/>
          <w:lang w:val="en-US"/>
        </w:rPr>
        <w:t xml:space="preserve">Machín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2009)</w:t>
      </w:r>
      <w:r w:rsidRPr="009978E3">
        <w:rPr>
          <w:rFonts w:eastAsia="MS Mincho"/>
          <w:sz w:val="22"/>
          <w:szCs w:val="22"/>
          <w:lang w:val="en-US"/>
        </w:rPr>
        <w:t>.</w:t>
      </w:r>
    </w:p>
    <w:p w14:paraId="427D0351" w14:textId="77777777" w:rsidR="006B3F46" w:rsidRPr="009978E3" w:rsidRDefault="006B3F46" w:rsidP="002E4B39">
      <w:pPr>
        <w:suppressLineNumbers/>
        <w:spacing w:after="120"/>
        <w:jc w:val="both"/>
        <w:rPr>
          <w:sz w:val="22"/>
          <w:szCs w:val="22"/>
          <w:lang w:val="en-US" w:eastAsia="pt-PT"/>
        </w:rPr>
      </w:pPr>
      <w:r w:rsidRPr="009978E3">
        <w:rPr>
          <w:sz w:val="22"/>
          <w:szCs w:val="22"/>
          <w:lang w:val="en-US" w:eastAsia="pt-PT"/>
        </w:rPr>
        <w:t xml:space="preserve">In terms of biology, some of the structures have been relatively well studied (see </w:t>
      </w:r>
      <w:r>
        <w:rPr>
          <w:sz w:val="22"/>
          <w:szCs w:val="22"/>
          <w:lang w:val="en-US" w:eastAsia="pt-PT"/>
        </w:rPr>
        <w:t>T</w:t>
      </w:r>
      <w:r w:rsidRPr="009978E3">
        <w:rPr>
          <w:sz w:val="22"/>
          <w:szCs w:val="22"/>
          <w:lang w:val="en-US" w:eastAsia="pt-PT"/>
        </w:rPr>
        <w:t>able 1). A total of 536 species have been observed in the area (see</w:t>
      </w:r>
      <w:r w:rsidRPr="009978E3">
        <w:rPr>
          <w:sz w:val="22"/>
          <w:szCs w:val="22"/>
        </w:rPr>
        <w:t xml:space="preserve"> </w:t>
      </w:r>
      <w:r w:rsidRPr="009978E3">
        <w:rPr>
          <w:sz w:val="22"/>
          <w:szCs w:val="22"/>
          <w:lang w:val="en-US" w:eastAsia="pt-PT"/>
        </w:rPr>
        <w:t xml:space="preserve">feature description of the area). </w:t>
      </w:r>
    </w:p>
    <w:p w14:paraId="67A0E925" w14:textId="77777777" w:rsidR="006B3F46" w:rsidRPr="009978E3" w:rsidRDefault="006B3F46" w:rsidP="002E4B39">
      <w:pPr>
        <w:suppressLineNumbers/>
        <w:spacing w:after="120"/>
        <w:jc w:val="both"/>
        <w:rPr>
          <w:rFonts w:eastAsia="MS Mincho"/>
          <w:sz w:val="22"/>
          <w:szCs w:val="22"/>
          <w:lang w:val="en-US"/>
        </w:rPr>
      </w:pPr>
      <w:r w:rsidRPr="009978E3">
        <w:rPr>
          <w:sz w:val="22"/>
          <w:szCs w:val="22"/>
          <w:lang w:val="en-US" w:eastAsia="pt-PT"/>
        </w:rPr>
        <w:t xml:space="preserve">The area </w:t>
      </w:r>
      <w:r w:rsidRPr="002E4B39">
        <w:rPr>
          <w:rFonts w:eastAsia="MS Mincho"/>
          <w:sz w:val="22"/>
          <w:szCs w:val="22"/>
          <w:lang w:val="en-US"/>
        </w:rPr>
        <w:t>includes</w:t>
      </w:r>
      <w:r w:rsidRPr="009978E3">
        <w:rPr>
          <w:sz w:val="22"/>
          <w:szCs w:val="22"/>
          <w:lang w:val="en-US" w:eastAsia="pt-PT"/>
        </w:rPr>
        <w:t xml:space="preserve"> threatened and/or declining ecosystems, for example aggregations of deep-sea sponges, coral gardens and </w:t>
      </w:r>
      <w:r w:rsidRPr="009978E3">
        <w:rPr>
          <w:i/>
          <w:sz w:val="22"/>
          <w:szCs w:val="22"/>
          <w:lang w:val="en-US" w:eastAsia="pt-PT"/>
        </w:rPr>
        <w:t>Lophelia pertusa</w:t>
      </w:r>
      <w:r w:rsidRPr="009978E3">
        <w:rPr>
          <w:sz w:val="22"/>
          <w:szCs w:val="22"/>
          <w:lang w:val="en-US" w:eastAsia="pt-PT"/>
        </w:rPr>
        <w:t xml:space="preserve"> reefs (OSPAR, 2010). </w:t>
      </w:r>
      <w:r w:rsidRPr="009978E3">
        <w:rPr>
          <w:sz w:val="22"/>
          <w:szCs w:val="22"/>
          <w:lang w:val="en-US"/>
        </w:rPr>
        <w:t>In the Altair seamount t</w:t>
      </w:r>
      <w:r w:rsidRPr="009978E3">
        <w:rPr>
          <w:rFonts w:eastAsia="MS Mincho"/>
          <w:sz w:val="22"/>
          <w:szCs w:val="22"/>
          <w:lang w:val="en-US"/>
        </w:rPr>
        <w:t>he benthic epifaunal community is dominated in most places by sessile megabenthos, chiefly anemones and true corals (Hexacorallia) and sponges. The diversity of corals and sponges is particularly high in the saddle and gully (</w:t>
      </w:r>
      <w:r w:rsidRPr="009978E3">
        <w:rPr>
          <w:rFonts w:eastAsia="Calibri"/>
          <w:sz w:val="22"/>
          <w:szCs w:val="22"/>
          <w:lang w:val="en-US"/>
        </w:rPr>
        <w:t xml:space="preserve">Henry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2014)</w:t>
      </w:r>
      <w:r w:rsidRPr="009978E3">
        <w:rPr>
          <w:rFonts w:eastAsia="MS Mincho"/>
          <w:sz w:val="22"/>
          <w:szCs w:val="22"/>
          <w:lang w:val="en-US"/>
        </w:rPr>
        <w:t>. Between the two eastern peaks of Sedlo, dense aggregations of soft corals are present, sea whips (gorgonians) are especially abundant on the southwest side of the seamount, and brittle stars (Ophiuroids) are also present. The base of the seamount is almost exclusively covered with fine sediments like the surrounding abyssal plains. These sediment habitats are very low in epifaunal abundance when compared to other sites on the seamount (</w:t>
      </w:r>
      <w:r>
        <w:rPr>
          <w:rFonts w:eastAsia="MS Mincho"/>
          <w:sz w:val="22"/>
          <w:szCs w:val="22"/>
          <w:lang w:val="en-US"/>
        </w:rPr>
        <w:t>e.g.,</w:t>
      </w:r>
      <w:r w:rsidRPr="009978E3">
        <w:rPr>
          <w:rFonts w:eastAsia="MS Mincho"/>
          <w:sz w:val="22"/>
          <w:szCs w:val="22"/>
          <w:lang w:val="en-US"/>
        </w:rPr>
        <w:t xml:space="preserve"> Christiansen &amp; Wolff, 2009; Menezes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2012; </w:t>
      </w:r>
      <w:r w:rsidRPr="009978E3">
        <w:rPr>
          <w:rFonts w:eastAsia="Calibri"/>
          <w:sz w:val="22"/>
          <w:szCs w:val="22"/>
          <w:lang w:val="en-US"/>
        </w:rPr>
        <w:t xml:space="preserve">Henry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2014)</w:t>
      </w:r>
      <w:r w:rsidRPr="009978E3">
        <w:rPr>
          <w:rFonts w:eastAsia="MS Mincho"/>
          <w:sz w:val="22"/>
          <w:szCs w:val="22"/>
          <w:lang w:val="en-US"/>
        </w:rPr>
        <w:t>.</w:t>
      </w:r>
    </w:p>
    <w:p w14:paraId="30368EC1"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Hareide &amp; Garnes (2001) studied the summit fishes of seamounts along the MAR and they found that the dominant deep-water fish species changed with latitude. Sub-tropical species such as </w:t>
      </w:r>
      <w:r>
        <w:rPr>
          <w:rFonts w:eastAsia="MS Mincho"/>
          <w:sz w:val="22"/>
          <w:szCs w:val="22"/>
          <w:lang w:val="en-US"/>
        </w:rPr>
        <w:t>g</w:t>
      </w:r>
      <w:r w:rsidRPr="009978E3">
        <w:rPr>
          <w:rFonts w:eastAsia="MS Mincho"/>
          <w:sz w:val="22"/>
          <w:szCs w:val="22"/>
          <w:lang w:val="en-US"/>
        </w:rPr>
        <w:t>olden-eye perch (</w:t>
      </w:r>
      <w:r w:rsidRPr="009978E3">
        <w:rPr>
          <w:rFonts w:eastAsia="MS Mincho"/>
          <w:i/>
          <w:sz w:val="22"/>
          <w:szCs w:val="22"/>
          <w:lang w:val="en-US"/>
        </w:rPr>
        <w:t>Beryx splendens</w:t>
      </w:r>
      <w:r w:rsidRPr="009978E3">
        <w:rPr>
          <w:rFonts w:eastAsia="MS Mincho"/>
          <w:sz w:val="22"/>
          <w:szCs w:val="22"/>
          <w:lang w:val="en-US"/>
        </w:rPr>
        <w:t xml:space="preserve">) and </w:t>
      </w:r>
      <w:r>
        <w:rPr>
          <w:rFonts w:eastAsia="MS Mincho"/>
          <w:sz w:val="22"/>
          <w:szCs w:val="22"/>
          <w:lang w:val="en-US"/>
        </w:rPr>
        <w:t>c</w:t>
      </w:r>
      <w:r w:rsidRPr="009978E3">
        <w:rPr>
          <w:rFonts w:eastAsia="MS Mincho"/>
          <w:sz w:val="22"/>
          <w:szCs w:val="22"/>
          <w:lang w:val="en-US"/>
        </w:rPr>
        <w:t>ardinal fish (</w:t>
      </w:r>
      <w:r w:rsidRPr="009978E3">
        <w:rPr>
          <w:rFonts w:eastAsia="MS Mincho"/>
          <w:i/>
          <w:sz w:val="22"/>
          <w:szCs w:val="22"/>
          <w:lang w:val="en-US"/>
        </w:rPr>
        <w:t>Epigonus telescopus</w:t>
      </w:r>
      <w:r w:rsidRPr="009978E3">
        <w:rPr>
          <w:rFonts w:eastAsia="MS Mincho"/>
          <w:sz w:val="22"/>
          <w:szCs w:val="22"/>
          <w:lang w:val="en-US"/>
        </w:rPr>
        <w:t xml:space="preserve">) dominated the seamount summits. </w:t>
      </w:r>
    </w:p>
    <w:p w14:paraId="380F579B"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seamounts in this area support epipelagic fishes</w:t>
      </w:r>
      <w:r>
        <w:rPr>
          <w:rFonts w:eastAsia="MS Mincho"/>
          <w:sz w:val="22"/>
          <w:szCs w:val="22"/>
          <w:lang w:val="en-US"/>
        </w:rPr>
        <w:t xml:space="preserve">, </w:t>
      </w:r>
      <w:r w:rsidRPr="009978E3">
        <w:rPr>
          <w:rFonts w:eastAsia="MS Mincho"/>
          <w:sz w:val="22"/>
          <w:szCs w:val="22"/>
          <w:lang w:val="en-US"/>
        </w:rPr>
        <w:t>which in turn support migratory species such as tuna (</w:t>
      </w:r>
      <w:r w:rsidRPr="009978E3">
        <w:rPr>
          <w:rFonts w:eastAsia="MS Mincho"/>
          <w:i/>
          <w:sz w:val="22"/>
          <w:szCs w:val="22"/>
          <w:lang w:val="en-US"/>
        </w:rPr>
        <w:t>Thunnus thynnus</w:t>
      </w:r>
      <w:r w:rsidRPr="009978E3">
        <w:rPr>
          <w:rFonts w:eastAsia="MS Mincho"/>
          <w:sz w:val="22"/>
          <w:szCs w:val="22"/>
          <w:lang w:val="en-US"/>
        </w:rPr>
        <w:t xml:space="preserve"> and </w:t>
      </w:r>
      <w:r w:rsidRPr="009978E3">
        <w:rPr>
          <w:rFonts w:eastAsia="MS Mincho"/>
          <w:i/>
          <w:sz w:val="22"/>
          <w:szCs w:val="22"/>
          <w:lang w:val="en-US"/>
        </w:rPr>
        <w:t>Thunnus albacares</w:t>
      </w:r>
      <w:r w:rsidRPr="009978E3">
        <w:rPr>
          <w:rFonts w:eastAsia="MS Mincho"/>
          <w:sz w:val="22"/>
          <w:szCs w:val="22"/>
          <w:lang w:val="en-US"/>
        </w:rPr>
        <w:t xml:space="preserve">). It provides habitats that are associated with epipelagic fish species spawning and recruitment (species belonging to the Serranidae, and Carangidae families), as well as benthopelagic species and respective communities, including fish species captured for commercial purposes, such as </w:t>
      </w:r>
      <w:r>
        <w:rPr>
          <w:rFonts w:eastAsia="MS Mincho"/>
          <w:sz w:val="22"/>
          <w:szCs w:val="22"/>
          <w:lang w:val="en-US"/>
        </w:rPr>
        <w:t>o</w:t>
      </w:r>
      <w:r w:rsidRPr="009978E3">
        <w:rPr>
          <w:rFonts w:eastAsia="MS Mincho"/>
          <w:sz w:val="22"/>
          <w:szCs w:val="22"/>
          <w:lang w:val="en-US"/>
        </w:rPr>
        <w:t>range roughy (Morato &amp; Clark, 2007; OSPAR, 2010). Among these habitats are some endangered and/or declining species, such as whales (</w:t>
      </w:r>
      <w:r w:rsidRPr="009978E3">
        <w:rPr>
          <w:rFonts w:eastAsia="MS Mincho"/>
          <w:i/>
          <w:sz w:val="22"/>
          <w:szCs w:val="22"/>
          <w:lang w:val="en-US"/>
        </w:rPr>
        <w:t>Balaenoptera musculus</w:t>
      </w:r>
      <w:r w:rsidRPr="009978E3">
        <w:rPr>
          <w:rFonts w:eastAsia="MS Mincho"/>
          <w:sz w:val="22"/>
          <w:szCs w:val="22"/>
          <w:lang w:val="en-US"/>
        </w:rPr>
        <w:t>), turtles (</w:t>
      </w:r>
      <w:r w:rsidRPr="009978E3">
        <w:rPr>
          <w:rFonts w:eastAsia="MS Mincho"/>
          <w:i/>
          <w:sz w:val="22"/>
          <w:szCs w:val="22"/>
          <w:lang w:val="en-US"/>
        </w:rPr>
        <w:t>Dermochelys coriacea</w:t>
      </w:r>
      <w:r w:rsidRPr="009978E3">
        <w:rPr>
          <w:rFonts w:eastAsia="MS Mincho"/>
          <w:sz w:val="22"/>
          <w:szCs w:val="22"/>
          <w:lang w:val="en-US"/>
        </w:rPr>
        <w:t xml:space="preserve"> and </w:t>
      </w:r>
      <w:r w:rsidRPr="009978E3">
        <w:rPr>
          <w:rFonts w:eastAsia="MS Mincho"/>
          <w:i/>
          <w:sz w:val="22"/>
          <w:szCs w:val="22"/>
          <w:lang w:val="en-US"/>
        </w:rPr>
        <w:t>Caretta caretta</w:t>
      </w:r>
      <w:r w:rsidRPr="009978E3">
        <w:rPr>
          <w:rFonts w:eastAsia="MS Mincho"/>
          <w:sz w:val="22"/>
          <w:szCs w:val="22"/>
          <w:lang w:val="en-US"/>
        </w:rPr>
        <w:t>) (protected under the Habitats Directive, the Bern Convention, Bonn Convention, CITES and OSPAR Convention), and elasmobranchs (</w:t>
      </w:r>
      <w:r w:rsidRPr="009978E3">
        <w:rPr>
          <w:rFonts w:eastAsia="MS Mincho"/>
          <w:i/>
          <w:sz w:val="22"/>
          <w:szCs w:val="22"/>
          <w:lang w:val="en-US"/>
        </w:rPr>
        <w:t>Centroscymnus coelolepis</w:t>
      </w:r>
      <w:r w:rsidRPr="009978E3">
        <w:rPr>
          <w:rFonts w:eastAsia="MS Mincho"/>
          <w:sz w:val="22"/>
          <w:szCs w:val="22"/>
          <w:lang w:val="en-US"/>
        </w:rPr>
        <w:t xml:space="preserve">, </w:t>
      </w:r>
      <w:r w:rsidRPr="009978E3">
        <w:rPr>
          <w:rFonts w:eastAsia="MS Mincho"/>
          <w:i/>
          <w:sz w:val="22"/>
          <w:szCs w:val="22"/>
          <w:lang w:val="en-US"/>
        </w:rPr>
        <w:t>Centrophorus granulosus</w:t>
      </w:r>
      <w:r w:rsidRPr="009978E3">
        <w:rPr>
          <w:rFonts w:eastAsia="MS Mincho"/>
          <w:sz w:val="22"/>
          <w:szCs w:val="22"/>
          <w:lang w:val="en-US"/>
        </w:rPr>
        <w:t xml:space="preserve"> and </w:t>
      </w:r>
      <w:r w:rsidRPr="009978E3">
        <w:rPr>
          <w:rFonts w:eastAsia="MS Mincho"/>
          <w:i/>
          <w:sz w:val="22"/>
          <w:szCs w:val="22"/>
          <w:lang w:val="en-US"/>
        </w:rPr>
        <w:t>Centrophorus squamosus</w:t>
      </w:r>
      <w:r w:rsidRPr="009978E3">
        <w:rPr>
          <w:rFonts w:eastAsia="MS Mincho"/>
          <w:sz w:val="22"/>
          <w:szCs w:val="22"/>
          <w:lang w:val="en-US"/>
        </w:rPr>
        <w:t>)</w:t>
      </w:r>
      <w:r w:rsidRPr="009978E3">
        <w:rPr>
          <w:rFonts w:eastAsia="MS Mincho"/>
          <w:i/>
          <w:sz w:val="22"/>
          <w:szCs w:val="22"/>
          <w:lang w:val="en-US"/>
        </w:rPr>
        <w:t xml:space="preserve"> </w:t>
      </w:r>
      <w:r w:rsidRPr="009978E3">
        <w:rPr>
          <w:rFonts w:eastAsia="MS Mincho"/>
          <w:sz w:val="22"/>
          <w:szCs w:val="22"/>
          <w:lang w:val="en-US"/>
        </w:rPr>
        <w:t xml:space="preserve">(protected under the OSPAR Convention) (Morato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2008; Santos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 xml:space="preserve">2008). </w:t>
      </w:r>
    </w:p>
    <w:p w14:paraId="13DEE5CC"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Studies that demonstrated the ecological and biological importance of the seamounts </w:t>
      </w:r>
      <w:r>
        <w:rPr>
          <w:rFonts w:eastAsia="MS Mincho"/>
          <w:sz w:val="22"/>
          <w:szCs w:val="22"/>
          <w:lang w:val="en-US"/>
        </w:rPr>
        <w:t>have been conducted</w:t>
      </w:r>
      <w:r w:rsidRPr="009978E3">
        <w:rPr>
          <w:rFonts w:eastAsia="MS Mincho"/>
          <w:sz w:val="22"/>
          <w:szCs w:val="22"/>
          <w:lang w:val="en-US"/>
        </w:rPr>
        <w:t xml:space="preserve"> by Santos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Turtle biotelemetry studies suggest that the turtles exhibit different movement behavio</w:t>
      </w:r>
      <w:r>
        <w:rPr>
          <w:rFonts w:eastAsia="MS Mincho"/>
          <w:sz w:val="22"/>
          <w:szCs w:val="22"/>
          <w:lang w:val="en-US"/>
        </w:rPr>
        <w:t>u</w:t>
      </w:r>
      <w:r w:rsidRPr="009978E3">
        <w:rPr>
          <w:rFonts w:eastAsia="MS Mincho"/>
          <w:sz w:val="22"/>
          <w:szCs w:val="22"/>
          <w:lang w:val="en-US"/>
        </w:rPr>
        <w:t>rs near seamounts, remaining in these places for prolonged periods. This provides further evidence that these topographic features can be hotspots for adult and juvenile loggerheads.</w:t>
      </w:r>
    </w:p>
    <w:p w14:paraId="6AECC17F"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seamounts are also an important area for birds</w:t>
      </w:r>
      <w:r>
        <w:rPr>
          <w:rFonts w:eastAsia="MS Mincho"/>
          <w:sz w:val="22"/>
          <w:szCs w:val="22"/>
          <w:lang w:val="en-US"/>
        </w:rPr>
        <w:t>;</w:t>
      </w:r>
      <w:r w:rsidRPr="009978E3">
        <w:rPr>
          <w:rFonts w:eastAsia="MS Mincho"/>
          <w:sz w:val="22"/>
          <w:szCs w:val="22"/>
          <w:lang w:val="en-US"/>
        </w:rPr>
        <w:t xml:space="preserve"> Cory’s shearwater (</w:t>
      </w:r>
      <w:r w:rsidRPr="009978E3">
        <w:rPr>
          <w:rFonts w:eastAsia="MS Mincho"/>
          <w:i/>
          <w:sz w:val="22"/>
          <w:szCs w:val="22"/>
          <w:lang w:val="en-US"/>
        </w:rPr>
        <w:t>Calonectris borealis</w:t>
      </w:r>
      <w:r w:rsidRPr="009978E3">
        <w:rPr>
          <w:rFonts w:eastAsia="MS Mincho"/>
          <w:sz w:val="22"/>
          <w:szCs w:val="22"/>
          <w:lang w:val="en-US"/>
        </w:rPr>
        <w:t xml:space="preserve">) breeds in the Azores and has been shown to forage over the region of the MAR (Magalhães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This species performs a dual-foraging strategy that combines short and long foraging trips. </w:t>
      </w:r>
      <w:r>
        <w:rPr>
          <w:rFonts w:eastAsia="MS Mincho"/>
          <w:sz w:val="22"/>
          <w:szCs w:val="22"/>
          <w:lang w:val="en-US"/>
        </w:rPr>
        <w:t>Most</w:t>
      </w:r>
      <w:r w:rsidRPr="009978E3">
        <w:rPr>
          <w:rFonts w:eastAsia="MS Mincho"/>
          <w:sz w:val="22"/>
          <w:szCs w:val="22"/>
          <w:lang w:val="en-US"/>
        </w:rPr>
        <w:t xml:space="preserve"> short trips </w:t>
      </w:r>
      <w:r>
        <w:rPr>
          <w:rFonts w:eastAsia="MS Mincho"/>
          <w:sz w:val="22"/>
          <w:szCs w:val="22"/>
          <w:lang w:val="en-US"/>
        </w:rPr>
        <w:t>have been found to be</w:t>
      </w:r>
      <w:r w:rsidRPr="009978E3">
        <w:rPr>
          <w:rFonts w:eastAsia="MS Mincho"/>
          <w:sz w:val="22"/>
          <w:szCs w:val="22"/>
          <w:lang w:val="en-US"/>
        </w:rPr>
        <w:t xml:space="preserve"> confined to the MAR just north of the Azores (within about 300 km) (Magalhães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Xavier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2011).</w:t>
      </w:r>
    </w:p>
    <w:p w14:paraId="7319BA1D"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Location</w:t>
      </w:r>
    </w:p>
    <w:p w14:paraId="3D05D6E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area is spread over a wide part of the Atlantic Ocean, north of the Azores. The area is home to multiple types of structures (i.e., hydrothermal vent field, Mid-Atlantic Ridge North of the Azores</w:t>
      </w:r>
      <w:r>
        <w:rPr>
          <w:rFonts w:eastAsia="MS Mincho"/>
          <w:sz w:val="22"/>
          <w:szCs w:val="22"/>
          <w:lang w:val="en-US"/>
        </w:rPr>
        <w:t xml:space="preserve"> </w:t>
      </w:r>
      <w:r w:rsidRPr="009978E3">
        <w:rPr>
          <w:rFonts w:eastAsia="MS Mincho"/>
          <w:sz w:val="22"/>
          <w:szCs w:val="22"/>
          <w:lang w:val="en-US"/>
        </w:rPr>
        <w:t>, seamounts)</w:t>
      </w:r>
      <w:r>
        <w:rPr>
          <w:rFonts w:eastAsia="MS Mincho"/>
          <w:sz w:val="22"/>
          <w:szCs w:val="22"/>
          <w:lang w:val="en-US"/>
        </w:rPr>
        <w:t>,</w:t>
      </w:r>
      <w:r w:rsidRPr="009978E3">
        <w:rPr>
          <w:rFonts w:eastAsia="MS Mincho"/>
          <w:sz w:val="22"/>
          <w:szCs w:val="22"/>
          <w:lang w:val="en-US"/>
        </w:rPr>
        <w:t xml:space="preserve"> which are very distinct in terms of biology and geology, and which have different compositions, locations and ages.</w:t>
      </w:r>
    </w:p>
    <w:p w14:paraId="4AEC86FC"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6F034756"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K</w:t>
      </w:r>
      <w:r w:rsidRPr="009978E3">
        <w:rPr>
          <w:rFonts w:eastAsia="MS Mincho"/>
          <w:sz w:val="22"/>
          <w:szCs w:val="22"/>
          <w:lang w:val="en-US"/>
        </w:rPr>
        <w:t>nowledge of th</w:t>
      </w:r>
      <w:r>
        <w:rPr>
          <w:rFonts w:eastAsia="MS Mincho"/>
          <w:sz w:val="22"/>
          <w:szCs w:val="22"/>
          <w:lang w:val="en-US"/>
        </w:rPr>
        <w:t>is</w:t>
      </w:r>
      <w:r w:rsidRPr="009978E3">
        <w:rPr>
          <w:rFonts w:eastAsia="MS Mincho"/>
          <w:sz w:val="22"/>
          <w:szCs w:val="22"/>
          <w:lang w:val="en-US"/>
        </w:rPr>
        <w:t xml:space="preserve"> area is based on the analysis of 110 scientific articles containing relevant information. Several of the structures are well known with a great number of geological and biological studies.</w:t>
      </w:r>
      <w:r w:rsidRPr="009978E3">
        <w:rPr>
          <w:sz w:val="22"/>
          <w:szCs w:val="22"/>
        </w:rPr>
        <w:t xml:space="preserve"> </w:t>
      </w:r>
      <w:r w:rsidRPr="009978E3">
        <w:rPr>
          <w:rFonts w:eastAsia="MS Mincho"/>
          <w:sz w:val="22"/>
          <w:szCs w:val="22"/>
          <w:lang w:val="en-US"/>
        </w:rPr>
        <w:t>The total number of 536 species reported was estimated from scattered taxonomic literature</w:t>
      </w:r>
      <w:r>
        <w:rPr>
          <w:rFonts w:eastAsia="MS Mincho"/>
          <w:sz w:val="22"/>
          <w:szCs w:val="22"/>
          <w:lang w:val="en-US"/>
        </w:rPr>
        <w:t>,</w:t>
      </w:r>
      <w:r w:rsidRPr="009978E3">
        <w:rPr>
          <w:rFonts w:eastAsia="MS Mincho"/>
          <w:sz w:val="22"/>
          <w:szCs w:val="22"/>
          <w:lang w:val="en-US"/>
        </w:rPr>
        <w:t xml:space="preserve"> and the species number is probably underestimated. </w:t>
      </w:r>
      <w:r>
        <w:rPr>
          <w:rFonts w:eastAsia="MS Mincho"/>
          <w:sz w:val="22"/>
          <w:szCs w:val="22"/>
          <w:lang w:val="en-US"/>
        </w:rPr>
        <w:t>K</w:t>
      </w:r>
      <w:r w:rsidRPr="009978E3">
        <w:rPr>
          <w:rFonts w:eastAsia="MS Mincho"/>
          <w:sz w:val="22"/>
          <w:szCs w:val="22"/>
          <w:lang w:val="en-US"/>
        </w:rPr>
        <w:t xml:space="preserve">nowledge of each structure is </w:t>
      </w:r>
      <w:r>
        <w:rPr>
          <w:rFonts w:eastAsia="MS Mincho"/>
          <w:sz w:val="22"/>
          <w:szCs w:val="22"/>
          <w:lang w:val="en-US"/>
        </w:rPr>
        <w:t>un</w:t>
      </w:r>
      <w:r w:rsidRPr="009978E3">
        <w:rPr>
          <w:rFonts w:eastAsia="MS Mincho"/>
          <w:sz w:val="22"/>
          <w:szCs w:val="22"/>
          <w:lang w:val="en-US"/>
        </w:rPr>
        <w:t xml:space="preserve">even. </w:t>
      </w:r>
    </w:p>
    <w:p w14:paraId="59157E8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Around 6</w:t>
      </w:r>
      <w:r>
        <w:rPr>
          <w:rFonts w:eastAsia="MS Mincho"/>
          <w:sz w:val="22"/>
          <w:szCs w:val="22"/>
          <w:lang w:val="en-US"/>
        </w:rPr>
        <w:t xml:space="preserve"> per cent</w:t>
      </w:r>
      <w:r w:rsidRPr="009978E3">
        <w:rPr>
          <w:rFonts w:eastAsia="MS Mincho"/>
          <w:sz w:val="22"/>
          <w:szCs w:val="22"/>
          <w:lang w:val="en-US"/>
        </w:rPr>
        <w:t xml:space="preserve"> of the 536 species identified in all seamounts </w:t>
      </w:r>
      <w:r>
        <w:rPr>
          <w:rFonts w:eastAsia="MS Mincho"/>
          <w:sz w:val="22"/>
          <w:szCs w:val="22"/>
          <w:lang w:val="en-US"/>
        </w:rPr>
        <w:t>i</w:t>
      </w:r>
      <w:r w:rsidRPr="009978E3">
        <w:rPr>
          <w:rFonts w:eastAsia="MS Mincho"/>
          <w:sz w:val="22"/>
          <w:szCs w:val="22"/>
          <w:lang w:val="en-US"/>
        </w:rPr>
        <w:t>n this area are legal</w:t>
      </w:r>
      <w:r>
        <w:rPr>
          <w:rFonts w:eastAsia="MS Mincho"/>
          <w:sz w:val="22"/>
          <w:szCs w:val="22"/>
          <w:lang w:val="en-US"/>
        </w:rPr>
        <w:t>ly</w:t>
      </w:r>
      <w:r w:rsidRPr="009978E3">
        <w:rPr>
          <w:rFonts w:eastAsia="MS Mincho"/>
          <w:sz w:val="22"/>
          <w:szCs w:val="22"/>
          <w:lang w:val="en-US"/>
        </w:rPr>
        <w:t xml:space="preserve"> protect</w:t>
      </w:r>
      <w:r>
        <w:rPr>
          <w:rFonts w:eastAsia="MS Mincho"/>
          <w:sz w:val="22"/>
          <w:szCs w:val="22"/>
          <w:lang w:val="en-US"/>
        </w:rPr>
        <w:t>ed</w:t>
      </w:r>
      <w:r w:rsidRPr="009978E3">
        <w:rPr>
          <w:rFonts w:eastAsia="MS Mincho"/>
          <w:sz w:val="22"/>
          <w:szCs w:val="22"/>
          <w:lang w:val="en-US"/>
        </w:rPr>
        <w:t xml:space="preserve"> or </w:t>
      </w:r>
      <w:r>
        <w:rPr>
          <w:rFonts w:eastAsia="MS Mincho"/>
          <w:sz w:val="22"/>
          <w:szCs w:val="22"/>
          <w:lang w:val="en-US"/>
        </w:rPr>
        <w:t xml:space="preserve">recognized as </w:t>
      </w:r>
      <w:r w:rsidRPr="009978E3">
        <w:rPr>
          <w:rFonts w:eastAsia="MS Mincho"/>
          <w:sz w:val="22"/>
          <w:szCs w:val="22"/>
          <w:lang w:val="en-US"/>
        </w:rPr>
        <w:t xml:space="preserve">threatened </w:t>
      </w:r>
      <w:r>
        <w:rPr>
          <w:rFonts w:eastAsia="MS Mincho"/>
          <w:sz w:val="22"/>
          <w:szCs w:val="22"/>
          <w:lang w:val="en-US"/>
        </w:rPr>
        <w:t>by</w:t>
      </w:r>
      <w:r w:rsidRPr="009978E3">
        <w:rPr>
          <w:rFonts w:eastAsia="MS Mincho"/>
          <w:sz w:val="22"/>
          <w:szCs w:val="22"/>
          <w:lang w:val="en-US"/>
        </w:rPr>
        <w:t xml:space="preserve"> CITES, IUCN Red List, European Union Habitats and Birds Directives, VMEs, Bern Convention </w:t>
      </w:r>
      <w:r>
        <w:rPr>
          <w:rFonts w:eastAsia="MS Mincho"/>
          <w:sz w:val="22"/>
          <w:szCs w:val="22"/>
          <w:lang w:val="en-US"/>
        </w:rPr>
        <w:t>or</w:t>
      </w:r>
      <w:r w:rsidRPr="009978E3">
        <w:rPr>
          <w:rFonts w:eastAsia="MS Mincho"/>
          <w:sz w:val="22"/>
          <w:szCs w:val="22"/>
          <w:lang w:val="en-US"/>
        </w:rPr>
        <w:t xml:space="preserve"> OSPAR Convention. In this area OSPAR identified as endangered or declining the deepwater sharks </w:t>
      </w:r>
      <w:r w:rsidRPr="009978E3">
        <w:rPr>
          <w:rFonts w:eastAsia="MS Mincho"/>
          <w:i/>
          <w:sz w:val="22"/>
          <w:szCs w:val="22"/>
          <w:lang w:val="en-US"/>
        </w:rPr>
        <w:t>Centroscymus coeleopsis</w:t>
      </w:r>
      <w:r w:rsidRPr="009978E3">
        <w:rPr>
          <w:rFonts w:eastAsia="MS Mincho"/>
          <w:sz w:val="22"/>
          <w:szCs w:val="22"/>
          <w:lang w:val="en-US"/>
        </w:rPr>
        <w:t xml:space="preserve">, </w:t>
      </w:r>
      <w:r w:rsidRPr="009978E3">
        <w:rPr>
          <w:rFonts w:eastAsia="MS Mincho"/>
          <w:i/>
          <w:sz w:val="22"/>
          <w:szCs w:val="22"/>
          <w:lang w:val="en-US"/>
        </w:rPr>
        <w:t>Centrophorus squamosus</w:t>
      </w:r>
      <w:r>
        <w:rPr>
          <w:rFonts w:eastAsia="MS Mincho"/>
          <w:i/>
          <w:sz w:val="22"/>
          <w:szCs w:val="22"/>
          <w:lang w:val="en-US"/>
        </w:rPr>
        <w:t xml:space="preserve"> </w:t>
      </w:r>
      <w:r w:rsidRPr="0021277B">
        <w:rPr>
          <w:rFonts w:eastAsia="MS Mincho"/>
          <w:sz w:val="22"/>
          <w:szCs w:val="22"/>
          <w:lang w:val="en-US"/>
        </w:rPr>
        <w:t>and</w:t>
      </w:r>
      <w:r w:rsidRPr="009978E3">
        <w:rPr>
          <w:rFonts w:eastAsia="MS Mincho"/>
          <w:i/>
          <w:sz w:val="22"/>
          <w:szCs w:val="22"/>
          <w:lang w:val="en-US"/>
        </w:rPr>
        <w:t xml:space="preserve"> Dipturus batis, </w:t>
      </w:r>
      <w:r w:rsidRPr="009978E3">
        <w:rPr>
          <w:rFonts w:eastAsia="MS Mincho"/>
          <w:sz w:val="22"/>
          <w:szCs w:val="22"/>
          <w:lang w:val="en-US"/>
        </w:rPr>
        <w:t>the commercial fish</w:t>
      </w:r>
      <w:r w:rsidRPr="009978E3">
        <w:rPr>
          <w:rFonts w:eastAsia="MS Mincho"/>
          <w:i/>
          <w:sz w:val="22"/>
          <w:szCs w:val="22"/>
          <w:lang w:val="en-US"/>
        </w:rPr>
        <w:t xml:space="preserve"> Hoplostethus atlanticus</w:t>
      </w:r>
      <w:r w:rsidRPr="009978E3">
        <w:rPr>
          <w:rFonts w:eastAsia="MS Mincho"/>
          <w:sz w:val="22"/>
          <w:szCs w:val="22"/>
          <w:lang w:val="en-US"/>
        </w:rPr>
        <w:t xml:space="preserve"> and the two species of corals</w:t>
      </w:r>
      <w:r w:rsidRPr="009978E3">
        <w:rPr>
          <w:sz w:val="22"/>
          <w:szCs w:val="22"/>
        </w:rPr>
        <w:t xml:space="preserve"> </w:t>
      </w:r>
      <w:r w:rsidRPr="009978E3">
        <w:rPr>
          <w:rFonts w:eastAsia="MS Mincho"/>
          <w:i/>
          <w:sz w:val="22"/>
          <w:szCs w:val="22"/>
          <w:lang w:val="en-US"/>
        </w:rPr>
        <w:t>Lophelia pertusa</w:t>
      </w:r>
      <w:r w:rsidRPr="009978E3">
        <w:rPr>
          <w:rFonts w:eastAsia="MS Mincho"/>
          <w:sz w:val="22"/>
          <w:szCs w:val="22"/>
          <w:lang w:val="en-US"/>
        </w:rPr>
        <w:t xml:space="preserve"> and </w:t>
      </w:r>
      <w:r w:rsidRPr="009978E3">
        <w:rPr>
          <w:rFonts w:eastAsia="MS Mincho"/>
          <w:i/>
          <w:sz w:val="22"/>
          <w:szCs w:val="22"/>
          <w:lang w:val="en-US"/>
        </w:rPr>
        <w:t>Madrepora oculata</w:t>
      </w:r>
      <w:r w:rsidRPr="009978E3">
        <w:rPr>
          <w:rFonts w:eastAsia="MS Mincho"/>
          <w:sz w:val="22"/>
          <w:szCs w:val="22"/>
          <w:lang w:val="en-US"/>
        </w:rPr>
        <w:t>. Other examples of species with legal protection (CITES Appendix I) are the cetacean</w:t>
      </w:r>
      <w:r>
        <w:rPr>
          <w:rFonts w:eastAsia="MS Mincho"/>
          <w:sz w:val="22"/>
          <w:szCs w:val="22"/>
          <w:lang w:val="en-US"/>
        </w:rPr>
        <w:t>s</w:t>
      </w:r>
      <w:r w:rsidRPr="009978E3">
        <w:rPr>
          <w:rFonts w:eastAsia="MS Mincho"/>
          <w:sz w:val="22"/>
          <w:szCs w:val="22"/>
          <w:lang w:val="en-US"/>
        </w:rPr>
        <w:t xml:space="preserve"> </w:t>
      </w:r>
      <w:r w:rsidRPr="009978E3">
        <w:rPr>
          <w:rFonts w:eastAsia="MS Mincho"/>
          <w:i/>
          <w:sz w:val="22"/>
          <w:szCs w:val="22"/>
          <w:lang w:val="en-US"/>
        </w:rPr>
        <w:t>Balaenoptera borealis, Balaenoptera musculus, Balaenoptera physalus, Megaptera novaeangliae</w:t>
      </w:r>
      <w:r w:rsidRPr="009978E3">
        <w:rPr>
          <w:rFonts w:eastAsia="MS Mincho"/>
          <w:sz w:val="22"/>
          <w:szCs w:val="22"/>
          <w:lang w:val="en-US"/>
        </w:rPr>
        <w:t>,</w:t>
      </w:r>
      <w:r w:rsidRPr="009978E3">
        <w:rPr>
          <w:sz w:val="22"/>
          <w:szCs w:val="22"/>
        </w:rPr>
        <w:t xml:space="preserve"> </w:t>
      </w:r>
      <w:r w:rsidRPr="009978E3">
        <w:rPr>
          <w:rFonts w:eastAsia="MS Mincho"/>
          <w:i/>
          <w:sz w:val="22"/>
          <w:szCs w:val="22"/>
          <w:lang w:val="en-US"/>
        </w:rPr>
        <w:t>Physeter macrocephalus</w:t>
      </w:r>
      <w:r w:rsidRPr="009978E3">
        <w:rPr>
          <w:rFonts w:eastAsia="MS Mincho"/>
          <w:sz w:val="22"/>
          <w:szCs w:val="22"/>
          <w:lang w:val="en-US"/>
        </w:rPr>
        <w:t xml:space="preserve">, </w:t>
      </w:r>
      <w:r w:rsidRPr="009978E3">
        <w:rPr>
          <w:rFonts w:eastAsia="MS Mincho"/>
          <w:i/>
          <w:sz w:val="22"/>
          <w:szCs w:val="22"/>
          <w:lang w:val="en-US"/>
        </w:rPr>
        <w:t>Tursiops truncatus,</w:t>
      </w:r>
      <w:r w:rsidRPr="009978E3">
        <w:rPr>
          <w:rFonts w:eastAsia="MS Mincho"/>
          <w:sz w:val="22"/>
          <w:szCs w:val="22"/>
          <w:lang w:val="en-US"/>
        </w:rPr>
        <w:t xml:space="preserve"> the turtles </w:t>
      </w:r>
      <w:r w:rsidRPr="009978E3">
        <w:rPr>
          <w:rFonts w:eastAsia="MS Mincho"/>
          <w:i/>
          <w:sz w:val="22"/>
          <w:szCs w:val="22"/>
          <w:lang w:val="en-US"/>
        </w:rPr>
        <w:t>Caretta caretta</w:t>
      </w:r>
      <w:r w:rsidRPr="009978E3">
        <w:rPr>
          <w:rFonts w:eastAsia="MS Mincho"/>
          <w:sz w:val="22"/>
          <w:szCs w:val="22"/>
          <w:lang w:val="en-US"/>
        </w:rPr>
        <w:t xml:space="preserve">, </w:t>
      </w:r>
      <w:r w:rsidRPr="009978E3">
        <w:rPr>
          <w:rFonts w:eastAsia="MS Mincho"/>
          <w:i/>
          <w:sz w:val="22"/>
          <w:szCs w:val="22"/>
          <w:lang w:val="en-US"/>
        </w:rPr>
        <w:t>Dermochelys coriacea</w:t>
      </w:r>
      <w:r w:rsidRPr="009978E3">
        <w:rPr>
          <w:rFonts w:eastAsia="MS Mincho"/>
          <w:sz w:val="22"/>
          <w:szCs w:val="22"/>
          <w:lang w:val="en-US"/>
        </w:rPr>
        <w:t>, (CITES</w:t>
      </w:r>
      <w:r w:rsidRPr="009978E3">
        <w:rPr>
          <w:sz w:val="22"/>
          <w:szCs w:val="22"/>
        </w:rPr>
        <w:t xml:space="preserve"> </w:t>
      </w:r>
      <w:r w:rsidRPr="009978E3">
        <w:rPr>
          <w:rFonts w:eastAsia="MS Mincho"/>
          <w:sz w:val="22"/>
          <w:szCs w:val="22"/>
          <w:lang w:val="en-US"/>
        </w:rPr>
        <w:t>Appendix II)</w:t>
      </w:r>
      <w:r>
        <w:rPr>
          <w:rFonts w:eastAsia="MS Mincho"/>
          <w:sz w:val="22"/>
          <w:szCs w:val="22"/>
          <w:lang w:val="en-US"/>
        </w:rPr>
        <w:t xml:space="preserve"> and the</w:t>
      </w:r>
      <w:r w:rsidRPr="009978E3">
        <w:rPr>
          <w:rFonts w:eastAsia="MS Mincho"/>
          <w:sz w:val="22"/>
          <w:szCs w:val="22"/>
          <w:lang w:val="en-US"/>
        </w:rPr>
        <w:t xml:space="preserve"> corals</w:t>
      </w:r>
      <w:r w:rsidRPr="009978E3">
        <w:rPr>
          <w:sz w:val="22"/>
          <w:szCs w:val="22"/>
        </w:rPr>
        <w:t xml:space="preserve"> </w:t>
      </w:r>
      <w:r w:rsidRPr="009978E3">
        <w:rPr>
          <w:rFonts w:eastAsia="MS Mincho"/>
          <w:i/>
          <w:sz w:val="22"/>
          <w:szCs w:val="22"/>
          <w:lang w:val="en-US"/>
        </w:rPr>
        <w:t>Antipathella subpinnata</w:t>
      </w:r>
      <w:r w:rsidRPr="009978E3">
        <w:rPr>
          <w:rFonts w:eastAsia="MS Mincho"/>
          <w:sz w:val="22"/>
          <w:szCs w:val="22"/>
          <w:lang w:val="en-US"/>
        </w:rPr>
        <w:t xml:space="preserve">, </w:t>
      </w:r>
      <w:r w:rsidRPr="009978E3">
        <w:rPr>
          <w:rFonts w:eastAsia="MS Mincho"/>
          <w:i/>
          <w:sz w:val="22"/>
          <w:szCs w:val="22"/>
          <w:lang w:val="en-US"/>
        </w:rPr>
        <w:t>Aulocyathus atlanticus</w:t>
      </w:r>
      <w:r w:rsidRPr="009978E3">
        <w:rPr>
          <w:rFonts w:eastAsia="MS Mincho"/>
          <w:sz w:val="22"/>
          <w:szCs w:val="22"/>
          <w:lang w:val="en-US"/>
        </w:rPr>
        <w:t xml:space="preserve">, </w:t>
      </w:r>
      <w:r w:rsidRPr="009978E3">
        <w:rPr>
          <w:rFonts w:eastAsia="MS Mincho"/>
          <w:i/>
          <w:sz w:val="22"/>
          <w:szCs w:val="22"/>
          <w:lang w:val="en-US"/>
        </w:rPr>
        <w:t>Caryophyllia ambrosia</w:t>
      </w:r>
      <w:r w:rsidRPr="009978E3">
        <w:rPr>
          <w:rFonts w:eastAsia="MS Mincho"/>
          <w:sz w:val="22"/>
          <w:szCs w:val="22"/>
          <w:lang w:val="en-US"/>
        </w:rPr>
        <w:t xml:space="preserve">, </w:t>
      </w:r>
      <w:r w:rsidRPr="009978E3">
        <w:rPr>
          <w:rFonts w:eastAsia="MS Mincho"/>
          <w:i/>
          <w:sz w:val="22"/>
          <w:szCs w:val="22"/>
          <w:lang w:val="en-US"/>
        </w:rPr>
        <w:t>Desmophyllum dianthus</w:t>
      </w:r>
      <w:r w:rsidRPr="009978E3">
        <w:rPr>
          <w:rFonts w:eastAsia="MS Mincho"/>
          <w:sz w:val="22"/>
          <w:szCs w:val="22"/>
          <w:lang w:val="en-US"/>
        </w:rPr>
        <w:t>,</w:t>
      </w:r>
      <w:r w:rsidRPr="009978E3">
        <w:rPr>
          <w:sz w:val="22"/>
          <w:szCs w:val="22"/>
        </w:rPr>
        <w:t xml:space="preserve"> </w:t>
      </w:r>
      <w:r w:rsidRPr="009978E3">
        <w:rPr>
          <w:rFonts w:eastAsia="MS Mincho"/>
          <w:i/>
          <w:sz w:val="22"/>
          <w:szCs w:val="22"/>
          <w:lang w:val="en-US"/>
        </w:rPr>
        <w:t>Flabellum alabastrum</w:t>
      </w:r>
      <w:r w:rsidRPr="009978E3">
        <w:rPr>
          <w:rFonts w:eastAsia="MS Mincho"/>
          <w:sz w:val="22"/>
          <w:szCs w:val="22"/>
          <w:lang w:val="en-US"/>
        </w:rPr>
        <w:t xml:space="preserve">, </w:t>
      </w:r>
      <w:r w:rsidRPr="009978E3">
        <w:rPr>
          <w:rFonts w:eastAsia="MS Mincho"/>
          <w:i/>
          <w:sz w:val="22"/>
          <w:szCs w:val="22"/>
          <w:lang w:val="en-US"/>
        </w:rPr>
        <w:t>Flabellum angulare</w:t>
      </w:r>
      <w:r w:rsidRPr="009978E3">
        <w:rPr>
          <w:rFonts w:eastAsia="MS Mincho"/>
          <w:sz w:val="22"/>
          <w:szCs w:val="22"/>
          <w:lang w:val="en-US"/>
        </w:rPr>
        <w:t>,</w:t>
      </w:r>
      <w:r w:rsidRPr="009978E3">
        <w:rPr>
          <w:rFonts w:eastAsia="MS Mincho"/>
          <w:i/>
          <w:sz w:val="22"/>
          <w:szCs w:val="22"/>
          <w:lang w:val="en-US"/>
        </w:rPr>
        <w:t xml:space="preserve"> Fungiacyathus fragilis</w:t>
      </w:r>
      <w:r w:rsidRPr="009978E3">
        <w:rPr>
          <w:rFonts w:eastAsia="MS Mincho"/>
          <w:sz w:val="22"/>
          <w:szCs w:val="22"/>
          <w:lang w:val="en-US"/>
        </w:rPr>
        <w:t>,</w:t>
      </w:r>
      <w:r w:rsidRPr="009978E3">
        <w:rPr>
          <w:rFonts w:eastAsia="MS Mincho"/>
          <w:i/>
          <w:sz w:val="22"/>
          <w:szCs w:val="22"/>
          <w:lang w:val="en-US"/>
        </w:rPr>
        <w:t xml:space="preserve"> Lophelia pertusa, Madrepora oculata</w:t>
      </w:r>
      <w:r w:rsidRPr="009978E3">
        <w:rPr>
          <w:rFonts w:eastAsia="MS Mincho"/>
          <w:sz w:val="22"/>
          <w:szCs w:val="22"/>
          <w:lang w:val="en-US"/>
        </w:rPr>
        <w:t xml:space="preserve">, </w:t>
      </w:r>
      <w:r w:rsidRPr="009978E3">
        <w:rPr>
          <w:rFonts w:eastAsia="MS Mincho"/>
          <w:i/>
          <w:sz w:val="22"/>
          <w:szCs w:val="22"/>
          <w:lang w:val="en-US"/>
        </w:rPr>
        <w:t>Schizopathes affinis</w:t>
      </w:r>
      <w:r w:rsidRPr="009978E3">
        <w:rPr>
          <w:rFonts w:eastAsia="MS Mincho"/>
          <w:sz w:val="22"/>
          <w:szCs w:val="22"/>
          <w:lang w:val="en-US"/>
        </w:rPr>
        <w:t xml:space="preserve">, </w:t>
      </w:r>
      <w:r w:rsidRPr="009978E3">
        <w:rPr>
          <w:rFonts w:eastAsia="MS Mincho"/>
          <w:i/>
          <w:sz w:val="22"/>
          <w:szCs w:val="22"/>
          <w:lang w:val="en-US"/>
        </w:rPr>
        <w:t>Solenosmilia variabilis</w:t>
      </w:r>
      <w:r w:rsidRPr="009978E3">
        <w:rPr>
          <w:rFonts w:eastAsia="MS Mincho"/>
          <w:sz w:val="22"/>
          <w:szCs w:val="22"/>
          <w:lang w:val="en-US"/>
        </w:rPr>
        <w:t xml:space="preserve">, </w:t>
      </w:r>
      <w:r w:rsidRPr="009978E3">
        <w:rPr>
          <w:rFonts w:eastAsia="MS Mincho"/>
          <w:i/>
          <w:sz w:val="22"/>
          <w:szCs w:val="22"/>
          <w:lang w:val="en-US"/>
        </w:rPr>
        <w:t>Stauropathes arctica</w:t>
      </w:r>
      <w:r>
        <w:rPr>
          <w:rFonts w:eastAsia="MS Mincho"/>
          <w:sz w:val="22"/>
          <w:szCs w:val="22"/>
          <w:lang w:val="en-US"/>
        </w:rPr>
        <w:t xml:space="preserve"> and</w:t>
      </w:r>
      <w:r w:rsidRPr="009978E3">
        <w:rPr>
          <w:rFonts w:eastAsia="MS Mincho"/>
          <w:sz w:val="22"/>
          <w:szCs w:val="22"/>
          <w:lang w:val="en-US"/>
        </w:rPr>
        <w:t xml:space="preserve"> </w:t>
      </w:r>
      <w:r w:rsidRPr="009978E3">
        <w:rPr>
          <w:rFonts w:eastAsia="MS Mincho"/>
          <w:i/>
          <w:sz w:val="22"/>
          <w:szCs w:val="22"/>
          <w:lang w:val="en-US"/>
        </w:rPr>
        <w:t>Stephanocyathus moseleyanus</w:t>
      </w:r>
      <w:r w:rsidRPr="009978E3">
        <w:rPr>
          <w:rFonts w:eastAsia="MS Mincho"/>
          <w:sz w:val="22"/>
          <w:szCs w:val="22"/>
          <w:lang w:val="en-US"/>
        </w:rPr>
        <w:t xml:space="preserve">. The species of whales </w:t>
      </w:r>
      <w:r w:rsidRPr="009978E3">
        <w:rPr>
          <w:rFonts w:eastAsia="MS Mincho"/>
          <w:i/>
          <w:sz w:val="22"/>
          <w:szCs w:val="22"/>
          <w:lang w:val="en-US"/>
        </w:rPr>
        <w:t>Balaenoptera physalus</w:t>
      </w:r>
      <w:r w:rsidRPr="009978E3">
        <w:rPr>
          <w:rFonts w:eastAsia="MS Mincho"/>
          <w:sz w:val="22"/>
          <w:szCs w:val="22"/>
          <w:lang w:val="en-US"/>
        </w:rPr>
        <w:t xml:space="preserve">, </w:t>
      </w:r>
      <w:r w:rsidRPr="009978E3">
        <w:rPr>
          <w:rFonts w:eastAsia="MS Mincho"/>
          <w:i/>
          <w:sz w:val="22"/>
          <w:szCs w:val="22"/>
          <w:lang w:val="en-US"/>
        </w:rPr>
        <w:t>Balaenoptera musculus</w:t>
      </w:r>
      <w:r w:rsidRPr="009978E3">
        <w:rPr>
          <w:rFonts w:eastAsia="MS Mincho"/>
          <w:sz w:val="22"/>
          <w:szCs w:val="22"/>
          <w:lang w:val="en-US"/>
        </w:rPr>
        <w:t xml:space="preserve">, </w:t>
      </w:r>
      <w:r w:rsidRPr="009978E3">
        <w:rPr>
          <w:rFonts w:eastAsia="MS Mincho"/>
          <w:i/>
          <w:sz w:val="22"/>
          <w:szCs w:val="22"/>
          <w:lang w:val="en-US"/>
        </w:rPr>
        <w:t>Balaenoptera borealis</w:t>
      </w:r>
      <w:r w:rsidRPr="009978E3">
        <w:rPr>
          <w:rFonts w:eastAsia="MS Mincho"/>
          <w:sz w:val="22"/>
          <w:szCs w:val="22"/>
          <w:lang w:val="en-US"/>
        </w:rPr>
        <w:t>,</w:t>
      </w:r>
      <w:r w:rsidRPr="009978E3">
        <w:rPr>
          <w:sz w:val="22"/>
          <w:szCs w:val="22"/>
        </w:rPr>
        <w:t xml:space="preserve"> </w:t>
      </w:r>
      <w:r w:rsidRPr="009978E3">
        <w:rPr>
          <w:rFonts w:eastAsia="MS Mincho"/>
          <w:i/>
          <w:sz w:val="22"/>
          <w:szCs w:val="22"/>
          <w:lang w:val="en-US"/>
        </w:rPr>
        <w:t>Megaptera novaeangliae</w:t>
      </w:r>
      <w:r w:rsidRPr="009978E3">
        <w:rPr>
          <w:rFonts w:eastAsia="MS Mincho"/>
          <w:sz w:val="22"/>
          <w:szCs w:val="22"/>
          <w:lang w:val="en-US"/>
        </w:rPr>
        <w:t xml:space="preserve">, </w:t>
      </w:r>
      <w:r>
        <w:rPr>
          <w:rFonts w:eastAsia="MS Mincho"/>
          <w:sz w:val="22"/>
          <w:szCs w:val="22"/>
          <w:lang w:val="en-US"/>
        </w:rPr>
        <w:t>the s</w:t>
      </w:r>
      <w:r w:rsidRPr="009978E3">
        <w:rPr>
          <w:rFonts w:eastAsia="MS Mincho"/>
          <w:sz w:val="22"/>
          <w:szCs w:val="22"/>
          <w:lang w:val="en-US"/>
        </w:rPr>
        <w:t xml:space="preserve">perm whale </w:t>
      </w:r>
      <w:r>
        <w:rPr>
          <w:rFonts w:eastAsia="MS Mincho"/>
          <w:sz w:val="22"/>
          <w:szCs w:val="22"/>
          <w:lang w:val="en-US"/>
        </w:rPr>
        <w:t>(</w:t>
      </w:r>
      <w:r w:rsidRPr="009978E3">
        <w:rPr>
          <w:rFonts w:eastAsia="MS Mincho"/>
          <w:i/>
          <w:sz w:val="22"/>
          <w:szCs w:val="22"/>
          <w:lang w:val="en-US"/>
        </w:rPr>
        <w:t>Physeter macrocephalus</w:t>
      </w:r>
      <w:r>
        <w:rPr>
          <w:rFonts w:eastAsia="MS Mincho"/>
          <w:i/>
          <w:sz w:val="22"/>
          <w:szCs w:val="22"/>
          <w:lang w:val="en-US"/>
        </w:rPr>
        <w:t>)</w:t>
      </w:r>
      <w:r w:rsidRPr="009978E3">
        <w:rPr>
          <w:rFonts w:eastAsia="MS Mincho"/>
          <w:sz w:val="22"/>
          <w:szCs w:val="22"/>
          <w:lang w:val="en-US"/>
        </w:rPr>
        <w:t xml:space="preserve">, </w:t>
      </w:r>
      <w:r>
        <w:rPr>
          <w:rFonts w:eastAsia="MS Mincho"/>
          <w:sz w:val="22"/>
          <w:szCs w:val="22"/>
          <w:lang w:val="en-US"/>
        </w:rPr>
        <w:t xml:space="preserve">the </w:t>
      </w:r>
      <w:r w:rsidRPr="009978E3">
        <w:rPr>
          <w:rFonts w:eastAsia="MS Mincho"/>
          <w:sz w:val="22"/>
          <w:szCs w:val="22"/>
          <w:lang w:val="en-US"/>
        </w:rPr>
        <w:t>dolphin</w:t>
      </w:r>
      <w:r>
        <w:rPr>
          <w:rFonts w:eastAsia="MS Mincho"/>
          <w:sz w:val="22"/>
          <w:szCs w:val="22"/>
          <w:lang w:val="en-US"/>
        </w:rPr>
        <w:t>s</w:t>
      </w:r>
      <w:r w:rsidRPr="009978E3">
        <w:rPr>
          <w:rFonts w:eastAsia="MS Mincho"/>
          <w:sz w:val="22"/>
          <w:szCs w:val="22"/>
          <w:lang w:val="en-US"/>
        </w:rPr>
        <w:t xml:space="preserve"> </w:t>
      </w:r>
      <w:r w:rsidRPr="009978E3">
        <w:rPr>
          <w:rFonts w:eastAsia="MS Mincho"/>
          <w:i/>
          <w:sz w:val="22"/>
          <w:szCs w:val="22"/>
          <w:lang w:val="en-US"/>
        </w:rPr>
        <w:t>Delphinus delphis</w:t>
      </w:r>
      <w:r>
        <w:rPr>
          <w:rFonts w:eastAsia="MS Mincho"/>
          <w:sz w:val="22"/>
          <w:szCs w:val="22"/>
          <w:lang w:val="en-US"/>
        </w:rPr>
        <w:t xml:space="preserve"> and</w:t>
      </w:r>
      <w:r w:rsidRPr="009978E3">
        <w:rPr>
          <w:sz w:val="22"/>
          <w:szCs w:val="22"/>
        </w:rPr>
        <w:t xml:space="preserve"> </w:t>
      </w:r>
      <w:r w:rsidRPr="009978E3">
        <w:rPr>
          <w:rFonts w:eastAsia="MS Mincho"/>
          <w:i/>
          <w:sz w:val="22"/>
          <w:szCs w:val="22"/>
          <w:lang w:val="en-US"/>
        </w:rPr>
        <w:t>Tursiops truncatus</w:t>
      </w:r>
      <w:r w:rsidRPr="009978E3">
        <w:rPr>
          <w:rFonts w:eastAsia="MS Mincho"/>
          <w:sz w:val="22"/>
          <w:szCs w:val="22"/>
          <w:lang w:val="en-US"/>
        </w:rPr>
        <w:t xml:space="preserve"> and </w:t>
      </w:r>
      <w:r>
        <w:rPr>
          <w:rFonts w:eastAsia="MS Mincho"/>
          <w:sz w:val="22"/>
          <w:szCs w:val="22"/>
          <w:lang w:val="en-US"/>
        </w:rPr>
        <w:t xml:space="preserve">the </w:t>
      </w:r>
      <w:r w:rsidRPr="009978E3">
        <w:rPr>
          <w:rFonts w:eastAsia="MS Mincho"/>
          <w:sz w:val="22"/>
          <w:szCs w:val="22"/>
          <w:lang w:val="en-US"/>
        </w:rPr>
        <w:t xml:space="preserve">sea urchin </w:t>
      </w:r>
      <w:r w:rsidRPr="009978E3">
        <w:rPr>
          <w:rFonts w:eastAsia="MS Mincho"/>
          <w:i/>
          <w:sz w:val="22"/>
          <w:szCs w:val="22"/>
          <w:lang w:val="en-US"/>
        </w:rPr>
        <w:t xml:space="preserve">Centrostephanus longispinus </w:t>
      </w:r>
      <w:r w:rsidRPr="009978E3">
        <w:rPr>
          <w:rFonts w:eastAsia="MS Mincho"/>
          <w:sz w:val="22"/>
          <w:szCs w:val="22"/>
          <w:lang w:val="en-US"/>
        </w:rPr>
        <w:t xml:space="preserve">are protected by the EU Habitats Directive. The whales </w:t>
      </w:r>
      <w:r w:rsidRPr="009978E3">
        <w:rPr>
          <w:rFonts w:eastAsia="MS Mincho"/>
          <w:i/>
          <w:sz w:val="22"/>
          <w:szCs w:val="22"/>
          <w:lang w:val="en-US"/>
        </w:rPr>
        <w:t>Balaenoptera physalus</w:t>
      </w:r>
      <w:r w:rsidRPr="009978E3">
        <w:rPr>
          <w:rFonts w:eastAsia="MS Mincho"/>
          <w:sz w:val="22"/>
          <w:szCs w:val="22"/>
          <w:lang w:val="en-US"/>
        </w:rPr>
        <w:t xml:space="preserve">, </w:t>
      </w:r>
      <w:r w:rsidRPr="009978E3">
        <w:rPr>
          <w:rFonts w:eastAsia="MS Mincho"/>
          <w:i/>
          <w:sz w:val="22"/>
          <w:szCs w:val="22"/>
          <w:lang w:val="en-US"/>
        </w:rPr>
        <w:t>Balaenoptera musculus</w:t>
      </w:r>
      <w:r w:rsidRPr="009978E3">
        <w:rPr>
          <w:rFonts w:eastAsia="MS Mincho"/>
          <w:sz w:val="22"/>
          <w:szCs w:val="22"/>
          <w:lang w:val="en-US"/>
        </w:rPr>
        <w:t xml:space="preserve">, </w:t>
      </w:r>
      <w:r w:rsidRPr="009978E3">
        <w:rPr>
          <w:rFonts w:eastAsia="MS Mincho"/>
          <w:i/>
          <w:sz w:val="22"/>
          <w:szCs w:val="22"/>
          <w:lang w:val="en-US"/>
        </w:rPr>
        <w:t>Balaenoptera borealis</w:t>
      </w:r>
      <w:r w:rsidRPr="009978E3">
        <w:rPr>
          <w:rFonts w:eastAsia="MS Mincho"/>
          <w:sz w:val="22"/>
          <w:szCs w:val="22"/>
          <w:lang w:val="en-US"/>
        </w:rPr>
        <w:t>,</w:t>
      </w:r>
      <w:r w:rsidRPr="009978E3">
        <w:rPr>
          <w:sz w:val="22"/>
          <w:szCs w:val="22"/>
        </w:rPr>
        <w:t xml:space="preserve"> </w:t>
      </w:r>
      <w:r w:rsidRPr="009978E3">
        <w:rPr>
          <w:rFonts w:eastAsia="MS Mincho"/>
          <w:i/>
          <w:sz w:val="22"/>
          <w:szCs w:val="22"/>
          <w:lang w:val="en-US"/>
        </w:rPr>
        <w:t>Megaptera novaeangliae</w:t>
      </w:r>
      <w:r w:rsidRPr="009978E3">
        <w:rPr>
          <w:rFonts w:eastAsia="MS Mincho"/>
          <w:sz w:val="22"/>
          <w:szCs w:val="22"/>
          <w:lang w:val="en-US"/>
        </w:rPr>
        <w:t xml:space="preserve">, </w:t>
      </w:r>
      <w:r>
        <w:rPr>
          <w:rFonts w:eastAsia="MS Mincho"/>
          <w:sz w:val="22"/>
          <w:szCs w:val="22"/>
          <w:lang w:val="en-US"/>
        </w:rPr>
        <w:t>the s</w:t>
      </w:r>
      <w:r w:rsidRPr="009978E3">
        <w:rPr>
          <w:rFonts w:eastAsia="MS Mincho"/>
          <w:sz w:val="22"/>
          <w:szCs w:val="22"/>
          <w:lang w:val="en-US"/>
        </w:rPr>
        <w:t xml:space="preserve">perm whale </w:t>
      </w:r>
      <w:r w:rsidRPr="009978E3">
        <w:rPr>
          <w:rFonts w:eastAsia="MS Mincho"/>
          <w:i/>
          <w:sz w:val="22"/>
          <w:szCs w:val="22"/>
          <w:lang w:val="en-US"/>
        </w:rPr>
        <w:t>Physeter macrocephalus</w:t>
      </w:r>
      <w:r>
        <w:rPr>
          <w:rFonts w:eastAsia="MS Mincho"/>
          <w:sz w:val="22"/>
          <w:szCs w:val="22"/>
          <w:lang w:val="en-US"/>
        </w:rPr>
        <w:t xml:space="preserve"> and</w:t>
      </w:r>
      <w:r w:rsidRPr="009978E3">
        <w:rPr>
          <w:rFonts w:eastAsia="MS Mincho"/>
          <w:sz w:val="22"/>
          <w:szCs w:val="22"/>
          <w:lang w:val="en-US"/>
        </w:rPr>
        <w:t xml:space="preserve"> </w:t>
      </w:r>
      <w:r>
        <w:rPr>
          <w:rFonts w:eastAsia="MS Mincho"/>
          <w:sz w:val="22"/>
          <w:szCs w:val="22"/>
          <w:lang w:val="en-US"/>
        </w:rPr>
        <w:t xml:space="preserve">the </w:t>
      </w:r>
      <w:r w:rsidRPr="009978E3">
        <w:rPr>
          <w:rFonts w:eastAsia="MS Mincho"/>
          <w:sz w:val="22"/>
          <w:szCs w:val="22"/>
          <w:lang w:val="en-US"/>
        </w:rPr>
        <w:t xml:space="preserve">turtles </w:t>
      </w:r>
      <w:r w:rsidRPr="009978E3">
        <w:rPr>
          <w:rFonts w:eastAsia="MS Mincho"/>
          <w:i/>
          <w:sz w:val="22"/>
          <w:szCs w:val="22"/>
          <w:lang w:val="en-US"/>
        </w:rPr>
        <w:t>Caretta caretta</w:t>
      </w:r>
      <w:r>
        <w:rPr>
          <w:rFonts w:eastAsia="MS Mincho"/>
          <w:sz w:val="22"/>
          <w:szCs w:val="22"/>
          <w:lang w:val="en-US"/>
        </w:rPr>
        <w:t xml:space="preserve"> and</w:t>
      </w:r>
      <w:r w:rsidRPr="009978E3">
        <w:rPr>
          <w:rFonts w:eastAsia="MS Mincho"/>
          <w:sz w:val="22"/>
          <w:szCs w:val="22"/>
          <w:lang w:val="en-US"/>
        </w:rPr>
        <w:t xml:space="preserve"> </w:t>
      </w:r>
      <w:r w:rsidRPr="009978E3">
        <w:rPr>
          <w:rFonts w:eastAsia="MS Mincho"/>
          <w:i/>
          <w:sz w:val="22"/>
          <w:szCs w:val="22"/>
          <w:lang w:val="en-US"/>
        </w:rPr>
        <w:t>Dermochelys coriacea</w:t>
      </w:r>
      <w:r w:rsidRPr="009978E3">
        <w:rPr>
          <w:rFonts w:eastAsia="MS Mincho"/>
          <w:sz w:val="22"/>
          <w:szCs w:val="22"/>
          <w:lang w:val="en-US"/>
        </w:rPr>
        <w:t xml:space="preserve"> are protected by Annex II of the Bern Convention. </w:t>
      </w:r>
      <w:r>
        <w:rPr>
          <w:rFonts w:eastAsia="MS Mincho"/>
          <w:sz w:val="22"/>
          <w:szCs w:val="22"/>
          <w:lang w:val="en-US"/>
        </w:rPr>
        <w:t>Also present are</w:t>
      </w:r>
      <w:r w:rsidRPr="009978E3">
        <w:rPr>
          <w:rFonts w:eastAsia="MS Mincho"/>
          <w:sz w:val="22"/>
          <w:szCs w:val="22"/>
          <w:lang w:val="en-US"/>
        </w:rPr>
        <w:t xml:space="preserve"> 11 species </w:t>
      </w:r>
      <w:r>
        <w:rPr>
          <w:rFonts w:eastAsia="MS Mincho"/>
          <w:sz w:val="22"/>
          <w:szCs w:val="22"/>
          <w:lang w:val="en-US"/>
        </w:rPr>
        <w:t>listed on the</w:t>
      </w:r>
      <w:r w:rsidRPr="009978E3">
        <w:rPr>
          <w:sz w:val="22"/>
          <w:szCs w:val="22"/>
        </w:rPr>
        <w:t xml:space="preserve"> </w:t>
      </w:r>
      <w:r w:rsidRPr="009978E3">
        <w:rPr>
          <w:rFonts w:eastAsia="MS Mincho"/>
          <w:sz w:val="22"/>
          <w:szCs w:val="22"/>
          <w:lang w:val="en-US"/>
        </w:rPr>
        <w:t>IUCN Red List as</w:t>
      </w:r>
      <w:r w:rsidRPr="009978E3">
        <w:rPr>
          <w:sz w:val="22"/>
          <w:szCs w:val="22"/>
        </w:rPr>
        <w:t xml:space="preserve"> </w:t>
      </w:r>
      <w:r w:rsidRPr="009978E3">
        <w:rPr>
          <w:rFonts w:eastAsia="MS Mincho"/>
          <w:sz w:val="22"/>
          <w:szCs w:val="22"/>
          <w:lang w:val="en-US"/>
        </w:rPr>
        <w:t>near threatened/ vulnerable/endangered/critically endangered</w:t>
      </w:r>
      <w:r>
        <w:rPr>
          <w:rFonts w:eastAsia="MS Mincho"/>
          <w:sz w:val="22"/>
          <w:szCs w:val="22"/>
          <w:lang w:val="en-US"/>
        </w:rPr>
        <w:t xml:space="preserve"> (</w:t>
      </w:r>
      <w:r w:rsidRPr="009978E3">
        <w:rPr>
          <w:rFonts w:eastAsia="MS Mincho"/>
          <w:i/>
          <w:sz w:val="22"/>
          <w:szCs w:val="22"/>
          <w:lang w:val="en-US"/>
        </w:rPr>
        <w:t>Balaenoptera physalus</w:t>
      </w:r>
      <w:r w:rsidRPr="009978E3">
        <w:rPr>
          <w:rFonts w:eastAsia="MS Mincho"/>
          <w:sz w:val="22"/>
          <w:szCs w:val="22"/>
          <w:lang w:val="en-US"/>
        </w:rPr>
        <w:t xml:space="preserve">, </w:t>
      </w:r>
      <w:r w:rsidRPr="009978E3">
        <w:rPr>
          <w:rFonts w:eastAsia="MS Mincho"/>
          <w:i/>
          <w:sz w:val="22"/>
          <w:szCs w:val="22"/>
          <w:lang w:val="en-US"/>
        </w:rPr>
        <w:t>Balaenoptera musculus</w:t>
      </w:r>
      <w:r w:rsidRPr="009978E3">
        <w:rPr>
          <w:rFonts w:eastAsia="MS Mincho"/>
          <w:sz w:val="22"/>
          <w:szCs w:val="22"/>
          <w:lang w:val="en-US"/>
        </w:rPr>
        <w:t xml:space="preserve">, </w:t>
      </w:r>
      <w:r w:rsidRPr="009978E3">
        <w:rPr>
          <w:rFonts w:eastAsia="MS Mincho"/>
          <w:i/>
          <w:sz w:val="22"/>
          <w:szCs w:val="22"/>
          <w:lang w:val="en-US"/>
        </w:rPr>
        <w:t>Balaenoptera borealis</w:t>
      </w:r>
      <w:r w:rsidRPr="009978E3">
        <w:rPr>
          <w:rFonts w:eastAsia="MS Mincho"/>
          <w:sz w:val="22"/>
          <w:szCs w:val="22"/>
          <w:lang w:val="en-US"/>
        </w:rPr>
        <w:t xml:space="preserve">, </w:t>
      </w:r>
      <w:r w:rsidRPr="009978E3">
        <w:rPr>
          <w:rFonts w:eastAsia="MS Mincho"/>
          <w:i/>
          <w:sz w:val="22"/>
          <w:szCs w:val="22"/>
          <w:lang w:val="en-US"/>
        </w:rPr>
        <w:t>Caretta caretta</w:t>
      </w:r>
      <w:r w:rsidRPr="009978E3">
        <w:rPr>
          <w:rFonts w:eastAsia="MS Mincho"/>
          <w:sz w:val="22"/>
          <w:szCs w:val="22"/>
          <w:lang w:val="en-US"/>
        </w:rPr>
        <w:t xml:space="preserve">, </w:t>
      </w:r>
      <w:r w:rsidRPr="009978E3">
        <w:rPr>
          <w:rFonts w:eastAsia="MS Mincho"/>
          <w:i/>
          <w:sz w:val="22"/>
          <w:szCs w:val="22"/>
          <w:lang w:val="en-US"/>
        </w:rPr>
        <w:t>Dermochelys coriacea</w:t>
      </w:r>
      <w:r w:rsidRPr="009978E3">
        <w:rPr>
          <w:rFonts w:eastAsia="MS Mincho"/>
          <w:sz w:val="22"/>
          <w:szCs w:val="22"/>
          <w:lang w:val="en-US"/>
        </w:rPr>
        <w:t xml:space="preserve">, </w:t>
      </w:r>
      <w:r w:rsidRPr="009978E3">
        <w:rPr>
          <w:rFonts w:eastAsia="MS Mincho"/>
          <w:i/>
          <w:sz w:val="22"/>
          <w:szCs w:val="22"/>
          <w:lang w:val="en-US"/>
        </w:rPr>
        <w:t>Dipturus batis</w:t>
      </w:r>
      <w:r w:rsidRPr="009978E3">
        <w:rPr>
          <w:rFonts w:eastAsia="MS Mincho"/>
          <w:sz w:val="22"/>
          <w:szCs w:val="22"/>
          <w:lang w:val="en-US"/>
        </w:rPr>
        <w:t xml:space="preserve">, </w:t>
      </w:r>
      <w:r w:rsidRPr="009978E3">
        <w:rPr>
          <w:rFonts w:eastAsia="MS Mincho"/>
          <w:i/>
          <w:sz w:val="22"/>
          <w:szCs w:val="22"/>
          <w:lang w:val="en-US"/>
        </w:rPr>
        <w:t>Hippoglossus hippoglossus</w:t>
      </w:r>
      <w:r w:rsidRPr="009978E3">
        <w:rPr>
          <w:rFonts w:eastAsia="MS Mincho"/>
          <w:sz w:val="22"/>
          <w:szCs w:val="22"/>
          <w:lang w:val="en-US"/>
        </w:rPr>
        <w:t xml:space="preserve">, </w:t>
      </w:r>
      <w:r w:rsidRPr="009978E3">
        <w:rPr>
          <w:rFonts w:eastAsia="MS Mincho"/>
          <w:i/>
          <w:sz w:val="22"/>
          <w:szCs w:val="22"/>
          <w:lang w:val="en-US"/>
        </w:rPr>
        <w:t>Physeter macrocephalus</w:t>
      </w:r>
      <w:r w:rsidRPr="009978E3">
        <w:rPr>
          <w:rFonts w:eastAsia="MS Mincho"/>
          <w:sz w:val="22"/>
          <w:szCs w:val="22"/>
          <w:lang w:val="en-US"/>
        </w:rPr>
        <w:t xml:space="preserve">, </w:t>
      </w:r>
      <w:r w:rsidRPr="009978E3">
        <w:rPr>
          <w:rFonts w:eastAsia="MS Mincho"/>
          <w:i/>
          <w:sz w:val="22"/>
          <w:szCs w:val="22"/>
          <w:lang w:val="en-US"/>
        </w:rPr>
        <w:t>Prionace glauca</w:t>
      </w:r>
      <w:r w:rsidRPr="009978E3">
        <w:rPr>
          <w:rFonts w:eastAsia="MS Mincho"/>
          <w:sz w:val="22"/>
          <w:szCs w:val="22"/>
          <w:lang w:val="en-US"/>
        </w:rPr>
        <w:t xml:space="preserve">, </w:t>
      </w:r>
      <w:r w:rsidRPr="009978E3">
        <w:rPr>
          <w:rFonts w:eastAsia="MS Mincho"/>
          <w:i/>
          <w:sz w:val="22"/>
          <w:szCs w:val="22"/>
          <w:lang w:val="en-US"/>
        </w:rPr>
        <w:t>Thunnus albacares</w:t>
      </w:r>
      <w:r w:rsidRPr="009978E3">
        <w:rPr>
          <w:rFonts w:eastAsia="MS Mincho"/>
          <w:sz w:val="22"/>
          <w:szCs w:val="22"/>
          <w:lang w:val="en-US"/>
        </w:rPr>
        <w:t xml:space="preserve">, </w:t>
      </w:r>
      <w:r w:rsidRPr="009978E3">
        <w:rPr>
          <w:rFonts w:eastAsia="MS Mincho"/>
          <w:i/>
          <w:sz w:val="22"/>
          <w:szCs w:val="22"/>
          <w:lang w:val="en-US"/>
        </w:rPr>
        <w:t>Thunnus thynnus</w:t>
      </w:r>
      <w:r>
        <w:rPr>
          <w:rFonts w:eastAsia="MS Mincho"/>
          <w:i/>
          <w:sz w:val="22"/>
          <w:szCs w:val="22"/>
          <w:lang w:val="en-US"/>
        </w:rPr>
        <w:t>)</w:t>
      </w:r>
      <w:r w:rsidRPr="009978E3">
        <w:rPr>
          <w:rFonts w:eastAsia="MS Mincho"/>
          <w:sz w:val="22"/>
          <w:szCs w:val="22"/>
          <w:lang w:val="en-US"/>
        </w:rPr>
        <w:t xml:space="preserve">. There are also two species of birds </w:t>
      </w:r>
      <w:r>
        <w:rPr>
          <w:rFonts w:eastAsia="MS Mincho"/>
          <w:sz w:val="22"/>
          <w:szCs w:val="22"/>
          <w:lang w:val="en-US"/>
        </w:rPr>
        <w:t>(</w:t>
      </w:r>
      <w:r w:rsidRPr="009978E3">
        <w:rPr>
          <w:rFonts w:eastAsia="MS Mincho"/>
          <w:i/>
          <w:sz w:val="22"/>
          <w:szCs w:val="22"/>
          <w:lang w:val="en-US"/>
        </w:rPr>
        <w:t>Calonectris borealis</w:t>
      </w:r>
      <w:r w:rsidRPr="009978E3">
        <w:rPr>
          <w:rFonts w:eastAsia="MS Mincho"/>
          <w:sz w:val="22"/>
          <w:szCs w:val="22"/>
          <w:lang w:val="en-US"/>
        </w:rPr>
        <w:t xml:space="preserve"> and </w:t>
      </w:r>
      <w:r w:rsidRPr="009978E3">
        <w:rPr>
          <w:rFonts w:eastAsia="MS Mincho"/>
          <w:i/>
          <w:sz w:val="22"/>
          <w:szCs w:val="22"/>
          <w:lang w:val="en-US"/>
        </w:rPr>
        <w:t>Sterna dougallii</w:t>
      </w:r>
      <w:r>
        <w:rPr>
          <w:rFonts w:eastAsia="MS Mincho"/>
          <w:i/>
          <w:sz w:val="22"/>
          <w:szCs w:val="22"/>
          <w:lang w:val="en-US"/>
        </w:rPr>
        <w:t>)</w:t>
      </w:r>
      <w:r w:rsidRPr="009978E3">
        <w:rPr>
          <w:rFonts w:eastAsia="MS Mincho"/>
          <w:sz w:val="22"/>
          <w:szCs w:val="22"/>
          <w:lang w:val="en-US"/>
        </w:rPr>
        <w:t xml:space="preserve"> belonging to the Birds Directive Annex I.</w:t>
      </w:r>
    </w:p>
    <w:p w14:paraId="154F217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The species studied in the area belong to several phyl</w:t>
      </w:r>
      <w:r>
        <w:rPr>
          <w:rFonts w:eastAsia="MS Mincho"/>
          <w:sz w:val="22"/>
          <w:szCs w:val="22"/>
          <w:lang w:val="en-US"/>
        </w:rPr>
        <w:t>a</w:t>
      </w:r>
      <w:r w:rsidRPr="009978E3">
        <w:rPr>
          <w:rFonts w:eastAsia="MS Mincho"/>
          <w:sz w:val="22"/>
          <w:szCs w:val="22"/>
          <w:lang w:val="en-US"/>
        </w:rPr>
        <w:t>, class</w:t>
      </w:r>
      <w:r>
        <w:rPr>
          <w:rFonts w:eastAsia="MS Mincho"/>
          <w:sz w:val="22"/>
          <w:szCs w:val="22"/>
          <w:lang w:val="en-US"/>
        </w:rPr>
        <w:t>es</w:t>
      </w:r>
      <w:r w:rsidRPr="009978E3">
        <w:rPr>
          <w:rFonts w:eastAsia="MS Mincho"/>
          <w:sz w:val="22"/>
          <w:szCs w:val="22"/>
          <w:lang w:val="en-US"/>
        </w:rPr>
        <w:t xml:space="preserve"> or orders. The </w:t>
      </w:r>
      <w:r>
        <w:rPr>
          <w:rFonts w:eastAsia="MS Mincho"/>
          <w:sz w:val="22"/>
          <w:szCs w:val="22"/>
          <w:lang w:val="en-US"/>
        </w:rPr>
        <w:t>area</w:t>
      </w:r>
      <w:r w:rsidRPr="009978E3">
        <w:rPr>
          <w:rFonts w:eastAsia="MS Mincho"/>
          <w:sz w:val="22"/>
          <w:szCs w:val="22"/>
          <w:lang w:val="en-US"/>
        </w:rPr>
        <w:t xml:space="preserve"> includes various species of scleractinians and gorgonians. In some seamounts the gorgonian and sponge species were reported to form dense gorgonian coral habitat-forming aggregations which may represent important feeding and sheltering grounds for seamount fishes a</w:t>
      </w:r>
      <w:r>
        <w:rPr>
          <w:rFonts w:eastAsia="MS Mincho"/>
          <w:sz w:val="22"/>
          <w:szCs w:val="22"/>
          <w:lang w:val="en-US"/>
        </w:rPr>
        <w:t>s well as</w:t>
      </w:r>
      <w:r w:rsidRPr="009978E3">
        <w:rPr>
          <w:rFonts w:eastAsia="MS Mincho"/>
          <w:sz w:val="22"/>
          <w:szCs w:val="22"/>
          <w:lang w:val="en-US"/>
        </w:rPr>
        <w:t xml:space="preserve"> potential shark nurseries (</w:t>
      </w:r>
      <w:r w:rsidRPr="009978E3">
        <w:rPr>
          <w:sz w:val="22"/>
          <w:szCs w:val="22"/>
          <w:lang w:val="en-US"/>
        </w:rPr>
        <w:t>WWF, 2001</w:t>
      </w:r>
      <w:r w:rsidRPr="009978E3">
        <w:rPr>
          <w:rFonts w:eastAsia="MS Mincho"/>
          <w:sz w:val="22"/>
          <w:szCs w:val="22"/>
          <w:lang w:val="en-US"/>
        </w:rPr>
        <w:t xml:space="preserve">; </w:t>
      </w:r>
      <w:r w:rsidRPr="009978E3">
        <w:rPr>
          <w:sz w:val="22"/>
          <w:szCs w:val="22"/>
          <w:lang w:val="en-US"/>
        </w:rPr>
        <w:t>Etnoyer &amp; Warrenchuk, 2007</w:t>
      </w:r>
      <w:r w:rsidRPr="009978E3">
        <w:rPr>
          <w:rFonts w:eastAsia="MS Mincho"/>
          <w:sz w:val="22"/>
          <w:szCs w:val="22"/>
          <w:lang w:val="en-US"/>
        </w:rPr>
        <w:t xml:space="preserve">; </w:t>
      </w:r>
      <w:r w:rsidRPr="009978E3">
        <w:rPr>
          <w:sz w:val="22"/>
          <w:szCs w:val="22"/>
          <w:lang w:val="en-US"/>
        </w:rPr>
        <w:t>OSPAR, 2011</w:t>
      </w:r>
      <w:r w:rsidRPr="009978E3">
        <w:rPr>
          <w:rFonts w:eastAsia="MS Mincho"/>
          <w:sz w:val="22"/>
          <w:szCs w:val="22"/>
          <w:lang w:val="en-US"/>
        </w:rPr>
        <w:t>). Cold</w:t>
      </w:r>
      <w:r>
        <w:rPr>
          <w:rFonts w:eastAsia="MS Mincho"/>
          <w:sz w:val="22"/>
          <w:szCs w:val="22"/>
          <w:lang w:val="en-US"/>
        </w:rPr>
        <w:t>-</w:t>
      </w:r>
      <w:r w:rsidRPr="009978E3">
        <w:rPr>
          <w:rFonts w:eastAsia="MS Mincho"/>
          <w:sz w:val="22"/>
          <w:szCs w:val="22"/>
          <w:lang w:val="en-US"/>
        </w:rPr>
        <w:t>water, deep, habitat</w:t>
      </w:r>
      <w:r>
        <w:rPr>
          <w:rFonts w:eastAsia="MS Mincho"/>
          <w:sz w:val="22"/>
          <w:szCs w:val="22"/>
          <w:lang w:val="en-US"/>
        </w:rPr>
        <w:t>-</w:t>
      </w:r>
      <w:r w:rsidRPr="009978E3">
        <w:rPr>
          <w:rFonts w:eastAsia="MS Mincho"/>
          <w:sz w:val="22"/>
          <w:szCs w:val="22"/>
          <w:lang w:val="en-US"/>
        </w:rPr>
        <w:t>forming corals can shelter higher megafauna in association with the corals (</w:t>
      </w:r>
      <w:r w:rsidRPr="009978E3">
        <w:rPr>
          <w:sz w:val="22"/>
          <w:szCs w:val="22"/>
          <w:lang w:val="en-US"/>
        </w:rPr>
        <w:t xml:space="preserve">Roberts </w:t>
      </w:r>
      <w:r w:rsidRPr="0006066A">
        <w:rPr>
          <w:i/>
          <w:sz w:val="22"/>
          <w:szCs w:val="22"/>
          <w:lang w:val="en-US"/>
        </w:rPr>
        <w:t>et al</w:t>
      </w:r>
      <w:r w:rsidRPr="009978E3">
        <w:rPr>
          <w:i/>
          <w:sz w:val="22"/>
          <w:szCs w:val="22"/>
          <w:lang w:val="en-US"/>
        </w:rPr>
        <w:t xml:space="preserve">., </w:t>
      </w:r>
      <w:r w:rsidRPr="009978E3">
        <w:rPr>
          <w:sz w:val="22"/>
          <w:szCs w:val="22"/>
          <w:lang w:val="en-US"/>
        </w:rPr>
        <w:t>2006</w:t>
      </w:r>
      <w:r w:rsidRPr="009978E3">
        <w:rPr>
          <w:rFonts w:eastAsia="MS Mincho"/>
          <w:sz w:val="22"/>
          <w:szCs w:val="22"/>
          <w:lang w:val="en-US"/>
        </w:rPr>
        <w:t xml:space="preserve">; </w:t>
      </w:r>
      <w:r w:rsidRPr="009978E3">
        <w:rPr>
          <w:sz w:val="22"/>
          <w:szCs w:val="22"/>
          <w:lang w:val="en-US"/>
        </w:rPr>
        <w:t xml:space="preserve">Mortensen </w:t>
      </w:r>
      <w:r w:rsidRPr="0006066A">
        <w:rPr>
          <w:i/>
          <w:sz w:val="22"/>
          <w:szCs w:val="22"/>
          <w:lang w:val="en-US"/>
        </w:rPr>
        <w:t>et al</w:t>
      </w:r>
      <w:r w:rsidRPr="009978E3">
        <w:rPr>
          <w:i/>
          <w:sz w:val="22"/>
          <w:szCs w:val="22"/>
          <w:lang w:val="en-US"/>
        </w:rPr>
        <w:t xml:space="preserve">., </w:t>
      </w:r>
      <w:r w:rsidRPr="009978E3">
        <w:rPr>
          <w:sz w:val="22"/>
          <w:szCs w:val="22"/>
          <w:lang w:val="en-US"/>
        </w:rPr>
        <w:t>2008</w:t>
      </w:r>
      <w:r w:rsidRPr="009978E3">
        <w:rPr>
          <w:rFonts w:eastAsia="MS Mincho"/>
          <w:sz w:val="22"/>
          <w:szCs w:val="22"/>
          <w:lang w:val="en-US"/>
        </w:rPr>
        <w:t xml:space="preserve">, </w:t>
      </w:r>
      <w:r w:rsidRPr="009978E3">
        <w:rPr>
          <w:sz w:val="22"/>
          <w:szCs w:val="22"/>
          <w:lang w:val="en-US"/>
        </w:rPr>
        <w:t xml:space="preserve">Rogers </w:t>
      </w:r>
      <w:r w:rsidRPr="0006066A">
        <w:rPr>
          <w:i/>
          <w:sz w:val="22"/>
          <w:szCs w:val="22"/>
          <w:lang w:val="en-US"/>
        </w:rPr>
        <w:t>et al</w:t>
      </w:r>
      <w:r w:rsidRPr="009978E3">
        <w:rPr>
          <w:i/>
          <w:sz w:val="22"/>
          <w:szCs w:val="22"/>
          <w:lang w:val="en-US"/>
        </w:rPr>
        <w:t xml:space="preserve">., </w:t>
      </w:r>
      <w:r w:rsidRPr="009978E3">
        <w:rPr>
          <w:sz w:val="22"/>
          <w:szCs w:val="22"/>
          <w:lang w:val="en-US"/>
        </w:rPr>
        <w:t>2008</w:t>
      </w:r>
      <w:r w:rsidRPr="009978E3">
        <w:rPr>
          <w:rFonts w:eastAsia="MS Mincho"/>
          <w:sz w:val="22"/>
          <w:szCs w:val="22"/>
          <w:lang w:val="en-US"/>
        </w:rPr>
        <w:t>). Seamounts also harbour large aggregations of demersal or benthopelagic fish (</w:t>
      </w:r>
      <w:r w:rsidRPr="009978E3">
        <w:rPr>
          <w:sz w:val="22"/>
          <w:szCs w:val="22"/>
          <w:lang w:val="en-US"/>
        </w:rPr>
        <w:t>Koslow, 1997</w:t>
      </w:r>
      <w:r w:rsidRPr="009978E3">
        <w:rPr>
          <w:rFonts w:eastAsia="MS Mincho"/>
          <w:sz w:val="22"/>
          <w:szCs w:val="22"/>
          <w:lang w:val="en-US"/>
        </w:rPr>
        <w:t xml:space="preserve">; </w:t>
      </w:r>
      <w:r w:rsidRPr="009978E3">
        <w:rPr>
          <w:sz w:val="22"/>
          <w:szCs w:val="22"/>
          <w:lang w:val="en-US"/>
        </w:rPr>
        <w:t>Morato &amp; Pauly, 2004</w:t>
      </w:r>
      <w:r w:rsidRPr="009978E3">
        <w:rPr>
          <w:rFonts w:eastAsia="MS Mincho"/>
          <w:sz w:val="22"/>
          <w:szCs w:val="22"/>
          <w:lang w:val="en-US"/>
        </w:rPr>
        <w:t xml:space="preserve">; </w:t>
      </w:r>
      <w:r w:rsidRPr="009978E3">
        <w:rPr>
          <w:sz w:val="22"/>
          <w:szCs w:val="22"/>
          <w:lang w:val="en-US"/>
        </w:rPr>
        <w:t xml:space="preserve">Pitcher </w:t>
      </w:r>
      <w:r w:rsidRPr="0006066A">
        <w:rPr>
          <w:i/>
          <w:sz w:val="22"/>
          <w:szCs w:val="22"/>
          <w:lang w:val="en-US"/>
        </w:rPr>
        <w:t>et al</w:t>
      </w:r>
      <w:r w:rsidRPr="009978E3">
        <w:rPr>
          <w:i/>
          <w:sz w:val="22"/>
          <w:szCs w:val="22"/>
          <w:lang w:val="en-US"/>
        </w:rPr>
        <w:t xml:space="preserve">., </w:t>
      </w:r>
      <w:r w:rsidRPr="009978E3">
        <w:rPr>
          <w:sz w:val="22"/>
          <w:szCs w:val="22"/>
          <w:lang w:val="en-US"/>
        </w:rPr>
        <w:t>2007</w:t>
      </w:r>
      <w:r w:rsidRPr="009978E3">
        <w:rPr>
          <w:rFonts w:eastAsia="MS Mincho"/>
          <w:sz w:val="22"/>
          <w:szCs w:val="22"/>
          <w:lang w:val="en-US"/>
        </w:rPr>
        <w:t xml:space="preserve">; </w:t>
      </w:r>
      <w:r w:rsidRPr="009978E3">
        <w:rPr>
          <w:sz w:val="22"/>
          <w:szCs w:val="22"/>
          <w:lang w:val="en-US"/>
        </w:rPr>
        <w:t xml:space="preserve">Morato </w:t>
      </w:r>
      <w:r w:rsidRPr="0006066A">
        <w:rPr>
          <w:i/>
          <w:sz w:val="22"/>
          <w:szCs w:val="22"/>
          <w:lang w:val="en-US"/>
        </w:rPr>
        <w:t>et al</w:t>
      </w:r>
      <w:r w:rsidRPr="009978E3">
        <w:rPr>
          <w:i/>
          <w:sz w:val="22"/>
          <w:szCs w:val="22"/>
          <w:lang w:val="en-US"/>
        </w:rPr>
        <w:t xml:space="preserve">., </w:t>
      </w:r>
      <w:r w:rsidRPr="009978E3">
        <w:rPr>
          <w:sz w:val="22"/>
          <w:szCs w:val="22"/>
          <w:lang w:val="en-US"/>
        </w:rPr>
        <w:t>2009</w:t>
      </w:r>
      <w:r w:rsidRPr="009978E3">
        <w:rPr>
          <w:rFonts w:eastAsia="MS Mincho"/>
          <w:sz w:val="22"/>
          <w:szCs w:val="22"/>
          <w:lang w:val="en-US"/>
        </w:rPr>
        <w:t xml:space="preserve">, </w:t>
      </w:r>
      <w:r w:rsidRPr="009978E3">
        <w:rPr>
          <w:sz w:val="22"/>
          <w:szCs w:val="22"/>
          <w:lang w:val="en-US"/>
        </w:rPr>
        <w:t>2010</w:t>
      </w:r>
      <w:r w:rsidRPr="009978E3">
        <w:rPr>
          <w:rFonts w:eastAsia="MS Mincho"/>
          <w:sz w:val="22"/>
          <w:szCs w:val="22"/>
          <w:lang w:val="en-US"/>
        </w:rPr>
        <w:t>). Seamounts are recognized in many different fora as being vulnerable to the effects of fishing pressure (</w:t>
      </w:r>
      <w:r>
        <w:rPr>
          <w:rFonts w:eastAsia="MS Mincho"/>
          <w:sz w:val="22"/>
          <w:szCs w:val="22"/>
          <w:lang w:val="en-US"/>
        </w:rPr>
        <w:t>e.g.,</w:t>
      </w:r>
      <w:r w:rsidRPr="009978E3">
        <w:rPr>
          <w:rFonts w:eastAsia="MS Mincho"/>
          <w:sz w:val="22"/>
          <w:szCs w:val="22"/>
          <w:lang w:val="en-US"/>
        </w:rPr>
        <w:t xml:space="preserve"> UN, OSPAR, FAO, NEAFC, NAFO, UNEP).</w:t>
      </w:r>
    </w:p>
    <w:p w14:paraId="4BC09CC6"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Deep-sea hydrothermal vents are among the most extreme and dynamic environments on Earth. However, islands of highly dense and biologically diverse communities exist in the immediate vicinity of hydrothermal vent flows, in stark contrast to the surrounding bare seafloor (Thornburgn </w:t>
      </w:r>
      <w:r w:rsidRPr="0006066A">
        <w:rPr>
          <w:rFonts w:eastAsia="MS Mincho"/>
          <w:i/>
          <w:sz w:val="22"/>
          <w:szCs w:val="22"/>
          <w:lang w:val="en-US"/>
        </w:rPr>
        <w:t>et al</w:t>
      </w:r>
      <w:r w:rsidRPr="009978E3">
        <w:rPr>
          <w:rFonts w:eastAsia="MS Mincho"/>
          <w:i/>
          <w:sz w:val="22"/>
          <w:szCs w:val="22"/>
          <w:lang w:val="en-US"/>
        </w:rPr>
        <w:t xml:space="preserve">., </w:t>
      </w:r>
      <w:r w:rsidRPr="009978E3">
        <w:rPr>
          <w:rFonts w:eastAsia="MS Mincho"/>
          <w:sz w:val="22"/>
          <w:szCs w:val="22"/>
          <w:lang w:val="en-US"/>
        </w:rPr>
        <w:t>2010).</w:t>
      </w:r>
      <w:r w:rsidRPr="009978E3">
        <w:rPr>
          <w:sz w:val="22"/>
          <w:szCs w:val="22"/>
        </w:rPr>
        <w:t xml:space="preserve"> </w:t>
      </w:r>
      <w:r w:rsidRPr="009978E3">
        <w:rPr>
          <w:rFonts w:eastAsia="MS Mincho"/>
          <w:sz w:val="22"/>
          <w:szCs w:val="22"/>
          <w:lang w:val="en-US"/>
        </w:rPr>
        <w:t xml:space="preserve">Unique communities are formed around vents, attracting unusual creatures such as red-plumed giant tube worms and massive clams, which cluster around the dark chimneys where vent fluids emerge. </w:t>
      </w:r>
    </w:p>
    <w:p w14:paraId="5DF17F82"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14B58A80"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Most available studies are qualitative and often focus on specific taxonomic groups, such as Fish, Echinoderms, Anthozoa and Elasmobranchii </w:t>
      </w:r>
      <w:r w:rsidRPr="00EC5399">
        <w:rPr>
          <w:sz w:val="22"/>
          <w:szCs w:val="22"/>
          <w:lang w:val="en-US"/>
        </w:rPr>
        <w:t>(</w:t>
      </w:r>
      <w:r w:rsidRPr="0021277B">
        <w:rPr>
          <w:sz w:val="22"/>
          <w:szCs w:val="22"/>
          <w:lang w:val="en-US"/>
        </w:rPr>
        <w:t>e.g.,</w:t>
      </w:r>
      <w:r w:rsidRPr="009978E3">
        <w:rPr>
          <w:sz w:val="22"/>
          <w:szCs w:val="22"/>
          <w:lang w:val="en-US"/>
        </w:rPr>
        <w:t xml:space="preserve"> </w:t>
      </w:r>
      <w:r w:rsidRPr="009978E3">
        <w:rPr>
          <w:rFonts w:eastAsia="Calibri"/>
          <w:sz w:val="22"/>
          <w:szCs w:val="22"/>
          <w:lang w:val="en-US"/>
        </w:rPr>
        <w:t xml:space="preserve">Mortensen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 xml:space="preserve">2008; Gebruk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 xml:space="preserve">2010; Menezes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2012</w:t>
      </w:r>
      <w:r w:rsidRPr="009978E3">
        <w:rPr>
          <w:rFonts w:eastAsia="MS Mincho"/>
          <w:sz w:val="22"/>
          <w:szCs w:val="22"/>
          <w:lang w:val="en-US"/>
        </w:rPr>
        <w:t xml:space="preserve">). </w:t>
      </w:r>
      <w:r>
        <w:rPr>
          <w:rFonts w:eastAsia="MS Mincho"/>
          <w:sz w:val="22"/>
          <w:szCs w:val="22"/>
          <w:lang w:val="en-US"/>
        </w:rPr>
        <w:t>Most</w:t>
      </w:r>
      <w:r w:rsidRPr="009978E3">
        <w:rPr>
          <w:rFonts w:eastAsia="MS Mincho"/>
          <w:sz w:val="22"/>
          <w:szCs w:val="22"/>
          <w:lang w:val="en-US"/>
        </w:rPr>
        <w:t xml:space="preserve"> study cruises that </w:t>
      </w:r>
      <w:r>
        <w:rPr>
          <w:rFonts w:eastAsia="MS Mincho"/>
          <w:sz w:val="22"/>
          <w:szCs w:val="22"/>
          <w:lang w:val="en-US"/>
        </w:rPr>
        <w:t xml:space="preserve">have </w:t>
      </w:r>
      <w:r w:rsidRPr="009978E3">
        <w:rPr>
          <w:rFonts w:eastAsia="MS Mincho"/>
          <w:sz w:val="22"/>
          <w:szCs w:val="22"/>
          <w:lang w:val="en-US"/>
        </w:rPr>
        <w:t xml:space="preserve">visited the area were focused in Sedlo bank with sampling of the demersal vertebrate fauna (fish). The OSPAR </w:t>
      </w:r>
      <w:r>
        <w:rPr>
          <w:rFonts w:eastAsia="MS Mincho"/>
          <w:sz w:val="22"/>
          <w:szCs w:val="22"/>
          <w:lang w:val="en-US"/>
        </w:rPr>
        <w:t xml:space="preserve">High Seas </w:t>
      </w:r>
      <w:r w:rsidRPr="009978E3">
        <w:rPr>
          <w:rFonts w:eastAsia="MS Mincho"/>
          <w:sz w:val="22"/>
          <w:szCs w:val="22"/>
          <w:lang w:val="en-US"/>
        </w:rPr>
        <w:t>MPAs (Altair, Antialtair and MARNA) have a small number of scientific articles and reports focused on them.</w:t>
      </w:r>
    </w:p>
    <w:p w14:paraId="734D205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 xml:space="preserve">At the Moytirra hydrothermal vent the dissolved constituents of the venting fluids play, as </w:t>
      </w:r>
      <w:r>
        <w:rPr>
          <w:rFonts w:eastAsia="MS Mincho"/>
          <w:sz w:val="22"/>
          <w:szCs w:val="22"/>
          <w:lang w:val="en-US"/>
        </w:rPr>
        <w:t xml:space="preserve">do </w:t>
      </w:r>
      <w:r w:rsidRPr="009978E3">
        <w:rPr>
          <w:rFonts w:eastAsia="MS Mincho"/>
          <w:sz w:val="22"/>
          <w:szCs w:val="22"/>
          <w:lang w:val="en-US"/>
        </w:rPr>
        <w:t xml:space="preserve">the other vents, an important role in the geochemical mass balance of the oceans (Edmond </w:t>
      </w:r>
      <w:r w:rsidRPr="0006066A">
        <w:rPr>
          <w:rFonts w:eastAsia="MS Mincho"/>
          <w:i/>
          <w:sz w:val="22"/>
          <w:szCs w:val="22"/>
          <w:lang w:val="en-US"/>
        </w:rPr>
        <w:t>et al</w:t>
      </w:r>
      <w:r w:rsidRPr="009978E3">
        <w:rPr>
          <w:rFonts w:eastAsia="MS Mincho"/>
          <w:sz w:val="22"/>
          <w:szCs w:val="22"/>
          <w:lang w:val="en-US"/>
        </w:rPr>
        <w:t xml:space="preserve">., 1979). The high concentrations of valuable minerals make these kind of structures targets for deep-ocean mining (Hoagland </w:t>
      </w:r>
      <w:r w:rsidRPr="0006066A">
        <w:rPr>
          <w:rFonts w:eastAsia="MS Mincho"/>
          <w:i/>
          <w:sz w:val="22"/>
          <w:szCs w:val="22"/>
          <w:lang w:val="en-US"/>
        </w:rPr>
        <w:t>et al</w:t>
      </w:r>
      <w:r w:rsidRPr="009978E3">
        <w:rPr>
          <w:rFonts w:eastAsia="MS Mincho"/>
          <w:sz w:val="22"/>
          <w:szCs w:val="22"/>
          <w:lang w:val="en-US"/>
        </w:rPr>
        <w:t>., 2010; Van Dover, 2011), which carries a high risk of damage to these fragile ecosystems. This type of ecosystem is sensitive because of its high percentage of endemic species and the unique nature of many of the species found there (</w:t>
      </w:r>
      <w:r>
        <w:rPr>
          <w:rFonts w:eastAsia="MS Mincho"/>
          <w:sz w:val="22"/>
          <w:szCs w:val="22"/>
          <w:lang w:val="en-US"/>
        </w:rPr>
        <w:t>e.g.,</w:t>
      </w:r>
      <w:r w:rsidRPr="009978E3">
        <w:rPr>
          <w:rFonts w:eastAsia="MS Mincho"/>
          <w:sz w:val="22"/>
          <w:szCs w:val="22"/>
          <w:lang w:val="en-US"/>
        </w:rPr>
        <w:t xml:space="preserve"> Vrijenhoek, 2010;</w:t>
      </w:r>
      <w:r w:rsidRPr="009978E3">
        <w:rPr>
          <w:rFonts w:eastAsia="Calibri"/>
          <w:sz w:val="22"/>
          <w:szCs w:val="22"/>
          <w:lang w:val="en-US"/>
        </w:rPr>
        <w:t xml:space="preserve"> Ramirez-Llodra </w:t>
      </w:r>
      <w:r w:rsidRPr="0006066A">
        <w:rPr>
          <w:rFonts w:eastAsia="Calibri"/>
          <w:i/>
          <w:sz w:val="22"/>
          <w:szCs w:val="22"/>
          <w:lang w:val="en-US"/>
        </w:rPr>
        <w:t>et al</w:t>
      </w:r>
      <w:r w:rsidRPr="009978E3">
        <w:rPr>
          <w:rFonts w:eastAsia="Calibri"/>
          <w:i/>
          <w:sz w:val="22"/>
          <w:szCs w:val="22"/>
          <w:lang w:val="en-US"/>
        </w:rPr>
        <w:t xml:space="preserve">., </w:t>
      </w:r>
      <w:r w:rsidRPr="009978E3">
        <w:rPr>
          <w:rFonts w:eastAsia="Calibri"/>
          <w:sz w:val="22"/>
          <w:szCs w:val="22"/>
          <w:lang w:val="en-US"/>
        </w:rPr>
        <w:t>2011</w:t>
      </w:r>
      <w:r w:rsidRPr="009978E3">
        <w:rPr>
          <w:rFonts w:eastAsia="MS Mincho"/>
          <w:sz w:val="22"/>
          <w:szCs w:val="22"/>
          <w:lang w:val="en-US"/>
        </w:rPr>
        <w:t>). One of the “recent” potential threats to these ecosystems is bioprospecting activit</w:t>
      </w:r>
      <w:r>
        <w:rPr>
          <w:rFonts w:eastAsia="MS Mincho"/>
          <w:sz w:val="22"/>
          <w:szCs w:val="22"/>
          <w:lang w:val="en-US"/>
        </w:rPr>
        <w:t>ies</w:t>
      </w:r>
      <w:r w:rsidRPr="009978E3">
        <w:rPr>
          <w:rFonts w:eastAsia="MS Mincho"/>
          <w:sz w:val="22"/>
          <w:szCs w:val="22"/>
          <w:lang w:val="en-US"/>
        </w:rPr>
        <w:t xml:space="preserve"> for possible sources of biotechnology (</w:t>
      </w:r>
      <w:r>
        <w:rPr>
          <w:rFonts w:eastAsia="MS Mincho"/>
          <w:sz w:val="22"/>
          <w:szCs w:val="22"/>
          <w:lang w:val="en-US"/>
        </w:rPr>
        <w:t>e.g.,</w:t>
      </w:r>
      <w:r w:rsidRPr="009978E3">
        <w:rPr>
          <w:rFonts w:eastAsia="MS Mincho"/>
          <w:sz w:val="22"/>
          <w:szCs w:val="22"/>
          <w:lang w:val="en-US"/>
        </w:rPr>
        <w:t xml:space="preserve"> bacteria on hydrothermal vents) (Gubbay, 2003; Synnes, 2007). </w:t>
      </w:r>
    </w:p>
    <w:p w14:paraId="0CF92081" w14:textId="77777777" w:rsidR="006B3F46" w:rsidRPr="009978E3" w:rsidRDefault="006B3F46" w:rsidP="002E4B39">
      <w:pPr>
        <w:suppressLineNumbers/>
        <w:spacing w:after="120"/>
        <w:jc w:val="both"/>
        <w:rPr>
          <w:rFonts w:eastAsia="MS Mincho"/>
          <w:sz w:val="22"/>
          <w:szCs w:val="22"/>
          <w:lang w:val="en-US"/>
        </w:rPr>
      </w:pPr>
      <w:r>
        <w:rPr>
          <w:rFonts w:eastAsia="MS Mincho"/>
          <w:sz w:val="22"/>
          <w:szCs w:val="22"/>
          <w:lang w:val="en-US"/>
        </w:rPr>
        <w:t>S</w:t>
      </w:r>
      <w:r w:rsidRPr="009978E3">
        <w:rPr>
          <w:rFonts w:eastAsia="MS Mincho"/>
          <w:sz w:val="22"/>
          <w:szCs w:val="22"/>
          <w:lang w:val="en-US"/>
        </w:rPr>
        <w:t>eamount ecosystems are also highly vulnerable and sensitive to external actions. Most of the fauna found on seamounts are long-lived and slow-growing organisms with low fecundity and natural mortality, so called K-selected species (</w:t>
      </w:r>
      <w:r w:rsidRPr="009978E3">
        <w:rPr>
          <w:sz w:val="22"/>
          <w:szCs w:val="22"/>
          <w:lang w:val="en-US"/>
        </w:rPr>
        <w:t xml:space="preserve">Brewin </w:t>
      </w:r>
      <w:r w:rsidRPr="0006066A">
        <w:rPr>
          <w:i/>
          <w:sz w:val="22"/>
          <w:szCs w:val="22"/>
          <w:lang w:val="en-US"/>
        </w:rPr>
        <w:t>et al</w:t>
      </w:r>
      <w:r w:rsidRPr="009978E3">
        <w:rPr>
          <w:i/>
          <w:sz w:val="22"/>
          <w:szCs w:val="22"/>
          <w:lang w:val="en-US"/>
        </w:rPr>
        <w:t xml:space="preserve">., </w:t>
      </w:r>
      <w:r w:rsidRPr="009978E3">
        <w:rPr>
          <w:sz w:val="22"/>
          <w:szCs w:val="22"/>
          <w:lang w:val="en-US"/>
        </w:rPr>
        <w:t>2007</w:t>
      </w:r>
      <w:r w:rsidRPr="009978E3">
        <w:rPr>
          <w:rFonts w:eastAsia="MS Mincho"/>
          <w:sz w:val="22"/>
          <w:szCs w:val="22"/>
          <w:lang w:val="en-US"/>
        </w:rPr>
        <w:t>). Recruitment events of long-lived seamount fauna seem to be episodic and rare (</w:t>
      </w:r>
      <w:r w:rsidRPr="009978E3">
        <w:rPr>
          <w:sz w:val="22"/>
          <w:szCs w:val="22"/>
          <w:lang w:val="en-US"/>
        </w:rPr>
        <w:t xml:space="preserve">Brewin </w:t>
      </w:r>
      <w:r w:rsidRPr="0006066A">
        <w:rPr>
          <w:i/>
          <w:sz w:val="22"/>
          <w:szCs w:val="22"/>
          <w:lang w:val="en-US"/>
        </w:rPr>
        <w:t>et al</w:t>
      </w:r>
      <w:r w:rsidRPr="009978E3">
        <w:rPr>
          <w:i/>
          <w:sz w:val="22"/>
          <w:szCs w:val="22"/>
          <w:lang w:val="en-US"/>
        </w:rPr>
        <w:t xml:space="preserve">., </w:t>
      </w:r>
      <w:r w:rsidRPr="009978E3">
        <w:rPr>
          <w:sz w:val="22"/>
          <w:szCs w:val="22"/>
          <w:lang w:val="en-US"/>
        </w:rPr>
        <w:t>2007</w:t>
      </w:r>
      <w:r w:rsidRPr="009978E3">
        <w:rPr>
          <w:rFonts w:eastAsia="MS Mincho"/>
          <w:sz w:val="22"/>
          <w:szCs w:val="22"/>
          <w:lang w:val="en-US"/>
        </w:rPr>
        <w:t>). The type of gear (usually rock-hopper trawls) used to fish over the rough and rocky substrata on seamounts is particularly destructive of benthic habitat, destroying the very long</w:t>
      </w:r>
      <w:r>
        <w:rPr>
          <w:rFonts w:eastAsia="MS Mincho"/>
          <w:sz w:val="22"/>
          <w:szCs w:val="22"/>
          <w:lang w:val="en-US"/>
        </w:rPr>
        <w:t>-</w:t>
      </w:r>
      <w:r w:rsidRPr="009978E3">
        <w:rPr>
          <w:rFonts w:eastAsia="MS Mincho"/>
          <w:sz w:val="22"/>
          <w:szCs w:val="22"/>
          <w:lang w:val="en-US"/>
        </w:rPr>
        <w:t>lived and slow-growing sessile suspension</w:t>
      </w:r>
      <w:r>
        <w:rPr>
          <w:rFonts w:eastAsia="MS Mincho"/>
          <w:sz w:val="22"/>
          <w:szCs w:val="22"/>
          <w:lang w:val="en-US"/>
        </w:rPr>
        <w:t>-</w:t>
      </w:r>
      <w:r w:rsidRPr="009978E3">
        <w:rPr>
          <w:rFonts w:eastAsia="MS Mincho"/>
          <w:sz w:val="22"/>
          <w:szCs w:val="22"/>
          <w:lang w:val="en-US"/>
        </w:rPr>
        <w:t>feeding organisms that dominate these habitats (</w:t>
      </w:r>
      <w:r w:rsidRPr="009978E3">
        <w:rPr>
          <w:sz w:val="22"/>
          <w:szCs w:val="22"/>
          <w:lang w:val="en-US"/>
        </w:rPr>
        <w:t xml:space="preserve">Brewin </w:t>
      </w:r>
      <w:r w:rsidRPr="0006066A">
        <w:rPr>
          <w:i/>
          <w:sz w:val="22"/>
          <w:szCs w:val="22"/>
          <w:lang w:val="en-US"/>
        </w:rPr>
        <w:t>et al</w:t>
      </w:r>
      <w:r w:rsidRPr="009978E3">
        <w:rPr>
          <w:i/>
          <w:sz w:val="22"/>
          <w:szCs w:val="22"/>
          <w:lang w:val="en-US"/>
        </w:rPr>
        <w:t xml:space="preserve">., </w:t>
      </w:r>
      <w:r w:rsidRPr="009978E3">
        <w:rPr>
          <w:sz w:val="22"/>
          <w:szCs w:val="22"/>
          <w:lang w:val="en-US"/>
        </w:rPr>
        <w:t>2007</w:t>
      </w:r>
      <w:r w:rsidRPr="009978E3">
        <w:rPr>
          <w:rFonts w:eastAsia="MS Mincho"/>
          <w:sz w:val="22"/>
          <w:szCs w:val="22"/>
          <w:lang w:val="en-US"/>
        </w:rPr>
        <w:t>). Benthic seamount communities are highly vulnerable to the impacts of fishing because of their limited habitat, the extreme longevity of many species, apparently limited recruitment between seamounts and the highly localized distribution of many species (</w:t>
      </w:r>
      <w:r w:rsidRPr="009978E3">
        <w:rPr>
          <w:sz w:val="22"/>
          <w:szCs w:val="22"/>
          <w:lang w:val="en-US"/>
        </w:rPr>
        <w:t xml:space="preserve">de Forges </w:t>
      </w:r>
      <w:r w:rsidRPr="0006066A">
        <w:rPr>
          <w:i/>
          <w:sz w:val="22"/>
          <w:szCs w:val="22"/>
          <w:lang w:val="en-US"/>
        </w:rPr>
        <w:t>et al</w:t>
      </w:r>
      <w:r w:rsidRPr="009978E3">
        <w:rPr>
          <w:i/>
          <w:sz w:val="22"/>
          <w:szCs w:val="22"/>
          <w:lang w:val="en-US"/>
        </w:rPr>
        <w:t xml:space="preserve">., </w:t>
      </w:r>
      <w:r w:rsidRPr="009978E3">
        <w:rPr>
          <w:sz w:val="22"/>
          <w:szCs w:val="22"/>
          <w:lang w:val="en-US"/>
        </w:rPr>
        <w:t>2000</w:t>
      </w:r>
      <w:r w:rsidRPr="009978E3">
        <w:rPr>
          <w:rFonts w:eastAsia="MS Mincho"/>
          <w:sz w:val="22"/>
          <w:szCs w:val="22"/>
          <w:lang w:val="en-US"/>
        </w:rPr>
        <w:t xml:space="preserve">; </w:t>
      </w:r>
      <w:r w:rsidRPr="009978E3">
        <w:rPr>
          <w:sz w:val="22"/>
          <w:szCs w:val="22"/>
          <w:lang w:val="en-US"/>
        </w:rPr>
        <w:t xml:space="preserve">Samadi </w:t>
      </w:r>
      <w:r w:rsidRPr="0006066A">
        <w:rPr>
          <w:i/>
          <w:sz w:val="22"/>
          <w:szCs w:val="22"/>
          <w:lang w:val="en-US"/>
        </w:rPr>
        <w:t>et al</w:t>
      </w:r>
      <w:r w:rsidRPr="009978E3">
        <w:rPr>
          <w:i/>
          <w:sz w:val="22"/>
          <w:szCs w:val="22"/>
          <w:lang w:val="en-US"/>
        </w:rPr>
        <w:t xml:space="preserve">., </w:t>
      </w:r>
      <w:r w:rsidRPr="009978E3">
        <w:rPr>
          <w:sz w:val="22"/>
          <w:szCs w:val="22"/>
          <w:lang w:val="en-US"/>
        </w:rPr>
        <w:t>2006, 2007</w:t>
      </w:r>
      <w:r w:rsidRPr="009978E3">
        <w:rPr>
          <w:rFonts w:eastAsia="MS Mincho"/>
          <w:sz w:val="22"/>
          <w:szCs w:val="22"/>
          <w:lang w:val="en-US"/>
        </w:rPr>
        <w:t xml:space="preserve">). </w:t>
      </w:r>
    </w:p>
    <w:p w14:paraId="326EEB8E"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In a few decades, industrial fishing attention has been drawn to the abundance of commercially valuable fish species at many seamounts (</w:t>
      </w:r>
      <w:r w:rsidRPr="009978E3">
        <w:rPr>
          <w:sz w:val="22"/>
          <w:szCs w:val="22"/>
          <w:lang w:val="en-US"/>
        </w:rPr>
        <w:t>Koslow, 1997</w:t>
      </w:r>
      <w:r w:rsidRPr="009978E3">
        <w:rPr>
          <w:rFonts w:eastAsia="MS Mincho"/>
          <w:sz w:val="22"/>
          <w:szCs w:val="22"/>
          <w:lang w:val="en-US"/>
        </w:rPr>
        <w:t>). The reasons for the fish aggregations can be explained by the hypotheses that seamount areas can be “meeting points” of usually dispersed fish stocks, for example to aggregate for spawning, or that an enhanced food supply caused by special current conditions is the basis for locally maintaining large fish stocks. The importance of seamounts for fisheries is very well documented (</w:t>
      </w:r>
      <w:r w:rsidRPr="009978E3">
        <w:rPr>
          <w:sz w:val="22"/>
          <w:szCs w:val="22"/>
          <w:lang w:val="en-US"/>
        </w:rPr>
        <w:t>Boehlert &amp; Sasaki, 1988</w:t>
      </w:r>
      <w:r w:rsidRPr="009978E3">
        <w:rPr>
          <w:rFonts w:eastAsia="MS Mincho"/>
          <w:sz w:val="22"/>
          <w:szCs w:val="22"/>
          <w:lang w:val="en-US"/>
        </w:rPr>
        <w:t xml:space="preserve">, </w:t>
      </w:r>
      <w:r w:rsidRPr="009978E3">
        <w:rPr>
          <w:sz w:val="22"/>
          <w:szCs w:val="22"/>
          <w:lang w:val="en-US"/>
        </w:rPr>
        <w:t>Koslow, 1997</w:t>
      </w:r>
      <w:r w:rsidRPr="009978E3">
        <w:rPr>
          <w:rFonts w:eastAsia="MS Mincho"/>
          <w:sz w:val="22"/>
          <w:szCs w:val="22"/>
          <w:lang w:val="en-US"/>
        </w:rPr>
        <w:t xml:space="preserve">, </w:t>
      </w:r>
      <w:r w:rsidRPr="009978E3">
        <w:rPr>
          <w:sz w:val="22"/>
          <w:szCs w:val="22"/>
          <w:lang w:val="en-US"/>
        </w:rPr>
        <w:t xml:space="preserve">Morato </w:t>
      </w:r>
      <w:r w:rsidRPr="0006066A">
        <w:rPr>
          <w:i/>
          <w:sz w:val="22"/>
          <w:szCs w:val="22"/>
          <w:lang w:val="en-US"/>
        </w:rPr>
        <w:t>et al</w:t>
      </w:r>
      <w:r w:rsidRPr="009978E3">
        <w:rPr>
          <w:i/>
          <w:sz w:val="22"/>
          <w:szCs w:val="22"/>
          <w:lang w:val="en-US"/>
        </w:rPr>
        <w:t xml:space="preserve">., </w:t>
      </w:r>
      <w:r w:rsidRPr="009978E3">
        <w:rPr>
          <w:sz w:val="22"/>
          <w:szCs w:val="22"/>
          <w:lang w:val="en-US"/>
        </w:rPr>
        <w:t>2006</w:t>
      </w:r>
      <w:r w:rsidRPr="009978E3">
        <w:rPr>
          <w:rFonts w:eastAsia="MS Mincho"/>
          <w:sz w:val="22"/>
          <w:szCs w:val="22"/>
          <w:lang w:val="en-US"/>
        </w:rPr>
        <w:t xml:space="preserve">). The fishing effort in </w:t>
      </w:r>
      <w:r>
        <w:rPr>
          <w:rFonts w:eastAsia="MS Mincho"/>
          <w:sz w:val="22"/>
          <w:szCs w:val="22"/>
          <w:lang w:val="en-US"/>
        </w:rPr>
        <w:t>the area described</w:t>
      </w:r>
      <w:r w:rsidRPr="009978E3">
        <w:rPr>
          <w:rFonts w:eastAsia="MS Mincho"/>
          <w:sz w:val="22"/>
          <w:szCs w:val="22"/>
          <w:lang w:val="en-US"/>
        </w:rPr>
        <w:t xml:space="preserve"> focus</w:t>
      </w:r>
      <w:r>
        <w:rPr>
          <w:rFonts w:eastAsia="MS Mincho"/>
          <w:sz w:val="22"/>
          <w:szCs w:val="22"/>
          <w:lang w:val="en-US"/>
        </w:rPr>
        <w:t>es</w:t>
      </w:r>
      <w:r w:rsidRPr="009978E3">
        <w:rPr>
          <w:rFonts w:eastAsia="MS Mincho"/>
          <w:sz w:val="22"/>
          <w:szCs w:val="22"/>
          <w:lang w:val="en-US"/>
        </w:rPr>
        <w:t xml:space="preserve"> primarily on </w:t>
      </w:r>
      <w:r>
        <w:rPr>
          <w:rFonts w:eastAsia="MS Mincho"/>
          <w:sz w:val="22"/>
          <w:szCs w:val="22"/>
          <w:lang w:val="en-US"/>
        </w:rPr>
        <w:t xml:space="preserve">commercially </w:t>
      </w:r>
      <w:r w:rsidRPr="009978E3">
        <w:rPr>
          <w:rFonts w:eastAsia="MS Mincho"/>
          <w:sz w:val="22"/>
          <w:szCs w:val="22"/>
          <w:lang w:val="en-US"/>
        </w:rPr>
        <w:t xml:space="preserve">valuable species </w:t>
      </w:r>
      <w:r>
        <w:rPr>
          <w:rFonts w:eastAsia="MS Mincho"/>
          <w:sz w:val="22"/>
          <w:szCs w:val="22"/>
          <w:lang w:val="en-US"/>
        </w:rPr>
        <w:t>such as</w:t>
      </w:r>
      <w:r w:rsidRPr="009978E3">
        <w:rPr>
          <w:rFonts w:eastAsia="MS Mincho"/>
          <w:sz w:val="22"/>
          <w:szCs w:val="22"/>
          <w:lang w:val="en-US"/>
        </w:rPr>
        <w:t xml:space="preserve"> horse mackerel (</w:t>
      </w:r>
      <w:r w:rsidRPr="009978E3">
        <w:rPr>
          <w:rFonts w:eastAsia="MS Mincho"/>
          <w:i/>
          <w:sz w:val="22"/>
          <w:szCs w:val="22"/>
          <w:lang w:val="en-US"/>
        </w:rPr>
        <w:t>Trachurus trachurus</w:t>
      </w:r>
      <w:r w:rsidRPr="009978E3">
        <w:rPr>
          <w:rFonts w:eastAsia="MS Mincho"/>
          <w:sz w:val="22"/>
          <w:szCs w:val="22"/>
          <w:lang w:val="en-US"/>
        </w:rPr>
        <w:t>, Carangidae), mackerel (</w:t>
      </w:r>
      <w:r w:rsidRPr="009978E3">
        <w:rPr>
          <w:rFonts w:eastAsia="MS Mincho"/>
          <w:i/>
          <w:sz w:val="22"/>
          <w:szCs w:val="22"/>
          <w:lang w:val="en-US"/>
        </w:rPr>
        <w:t>Scomber</w:t>
      </w:r>
      <w:r w:rsidRPr="009978E3">
        <w:rPr>
          <w:i/>
          <w:sz w:val="22"/>
          <w:szCs w:val="22"/>
          <w:lang w:val="en-US"/>
        </w:rPr>
        <w:t xml:space="preserve"> sp</w:t>
      </w:r>
      <w:r w:rsidRPr="009978E3">
        <w:rPr>
          <w:rFonts w:eastAsia="MS Mincho"/>
          <w:sz w:val="22"/>
          <w:szCs w:val="22"/>
          <w:lang w:val="en-US"/>
        </w:rPr>
        <w:t>., Scombridae), scabbardfish (family Trichiuridae) and orange roughy (</w:t>
      </w:r>
      <w:r w:rsidRPr="009978E3">
        <w:rPr>
          <w:rFonts w:eastAsia="MS Mincho"/>
          <w:i/>
          <w:color w:val="000000"/>
          <w:sz w:val="22"/>
          <w:szCs w:val="22"/>
          <w:lang w:val="en-US"/>
        </w:rPr>
        <w:t>Hoplostethus</w:t>
      </w:r>
      <w:r w:rsidRPr="009978E3">
        <w:rPr>
          <w:i/>
          <w:sz w:val="22"/>
          <w:szCs w:val="22"/>
          <w:lang w:val="en-US"/>
        </w:rPr>
        <w:t xml:space="preserve"> atlanticus</w:t>
      </w:r>
      <w:r w:rsidRPr="009978E3">
        <w:rPr>
          <w:rFonts w:eastAsia="MS Mincho"/>
          <w:sz w:val="22"/>
          <w:szCs w:val="22"/>
          <w:lang w:val="en-US"/>
        </w:rPr>
        <w:t>). Starting in the early 1970s with Soviet/Russian trawlers, stocks of roundnose grenadier (</w:t>
      </w:r>
      <w:r w:rsidRPr="0021277B">
        <w:rPr>
          <w:rFonts w:eastAsia="MS Mincho"/>
          <w:i/>
          <w:sz w:val="22"/>
          <w:szCs w:val="22"/>
          <w:lang w:val="en-US"/>
        </w:rPr>
        <w:t>Coryphaenoides rupestris</w:t>
      </w:r>
      <w:r w:rsidRPr="009978E3">
        <w:rPr>
          <w:rFonts w:eastAsia="MS Mincho"/>
          <w:sz w:val="22"/>
          <w:szCs w:val="22"/>
          <w:lang w:val="en-US"/>
        </w:rPr>
        <w:t>), orange roughy (</w:t>
      </w:r>
      <w:r w:rsidRPr="0021277B">
        <w:rPr>
          <w:rFonts w:eastAsia="MS Mincho"/>
          <w:i/>
          <w:sz w:val="22"/>
          <w:szCs w:val="22"/>
          <w:lang w:val="en-US"/>
        </w:rPr>
        <w:t>Hoplostethus atlanticus</w:t>
      </w:r>
      <w:r w:rsidRPr="009978E3">
        <w:rPr>
          <w:rFonts w:eastAsia="MS Mincho"/>
          <w:sz w:val="22"/>
          <w:szCs w:val="22"/>
          <w:lang w:val="en-US"/>
        </w:rPr>
        <w:t>) and alfonsino (</w:t>
      </w:r>
      <w:r w:rsidRPr="0021277B">
        <w:rPr>
          <w:rFonts w:eastAsia="MS Mincho"/>
          <w:i/>
          <w:sz w:val="22"/>
          <w:szCs w:val="22"/>
          <w:lang w:val="en-US"/>
        </w:rPr>
        <w:t>Beryx splendens</w:t>
      </w:r>
      <w:r w:rsidRPr="009978E3">
        <w:rPr>
          <w:rFonts w:eastAsia="MS Mincho"/>
          <w:sz w:val="22"/>
          <w:szCs w:val="22"/>
          <w:lang w:val="en-US"/>
        </w:rPr>
        <w:t xml:space="preserve">) associated with the </w:t>
      </w:r>
      <w:r>
        <w:rPr>
          <w:rFonts w:eastAsia="MS Mincho"/>
          <w:sz w:val="22"/>
          <w:szCs w:val="22"/>
          <w:lang w:val="en-US"/>
        </w:rPr>
        <w:t>area</w:t>
      </w:r>
      <w:r w:rsidRPr="009978E3">
        <w:rPr>
          <w:rFonts w:eastAsia="MS Mincho"/>
          <w:sz w:val="22"/>
          <w:szCs w:val="22"/>
          <w:lang w:val="en-US"/>
        </w:rPr>
        <w:t xml:space="preserve"> were exploited (Clark </w:t>
      </w:r>
      <w:r w:rsidRPr="0006066A">
        <w:rPr>
          <w:rFonts w:eastAsia="MS Mincho"/>
          <w:i/>
          <w:sz w:val="22"/>
          <w:szCs w:val="22"/>
          <w:lang w:val="en-US"/>
        </w:rPr>
        <w:t>et al</w:t>
      </w:r>
      <w:r w:rsidRPr="009978E3">
        <w:rPr>
          <w:rFonts w:eastAsia="MS Mincho"/>
          <w:sz w:val="22"/>
          <w:szCs w:val="22"/>
          <w:lang w:val="en-US"/>
        </w:rPr>
        <w:t xml:space="preserve">. 2007, ICES 2007). It can be assumed that most hills along the ridge were at least explored (usually by midwater trawls operating close to the seafloor). There are some other types of fishing techniques operating at the seamounts of the area that can trawl corals out of the ocean. </w:t>
      </w:r>
      <w:r>
        <w:rPr>
          <w:rFonts w:eastAsia="MS Mincho"/>
          <w:sz w:val="22"/>
          <w:szCs w:val="22"/>
          <w:lang w:val="en-US"/>
        </w:rPr>
        <w:t>The age of f</w:t>
      </w:r>
      <w:r w:rsidRPr="009978E3">
        <w:rPr>
          <w:rFonts w:eastAsia="MS Mincho"/>
          <w:sz w:val="22"/>
          <w:szCs w:val="22"/>
          <w:lang w:val="en-US"/>
        </w:rPr>
        <w:t xml:space="preserve">ished corals </w:t>
      </w:r>
      <w:r>
        <w:rPr>
          <w:rFonts w:eastAsia="MS Mincho"/>
          <w:sz w:val="22"/>
          <w:szCs w:val="22"/>
          <w:lang w:val="en-US"/>
        </w:rPr>
        <w:t>was</w:t>
      </w:r>
      <w:r w:rsidRPr="009978E3">
        <w:rPr>
          <w:rFonts w:eastAsia="MS Mincho"/>
          <w:sz w:val="22"/>
          <w:szCs w:val="22"/>
          <w:lang w:val="en-US"/>
        </w:rPr>
        <w:t xml:space="preserve"> estimated at 300 – 500 years (</w:t>
      </w:r>
      <w:r w:rsidRPr="009978E3">
        <w:rPr>
          <w:sz w:val="22"/>
          <w:szCs w:val="22"/>
          <w:lang w:val="en-US"/>
        </w:rPr>
        <w:t xml:space="preserve">Tracey </w:t>
      </w:r>
      <w:r w:rsidRPr="0006066A">
        <w:rPr>
          <w:i/>
          <w:sz w:val="22"/>
          <w:szCs w:val="22"/>
          <w:lang w:val="en-US"/>
        </w:rPr>
        <w:t>et al</w:t>
      </w:r>
      <w:r w:rsidRPr="009978E3">
        <w:rPr>
          <w:i/>
          <w:sz w:val="22"/>
          <w:szCs w:val="22"/>
          <w:lang w:val="en-US"/>
        </w:rPr>
        <w:t xml:space="preserve">., </w:t>
      </w:r>
      <w:r w:rsidRPr="009978E3">
        <w:rPr>
          <w:sz w:val="22"/>
          <w:szCs w:val="22"/>
          <w:lang w:val="en-US"/>
        </w:rPr>
        <w:t>2003</w:t>
      </w:r>
      <w:r w:rsidRPr="009978E3">
        <w:rPr>
          <w:rFonts w:eastAsia="MS Mincho"/>
          <w:sz w:val="22"/>
          <w:szCs w:val="22"/>
          <w:lang w:val="en-US"/>
        </w:rPr>
        <w:t xml:space="preserve">; </w:t>
      </w:r>
      <w:r w:rsidRPr="009978E3">
        <w:rPr>
          <w:sz w:val="22"/>
          <w:szCs w:val="22"/>
          <w:lang w:val="en-US"/>
        </w:rPr>
        <w:t xml:space="preserve">Samadi </w:t>
      </w:r>
      <w:r w:rsidRPr="0006066A">
        <w:rPr>
          <w:i/>
          <w:sz w:val="22"/>
          <w:szCs w:val="22"/>
          <w:lang w:val="en-US"/>
        </w:rPr>
        <w:t>et al</w:t>
      </w:r>
      <w:r w:rsidRPr="009978E3">
        <w:rPr>
          <w:i/>
          <w:sz w:val="22"/>
          <w:szCs w:val="22"/>
          <w:lang w:val="en-US"/>
        </w:rPr>
        <w:t xml:space="preserve">., </w:t>
      </w:r>
      <w:r w:rsidRPr="009978E3">
        <w:rPr>
          <w:sz w:val="22"/>
          <w:szCs w:val="22"/>
          <w:lang w:val="en-US"/>
        </w:rPr>
        <w:t>2007</w:t>
      </w:r>
      <w:r w:rsidRPr="009978E3">
        <w:rPr>
          <w:rFonts w:eastAsia="MS Mincho"/>
          <w:sz w:val="22"/>
          <w:szCs w:val="22"/>
          <w:lang w:val="en-US"/>
        </w:rPr>
        <w:t xml:space="preserve">). </w:t>
      </w:r>
    </w:p>
    <w:p w14:paraId="58357052"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Structural deep-sea sponge habitat is also vulnerable to bottom fishing and has been shown to suffer immediate declines in populations through the physical removal of sponges, which then reduces the reproductive potential of the population, thereby reducing recovery capacity or even causing further declines (</w:t>
      </w:r>
      <w:r w:rsidRPr="009978E3">
        <w:rPr>
          <w:sz w:val="22"/>
          <w:szCs w:val="22"/>
          <w:lang w:val="en-US"/>
        </w:rPr>
        <w:t>Freese, 2001</w:t>
      </w:r>
      <w:r w:rsidRPr="009978E3">
        <w:rPr>
          <w:rFonts w:eastAsia="MS Mincho"/>
          <w:sz w:val="22"/>
          <w:szCs w:val="22"/>
          <w:lang w:val="en-US"/>
        </w:rPr>
        <w:t>). Experimental trawling over sponge communities in Alaska showed that one year after the experiment, individuals within the community showed no sign of repair or growth</w:t>
      </w:r>
      <w:r>
        <w:rPr>
          <w:rFonts w:eastAsia="MS Mincho"/>
          <w:sz w:val="22"/>
          <w:szCs w:val="22"/>
          <w:lang w:val="en-US"/>
        </w:rPr>
        <w:t>,</w:t>
      </w:r>
      <w:r w:rsidRPr="009978E3">
        <w:rPr>
          <w:rFonts w:eastAsia="MS Mincho"/>
          <w:sz w:val="22"/>
          <w:szCs w:val="22"/>
          <w:lang w:val="en-US"/>
        </w:rPr>
        <w:t xml:space="preserve"> and there was no indication of the recovery of the community (</w:t>
      </w:r>
      <w:r w:rsidRPr="009978E3">
        <w:rPr>
          <w:sz w:val="22"/>
          <w:szCs w:val="22"/>
          <w:lang w:val="en-US"/>
        </w:rPr>
        <w:t xml:space="preserve">Freese </w:t>
      </w:r>
      <w:r w:rsidRPr="0006066A">
        <w:rPr>
          <w:i/>
          <w:sz w:val="22"/>
          <w:szCs w:val="22"/>
          <w:lang w:val="en-US"/>
        </w:rPr>
        <w:t>et al</w:t>
      </w:r>
      <w:r w:rsidRPr="009978E3">
        <w:rPr>
          <w:i/>
          <w:sz w:val="22"/>
          <w:szCs w:val="22"/>
          <w:lang w:val="en-US"/>
        </w:rPr>
        <w:t xml:space="preserve">., </w:t>
      </w:r>
      <w:r w:rsidRPr="009978E3">
        <w:rPr>
          <w:sz w:val="22"/>
          <w:szCs w:val="22"/>
          <w:lang w:val="en-US"/>
        </w:rPr>
        <w:t>1999</w:t>
      </w:r>
      <w:r w:rsidRPr="009978E3">
        <w:rPr>
          <w:rFonts w:eastAsia="MS Mincho"/>
          <w:sz w:val="22"/>
          <w:szCs w:val="22"/>
          <w:lang w:val="en-US"/>
        </w:rPr>
        <w:t>).</w:t>
      </w:r>
    </w:p>
    <w:p w14:paraId="7708F788"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In 2004 VMS data showed that fishing vessels moving at bottom trawling speed were present over Antialtair seamount (ICES, 2007). Following the establishment of the NEAFC fishing closures in 2005</w:t>
      </w:r>
      <w:r>
        <w:rPr>
          <w:rFonts w:eastAsia="MS Mincho"/>
          <w:sz w:val="22"/>
          <w:szCs w:val="22"/>
          <w:lang w:val="en-US"/>
        </w:rPr>
        <w:t>,</w:t>
      </w:r>
      <w:r w:rsidRPr="009978E3">
        <w:rPr>
          <w:rFonts w:eastAsia="MS Mincho"/>
          <w:sz w:val="22"/>
          <w:szCs w:val="22"/>
          <w:lang w:val="en-US"/>
        </w:rPr>
        <w:t xml:space="preserve"> bottom</w:t>
      </w:r>
      <w:r>
        <w:rPr>
          <w:rFonts w:eastAsia="MS Mincho"/>
          <w:sz w:val="22"/>
          <w:szCs w:val="22"/>
          <w:lang w:val="en-US"/>
        </w:rPr>
        <w:t>-</w:t>
      </w:r>
      <w:r w:rsidRPr="009978E3">
        <w:rPr>
          <w:rFonts w:eastAsia="MS Mincho"/>
          <w:sz w:val="22"/>
          <w:szCs w:val="22"/>
          <w:lang w:val="en-US"/>
        </w:rPr>
        <w:t xml:space="preserve">fishing effort increased over Antialtair seamount, showing a clear targeting of this area by fishing vessels (ICES, 2007). This indicates that the area may have already been impacted by fishing activity and that the NEAFC closures are not entirely effective. </w:t>
      </w:r>
    </w:p>
    <w:p w14:paraId="30947A9F" w14:textId="06F7DC7F" w:rsidR="006B3F46" w:rsidRPr="009978E3" w:rsidRDefault="006B3F46" w:rsidP="002E4B39">
      <w:pPr>
        <w:suppressLineNumbers/>
        <w:spacing w:after="120"/>
        <w:jc w:val="both"/>
        <w:rPr>
          <w:rFonts w:eastAsia="MS Mincho"/>
          <w:b/>
          <w:sz w:val="22"/>
          <w:szCs w:val="22"/>
          <w:lang w:val="en-US"/>
        </w:rPr>
      </w:pPr>
      <w:r w:rsidRPr="009978E3">
        <w:rPr>
          <w:rFonts w:eastAsia="MS Mincho"/>
          <w:sz w:val="22"/>
          <w:szCs w:val="22"/>
          <w:lang w:val="en-US"/>
        </w:rPr>
        <w:t>In 2007, Sedlo was proposed by Portugal for the OSPAR (the current legal instrument guiding international cooperation on the protection of the marine environment of the North</w:t>
      </w:r>
      <w:r>
        <w:rPr>
          <w:rFonts w:eastAsia="MS Mincho"/>
          <w:sz w:val="22"/>
          <w:szCs w:val="22"/>
          <w:lang w:val="en-US"/>
        </w:rPr>
        <w:t>-E</w:t>
      </w:r>
      <w:r w:rsidRPr="009978E3">
        <w:rPr>
          <w:rFonts w:eastAsia="MS Mincho"/>
          <w:sz w:val="22"/>
          <w:szCs w:val="22"/>
          <w:lang w:val="en-US"/>
        </w:rPr>
        <w:t xml:space="preserve">ast Atlantic) </w:t>
      </w:r>
      <w:r>
        <w:rPr>
          <w:rFonts w:eastAsia="MS Mincho"/>
          <w:sz w:val="22"/>
          <w:szCs w:val="22"/>
          <w:lang w:val="en-US"/>
        </w:rPr>
        <w:t>N</w:t>
      </w:r>
      <w:r w:rsidRPr="009978E3">
        <w:rPr>
          <w:rFonts w:eastAsia="MS Mincho"/>
          <w:sz w:val="22"/>
          <w:szCs w:val="22"/>
          <w:lang w:val="en-US"/>
        </w:rPr>
        <w:t>etwork of Marine Protected Areas and was accepted by the OSPAR Parties in 2008. In 2010 the Ministerial Meeting of the OSPAR Commission adopted the Decision 2010/4 to establish a High Seas Marine Protected Area in the water column above the Antialtair Seamount in an area of approximately 2208 km</w:t>
      </w:r>
      <w:r w:rsidRPr="009978E3">
        <w:rPr>
          <w:rFonts w:eastAsia="MS Mincho"/>
          <w:sz w:val="22"/>
          <w:szCs w:val="22"/>
          <w:vertAlign w:val="superscript"/>
          <w:lang w:val="en-US"/>
        </w:rPr>
        <w:t>2</w:t>
      </w:r>
      <w:r w:rsidRPr="009978E3">
        <w:rPr>
          <w:rFonts w:eastAsia="MS Mincho"/>
          <w:sz w:val="22"/>
          <w:szCs w:val="22"/>
          <w:lang w:val="en-US"/>
        </w:rPr>
        <w:t>. At the same time the Decision 2010/3 established the Altair Seamount High Seas Marine Protected Area (4,384 km²).</w:t>
      </w:r>
      <w:r w:rsidRPr="009978E3">
        <w:rPr>
          <w:sz w:val="22"/>
          <w:szCs w:val="22"/>
        </w:rPr>
        <w:t xml:space="preserve"> In this same year the </w:t>
      </w:r>
      <w:r w:rsidRPr="009978E3">
        <w:rPr>
          <w:rFonts w:eastAsia="MS Mincho"/>
          <w:sz w:val="22"/>
          <w:szCs w:val="22"/>
          <w:lang w:val="en-US"/>
        </w:rPr>
        <w:t xml:space="preserve">OSPAR Decision 2010/6 established the Mid-Atlantic Ridge North of the Azores as a High Seas MPA accompanied </w:t>
      </w:r>
      <w:r>
        <w:rPr>
          <w:rFonts w:eastAsia="MS Mincho"/>
          <w:sz w:val="22"/>
          <w:szCs w:val="22"/>
          <w:lang w:val="en-US"/>
        </w:rPr>
        <w:t>by</w:t>
      </w:r>
      <w:r w:rsidRPr="009978E3">
        <w:rPr>
          <w:rFonts w:eastAsia="MS Mincho"/>
          <w:sz w:val="22"/>
          <w:szCs w:val="22"/>
          <w:lang w:val="en-US"/>
        </w:rPr>
        <w:t xml:space="preserve"> Recommendation 2010/17 on the management of the Mid-Atlantic Ridge North of the Azores High Seas MPA.</w:t>
      </w:r>
    </w:p>
    <w:p w14:paraId="4B30FB68"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735202">
        <w:rPr>
          <w:rFonts w:eastAsia="MS Mincho"/>
          <w:b/>
          <w:sz w:val="22"/>
          <w:szCs w:val="22"/>
          <w:lang w:val="en-US"/>
        </w:rPr>
        <w:t>rea no. 13</w:t>
      </w:r>
      <w:r>
        <w:rPr>
          <w:rFonts w:eastAsia="MS Mincho"/>
          <w:b/>
          <w:sz w:val="22"/>
          <w:szCs w:val="22"/>
          <w:lang w:val="en-US"/>
        </w:rPr>
        <w:t>,</w:t>
      </w:r>
      <w:r w:rsidRPr="00735202">
        <w:rPr>
          <w:rFonts w:eastAsia="MS Mincho"/>
          <w:b/>
          <w:sz w:val="22"/>
          <w:szCs w:val="22"/>
          <w:lang w:val="en-US"/>
        </w:rPr>
        <w:t xml:space="preserve"> North of the Azores Plateau</w:t>
      </w:r>
      <w:r>
        <w:rPr>
          <w:rFonts w:eastAsia="MS Mincho"/>
          <w:b/>
          <w:sz w:val="22"/>
          <w:szCs w:val="22"/>
          <w:lang w:val="en-US"/>
        </w:rPr>
        <w:t>,</w:t>
      </w:r>
      <w:r w:rsidRPr="00735202" w:rsidDel="00735202">
        <w:rPr>
          <w:rFonts w:eastAsia="MS Mincho"/>
          <w:b/>
          <w:sz w:val="22"/>
          <w:szCs w:val="22"/>
          <w:lang w:val="en-US"/>
        </w:rPr>
        <w:t xml:space="preserve"> </w:t>
      </w:r>
      <w:r w:rsidRPr="009978E3">
        <w:rPr>
          <w:rFonts w:eastAsia="MS Mincho"/>
          <w:b/>
          <w:sz w:val="22"/>
          <w:szCs w:val="22"/>
          <w:lang w:val="en-US"/>
        </w:rPr>
        <w:t>against CBD EBSA Criteria</w:t>
      </w:r>
    </w:p>
    <w:p w14:paraId="31298FDC" w14:textId="77777777" w:rsidR="006B3F46" w:rsidRPr="009978E3" w:rsidRDefault="006B3F46" w:rsidP="00907941">
      <w:pPr>
        <w:jc w:val="both"/>
        <w:rPr>
          <w:rFonts w:eastAsia="MS Mincho"/>
          <w:iCs/>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21277B" w14:paraId="1A4CE341" w14:textId="77777777" w:rsidTr="002E4B39">
        <w:tc>
          <w:tcPr>
            <w:tcW w:w="832" w:type="pct"/>
            <w:vMerge w:val="restart"/>
            <w:shd w:val="clear" w:color="auto" w:fill="auto"/>
          </w:tcPr>
          <w:p w14:paraId="2280C4EA" w14:textId="77777777" w:rsidR="006B3F46" w:rsidRPr="009978E3" w:rsidRDefault="006B3F46" w:rsidP="00907941">
            <w:pPr>
              <w:widowControl w:val="0"/>
              <w:autoSpaceDE w:val="0"/>
              <w:autoSpaceDN w:val="0"/>
              <w:adjustRightInd w:val="0"/>
              <w:rPr>
                <w:rFonts w:eastAsia="MS Mincho"/>
                <w:b/>
                <w:bCs/>
                <w:color w:val="000000"/>
                <w:sz w:val="22"/>
                <w:szCs w:val="22"/>
                <w:lang w:val="it-IT"/>
              </w:rPr>
            </w:pPr>
            <w:r w:rsidRPr="009978E3">
              <w:rPr>
                <w:rFonts w:eastAsia="MS Mincho"/>
                <w:b/>
                <w:bCs/>
                <w:color w:val="000000"/>
                <w:sz w:val="22"/>
                <w:szCs w:val="22"/>
                <w:lang w:val="it-IT"/>
              </w:rPr>
              <w:t>CBD EBSA Criteria</w:t>
            </w:r>
          </w:p>
          <w:p w14:paraId="410EFE41" w14:textId="77777777" w:rsidR="006B3F46" w:rsidRPr="009978E3" w:rsidRDefault="006B3F46" w:rsidP="00907941">
            <w:pPr>
              <w:widowControl w:val="0"/>
              <w:autoSpaceDE w:val="0"/>
              <w:autoSpaceDN w:val="0"/>
              <w:adjustRightInd w:val="0"/>
              <w:rPr>
                <w:rFonts w:eastAsia="MS Mincho"/>
                <w:bCs/>
                <w:color w:val="000000"/>
                <w:sz w:val="22"/>
                <w:szCs w:val="22"/>
                <w:lang w:val="it-IT"/>
              </w:rPr>
            </w:pPr>
            <w:r w:rsidRPr="009978E3">
              <w:rPr>
                <w:rFonts w:eastAsia="MS Mincho"/>
                <w:bCs/>
                <w:color w:val="000000"/>
                <w:sz w:val="22"/>
                <w:szCs w:val="22"/>
                <w:lang w:val="it-IT"/>
              </w:rPr>
              <w:t>(Annex I to decision IX/20)</w:t>
            </w:r>
          </w:p>
        </w:tc>
        <w:tc>
          <w:tcPr>
            <w:tcW w:w="2232" w:type="pct"/>
            <w:vMerge w:val="restart"/>
            <w:shd w:val="clear" w:color="auto" w:fill="auto"/>
          </w:tcPr>
          <w:p w14:paraId="773CD4C2" w14:textId="77777777" w:rsidR="006B3F46" w:rsidRPr="009978E3" w:rsidRDefault="006B3F46" w:rsidP="00907941">
            <w:pPr>
              <w:widowControl w:val="0"/>
              <w:autoSpaceDE w:val="0"/>
              <w:autoSpaceDN w:val="0"/>
              <w:adjustRightInd w:val="0"/>
              <w:jc w:val="both"/>
              <w:rPr>
                <w:rFonts w:eastAsia="MS Mincho"/>
                <w:b/>
                <w:bCs/>
                <w:sz w:val="22"/>
                <w:szCs w:val="22"/>
                <w:lang w:val="en-US"/>
              </w:rPr>
            </w:pPr>
            <w:r w:rsidRPr="009978E3">
              <w:rPr>
                <w:rFonts w:eastAsia="MS Mincho"/>
                <w:b/>
                <w:bCs/>
                <w:sz w:val="22"/>
                <w:szCs w:val="22"/>
                <w:lang w:val="en-US"/>
              </w:rPr>
              <w:t>Description</w:t>
            </w:r>
          </w:p>
          <w:p w14:paraId="73BB0BD0" w14:textId="77777777" w:rsidR="006B3F46" w:rsidRPr="009978E3" w:rsidRDefault="006B3F46" w:rsidP="00907941">
            <w:pPr>
              <w:widowControl w:val="0"/>
              <w:autoSpaceDE w:val="0"/>
              <w:autoSpaceDN w:val="0"/>
              <w:adjustRightInd w:val="0"/>
              <w:jc w:val="both"/>
              <w:rPr>
                <w:rFonts w:eastAsia="MS Mincho"/>
                <w:bCs/>
                <w:sz w:val="22"/>
                <w:szCs w:val="22"/>
                <w:lang w:val="en-US"/>
              </w:rPr>
            </w:pPr>
            <w:r w:rsidRPr="009978E3">
              <w:rPr>
                <w:rFonts w:eastAsia="MS Mincho"/>
                <w:bCs/>
                <w:color w:val="000000"/>
                <w:sz w:val="22"/>
                <w:szCs w:val="22"/>
                <w:lang w:val="it-IT"/>
              </w:rPr>
              <w:t>(Annex I to decision IX/20)</w:t>
            </w:r>
          </w:p>
        </w:tc>
        <w:tc>
          <w:tcPr>
            <w:tcW w:w="1937" w:type="pct"/>
            <w:gridSpan w:val="9"/>
            <w:shd w:val="clear" w:color="auto" w:fill="auto"/>
          </w:tcPr>
          <w:p w14:paraId="69C115C8"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 xml:space="preserve">Ranking of criterion relevance </w:t>
            </w:r>
          </w:p>
          <w:p w14:paraId="2F6D972A"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Cs/>
                <w:color w:val="000000"/>
                <w:sz w:val="22"/>
                <w:szCs w:val="22"/>
                <w:lang w:val="en-US"/>
              </w:rPr>
              <w:t>(please mark one column with an X)</w:t>
            </w:r>
          </w:p>
        </w:tc>
      </w:tr>
      <w:tr w:rsidR="006B3F46" w:rsidRPr="0021277B" w14:paraId="7035D70F" w14:textId="77777777" w:rsidTr="002E4B39">
        <w:tc>
          <w:tcPr>
            <w:tcW w:w="832" w:type="pct"/>
            <w:vMerge/>
            <w:shd w:val="clear" w:color="auto" w:fill="auto"/>
          </w:tcPr>
          <w:p w14:paraId="12B6E28C"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p>
        </w:tc>
        <w:tc>
          <w:tcPr>
            <w:tcW w:w="2232" w:type="pct"/>
            <w:vMerge/>
            <w:shd w:val="clear" w:color="auto" w:fill="auto"/>
          </w:tcPr>
          <w:p w14:paraId="0D1DD59A" w14:textId="77777777" w:rsidR="006B3F46" w:rsidRPr="009978E3" w:rsidRDefault="006B3F46" w:rsidP="00907941">
            <w:pPr>
              <w:widowControl w:val="0"/>
              <w:autoSpaceDE w:val="0"/>
              <w:autoSpaceDN w:val="0"/>
              <w:adjustRightInd w:val="0"/>
              <w:jc w:val="both"/>
              <w:rPr>
                <w:rFonts w:eastAsia="MS Mincho"/>
                <w:b/>
                <w:bCs/>
                <w:sz w:val="22"/>
                <w:szCs w:val="22"/>
                <w:lang w:val="en-US"/>
              </w:rPr>
            </w:pPr>
          </w:p>
        </w:tc>
        <w:tc>
          <w:tcPr>
            <w:tcW w:w="547" w:type="pct"/>
            <w:gridSpan w:val="2"/>
            <w:shd w:val="clear" w:color="auto" w:fill="auto"/>
          </w:tcPr>
          <w:p w14:paraId="4C982606"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No information</w:t>
            </w:r>
          </w:p>
        </w:tc>
        <w:tc>
          <w:tcPr>
            <w:tcW w:w="547" w:type="pct"/>
            <w:gridSpan w:val="3"/>
            <w:shd w:val="clear" w:color="auto" w:fill="auto"/>
          </w:tcPr>
          <w:p w14:paraId="03F78D0C"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Low</w:t>
            </w:r>
          </w:p>
        </w:tc>
        <w:tc>
          <w:tcPr>
            <w:tcW w:w="411" w:type="pct"/>
            <w:gridSpan w:val="2"/>
            <w:shd w:val="clear" w:color="auto" w:fill="auto"/>
          </w:tcPr>
          <w:p w14:paraId="4AEAC92B"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Medium</w:t>
            </w:r>
          </w:p>
        </w:tc>
        <w:tc>
          <w:tcPr>
            <w:tcW w:w="432" w:type="pct"/>
            <w:gridSpan w:val="2"/>
            <w:shd w:val="clear" w:color="auto" w:fill="auto"/>
          </w:tcPr>
          <w:p w14:paraId="2C345F39"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9978E3">
              <w:rPr>
                <w:rFonts w:eastAsia="MS Mincho"/>
                <w:b/>
                <w:bCs/>
                <w:color w:val="000000"/>
                <w:sz w:val="22"/>
                <w:szCs w:val="22"/>
                <w:lang w:val="en-US"/>
              </w:rPr>
              <w:t>High</w:t>
            </w:r>
          </w:p>
        </w:tc>
      </w:tr>
      <w:tr w:rsidR="006B3F46" w:rsidRPr="0021277B" w14:paraId="78C2AAC4" w14:textId="77777777" w:rsidTr="002E4B39">
        <w:tc>
          <w:tcPr>
            <w:tcW w:w="832" w:type="pct"/>
            <w:shd w:val="clear" w:color="auto" w:fill="auto"/>
          </w:tcPr>
          <w:p w14:paraId="5C8853FB" w14:textId="77777777" w:rsidR="006B3F46" w:rsidRPr="00F66EF7" w:rsidRDefault="006B3F46" w:rsidP="00907941">
            <w:pPr>
              <w:widowControl w:val="0"/>
              <w:autoSpaceDE w:val="0"/>
              <w:autoSpaceDN w:val="0"/>
              <w:adjustRightInd w:val="0"/>
              <w:jc w:val="both"/>
              <w:rPr>
                <w:rFonts w:eastAsia="MS Mincho"/>
                <w:b/>
                <w:bCs/>
                <w:color w:val="000000"/>
                <w:sz w:val="22"/>
                <w:szCs w:val="22"/>
                <w:lang w:val="en-US"/>
              </w:rPr>
            </w:pPr>
            <w:r w:rsidRPr="00F66EF7">
              <w:rPr>
                <w:rFonts w:eastAsia="MS Mincho"/>
                <w:b/>
                <w:bCs/>
                <w:color w:val="000000"/>
                <w:sz w:val="22"/>
                <w:szCs w:val="22"/>
                <w:lang w:val="en-US"/>
              </w:rPr>
              <w:t>Uniqueness or rarity</w:t>
            </w:r>
          </w:p>
        </w:tc>
        <w:tc>
          <w:tcPr>
            <w:tcW w:w="2232" w:type="pct"/>
            <w:shd w:val="clear" w:color="auto" w:fill="auto"/>
          </w:tcPr>
          <w:p w14:paraId="750AB5FF"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vAlign w:val="center"/>
          </w:tcPr>
          <w:p w14:paraId="36F4F478"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547" w:type="pct"/>
            <w:gridSpan w:val="3"/>
            <w:shd w:val="clear" w:color="auto" w:fill="auto"/>
            <w:vAlign w:val="center"/>
          </w:tcPr>
          <w:p w14:paraId="6E536ABF"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11330259"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6CEDC59B"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0451EE8B" w14:textId="77777777" w:rsidTr="00907941">
        <w:tc>
          <w:tcPr>
            <w:tcW w:w="5000" w:type="pct"/>
            <w:gridSpan w:val="11"/>
            <w:shd w:val="clear" w:color="auto" w:fill="auto"/>
          </w:tcPr>
          <w:p w14:paraId="5F1E0AED" w14:textId="77777777" w:rsidR="006B3F46" w:rsidRPr="00F66EF7" w:rsidRDefault="006B3F46" w:rsidP="00907941">
            <w:pPr>
              <w:jc w:val="both"/>
              <w:rPr>
                <w:rFonts w:eastAsia="MS Mincho"/>
                <w:i/>
                <w:color w:val="000000"/>
                <w:sz w:val="22"/>
                <w:szCs w:val="22"/>
                <w:lang w:val="en-US"/>
              </w:rPr>
            </w:pPr>
            <w:r w:rsidRPr="00F66EF7">
              <w:rPr>
                <w:rFonts w:eastAsia="MS Mincho"/>
                <w:i/>
                <w:color w:val="000000"/>
                <w:sz w:val="22"/>
                <w:szCs w:val="22"/>
                <w:lang w:val="en-US"/>
              </w:rPr>
              <w:t>Explanation for ranking</w:t>
            </w:r>
          </w:p>
          <w:p w14:paraId="1E960B54" w14:textId="77777777" w:rsidR="006B3F46" w:rsidRPr="009978E3" w:rsidRDefault="006B3F46" w:rsidP="00907941">
            <w:pPr>
              <w:spacing w:after="120"/>
              <w:jc w:val="both"/>
              <w:rPr>
                <w:sz w:val="22"/>
                <w:szCs w:val="22"/>
              </w:rPr>
            </w:pPr>
            <w:r w:rsidRPr="0021277B">
              <w:rPr>
                <w:rFonts w:eastAsia="MS Mincho"/>
                <w:color w:val="000000"/>
                <w:sz w:val="22"/>
                <w:szCs w:val="22"/>
                <w:lang w:val="en-US"/>
              </w:rPr>
              <w:t>1-</w:t>
            </w:r>
            <w:r w:rsidRPr="009978E3">
              <w:rPr>
                <w:rFonts w:eastAsia="MS Mincho"/>
                <w:i/>
                <w:color w:val="000000"/>
                <w:sz w:val="22"/>
                <w:szCs w:val="22"/>
                <w:lang w:val="en-US"/>
              </w:rPr>
              <w:t xml:space="preserve"> </w:t>
            </w:r>
            <w:r w:rsidRPr="0021277B">
              <w:rPr>
                <w:rFonts w:eastAsia="MS Mincho"/>
                <w:color w:val="000000"/>
                <w:sz w:val="22"/>
                <w:szCs w:val="22"/>
                <w:lang w:val="en-US"/>
              </w:rPr>
              <w:t>The Mid-Atlantic Ridge</w:t>
            </w:r>
            <w:r w:rsidRPr="009978E3">
              <w:rPr>
                <w:sz w:val="22"/>
                <w:szCs w:val="22"/>
              </w:rPr>
              <w:t xml:space="preserve"> due to its geological nature, presents several distinct habitats, from the abyssal to the upper bathyal. It also features sediment terraces between rocky ridge</w:t>
            </w:r>
            <w:r>
              <w:rPr>
                <w:sz w:val="22"/>
                <w:szCs w:val="22"/>
              </w:rPr>
              <w:t>s</w:t>
            </w:r>
            <w:r w:rsidRPr="009978E3">
              <w:rPr>
                <w:sz w:val="22"/>
                <w:szCs w:val="22"/>
              </w:rPr>
              <w:t>, in areas w</w:t>
            </w:r>
            <w:r>
              <w:rPr>
                <w:sz w:val="22"/>
                <w:szCs w:val="22"/>
              </w:rPr>
              <w:t>h</w:t>
            </w:r>
            <w:r w:rsidRPr="009978E3">
              <w:rPr>
                <w:sz w:val="22"/>
                <w:szCs w:val="22"/>
              </w:rPr>
              <w:t xml:space="preserve">ere the slope is less than 30 </w:t>
            </w:r>
            <w:r>
              <w:rPr>
                <w:sz w:val="22"/>
                <w:szCs w:val="22"/>
              </w:rPr>
              <w:t>per cent</w:t>
            </w:r>
            <w:r w:rsidRPr="009978E3">
              <w:rPr>
                <w:sz w:val="22"/>
                <w:szCs w:val="22"/>
              </w:rPr>
              <w:t>, which can</w:t>
            </w:r>
            <w:r>
              <w:rPr>
                <w:sz w:val="22"/>
                <w:szCs w:val="22"/>
              </w:rPr>
              <w:t>,</w:t>
            </w:r>
            <w:r w:rsidRPr="009978E3">
              <w:rPr>
                <w:sz w:val="22"/>
                <w:szCs w:val="22"/>
              </w:rPr>
              <w:t xml:space="preserve"> in certain area</w:t>
            </w:r>
            <w:r>
              <w:rPr>
                <w:sz w:val="22"/>
                <w:szCs w:val="22"/>
              </w:rPr>
              <w:t>s,</w:t>
            </w:r>
            <w:r w:rsidRPr="009978E3">
              <w:rPr>
                <w:sz w:val="22"/>
                <w:szCs w:val="22"/>
              </w:rPr>
              <w:t xml:space="preserve"> represent 95</w:t>
            </w:r>
            <w:r>
              <w:rPr>
                <w:sz w:val="22"/>
                <w:szCs w:val="22"/>
              </w:rPr>
              <w:t xml:space="preserve"> per cent</w:t>
            </w:r>
            <w:r w:rsidRPr="009978E3">
              <w:rPr>
                <w:sz w:val="22"/>
                <w:szCs w:val="22"/>
              </w:rPr>
              <w:t xml:space="preserve"> of the area (Priede </w:t>
            </w:r>
            <w:r w:rsidRPr="0006066A">
              <w:rPr>
                <w:i/>
                <w:sz w:val="22"/>
                <w:szCs w:val="22"/>
              </w:rPr>
              <w:t>et al</w:t>
            </w:r>
            <w:r>
              <w:rPr>
                <w:i/>
                <w:sz w:val="22"/>
                <w:szCs w:val="22"/>
              </w:rPr>
              <w:t>.</w:t>
            </w:r>
            <w:r w:rsidRPr="009978E3">
              <w:rPr>
                <w:sz w:val="22"/>
                <w:szCs w:val="22"/>
              </w:rPr>
              <w:t xml:space="preserve">, 2013). </w:t>
            </w:r>
          </w:p>
          <w:p w14:paraId="7D3D5833" w14:textId="77777777" w:rsidR="006B3F46" w:rsidRPr="009978E3" w:rsidRDefault="006B3F46" w:rsidP="00907941">
            <w:pPr>
              <w:spacing w:after="120"/>
              <w:jc w:val="both"/>
              <w:rPr>
                <w:rFonts w:eastAsia="MS Mincho"/>
                <w:color w:val="000000"/>
                <w:sz w:val="22"/>
                <w:szCs w:val="22"/>
                <w:lang w:val="en-US"/>
              </w:rPr>
            </w:pPr>
            <w:r w:rsidRPr="009978E3">
              <w:rPr>
                <w:sz w:val="22"/>
                <w:szCs w:val="22"/>
              </w:rPr>
              <w:t>2- The</w:t>
            </w:r>
            <w:r w:rsidRPr="009978E3">
              <w:rPr>
                <w:rFonts w:eastAsia="MS Mincho"/>
                <w:color w:val="000000"/>
                <w:sz w:val="22"/>
                <w:szCs w:val="22"/>
                <w:lang w:val="en-US"/>
              </w:rPr>
              <w:t xml:space="preserve"> high geomorphological relief of the </w:t>
            </w:r>
            <w:r>
              <w:rPr>
                <w:rFonts w:eastAsia="MS Mincho"/>
                <w:color w:val="000000"/>
                <w:sz w:val="22"/>
                <w:szCs w:val="22"/>
                <w:lang w:val="en-US"/>
              </w:rPr>
              <w:t xml:space="preserve">area </w:t>
            </w:r>
            <w:r w:rsidRPr="009978E3">
              <w:rPr>
                <w:rFonts w:eastAsia="MS Mincho"/>
                <w:color w:val="000000"/>
                <w:sz w:val="22"/>
                <w:szCs w:val="22"/>
                <w:lang w:val="en-US"/>
              </w:rPr>
              <w:t xml:space="preserve">promotes strong near-bed currents and enhanced food supply, providing ideal conditions for the colonization of deep-sea suspension-feeding fauna such as cold-water corals and sponges (Mortensen </w:t>
            </w:r>
            <w:r w:rsidRPr="0006066A">
              <w:rPr>
                <w:rFonts w:eastAsia="MS Mincho"/>
                <w:i/>
                <w:color w:val="000000"/>
                <w:sz w:val="22"/>
                <w:szCs w:val="22"/>
                <w:lang w:val="en-US"/>
              </w:rPr>
              <w:t>et al</w:t>
            </w:r>
            <w:r>
              <w:rPr>
                <w:rFonts w:eastAsia="MS Mincho"/>
                <w:i/>
                <w:color w:val="000000"/>
                <w:sz w:val="22"/>
                <w:szCs w:val="22"/>
                <w:lang w:val="en-US"/>
              </w:rPr>
              <w:t>.</w:t>
            </w:r>
            <w:r w:rsidRPr="009978E3">
              <w:rPr>
                <w:rFonts w:eastAsia="MS Mincho"/>
                <w:color w:val="000000"/>
                <w:sz w:val="22"/>
                <w:szCs w:val="22"/>
                <w:lang w:val="en-US"/>
              </w:rPr>
              <w:t xml:space="preserve"> 2008; Moldstova </w:t>
            </w:r>
            <w:r w:rsidRPr="0006066A">
              <w:rPr>
                <w:rFonts w:eastAsia="MS Mincho"/>
                <w:i/>
                <w:color w:val="000000"/>
                <w:sz w:val="22"/>
                <w:szCs w:val="22"/>
                <w:lang w:val="en-US"/>
              </w:rPr>
              <w:t>et al</w:t>
            </w:r>
            <w:r>
              <w:rPr>
                <w:rFonts w:eastAsia="MS Mincho"/>
                <w:i/>
                <w:color w:val="000000"/>
                <w:sz w:val="22"/>
                <w:szCs w:val="22"/>
                <w:lang w:val="en-US"/>
              </w:rPr>
              <w:t>.</w:t>
            </w:r>
            <w:r w:rsidRPr="009978E3">
              <w:rPr>
                <w:rFonts w:eastAsia="MS Mincho"/>
                <w:color w:val="000000"/>
                <w:sz w:val="22"/>
                <w:szCs w:val="22"/>
                <w:lang w:val="en-US"/>
              </w:rPr>
              <w:t xml:space="preserve"> 2013; Lopes &amp; Tabachnik 2013; Tabachnik &amp; Menshenina 2013). </w:t>
            </w:r>
          </w:p>
          <w:p w14:paraId="356D8FB1" w14:textId="77777777" w:rsidR="006B3F46" w:rsidRPr="009978E3" w:rsidRDefault="006B3F46" w:rsidP="00907941">
            <w:pPr>
              <w:spacing w:after="120"/>
              <w:jc w:val="both"/>
              <w:rPr>
                <w:sz w:val="22"/>
                <w:szCs w:val="22"/>
              </w:rPr>
            </w:pPr>
            <w:r w:rsidRPr="009978E3">
              <w:rPr>
                <w:rFonts w:eastAsia="MS Mincho"/>
                <w:color w:val="000000"/>
                <w:sz w:val="22"/>
                <w:szCs w:val="22"/>
                <w:lang w:val="en-US"/>
              </w:rPr>
              <w:t>3-</w:t>
            </w:r>
            <w:r w:rsidRPr="009978E3">
              <w:rPr>
                <w:sz w:val="22"/>
                <w:szCs w:val="22"/>
              </w:rPr>
              <w:t xml:space="preserve">Due to the remote location, </w:t>
            </w:r>
            <w:r w:rsidRPr="009978E3">
              <w:rPr>
                <w:rFonts w:eastAsia="MS Mincho"/>
                <w:color w:val="000000"/>
                <w:sz w:val="22"/>
                <w:szCs w:val="22"/>
                <w:lang w:val="en-US"/>
              </w:rPr>
              <w:t xml:space="preserve">there are several reported endemic cold-water corals in the seamounts of the Azores region associated </w:t>
            </w:r>
            <w:r>
              <w:rPr>
                <w:rFonts w:eastAsia="MS Mincho"/>
                <w:color w:val="000000"/>
                <w:sz w:val="22"/>
                <w:szCs w:val="22"/>
                <w:lang w:val="en-US"/>
              </w:rPr>
              <w:t>with</w:t>
            </w:r>
            <w:r w:rsidRPr="009978E3">
              <w:rPr>
                <w:rFonts w:eastAsia="MS Mincho"/>
                <w:color w:val="000000"/>
                <w:sz w:val="22"/>
                <w:szCs w:val="22"/>
                <w:lang w:val="en-US"/>
              </w:rPr>
              <w:t xml:space="preserve"> the Mid</w:t>
            </w:r>
            <w:r>
              <w:rPr>
                <w:rFonts w:eastAsia="MS Mincho"/>
                <w:color w:val="000000"/>
                <w:sz w:val="22"/>
                <w:szCs w:val="22"/>
                <w:lang w:val="en-US"/>
              </w:rPr>
              <w:t>-</w:t>
            </w:r>
            <w:r w:rsidRPr="009978E3">
              <w:rPr>
                <w:rFonts w:eastAsia="MS Mincho"/>
                <w:color w:val="000000"/>
                <w:sz w:val="22"/>
                <w:szCs w:val="22"/>
                <w:lang w:val="en-US"/>
              </w:rPr>
              <w:t xml:space="preserve">Atlantic Ridge (Braga-Henriques </w:t>
            </w:r>
            <w:r w:rsidRPr="0006066A">
              <w:rPr>
                <w:rFonts w:eastAsia="MS Mincho"/>
                <w:i/>
                <w:color w:val="000000"/>
                <w:sz w:val="22"/>
                <w:szCs w:val="22"/>
                <w:lang w:val="en-US"/>
              </w:rPr>
              <w:t>et al</w:t>
            </w:r>
            <w:r>
              <w:rPr>
                <w:rFonts w:eastAsia="MS Mincho"/>
                <w:i/>
                <w:color w:val="000000"/>
                <w:sz w:val="22"/>
                <w:szCs w:val="22"/>
                <w:lang w:val="en-US"/>
              </w:rPr>
              <w:t>.</w:t>
            </w:r>
            <w:r w:rsidRPr="009978E3">
              <w:rPr>
                <w:rFonts w:eastAsia="MS Mincho"/>
                <w:color w:val="000000"/>
                <w:sz w:val="22"/>
                <w:szCs w:val="22"/>
                <w:lang w:val="en-US"/>
              </w:rPr>
              <w:t xml:space="preserve"> 2013; de Matos </w:t>
            </w:r>
            <w:r w:rsidRPr="0006066A">
              <w:rPr>
                <w:rFonts w:eastAsia="MS Mincho"/>
                <w:i/>
                <w:color w:val="000000"/>
                <w:sz w:val="22"/>
                <w:szCs w:val="22"/>
                <w:lang w:val="en-US"/>
              </w:rPr>
              <w:t>et al</w:t>
            </w:r>
            <w:r>
              <w:rPr>
                <w:rFonts w:eastAsia="MS Mincho"/>
                <w:i/>
                <w:color w:val="000000"/>
                <w:sz w:val="22"/>
                <w:szCs w:val="22"/>
                <w:lang w:val="en-US"/>
              </w:rPr>
              <w:t>.</w:t>
            </w:r>
            <w:r w:rsidRPr="009978E3">
              <w:rPr>
                <w:rFonts w:eastAsia="MS Mincho"/>
                <w:color w:val="000000"/>
                <w:sz w:val="22"/>
                <w:szCs w:val="22"/>
                <w:lang w:val="en-US"/>
              </w:rPr>
              <w:t xml:space="preserve"> 2014; Moldstova </w:t>
            </w:r>
            <w:r w:rsidRPr="0006066A">
              <w:rPr>
                <w:rFonts w:eastAsia="MS Mincho"/>
                <w:i/>
                <w:color w:val="000000"/>
                <w:sz w:val="22"/>
                <w:szCs w:val="22"/>
                <w:lang w:val="en-US"/>
              </w:rPr>
              <w:t>et al</w:t>
            </w:r>
            <w:r>
              <w:rPr>
                <w:rFonts w:eastAsia="MS Mincho"/>
                <w:i/>
                <w:color w:val="000000"/>
                <w:sz w:val="22"/>
                <w:szCs w:val="22"/>
                <w:lang w:val="en-US"/>
              </w:rPr>
              <w:t>.</w:t>
            </w:r>
            <w:r w:rsidRPr="009978E3">
              <w:rPr>
                <w:rFonts w:eastAsia="MS Mincho"/>
                <w:color w:val="000000"/>
                <w:sz w:val="22"/>
                <w:szCs w:val="22"/>
                <w:lang w:val="en-US"/>
              </w:rPr>
              <w:t xml:space="preserve"> 2016; Sampaio </w:t>
            </w:r>
            <w:r w:rsidRPr="0006066A">
              <w:rPr>
                <w:rFonts w:eastAsia="MS Mincho"/>
                <w:i/>
                <w:color w:val="000000"/>
                <w:sz w:val="22"/>
                <w:szCs w:val="22"/>
                <w:lang w:val="en-US"/>
              </w:rPr>
              <w:t>et al</w:t>
            </w:r>
            <w:r>
              <w:rPr>
                <w:rFonts w:eastAsia="MS Mincho"/>
                <w:i/>
                <w:color w:val="000000"/>
                <w:sz w:val="22"/>
                <w:szCs w:val="22"/>
                <w:lang w:val="en-US"/>
              </w:rPr>
              <w:t>.</w:t>
            </w:r>
            <w:r w:rsidRPr="009978E3">
              <w:rPr>
                <w:rFonts w:eastAsia="MS Mincho"/>
                <w:color w:val="000000"/>
                <w:sz w:val="22"/>
                <w:szCs w:val="22"/>
                <w:lang w:val="en-US"/>
              </w:rPr>
              <w:t xml:space="preserve"> 2019).</w:t>
            </w:r>
            <w:r w:rsidRPr="009978E3">
              <w:rPr>
                <w:sz w:val="22"/>
                <w:szCs w:val="22"/>
              </w:rPr>
              <w:t xml:space="preserve"> </w:t>
            </w:r>
          </w:p>
          <w:p w14:paraId="472E5A2F" w14:textId="77777777" w:rsidR="006B3F46" w:rsidRPr="009978E3" w:rsidRDefault="006B3F46" w:rsidP="00907941">
            <w:pPr>
              <w:widowControl w:val="0"/>
              <w:autoSpaceDE w:val="0"/>
              <w:autoSpaceDN w:val="0"/>
              <w:adjustRightInd w:val="0"/>
              <w:spacing w:after="120"/>
              <w:jc w:val="both"/>
              <w:rPr>
                <w:sz w:val="22"/>
                <w:szCs w:val="22"/>
                <w:lang w:val="en-US"/>
              </w:rPr>
            </w:pPr>
            <w:r w:rsidRPr="009978E3">
              <w:rPr>
                <w:sz w:val="22"/>
                <w:szCs w:val="22"/>
              </w:rPr>
              <w:t>4-</w:t>
            </w:r>
            <w:r w:rsidRPr="009978E3">
              <w:rPr>
                <w:sz w:val="22"/>
                <w:szCs w:val="22"/>
                <w:lang w:val="en-US"/>
              </w:rPr>
              <w:t xml:space="preserve"> </w:t>
            </w:r>
            <w:r>
              <w:rPr>
                <w:sz w:val="22"/>
                <w:szCs w:val="22"/>
                <w:lang w:val="en-US"/>
              </w:rPr>
              <w:t>T</w:t>
            </w:r>
            <w:r w:rsidRPr="009978E3">
              <w:rPr>
                <w:sz w:val="22"/>
                <w:szCs w:val="22"/>
                <w:lang w:val="en-US"/>
              </w:rPr>
              <w:t>he Moytirra vent field is the only known high</w:t>
            </w:r>
            <w:r>
              <w:rPr>
                <w:sz w:val="22"/>
                <w:szCs w:val="22"/>
                <w:lang w:val="en-US"/>
              </w:rPr>
              <w:t>-</w:t>
            </w:r>
            <w:r w:rsidRPr="009978E3">
              <w:rPr>
                <w:sz w:val="22"/>
                <w:szCs w:val="22"/>
                <w:lang w:val="en-US"/>
              </w:rPr>
              <w:t xml:space="preserve">temperature hydrothermal vent between the Azores and Iceland, making it a unique geophysical structure in the high seas of the North Atlantic and within the MAR (Van Dover </w:t>
            </w:r>
            <w:r w:rsidRPr="0006066A">
              <w:rPr>
                <w:i/>
                <w:sz w:val="22"/>
                <w:szCs w:val="22"/>
                <w:lang w:val="en-US"/>
              </w:rPr>
              <w:t>et al</w:t>
            </w:r>
            <w:r w:rsidRPr="009978E3">
              <w:rPr>
                <w:i/>
                <w:sz w:val="22"/>
                <w:szCs w:val="22"/>
                <w:lang w:val="en-US"/>
              </w:rPr>
              <w:t xml:space="preserve">., </w:t>
            </w:r>
            <w:r w:rsidRPr="009978E3">
              <w:rPr>
                <w:sz w:val="22"/>
                <w:szCs w:val="22"/>
                <w:lang w:val="en-US"/>
              </w:rPr>
              <w:t>1996).</w:t>
            </w:r>
            <w:r w:rsidRPr="009978E3">
              <w:rPr>
                <w:sz w:val="22"/>
                <w:szCs w:val="22"/>
              </w:rPr>
              <w:t xml:space="preserve"> The hydrothermal vents of the North MAR may represent a unique biogeographic region of invertebrate species (Van Dover, 2010). </w:t>
            </w:r>
          </w:p>
          <w:p w14:paraId="58469198" w14:textId="77777777" w:rsidR="006B3F46" w:rsidRPr="009978E3" w:rsidRDefault="006B3F46" w:rsidP="00907941">
            <w:pPr>
              <w:widowControl w:val="0"/>
              <w:autoSpaceDE w:val="0"/>
              <w:autoSpaceDN w:val="0"/>
              <w:adjustRightInd w:val="0"/>
              <w:spacing w:after="120"/>
              <w:jc w:val="both"/>
              <w:rPr>
                <w:sz w:val="22"/>
                <w:szCs w:val="22"/>
                <w:lang w:val="en-US"/>
              </w:rPr>
            </w:pPr>
            <w:r w:rsidRPr="009978E3">
              <w:rPr>
                <w:rFonts w:eastAsia="MS Mincho"/>
                <w:sz w:val="22"/>
                <w:szCs w:val="22"/>
                <w:lang w:val="en-US"/>
              </w:rPr>
              <w:t>5-</w:t>
            </w:r>
            <w:r w:rsidRPr="009978E3">
              <w:rPr>
                <w:sz w:val="22"/>
                <w:szCs w:val="22"/>
                <w:lang w:val="en-US"/>
              </w:rPr>
              <w:t xml:space="preserve">The different seamounts include in the area also </w:t>
            </w:r>
            <w:r>
              <w:rPr>
                <w:sz w:val="22"/>
                <w:szCs w:val="22"/>
                <w:lang w:val="en-US"/>
              </w:rPr>
              <w:t xml:space="preserve">have </w:t>
            </w:r>
            <w:r w:rsidRPr="009978E3">
              <w:rPr>
                <w:sz w:val="22"/>
                <w:szCs w:val="22"/>
                <w:lang w:val="en-US"/>
              </w:rPr>
              <w:t>unique features. For example, the isolated Altair Seamount</w:t>
            </w:r>
            <w:r>
              <w:rPr>
                <w:sz w:val="22"/>
                <w:szCs w:val="22"/>
                <w:lang w:val="en-US"/>
              </w:rPr>
              <w:t>,</w:t>
            </w:r>
            <w:r w:rsidRPr="009978E3">
              <w:rPr>
                <w:sz w:val="22"/>
                <w:szCs w:val="22"/>
                <w:lang w:val="en-US"/>
              </w:rPr>
              <w:t xml:space="preserve"> lying to the west of the Mid-Atlantic </w:t>
            </w:r>
            <w:r>
              <w:rPr>
                <w:sz w:val="22"/>
                <w:szCs w:val="22"/>
                <w:lang w:val="en-US"/>
              </w:rPr>
              <w:t>R</w:t>
            </w:r>
            <w:r w:rsidRPr="009978E3">
              <w:rPr>
                <w:sz w:val="22"/>
                <w:szCs w:val="22"/>
                <w:lang w:val="en-US"/>
              </w:rPr>
              <w:t>idge is considered a potentially near-pristine example of an oceanic seamount ecosystem (OSPAR, 2011)</w:t>
            </w:r>
            <w:r>
              <w:rPr>
                <w:sz w:val="22"/>
                <w:szCs w:val="22"/>
                <w:lang w:val="en-US"/>
              </w:rPr>
              <w:t>.</w:t>
            </w:r>
          </w:p>
          <w:p w14:paraId="264C49DD" w14:textId="77777777" w:rsidR="006B3F46" w:rsidRPr="009978E3" w:rsidRDefault="006B3F46" w:rsidP="00907941">
            <w:pPr>
              <w:spacing w:after="120"/>
              <w:jc w:val="both"/>
              <w:rPr>
                <w:sz w:val="22"/>
                <w:szCs w:val="22"/>
                <w:lang w:val="en-US"/>
              </w:rPr>
            </w:pPr>
            <w:r w:rsidRPr="009978E3">
              <w:rPr>
                <w:rFonts w:eastAsia="MS Mincho"/>
                <w:color w:val="000000"/>
                <w:sz w:val="22"/>
                <w:szCs w:val="22"/>
                <w:lang w:val="en-US"/>
              </w:rPr>
              <w:t>6-</w:t>
            </w:r>
            <w:r w:rsidRPr="009978E3">
              <w:rPr>
                <w:sz w:val="22"/>
                <w:szCs w:val="22"/>
                <w:lang w:val="en-US"/>
              </w:rPr>
              <w:t>The MAR is also home to species, or species associations</w:t>
            </w:r>
            <w:r>
              <w:rPr>
                <w:sz w:val="22"/>
                <w:szCs w:val="22"/>
                <w:lang w:val="en-US"/>
              </w:rPr>
              <w:t>,</w:t>
            </w:r>
            <w:r w:rsidRPr="009978E3">
              <w:rPr>
                <w:sz w:val="22"/>
                <w:szCs w:val="22"/>
                <w:lang w:val="en-US"/>
              </w:rPr>
              <w:t xml:space="preserve"> that are not present elsewhere. This is the case of the occurrence of a unique </w:t>
            </w:r>
            <w:r>
              <w:rPr>
                <w:sz w:val="22"/>
                <w:szCs w:val="22"/>
                <w:lang w:val="en-US"/>
              </w:rPr>
              <w:t>“</w:t>
            </w:r>
            <w:r w:rsidRPr="009978E3">
              <w:rPr>
                <w:sz w:val="22"/>
                <w:szCs w:val="22"/>
                <w:lang w:val="en-US"/>
              </w:rPr>
              <w:t>living-fossil community</w:t>
            </w:r>
            <w:r>
              <w:rPr>
                <w:sz w:val="22"/>
                <w:szCs w:val="22"/>
                <w:lang w:val="en-US"/>
              </w:rPr>
              <w:t>”</w:t>
            </w:r>
            <w:r w:rsidRPr="009978E3">
              <w:rPr>
                <w:sz w:val="22"/>
                <w:szCs w:val="22"/>
                <w:lang w:val="en-US"/>
              </w:rPr>
              <w:t xml:space="preserve"> formed by a long-lived</w:t>
            </w:r>
            <w:r>
              <w:rPr>
                <w:sz w:val="22"/>
                <w:szCs w:val="22"/>
                <w:lang w:val="en-US"/>
              </w:rPr>
              <w:t>,</w:t>
            </w:r>
            <w:r w:rsidRPr="009978E3">
              <w:rPr>
                <w:sz w:val="22"/>
                <w:szCs w:val="22"/>
                <w:lang w:val="en-US"/>
              </w:rPr>
              <w:t xml:space="preserve"> deep-sea oyster and a cyrtocrinid (Wisshak </w:t>
            </w:r>
            <w:r w:rsidRPr="0006066A">
              <w:rPr>
                <w:i/>
                <w:sz w:val="22"/>
                <w:szCs w:val="22"/>
                <w:lang w:val="en-US"/>
              </w:rPr>
              <w:t>et al</w:t>
            </w:r>
            <w:r w:rsidRPr="009978E3">
              <w:rPr>
                <w:sz w:val="22"/>
                <w:szCs w:val="22"/>
                <w:lang w:val="en-US"/>
              </w:rPr>
              <w:t xml:space="preserve">., 2009) and coral reefs formed by the azooxanthellate scleractinian </w:t>
            </w:r>
            <w:r w:rsidRPr="009978E3">
              <w:rPr>
                <w:i/>
                <w:sz w:val="22"/>
                <w:szCs w:val="22"/>
                <w:lang w:val="en-US"/>
              </w:rPr>
              <w:t>Eguchipsammia</w:t>
            </w:r>
            <w:r w:rsidRPr="009978E3">
              <w:rPr>
                <w:sz w:val="22"/>
                <w:szCs w:val="22"/>
                <w:lang w:val="en-US"/>
              </w:rPr>
              <w:t xml:space="preserve"> c.f. </w:t>
            </w:r>
            <w:r w:rsidRPr="009978E3">
              <w:rPr>
                <w:i/>
                <w:sz w:val="22"/>
                <w:szCs w:val="22"/>
                <w:lang w:val="en-US"/>
              </w:rPr>
              <w:t>cornucopia</w:t>
            </w:r>
            <w:r w:rsidRPr="009978E3">
              <w:rPr>
                <w:sz w:val="22"/>
                <w:szCs w:val="22"/>
                <w:lang w:val="en-US"/>
              </w:rPr>
              <w:t xml:space="preserve"> Cairns, 1994 (Dendrophylliidae) (Tempera </w:t>
            </w:r>
            <w:r w:rsidRPr="0006066A">
              <w:rPr>
                <w:i/>
                <w:sz w:val="22"/>
                <w:szCs w:val="22"/>
                <w:lang w:val="en-US"/>
              </w:rPr>
              <w:t>et al</w:t>
            </w:r>
            <w:r w:rsidRPr="009978E3">
              <w:rPr>
                <w:sz w:val="22"/>
                <w:szCs w:val="22"/>
                <w:lang w:val="en-US"/>
              </w:rPr>
              <w:t xml:space="preserve">., 2015). </w:t>
            </w:r>
          </w:p>
          <w:p w14:paraId="57BA6E5D" w14:textId="77777777" w:rsidR="006B3F46" w:rsidRPr="009978E3" w:rsidRDefault="006B3F46" w:rsidP="00907941">
            <w:pPr>
              <w:widowControl w:val="0"/>
              <w:autoSpaceDE w:val="0"/>
              <w:autoSpaceDN w:val="0"/>
              <w:adjustRightInd w:val="0"/>
              <w:spacing w:after="60"/>
              <w:jc w:val="both"/>
              <w:rPr>
                <w:rFonts w:eastAsia="MS Mincho"/>
                <w:b/>
                <w:bCs/>
                <w:color w:val="000000"/>
                <w:sz w:val="22"/>
                <w:szCs w:val="22"/>
                <w:lang w:val="en-US"/>
              </w:rPr>
            </w:pPr>
            <w:r w:rsidRPr="009978E3">
              <w:rPr>
                <w:rFonts w:eastAsia="MS Mincho"/>
                <w:sz w:val="22"/>
                <w:szCs w:val="22"/>
                <w:lang w:val="en-US"/>
              </w:rPr>
              <w:t xml:space="preserve">7- </w:t>
            </w:r>
            <w:r w:rsidRPr="009978E3">
              <w:rPr>
                <w:sz w:val="22"/>
                <w:szCs w:val="22"/>
              </w:rPr>
              <w:t>Waters around the North MAR</w:t>
            </w:r>
            <w:r>
              <w:rPr>
                <w:sz w:val="22"/>
                <w:szCs w:val="22"/>
              </w:rPr>
              <w:t xml:space="preserve">, </w:t>
            </w:r>
            <w:r w:rsidRPr="009978E3">
              <w:rPr>
                <w:sz w:val="22"/>
                <w:szCs w:val="22"/>
              </w:rPr>
              <w:t>particular</w:t>
            </w:r>
            <w:r>
              <w:rPr>
                <w:sz w:val="22"/>
                <w:szCs w:val="22"/>
              </w:rPr>
              <w:t>ly</w:t>
            </w:r>
            <w:r w:rsidRPr="009978E3">
              <w:rPr>
                <w:sz w:val="22"/>
                <w:szCs w:val="22"/>
              </w:rPr>
              <w:t xml:space="preserve"> the Azores</w:t>
            </w:r>
            <w:r>
              <w:rPr>
                <w:sz w:val="22"/>
                <w:szCs w:val="22"/>
              </w:rPr>
              <w:t>,</w:t>
            </w:r>
            <w:r w:rsidRPr="009978E3">
              <w:rPr>
                <w:sz w:val="22"/>
                <w:szCs w:val="22"/>
              </w:rPr>
              <w:t xml:space="preserve"> also host a number of rare deep-water shark species. An extreme example is the Azores dogfish (</w:t>
            </w:r>
            <w:r w:rsidRPr="009978E3">
              <w:rPr>
                <w:i/>
                <w:sz w:val="22"/>
                <w:szCs w:val="22"/>
              </w:rPr>
              <w:t>Scymnodalatias garricki),</w:t>
            </w:r>
            <w:r w:rsidRPr="009978E3">
              <w:rPr>
                <w:sz w:val="22"/>
                <w:szCs w:val="22"/>
              </w:rPr>
              <w:t xml:space="preserve"> a species so rare that it is known only from two specimens caught in the Azores area in 1977 and 2001 at 300 m and 580 m depth</w:t>
            </w:r>
            <w:r>
              <w:rPr>
                <w:sz w:val="22"/>
                <w:szCs w:val="22"/>
              </w:rPr>
              <w:t>,</w:t>
            </w:r>
            <w:r w:rsidRPr="009978E3">
              <w:rPr>
                <w:sz w:val="22"/>
                <w:szCs w:val="22"/>
              </w:rPr>
              <w:t xml:space="preserve"> respectively (Kukuev &amp; Konovalenko, 1988</w:t>
            </w:r>
            <w:r w:rsidRPr="009978E3">
              <w:rPr>
                <w:sz w:val="22"/>
                <w:szCs w:val="22"/>
                <w:lang w:val="en-US"/>
              </w:rPr>
              <w:t xml:space="preserve">; </w:t>
            </w:r>
            <w:r w:rsidRPr="009978E3">
              <w:rPr>
                <w:sz w:val="22"/>
                <w:szCs w:val="22"/>
              </w:rPr>
              <w:t xml:space="preserve">Kukuev, 2006). The North MAR is also a preferred habitat for the sailfin roughshark </w:t>
            </w:r>
            <w:r>
              <w:rPr>
                <w:sz w:val="22"/>
                <w:szCs w:val="22"/>
              </w:rPr>
              <w:t>(</w:t>
            </w:r>
            <w:r w:rsidRPr="009978E3">
              <w:rPr>
                <w:i/>
                <w:sz w:val="22"/>
                <w:szCs w:val="22"/>
              </w:rPr>
              <w:t>Oxynotus paradoxus</w:t>
            </w:r>
            <w:r>
              <w:rPr>
                <w:i/>
                <w:sz w:val="22"/>
                <w:szCs w:val="22"/>
              </w:rPr>
              <w:t>)</w:t>
            </w:r>
            <w:r w:rsidRPr="009978E3">
              <w:rPr>
                <w:sz w:val="22"/>
                <w:szCs w:val="22"/>
              </w:rPr>
              <w:t xml:space="preserve">, a very rare species of deep-water sharks, endemic to </w:t>
            </w:r>
            <w:r>
              <w:rPr>
                <w:sz w:val="22"/>
                <w:szCs w:val="22"/>
              </w:rPr>
              <w:t xml:space="preserve">the </w:t>
            </w:r>
            <w:r w:rsidRPr="009978E3">
              <w:rPr>
                <w:sz w:val="22"/>
                <w:szCs w:val="22"/>
              </w:rPr>
              <w:t>Eastern Atlantic (Ebert &amp; Stehmann, 2013)</w:t>
            </w:r>
            <w:r>
              <w:rPr>
                <w:sz w:val="22"/>
                <w:szCs w:val="22"/>
              </w:rPr>
              <w:t>,</w:t>
            </w:r>
            <w:r w:rsidRPr="009978E3">
              <w:rPr>
                <w:sz w:val="22"/>
                <w:szCs w:val="22"/>
              </w:rPr>
              <w:t xml:space="preserve"> and the frilled shark </w:t>
            </w:r>
            <w:r>
              <w:rPr>
                <w:sz w:val="22"/>
                <w:szCs w:val="22"/>
              </w:rPr>
              <w:t>(</w:t>
            </w:r>
            <w:r w:rsidRPr="009978E3">
              <w:rPr>
                <w:i/>
                <w:sz w:val="22"/>
                <w:szCs w:val="22"/>
              </w:rPr>
              <w:t>Chlamydoselachus anguineus</w:t>
            </w:r>
            <w:r>
              <w:rPr>
                <w:i/>
                <w:sz w:val="22"/>
                <w:szCs w:val="22"/>
              </w:rPr>
              <w:t>)</w:t>
            </w:r>
            <w:r w:rsidRPr="009978E3">
              <w:rPr>
                <w:i/>
                <w:sz w:val="22"/>
                <w:szCs w:val="22"/>
              </w:rPr>
              <w:t xml:space="preserve"> </w:t>
            </w:r>
            <w:r w:rsidRPr="009978E3">
              <w:rPr>
                <w:sz w:val="22"/>
                <w:szCs w:val="22"/>
              </w:rPr>
              <w:t xml:space="preserve">that could use the MAR as </w:t>
            </w:r>
            <w:r>
              <w:rPr>
                <w:sz w:val="22"/>
                <w:szCs w:val="22"/>
              </w:rPr>
              <w:t xml:space="preserve">an </w:t>
            </w:r>
            <w:r w:rsidRPr="009978E3">
              <w:rPr>
                <w:sz w:val="22"/>
                <w:szCs w:val="22"/>
              </w:rPr>
              <w:t>aggregation or mating area (Kukuev &amp; Pavlov, 2008).</w:t>
            </w:r>
          </w:p>
          <w:p w14:paraId="2628BFC7" w14:textId="77777777" w:rsidR="006B3F46" w:rsidRPr="009978E3" w:rsidRDefault="006B3F46" w:rsidP="00907941">
            <w:pPr>
              <w:widowControl w:val="0"/>
              <w:autoSpaceDE w:val="0"/>
              <w:autoSpaceDN w:val="0"/>
              <w:adjustRightInd w:val="0"/>
              <w:jc w:val="both"/>
              <w:rPr>
                <w:rFonts w:eastAsia="MS Mincho"/>
                <w:sz w:val="22"/>
                <w:szCs w:val="22"/>
                <w:lang w:val="en-US"/>
              </w:rPr>
            </w:pPr>
          </w:p>
        </w:tc>
      </w:tr>
      <w:tr w:rsidR="006B3F46" w:rsidRPr="0021277B" w14:paraId="7EB413A4" w14:textId="77777777" w:rsidTr="002E4B39">
        <w:tc>
          <w:tcPr>
            <w:tcW w:w="832" w:type="pct"/>
            <w:shd w:val="clear" w:color="auto" w:fill="auto"/>
          </w:tcPr>
          <w:p w14:paraId="5638F547"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F66EF7">
              <w:rPr>
                <w:rFonts w:eastAsia="MS Mincho"/>
                <w:b/>
                <w:bCs/>
                <w:color w:val="000000"/>
                <w:sz w:val="22"/>
                <w:szCs w:val="22"/>
                <w:lang w:val="en-US"/>
              </w:rPr>
              <w:t>Speci</w:t>
            </w:r>
            <w:r w:rsidRPr="009978E3">
              <w:rPr>
                <w:rFonts w:eastAsia="MS Mincho"/>
                <w:b/>
                <w:bCs/>
                <w:color w:val="000000"/>
                <w:sz w:val="22"/>
                <w:szCs w:val="22"/>
                <w:lang w:val="en-US"/>
              </w:rPr>
              <w:t>al importance for life-history stages of species</w:t>
            </w:r>
          </w:p>
        </w:tc>
        <w:tc>
          <w:tcPr>
            <w:tcW w:w="2232" w:type="pct"/>
            <w:shd w:val="clear" w:color="auto" w:fill="auto"/>
          </w:tcPr>
          <w:p w14:paraId="62269A21"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Areas that are required for a population to survive and thrive.</w:t>
            </w:r>
          </w:p>
        </w:tc>
        <w:tc>
          <w:tcPr>
            <w:tcW w:w="684" w:type="pct"/>
            <w:gridSpan w:val="3"/>
            <w:shd w:val="clear" w:color="auto" w:fill="auto"/>
            <w:vAlign w:val="center"/>
          </w:tcPr>
          <w:p w14:paraId="7DF3CF0F"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0D5B61F2"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05C93F2F"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14899F61"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57DBB1B5" w14:textId="77777777" w:rsidTr="00907941">
        <w:tc>
          <w:tcPr>
            <w:tcW w:w="5000" w:type="pct"/>
            <w:gridSpan w:val="11"/>
            <w:shd w:val="clear" w:color="auto" w:fill="auto"/>
          </w:tcPr>
          <w:p w14:paraId="5D627EC0" w14:textId="77777777" w:rsidR="006B3F46" w:rsidRPr="009978E3" w:rsidRDefault="006B3F46" w:rsidP="00907941">
            <w:pPr>
              <w:widowControl w:val="0"/>
              <w:autoSpaceDE w:val="0"/>
              <w:autoSpaceDN w:val="0"/>
              <w:adjustRightInd w:val="0"/>
              <w:spacing w:after="60"/>
              <w:jc w:val="both"/>
              <w:rPr>
                <w:rFonts w:eastAsia="MS Mincho"/>
                <w:color w:val="000000"/>
                <w:sz w:val="22"/>
                <w:szCs w:val="22"/>
                <w:lang w:val="en-US"/>
              </w:rPr>
            </w:pPr>
            <w:r w:rsidRPr="00F66EF7">
              <w:rPr>
                <w:rFonts w:eastAsia="MS Mincho"/>
                <w:i/>
                <w:color w:val="000000"/>
                <w:sz w:val="22"/>
                <w:szCs w:val="22"/>
                <w:lang w:val="en-US"/>
              </w:rPr>
              <w:t>Explanation for ranking</w:t>
            </w:r>
          </w:p>
          <w:p w14:paraId="26A5757A" w14:textId="77777777" w:rsidR="006B3F46" w:rsidRPr="009978E3" w:rsidRDefault="006B3F46" w:rsidP="00907941">
            <w:pPr>
              <w:widowControl w:val="0"/>
              <w:autoSpaceDE w:val="0"/>
              <w:autoSpaceDN w:val="0"/>
              <w:adjustRightInd w:val="0"/>
              <w:spacing w:after="60"/>
              <w:jc w:val="both"/>
              <w:rPr>
                <w:rFonts w:eastAsia="MS Mincho"/>
                <w:color w:val="000000"/>
                <w:sz w:val="22"/>
                <w:szCs w:val="22"/>
                <w:lang w:val="en-US"/>
              </w:rPr>
            </w:pPr>
            <w:r>
              <w:rPr>
                <w:sz w:val="22"/>
                <w:szCs w:val="22"/>
              </w:rPr>
              <w:t>Several</w:t>
            </w:r>
            <w:r w:rsidRPr="009978E3">
              <w:rPr>
                <w:sz w:val="22"/>
                <w:szCs w:val="22"/>
              </w:rPr>
              <w:t xml:space="preserve"> tracking and telemetry studies on marine mammals, particularly for baleen whale species, have indicated the presence of known migratory pathways transiting through the region. Such cetaceans tracked to move through the region include the </w:t>
            </w:r>
            <w:r>
              <w:rPr>
                <w:sz w:val="22"/>
                <w:szCs w:val="22"/>
              </w:rPr>
              <w:t>e</w:t>
            </w:r>
            <w:r w:rsidRPr="009978E3">
              <w:rPr>
                <w:sz w:val="22"/>
                <w:szCs w:val="22"/>
              </w:rPr>
              <w:t xml:space="preserve">ndangered Sei whale </w:t>
            </w:r>
            <w:r>
              <w:rPr>
                <w:sz w:val="22"/>
                <w:szCs w:val="22"/>
              </w:rPr>
              <w:t>(</w:t>
            </w:r>
            <w:r w:rsidRPr="009978E3">
              <w:rPr>
                <w:i/>
                <w:sz w:val="22"/>
                <w:szCs w:val="22"/>
              </w:rPr>
              <w:t>Balaenoptera borealis</w:t>
            </w:r>
            <w:r>
              <w:rPr>
                <w:i/>
                <w:sz w:val="22"/>
                <w:szCs w:val="22"/>
              </w:rPr>
              <w:t>)</w:t>
            </w:r>
            <w:r w:rsidRPr="009978E3">
              <w:rPr>
                <w:sz w:val="22"/>
                <w:szCs w:val="22"/>
              </w:rPr>
              <w:t xml:space="preserve"> that migrate through the area from the Azores, likely longitudinally from waters on the Eastern Atlantic, to highly productive foraging areas in the Labrador Sea as well as Greenlandic and Icelandic waters (Olsen </w:t>
            </w:r>
            <w:r w:rsidRPr="0006066A">
              <w:rPr>
                <w:i/>
                <w:sz w:val="22"/>
                <w:szCs w:val="22"/>
              </w:rPr>
              <w:t>et al</w:t>
            </w:r>
            <w:r w:rsidRPr="009978E3">
              <w:rPr>
                <w:sz w:val="22"/>
                <w:szCs w:val="22"/>
              </w:rPr>
              <w:t xml:space="preserve">. 2009, Prieto </w:t>
            </w:r>
            <w:r w:rsidRPr="0006066A">
              <w:rPr>
                <w:i/>
                <w:sz w:val="22"/>
                <w:szCs w:val="22"/>
              </w:rPr>
              <w:t>et al</w:t>
            </w:r>
            <w:r w:rsidRPr="009978E3">
              <w:rPr>
                <w:sz w:val="22"/>
                <w:szCs w:val="22"/>
              </w:rPr>
              <w:t xml:space="preserve">. 2014). Other tracking studies of </w:t>
            </w:r>
            <w:r>
              <w:rPr>
                <w:sz w:val="22"/>
                <w:szCs w:val="22"/>
              </w:rPr>
              <w:t>e</w:t>
            </w:r>
            <w:r w:rsidRPr="009978E3">
              <w:rPr>
                <w:sz w:val="22"/>
                <w:szCs w:val="22"/>
              </w:rPr>
              <w:t>ndangered fin whales (</w:t>
            </w:r>
            <w:r w:rsidRPr="009978E3">
              <w:rPr>
                <w:i/>
                <w:sz w:val="22"/>
                <w:szCs w:val="22"/>
              </w:rPr>
              <w:t>Balaenoptera physalus</w:t>
            </w:r>
            <w:r w:rsidRPr="009978E3">
              <w:rPr>
                <w:sz w:val="22"/>
                <w:szCs w:val="22"/>
              </w:rPr>
              <w:t xml:space="preserve">) and blue whales </w:t>
            </w:r>
            <w:r>
              <w:rPr>
                <w:sz w:val="22"/>
                <w:szCs w:val="22"/>
              </w:rPr>
              <w:t>(</w:t>
            </w:r>
            <w:r w:rsidRPr="009978E3">
              <w:rPr>
                <w:i/>
                <w:sz w:val="22"/>
                <w:szCs w:val="22"/>
              </w:rPr>
              <w:t>Balaenoptera musculus</w:t>
            </w:r>
            <w:r>
              <w:rPr>
                <w:i/>
                <w:sz w:val="22"/>
                <w:szCs w:val="22"/>
              </w:rPr>
              <w:t>)</w:t>
            </w:r>
            <w:r w:rsidRPr="009978E3">
              <w:rPr>
                <w:sz w:val="22"/>
                <w:szCs w:val="22"/>
              </w:rPr>
              <w:t xml:space="preserve"> have described long migratory movements of whales between the area of the Azores northward towards key foraging areas in the region of eastern Greenland and western Iceland (Silva </w:t>
            </w:r>
            <w:r w:rsidRPr="0006066A">
              <w:rPr>
                <w:i/>
                <w:sz w:val="22"/>
                <w:szCs w:val="22"/>
              </w:rPr>
              <w:t>et al</w:t>
            </w:r>
            <w:r w:rsidRPr="009978E3">
              <w:rPr>
                <w:sz w:val="22"/>
                <w:szCs w:val="22"/>
              </w:rPr>
              <w:t>. 2013). Furthermore, fin and blue whales remained at middle latitudes along their migration in the area for prolonged periods, exhibiting area-restricted search (ARS) behavio</w:t>
            </w:r>
            <w:r>
              <w:rPr>
                <w:sz w:val="22"/>
                <w:szCs w:val="22"/>
              </w:rPr>
              <w:t>u</w:t>
            </w:r>
            <w:r w:rsidRPr="009978E3">
              <w:rPr>
                <w:sz w:val="22"/>
                <w:szCs w:val="22"/>
              </w:rPr>
              <w:t xml:space="preserve">r, indicative of foraging activity.  </w:t>
            </w:r>
            <w:r>
              <w:rPr>
                <w:sz w:val="22"/>
                <w:szCs w:val="22"/>
              </w:rPr>
              <w:t>B</w:t>
            </w:r>
            <w:r w:rsidRPr="009978E3">
              <w:rPr>
                <w:sz w:val="22"/>
                <w:szCs w:val="22"/>
              </w:rPr>
              <w:t>ehavio</w:t>
            </w:r>
            <w:r>
              <w:rPr>
                <w:sz w:val="22"/>
                <w:szCs w:val="22"/>
              </w:rPr>
              <w:t>u</w:t>
            </w:r>
            <w:r w:rsidRPr="009978E3">
              <w:rPr>
                <w:sz w:val="22"/>
                <w:szCs w:val="22"/>
              </w:rPr>
              <w:t xml:space="preserve">ral differences </w:t>
            </w:r>
            <w:r>
              <w:rPr>
                <w:sz w:val="22"/>
                <w:szCs w:val="22"/>
              </w:rPr>
              <w:t xml:space="preserve">have been noted </w:t>
            </w:r>
            <w:r w:rsidRPr="009978E3">
              <w:rPr>
                <w:sz w:val="22"/>
                <w:szCs w:val="22"/>
              </w:rPr>
              <w:t xml:space="preserve">along the observed migratory pathway of fin whales tracked to higher latitudes: ARS occurred only in the Azores and north of 56°N, whereas in between these areas whales travelled at higher overall speeds while maintaining a nearly direct trajectory. This suggests fin whales in the area may alternate periods of active migration with periods of extended use of specific habitats along the migratory route (Silva </w:t>
            </w:r>
            <w:r w:rsidRPr="0006066A">
              <w:rPr>
                <w:i/>
                <w:sz w:val="22"/>
                <w:szCs w:val="22"/>
              </w:rPr>
              <w:t>et al</w:t>
            </w:r>
            <w:r w:rsidRPr="009978E3">
              <w:rPr>
                <w:sz w:val="22"/>
                <w:szCs w:val="22"/>
              </w:rPr>
              <w:t>. 2013).</w:t>
            </w:r>
          </w:p>
          <w:p w14:paraId="3498881C" w14:textId="77777777" w:rsidR="006B3F46" w:rsidRPr="009978E3" w:rsidRDefault="006B3F46" w:rsidP="00907941">
            <w:pPr>
              <w:autoSpaceDE w:val="0"/>
              <w:autoSpaceDN w:val="0"/>
              <w:adjustRightInd w:val="0"/>
              <w:spacing w:after="120"/>
              <w:jc w:val="both"/>
              <w:rPr>
                <w:sz w:val="22"/>
                <w:szCs w:val="22"/>
                <w:lang w:val="en-US"/>
              </w:rPr>
            </w:pPr>
            <w:r w:rsidRPr="009978E3">
              <w:rPr>
                <w:sz w:val="22"/>
                <w:szCs w:val="22"/>
                <w:lang w:val="en-US"/>
              </w:rPr>
              <w:t xml:space="preserve">1-The Sedlo seamount is the only known reproductive area for alfonsino and black cardinal fish in the area near the Azores (Santos </w:t>
            </w:r>
            <w:r w:rsidRPr="0006066A">
              <w:rPr>
                <w:i/>
                <w:sz w:val="22"/>
                <w:szCs w:val="22"/>
                <w:lang w:val="en-US"/>
              </w:rPr>
              <w:t>et al</w:t>
            </w:r>
            <w:r w:rsidRPr="009978E3">
              <w:rPr>
                <w:sz w:val="22"/>
                <w:szCs w:val="22"/>
                <w:lang w:val="en-US"/>
              </w:rPr>
              <w:t>., 2009).</w:t>
            </w:r>
          </w:p>
          <w:p w14:paraId="5AAA7C40"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2-</w:t>
            </w:r>
            <w:r>
              <w:rPr>
                <w:rFonts w:eastAsia="MS Mincho"/>
                <w:color w:val="000000"/>
                <w:sz w:val="22"/>
                <w:szCs w:val="22"/>
                <w:lang w:val="en-US"/>
              </w:rPr>
              <w:t>T</w:t>
            </w:r>
            <w:r w:rsidRPr="009978E3">
              <w:rPr>
                <w:rFonts w:eastAsia="MS Mincho"/>
                <w:color w:val="000000"/>
                <w:sz w:val="22"/>
                <w:szCs w:val="22"/>
                <w:lang w:val="en-US"/>
              </w:rPr>
              <w:t xml:space="preserve">racked turtles move towards seamounts and increased their residence times once in their vicinity (Santos </w:t>
            </w:r>
            <w:r w:rsidRPr="0006066A">
              <w:rPr>
                <w:rFonts w:eastAsia="MS Mincho"/>
                <w:i/>
                <w:color w:val="000000"/>
                <w:sz w:val="22"/>
                <w:szCs w:val="22"/>
                <w:lang w:val="en-US"/>
              </w:rPr>
              <w:t>et al</w:t>
            </w:r>
            <w:r w:rsidRPr="009978E3">
              <w:rPr>
                <w:rFonts w:eastAsia="MS Mincho"/>
                <w:color w:val="000000"/>
                <w:sz w:val="22"/>
                <w:szCs w:val="22"/>
                <w:lang w:val="en-US"/>
              </w:rPr>
              <w:t xml:space="preserve">., 2007). In all the seamounts sampled Altair had the highest residence time, indicating that it may be a hotspot for these juvenile turtles (Santos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2006; Santos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2007; Morato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2008).</w:t>
            </w:r>
          </w:p>
          <w:p w14:paraId="596D9A89"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 xml:space="preserve">3-Endemic chemosynthetic fauna associated with the hydrothermal vent have metabolic adaptations that depend on the physical-chemical conditions of such vents and therefore cannot survive elsewhere (Van Dover, 2000). </w:t>
            </w:r>
          </w:p>
          <w:p w14:paraId="5CCE5A33"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 xml:space="preserve">4-The diverse benthic communities at North MAR, comprising cold-water coral reefs, gardens, sponge grounds and massif sponges, provide complex three-dimensional structural habitat that provide refuge, feeding opportunities, and spawning and nursery areas for a wide range of associated sessile and vagile species, including commercially important fish and crustacean species (Buhl-Mortensen </w:t>
            </w:r>
            <w:r w:rsidRPr="0006066A">
              <w:rPr>
                <w:rFonts w:eastAsia="MS Mincho"/>
                <w:i/>
                <w:color w:val="000000"/>
                <w:sz w:val="22"/>
                <w:szCs w:val="22"/>
                <w:lang w:val="en-US"/>
              </w:rPr>
              <w:t>et al</w:t>
            </w:r>
            <w:r w:rsidRPr="009978E3">
              <w:rPr>
                <w:rFonts w:eastAsia="MS Mincho"/>
                <w:color w:val="000000"/>
                <w:sz w:val="22"/>
                <w:szCs w:val="22"/>
                <w:lang w:val="en-US"/>
              </w:rPr>
              <w:t xml:space="preserve">., 2010; Beazley </w:t>
            </w:r>
            <w:r w:rsidRPr="0006066A">
              <w:rPr>
                <w:rFonts w:eastAsia="MS Mincho"/>
                <w:i/>
                <w:color w:val="000000"/>
                <w:sz w:val="22"/>
                <w:szCs w:val="22"/>
                <w:lang w:val="en-US"/>
              </w:rPr>
              <w:t>et al</w:t>
            </w:r>
            <w:r w:rsidRPr="009978E3">
              <w:rPr>
                <w:rFonts w:eastAsia="MS Mincho"/>
                <w:color w:val="000000"/>
                <w:sz w:val="22"/>
                <w:szCs w:val="22"/>
                <w:lang w:val="en-US"/>
              </w:rPr>
              <w:t xml:space="preserve">., 2013; Pham </w:t>
            </w:r>
            <w:r w:rsidRPr="0006066A">
              <w:rPr>
                <w:rFonts w:eastAsia="MS Mincho"/>
                <w:i/>
                <w:color w:val="000000"/>
                <w:sz w:val="22"/>
                <w:szCs w:val="22"/>
                <w:lang w:val="en-US"/>
              </w:rPr>
              <w:t>et al</w:t>
            </w:r>
            <w:r w:rsidRPr="009978E3">
              <w:rPr>
                <w:rFonts w:eastAsia="MS Mincho"/>
                <w:color w:val="000000"/>
                <w:sz w:val="22"/>
                <w:szCs w:val="22"/>
                <w:lang w:val="en-US"/>
              </w:rPr>
              <w:t xml:space="preserve">., 2015; Gomes-Pereira </w:t>
            </w:r>
            <w:r w:rsidRPr="0006066A">
              <w:rPr>
                <w:rFonts w:eastAsia="MS Mincho"/>
                <w:i/>
                <w:color w:val="000000"/>
                <w:sz w:val="22"/>
                <w:szCs w:val="22"/>
                <w:lang w:val="en-US"/>
              </w:rPr>
              <w:t>et al</w:t>
            </w:r>
            <w:r w:rsidRPr="009978E3">
              <w:rPr>
                <w:rFonts w:eastAsia="MS Mincho"/>
                <w:color w:val="000000"/>
                <w:sz w:val="22"/>
                <w:szCs w:val="22"/>
                <w:lang w:val="en-US"/>
              </w:rPr>
              <w:t xml:space="preserve">., 2017). For example, deep-water sharks were found to lay eggs among cold-water corals (Henry </w:t>
            </w:r>
            <w:r w:rsidRPr="0006066A">
              <w:rPr>
                <w:rFonts w:eastAsia="MS Mincho"/>
                <w:i/>
                <w:color w:val="000000"/>
                <w:sz w:val="22"/>
                <w:szCs w:val="22"/>
                <w:lang w:val="en-US"/>
              </w:rPr>
              <w:t>et al</w:t>
            </w:r>
            <w:r w:rsidRPr="009978E3">
              <w:rPr>
                <w:rFonts w:eastAsia="MS Mincho"/>
                <w:color w:val="000000"/>
                <w:sz w:val="22"/>
                <w:szCs w:val="22"/>
                <w:lang w:val="en-US"/>
              </w:rPr>
              <w:t xml:space="preserve">., 2013). </w:t>
            </w:r>
          </w:p>
          <w:p w14:paraId="73674DF6"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 xml:space="preserve">5-There is also evidence that the North MAR may be a potential aggregation/mating site for the rare and vulnerable shark </w:t>
            </w:r>
            <w:r w:rsidRPr="0021277B">
              <w:rPr>
                <w:rFonts w:eastAsia="MS Mincho"/>
                <w:i/>
                <w:color w:val="000000"/>
                <w:sz w:val="22"/>
                <w:szCs w:val="22"/>
                <w:lang w:val="en-US"/>
              </w:rPr>
              <w:t>Chlamydoselachus anguineus</w:t>
            </w:r>
            <w:r w:rsidRPr="009978E3">
              <w:rPr>
                <w:rFonts w:eastAsia="MS Mincho"/>
                <w:color w:val="000000"/>
                <w:sz w:val="22"/>
                <w:szCs w:val="22"/>
                <w:lang w:val="en-US"/>
              </w:rPr>
              <w:t xml:space="preserve"> (Kukuev &amp; Pavlov, 2008) and a spawning area for roundnose grenadier (</w:t>
            </w:r>
            <w:r w:rsidRPr="0021277B">
              <w:rPr>
                <w:rFonts w:eastAsia="MS Mincho"/>
                <w:i/>
                <w:color w:val="000000"/>
                <w:sz w:val="22"/>
                <w:szCs w:val="22"/>
                <w:lang w:val="en-US"/>
              </w:rPr>
              <w:t>Coryphaenoides rupestris</w:t>
            </w:r>
            <w:r w:rsidRPr="009978E3">
              <w:rPr>
                <w:rFonts w:eastAsia="MS Mincho"/>
                <w:color w:val="000000"/>
                <w:sz w:val="22"/>
                <w:szCs w:val="22"/>
                <w:lang w:val="en-US"/>
              </w:rPr>
              <w:t xml:space="preserve">; Danke </w:t>
            </w:r>
            <w:r w:rsidRPr="0006066A">
              <w:rPr>
                <w:rFonts w:eastAsia="MS Mincho"/>
                <w:i/>
                <w:color w:val="000000"/>
                <w:sz w:val="22"/>
                <w:szCs w:val="22"/>
                <w:lang w:val="en-US"/>
              </w:rPr>
              <w:t>et al</w:t>
            </w:r>
            <w:r w:rsidRPr="009978E3">
              <w:rPr>
                <w:rFonts w:eastAsia="MS Mincho"/>
                <w:color w:val="000000"/>
                <w:sz w:val="22"/>
                <w:szCs w:val="22"/>
                <w:lang w:val="en-US"/>
              </w:rPr>
              <w:t xml:space="preserve">., 1987) and the Bigelow’s ray </w:t>
            </w:r>
            <w:r>
              <w:rPr>
                <w:rFonts w:eastAsia="MS Mincho"/>
                <w:color w:val="000000"/>
                <w:sz w:val="22"/>
                <w:szCs w:val="22"/>
                <w:lang w:val="en-US"/>
              </w:rPr>
              <w:t>(</w:t>
            </w:r>
            <w:r w:rsidRPr="0021277B">
              <w:rPr>
                <w:rFonts w:eastAsia="MS Mincho"/>
                <w:i/>
                <w:color w:val="000000"/>
                <w:sz w:val="22"/>
                <w:szCs w:val="22"/>
                <w:lang w:val="en-US"/>
              </w:rPr>
              <w:t>Rajella bigelowi</w:t>
            </w:r>
            <w:r>
              <w:rPr>
                <w:rFonts w:eastAsia="MS Mincho"/>
                <w:i/>
                <w:color w:val="000000"/>
                <w:sz w:val="22"/>
                <w:szCs w:val="22"/>
                <w:lang w:val="en-US"/>
              </w:rPr>
              <w:t>)</w:t>
            </w:r>
            <w:r w:rsidRPr="009978E3">
              <w:rPr>
                <w:rFonts w:eastAsia="MS Mincho"/>
                <w:color w:val="000000"/>
                <w:sz w:val="22"/>
                <w:szCs w:val="22"/>
                <w:lang w:val="en-US"/>
              </w:rPr>
              <w:t xml:space="preserve"> (Orlov </w:t>
            </w:r>
            <w:r w:rsidRPr="0006066A">
              <w:rPr>
                <w:rFonts w:eastAsia="MS Mincho"/>
                <w:i/>
                <w:color w:val="000000"/>
                <w:sz w:val="22"/>
                <w:szCs w:val="22"/>
                <w:lang w:val="en-US"/>
              </w:rPr>
              <w:t>et al</w:t>
            </w:r>
            <w:r w:rsidRPr="009978E3">
              <w:rPr>
                <w:rFonts w:eastAsia="MS Mincho"/>
                <w:color w:val="000000"/>
                <w:sz w:val="22"/>
                <w:szCs w:val="22"/>
                <w:lang w:val="en-US"/>
              </w:rPr>
              <w:t xml:space="preserve">., 2006). </w:t>
            </w:r>
          </w:p>
          <w:p w14:paraId="5D26C4BC"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 xml:space="preserve">6-The hydrographic conditions and high morphological relief of the MAR also provide the necessary conditions for the recruitment and settlement of coral and sponge larvae with low dispersal potential and recruitment success (Hilário </w:t>
            </w:r>
            <w:r w:rsidRPr="0006066A">
              <w:rPr>
                <w:rFonts w:eastAsia="MS Mincho"/>
                <w:i/>
                <w:color w:val="000000"/>
                <w:sz w:val="22"/>
                <w:szCs w:val="22"/>
                <w:lang w:val="en-US"/>
              </w:rPr>
              <w:t>et al</w:t>
            </w:r>
            <w:r w:rsidRPr="009978E3">
              <w:rPr>
                <w:rFonts w:eastAsia="MS Mincho"/>
                <w:color w:val="000000"/>
                <w:sz w:val="22"/>
                <w:szCs w:val="22"/>
                <w:lang w:val="en-US"/>
              </w:rPr>
              <w:t xml:space="preserve">., 2015; Girard </w:t>
            </w:r>
            <w:r w:rsidRPr="0006066A">
              <w:rPr>
                <w:rFonts w:eastAsia="MS Mincho"/>
                <w:i/>
                <w:color w:val="000000"/>
                <w:sz w:val="22"/>
                <w:szCs w:val="22"/>
                <w:lang w:val="en-US"/>
              </w:rPr>
              <w:t>et al</w:t>
            </w:r>
            <w:r w:rsidRPr="009978E3">
              <w:rPr>
                <w:rFonts w:eastAsia="MS Mincho"/>
                <w:color w:val="000000"/>
                <w:sz w:val="22"/>
                <w:szCs w:val="22"/>
                <w:lang w:val="en-US"/>
              </w:rPr>
              <w:t xml:space="preserve">., 2016). </w:t>
            </w:r>
          </w:p>
          <w:p w14:paraId="33564F91" w14:textId="77777777" w:rsidR="006B3F46" w:rsidRPr="00F66EF7" w:rsidRDefault="006B3F46" w:rsidP="00907941">
            <w:pPr>
              <w:widowControl w:val="0"/>
              <w:autoSpaceDE w:val="0"/>
              <w:autoSpaceDN w:val="0"/>
              <w:adjustRightInd w:val="0"/>
              <w:spacing w:after="120"/>
              <w:jc w:val="both"/>
              <w:rPr>
                <w:rFonts w:eastAsia="MS Mincho"/>
                <w:color w:val="000000"/>
                <w:sz w:val="22"/>
                <w:szCs w:val="22"/>
                <w:lang w:val="en-US"/>
              </w:rPr>
            </w:pPr>
            <w:r w:rsidRPr="009978E3">
              <w:rPr>
                <w:rFonts w:eastAsia="MS Mincho"/>
                <w:color w:val="000000"/>
                <w:sz w:val="22"/>
                <w:szCs w:val="22"/>
                <w:lang w:val="en-US"/>
              </w:rPr>
              <w:t xml:space="preserve">7- the North MAR may also become an important connectivity pathway even for the larvae of the reef-building coral </w:t>
            </w:r>
            <w:r w:rsidRPr="0021277B">
              <w:rPr>
                <w:rFonts w:eastAsia="MS Mincho"/>
                <w:i/>
                <w:color w:val="000000"/>
                <w:sz w:val="22"/>
                <w:szCs w:val="22"/>
                <w:lang w:val="en-US"/>
              </w:rPr>
              <w:t>Lophelia pertusa</w:t>
            </w:r>
            <w:r w:rsidRPr="009978E3">
              <w:rPr>
                <w:rFonts w:eastAsia="MS Mincho"/>
                <w:color w:val="000000"/>
                <w:sz w:val="22"/>
                <w:szCs w:val="22"/>
                <w:lang w:val="en-US"/>
              </w:rPr>
              <w:t xml:space="preserve"> with high dispersal potential in a scenario of </w:t>
            </w:r>
            <w:r>
              <w:rPr>
                <w:rFonts w:eastAsia="MS Mincho"/>
                <w:color w:val="000000"/>
                <w:sz w:val="22"/>
                <w:szCs w:val="22"/>
                <w:lang w:val="en-US"/>
              </w:rPr>
              <w:t xml:space="preserve">climate </w:t>
            </w:r>
            <w:r w:rsidRPr="009978E3">
              <w:rPr>
                <w:rFonts w:eastAsia="MS Mincho"/>
                <w:color w:val="000000"/>
                <w:sz w:val="22"/>
                <w:szCs w:val="22"/>
                <w:lang w:val="en-US"/>
              </w:rPr>
              <w:t xml:space="preserve">change. Connectivity modelling studies conducted within the framework of ATLAS suggest that the North MAR may be </w:t>
            </w:r>
            <w:r w:rsidRPr="00EC5399">
              <w:rPr>
                <w:rFonts w:eastAsia="MS Mincho"/>
                <w:color w:val="000000"/>
                <w:sz w:val="22"/>
                <w:szCs w:val="22"/>
                <w:lang w:val="en-US"/>
              </w:rPr>
              <w:t xml:space="preserve">an important connectivity pathway from the Azores to the North Atlantic for L. pertusa larvae under a scenario of reduced suitable habitat caused by projected changes in climate (Fox </w:t>
            </w:r>
            <w:r w:rsidRPr="00EC5399">
              <w:rPr>
                <w:rFonts w:eastAsia="MS Mincho"/>
                <w:i/>
                <w:color w:val="000000"/>
                <w:sz w:val="22"/>
                <w:szCs w:val="22"/>
                <w:lang w:val="en-US"/>
              </w:rPr>
              <w:t>et al</w:t>
            </w:r>
            <w:r w:rsidRPr="00EC5399">
              <w:rPr>
                <w:rFonts w:eastAsia="MS Mincho"/>
                <w:color w:val="000000"/>
                <w:sz w:val="22"/>
                <w:szCs w:val="22"/>
                <w:lang w:val="en-US"/>
              </w:rPr>
              <w:t>., H2020 ATLAS 2018).</w:t>
            </w:r>
            <w:r w:rsidRPr="009978E3">
              <w:rPr>
                <w:rFonts w:eastAsia="MS Mincho"/>
                <w:color w:val="000000"/>
                <w:sz w:val="22"/>
                <w:szCs w:val="22"/>
                <w:lang w:val="en-US"/>
              </w:rPr>
              <w:t xml:space="preserve"> </w:t>
            </w:r>
          </w:p>
          <w:p w14:paraId="11373D67" w14:textId="77777777" w:rsidR="006B3F46" w:rsidRPr="009978E3" w:rsidRDefault="006B3F46" w:rsidP="00907941">
            <w:pPr>
              <w:widowControl w:val="0"/>
              <w:autoSpaceDE w:val="0"/>
              <w:autoSpaceDN w:val="0"/>
              <w:adjustRightInd w:val="0"/>
              <w:spacing w:after="120"/>
              <w:jc w:val="both"/>
              <w:rPr>
                <w:rFonts w:eastAsia="MS Mincho"/>
                <w:color w:val="000000"/>
                <w:sz w:val="22"/>
                <w:szCs w:val="22"/>
                <w:lang w:val="en-US"/>
              </w:rPr>
            </w:pPr>
            <w:r>
              <w:rPr>
                <w:rFonts w:eastAsia="MS Mincho"/>
                <w:color w:val="000000"/>
                <w:sz w:val="22"/>
                <w:szCs w:val="22"/>
                <w:lang w:val="en-US"/>
              </w:rPr>
              <w:t>8</w:t>
            </w:r>
            <w:r w:rsidRPr="009978E3">
              <w:rPr>
                <w:rFonts w:eastAsia="MS Mincho"/>
                <w:color w:val="000000"/>
                <w:sz w:val="22"/>
                <w:szCs w:val="22"/>
                <w:lang w:val="en-US"/>
              </w:rPr>
              <w:t xml:space="preserve">- shallower areas of the MAR may act as refugia for cold-water corals and other benthic calcifying species from ocean acidification as they lie in shallower waters with a higher aragonite saturation horizon, as suggested for seamount summits (Tittensor </w:t>
            </w:r>
            <w:r w:rsidRPr="0006066A">
              <w:rPr>
                <w:rFonts w:eastAsia="MS Mincho"/>
                <w:i/>
                <w:color w:val="000000"/>
                <w:sz w:val="22"/>
                <w:szCs w:val="22"/>
                <w:lang w:val="en-US"/>
              </w:rPr>
              <w:t>et al</w:t>
            </w:r>
            <w:r w:rsidRPr="009978E3">
              <w:rPr>
                <w:rFonts w:eastAsia="MS Mincho"/>
                <w:color w:val="000000"/>
                <w:sz w:val="22"/>
                <w:szCs w:val="22"/>
                <w:lang w:val="en-US"/>
              </w:rPr>
              <w:t xml:space="preserve">., 2010; Rowden </w:t>
            </w:r>
            <w:r w:rsidRPr="0006066A">
              <w:rPr>
                <w:rFonts w:eastAsia="MS Mincho"/>
                <w:i/>
                <w:color w:val="000000"/>
                <w:sz w:val="22"/>
                <w:szCs w:val="22"/>
                <w:lang w:val="en-US"/>
              </w:rPr>
              <w:t>et al</w:t>
            </w:r>
            <w:r w:rsidRPr="009978E3">
              <w:rPr>
                <w:rFonts w:eastAsia="MS Mincho"/>
                <w:color w:val="000000"/>
                <w:sz w:val="22"/>
                <w:szCs w:val="22"/>
                <w:lang w:val="en-US"/>
              </w:rPr>
              <w:t xml:space="preserve">., 2010). </w:t>
            </w:r>
          </w:p>
          <w:p w14:paraId="0F3B5616" w14:textId="77777777" w:rsidR="006B3F46" w:rsidRPr="009978E3" w:rsidRDefault="006B3F46" w:rsidP="00907941">
            <w:pPr>
              <w:spacing w:after="120"/>
              <w:jc w:val="both"/>
              <w:rPr>
                <w:sz w:val="22"/>
                <w:szCs w:val="22"/>
              </w:rPr>
            </w:pPr>
            <w:r>
              <w:rPr>
                <w:rFonts w:eastAsia="MS Mincho"/>
                <w:color w:val="000000"/>
                <w:sz w:val="22"/>
                <w:szCs w:val="22"/>
                <w:lang w:val="en-US"/>
              </w:rPr>
              <w:t>9</w:t>
            </w:r>
            <w:r w:rsidRPr="009978E3">
              <w:rPr>
                <w:rFonts w:eastAsia="MS Mincho"/>
                <w:color w:val="000000"/>
                <w:sz w:val="22"/>
                <w:szCs w:val="22"/>
                <w:lang w:val="en-US"/>
              </w:rPr>
              <w:t>-</w:t>
            </w:r>
            <w:r w:rsidRPr="009978E3">
              <w:rPr>
                <w:rFonts w:eastAsia="MS Mincho"/>
                <w:sz w:val="22"/>
                <w:szCs w:val="22"/>
                <w:lang w:val="en-US"/>
              </w:rPr>
              <w:t xml:space="preserve"> At the </w:t>
            </w:r>
            <w:r>
              <w:rPr>
                <w:rFonts w:eastAsia="MS Mincho"/>
                <w:sz w:val="22"/>
                <w:szCs w:val="22"/>
                <w:lang w:val="en-US"/>
              </w:rPr>
              <w:t>r</w:t>
            </w:r>
            <w:r w:rsidRPr="009978E3">
              <w:rPr>
                <w:rFonts w:eastAsia="MS Mincho"/>
                <w:sz w:val="22"/>
                <w:szCs w:val="22"/>
                <w:lang w:val="en-US"/>
              </w:rPr>
              <w:t>idge cre</w:t>
            </w:r>
            <w:r>
              <w:rPr>
                <w:rFonts w:eastAsia="MS Mincho"/>
                <w:sz w:val="22"/>
                <w:szCs w:val="22"/>
                <w:lang w:val="en-US"/>
              </w:rPr>
              <w:t>s</w:t>
            </w:r>
            <w:r w:rsidRPr="009978E3">
              <w:rPr>
                <w:rFonts w:eastAsia="MS Mincho"/>
                <w:sz w:val="22"/>
                <w:szCs w:val="22"/>
                <w:lang w:val="en-US"/>
              </w:rPr>
              <w:t xml:space="preserve">ts and associated seamounts, </w:t>
            </w:r>
            <w:r>
              <w:rPr>
                <w:rFonts w:eastAsia="MS Mincho"/>
                <w:sz w:val="22"/>
                <w:szCs w:val="22"/>
                <w:lang w:val="en-US"/>
              </w:rPr>
              <w:t>which</w:t>
            </w:r>
            <w:r w:rsidRPr="009978E3">
              <w:rPr>
                <w:rFonts w:eastAsia="MS Mincho"/>
                <w:sz w:val="22"/>
                <w:szCs w:val="22"/>
                <w:lang w:val="en-US"/>
              </w:rPr>
              <w:t xml:space="preserve"> r</w:t>
            </w:r>
            <w:r w:rsidRPr="009978E3">
              <w:rPr>
                <w:sz w:val="22"/>
                <w:szCs w:val="22"/>
              </w:rPr>
              <w:t>emain very poorly explored</w:t>
            </w:r>
            <w:r w:rsidRPr="009978E3">
              <w:rPr>
                <w:rFonts w:eastAsia="MS Mincho"/>
                <w:sz w:val="22"/>
                <w:szCs w:val="22"/>
                <w:lang w:val="en-US"/>
              </w:rPr>
              <w:t>, the g</w:t>
            </w:r>
            <w:r w:rsidRPr="009978E3">
              <w:rPr>
                <w:sz w:val="22"/>
                <w:szCs w:val="22"/>
              </w:rPr>
              <w:t xml:space="preserve">lobal habitat suitability models and distribution maps for the North Atlantic modelled the distribution of seven suborders of Octocorallia (Yesson </w:t>
            </w:r>
            <w:r w:rsidRPr="0006066A">
              <w:rPr>
                <w:i/>
                <w:sz w:val="22"/>
                <w:szCs w:val="22"/>
              </w:rPr>
              <w:t>et al</w:t>
            </w:r>
            <w:r w:rsidRPr="009978E3">
              <w:rPr>
                <w:sz w:val="22"/>
                <w:szCs w:val="22"/>
              </w:rPr>
              <w:t>. 2012)</w:t>
            </w:r>
            <w:r>
              <w:rPr>
                <w:sz w:val="22"/>
                <w:szCs w:val="22"/>
              </w:rPr>
              <w:t xml:space="preserve"> and</w:t>
            </w:r>
            <w:r w:rsidRPr="009978E3">
              <w:rPr>
                <w:sz w:val="22"/>
                <w:szCs w:val="22"/>
              </w:rPr>
              <w:t xml:space="preserve"> five species of framework-forming scleractinian corals (Davies &amp; Guinotte 2011). Both studies revealed </w:t>
            </w:r>
            <w:r>
              <w:rPr>
                <w:sz w:val="22"/>
                <w:szCs w:val="22"/>
              </w:rPr>
              <w:t xml:space="preserve">that </w:t>
            </w:r>
            <w:r w:rsidRPr="009978E3">
              <w:rPr>
                <w:sz w:val="22"/>
                <w:szCs w:val="22"/>
              </w:rPr>
              <w:t>the areas contain important suitable habitats for these taxa.</w:t>
            </w:r>
          </w:p>
          <w:p w14:paraId="72625046" w14:textId="77777777" w:rsidR="006B3F46" w:rsidRPr="009978E3" w:rsidRDefault="006B3F46" w:rsidP="00907941">
            <w:pPr>
              <w:spacing w:after="120"/>
              <w:jc w:val="both"/>
              <w:rPr>
                <w:sz w:val="22"/>
                <w:szCs w:val="22"/>
              </w:rPr>
            </w:pPr>
            <w:r>
              <w:rPr>
                <w:sz w:val="22"/>
                <w:szCs w:val="22"/>
              </w:rPr>
              <w:t>10</w:t>
            </w:r>
            <w:r w:rsidRPr="009978E3">
              <w:rPr>
                <w:sz w:val="22"/>
                <w:szCs w:val="22"/>
              </w:rPr>
              <w:t>-Among birds, Cory’s shearwater (</w:t>
            </w:r>
            <w:r w:rsidRPr="0021277B">
              <w:rPr>
                <w:i/>
                <w:sz w:val="22"/>
                <w:szCs w:val="22"/>
              </w:rPr>
              <w:t>Calonectris borealis</w:t>
            </w:r>
            <w:r w:rsidRPr="009978E3">
              <w:rPr>
                <w:sz w:val="22"/>
                <w:szCs w:val="22"/>
              </w:rPr>
              <w:t xml:space="preserve">) breeding in the Azores has been shown to forage over this region of the Mid-Atlantic Ridge (Magalhães </w:t>
            </w:r>
            <w:r w:rsidRPr="0006066A">
              <w:rPr>
                <w:i/>
                <w:sz w:val="22"/>
                <w:szCs w:val="22"/>
              </w:rPr>
              <w:t>et al</w:t>
            </w:r>
            <w:r w:rsidRPr="009978E3">
              <w:rPr>
                <w:sz w:val="22"/>
                <w:szCs w:val="22"/>
              </w:rPr>
              <w:t xml:space="preserve">, 2008). This species performs a dual-foraging strategy that combines short and long foraging trips. </w:t>
            </w:r>
            <w:r>
              <w:rPr>
                <w:sz w:val="22"/>
                <w:szCs w:val="22"/>
              </w:rPr>
              <w:t>Most</w:t>
            </w:r>
            <w:r w:rsidRPr="009978E3">
              <w:rPr>
                <w:sz w:val="22"/>
                <w:szCs w:val="22"/>
              </w:rPr>
              <w:t xml:space="preserve"> short trips were confined to the Mid-Atlantic Ridge just north of the Azores (within about 300 km) (Magalhães </w:t>
            </w:r>
            <w:r w:rsidRPr="0006066A">
              <w:rPr>
                <w:i/>
                <w:sz w:val="22"/>
                <w:szCs w:val="22"/>
              </w:rPr>
              <w:t>et al</w:t>
            </w:r>
            <w:r w:rsidRPr="009978E3">
              <w:rPr>
                <w:sz w:val="22"/>
                <w:szCs w:val="22"/>
              </w:rPr>
              <w:t xml:space="preserve">, 2008). Tracking data collected for other species also reveal the presence of several species that occur during their breeding or non-breeding period: </w:t>
            </w:r>
            <w:r w:rsidRPr="009978E3">
              <w:rPr>
                <w:i/>
                <w:sz w:val="22"/>
                <w:szCs w:val="22"/>
              </w:rPr>
              <w:t>Sterna paradisea, Fratercula arctica, Calonectris diomedea, Puffinus lherminieri baroli, Puffinus puffinus, Pterodroma deserta, Pterodroma madeira, Bulweria bulwerii, Rissa tridactyla, Catharacta maccormicki, Catharacta skua, Stercorarius longicaudus</w:t>
            </w:r>
            <w:r w:rsidRPr="009978E3">
              <w:rPr>
                <w:sz w:val="22"/>
                <w:szCs w:val="22"/>
              </w:rPr>
              <w:t xml:space="preserve"> (BirdLife International 2019)</w:t>
            </w:r>
          </w:p>
          <w:p w14:paraId="7FEA3AB8" w14:textId="6DD2A49D" w:rsidR="006B3F46" w:rsidRPr="009978E3" w:rsidRDefault="006B3F46" w:rsidP="002E4B39">
            <w:pPr>
              <w:spacing w:after="120"/>
              <w:jc w:val="both"/>
              <w:rPr>
                <w:rFonts w:eastAsia="MS Mincho"/>
                <w:color w:val="000000"/>
                <w:sz w:val="22"/>
                <w:szCs w:val="22"/>
                <w:lang w:val="en-US"/>
              </w:rPr>
            </w:pPr>
            <w:r w:rsidRPr="009978E3">
              <w:rPr>
                <w:sz w:val="22"/>
                <w:szCs w:val="22"/>
              </w:rPr>
              <w:t>1</w:t>
            </w:r>
            <w:r>
              <w:rPr>
                <w:sz w:val="22"/>
                <w:szCs w:val="22"/>
              </w:rPr>
              <w:t>1</w:t>
            </w:r>
            <w:r w:rsidRPr="009978E3">
              <w:rPr>
                <w:sz w:val="22"/>
                <w:szCs w:val="22"/>
              </w:rPr>
              <w:t>-There is also evidence that the mid-ocean ridges are ecologically important for higher trophic levels relative to the surrounding abyssal plains and the open ocean (</w:t>
            </w:r>
            <w:r>
              <w:rPr>
                <w:sz w:val="22"/>
                <w:szCs w:val="22"/>
              </w:rPr>
              <w:t>e.g.</w:t>
            </w:r>
            <w:r w:rsidRPr="009978E3">
              <w:rPr>
                <w:sz w:val="22"/>
                <w:szCs w:val="22"/>
              </w:rPr>
              <w:t>, blue ling and roundnose grenadier spawning aggregations on the northern MAR (Magnusson &amp; Magnusson 1995, Vinnichenko &amp; Khlivnoy 2004).</w:t>
            </w:r>
          </w:p>
        </w:tc>
      </w:tr>
      <w:tr w:rsidR="006B3F46" w:rsidRPr="0021277B" w14:paraId="563C9365" w14:textId="77777777" w:rsidTr="002E4B39">
        <w:tc>
          <w:tcPr>
            <w:tcW w:w="832" w:type="pct"/>
            <w:shd w:val="clear" w:color="auto" w:fill="auto"/>
          </w:tcPr>
          <w:p w14:paraId="223D592D"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F66EF7">
              <w:rPr>
                <w:rFonts w:eastAsia="MS Mincho"/>
                <w:b/>
                <w:bCs/>
                <w:color w:val="000000"/>
                <w:sz w:val="22"/>
                <w:szCs w:val="22"/>
                <w:lang w:val="en-US"/>
              </w:rPr>
              <w:t>Importance for threatened, endangered or declining</w:t>
            </w:r>
            <w:r w:rsidRPr="009978E3">
              <w:rPr>
                <w:rFonts w:eastAsia="MS Mincho"/>
                <w:b/>
                <w:bCs/>
                <w:color w:val="000000"/>
                <w:sz w:val="22"/>
                <w:szCs w:val="22"/>
                <w:lang w:val="en-US"/>
              </w:rPr>
              <w:t xml:space="preserve"> species and/or habitats</w:t>
            </w:r>
          </w:p>
        </w:tc>
        <w:tc>
          <w:tcPr>
            <w:tcW w:w="2232" w:type="pct"/>
            <w:shd w:val="clear" w:color="auto" w:fill="auto"/>
          </w:tcPr>
          <w:p w14:paraId="2692E6D2"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6CADC71A"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61BC0EDA"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0692BC4E"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464EC085"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181B1FAD" w14:textId="77777777" w:rsidTr="00907941">
        <w:tc>
          <w:tcPr>
            <w:tcW w:w="5000" w:type="pct"/>
            <w:gridSpan w:val="11"/>
            <w:shd w:val="clear" w:color="auto" w:fill="auto"/>
          </w:tcPr>
          <w:p w14:paraId="6CEF64CD" w14:textId="77777777" w:rsidR="006B3F46" w:rsidRPr="009978E3" w:rsidRDefault="006B3F46" w:rsidP="00907941">
            <w:pPr>
              <w:widowControl w:val="0"/>
              <w:autoSpaceDE w:val="0"/>
              <w:autoSpaceDN w:val="0"/>
              <w:adjustRightInd w:val="0"/>
              <w:jc w:val="both"/>
              <w:rPr>
                <w:rFonts w:eastAsia="MS Mincho"/>
                <w:sz w:val="22"/>
                <w:szCs w:val="22"/>
                <w:lang w:val="en-US"/>
              </w:rPr>
            </w:pPr>
            <w:r w:rsidRPr="00F66EF7">
              <w:rPr>
                <w:rFonts w:eastAsia="MS Mincho"/>
                <w:i/>
                <w:color w:val="000000"/>
                <w:sz w:val="22"/>
                <w:szCs w:val="22"/>
                <w:lang w:val="en-US"/>
              </w:rPr>
              <w:t>Explanation for ranking</w:t>
            </w:r>
          </w:p>
          <w:p w14:paraId="36FB07E1"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1-</w:t>
            </w:r>
            <w:r>
              <w:rPr>
                <w:rFonts w:eastAsia="MS Mincho"/>
                <w:sz w:val="22"/>
                <w:szCs w:val="22"/>
                <w:lang w:val="en-US"/>
              </w:rPr>
              <w:t>O</w:t>
            </w:r>
            <w:r w:rsidRPr="009978E3">
              <w:rPr>
                <w:rFonts w:eastAsia="MS Mincho"/>
                <w:sz w:val="22"/>
                <w:szCs w:val="22"/>
                <w:lang w:val="en-US"/>
              </w:rPr>
              <w:t>ceanic ridges with hydrothermal vents and seamounts are all listed on the OSPAR List of Threatened and/or Declining Species and Habitats (OSPAR 2009; 2010a.,b,c,d).</w:t>
            </w:r>
          </w:p>
          <w:p w14:paraId="576A22DF"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2-The seamount and potentially cold-water coral and sponge reef habitats also qualify as Vulnerable Marine Ecosystems in relation to high seas fisheries</w:t>
            </w:r>
            <w:r>
              <w:rPr>
                <w:rFonts w:eastAsia="MS Mincho"/>
                <w:sz w:val="22"/>
                <w:szCs w:val="22"/>
                <w:lang w:val="en-US"/>
              </w:rPr>
              <w:t>R</w:t>
            </w:r>
            <w:r w:rsidRPr="009978E3">
              <w:rPr>
                <w:rFonts w:eastAsia="MS Mincho"/>
                <w:sz w:val="22"/>
                <w:szCs w:val="22"/>
                <w:lang w:val="en-US"/>
              </w:rPr>
              <w:t xml:space="preserve"> according to criteria developed by FAO (FAO, 2007; Rogers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xml:space="preserve">, 2008). </w:t>
            </w:r>
          </w:p>
          <w:p w14:paraId="1DC8A094" w14:textId="77777777" w:rsidR="006B3F46" w:rsidRPr="00EC5399"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3-</w:t>
            </w:r>
            <w:r>
              <w:rPr>
                <w:rFonts w:eastAsia="MS Mincho"/>
                <w:sz w:val="22"/>
                <w:szCs w:val="22"/>
                <w:lang w:val="en-US"/>
              </w:rPr>
              <w:t>R</w:t>
            </w:r>
            <w:r w:rsidRPr="009978E3">
              <w:rPr>
                <w:rFonts w:eastAsia="MS Mincho"/>
                <w:sz w:val="22"/>
                <w:szCs w:val="22"/>
                <w:lang w:val="en-US"/>
              </w:rPr>
              <w:t xml:space="preserve">ecords of many other vulnerable </w:t>
            </w:r>
            <w:r w:rsidRPr="00EC5399">
              <w:rPr>
                <w:rFonts w:eastAsia="MS Mincho"/>
                <w:sz w:val="22"/>
                <w:szCs w:val="22"/>
                <w:lang w:val="en-US"/>
              </w:rPr>
              <w:t>species, for example the lantern shark (</w:t>
            </w:r>
            <w:r w:rsidRPr="00EC5399">
              <w:rPr>
                <w:rFonts w:eastAsia="MS Mincho"/>
                <w:i/>
                <w:sz w:val="22"/>
                <w:szCs w:val="22"/>
                <w:lang w:val="en-US"/>
              </w:rPr>
              <w:t>Etmopterus princeps</w:t>
            </w:r>
            <w:r w:rsidRPr="00EC5399">
              <w:rPr>
                <w:rFonts w:eastAsia="MS Mincho"/>
                <w:sz w:val="22"/>
                <w:szCs w:val="22"/>
                <w:lang w:val="en-US"/>
              </w:rPr>
              <w:t xml:space="preserve">) (Durán Muñoz </w:t>
            </w:r>
            <w:r w:rsidRPr="00EC5399">
              <w:rPr>
                <w:rFonts w:eastAsia="MS Mincho"/>
                <w:i/>
                <w:sz w:val="22"/>
                <w:szCs w:val="22"/>
                <w:lang w:val="en-US"/>
              </w:rPr>
              <w:t>et al.</w:t>
            </w:r>
            <w:r w:rsidRPr="00EC5399">
              <w:rPr>
                <w:rFonts w:eastAsia="MS Mincho"/>
                <w:sz w:val="22"/>
                <w:szCs w:val="22"/>
                <w:lang w:val="en-US"/>
              </w:rPr>
              <w:t xml:space="preserve">, 2000), which has been classified by ICES as vulnerable to fishing pressure due to its relatively long recovery time (ICES, 2005; 2008). </w:t>
            </w:r>
          </w:p>
          <w:p w14:paraId="34C4FFE5"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EC5399">
              <w:rPr>
                <w:rFonts w:eastAsia="MS Mincho"/>
                <w:sz w:val="22"/>
                <w:szCs w:val="22"/>
                <w:lang w:val="en-US"/>
              </w:rPr>
              <w:t>4-Overall around 6 per cent of the species identified in this area are listed as threatened by the OSPAR List of Threatened and/or Declining Species and Habitats (OSPAR 2009; 2010a.,b,c,d) (</w:t>
            </w:r>
            <w:r w:rsidRPr="0021277B">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Centroscymus coeleopsis</w:t>
            </w:r>
            <w:r w:rsidRPr="009978E3">
              <w:rPr>
                <w:rFonts w:eastAsia="MS Mincho"/>
                <w:sz w:val="22"/>
                <w:szCs w:val="22"/>
                <w:lang w:val="en-US"/>
              </w:rPr>
              <w:t xml:space="preserve">, </w:t>
            </w:r>
            <w:r w:rsidRPr="009978E3">
              <w:rPr>
                <w:rFonts w:eastAsia="MS Mincho"/>
                <w:i/>
                <w:sz w:val="22"/>
                <w:szCs w:val="22"/>
                <w:lang w:val="en-US"/>
              </w:rPr>
              <w:t>Hoplostethus atlanticus</w:t>
            </w:r>
            <w:r w:rsidRPr="009978E3">
              <w:rPr>
                <w:rFonts w:eastAsia="MS Mincho"/>
                <w:sz w:val="22"/>
                <w:szCs w:val="22"/>
                <w:lang w:val="en-US"/>
              </w:rPr>
              <w:t>), CITES Appendix I (</w:t>
            </w:r>
            <w:r w:rsidRPr="0021277B">
              <w:rPr>
                <w:rFonts w:eastAsia="MS Mincho"/>
                <w:iCs/>
                <w:sz w:val="22"/>
                <w:szCs w:val="22"/>
                <w:lang w:val="en-US"/>
              </w:rPr>
              <w:t>e.g.,</w:t>
            </w:r>
            <w:r w:rsidRPr="009978E3">
              <w:rPr>
                <w:rFonts w:eastAsia="MS Mincho"/>
                <w:sz w:val="22"/>
                <w:szCs w:val="22"/>
                <w:lang w:val="en-US"/>
              </w:rPr>
              <w:t xml:space="preserve"> </w:t>
            </w:r>
            <w:r w:rsidRPr="009978E3">
              <w:rPr>
                <w:rFonts w:eastAsia="MS Mincho"/>
                <w:i/>
                <w:sz w:val="22"/>
                <w:szCs w:val="22"/>
                <w:lang w:val="en-US"/>
              </w:rPr>
              <w:t>Balaenoptera borealis</w:t>
            </w:r>
            <w:r w:rsidRPr="009978E3">
              <w:rPr>
                <w:rFonts w:eastAsia="MS Mincho"/>
                <w:sz w:val="22"/>
                <w:szCs w:val="22"/>
                <w:lang w:val="en-US"/>
              </w:rPr>
              <w:t xml:space="preserve">, </w:t>
            </w:r>
            <w:r w:rsidRPr="009978E3">
              <w:rPr>
                <w:rFonts w:eastAsia="MS Mincho"/>
                <w:i/>
                <w:sz w:val="22"/>
                <w:szCs w:val="22"/>
                <w:lang w:val="en-US"/>
              </w:rPr>
              <w:t>Dermochelys coriacea</w:t>
            </w:r>
            <w:r w:rsidRPr="009978E3">
              <w:rPr>
                <w:rFonts w:eastAsia="MS Mincho"/>
                <w:sz w:val="22"/>
                <w:szCs w:val="22"/>
                <w:lang w:val="en-US"/>
              </w:rPr>
              <w:t>),</w:t>
            </w:r>
            <w:r w:rsidRPr="009978E3">
              <w:rPr>
                <w:rFonts w:eastAsia="MS Mincho"/>
                <w:i/>
                <w:sz w:val="22"/>
                <w:szCs w:val="22"/>
                <w:lang w:val="en-US"/>
              </w:rPr>
              <w:t xml:space="preserve"> </w:t>
            </w:r>
            <w:r w:rsidRPr="009978E3">
              <w:rPr>
                <w:rFonts w:eastAsia="MS Mincho"/>
                <w:sz w:val="22"/>
                <w:szCs w:val="22"/>
                <w:lang w:val="en-US"/>
              </w:rPr>
              <w:t>CITES Appendix II (Order Antipatharia (</w:t>
            </w:r>
            <w:r>
              <w:rPr>
                <w:rFonts w:eastAsia="MS Mincho"/>
                <w:sz w:val="22"/>
                <w:szCs w:val="22"/>
                <w:lang w:val="en-US"/>
              </w:rPr>
              <w:t>e.g.,</w:t>
            </w:r>
            <w:r w:rsidRPr="009978E3">
              <w:rPr>
                <w:rFonts w:eastAsia="MS Mincho"/>
                <w:sz w:val="22"/>
                <w:szCs w:val="22"/>
                <w:lang w:val="en-US"/>
              </w:rPr>
              <w:t xml:space="preserve"> black corals Leiopathes sp, Bathypathes sp), Scleractinia (</w:t>
            </w:r>
            <w:r>
              <w:rPr>
                <w:rFonts w:eastAsia="MS Mincho"/>
                <w:sz w:val="22"/>
                <w:szCs w:val="22"/>
                <w:lang w:val="en-US"/>
              </w:rPr>
              <w:t>e.g.,</w:t>
            </w:r>
            <w:r w:rsidRPr="009978E3">
              <w:rPr>
                <w:rFonts w:eastAsia="MS Mincho"/>
                <w:sz w:val="22"/>
                <w:szCs w:val="22"/>
                <w:lang w:val="en-US"/>
              </w:rPr>
              <w:t xml:space="preserve"> reef</w:t>
            </w:r>
            <w:r>
              <w:rPr>
                <w:rFonts w:eastAsia="MS Mincho"/>
                <w:sz w:val="22"/>
                <w:szCs w:val="22"/>
                <w:lang w:val="en-US"/>
              </w:rPr>
              <w:t>-</w:t>
            </w:r>
            <w:r w:rsidRPr="009978E3">
              <w:rPr>
                <w:rFonts w:eastAsia="MS Mincho"/>
                <w:sz w:val="22"/>
                <w:szCs w:val="22"/>
                <w:lang w:val="en-US"/>
              </w:rPr>
              <w:t xml:space="preserve">building corals </w:t>
            </w:r>
            <w:r w:rsidRPr="009978E3">
              <w:rPr>
                <w:rFonts w:eastAsia="MS Mincho"/>
                <w:i/>
                <w:sz w:val="22"/>
                <w:szCs w:val="22"/>
                <w:lang w:val="en-US"/>
              </w:rPr>
              <w:t>Lophelia pertusa, Madrepora oculata</w:t>
            </w:r>
            <w:r w:rsidRPr="009978E3">
              <w:rPr>
                <w:rFonts w:eastAsia="MS Mincho"/>
                <w:sz w:val="22"/>
                <w:szCs w:val="22"/>
                <w:lang w:val="en-US"/>
              </w:rPr>
              <w:t>) and family Stylasteridae (</w:t>
            </w:r>
            <w:r>
              <w:rPr>
                <w:rFonts w:eastAsia="MS Mincho"/>
                <w:sz w:val="22"/>
                <w:szCs w:val="22"/>
                <w:lang w:val="en-US"/>
              </w:rPr>
              <w:t>e.g.,</w:t>
            </w:r>
            <w:r w:rsidRPr="009978E3">
              <w:rPr>
                <w:rFonts w:eastAsia="MS Mincho"/>
                <w:sz w:val="22"/>
                <w:szCs w:val="22"/>
                <w:lang w:val="en-US"/>
              </w:rPr>
              <w:t xml:space="preserve"> </w:t>
            </w:r>
            <w:r w:rsidRPr="009978E3">
              <w:rPr>
                <w:rFonts w:eastAsia="MS Mincho"/>
                <w:i/>
                <w:sz w:val="22"/>
                <w:szCs w:val="22"/>
                <w:lang w:val="en-US"/>
              </w:rPr>
              <w:t>Errina spp, Stylaster spp</w:t>
            </w:r>
            <w:r w:rsidRPr="009978E3">
              <w:rPr>
                <w:rFonts w:eastAsia="MS Mincho"/>
                <w:sz w:val="22"/>
                <w:szCs w:val="22"/>
                <w:lang w:val="en-US"/>
              </w:rPr>
              <w:t>)), EU Habitats Directive (</w:t>
            </w:r>
            <w:r w:rsidRPr="0021277B">
              <w:rPr>
                <w:rFonts w:eastAsia="MS Mincho"/>
                <w:iCs/>
                <w:sz w:val="22"/>
                <w:szCs w:val="22"/>
                <w:lang w:val="en-US"/>
              </w:rPr>
              <w:t>e.g.,</w:t>
            </w:r>
            <w:r w:rsidRPr="009978E3">
              <w:rPr>
                <w:rFonts w:eastAsia="MS Mincho"/>
                <w:sz w:val="22"/>
                <w:szCs w:val="22"/>
                <w:lang w:val="en-US"/>
              </w:rPr>
              <w:t xml:space="preserve"> </w:t>
            </w:r>
            <w:r w:rsidRPr="009978E3">
              <w:rPr>
                <w:rFonts w:eastAsia="MS Mincho"/>
                <w:i/>
                <w:sz w:val="22"/>
                <w:szCs w:val="22"/>
                <w:lang w:val="en-US"/>
              </w:rPr>
              <w:t>Megaptera novaeangliae</w:t>
            </w:r>
            <w:r w:rsidRPr="009978E3">
              <w:rPr>
                <w:rFonts w:eastAsia="MS Mincho"/>
                <w:sz w:val="22"/>
                <w:szCs w:val="22"/>
                <w:lang w:val="en-US"/>
              </w:rPr>
              <w:t xml:space="preserve">, </w:t>
            </w:r>
            <w:r w:rsidRPr="009978E3">
              <w:rPr>
                <w:rFonts w:eastAsia="MS Mincho"/>
                <w:i/>
                <w:sz w:val="22"/>
                <w:szCs w:val="22"/>
                <w:lang w:val="en-US"/>
              </w:rPr>
              <w:t>Physeter macrocephalus</w:t>
            </w:r>
            <w:r w:rsidRPr="009978E3">
              <w:rPr>
                <w:rFonts w:eastAsia="MS Mincho"/>
                <w:sz w:val="22"/>
                <w:szCs w:val="22"/>
                <w:lang w:val="en-US"/>
              </w:rPr>
              <w:t>), Annex II of the Bern Convention (</w:t>
            </w:r>
            <w:r w:rsidRPr="0021277B">
              <w:rPr>
                <w:rFonts w:eastAsia="MS Mincho"/>
                <w:iCs/>
                <w:sz w:val="22"/>
                <w:szCs w:val="22"/>
                <w:lang w:val="en-US"/>
              </w:rPr>
              <w:t>e.g.,</w:t>
            </w:r>
            <w:r w:rsidRPr="009978E3">
              <w:rPr>
                <w:rFonts w:eastAsia="MS Mincho"/>
                <w:sz w:val="22"/>
                <w:szCs w:val="22"/>
                <w:lang w:val="en-US"/>
              </w:rPr>
              <w:t xml:space="preserve"> </w:t>
            </w:r>
            <w:r w:rsidRPr="009978E3">
              <w:rPr>
                <w:rFonts w:eastAsia="MS Mincho"/>
                <w:i/>
                <w:sz w:val="22"/>
                <w:szCs w:val="22"/>
                <w:lang w:val="en-US"/>
              </w:rPr>
              <w:t>Balaenoptera physalus</w:t>
            </w:r>
            <w:r w:rsidRPr="009978E3">
              <w:rPr>
                <w:rFonts w:eastAsia="MS Mincho"/>
                <w:sz w:val="22"/>
                <w:szCs w:val="22"/>
                <w:lang w:val="en-US"/>
              </w:rPr>
              <w:t xml:space="preserve">, </w:t>
            </w:r>
            <w:r w:rsidRPr="009978E3">
              <w:rPr>
                <w:rFonts w:eastAsia="MS Mincho"/>
                <w:i/>
                <w:sz w:val="22"/>
                <w:szCs w:val="22"/>
                <w:lang w:val="en-US"/>
              </w:rPr>
              <w:t>Caretta caretta</w:t>
            </w:r>
            <w:r w:rsidRPr="009978E3">
              <w:rPr>
                <w:rFonts w:eastAsia="MS Mincho"/>
                <w:sz w:val="22"/>
                <w:szCs w:val="22"/>
                <w:lang w:val="en-US"/>
              </w:rPr>
              <w:t>), IUCN Red List (</w:t>
            </w:r>
            <w:r w:rsidRPr="0021277B">
              <w:rPr>
                <w:rFonts w:eastAsia="MS Mincho"/>
                <w:iCs/>
                <w:sz w:val="22"/>
                <w:szCs w:val="22"/>
                <w:lang w:val="en-US"/>
              </w:rPr>
              <w:t>e.g.,</w:t>
            </w:r>
            <w:r w:rsidRPr="009978E3">
              <w:rPr>
                <w:rFonts w:eastAsia="MS Mincho"/>
                <w:sz w:val="22"/>
                <w:szCs w:val="22"/>
                <w:lang w:val="en-US"/>
              </w:rPr>
              <w:t xml:space="preserve"> </w:t>
            </w:r>
            <w:r w:rsidRPr="009978E3">
              <w:rPr>
                <w:rFonts w:eastAsia="MS Mincho"/>
                <w:i/>
                <w:sz w:val="22"/>
                <w:szCs w:val="22"/>
                <w:lang w:val="en-US"/>
              </w:rPr>
              <w:t>Hippoglossus hippoglossus</w:t>
            </w:r>
            <w:r w:rsidRPr="009978E3">
              <w:rPr>
                <w:rFonts w:eastAsia="MS Mincho"/>
                <w:sz w:val="22"/>
                <w:szCs w:val="22"/>
                <w:lang w:val="en-US"/>
              </w:rPr>
              <w:t xml:space="preserve">, </w:t>
            </w:r>
            <w:r w:rsidRPr="009978E3">
              <w:rPr>
                <w:rFonts w:eastAsia="MS Mincho"/>
                <w:i/>
                <w:sz w:val="22"/>
                <w:szCs w:val="22"/>
                <w:lang w:val="en-US"/>
              </w:rPr>
              <w:t>Thunnus albacares</w:t>
            </w:r>
            <w:r w:rsidRPr="009978E3">
              <w:rPr>
                <w:rFonts w:eastAsia="MS Mincho"/>
                <w:sz w:val="22"/>
                <w:szCs w:val="22"/>
                <w:lang w:val="en-US"/>
              </w:rPr>
              <w:t>), Birds Directive Annex I (</w:t>
            </w:r>
            <w:r w:rsidRPr="0021277B">
              <w:rPr>
                <w:rFonts w:eastAsia="MS Mincho"/>
                <w:iCs/>
                <w:sz w:val="22"/>
                <w:szCs w:val="22"/>
                <w:lang w:val="en-US"/>
              </w:rPr>
              <w:t>e.g.,</w:t>
            </w:r>
            <w:r w:rsidRPr="009978E3">
              <w:rPr>
                <w:rFonts w:eastAsia="MS Mincho"/>
                <w:sz w:val="22"/>
                <w:szCs w:val="22"/>
                <w:lang w:val="en-US"/>
              </w:rPr>
              <w:t xml:space="preserve"> </w:t>
            </w:r>
            <w:r w:rsidRPr="009978E3">
              <w:rPr>
                <w:rFonts w:eastAsia="MS Mincho"/>
                <w:i/>
                <w:sz w:val="22"/>
                <w:szCs w:val="22"/>
                <w:lang w:val="en-US"/>
              </w:rPr>
              <w:t>Calonectris</w:t>
            </w:r>
            <w:r w:rsidRPr="009978E3">
              <w:rPr>
                <w:rFonts w:eastAsia="MS Mincho"/>
                <w:sz w:val="22"/>
                <w:szCs w:val="22"/>
                <w:lang w:val="en-US"/>
              </w:rPr>
              <w:t xml:space="preserve"> </w:t>
            </w:r>
            <w:r w:rsidRPr="009978E3">
              <w:rPr>
                <w:rFonts w:eastAsia="MS Mincho"/>
                <w:i/>
                <w:sz w:val="22"/>
                <w:szCs w:val="22"/>
                <w:lang w:val="en-US"/>
              </w:rPr>
              <w:t>borealis</w:t>
            </w:r>
            <w:r w:rsidRPr="009978E3">
              <w:rPr>
                <w:rFonts w:eastAsia="MS Mincho"/>
                <w:sz w:val="22"/>
                <w:szCs w:val="22"/>
                <w:lang w:val="en-US"/>
              </w:rPr>
              <w:t xml:space="preserve">, </w:t>
            </w:r>
            <w:r w:rsidRPr="009978E3">
              <w:rPr>
                <w:rFonts w:eastAsia="MS Mincho"/>
                <w:i/>
                <w:sz w:val="22"/>
                <w:szCs w:val="22"/>
                <w:lang w:val="en-US"/>
              </w:rPr>
              <w:t>Sterna dougallii</w:t>
            </w:r>
            <w:r w:rsidRPr="009978E3">
              <w:rPr>
                <w:rFonts w:eastAsia="MS Mincho"/>
                <w:sz w:val="22"/>
                <w:szCs w:val="22"/>
                <w:lang w:val="en-US"/>
              </w:rPr>
              <w:t xml:space="preserve">) (see </w:t>
            </w:r>
            <w:r>
              <w:rPr>
                <w:rFonts w:eastAsia="MS Mincho"/>
                <w:sz w:val="22"/>
                <w:szCs w:val="22"/>
                <w:lang w:val="en-US"/>
              </w:rPr>
              <w:t>“f</w:t>
            </w:r>
            <w:r w:rsidRPr="009978E3">
              <w:rPr>
                <w:rFonts w:eastAsia="MS Mincho"/>
                <w:sz w:val="22"/>
                <w:szCs w:val="22"/>
                <w:lang w:val="en-US"/>
              </w:rPr>
              <w:t>eature description of the area</w:t>
            </w:r>
            <w:r>
              <w:rPr>
                <w:rFonts w:eastAsia="MS Mincho"/>
                <w:sz w:val="22"/>
                <w:szCs w:val="22"/>
                <w:lang w:val="en-US"/>
              </w:rPr>
              <w:t>”</w:t>
            </w:r>
            <w:r w:rsidRPr="009978E3">
              <w:rPr>
                <w:rFonts w:eastAsia="MS Mincho"/>
                <w:sz w:val="22"/>
                <w:szCs w:val="22"/>
                <w:lang w:val="en-US"/>
              </w:rPr>
              <w:t>). Some globally threatened seabird species are also known to occur in the area</w:t>
            </w:r>
            <w:r>
              <w:rPr>
                <w:rFonts w:eastAsia="MS Mincho"/>
                <w:sz w:val="22"/>
                <w:szCs w:val="22"/>
                <w:lang w:val="en-US"/>
              </w:rPr>
              <w:t>:</w:t>
            </w:r>
            <w:r w:rsidRPr="009978E3">
              <w:rPr>
                <w:rFonts w:eastAsia="MS Mincho"/>
                <w:sz w:val="22"/>
                <w:szCs w:val="22"/>
                <w:lang w:val="en-US"/>
              </w:rPr>
              <w:t xml:space="preserve"> </w:t>
            </w:r>
            <w:r w:rsidRPr="009978E3">
              <w:rPr>
                <w:rFonts w:eastAsia="MS Mincho"/>
                <w:i/>
                <w:sz w:val="22"/>
                <w:szCs w:val="22"/>
                <w:lang w:val="en-US"/>
              </w:rPr>
              <w:t>Pterodroma madeira</w:t>
            </w:r>
            <w:r w:rsidRPr="009978E3">
              <w:rPr>
                <w:rFonts w:eastAsia="MS Mincho"/>
                <w:sz w:val="22"/>
                <w:szCs w:val="22"/>
                <w:lang w:val="en-US"/>
              </w:rPr>
              <w:t xml:space="preserve"> (EN), </w:t>
            </w:r>
            <w:r w:rsidRPr="009978E3">
              <w:rPr>
                <w:rFonts w:eastAsia="MS Mincho"/>
                <w:i/>
                <w:sz w:val="22"/>
                <w:szCs w:val="22"/>
                <w:lang w:val="en-US"/>
              </w:rPr>
              <w:t>Rissa tridactyla</w:t>
            </w:r>
            <w:r w:rsidRPr="009978E3">
              <w:rPr>
                <w:rFonts w:eastAsia="MS Mincho"/>
                <w:sz w:val="22"/>
                <w:szCs w:val="22"/>
                <w:lang w:val="en-US"/>
              </w:rPr>
              <w:t xml:space="preserve"> (VU), </w:t>
            </w:r>
            <w:r w:rsidRPr="009978E3">
              <w:rPr>
                <w:rFonts w:eastAsia="MS Mincho"/>
                <w:i/>
                <w:sz w:val="22"/>
                <w:szCs w:val="22"/>
                <w:lang w:val="en-US"/>
              </w:rPr>
              <w:t>Pterodroma deserta</w:t>
            </w:r>
            <w:r w:rsidRPr="009978E3">
              <w:rPr>
                <w:rFonts w:eastAsia="MS Mincho"/>
                <w:sz w:val="22"/>
                <w:szCs w:val="22"/>
                <w:lang w:val="en-US"/>
              </w:rPr>
              <w:t xml:space="preserve"> (VU), along with the OSPAR listed </w:t>
            </w:r>
            <w:r w:rsidRPr="009978E3">
              <w:rPr>
                <w:rFonts w:eastAsia="MS Mincho"/>
                <w:i/>
                <w:color w:val="000000"/>
                <w:sz w:val="22"/>
                <w:szCs w:val="22"/>
                <w:lang w:val="en-US"/>
              </w:rPr>
              <w:t xml:space="preserve">Puffinus </w:t>
            </w:r>
            <w:r w:rsidRPr="009978E3">
              <w:rPr>
                <w:i/>
                <w:iCs/>
                <w:sz w:val="22"/>
                <w:szCs w:val="22"/>
                <w:lang w:eastAsia="en-GB"/>
              </w:rPr>
              <w:t xml:space="preserve">lherminieri baroli </w:t>
            </w:r>
            <w:r w:rsidRPr="009978E3">
              <w:rPr>
                <w:iCs/>
                <w:sz w:val="22"/>
                <w:szCs w:val="22"/>
                <w:lang w:eastAsia="en-GB"/>
              </w:rPr>
              <w:t>(BirdLife International 2019)</w:t>
            </w:r>
            <w:r w:rsidRPr="009978E3">
              <w:rPr>
                <w:i/>
                <w:iCs/>
                <w:sz w:val="22"/>
                <w:szCs w:val="22"/>
                <w:lang w:eastAsia="en-GB"/>
              </w:rPr>
              <w:t>.</w:t>
            </w:r>
          </w:p>
          <w:p w14:paraId="0499BB87"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 xml:space="preserve">5-Deep-water sharks have limited productivity and limited ability to sustain high levels of fishing pressure and </w:t>
            </w:r>
            <w:r>
              <w:rPr>
                <w:rFonts w:eastAsia="MS Mincho"/>
                <w:sz w:val="22"/>
                <w:szCs w:val="22"/>
                <w:lang w:val="en-US"/>
              </w:rPr>
              <w:t>are</w:t>
            </w:r>
            <w:r w:rsidRPr="009978E3">
              <w:rPr>
                <w:rFonts w:eastAsia="MS Mincho"/>
                <w:sz w:val="22"/>
                <w:szCs w:val="22"/>
                <w:lang w:val="en-US"/>
              </w:rPr>
              <w:t xml:space="preserve"> unlikely </w:t>
            </w:r>
            <w:r>
              <w:rPr>
                <w:rFonts w:eastAsia="MS Mincho"/>
                <w:sz w:val="22"/>
                <w:szCs w:val="22"/>
                <w:lang w:val="en-US"/>
              </w:rPr>
              <w:t xml:space="preserve">to </w:t>
            </w:r>
            <w:r w:rsidRPr="009978E3">
              <w:rPr>
                <w:rFonts w:eastAsia="MS Mincho"/>
                <w:sz w:val="22"/>
                <w:szCs w:val="22"/>
                <w:lang w:val="en-US"/>
              </w:rPr>
              <w:t xml:space="preserve">recover from serious overfishing (Kyne &amp; Simpfendorfer, 2007). Out of the 25 species of deep-water sharks occurring in the North MAR around the Azores, nearly half are listed under the IUCN Red List of Threatened Species, as </w:t>
            </w:r>
            <w:r>
              <w:rPr>
                <w:rFonts w:eastAsia="MS Mincho"/>
                <w:sz w:val="22"/>
                <w:szCs w:val="22"/>
                <w:lang w:val="en-US"/>
              </w:rPr>
              <w:t>c</w:t>
            </w:r>
            <w:r w:rsidRPr="009978E3">
              <w:rPr>
                <w:rFonts w:eastAsia="MS Mincho"/>
                <w:sz w:val="22"/>
                <w:szCs w:val="22"/>
                <w:lang w:val="en-US"/>
              </w:rPr>
              <w:t xml:space="preserve">ritically </w:t>
            </w:r>
            <w:r>
              <w:rPr>
                <w:rFonts w:eastAsia="MS Mincho"/>
                <w:sz w:val="22"/>
                <w:szCs w:val="22"/>
                <w:lang w:val="en-US"/>
              </w:rPr>
              <w:t>e</w:t>
            </w:r>
            <w:r w:rsidRPr="009978E3">
              <w:rPr>
                <w:rFonts w:eastAsia="MS Mincho"/>
                <w:sz w:val="22"/>
                <w:szCs w:val="22"/>
                <w:lang w:val="en-US"/>
              </w:rPr>
              <w:t xml:space="preserve">ndangered (n=1), </w:t>
            </w:r>
            <w:r>
              <w:rPr>
                <w:rFonts w:eastAsia="MS Mincho"/>
                <w:sz w:val="22"/>
                <w:szCs w:val="22"/>
                <w:lang w:val="en-US"/>
              </w:rPr>
              <w:t>e</w:t>
            </w:r>
            <w:r w:rsidRPr="009978E3">
              <w:rPr>
                <w:rFonts w:eastAsia="MS Mincho"/>
                <w:sz w:val="22"/>
                <w:szCs w:val="22"/>
                <w:lang w:val="en-US"/>
              </w:rPr>
              <w:t xml:space="preserve">ndangered (n=4), or </w:t>
            </w:r>
            <w:r>
              <w:rPr>
                <w:rFonts w:eastAsia="MS Mincho"/>
                <w:sz w:val="22"/>
                <w:szCs w:val="22"/>
                <w:lang w:val="en-US"/>
              </w:rPr>
              <w:t>n</w:t>
            </w:r>
            <w:r w:rsidRPr="009978E3">
              <w:rPr>
                <w:rFonts w:eastAsia="MS Mincho"/>
                <w:sz w:val="22"/>
                <w:szCs w:val="22"/>
                <w:lang w:val="en-US"/>
              </w:rPr>
              <w:t xml:space="preserve">ear </w:t>
            </w:r>
            <w:r>
              <w:rPr>
                <w:rFonts w:eastAsia="MS Mincho"/>
                <w:sz w:val="22"/>
                <w:szCs w:val="22"/>
                <w:lang w:val="en-US"/>
              </w:rPr>
              <w:t>t</w:t>
            </w:r>
            <w:r w:rsidRPr="009978E3">
              <w:rPr>
                <w:rFonts w:eastAsia="MS Mincho"/>
                <w:sz w:val="22"/>
                <w:szCs w:val="22"/>
                <w:lang w:val="en-US"/>
              </w:rPr>
              <w:t xml:space="preserve">hreatened (n=2), or as </w:t>
            </w:r>
            <w:r>
              <w:rPr>
                <w:rFonts w:eastAsia="MS Mincho"/>
                <w:sz w:val="22"/>
                <w:szCs w:val="22"/>
                <w:lang w:val="en-US"/>
              </w:rPr>
              <w:t>d</w:t>
            </w:r>
            <w:r w:rsidRPr="009978E3">
              <w:rPr>
                <w:rFonts w:eastAsia="MS Mincho"/>
                <w:sz w:val="22"/>
                <w:szCs w:val="22"/>
                <w:lang w:val="en-US"/>
              </w:rPr>
              <w:t>ata-</w:t>
            </w:r>
            <w:r>
              <w:rPr>
                <w:rFonts w:eastAsia="MS Mincho"/>
                <w:sz w:val="22"/>
                <w:szCs w:val="22"/>
                <w:lang w:val="en-US"/>
              </w:rPr>
              <w:t>d</w:t>
            </w:r>
            <w:r w:rsidRPr="009978E3">
              <w:rPr>
                <w:rFonts w:eastAsia="MS Mincho"/>
                <w:sz w:val="22"/>
                <w:szCs w:val="22"/>
                <w:lang w:val="en-US"/>
              </w:rPr>
              <w:t>eficient (n=7)</w:t>
            </w:r>
            <w:r>
              <w:rPr>
                <w:rFonts w:eastAsia="MS Mincho"/>
                <w:sz w:val="22"/>
                <w:szCs w:val="22"/>
                <w:lang w:val="en-US"/>
              </w:rPr>
              <w:t>;</w:t>
            </w:r>
            <w:r w:rsidRPr="009978E3">
              <w:rPr>
                <w:rFonts w:eastAsia="MS Mincho"/>
                <w:sz w:val="22"/>
                <w:szCs w:val="22"/>
                <w:lang w:val="en-US"/>
              </w:rPr>
              <w:t xml:space="preserve"> </w:t>
            </w:r>
            <w:r>
              <w:rPr>
                <w:rFonts w:eastAsia="MS Mincho"/>
                <w:sz w:val="22"/>
                <w:szCs w:val="22"/>
                <w:lang w:val="en-US"/>
              </w:rPr>
              <w:t>two</w:t>
            </w:r>
            <w:r w:rsidRPr="009978E3">
              <w:rPr>
                <w:rFonts w:eastAsia="MS Mincho"/>
                <w:sz w:val="22"/>
                <w:szCs w:val="22"/>
                <w:lang w:val="en-US"/>
              </w:rPr>
              <w:t xml:space="preserve"> </w:t>
            </w:r>
            <w:r>
              <w:rPr>
                <w:rFonts w:eastAsia="MS Mincho"/>
                <w:sz w:val="22"/>
                <w:szCs w:val="22"/>
                <w:lang w:val="en-US"/>
              </w:rPr>
              <w:t>have</w:t>
            </w:r>
            <w:r w:rsidRPr="009978E3">
              <w:rPr>
                <w:rFonts w:eastAsia="MS Mincho"/>
                <w:sz w:val="22"/>
                <w:szCs w:val="22"/>
                <w:lang w:val="en-US"/>
              </w:rPr>
              <w:t xml:space="preserve"> not even </w:t>
            </w:r>
            <w:r>
              <w:rPr>
                <w:rFonts w:eastAsia="MS Mincho"/>
                <w:sz w:val="22"/>
                <w:szCs w:val="22"/>
                <w:lang w:val="en-US"/>
              </w:rPr>
              <w:t xml:space="preserve">been </w:t>
            </w:r>
            <w:r w:rsidRPr="009978E3">
              <w:rPr>
                <w:rFonts w:eastAsia="MS Mincho"/>
                <w:sz w:val="22"/>
                <w:szCs w:val="22"/>
                <w:lang w:val="en-US"/>
              </w:rPr>
              <w:t xml:space="preserve">assessed (IUCN Europe 2018). </w:t>
            </w:r>
          </w:p>
          <w:p w14:paraId="79BB0E28" w14:textId="450208E1" w:rsidR="006B3F46" w:rsidRPr="009978E3" w:rsidRDefault="006B3F46" w:rsidP="00907941">
            <w:pPr>
              <w:widowControl w:val="0"/>
              <w:autoSpaceDE w:val="0"/>
              <w:autoSpaceDN w:val="0"/>
              <w:adjustRightInd w:val="0"/>
              <w:jc w:val="both"/>
              <w:rPr>
                <w:rFonts w:eastAsia="MS Mincho"/>
                <w:color w:val="FF0000"/>
                <w:sz w:val="22"/>
                <w:szCs w:val="22"/>
                <w:lang w:val="en-US"/>
              </w:rPr>
            </w:pPr>
            <w:r w:rsidRPr="00EC5399">
              <w:rPr>
                <w:rFonts w:eastAsia="MS Mincho"/>
                <w:sz w:val="22"/>
                <w:szCs w:val="22"/>
                <w:lang w:val="en-US"/>
              </w:rPr>
              <w:t>6-</w:t>
            </w:r>
            <w:r w:rsidRPr="00EC5399">
              <w:rPr>
                <w:rFonts w:eastAsia="MS Mincho"/>
                <w:i/>
                <w:sz w:val="22"/>
                <w:szCs w:val="22"/>
                <w:lang w:val="en-US"/>
              </w:rPr>
              <w:t>Centrophorus squamosus</w:t>
            </w:r>
            <w:r w:rsidRPr="00EC5399">
              <w:rPr>
                <w:rFonts w:eastAsia="MS Mincho"/>
                <w:sz w:val="22"/>
                <w:szCs w:val="22"/>
                <w:lang w:val="en-US"/>
              </w:rPr>
              <w:t xml:space="preserve"> and </w:t>
            </w:r>
            <w:r w:rsidRPr="00EC5399">
              <w:rPr>
                <w:rFonts w:eastAsia="MS Mincho"/>
                <w:i/>
                <w:sz w:val="22"/>
                <w:szCs w:val="22"/>
                <w:lang w:val="en-US"/>
              </w:rPr>
              <w:t>Centroscymnus coelolepis</w:t>
            </w:r>
            <w:r w:rsidRPr="00EC5399">
              <w:rPr>
                <w:rFonts w:eastAsia="MS Mincho"/>
                <w:sz w:val="22"/>
                <w:szCs w:val="22"/>
                <w:lang w:val="en-US"/>
              </w:rPr>
              <w:t xml:space="preserve"> (Fossen </w:t>
            </w:r>
            <w:r w:rsidRPr="00EC5399">
              <w:rPr>
                <w:rFonts w:eastAsia="MS Mincho"/>
                <w:i/>
                <w:sz w:val="22"/>
                <w:szCs w:val="22"/>
                <w:lang w:val="en-US"/>
              </w:rPr>
              <w:t>et al</w:t>
            </w:r>
            <w:r w:rsidRPr="00EC5399">
              <w:rPr>
                <w:rFonts w:eastAsia="MS Mincho"/>
                <w:sz w:val="22"/>
                <w:szCs w:val="22"/>
                <w:lang w:val="en-US"/>
              </w:rPr>
              <w:t xml:space="preserve">. 2008), along with </w:t>
            </w:r>
            <w:r w:rsidRPr="00EC5399">
              <w:rPr>
                <w:rFonts w:eastAsia="MS Mincho"/>
                <w:i/>
                <w:sz w:val="22"/>
                <w:szCs w:val="22"/>
                <w:lang w:val="en-US"/>
              </w:rPr>
              <w:t>Centrophorus granulosus</w:t>
            </w:r>
            <w:r w:rsidRPr="00EC5399">
              <w:rPr>
                <w:rFonts w:eastAsia="MS Mincho"/>
                <w:sz w:val="22"/>
                <w:szCs w:val="22"/>
                <w:lang w:val="en-US"/>
              </w:rPr>
              <w:t xml:space="preserve"> are included on the OSPAR List of Threatened and/or Declining Species and Habitats (BDC/MASH, 2007),</w:t>
            </w:r>
            <w:r w:rsidRPr="009978E3">
              <w:rPr>
                <w:rFonts w:eastAsia="MS Mincho"/>
                <w:sz w:val="22"/>
                <w:szCs w:val="22"/>
                <w:lang w:val="en-US"/>
              </w:rPr>
              <w:t xml:space="preserve"> along with </w:t>
            </w:r>
            <w:r w:rsidRPr="009978E3">
              <w:rPr>
                <w:rFonts w:eastAsia="MS Mincho"/>
                <w:i/>
                <w:sz w:val="22"/>
                <w:szCs w:val="22"/>
                <w:lang w:val="en-US"/>
              </w:rPr>
              <w:t>Dipturus batis, Raja clavata</w:t>
            </w:r>
            <w:r w:rsidRPr="009978E3">
              <w:rPr>
                <w:rFonts w:eastAsia="MS Mincho"/>
                <w:sz w:val="22"/>
                <w:szCs w:val="22"/>
                <w:lang w:val="en-US"/>
              </w:rPr>
              <w:t xml:space="preserve"> and </w:t>
            </w:r>
            <w:r w:rsidRPr="009978E3">
              <w:rPr>
                <w:rFonts w:eastAsia="MS Mincho"/>
                <w:i/>
                <w:sz w:val="22"/>
                <w:szCs w:val="22"/>
                <w:lang w:val="en-US"/>
              </w:rPr>
              <w:t>Hoplostethus atlanticus</w:t>
            </w:r>
            <w:r w:rsidRPr="009978E3">
              <w:rPr>
                <w:rFonts w:eastAsia="MS Mincho"/>
                <w:sz w:val="22"/>
                <w:szCs w:val="22"/>
                <w:lang w:val="en-US"/>
              </w:rPr>
              <w:t>. The North MAR is also home to the charismatic and endangered Greenland shark (</w:t>
            </w:r>
            <w:r w:rsidRPr="0021277B">
              <w:rPr>
                <w:rFonts w:eastAsia="MS Mincho"/>
                <w:i/>
                <w:sz w:val="22"/>
                <w:szCs w:val="22"/>
                <w:lang w:val="en-US"/>
              </w:rPr>
              <w:t>Somniosus microcephalus</w:t>
            </w:r>
            <w:r w:rsidRPr="009978E3">
              <w:rPr>
                <w:rFonts w:eastAsia="MS Mincho"/>
                <w:sz w:val="22"/>
                <w:szCs w:val="22"/>
                <w:lang w:val="en-US"/>
              </w:rPr>
              <w:t xml:space="preserve">). </w:t>
            </w:r>
          </w:p>
        </w:tc>
      </w:tr>
      <w:tr w:rsidR="006B3F46" w:rsidRPr="0021277B" w14:paraId="739443C1" w14:textId="77777777" w:rsidTr="002E4B39">
        <w:tc>
          <w:tcPr>
            <w:tcW w:w="832" w:type="pct"/>
            <w:shd w:val="clear" w:color="auto" w:fill="auto"/>
          </w:tcPr>
          <w:p w14:paraId="639AEF29"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F66EF7">
              <w:rPr>
                <w:rFonts w:eastAsia="MS Mincho"/>
                <w:b/>
                <w:bCs/>
                <w:color w:val="000000"/>
                <w:sz w:val="22"/>
                <w:szCs w:val="22"/>
                <w:lang w:val="en-US"/>
              </w:rPr>
              <w:t>Vulnerab</w:t>
            </w:r>
            <w:r w:rsidRPr="009978E3">
              <w:rPr>
                <w:rFonts w:eastAsia="MS Mincho"/>
                <w:b/>
                <w:bCs/>
                <w:color w:val="000000"/>
                <w:sz w:val="22"/>
                <w:szCs w:val="22"/>
                <w:lang w:val="en-US"/>
              </w:rPr>
              <w:t>ility, fragility, sensitivity, or slow recovery</w:t>
            </w:r>
          </w:p>
        </w:tc>
        <w:tc>
          <w:tcPr>
            <w:tcW w:w="2232" w:type="pct"/>
            <w:shd w:val="clear" w:color="auto" w:fill="auto"/>
          </w:tcPr>
          <w:p w14:paraId="49D5E464"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2DA7AAC5"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0" w:type="pct"/>
            <w:gridSpan w:val="2"/>
            <w:shd w:val="clear" w:color="auto" w:fill="auto"/>
          </w:tcPr>
          <w:p w14:paraId="144F0443"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p>
        </w:tc>
        <w:tc>
          <w:tcPr>
            <w:tcW w:w="411" w:type="pct"/>
            <w:gridSpan w:val="2"/>
            <w:shd w:val="clear" w:color="auto" w:fill="auto"/>
            <w:vAlign w:val="center"/>
          </w:tcPr>
          <w:p w14:paraId="366336C3"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1738A811"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21277B" w14:paraId="2AEECA7B" w14:textId="77777777" w:rsidTr="00907941">
        <w:tc>
          <w:tcPr>
            <w:tcW w:w="5000" w:type="pct"/>
            <w:gridSpan w:val="11"/>
            <w:shd w:val="clear" w:color="auto" w:fill="auto"/>
          </w:tcPr>
          <w:p w14:paraId="19F82A11" w14:textId="77777777" w:rsidR="006B3F46" w:rsidRPr="009978E3" w:rsidRDefault="006B3F46" w:rsidP="00907941">
            <w:pPr>
              <w:widowControl w:val="0"/>
              <w:autoSpaceDE w:val="0"/>
              <w:autoSpaceDN w:val="0"/>
              <w:adjustRightInd w:val="0"/>
              <w:jc w:val="both"/>
              <w:rPr>
                <w:rFonts w:eastAsia="MS Mincho"/>
                <w:sz w:val="22"/>
                <w:szCs w:val="22"/>
                <w:lang w:val="en-US"/>
              </w:rPr>
            </w:pPr>
            <w:r w:rsidRPr="00F66EF7">
              <w:rPr>
                <w:rFonts w:eastAsia="MS Mincho"/>
                <w:i/>
                <w:color w:val="000000"/>
                <w:sz w:val="22"/>
                <w:szCs w:val="22"/>
                <w:lang w:val="en-US"/>
              </w:rPr>
              <w:t>Explanation for ranking</w:t>
            </w:r>
          </w:p>
          <w:p w14:paraId="607297D4"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 xml:space="preserve">1-This area </w:t>
            </w:r>
            <w:r>
              <w:rPr>
                <w:rFonts w:eastAsia="MS Mincho"/>
                <w:sz w:val="22"/>
                <w:szCs w:val="22"/>
                <w:lang w:val="en-US"/>
              </w:rPr>
              <w:t>harbours</w:t>
            </w:r>
            <w:r w:rsidRPr="009978E3">
              <w:rPr>
                <w:rFonts w:eastAsia="MS Mincho"/>
                <w:sz w:val="22"/>
                <w:szCs w:val="22"/>
                <w:lang w:val="en-US"/>
              </w:rPr>
              <w:t xml:space="preserve"> different types of habitats classifi</w:t>
            </w:r>
            <w:r>
              <w:rPr>
                <w:rFonts w:eastAsia="MS Mincho"/>
                <w:sz w:val="22"/>
                <w:szCs w:val="22"/>
                <w:lang w:val="en-US"/>
              </w:rPr>
              <w:t>ed</w:t>
            </w:r>
            <w:r w:rsidRPr="009978E3">
              <w:rPr>
                <w:rFonts w:eastAsia="MS Mincho"/>
                <w:sz w:val="22"/>
                <w:szCs w:val="22"/>
                <w:lang w:val="en-US"/>
              </w:rPr>
              <w:t xml:space="preserve"> by OSPAR as threatened and/or declining, and a relatively high proportion of sensitive habitats, biotopes or species that are functionally fragile (highly susceptible to degradation or depletion by human activity or by natural events) and slow </w:t>
            </w:r>
            <w:r>
              <w:rPr>
                <w:rFonts w:eastAsia="MS Mincho"/>
                <w:sz w:val="22"/>
                <w:szCs w:val="22"/>
                <w:lang w:val="en-US"/>
              </w:rPr>
              <w:t xml:space="preserve">to </w:t>
            </w:r>
            <w:r w:rsidRPr="009978E3">
              <w:rPr>
                <w:rFonts w:eastAsia="MS Mincho"/>
                <w:sz w:val="22"/>
                <w:szCs w:val="22"/>
                <w:lang w:val="en-US"/>
              </w:rPr>
              <w:t xml:space="preserve">recover </w:t>
            </w:r>
            <w:r w:rsidRPr="009978E3">
              <w:rPr>
                <w:sz w:val="22"/>
                <w:szCs w:val="22"/>
              </w:rPr>
              <w:t>(</w:t>
            </w:r>
            <w:r w:rsidRPr="009978E3">
              <w:rPr>
                <w:rFonts w:eastAsia="MS Mincho"/>
                <w:sz w:val="22"/>
                <w:szCs w:val="22"/>
                <w:lang w:val="en-US"/>
              </w:rPr>
              <w:t>Van den Hove &amp; Moreau, 2007).</w:t>
            </w:r>
          </w:p>
          <w:p w14:paraId="27378F10" w14:textId="77777777" w:rsidR="006B3F46" w:rsidRPr="009978E3" w:rsidRDefault="006B3F46" w:rsidP="00907941">
            <w:pPr>
              <w:widowControl w:val="0"/>
              <w:autoSpaceDE w:val="0"/>
              <w:autoSpaceDN w:val="0"/>
              <w:adjustRightInd w:val="0"/>
              <w:spacing w:after="120"/>
              <w:jc w:val="both"/>
              <w:rPr>
                <w:rFonts w:eastAsia="MS Mincho"/>
                <w:sz w:val="22"/>
                <w:szCs w:val="22"/>
                <w:lang w:val="en-US"/>
              </w:rPr>
            </w:pPr>
            <w:r w:rsidRPr="009978E3">
              <w:rPr>
                <w:rFonts w:eastAsia="MS Mincho"/>
                <w:sz w:val="22"/>
                <w:szCs w:val="22"/>
                <w:lang w:val="en-US"/>
              </w:rPr>
              <w:t xml:space="preserve">2- Vent ecosystems, however, have relatively high proportions of endemic species (Tunnicliffe </w:t>
            </w:r>
            <w:r w:rsidRPr="0006066A">
              <w:rPr>
                <w:rFonts w:eastAsia="MS Mincho"/>
                <w:i/>
                <w:sz w:val="22"/>
                <w:szCs w:val="22"/>
                <w:lang w:val="en-US"/>
              </w:rPr>
              <w:t>et al</w:t>
            </w:r>
            <w:r w:rsidRPr="009978E3">
              <w:rPr>
                <w:rFonts w:eastAsia="MS Mincho"/>
                <w:i/>
                <w:sz w:val="22"/>
                <w:szCs w:val="22"/>
                <w:lang w:val="en-US"/>
              </w:rPr>
              <w:t>.</w:t>
            </w:r>
            <w:r w:rsidRPr="009978E3">
              <w:rPr>
                <w:rFonts w:eastAsia="MS Mincho"/>
                <w:sz w:val="22"/>
                <w:szCs w:val="22"/>
                <w:lang w:val="en-US"/>
              </w:rPr>
              <w:t>, 1996).</w:t>
            </w:r>
            <w:r w:rsidRPr="009978E3">
              <w:rPr>
                <w:sz w:val="22"/>
                <w:szCs w:val="22"/>
              </w:rPr>
              <w:t xml:space="preserve"> </w:t>
            </w:r>
            <w:r w:rsidRPr="009978E3">
              <w:rPr>
                <w:rFonts w:eastAsia="MS Mincho"/>
                <w:sz w:val="22"/>
                <w:szCs w:val="22"/>
                <w:lang w:val="en-US"/>
              </w:rPr>
              <w:t xml:space="preserve">The associated vent fauna is primarily composed of a small set of large organisms relying on symbioses with chemoautotrophic bacteria, able to withstand extreme conditions. </w:t>
            </w:r>
          </w:p>
          <w:p w14:paraId="197813A2"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sz w:val="22"/>
                <w:szCs w:val="22"/>
                <w:lang w:val="en-US"/>
              </w:rPr>
              <w:t>-3-</w:t>
            </w:r>
            <w:r w:rsidRPr="009978E3">
              <w:rPr>
                <w:color w:val="000000"/>
                <w:sz w:val="22"/>
                <w:szCs w:val="22"/>
                <w:lang w:val="en-US"/>
              </w:rPr>
              <w:t xml:space="preserve"> The </w:t>
            </w:r>
            <w:r>
              <w:rPr>
                <w:color w:val="000000"/>
                <w:sz w:val="22"/>
                <w:szCs w:val="22"/>
                <w:lang w:val="en-US"/>
              </w:rPr>
              <w:t>unique characteristics</w:t>
            </w:r>
            <w:r w:rsidRPr="009978E3">
              <w:rPr>
                <w:color w:val="000000"/>
                <w:sz w:val="22"/>
                <w:szCs w:val="22"/>
                <w:lang w:val="en-US"/>
              </w:rPr>
              <w:t xml:space="preserve"> of hydrothermal vent field</w:t>
            </w:r>
            <w:r>
              <w:rPr>
                <w:color w:val="000000"/>
                <w:sz w:val="22"/>
                <w:szCs w:val="22"/>
                <w:lang w:val="en-US"/>
              </w:rPr>
              <w:t>s</w:t>
            </w:r>
            <w:r w:rsidRPr="009978E3">
              <w:rPr>
                <w:color w:val="000000"/>
                <w:sz w:val="22"/>
                <w:szCs w:val="22"/>
                <w:lang w:val="en-US"/>
              </w:rPr>
              <w:t xml:space="preserve"> and stochastic ecological succession of vent communities means that if destroyed, there is very little potential for recovery. Active hydrothermal vent ecosystems are vulnerable and at risk of serious harm (Van Dover </w:t>
            </w:r>
            <w:r w:rsidRPr="0006066A">
              <w:rPr>
                <w:i/>
                <w:color w:val="000000"/>
                <w:sz w:val="22"/>
                <w:szCs w:val="22"/>
                <w:lang w:val="en-US"/>
              </w:rPr>
              <w:t>et al</w:t>
            </w:r>
            <w:r w:rsidRPr="009978E3">
              <w:rPr>
                <w:color w:val="000000"/>
                <w:sz w:val="22"/>
                <w:szCs w:val="22"/>
                <w:lang w:val="en-US"/>
              </w:rPr>
              <w:t>., 2018).</w:t>
            </w:r>
          </w:p>
          <w:p w14:paraId="2E95F7E2"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rFonts w:eastAsia="MS Mincho"/>
                <w:sz w:val="22"/>
                <w:szCs w:val="22"/>
                <w:lang w:val="en-US"/>
              </w:rPr>
              <w:t>4-</w:t>
            </w:r>
            <w:r w:rsidRPr="009978E3">
              <w:rPr>
                <w:color w:val="000000"/>
                <w:sz w:val="22"/>
                <w:szCs w:val="22"/>
                <w:lang w:val="en-US"/>
              </w:rPr>
              <w:t xml:space="preserve">Most benthic communities occurring in the MAR, such as hydrothermal vent fields, cold-water reefs and gardens and sponge aggregations are considered vulnerable marine ecosystems (VMEs), by </w:t>
            </w:r>
            <w:r>
              <w:rPr>
                <w:color w:val="000000"/>
                <w:sz w:val="22"/>
                <w:szCs w:val="22"/>
                <w:lang w:val="en-US"/>
              </w:rPr>
              <w:t xml:space="preserve">the </w:t>
            </w:r>
            <w:r w:rsidRPr="009978E3">
              <w:rPr>
                <w:color w:val="000000"/>
                <w:sz w:val="22"/>
                <w:szCs w:val="22"/>
                <w:lang w:val="en-US"/>
              </w:rPr>
              <w:t>Food and Agriculture Organization of the United Nations (FAO, 2009). These organisms have life history traits</w:t>
            </w:r>
            <w:r>
              <w:rPr>
                <w:color w:val="000000"/>
                <w:sz w:val="22"/>
                <w:szCs w:val="22"/>
                <w:lang w:val="en-US"/>
              </w:rPr>
              <w:t>,</w:t>
            </w:r>
            <w:r w:rsidRPr="009978E3">
              <w:rPr>
                <w:color w:val="000000"/>
                <w:sz w:val="22"/>
                <w:szCs w:val="22"/>
                <w:lang w:val="en-US"/>
              </w:rPr>
              <w:t xml:space="preserve"> such as slow growth, high longevity</w:t>
            </w:r>
            <w:r>
              <w:rPr>
                <w:color w:val="000000"/>
                <w:sz w:val="22"/>
                <w:szCs w:val="22"/>
                <w:lang w:val="en-US"/>
              </w:rPr>
              <w:t xml:space="preserve"> and</w:t>
            </w:r>
            <w:r w:rsidRPr="009978E3">
              <w:rPr>
                <w:color w:val="000000"/>
                <w:sz w:val="22"/>
                <w:szCs w:val="22"/>
                <w:lang w:val="en-US"/>
              </w:rPr>
              <w:t xml:space="preserve"> low reproductive potential</w:t>
            </w:r>
            <w:r>
              <w:rPr>
                <w:color w:val="000000"/>
                <w:sz w:val="22"/>
                <w:szCs w:val="22"/>
                <w:lang w:val="en-US"/>
              </w:rPr>
              <w:t>,</w:t>
            </w:r>
            <w:r w:rsidRPr="009978E3">
              <w:rPr>
                <w:color w:val="000000"/>
                <w:sz w:val="22"/>
                <w:szCs w:val="22"/>
                <w:lang w:val="en-US"/>
              </w:rPr>
              <w:t xml:space="preserve"> that make their recovery from human impacts very slow (Clark </w:t>
            </w:r>
            <w:r w:rsidRPr="0006066A">
              <w:rPr>
                <w:i/>
                <w:color w:val="000000"/>
                <w:sz w:val="22"/>
                <w:szCs w:val="22"/>
                <w:lang w:val="en-US"/>
              </w:rPr>
              <w:t>et al</w:t>
            </w:r>
            <w:r w:rsidRPr="009978E3">
              <w:rPr>
                <w:color w:val="000000"/>
                <w:sz w:val="22"/>
                <w:szCs w:val="22"/>
                <w:lang w:val="en-US"/>
              </w:rPr>
              <w:t xml:space="preserve"> 2016; 2019).</w:t>
            </w:r>
          </w:p>
          <w:p w14:paraId="4A535E43"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color w:val="000000"/>
                <w:sz w:val="22"/>
                <w:szCs w:val="22"/>
                <w:lang w:val="en-US"/>
              </w:rPr>
              <w:t xml:space="preserve">5- Cold-water corals form reefs that can </w:t>
            </w:r>
            <w:r>
              <w:rPr>
                <w:color w:val="000000"/>
                <w:sz w:val="22"/>
                <w:szCs w:val="22"/>
                <w:lang w:val="en-US"/>
              </w:rPr>
              <w:t>live for</w:t>
            </w:r>
            <w:r w:rsidRPr="009978E3">
              <w:rPr>
                <w:color w:val="000000"/>
                <w:sz w:val="22"/>
                <w:szCs w:val="22"/>
                <w:lang w:val="en-US"/>
              </w:rPr>
              <w:t xml:space="preserve"> 8</w:t>
            </w:r>
            <w:r>
              <w:rPr>
                <w:color w:val="000000"/>
                <w:sz w:val="22"/>
                <w:szCs w:val="22"/>
                <w:lang w:val="en-US"/>
              </w:rPr>
              <w:t>,</w:t>
            </w:r>
            <w:r w:rsidRPr="009978E3">
              <w:rPr>
                <w:color w:val="000000"/>
                <w:sz w:val="22"/>
                <w:szCs w:val="22"/>
                <w:lang w:val="en-US"/>
              </w:rPr>
              <w:t xml:space="preserve">000 years, with L. pertusa colonies growing linearly at 6–35mm year (Roberts </w:t>
            </w:r>
            <w:r w:rsidRPr="0006066A">
              <w:rPr>
                <w:i/>
                <w:color w:val="000000"/>
                <w:sz w:val="22"/>
                <w:szCs w:val="22"/>
                <w:lang w:val="en-US"/>
              </w:rPr>
              <w:t>et al</w:t>
            </w:r>
            <w:r w:rsidRPr="009978E3">
              <w:rPr>
                <w:color w:val="000000"/>
                <w:sz w:val="22"/>
                <w:szCs w:val="22"/>
                <w:lang w:val="en-US"/>
              </w:rPr>
              <w:t xml:space="preserve">., 2009). </w:t>
            </w:r>
          </w:p>
          <w:p w14:paraId="7B53FCEA"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color w:val="000000"/>
                <w:sz w:val="22"/>
                <w:szCs w:val="22"/>
                <w:lang w:val="en-US"/>
              </w:rPr>
              <w:t>6-Octocorals and black corals, which dominate benthic assemblages in the North MAR region</w:t>
            </w:r>
            <w:r>
              <w:rPr>
                <w:color w:val="000000"/>
                <w:sz w:val="22"/>
                <w:szCs w:val="22"/>
                <w:lang w:val="en-US"/>
              </w:rPr>
              <w:t>,</w:t>
            </w:r>
            <w:r w:rsidRPr="009978E3">
              <w:rPr>
                <w:color w:val="000000"/>
                <w:sz w:val="22"/>
                <w:szCs w:val="22"/>
                <w:lang w:val="en-US"/>
              </w:rPr>
              <w:t xml:space="preserve"> have growth rates of less than 1 cm a year and age spans of hundreds (</w:t>
            </w:r>
            <w:r>
              <w:rPr>
                <w:color w:val="000000"/>
                <w:sz w:val="22"/>
                <w:szCs w:val="22"/>
                <w:lang w:val="en-US"/>
              </w:rPr>
              <w:t>e.g.,</w:t>
            </w:r>
            <w:r w:rsidRPr="009978E3">
              <w:rPr>
                <w:color w:val="000000"/>
                <w:sz w:val="22"/>
                <w:szCs w:val="22"/>
                <w:lang w:val="en-US"/>
              </w:rPr>
              <w:t xml:space="preserve"> bamboo coral</w:t>
            </w:r>
            <w:r>
              <w:rPr>
                <w:color w:val="000000"/>
                <w:sz w:val="22"/>
                <w:szCs w:val="22"/>
                <w:lang w:val="en-US"/>
              </w:rPr>
              <w:t>;</w:t>
            </w:r>
            <w:r w:rsidRPr="009978E3">
              <w:rPr>
                <w:color w:val="000000"/>
                <w:sz w:val="22"/>
                <w:szCs w:val="22"/>
                <w:lang w:val="en-US"/>
              </w:rPr>
              <w:t xml:space="preserve"> Keratoisis sp.: Watling </w:t>
            </w:r>
            <w:r w:rsidRPr="0006066A">
              <w:rPr>
                <w:i/>
                <w:color w:val="000000"/>
                <w:sz w:val="22"/>
                <w:szCs w:val="22"/>
                <w:lang w:val="en-US"/>
              </w:rPr>
              <w:t>et al</w:t>
            </w:r>
            <w:r w:rsidRPr="009978E3">
              <w:rPr>
                <w:color w:val="000000"/>
                <w:sz w:val="22"/>
                <w:szCs w:val="22"/>
                <w:lang w:val="en-US"/>
              </w:rPr>
              <w:t>., 2011) to thousands of years (black coral Leiopathes sp.</w:t>
            </w:r>
            <w:r>
              <w:rPr>
                <w:color w:val="000000"/>
                <w:sz w:val="22"/>
                <w:szCs w:val="22"/>
                <w:lang w:val="en-US"/>
              </w:rPr>
              <w:t>;</w:t>
            </w:r>
            <w:r w:rsidRPr="009978E3">
              <w:rPr>
                <w:color w:val="000000"/>
                <w:sz w:val="22"/>
                <w:szCs w:val="22"/>
                <w:lang w:val="en-US"/>
              </w:rPr>
              <w:t xml:space="preserve"> Roark </w:t>
            </w:r>
            <w:r w:rsidRPr="0006066A">
              <w:rPr>
                <w:i/>
                <w:color w:val="000000"/>
                <w:sz w:val="22"/>
                <w:szCs w:val="22"/>
                <w:lang w:val="en-US"/>
              </w:rPr>
              <w:t>et al</w:t>
            </w:r>
            <w:r w:rsidRPr="009978E3">
              <w:rPr>
                <w:color w:val="000000"/>
                <w:sz w:val="22"/>
                <w:szCs w:val="22"/>
                <w:lang w:val="en-US"/>
              </w:rPr>
              <w:t xml:space="preserve">., 2009; Carreiro-Silva </w:t>
            </w:r>
            <w:r w:rsidRPr="0006066A">
              <w:rPr>
                <w:i/>
                <w:color w:val="000000"/>
                <w:sz w:val="22"/>
                <w:szCs w:val="22"/>
                <w:lang w:val="en-US"/>
              </w:rPr>
              <w:t>et al</w:t>
            </w:r>
            <w:r w:rsidRPr="009978E3">
              <w:rPr>
                <w:color w:val="000000"/>
                <w:sz w:val="22"/>
                <w:szCs w:val="22"/>
                <w:lang w:val="en-US"/>
              </w:rPr>
              <w:t xml:space="preserve">., 2013). This means that if removed from the seabed, these species and the communities they form can take centuries to millennia to recover. Although age estimates for sponge species are scarce, studies suggest multi-centennial age spans, </w:t>
            </w:r>
            <w:r>
              <w:rPr>
                <w:color w:val="000000"/>
                <w:sz w:val="22"/>
                <w:szCs w:val="22"/>
                <w:lang w:val="en-US"/>
              </w:rPr>
              <w:t>e.g.,</w:t>
            </w:r>
            <w:r w:rsidRPr="009978E3">
              <w:rPr>
                <w:color w:val="000000"/>
                <w:sz w:val="22"/>
                <w:szCs w:val="22"/>
                <w:lang w:val="en-US"/>
              </w:rPr>
              <w:t xml:space="preserve"> 220 and 440 years (Leys &amp; Lauzon, 1998; Fallon </w:t>
            </w:r>
            <w:r w:rsidRPr="0006066A">
              <w:rPr>
                <w:i/>
                <w:color w:val="000000"/>
                <w:sz w:val="22"/>
                <w:szCs w:val="22"/>
                <w:lang w:val="en-US"/>
              </w:rPr>
              <w:t>et al</w:t>
            </w:r>
            <w:r w:rsidRPr="009978E3">
              <w:rPr>
                <w:color w:val="000000"/>
                <w:sz w:val="22"/>
                <w:szCs w:val="22"/>
                <w:lang w:val="en-US"/>
              </w:rPr>
              <w:t>., 2010), whereas some sponge reefs are estimated to be up to 9,000 years old (</w:t>
            </w:r>
            <w:r>
              <w:rPr>
                <w:color w:val="000000"/>
                <w:sz w:val="22"/>
                <w:szCs w:val="22"/>
                <w:lang w:val="en-US"/>
              </w:rPr>
              <w:t>e.g.,</w:t>
            </w:r>
            <w:r w:rsidRPr="009978E3">
              <w:rPr>
                <w:color w:val="000000"/>
                <w:sz w:val="22"/>
                <w:szCs w:val="22"/>
                <w:lang w:val="en-US"/>
              </w:rPr>
              <w:t xml:space="preserve"> Krautter </w:t>
            </w:r>
            <w:r w:rsidRPr="0006066A">
              <w:rPr>
                <w:i/>
                <w:color w:val="000000"/>
                <w:sz w:val="22"/>
                <w:szCs w:val="22"/>
                <w:lang w:val="en-US"/>
              </w:rPr>
              <w:t>et al</w:t>
            </w:r>
            <w:r w:rsidRPr="009978E3">
              <w:rPr>
                <w:color w:val="000000"/>
                <w:sz w:val="22"/>
                <w:szCs w:val="22"/>
                <w:lang w:val="en-US"/>
              </w:rPr>
              <w:t xml:space="preserve">., 2001). </w:t>
            </w:r>
          </w:p>
          <w:p w14:paraId="75F74A6A" w14:textId="7A1B84AA" w:rsidR="006B3F46" w:rsidRPr="009978E3" w:rsidRDefault="006B3F46" w:rsidP="002E4B39">
            <w:pPr>
              <w:widowControl w:val="0"/>
              <w:autoSpaceDE w:val="0"/>
              <w:autoSpaceDN w:val="0"/>
              <w:adjustRightInd w:val="0"/>
              <w:spacing w:after="120"/>
              <w:jc w:val="both"/>
              <w:rPr>
                <w:color w:val="000000"/>
                <w:sz w:val="22"/>
                <w:szCs w:val="22"/>
                <w:lang w:val="en-US"/>
              </w:rPr>
            </w:pPr>
            <w:r>
              <w:rPr>
                <w:color w:val="000000"/>
                <w:sz w:val="22"/>
                <w:szCs w:val="22"/>
                <w:lang w:val="en-US"/>
              </w:rPr>
              <w:t>7</w:t>
            </w:r>
            <w:r w:rsidRPr="009978E3">
              <w:rPr>
                <w:color w:val="000000"/>
                <w:sz w:val="22"/>
                <w:szCs w:val="22"/>
                <w:lang w:val="en-US"/>
              </w:rPr>
              <w:t>-As described above, the North MAR region is also home to the Greenland shark, which has an estimated growth of only about 1 centimetre a year and may live more than 400 years</w:t>
            </w:r>
            <w:r>
              <w:rPr>
                <w:color w:val="000000"/>
                <w:sz w:val="22"/>
                <w:szCs w:val="22"/>
                <w:lang w:val="en-US"/>
              </w:rPr>
              <w:t>,</w:t>
            </w:r>
            <w:r w:rsidRPr="009978E3">
              <w:rPr>
                <w:color w:val="000000"/>
                <w:sz w:val="22"/>
                <w:szCs w:val="22"/>
                <w:lang w:val="en-US"/>
              </w:rPr>
              <w:t xml:space="preserve"> making it the longest lived vertebrate (Nielsen </w:t>
            </w:r>
            <w:r w:rsidRPr="0006066A">
              <w:rPr>
                <w:i/>
                <w:color w:val="000000"/>
                <w:sz w:val="22"/>
                <w:szCs w:val="22"/>
                <w:lang w:val="en-US"/>
              </w:rPr>
              <w:t>et al</w:t>
            </w:r>
            <w:r w:rsidRPr="009978E3">
              <w:rPr>
                <w:color w:val="000000"/>
                <w:sz w:val="22"/>
                <w:szCs w:val="22"/>
                <w:lang w:val="en-US"/>
              </w:rPr>
              <w:t xml:space="preserve">., 2016). Its maturity would only be reached by around 150 years (Nielsen </w:t>
            </w:r>
            <w:r w:rsidRPr="0006066A">
              <w:rPr>
                <w:i/>
                <w:color w:val="000000"/>
                <w:sz w:val="22"/>
                <w:szCs w:val="22"/>
                <w:lang w:val="en-US"/>
              </w:rPr>
              <w:t>et al</w:t>
            </w:r>
            <w:r w:rsidRPr="009978E3">
              <w:rPr>
                <w:color w:val="000000"/>
                <w:sz w:val="22"/>
                <w:szCs w:val="22"/>
                <w:lang w:val="en-US"/>
              </w:rPr>
              <w:t>., 2016)</w:t>
            </w:r>
            <w:r>
              <w:rPr>
                <w:color w:val="000000"/>
                <w:sz w:val="22"/>
                <w:szCs w:val="22"/>
                <w:lang w:val="en-US"/>
              </w:rPr>
              <w:t>.</w:t>
            </w:r>
          </w:p>
        </w:tc>
      </w:tr>
      <w:tr w:rsidR="006B3F46" w:rsidRPr="0021277B" w14:paraId="22F17D6B" w14:textId="77777777" w:rsidTr="002E4B39">
        <w:tc>
          <w:tcPr>
            <w:tcW w:w="832" w:type="pct"/>
            <w:shd w:val="clear" w:color="auto" w:fill="auto"/>
          </w:tcPr>
          <w:p w14:paraId="25DAA1D5" w14:textId="77777777" w:rsidR="006B3F46" w:rsidRPr="009978E3" w:rsidRDefault="006B3F46" w:rsidP="00907941">
            <w:pPr>
              <w:widowControl w:val="0"/>
              <w:autoSpaceDE w:val="0"/>
              <w:autoSpaceDN w:val="0"/>
              <w:adjustRightInd w:val="0"/>
              <w:jc w:val="both"/>
              <w:rPr>
                <w:rFonts w:eastAsia="MS Mincho"/>
                <w:b/>
                <w:bCs/>
                <w:color w:val="000000"/>
                <w:sz w:val="22"/>
                <w:szCs w:val="22"/>
                <w:lang w:val="en-US"/>
              </w:rPr>
            </w:pPr>
            <w:r w:rsidRPr="00F66EF7">
              <w:rPr>
                <w:rFonts w:eastAsia="MS Mincho"/>
                <w:b/>
                <w:bCs/>
                <w:color w:val="000000"/>
                <w:sz w:val="22"/>
                <w:szCs w:val="22"/>
                <w:lang w:val="en-US"/>
              </w:rPr>
              <w:t>Biol</w:t>
            </w:r>
            <w:r w:rsidRPr="009978E3">
              <w:rPr>
                <w:rFonts w:eastAsia="MS Mincho"/>
                <w:b/>
                <w:bCs/>
                <w:color w:val="000000"/>
                <w:sz w:val="22"/>
                <w:szCs w:val="22"/>
                <w:lang w:val="en-US"/>
              </w:rPr>
              <w:t>ogical productivity</w:t>
            </w:r>
          </w:p>
        </w:tc>
        <w:tc>
          <w:tcPr>
            <w:tcW w:w="2232" w:type="pct"/>
            <w:shd w:val="clear" w:color="auto" w:fill="auto"/>
          </w:tcPr>
          <w:p w14:paraId="4F7F375A" w14:textId="77777777" w:rsidR="006B3F46" w:rsidRPr="009978E3" w:rsidRDefault="006B3F46" w:rsidP="00907941">
            <w:pPr>
              <w:widowControl w:val="0"/>
              <w:autoSpaceDE w:val="0"/>
              <w:autoSpaceDN w:val="0"/>
              <w:adjustRightInd w:val="0"/>
              <w:jc w:val="both"/>
              <w:rPr>
                <w:rFonts w:eastAsia="MS Mincho"/>
                <w:bCs/>
                <w:color w:val="000000"/>
                <w:sz w:val="22"/>
                <w:szCs w:val="22"/>
              </w:rPr>
            </w:pPr>
            <w:r w:rsidRPr="009978E3">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5E7B62C4" w14:textId="77777777" w:rsidR="006B3F46" w:rsidRPr="009978E3" w:rsidRDefault="006B3F46" w:rsidP="00907941">
            <w:pPr>
              <w:widowControl w:val="0"/>
              <w:autoSpaceDE w:val="0"/>
              <w:autoSpaceDN w:val="0"/>
              <w:adjustRightInd w:val="0"/>
              <w:jc w:val="both"/>
              <w:rPr>
                <w:color w:val="000000"/>
                <w:sz w:val="22"/>
                <w:szCs w:val="22"/>
                <w:lang w:val="en-US"/>
              </w:rPr>
            </w:pPr>
          </w:p>
        </w:tc>
        <w:tc>
          <w:tcPr>
            <w:tcW w:w="410" w:type="pct"/>
            <w:gridSpan w:val="2"/>
            <w:shd w:val="clear" w:color="auto" w:fill="auto"/>
            <w:vAlign w:val="center"/>
          </w:tcPr>
          <w:p w14:paraId="3E88E8B2"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411" w:type="pct"/>
            <w:gridSpan w:val="2"/>
            <w:shd w:val="clear" w:color="auto" w:fill="auto"/>
            <w:vAlign w:val="center"/>
          </w:tcPr>
          <w:p w14:paraId="2553D94B" w14:textId="77777777" w:rsidR="006B3F46" w:rsidRPr="009978E3" w:rsidRDefault="006B3F46" w:rsidP="00907941">
            <w:pPr>
              <w:widowControl w:val="0"/>
              <w:autoSpaceDE w:val="0"/>
              <w:autoSpaceDN w:val="0"/>
              <w:adjustRightInd w:val="0"/>
              <w:jc w:val="center"/>
              <w:rPr>
                <w:color w:val="000000"/>
                <w:sz w:val="22"/>
                <w:szCs w:val="22"/>
                <w:lang w:val="en-US"/>
              </w:rPr>
            </w:pPr>
            <w:r>
              <w:rPr>
                <w:rFonts w:eastAsia="MS Mincho"/>
                <w:bCs/>
                <w:color w:val="000000"/>
                <w:sz w:val="22"/>
                <w:szCs w:val="22"/>
                <w:lang w:val="en-US"/>
              </w:rPr>
              <w:t>X</w:t>
            </w:r>
          </w:p>
        </w:tc>
        <w:tc>
          <w:tcPr>
            <w:tcW w:w="432" w:type="pct"/>
            <w:gridSpan w:val="2"/>
            <w:shd w:val="clear" w:color="auto" w:fill="auto"/>
            <w:vAlign w:val="center"/>
          </w:tcPr>
          <w:p w14:paraId="1CC3E9EA" w14:textId="77777777" w:rsidR="006B3F46" w:rsidRPr="009978E3" w:rsidRDefault="006B3F46" w:rsidP="00907941">
            <w:pPr>
              <w:widowControl w:val="0"/>
              <w:autoSpaceDE w:val="0"/>
              <w:autoSpaceDN w:val="0"/>
              <w:adjustRightInd w:val="0"/>
              <w:jc w:val="center"/>
              <w:rPr>
                <w:color w:val="000000"/>
                <w:sz w:val="22"/>
                <w:szCs w:val="22"/>
                <w:lang w:val="en-US"/>
              </w:rPr>
            </w:pPr>
          </w:p>
        </w:tc>
      </w:tr>
      <w:tr w:rsidR="006B3F46" w:rsidRPr="0021277B" w14:paraId="198181A2" w14:textId="77777777" w:rsidTr="00907941">
        <w:tc>
          <w:tcPr>
            <w:tcW w:w="5000" w:type="pct"/>
            <w:gridSpan w:val="11"/>
            <w:shd w:val="clear" w:color="auto" w:fill="auto"/>
          </w:tcPr>
          <w:p w14:paraId="25652952" w14:textId="77777777" w:rsidR="006B3F46" w:rsidRPr="009978E3" w:rsidRDefault="006B3F46" w:rsidP="00907941">
            <w:pPr>
              <w:widowControl w:val="0"/>
              <w:autoSpaceDE w:val="0"/>
              <w:autoSpaceDN w:val="0"/>
              <w:adjustRightInd w:val="0"/>
              <w:jc w:val="both"/>
              <w:rPr>
                <w:color w:val="000000"/>
                <w:sz w:val="22"/>
                <w:szCs w:val="22"/>
                <w:lang w:val="en-US"/>
              </w:rPr>
            </w:pPr>
            <w:r w:rsidRPr="00F66EF7">
              <w:rPr>
                <w:rFonts w:eastAsia="MS Mincho"/>
                <w:i/>
                <w:color w:val="000000"/>
                <w:sz w:val="22"/>
                <w:szCs w:val="22"/>
                <w:lang w:val="en-US"/>
              </w:rPr>
              <w:t>Explanation for ra</w:t>
            </w:r>
            <w:r w:rsidRPr="009978E3">
              <w:rPr>
                <w:rFonts w:eastAsia="MS Mincho"/>
                <w:i/>
                <w:color w:val="000000"/>
                <w:sz w:val="22"/>
                <w:szCs w:val="22"/>
                <w:lang w:val="en-US"/>
              </w:rPr>
              <w:t>nking</w:t>
            </w:r>
          </w:p>
          <w:p w14:paraId="34EEF227"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color w:val="000000"/>
                <w:sz w:val="22"/>
                <w:szCs w:val="22"/>
                <w:lang w:val="en-US"/>
              </w:rPr>
              <w:t xml:space="preserve">1-The complex hydrographic setting around the North MAR and the presence of the ridge itself leads to enhanced vertical mixing and turbulence that results in areas of increased productivity (Falkowski </w:t>
            </w:r>
            <w:r w:rsidRPr="0006066A">
              <w:rPr>
                <w:i/>
                <w:color w:val="000000"/>
                <w:sz w:val="22"/>
                <w:szCs w:val="22"/>
                <w:lang w:val="en-US"/>
              </w:rPr>
              <w:t>et al</w:t>
            </w:r>
            <w:r w:rsidRPr="009978E3">
              <w:rPr>
                <w:color w:val="000000"/>
                <w:sz w:val="22"/>
                <w:szCs w:val="22"/>
                <w:lang w:val="en-US"/>
              </w:rPr>
              <w:t xml:space="preserve">., 1998; Heger </w:t>
            </w:r>
            <w:r w:rsidRPr="0006066A">
              <w:rPr>
                <w:i/>
                <w:color w:val="000000"/>
                <w:sz w:val="22"/>
                <w:szCs w:val="22"/>
                <w:lang w:val="en-US"/>
              </w:rPr>
              <w:t>et al</w:t>
            </w:r>
            <w:r w:rsidRPr="009978E3">
              <w:rPr>
                <w:color w:val="000000"/>
                <w:sz w:val="22"/>
                <w:szCs w:val="22"/>
                <w:lang w:val="en-US"/>
              </w:rPr>
              <w:t xml:space="preserve">., 2008). </w:t>
            </w:r>
          </w:p>
          <w:p w14:paraId="4DCC80F5"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color w:val="000000"/>
                <w:sz w:val="22"/>
                <w:szCs w:val="22"/>
                <w:lang w:val="en-US"/>
              </w:rPr>
              <w:t xml:space="preserve">2-The high geomorphological relief also promotes strong near-bed currents and enhanced food supply, providing ideal conditions for the colonization of deep-sea suspension-feeding fauna such as cold-water corals and sponges (Mortensen </w:t>
            </w:r>
            <w:r w:rsidRPr="0006066A">
              <w:rPr>
                <w:i/>
                <w:color w:val="000000"/>
                <w:sz w:val="22"/>
                <w:szCs w:val="22"/>
                <w:lang w:val="en-US"/>
              </w:rPr>
              <w:t>et al</w:t>
            </w:r>
            <w:r w:rsidRPr="009978E3">
              <w:rPr>
                <w:color w:val="000000"/>
                <w:sz w:val="22"/>
                <w:szCs w:val="22"/>
                <w:lang w:val="en-US"/>
              </w:rPr>
              <w:t xml:space="preserve"> 2008; Moldstova </w:t>
            </w:r>
            <w:r w:rsidRPr="0006066A">
              <w:rPr>
                <w:i/>
                <w:color w:val="000000"/>
                <w:sz w:val="22"/>
                <w:szCs w:val="22"/>
                <w:lang w:val="en-US"/>
              </w:rPr>
              <w:t>et al</w:t>
            </w:r>
            <w:r w:rsidRPr="009978E3">
              <w:rPr>
                <w:color w:val="000000"/>
                <w:sz w:val="22"/>
                <w:szCs w:val="22"/>
                <w:lang w:val="en-US"/>
              </w:rPr>
              <w:t xml:space="preserve"> 2013; Lopes &amp; Tabachnik 2013; Tabachnik &amp; Menshenina 2013). </w:t>
            </w:r>
          </w:p>
          <w:p w14:paraId="397C1916" w14:textId="77777777" w:rsidR="006B3F46" w:rsidRPr="009978E3" w:rsidRDefault="006B3F46" w:rsidP="00907941">
            <w:pPr>
              <w:widowControl w:val="0"/>
              <w:autoSpaceDE w:val="0"/>
              <w:autoSpaceDN w:val="0"/>
              <w:adjustRightInd w:val="0"/>
              <w:spacing w:after="120"/>
              <w:jc w:val="both"/>
              <w:rPr>
                <w:sz w:val="22"/>
                <w:szCs w:val="22"/>
                <w:lang w:val="en-US"/>
              </w:rPr>
            </w:pPr>
            <w:r w:rsidRPr="009978E3">
              <w:rPr>
                <w:color w:val="000000"/>
                <w:sz w:val="22"/>
                <w:szCs w:val="22"/>
                <w:lang w:val="en-US"/>
              </w:rPr>
              <w:t>3-</w:t>
            </w:r>
            <w:r w:rsidRPr="009978E3">
              <w:rPr>
                <w:sz w:val="22"/>
                <w:szCs w:val="22"/>
                <w:lang w:val="en-US"/>
              </w:rPr>
              <w:t xml:space="preserve">The Mid-Atlantic Ridge plays a pivotal role in circulation of water masses within the OSPAR Maritime Area and the whole North Atlantic (Rossby, 1999; Bower </w:t>
            </w:r>
            <w:r w:rsidRPr="0006066A">
              <w:rPr>
                <w:i/>
                <w:sz w:val="22"/>
                <w:szCs w:val="22"/>
                <w:lang w:val="en-US"/>
              </w:rPr>
              <w:t>et al</w:t>
            </w:r>
            <w:r w:rsidRPr="009978E3">
              <w:rPr>
                <w:i/>
                <w:sz w:val="22"/>
                <w:szCs w:val="22"/>
                <w:lang w:val="en-US"/>
              </w:rPr>
              <w:t>.</w:t>
            </w:r>
            <w:r w:rsidRPr="009978E3">
              <w:rPr>
                <w:sz w:val="22"/>
                <w:szCs w:val="22"/>
                <w:lang w:val="en-US"/>
              </w:rPr>
              <w:t xml:space="preserve">, 2002; Heger </w:t>
            </w:r>
            <w:r w:rsidRPr="0006066A">
              <w:rPr>
                <w:i/>
                <w:sz w:val="22"/>
                <w:szCs w:val="22"/>
                <w:lang w:val="en-US"/>
              </w:rPr>
              <w:t>et al</w:t>
            </w:r>
            <w:r w:rsidRPr="009978E3">
              <w:rPr>
                <w:i/>
                <w:sz w:val="22"/>
                <w:szCs w:val="22"/>
                <w:lang w:val="en-US"/>
              </w:rPr>
              <w:t>.</w:t>
            </w:r>
            <w:r w:rsidRPr="009978E3">
              <w:rPr>
                <w:sz w:val="22"/>
                <w:szCs w:val="22"/>
                <w:lang w:val="en-US"/>
              </w:rPr>
              <w:t xml:space="preserve">, 2008; Søiland </w:t>
            </w:r>
            <w:r w:rsidRPr="0006066A">
              <w:rPr>
                <w:i/>
                <w:sz w:val="22"/>
                <w:szCs w:val="22"/>
                <w:lang w:val="en-US"/>
              </w:rPr>
              <w:t>et al</w:t>
            </w:r>
            <w:r w:rsidRPr="009978E3">
              <w:rPr>
                <w:i/>
                <w:sz w:val="22"/>
                <w:szCs w:val="22"/>
                <w:lang w:val="en-US"/>
              </w:rPr>
              <w:t>.</w:t>
            </w:r>
            <w:r w:rsidRPr="009978E3">
              <w:rPr>
                <w:sz w:val="22"/>
                <w:szCs w:val="22"/>
                <w:lang w:val="en-US"/>
              </w:rPr>
              <w:t xml:space="preserve">, 2008). The complex hydrographic setting around the Mid-Atlantic Ridge in general and the presence of the ridge itself lead to enhanced vertical mixing and turbulence that result in areas of increased productivity over the Ridge (Falkowski </w:t>
            </w:r>
            <w:r w:rsidRPr="0006066A">
              <w:rPr>
                <w:i/>
                <w:sz w:val="22"/>
                <w:szCs w:val="22"/>
                <w:lang w:val="en-US"/>
              </w:rPr>
              <w:t>et al</w:t>
            </w:r>
            <w:r w:rsidRPr="009978E3">
              <w:rPr>
                <w:i/>
                <w:sz w:val="22"/>
                <w:szCs w:val="22"/>
                <w:lang w:val="en-US"/>
              </w:rPr>
              <w:t>.</w:t>
            </w:r>
            <w:r w:rsidRPr="009978E3">
              <w:rPr>
                <w:sz w:val="22"/>
                <w:szCs w:val="22"/>
                <w:lang w:val="en-US"/>
              </w:rPr>
              <w:t xml:space="preserve">, 1998; Heger </w:t>
            </w:r>
            <w:r w:rsidRPr="0006066A">
              <w:rPr>
                <w:i/>
                <w:sz w:val="22"/>
                <w:szCs w:val="22"/>
                <w:lang w:val="en-US"/>
              </w:rPr>
              <w:t>et al</w:t>
            </w:r>
            <w:r w:rsidRPr="009978E3">
              <w:rPr>
                <w:i/>
                <w:sz w:val="22"/>
                <w:szCs w:val="22"/>
                <w:lang w:val="en-US"/>
              </w:rPr>
              <w:t>.</w:t>
            </w:r>
            <w:r w:rsidRPr="009978E3">
              <w:rPr>
                <w:sz w:val="22"/>
                <w:szCs w:val="22"/>
                <w:lang w:val="en-US"/>
              </w:rPr>
              <w:t xml:space="preserve">, 2008). </w:t>
            </w:r>
          </w:p>
          <w:p w14:paraId="68DB31EA"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sz w:val="22"/>
                <w:szCs w:val="22"/>
                <w:lang w:val="en-US"/>
              </w:rPr>
              <w:t>4-</w:t>
            </w:r>
            <w:r w:rsidRPr="009978E3">
              <w:rPr>
                <w:color w:val="000000"/>
                <w:sz w:val="22"/>
                <w:szCs w:val="22"/>
                <w:lang w:val="en-US"/>
              </w:rPr>
              <w:t xml:space="preserve"> The chemosynthetic productivity from vents is therefore exchanged with the nearby deep-sea environments, providing labile organic resources to benthic and pelagic ecosystems that are otherwise food limited (Levin </w:t>
            </w:r>
            <w:r w:rsidRPr="0006066A">
              <w:rPr>
                <w:i/>
                <w:color w:val="000000"/>
                <w:sz w:val="22"/>
                <w:szCs w:val="22"/>
                <w:lang w:val="en-US"/>
              </w:rPr>
              <w:t>et al</w:t>
            </w:r>
            <w:r w:rsidRPr="009978E3">
              <w:rPr>
                <w:color w:val="000000"/>
                <w:sz w:val="22"/>
                <w:szCs w:val="22"/>
                <w:lang w:val="en-US"/>
              </w:rPr>
              <w:t xml:space="preserve">., 2016). Vent-derived organic carbon flux supplements the metazoan food web beyond the areas where hydrothermal venting occurs (Bell </w:t>
            </w:r>
            <w:r w:rsidRPr="0006066A">
              <w:rPr>
                <w:i/>
                <w:color w:val="000000"/>
                <w:sz w:val="22"/>
                <w:szCs w:val="22"/>
                <w:lang w:val="en-US"/>
              </w:rPr>
              <w:t>et al</w:t>
            </w:r>
            <w:r w:rsidRPr="009978E3">
              <w:rPr>
                <w:color w:val="000000"/>
                <w:sz w:val="22"/>
                <w:szCs w:val="22"/>
                <w:lang w:val="en-US"/>
              </w:rPr>
              <w:t>., 2017).</w:t>
            </w:r>
          </w:p>
          <w:p w14:paraId="4F94C61F" w14:textId="0CBD614D" w:rsidR="006B3F46" w:rsidRPr="009978E3" w:rsidRDefault="006B3F46" w:rsidP="002E4B39">
            <w:pPr>
              <w:widowControl w:val="0"/>
              <w:autoSpaceDE w:val="0"/>
              <w:autoSpaceDN w:val="0"/>
              <w:adjustRightInd w:val="0"/>
              <w:spacing w:after="120"/>
              <w:jc w:val="both"/>
              <w:rPr>
                <w:color w:val="000000"/>
                <w:sz w:val="22"/>
                <w:szCs w:val="22"/>
                <w:lang w:val="en-US"/>
              </w:rPr>
            </w:pPr>
            <w:r w:rsidRPr="009978E3">
              <w:rPr>
                <w:sz w:val="22"/>
                <w:szCs w:val="22"/>
                <w:lang w:val="en-US"/>
              </w:rPr>
              <w:t>5-</w:t>
            </w:r>
            <w:r w:rsidRPr="009978E3">
              <w:rPr>
                <w:color w:val="000000"/>
                <w:sz w:val="22"/>
                <w:szCs w:val="22"/>
                <w:lang w:val="en-US"/>
              </w:rPr>
              <w:t xml:space="preserve"> Both cold-water coral communities and sponge grounds are important for global biogeochemical cycles and the ocean’s benthic pelagic coupling loop, being responsible for nearly 30</w:t>
            </w:r>
            <w:r>
              <w:rPr>
                <w:color w:val="000000"/>
                <w:sz w:val="22"/>
                <w:szCs w:val="22"/>
                <w:lang w:val="en-US"/>
              </w:rPr>
              <w:t xml:space="preserve"> per cent</w:t>
            </w:r>
            <w:r w:rsidRPr="009978E3">
              <w:rPr>
                <w:color w:val="000000"/>
                <w:sz w:val="22"/>
                <w:szCs w:val="22"/>
                <w:lang w:val="en-US"/>
              </w:rPr>
              <w:t xml:space="preserve"> of the coupling between organic matter produced at the ocean surface and the seafloor (Cathalot </w:t>
            </w:r>
            <w:r w:rsidRPr="0006066A">
              <w:rPr>
                <w:i/>
                <w:color w:val="000000"/>
                <w:sz w:val="22"/>
                <w:szCs w:val="22"/>
                <w:lang w:val="en-US"/>
              </w:rPr>
              <w:t>et al</w:t>
            </w:r>
            <w:r w:rsidRPr="009978E3">
              <w:rPr>
                <w:color w:val="000000"/>
                <w:sz w:val="22"/>
                <w:szCs w:val="22"/>
                <w:lang w:val="en-US"/>
              </w:rPr>
              <w:t>., 2015). They represent hotspots of ecosystem functioning</w:t>
            </w:r>
            <w:r>
              <w:rPr>
                <w:color w:val="000000"/>
                <w:sz w:val="22"/>
                <w:szCs w:val="22"/>
                <w:lang w:val="en-US"/>
              </w:rPr>
              <w:t>,</w:t>
            </w:r>
            <w:r w:rsidRPr="009978E3">
              <w:rPr>
                <w:color w:val="000000"/>
                <w:sz w:val="22"/>
                <w:szCs w:val="22"/>
                <w:lang w:val="en-US"/>
              </w:rPr>
              <w:t xml:space="preserve"> processing substantial amounts of </w:t>
            </w:r>
            <w:r>
              <w:rPr>
                <w:color w:val="000000"/>
                <w:sz w:val="22"/>
                <w:szCs w:val="22"/>
                <w:lang w:val="en-US"/>
              </w:rPr>
              <w:t>organic matter</w:t>
            </w:r>
            <w:r w:rsidRPr="009978E3">
              <w:rPr>
                <w:color w:val="000000"/>
                <w:sz w:val="22"/>
                <w:szCs w:val="22"/>
                <w:lang w:val="en-US"/>
              </w:rPr>
              <w:t xml:space="preserve"> (White </w:t>
            </w:r>
            <w:r w:rsidRPr="0006066A">
              <w:rPr>
                <w:i/>
                <w:color w:val="000000"/>
                <w:sz w:val="22"/>
                <w:szCs w:val="22"/>
                <w:lang w:val="en-US"/>
              </w:rPr>
              <w:t>et al</w:t>
            </w:r>
            <w:r w:rsidRPr="009978E3">
              <w:rPr>
                <w:color w:val="000000"/>
                <w:sz w:val="22"/>
                <w:szCs w:val="22"/>
                <w:lang w:val="en-US"/>
              </w:rPr>
              <w:t xml:space="preserve">., 2012; Cathalot </w:t>
            </w:r>
            <w:r w:rsidRPr="0006066A">
              <w:rPr>
                <w:i/>
                <w:color w:val="000000"/>
                <w:sz w:val="22"/>
                <w:szCs w:val="22"/>
                <w:lang w:val="en-US"/>
              </w:rPr>
              <w:t>et al</w:t>
            </w:r>
            <w:r w:rsidRPr="009978E3">
              <w:rPr>
                <w:color w:val="000000"/>
                <w:sz w:val="22"/>
                <w:szCs w:val="22"/>
                <w:lang w:val="en-US"/>
              </w:rPr>
              <w:t>., 2015</w:t>
            </w:r>
            <w:r>
              <w:rPr>
                <w:color w:val="000000"/>
                <w:sz w:val="22"/>
                <w:szCs w:val="22"/>
                <w:lang w:val="en-US"/>
              </w:rPr>
              <w:t>,</w:t>
            </w:r>
            <w:r w:rsidRPr="009978E3">
              <w:rPr>
                <w:color w:val="000000"/>
                <w:sz w:val="22"/>
                <w:szCs w:val="22"/>
                <w:lang w:val="en-US"/>
              </w:rPr>
              <w:t xml:space="preserve">) and release nutrients back into the surrounding water (Van Oevelen </w:t>
            </w:r>
            <w:r w:rsidRPr="0006066A">
              <w:rPr>
                <w:i/>
                <w:color w:val="000000"/>
                <w:sz w:val="22"/>
                <w:szCs w:val="22"/>
                <w:lang w:val="en-US"/>
              </w:rPr>
              <w:t>et al</w:t>
            </w:r>
            <w:r w:rsidRPr="009978E3">
              <w:rPr>
                <w:color w:val="000000"/>
                <w:sz w:val="22"/>
                <w:szCs w:val="22"/>
                <w:lang w:val="en-US"/>
              </w:rPr>
              <w:t xml:space="preserve">., 2009; Cathalot </w:t>
            </w:r>
            <w:r w:rsidRPr="0006066A">
              <w:rPr>
                <w:i/>
                <w:color w:val="000000"/>
                <w:sz w:val="22"/>
                <w:szCs w:val="22"/>
                <w:lang w:val="en-US"/>
              </w:rPr>
              <w:t>et al</w:t>
            </w:r>
            <w:r w:rsidRPr="009978E3">
              <w:rPr>
                <w:color w:val="000000"/>
                <w:sz w:val="22"/>
                <w:szCs w:val="22"/>
                <w:lang w:val="en-US"/>
              </w:rPr>
              <w:t>., 2015) that become available to associated fauna</w:t>
            </w:r>
            <w:r>
              <w:rPr>
                <w:color w:val="000000"/>
                <w:sz w:val="22"/>
                <w:szCs w:val="22"/>
                <w:lang w:val="en-US"/>
              </w:rPr>
              <w:t>,</w:t>
            </w:r>
            <w:r w:rsidRPr="009978E3">
              <w:rPr>
                <w:color w:val="000000"/>
                <w:sz w:val="22"/>
                <w:szCs w:val="22"/>
                <w:lang w:val="en-US"/>
              </w:rPr>
              <w:t xml:space="preserve"> potential</w:t>
            </w:r>
            <w:r>
              <w:rPr>
                <w:color w:val="000000"/>
                <w:sz w:val="22"/>
                <w:szCs w:val="22"/>
                <w:lang w:val="en-US"/>
              </w:rPr>
              <w:t>ly</w:t>
            </w:r>
            <w:r w:rsidRPr="009978E3">
              <w:rPr>
                <w:color w:val="000000"/>
                <w:sz w:val="22"/>
                <w:szCs w:val="22"/>
                <w:lang w:val="en-US"/>
              </w:rPr>
              <w:t xml:space="preserve"> increasing overall biodiversity and biological productivity of these habitats.</w:t>
            </w:r>
          </w:p>
        </w:tc>
      </w:tr>
      <w:tr w:rsidR="006B3F46" w:rsidRPr="0021277B" w14:paraId="70003B77" w14:textId="77777777" w:rsidTr="002E4B39">
        <w:tc>
          <w:tcPr>
            <w:tcW w:w="832" w:type="pct"/>
            <w:shd w:val="clear" w:color="auto" w:fill="auto"/>
          </w:tcPr>
          <w:p w14:paraId="1856ECAF" w14:textId="77777777" w:rsidR="006B3F46" w:rsidRPr="00F66EF7" w:rsidRDefault="006B3F46" w:rsidP="00907941">
            <w:pPr>
              <w:widowControl w:val="0"/>
              <w:autoSpaceDE w:val="0"/>
              <w:autoSpaceDN w:val="0"/>
              <w:adjustRightInd w:val="0"/>
              <w:jc w:val="both"/>
              <w:rPr>
                <w:rFonts w:eastAsia="MS Mincho"/>
                <w:b/>
                <w:bCs/>
                <w:color w:val="000000"/>
                <w:sz w:val="22"/>
                <w:szCs w:val="22"/>
                <w:lang w:val="en-US"/>
              </w:rPr>
            </w:pPr>
            <w:r w:rsidRPr="00F66EF7">
              <w:rPr>
                <w:rFonts w:eastAsia="MS Mincho"/>
                <w:b/>
                <w:bCs/>
                <w:color w:val="000000"/>
                <w:sz w:val="22"/>
                <w:szCs w:val="22"/>
                <w:lang w:val="en-US"/>
              </w:rPr>
              <w:t>Biological diversity</w:t>
            </w:r>
          </w:p>
        </w:tc>
        <w:tc>
          <w:tcPr>
            <w:tcW w:w="2232" w:type="pct"/>
            <w:shd w:val="clear" w:color="auto" w:fill="auto"/>
          </w:tcPr>
          <w:p w14:paraId="59C2BE54" w14:textId="77777777" w:rsidR="006B3F46" w:rsidRPr="009978E3" w:rsidRDefault="006B3F46" w:rsidP="00907941">
            <w:pPr>
              <w:widowControl w:val="0"/>
              <w:autoSpaceDE w:val="0"/>
              <w:autoSpaceDN w:val="0"/>
              <w:adjustRightInd w:val="0"/>
              <w:jc w:val="both"/>
              <w:rPr>
                <w:rFonts w:eastAsia="MS Mincho"/>
                <w:bCs/>
                <w:color w:val="000000"/>
                <w:sz w:val="22"/>
                <w:szCs w:val="22"/>
                <w:lang w:val="en-US"/>
              </w:rPr>
            </w:pPr>
            <w:r w:rsidRPr="009978E3">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vAlign w:val="center"/>
          </w:tcPr>
          <w:p w14:paraId="1F0C84AB"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vAlign w:val="center"/>
          </w:tcPr>
          <w:p w14:paraId="3E4A5A08"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vAlign w:val="center"/>
          </w:tcPr>
          <w:p w14:paraId="456CAA71"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vAlign w:val="center"/>
          </w:tcPr>
          <w:p w14:paraId="74D37A1A"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sidRPr="009978E3">
              <w:rPr>
                <w:rFonts w:eastAsia="MS Mincho"/>
                <w:bCs/>
                <w:color w:val="000000"/>
                <w:sz w:val="22"/>
                <w:szCs w:val="22"/>
                <w:lang w:val="en-US"/>
              </w:rPr>
              <w:t>X</w:t>
            </w:r>
          </w:p>
        </w:tc>
      </w:tr>
      <w:tr w:rsidR="006B3F46" w:rsidRPr="0021277B" w14:paraId="2C2EB4DB" w14:textId="77777777" w:rsidTr="00907941">
        <w:tc>
          <w:tcPr>
            <w:tcW w:w="5000" w:type="pct"/>
            <w:gridSpan w:val="11"/>
            <w:shd w:val="clear" w:color="auto" w:fill="auto"/>
          </w:tcPr>
          <w:p w14:paraId="53F64688" w14:textId="77777777" w:rsidR="006B3F46" w:rsidRPr="009978E3" w:rsidRDefault="006B3F46" w:rsidP="00907941">
            <w:pPr>
              <w:widowControl w:val="0"/>
              <w:autoSpaceDE w:val="0"/>
              <w:autoSpaceDN w:val="0"/>
              <w:adjustRightInd w:val="0"/>
              <w:jc w:val="both"/>
              <w:rPr>
                <w:color w:val="000000"/>
                <w:sz w:val="22"/>
                <w:szCs w:val="22"/>
                <w:lang w:val="en-US"/>
              </w:rPr>
            </w:pPr>
            <w:r w:rsidRPr="00F66EF7">
              <w:rPr>
                <w:rFonts w:eastAsia="MS Mincho"/>
                <w:i/>
                <w:color w:val="000000"/>
                <w:sz w:val="22"/>
                <w:szCs w:val="22"/>
                <w:lang w:val="en-US"/>
              </w:rPr>
              <w:t>Explanation for ranking</w:t>
            </w:r>
          </w:p>
          <w:p w14:paraId="29FCA474" w14:textId="77777777" w:rsidR="006B3F46" w:rsidRPr="009978E3" w:rsidRDefault="006B3F46" w:rsidP="00907941">
            <w:pPr>
              <w:widowControl w:val="0"/>
              <w:autoSpaceDE w:val="0"/>
              <w:autoSpaceDN w:val="0"/>
              <w:adjustRightInd w:val="0"/>
              <w:spacing w:after="120"/>
              <w:jc w:val="both"/>
              <w:rPr>
                <w:color w:val="000000"/>
                <w:sz w:val="22"/>
                <w:szCs w:val="22"/>
                <w:lang w:val="en-US"/>
              </w:rPr>
            </w:pPr>
            <w:r w:rsidRPr="009978E3">
              <w:rPr>
                <w:color w:val="000000"/>
                <w:sz w:val="22"/>
                <w:szCs w:val="22"/>
                <w:lang w:val="en-US"/>
              </w:rPr>
              <w:t xml:space="preserve">1-The North MAR region is considered a cold-water coral hotspot, with about 200 species (Braga-Henriques </w:t>
            </w:r>
            <w:r w:rsidRPr="0006066A">
              <w:rPr>
                <w:i/>
                <w:color w:val="000000"/>
                <w:sz w:val="22"/>
                <w:szCs w:val="22"/>
                <w:lang w:val="en-US"/>
              </w:rPr>
              <w:t>et al</w:t>
            </w:r>
            <w:r w:rsidRPr="009978E3">
              <w:rPr>
                <w:color w:val="000000"/>
                <w:sz w:val="22"/>
                <w:szCs w:val="22"/>
                <w:lang w:val="en-US"/>
              </w:rPr>
              <w:t xml:space="preserve">., 2013; Sampaio </w:t>
            </w:r>
            <w:r w:rsidRPr="0006066A">
              <w:rPr>
                <w:i/>
                <w:color w:val="000000"/>
                <w:sz w:val="22"/>
                <w:szCs w:val="22"/>
                <w:lang w:val="en-US"/>
              </w:rPr>
              <w:t>et al</w:t>
            </w:r>
            <w:r w:rsidRPr="009978E3">
              <w:rPr>
                <w:color w:val="000000"/>
                <w:sz w:val="22"/>
                <w:szCs w:val="22"/>
                <w:lang w:val="en-US"/>
              </w:rPr>
              <w:t xml:space="preserve">., 2019) and more than </w:t>
            </w:r>
            <w:r>
              <w:rPr>
                <w:color w:val="000000"/>
                <w:sz w:val="22"/>
                <w:szCs w:val="22"/>
                <w:lang w:val="en-US"/>
              </w:rPr>
              <w:t>20</w:t>
            </w:r>
            <w:r w:rsidRPr="009978E3">
              <w:rPr>
                <w:color w:val="000000"/>
                <w:sz w:val="22"/>
                <w:szCs w:val="22"/>
                <w:lang w:val="en-US"/>
              </w:rPr>
              <w:t xml:space="preserve"> different types of coral gardens (Tempera </w:t>
            </w:r>
            <w:r w:rsidRPr="0006066A">
              <w:rPr>
                <w:i/>
                <w:color w:val="000000"/>
                <w:sz w:val="22"/>
                <w:szCs w:val="22"/>
                <w:lang w:val="en-US"/>
              </w:rPr>
              <w:t>et al</w:t>
            </w:r>
            <w:r w:rsidRPr="009978E3">
              <w:rPr>
                <w:color w:val="000000"/>
                <w:sz w:val="22"/>
                <w:szCs w:val="22"/>
                <w:lang w:val="en-US"/>
              </w:rPr>
              <w:t xml:space="preserve">., 2013) identified to date. A large proportion of </w:t>
            </w:r>
            <w:r>
              <w:rPr>
                <w:color w:val="000000"/>
                <w:sz w:val="22"/>
                <w:szCs w:val="22"/>
                <w:lang w:val="en-US"/>
              </w:rPr>
              <w:t xml:space="preserve">cold-water corals </w:t>
            </w:r>
            <w:r w:rsidRPr="009978E3">
              <w:rPr>
                <w:color w:val="000000"/>
                <w:sz w:val="22"/>
                <w:szCs w:val="22"/>
                <w:lang w:val="en-US"/>
              </w:rPr>
              <w:t>belong to the subclass Octocorallia</w:t>
            </w:r>
            <w:r>
              <w:rPr>
                <w:color w:val="000000"/>
                <w:sz w:val="22"/>
                <w:szCs w:val="22"/>
                <w:lang w:val="en-US"/>
              </w:rPr>
              <w:t>,</w:t>
            </w:r>
            <w:r w:rsidRPr="009978E3">
              <w:rPr>
                <w:color w:val="000000"/>
                <w:sz w:val="22"/>
                <w:szCs w:val="22"/>
                <w:lang w:val="en-US"/>
              </w:rPr>
              <w:t xml:space="preserve"> with 98 species identified (Sampaio </w:t>
            </w:r>
            <w:r w:rsidRPr="0006066A">
              <w:rPr>
                <w:i/>
                <w:color w:val="000000"/>
                <w:sz w:val="22"/>
                <w:szCs w:val="22"/>
                <w:lang w:val="en-US"/>
              </w:rPr>
              <w:t>et al</w:t>
            </w:r>
            <w:r w:rsidRPr="009978E3">
              <w:rPr>
                <w:color w:val="000000"/>
                <w:sz w:val="22"/>
                <w:szCs w:val="22"/>
                <w:lang w:val="en-US"/>
              </w:rPr>
              <w:t>., 2019), representing the highest octocoral diversity given for European waters (75</w:t>
            </w:r>
            <w:r>
              <w:rPr>
                <w:color w:val="000000"/>
                <w:sz w:val="22"/>
                <w:szCs w:val="22"/>
                <w:lang w:val="en-US"/>
              </w:rPr>
              <w:t xml:space="preserve"> per cent</w:t>
            </w:r>
            <w:r w:rsidRPr="009978E3">
              <w:rPr>
                <w:color w:val="000000"/>
                <w:sz w:val="22"/>
                <w:szCs w:val="22"/>
                <w:lang w:val="en-US"/>
              </w:rPr>
              <w:t xml:space="preserve"> of Octocorallia recorded in European Register of Marine Species</w:t>
            </w:r>
            <w:r>
              <w:rPr>
                <w:color w:val="000000"/>
                <w:sz w:val="22"/>
                <w:szCs w:val="22"/>
                <w:lang w:val="en-US"/>
              </w:rPr>
              <w:t xml:space="preserve">; </w:t>
            </w:r>
            <w:r w:rsidRPr="009978E3">
              <w:rPr>
                <w:color w:val="000000"/>
                <w:sz w:val="22"/>
                <w:szCs w:val="22"/>
                <w:lang w:val="en-US"/>
              </w:rPr>
              <w:t xml:space="preserve">Costello </w:t>
            </w:r>
            <w:r w:rsidRPr="0006066A">
              <w:rPr>
                <w:i/>
                <w:color w:val="000000"/>
                <w:sz w:val="22"/>
                <w:szCs w:val="22"/>
                <w:lang w:val="en-US"/>
              </w:rPr>
              <w:t>et al</w:t>
            </w:r>
            <w:r w:rsidRPr="009978E3">
              <w:rPr>
                <w:color w:val="000000"/>
                <w:sz w:val="22"/>
                <w:szCs w:val="22"/>
                <w:lang w:val="en-US"/>
              </w:rPr>
              <w:t>., 2001). Among these there are several examples of fauna endemic to the North MAR with the occurrence of species association</w:t>
            </w:r>
            <w:r>
              <w:rPr>
                <w:color w:val="000000"/>
                <w:sz w:val="22"/>
                <w:szCs w:val="22"/>
                <w:lang w:val="en-US"/>
              </w:rPr>
              <w:t>s</w:t>
            </w:r>
            <w:r w:rsidRPr="009978E3">
              <w:rPr>
                <w:color w:val="000000"/>
                <w:sz w:val="22"/>
                <w:szCs w:val="22"/>
                <w:lang w:val="en-US"/>
              </w:rPr>
              <w:t xml:space="preserve"> and habitats that do not exist elsewhere </w:t>
            </w:r>
            <w:r>
              <w:rPr>
                <w:color w:val="000000"/>
                <w:sz w:val="22"/>
                <w:szCs w:val="22"/>
                <w:lang w:val="en-US"/>
              </w:rPr>
              <w:t xml:space="preserve">else </w:t>
            </w:r>
            <w:r w:rsidRPr="009978E3">
              <w:rPr>
                <w:color w:val="000000"/>
                <w:sz w:val="22"/>
                <w:szCs w:val="22"/>
                <w:lang w:val="en-US"/>
              </w:rPr>
              <w:t xml:space="preserve">in the Atlantic. </w:t>
            </w:r>
          </w:p>
          <w:p w14:paraId="458F7956" w14:textId="584A7E0B" w:rsidR="006B3F46" w:rsidRPr="009978E3" w:rsidRDefault="006B3F46" w:rsidP="002E4B39">
            <w:pPr>
              <w:widowControl w:val="0"/>
              <w:autoSpaceDE w:val="0"/>
              <w:autoSpaceDN w:val="0"/>
              <w:adjustRightInd w:val="0"/>
              <w:spacing w:after="120"/>
              <w:jc w:val="both"/>
              <w:rPr>
                <w:color w:val="000000"/>
                <w:sz w:val="22"/>
                <w:szCs w:val="22"/>
                <w:lang w:val="en-US"/>
              </w:rPr>
            </w:pPr>
            <w:r w:rsidRPr="009978E3">
              <w:rPr>
                <w:color w:val="000000"/>
                <w:sz w:val="22"/>
                <w:szCs w:val="22"/>
                <w:lang w:val="en-US"/>
              </w:rPr>
              <w:t>2-</w:t>
            </w:r>
            <w:r w:rsidRPr="009978E3">
              <w:rPr>
                <w:sz w:val="22"/>
                <w:szCs w:val="22"/>
              </w:rPr>
              <w:t xml:space="preserve"> The faunal assemblage at the Moytirra vent field shows some high-level taxonomic similarities to assemblages at other known Mid-Atlantic Ridge vent fields, but also some differences in assemblage structure. </w:t>
            </w:r>
          </w:p>
        </w:tc>
      </w:tr>
      <w:tr w:rsidR="006B3F46" w:rsidRPr="0021277B" w14:paraId="237D4249" w14:textId="77777777" w:rsidTr="002E4B39">
        <w:tc>
          <w:tcPr>
            <w:tcW w:w="832" w:type="pct"/>
            <w:shd w:val="clear" w:color="auto" w:fill="auto"/>
          </w:tcPr>
          <w:p w14:paraId="16DCFC85" w14:textId="77777777" w:rsidR="006B3F46" w:rsidRPr="009978E3" w:rsidRDefault="006B3F46" w:rsidP="00907941">
            <w:pPr>
              <w:widowControl w:val="0"/>
              <w:autoSpaceDE w:val="0"/>
              <w:autoSpaceDN w:val="0"/>
              <w:adjustRightInd w:val="0"/>
              <w:jc w:val="both"/>
              <w:rPr>
                <w:rFonts w:eastAsia="MS Mincho"/>
                <w:b/>
                <w:color w:val="000000"/>
                <w:sz w:val="22"/>
                <w:szCs w:val="22"/>
                <w:lang w:val="en-US"/>
              </w:rPr>
            </w:pPr>
            <w:r w:rsidRPr="00F66EF7">
              <w:rPr>
                <w:rFonts w:eastAsia="MS Mincho"/>
                <w:b/>
                <w:color w:val="000000"/>
                <w:sz w:val="22"/>
                <w:szCs w:val="22"/>
                <w:lang w:val="en-US"/>
              </w:rPr>
              <w:t>N</w:t>
            </w:r>
            <w:r w:rsidRPr="009978E3">
              <w:rPr>
                <w:rFonts w:eastAsia="MS Mincho"/>
                <w:b/>
                <w:color w:val="000000"/>
                <w:sz w:val="22"/>
                <w:szCs w:val="22"/>
                <w:lang w:val="en-US"/>
              </w:rPr>
              <w:t>aturalness</w:t>
            </w:r>
          </w:p>
        </w:tc>
        <w:tc>
          <w:tcPr>
            <w:tcW w:w="2247" w:type="pct"/>
            <w:gridSpan w:val="2"/>
            <w:shd w:val="clear" w:color="auto" w:fill="auto"/>
          </w:tcPr>
          <w:p w14:paraId="36D02E51" w14:textId="77777777" w:rsidR="006B3F46" w:rsidRPr="009978E3" w:rsidRDefault="006B3F46" w:rsidP="00907941">
            <w:pPr>
              <w:widowControl w:val="0"/>
              <w:autoSpaceDE w:val="0"/>
              <w:autoSpaceDN w:val="0"/>
              <w:adjustRightInd w:val="0"/>
              <w:jc w:val="both"/>
              <w:rPr>
                <w:rFonts w:eastAsia="MS Mincho"/>
                <w:color w:val="000000"/>
                <w:sz w:val="22"/>
                <w:szCs w:val="22"/>
                <w:lang w:val="en-US"/>
              </w:rPr>
            </w:pPr>
            <w:r w:rsidRPr="009978E3">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vAlign w:val="center"/>
          </w:tcPr>
          <w:p w14:paraId="6B8DB583"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453" w:type="pct"/>
            <w:gridSpan w:val="2"/>
            <w:shd w:val="clear" w:color="auto" w:fill="auto"/>
            <w:vAlign w:val="center"/>
          </w:tcPr>
          <w:p w14:paraId="3679457F" w14:textId="77777777" w:rsidR="006B3F46" w:rsidRPr="009978E3" w:rsidRDefault="006B3F46" w:rsidP="00907941">
            <w:pPr>
              <w:widowControl w:val="0"/>
              <w:autoSpaceDE w:val="0"/>
              <w:autoSpaceDN w:val="0"/>
              <w:adjustRightInd w:val="0"/>
              <w:jc w:val="center"/>
              <w:rPr>
                <w:color w:val="000000"/>
                <w:sz w:val="22"/>
                <w:szCs w:val="22"/>
                <w:lang w:val="en-US"/>
              </w:rPr>
            </w:pPr>
          </w:p>
        </w:tc>
        <w:tc>
          <w:tcPr>
            <w:tcW w:w="400" w:type="pct"/>
            <w:gridSpan w:val="2"/>
            <w:shd w:val="clear" w:color="auto" w:fill="auto"/>
            <w:vAlign w:val="center"/>
          </w:tcPr>
          <w:p w14:paraId="656BE9FB" w14:textId="77777777" w:rsidR="006B3F46" w:rsidRPr="009978E3" w:rsidRDefault="006B3F46" w:rsidP="00907941">
            <w:pPr>
              <w:widowControl w:val="0"/>
              <w:autoSpaceDE w:val="0"/>
              <w:autoSpaceDN w:val="0"/>
              <w:adjustRightInd w:val="0"/>
              <w:jc w:val="center"/>
              <w:rPr>
                <w:color w:val="000000"/>
                <w:sz w:val="22"/>
                <w:szCs w:val="22"/>
                <w:lang w:val="en-US"/>
              </w:rPr>
            </w:pPr>
            <w:r w:rsidRPr="009978E3">
              <w:rPr>
                <w:color w:val="000000"/>
                <w:sz w:val="22"/>
                <w:szCs w:val="22"/>
                <w:lang w:val="en-US"/>
              </w:rPr>
              <w:t>X</w:t>
            </w:r>
          </w:p>
        </w:tc>
        <w:tc>
          <w:tcPr>
            <w:tcW w:w="385" w:type="pct"/>
            <w:shd w:val="clear" w:color="auto" w:fill="auto"/>
            <w:vAlign w:val="center"/>
          </w:tcPr>
          <w:p w14:paraId="77FC4202" w14:textId="77777777" w:rsidR="006B3F46" w:rsidRPr="009978E3" w:rsidRDefault="006B3F46" w:rsidP="00907941">
            <w:pPr>
              <w:widowControl w:val="0"/>
              <w:autoSpaceDE w:val="0"/>
              <w:autoSpaceDN w:val="0"/>
              <w:adjustRightInd w:val="0"/>
              <w:jc w:val="center"/>
              <w:rPr>
                <w:color w:val="000000"/>
                <w:sz w:val="22"/>
                <w:szCs w:val="22"/>
                <w:lang w:val="en-US"/>
              </w:rPr>
            </w:pPr>
          </w:p>
        </w:tc>
      </w:tr>
      <w:tr w:rsidR="006B3F46" w:rsidRPr="0021277B" w14:paraId="26FE8B92" w14:textId="77777777" w:rsidTr="00907941">
        <w:tc>
          <w:tcPr>
            <w:tcW w:w="5000" w:type="pct"/>
            <w:gridSpan w:val="11"/>
            <w:shd w:val="clear" w:color="auto" w:fill="auto"/>
          </w:tcPr>
          <w:p w14:paraId="1764B23B" w14:textId="77777777" w:rsidR="006B3F46" w:rsidRPr="009978E3" w:rsidRDefault="006B3F46" w:rsidP="00907941">
            <w:pPr>
              <w:autoSpaceDE w:val="0"/>
              <w:autoSpaceDN w:val="0"/>
              <w:ind w:left="35"/>
              <w:jc w:val="both"/>
              <w:rPr>
                <w:color w:val="000000"/>
                <w:sz w:val="22"/>
                <w:szCs w:val="22"/>
                <w:lang w:val="en-US"/>
              </w:rPr>
            </w:pPr>
            <w:r w:rsidRPr="00F66EF7">
              <w:rPr>
                <w:color w:val="000000"/>
                <w:sz w:val="22"/>
                <w:szCs w:val="22"/>
              </w:rPr>
              <w:t>Naturalness was ranked at medium level as it does not remain totally natural due to fishing activit</w:t>
            </w:r>
            <w:r w:rsidRPr="009978E3">
              <w:rPr>
                <w:color w:val="000000"/>
                <w:sz w:val="22"/>
                <w:szCs w:val="22"/>
              </w:rPr>
              <w:t xml:space="preserve">ies, </w:t>
            </w:r>
            <w:r>
              <w:rPr>
                <w:color w:val="000000"/>
                <w:sz w:val="22"/>
                <w:szCs w:val="22"/>
              </w:rPr>
              <w:t>de</w:t>
            </w:r>
            <w:r w:rsidRPr="009978E3">
              <w:rPr>
                <w:color w:val="000000"/>
                <w:sz w:val="22"/>
                <w:szCs w:val="22"/>
              </w:rPr>
              <w:t>spite a fishing closure banning bottom</w:t>
            </w:r>
            <w:r>
              <w:rPr>
                <w:color w:val="000000"/>
                <w:sz w:val="22"/>
                <w:szCs w:val="22"/>
              </w:rPr>
              <w:t>-</w:t>
            </w:r>
            <w:r w:rsidRPr="009978E3">
              <w:rPr>
                <w:color w:val="000000"/>
                <w:sz w:val="22"/>
                <w:szCs w:val="22"/>
              </w:rPr>
              <w:t>trawl</w:t>
            </w:r>
            <w:r>
              <w:rPr>
                <w:color w:val="000000"/>
                <w:sz w:val="22"/>
                <w:szCs w:val="22"/>
              </w:rPr>
              <w:t>ing</w:t>
            </w:r>
            <w:r w:rsidRPr="009978E3">
              <w:rPr>
                <w:color w:val="000000"/>
                <w:sz w:val="22"/>
                <w:szCs w:val="22"/>
              </w:rPr>
              <w:t xml:space="preserve"> to protect vulnerable marine ecosystems in the Altair</w:t>
            </w:r>
            <w:r>
              <w:rPr>
                <w:color w:val="000000"/>
                <w:sz w:val="22"/>
                <w:szCs w:val="22"/>
              </w:rPr>
              <w:t xml:space="preserve"> and</w:t>
            </w:r>
            <w:r w:rsidRPr="009978E3">
              <w:rPr>
                <w:color w:val="000000"/>
                <w:sz w:val="22"/>
                <w:szCs w:val="22"/>
              </w:rPr>
              <w:t xml:space="preserve"> Antialtair seamounts along the Northern Ridge of the Azores (ICES, 2007).</w:t>
            </w:r>
          </w:p>
          <w:p w14:paraId="0D162E65" w14:textId="77777777" w:rsidR="006B3F46" w:rsidRPr="009978E3" w:rsidRDefault="006B3F46" w:rsidP="00907941">
            <w:pPr>
              <w:autoSpaceDE w:val="0"/>
              <w:autoSpaceDN w:val="0"/>
              <w:ind w:left="35"/>
              <w:jc w:val="both"/>
              <w:rPr>
                <w:color w:val="000000"/>
                <w:sz w:val="22"/>
                <w:szCs w:val="22"/>
              </w:rPr>
            </w:pPr>
            <w:r w:rsidRPr="0006066A">
              <w:rPr>
                <w:i/>
                <w:iCs/>
                <w:color w:val="000000"/>
                <w:sz w:val="22"/>
                <w:szCs w:val="22"/>
              </w:rPr>
              <w:t>et al</w:t>
            </w:r>
            <w:r>
              <w:rPr>
                <w:i/>
                <w:iCs/>
                <w:color w:val="000000"/>
                <w:sz w:val="22"/>
                <w:szCs w:val="22"/>
              </w:rPr>
              <w:t>.</w:t>
            </w:r>
          </w:p>
        </w:tc>
      </w:tr>
    </w:tbl>
    <w:p w14:paraId="0E3D2055" w14:textId="77777777" w:rsidR="006B3F46" w:rsidRPr="00F66EF7" w:rsidRDefault="006B3F46" w:rsidP="00907941">
      <w:pPr>
        <w:jc w:val="both"/>
        <w:rPr>
          <w:rFonts w:eastAsia="MS Mincho"/>
          <w:b/>
          <w:sz w:val="22"/>
          <w:szCs w:val="22"/>
          <w:lang w:val="en-US"/>
        </w:rPr>
      </w:pPr>
    </w:p>
    <w:p w14:paraId="5A0E0A82"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References</w:t>
      </w:r>
    </w:p>
    <w:p w14:paraId="67B60ED1"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Arístegui, J., Mendonça, A., Vilas, J., Espino, M., Polo, I., Montero, M. &amp; Martins, A. (2009) Plankton metabolic balance at two North Atlantic seamounts. Deep-Sea Research Part II: Topical Studies in Oceanography 56(25): 2646–2655.</w:t>
      </w:r>
    </w:p>
    <w:p w14:paraId="4E634FDA"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703A61">
        <w:rPr>
          <w:rFonts w:ascii="Times New Roman" w:hAnsi="Times New Roman" w:cs="Times New Roman"/>
          <w:sz w:val="22"/>
          <w:szCs w:val="22"/>
        </w:rPr>
        <w:t>ATLAS (2018) Deliverable 1.6 Biologically realistic Lagrangian dispersal and connectivity. 62pp</w:t>
      </w:r>
      <w:r>
        <w:rPr>
          <w:rFonts w:ascii="Times New Roman" w:hAnsi="Times New Roman" w:cs="Times New Roman"/>
          <w:sz w:val="22"/>
          <w:szCs w:val="22"/>
        </w:rPr>
        <w:t>.</w:t>
      </w:r>
    </w:p>
    <w:p w14:paraId="52FB3590" w14:textId="77777777" w:rsidR="006B3F46" w:rsidRPr="00F66EF7"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Beazley, L. I., Kenchington, E. L., Murillo, F. J., &amp; Sacau, M. D. M. (2013). Deep-sea sponge grounds enhance diversity and abundance of epibenthic megafauna in the Northwest Atlantic. </w:t>
      </w:r>
      <w:r w:rsidRPr="009978E3">
        <w:rPr>
          <w:rFonts w:ascii="Times New Roman" w:hAnsi="Times New Roman" w:cs="Times New Roman"/>
          <w:i/>
          <w:iCs/>
          <w:sz w:val="22"/>
          <w:szCs w:val="22"/>
        </w:rPr>
        <w:t>ICES Journal of Marine Science</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70</w:t>
      </w:r>
      <w:r w:rsidRPr="009978E3">
        <w:rPr>
          <w:rFonts w:ascii="Times New Roman" w:hAnsi="Times New Roman" w:cs="Times New Roman"/>
          <w:sz w:val="22"/>
          <w:szCs w:val="22"/>
        </w:rPr>
        <w:t xml:space="preserve">(7), 1471-1490. </w:t>
      </w:r>
      <w:hyperlink r:id="rId266" w:history="1">
        <w:r w:rsidRPr="009978E3">
          <w:rPr>
            <w:rStyle w:val="Hyperlink"/>
            <w:rFonts w:ascii="Times New Roman" w:hAnsi="Times New Roman"/>
            <w:sz w:val="22"/>
            <w:szCs w:val="22"/>
          </w:rPr>
          <w:t>https://doi.org/10.1093/icesjms/fst124</w:t>
        </w:r>
      </w:hyperlink>
    </w:p>
    <w:p w14:paraId="0A42A736"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Bell, J. B., Woulds, C., &amp; van Oevelen, D. (2017). Hydrothermal activity, functional diversity and chemoautotrophy are major drivers of seafloor carbon cycling. </w:t>
      </w:r>
      <w:r w:rsidRPr="009978E3">
        <w:rPr>
          <w:rFonts w:ascii="Times New Roman" w:hAnsi="Times New Roman" w:cs="Times New Roman"/>
          <w:i/>
          <w:iCs/>
          <w:sz w:val="22"/>
          <w:szCs w:val="22"/>
        </w:rPr>
        <w:t>Scientific reports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7</w:t>
      </w:r>
      <w:r w:rsidRPr="009978E3">
        <w:rPr>
          <w:rFonts w:ascii="Times New Roman" w:hAnsi="Times New Roman" w:cs="Times New Roman"/>
          <w:sz w:val="22"/>
          <w:szCs w:val="22"/>
        </w:rPr>
        <w:t>(1), 12025. doi: 10.1038/s41598-017-12291-w</w:t>
      </w:r>
    </w:p>
    <w:p w14:paraId="3A158A8D"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Bergstad, O. A., Falkenhaug, T., Astthorsson, O. S., Byrkjedal, I., Gebruk, A. V., Piatkowski, U., Priede I., Santos R., Vecchione M., Lorance P. &amp; Gordon J. (2008). Towards improved understanding of the diversity and abundance patterns of the mid-ocean ridge macro-and megafauna. Deep Sea Research Part II: Topical Studies in Oceanography 55(1): 1-5.</w:t>
      </w:r>
    </w:p>
    <w:p w14:paraId="6771051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Bergstad, O., Gjelsvik, G., Schander, C., &amp; Høines, Å. (2010). Feeding ecology of Coryphaenoides rupestris from the Mid-Atlantic Ridge. PloS one 5(5): e10453.</w:t>
      </w:r>
    </w:p>
    <w:p w14:paraId="75DCE9DE"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Bergstad, O., Menezes, G., Høines, Å., Gordon, J. &amp; Galbraith, J. (2012). Patterns of distribution of deepwater demersal fishes of the North Atlantic mid-ocean ridge, continental slopes, islands and seamounts. Deep Sea Research Part I: Oceanographic Research Papers 61: 74-83.</w:t>
      </w:r>
    </w:p>
    <w:p w14:paraId="3704D16D" w14:textId="77777777" w:rsidR="006B3F46" w:rsidRPr="00F66EF7" w:rsidRDefault="006B3F46" w:rsidP="00907941">
      <w:pPr>
        <w:pStyle w:val="CommentText"/>
        <w:ind w:left="720" w:hanging="720"/>
        <w:rPr>
          <w:szCs w:val="22"/>
        </w:rPr>
      </w:pPr>
      <w:r w:rsidRPr="009978E3">
        <w:rPr>
          <w:szCs w:val="22"/>
        </w:rPr>
        <w:t xml:space="preserve">BirdLife International (2019). The Seabird Tracking Database. </w:t>
      </w:r>
      <w:hyperlink r:id="rId267" w:history="1">
        <w:r w:rsidRPr="009978E3">
          <w:rPr>
            <w:rStyle w:val="Hyperlink"/>
            <w:szCs w:val="22"/>
          </w:rPr>
          <w:t>www.seabirdtracking.org</w:t>
        </w:r>
      </w:hyperlink>
    </w:p>
    <w:p w14:paraId="4EE30C1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Boehlert, G. &amp; Sasaki, T. (1988) Pelagic biogeography of the armourhead, Pseudopentaceros wheeleri, and recruitment to isolated seamounts in the North Pacific Ocean. Fishery Bulletin US 86: 453-465.</w:t>
      </w:r>
    </w:p>
    <w:p w14:paraId="7754228D" w14:textId="77777777" w:rsidR="006B3F46" w:rsidRPr="009978E3" w:rsidRDefault="006B3F46" w:rsidP="00907941">
      <w:pPr>
        <w:ind w:left="720" w:hanging="720"/>
        <w:jc w:val="both"/>
        <w:rPr>
          <w:rFonts w:eastAsia="Calibri"/>
          <w:sz w:val="22"/>
          <w:szCs w:val="22"/>
          <w:lang w:val="pt-PT"/>
        </w:rPr>
      </w:pPr>
      <w:r w:rsidRPr="009978E3">
        <w:rPr>
          <w:rFonts w:eastAsia="Calibri"/>
          <w:sz w:val="22"/>
          <w:szCs w:val="22"/>
          <w:lang w:val="en-US"/>
        </w:rPr>
        <w:t xml:space="preserve">Bower, A., Le Cann, B., Rossby, T., Zenk, W., Gould, J., Speer, K., Richardson, P., Prater, M. &amp; Zhang, H. (2002) Directly measured mid-depth circulation in the northeastern North Atlantic Ocean. </w:t>
      </w:r>
      <w:r w:rsidRPr="009978E3">
        <w:rPr>
          <w:rFonts w:eastAsia="Calibri"/>
          <w:sz w:val="22"/>
          <w:szCs w:val="22"/>
          <w:lang w:val="pt-PT"/>
        </w:rPr>
        <w:t>Nature 419: 603 – 607.</w:t>
      </w:r>
    </w:p>
    <w:p w14:paraId="71BE64A5"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lang w:val="pt-PT"/>
        </w:rPr>
        <w:t xml:space="preserve">Braga-Henriques, A., Porteiro, F. M., Ribeiro, P. A., Matos, V. D., Sampaio, Í., Ocaña, O., &amp; Santos, R. S. (2013). </w:t>
      </w:r>
      <w:r w:rsidRPr="009978E3">
        <w:rPr>
          <w:rFonts w:ascii="Times New Roman" w:hAnsi="Times New Roman" w:cs="Times New Roman"/>
          <w:sz w:val="22"/>
          <w:szCs w:val="22"/>
        </w:rPr>
        <w:t>Diversity, distribution and spatial structure of the cold-water coral fauna of the Azores (NE Atlantic). </w:t>
      </w:r>
      <w:r w:rsidRPr="009978E3">
        <w:rPr>
          <w:rFonts w:ascii="Times New Roman" w:hAnsi="Times New Roman" w:cs="Times New Roman"/>
          <w:i/>
          <w:iCs/>
          <w:sz w:val="22"/>
          <w:szCs w:val="22"/>
        </w:rPr>
        <w:t>Biogeosciences</w:t>
      </w:r>
      <w:r w:rsidRPr="009978E3">
        <w:rPr>
          <w:rFonts w:ascii="Times New Roman" w:hAnsi="Times New Roman" w:cs="Times New Roman"/>
          <w:sz w:val="22"/>
          <w:szCs w:val="22"/>
        </w:rPr>
        <w:t>, </w:t>
      </w:r>
      <w:r w:rsidRPr="009978E3">
        <w:rPr>
          <w:rFonts w:ascii="Times New Roman" w:hAnsi="Times New Roman" w:cs="Times New Roman"/>
          <w:i/>
          <w:iCs/>
          <w:sz w:val="22"/>
          <w:szCs w:val="22"/>
        </w:rPr>
        <w:t>10</w:t>
      </w:r>
      <w:r w:rsidRPr="009978E3">
        <w:rPr>
          <w:rFonts w:ascii="Times New Roman" w:hAnsi="Times New Roman" w:cs="Times New Roman"/>
          <w:sz w:val="22"/>
          <w:szCs w:val="22"/>
        </w:rPr>
        <w:t>(6), 4009-4036.</w:t>
      </w:r>
    </w:p>
    <w:p w14:paraId="3027FDA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Brewin, P., Stocks, K. &amp; Menezes, G. (2007) A History of Seamount Research. Chapter 3. pp 41- 61. In Pitcher, T.J., Morato, T., Hart, P.J.B., Clark, M.R., Haggan, N. and Santos, R.S. (eds) Seamounts: Ecology, Conservation and Management. Fish and Aquatic Resources Series, Blackwell, Oxford, UK.</w:t>
      </w:r>
    </w:p>
    <w:p w14:paraId="093B0FA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Brix, H. &amp; Gerdes, R. (2003) North Atlantic Deep Water and Antarctic Bottom Water: Their interaction and influence on the variability of the global ocean circulation. Journal of Geophysical Research: Oceans 108(C2).</w:t>
      </w:r>
    </w:p>
    <w:p w14:paraId="39D3D8DA"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pt-PT"/>
        </w:rPr>
      </w:pPr>
      <w:r w:rsidRPr="009978E3">
        <w:rPr>
          <w:rFonts w:ascii="Times New Roman" w:hAnsi="Times New Roman" w:cs="Times New Roman"/>
          <w:sz w:val="22"/>
          <w:szCs w:val="22"/>
        </w:rPr>
        <w:t>Buhl</w:t>
      </w:r>
      <w:r w:rsidRPr="0021277B">
        <w:rPr>
          <w:rFonts w:ascii="Cambria Math" w:hAnsi="Cambria Math" w:cs="Cambria Math"/>
          <w:sz w:val="22"/>
          <w:szCs w:val="22"/>
        </w:rPr>
        <w:t>‐</w:t>
      </w:r>
      <w:r w:rsidRPr="00F66EF7">
        <w:rPr>
          <w:rFonts w:ascii="Times New Roman" w:hAnsi="Times New Roman" w:cs="Times New Roman"/>
          <w:sz w:val="22"/>
          <w:szCs w:val="22"/>
        </w:rPr>
        <w:t>Mortensen, L., Vanreuse</w:t>
      </w:r>
      <w:r w:rsidRPr="009978E3">
        <w:rPr>
          <w:rFonts w:ascii="Times New Roman" w:hAnsi="Times New Roman" w:cs="Times New Roman"/>
          <w:sz w:val="22"/>
          <w:szCs w:val="22"/>
        </w:rPr>
        <w:t>l, A., Gooday, A. J., Levin, L. A., Priede, I. G., Buhl</w:t>
      </w:r>
      <w:r w:rsidRPr="0021277B">
        <w:rPr>
          <w:rFonts w:ascii="Cambria Math" w:hAnsi="Cambria Math" w:cs="Cambria Math"/>
          <w:sz w:val="22"/>
          <w:szCs w:val="22"/>
        </w:rPr>
        <w:t>‐</w:t>
      </w:r>
      <w:r w:rsidRPr="00F66EF7">
        <w:rPr>
          <w:rFonts w:ascii="Times New Roman" w:hAnsi="Times New Roman" w:cs="Times New Roman"/>
          <w:sz w:val="22"/>
          <w:szCs w:val="22"/>
        </w:rPr>
        <w:t>Mortensen, P., ... &amp; Raes, M. (2010). Biological structures as a source of habitat heterogeneity an</w:t>
      </w:r>
      <w:r w:rsidRPr="009978E3">
        <w:rPr>
          <w:rFonts w:ascii="Times New Roman" w:hAnsi="Times New Roman" w:cs="Times New Roman"/>
          <w:sz w:val="22"/>
          <w:szCs w:val="22"/>
        </w:rPr>
        <w:t>d biodiversity on the deep ocean margins. </w:t>
      </w:r>
      <w:r w:rsidRPr="009978E3">
        <w:rPr>
          <w:rFonts w:ascii="Times New Roman" w:hAnsi="Times New Roman" w:cs="Times New Roman"/>
          <w:i/>
          <w:iCs/>
          <w:sz w:val="22"/>
          <w:szCs w:val="22"/>
          <w:lang w:val="pt-PT"/>
        </w:rPr>
        <w:t>Marine Ecology</w:t>
      </w:r>
      <w:r w:rsidRPr="009978E3">
        <w:rPr>
          <w:rFonts w:ascii="Times New Roman" w:hAnsi="Times New Roman" w:cs="Times New Roman"/>
          <w:sz w:val="22"/>
          <w:szCs w:val="22"/>
          <w:lang w:val="pt-PT"/>
        </w:rPr>
        <w:t>, </w:t>
      </w:r>
      <w:r w:rsidRPr="009978E3">
        <w:rPr>
          <w:rFonts w:ascii="Times New Roman" w:hAnsi="Times New Roman" w:cs="Times New Roman"/>
          <w:i/>
          <w:iCs/>
          <w:sz w:val="22"/>
          <w:szCs w:val="22"/>
          <w:lang w:val="pt-PT"/>
        </w:rPr>
        <w:t>31</w:t>
      </w:r>
      <w:r w:rsidRPr="009978E3">
        <w:rPr>
          <w:rFonts w:ascii="Times New Roman" w:hAnsi="Times New Roman" w:cs="Times New Roman"/>
          <w:sz w:val="22"/>
          <w:szCs w:val="22"/>
          <w:lang w:val="pt-PT"/>
        </w:rPr>
        <w:t>(1), 21-50.</w:t>
      </w:r>
    </w:p>
    <w:p w14:paraId="0F32E79C"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pt-PT"/>
        </w:rPr>
      </w:pPr>
      <w:r w:rsidRPr="009978E3">
        <w:rPr>
          <w:rFonts w:ascii="Times New Roman" w:hAnsi="Times New Roman" w:cs="Times New Roman"/>
          <w:sz w:val="22"/>
          <w:szCs w:val="22"/>
          <w:lang w:val="pt-PT"/>
        </w:rPr>
        <w:t xml:space="preserve">Carreiro-Silva, M., Braga-Henriques, A., Sampaio, I., Matos, V., Porteiro, F., &amp; Ocaña, O. (2011). </w:t>
      </w:r>
      <w:r w:rsidRPr="009978E3">
        <w:rPr>
          <w:rFonts w:ascii="Times New Roman" w:hAnsi="Times New Roman" w:cs="Times New Roman"/>
          <w:sz w:val="22"/>
          <w:szCs w:val="22"/>
        </w:rPr>
        <w:t xml:space="preserve">Isozoanthus primnoidus, a new zoanthid species (Anthozoa: Hexacorallia) associated with the gorgonian Callogorgia verticillata (Anthozoa: Octocorallia) in the Azores. </w:t>
      </w:r>
      <w:r w:rsidRPr="009978E3">
        <w:rPr>
          <w:rFonts w:ascii="Times New Roman" w:hAnsi="Times New Roman" w:cs="Times New Roman"/>
          <w:i/>
          <w:iCs/>
          <w:sz w:val="22"/>
          <w:szCs w:val="22"/>
          <w:lang w:val="pt-PT"/>
        </w:rPr>
        <w:t>ICES J. Mar. Sci</w:t>
      </w:r>
      <w:r w:rsidRPr="009978E3">
        <w:rPr>
          <w:rFonts w:ascii="Times New Roman" w:hAnsi="Times New Roman" w:cs="Times New Roman"/>
          <w:sz w:val="22"/>
          <w:szCs w:val="22"/>
          <w:lang w:val="pt-PT"/>
        </w:rPr>
        <w:t xml:space="preserve">, </w:t>
      </w:r>
      <w:r w:rsidRPr="009978E3">
        <w:rPr>
          <w:rFonts w:ascii="Times New Roman" w:hAnsi="Times New Roman" w:cs="Times New Roman"/>
          <w:i/>
          <w:iCs/>
          <w:sz w:val="22"/>
          <w:szCs w:val="22"/>
          <w:lang w:val="pt-PT"/>
        </w:rPr>
        <w:t>68</w:t>
      </w:r>
      <w:r w:rsidRPr="009978E3">
        <w:rPr>
          <w:rFonts w:ascii="Times New Roman" w:hAnsi="Times New Roman" w:cs="Times New Roman"/>
          <w:sz w:val="22"/>
          <w:szCs w:val="22"/>
          <w:lang w:val="pt-PT"/>
        </w:rPr>
        <w:t>, 408-415.</w:t>
      </w:r>
    </w:p>
    <w:p w14:paraId="2EEBF8EE"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lang w:val="pt-PT"/>
        </w:rPr>
        <w:t xml:space="preserve">Carreiro-Silva, M., Ocaña, O. V., Stanković, D., Sampaio, I., Porteiro,, F., Fabri M-C., &amp; Stefanni, S. (2017). </w:t>
      </w:r>
      <w:r w:rsidRPr="009978E3">
        <w:rPr>
          <w:rFonts w:ascii="Times New Roman" w:hAnsi="Times New Roman" w:cs="Times New Roman"/>
          <w:sz w:val="22"/>
          <w:szCs w:val="22"/>
        </w:rPr>
        <w:t xml:space="preserve">Zoanthids associated with cold-water corals in the Azores Region: hidden diversity in the deep-sea in the deep-sea. </w:t>
      </w:r>
      <w:r w:rsidRPr="009978E3">
        <w:rPr>
          <w:rFonts w:ascii="Times New Roman" w:hAnsi="Times New Roman" w:cs="Times New Roman"/>
          <w:i/>
          <w:sz w:val="22"/>
          <w:szCs w:val="22"/>
        </w:rPr>
        <w:t>Frontiers in Marine Science</w:t>
      </w:r>
      <w:r w:rsidRPr="009978E3">
        <w:rPr>
          <w:rFonts w:ascii="Times New Roman" w:hAnsi="Times New Roman" w:cs="Times New Roman"/>
          <w:sz w:val="22"/>
          <w:szCs w:val="22"/>
        </w:rPr>
        <w:t>, 4, 88.</w:t>
      </w:r>
    </w:p>
    <w:p w14:paraId="2DB99136"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Cathalot, C. C., Van Oevelen, D., Cox, T. J. S., Kutti, T., Lavaleye, M. S. S., Duineveld, G. C. A., </w:t>
      </w:r>
      <w:r w:rsidRPr="0006066A">
        <w:rPr>
          <w:rFonts w:ascii="Times New Roman" w:hAnsi="Times New Roman" w:cs="Times New Roman"/>
          <w:i/>
          <w:sz w:val="22"/>
          <w:szCs w:val="22"/>
        </w:rPr>
        <w:t>et al</w:t>
      </w:r>
      <w:r w:rsidRPr="009978E3">
        <w:rPr>
          <w:rFonts w:ascii="Times New Roman" w:hAnsi="Times New Roman" w:cs="Times New Roman"/>
          <w:sz w:val="22"/>
          <w:szCs w:val="22"/>
        </w:rPr>
        <w:t>. (2015). Cold-water coral reefs and adjacent sponge grounds: hotspots of benthic respiration and organic carbon cycling in the deep sea. Frontiers in Marine Science 2, 1–12. doi:10.3389/fmars.2015.00037.</w:t>
      </w:r>
    </w:p>
    <w:p w14:paraId="43049AC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Christiansen, B. &amp; Wolff, G. (2009) The oceanography, biogeochemistry and ecology of two NE Atlantic seamounts: The OASIS project. Deep Sea Research Part II: Topical Studies in Oceanography 56(25): 2579-2581.</w:t>
      </w:r>
    </w:p>
    <w:p w14:paraId="22B2E684"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Clark, M. R., Althaus, F., Schlacher, T. A., Williams, A., Bowden, D. A., &amp; Rowden, A. A. (2015). The impacts of deep-sea fisheries on benthic communities: a review. </w:t>
      </w:r>
      <w:r w:rsidRPr="009978E3">
        <w:rPr>
          <w:rFonts w:ascii="Times New Roman" w:hAnsi="Times New Roman" w:cs="Times New Roman"/>
          <w:i/>
          <w:iCs/>
          <w:sz w:val="22"/>
          <w:szCs w:val="22"/>
        </w:rPr>
        <w:t>ICES Journal of Marine Science</w:t>
      </w:r>
      <w:r w:rsidRPr="009978E3">
        <w:rPr>
          <w:rFonts w:ascii="Times New Roman" w:hAnsi="Times New Roman" w:cs="Times New Roman"/>
          <w:sz w:val="22"/>
          <w:szCs w:val="22"/>
        </w:rPr>
        <w:t>, </w:t>
      </w:r>
      <w:r w:rsidRPr="009978E3">
        <w:rPr>
          <w:rFonts w:ascii="Times New Roman" w:hAnsi="Times New Roman" w:cs="Times New Roman"/>
          <w:i/>
          <w:iCs/>
          <w:sz w:val="22"/>
          <w:szCs w:val="22"/>
        </w:rPr>
        <w:t>73</w:t>
      </w:r>
      <w:r w:rsidRPr="009978E3">
        <w:rPr>
          <w:rFonts w:ascii="Times New Roman" w:hAnsi="Times New Roman" w:cs="Times New Roman"/>
          <w:sz w:val="22"/>
          <w:szCs w:val="22"/>
        </w:rPr>
        <w:t>(suppl_1), i51-i69.</w:t>
      </w:r>
    </w:p>
    <w:p w14:paraId="44421318"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Clark, M. R., Bowden, D. A., Rowden, A. A., &amp; Stewart, R. (2019). Little evidence of benthic community resilience to bottom trawling on seamounts after 15 years. </w:t>
      </w:r>
      <w:r w:rsidRPr="009978E3">
        <w:rPr>
          <w:rFonts w:ascii="Times New Roman" w:hAnsi="Times New Roman" w:cs="Times New Roman"/>
          <w:i/>
          <w:iCs/>
          <w:sz w:val="22"/>
          <w:szCs w:val="22"/>
        </w:rPr>
        <w:t>Frontiers in Marine Science</w:t>
      </w:r>
      <w:r w:rsidRPr="009978E3">
        <w:rPr>
          <w:rFonts w:ascii="Times New Roman" w:hAnsi="Times New Roman" w:cs="Times New Roman"/>
          <w:sz w:val="22"/>
          <w:szCs w:val="22"/>
        </w:rPr>
        <w:t>, </w:t>
      </w:r>
      <w:r w:rsidRPr="009978E3">
        <w:rPr>
          <w:rFonts w:ascii="Times New Roman" w:hAnsi="Times New Roman" w:cs="Times New Roman"/>
          <w:i/>
          <w:iCs/>
          <w:sz w:val="22"/>
          <w:szCs w:val="22"/>
        </w:rPr>
        <w:t>6</w:t>
      </w:r>
      <w:r w:rsidRPr="009978E3">
        <w:rPr>
          <w:rFonts w:ascii="Times New Roman" w:hAnsi="Times New Roman" w:cs="Times New Roman"/>
          <w:sz w:val="22"/>
          <w:szCs w:val="22"/>
        </w:rPr>
        <w:t>, 63.</w:t>
      </w:r>
    </w:p>
    <w:p w14:paraId="35E361F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Clark, M., Vinnichenko, V., Gordon, J., Beck-Bulat, G., Kukharev, N. &amp; Kakora, A. (2007) Large-scale distant-water trawl fisheries on seamounts. In: Pitcher, T.J., Morato, T., Hart, P.J.B., Clark, M.R., Haggan, N., Santos, R.S. (Eds.), Seamounts: Ecology, Fisheries &amp; Conservation. Blackwell, Oxford, pp. 361-399.</w:t>
      </w:r>
    </w:p>
    <w:p w14:paraId="6F318622"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rPr>
        <w:t xml:space="preserve">Costello, M. (2001). </w:t>
      </w:r>
      <w:r w:rsidRPr="009978E3">
        <w:rPr>
          <w:rFonts w:ascii="Times New Roman" w:hAnsi="Times New Roman" w:cs="Times New Roman"/>
          <w:i/>
          <w:iCs/>
          <w:sz w:val="22"/>
          <w:szCs w:val="22"/>
        </w:rPr>
        <w:t>European register of marine species: a check-list of the marine species in Europe and a bibliography of guides to their identification</w:t>
      </w:r>
      <w:r w:rsidRPr="009978E3">
        <w:rPr>
          <w:rFonts w:ascii="Times New Roman" w:hAnsi="Times New Roman" w:cs="Times New Roman"/>
          <w:sz w:val="22"/>
          <w:szCs w:val="22"/>
        </w:rPr>
        <w:t xml:space="preserve">. </w:t>
      </w:r>
      <w:r w:rsidRPr="009978E3">
        <w:rPr>
          <w:rFonts w:ascii="Times New Roman" w:hAnsi="Times New Roman" w:cs="Times New Roman"/>
          <w:sz w:val="22"/>
          <w:szCs w:val="22"/>
          <w:lang w:val="en-US"/>
        </w:rPr>
        <w:t>Paris: Muséum national d'histoire naturelle.</w:t>
      </w:r>
    </w:p>
    <w:p w14:paraId="59F3C4E7"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fr-FR"/>
        </w:rPr>
      </w:pPr>
      <w:r w:rsidRPr="009978E3">
        <w:rPr>
          <w:rFonts w:ascii="Times New Roman" w:hAnsi="Times New Roman" w:cs="Times New Roman"/>
          <w:sz w:val="22"/>
          <w:szCs w:val="22"/>
        </w:rPr>
        <w:t>Danke, L. (1987). Some particularities of roundnose grenadier (Coryphaenoides rupestris Gunn.) in the North Mid-Atlantic Ridge region. </w:t>
      </w:r>
      <w:r w:rsidRPr="009978E3">
        <w:rPr>
          <w:rFonts w:ascii="Times New Roman" w:hAnsi="Times New Roman" w:cs="Times New Roman"/>
          <w:i/>
          <w:iCs/>
          <w:sz w:val="22"/>
          <w:szCs w:val="22"/>
          <w:lang w:val="fr-FR"/>
        </w:rPr>
        <w:t>NAFO Scient. Counc. Res. Doc</w:t>
      </w:r>
      <w:r w:rsidRPr="009978E3">
        <w:rPr>
          <w:rFonts w:ascii="Times New Roman" w:hAnsi="Times New Roman" w:cs="Times New Roman"/>
          <w:sz w:val="22"/>
          <w:szCs w:val="22"/>
          <w:lang w:val="fr-FR"/>
        </w:rPr>
        <w:t>, </w:t>
      </w:r>
      <w:r w:rsidRPr="009978E3">
        <w:rPr>
          <w:rFonts w:ascii="Times New Roman" w:hAnsi="Times New Roman" w:cs="Times New Roman"/>
          <w:i/>
          <w:iCs/>
          <w:sz w:val="22"/>
          <w:szCs w:val="22"/>
          <w:lang w:val="fr-FR"/>
        </w:rPr>
        <w:t>87</w:t>
      </w:r>
      <w:r w:rsidRPr="009978E3">
        <w:rPr>
          <w:rFonts w:ascii="Times New Roman" w:hAnsi="Times New Roman" w:cs="Times New Roman"/>
          <w:sz w:val="22"/>
          <w:szCs w:val="22"/>
          <w:lang w:val="fr-FR"/>
        </w:rPr>
        <w:t>(78), 10.</w:t>
      </w:r>
    </w:p>
    <w:p w14:paraId="77D5CA2D"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lang w:val="fr-FR"/>
        </w:rPr>
        <w:t xml:space="preserve">Davies, A. J., &amp; Guinotte, J. M. (2011). </w:t>
      </w:r>
      <w:r w:rsidRPr="009978E3">
        <w:rPr>
          <w:rFonts w:ascii="Times New Roman" w:hAnsi="Times New Roman" w:cs="Times New Roman"/>
          <w:sz w:val="22"/>
          <w:szCs w:val="22"/>
        </w:rPr>
        <w:t>Global habitat suitability for framework-forming cold-water corals. </w:t>
      </w:r>
      <w:r w:rsidRPr="009978E3">
        <w:rPr>
          <w:rFonts w:ascii="Times New Roman" w:hAnsi="Times New Roman" w:cs="Times New Roman"/>
          <w:i/>
          <w:iCs/>
          <w:sz w:val="22"/>
          <w:szCs w:val="22"/>
        </w:rPr>
        <w:t>PloS one</w:t>
      </w:r>
      <w:r w:rsidRPr="009978E3">
        <w:rPr>
          <w:rFonts w:ascii="Times New Roman" w:hAnsi="Times New Roman" w:cs="Times New Roman"/>
          <w:sz w:val="22"/>
          <w:szCs w:val="22"/>
        </w:rPr>
        <w:t>, </w:t>
      </w:r>
      <w:r w:rsidRPr="009978E3">
        <w:rPr>
          <w:rFonts w:ascii="Times New Roman" w:hAnsi="Times New Roman" w:cs="Times New Roman"/>
          <w:i/>
          <w:iCs/>
          <w:sz w:val="22"/>
          <w:szCs w:val="22"/>
        </w:rPr>
        <w:t>6</w:t>
      </w:r>
      <w:r w:rsidRPr="009978E3">
        <w:rPr>
          <w:rFonts w:ascii="Times New Roman" w:hAnsi="Times New Roman" w:cs="Times New Roman"/>
          <w:sz w:val="22"/>
          <w:szCs w:val="22"/>
        </w:rPr>
        <w:t>(4), e18483.</w:t>
      </w:r>
    </w:p>
    <w:p w14:paraId="5FBA0EA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de Forges de, B., Koslow, J. &amp; Poore, G. (2000) Diversity and endemism of the benthic seamount fauna in the south-west Pacific. Nature 405: 944–47.</w:t>
      </w:r>
    </w:p>
    <w:p w14:paraId="7FD091CD"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de Matos V</w:t>
      </w:r>
      <w:r>
        <w:rPr>
          <w:rFonts w:ascii="Times New Roman" w:hAnsi="Times New Roman" w:cs="Times New Roman"/>
          <w:sz w:val="22"/>
          <w:szCs w:val="22"/>
        </w:rPr>
        <w:t>.</w:t>
      </w:r>
      <w:r w:rsidRPr="009978E3">
        <w:rPr>
          <w:rFonts w:ascii="Times New Roman" w:hAnsi="Times New Roman" w:cs="Times New Roman"/>
          <w:sz w:val="22"/>
          <w:szCs w:val="22"/>
        </w:rPr>
        <w:t>, Braga-Henriques A, Santos RS, Ribeiro PA (2014) New species of </w:t>
      </w:r>
      <w:r w:rsidRPr="009978E3">
        <w:rPr>
          <w:rFonts w:ascii="Times New Roman" w:hAnsi="Times New Roman" w:cs="Times New Roman"/>
          <w:i/>
          <w:iCs/>
          <w:sz w:val="22"/>
          <w:szCs w:val="22"/>
        </w:rPr>
        <w:t>Heteropathes</w:t>
      </w:r>
      <w:r w:rsidRPr="009978E3">
        <w:rPr>
          <w:rFonts w:ascii="Times New Roman" w:hAnsi="Times New Roman" w:cs="Times New Roman"/>
          <w:sz w:val="22"/>
          <w:szCs w:val="22"/>
        </w:rPr>
        <w:t> (Anthozoa: Antipatharia) expands genus distribution to the NE Atlantic. Zootaxa 3827:293–300</w:t>
      </w:r>
    </w:p>
    <w:p w14:paraId="7F7658B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Dias, N., Matias, L., Lourenço, N., Madeira, J., Carrilho, F. &amp; Gaspar, J. (2007) Crustal seismic velocity structure near Faial and Pico Islands (AZORES), from local earthquake tomography. Tectonophysics 445(3): 301-317.</w:t>
      </w:r>
    </w:p>
    <w:p w14:paraId="7A36260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Dinter W. (2001) Biogeography of the OSPAR Maritime Area. A synopsis and synthesis of biogeographical distribution patterns described for the North-East Atlantic. Federal Agency for Nature Conservation, Bundesamt für Naturschutz, Bonn. Germany. 167 pp.</w:t>
      </w:r>
    </w:p>
    <w:p w14:paraId="0A5E4B71"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rPr>
        <w:t>Ebert, D. A., &amp; Stehmann, M. F. (2013). </w:t>
      </w:r>
      <w:r w:rsidRPr="009978E3">
        <w:rPr>
          <w:rFonts w:ascii="Times New Roman" w:hAnsi="Times New Roman" w:cs="Times New Roman"/>
          <w:i/>
          <w:iCs/>
          <w:sz w:val="22"/>
          <w:szCs w:val="22"/>
        </w:rPr>
        <w:t>Sharks, batoids and chimaeras of the North Atlantic</w:t>
      </w:r>
      <w:r w:rsidRPr="009978E3">
        <w:rPr>
          <w:rFonts w:ascii="Times New Roman" w:hAnsi="Times New Roman" w:cs="Times New Roman"/>
          <w:sz w:val="22"/>
          <w:szCs w:val="22"/>
        </w:rPr>
        <w:t xml:space="preserve">. </w:t>
      </w:r>
      <w:r w:rsidRPr="009978E3">
        <w:rPr>
          <w:rFonts w:ascii="Times New Roman" w:hAnsi="Times New Roman" w:cs="Times New Roman"/>
          <w:sz w:val="22"/>
          <w:szCs w:val="22"/>
          <w:lang w:val="en-US"/>
        </w:rPr>
        <w:t>FAO, Roma (Italia).</w:t>
      </w:r>
    </w:p>
    <w:p w14:paraId="5E80E0A0"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Edmond, J., Measures, C., McDuff, R., Chan, L., Collier, R. &amp; Grant, B. (1979). Ridge crest hydrothermal activity and the balances of the major and minor elements in the ocean; the Galapagos data. Earth and Planetary Science Letters 46(1): 1-18.</w:t>
      </w:r>
    </w:p>
    <w:p w14:paraId="11364B4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Epp, D. &amp; Smoot, N. (1989) Distribution of seamounts in the North Atlantic. Nature 337: 254-257.</w:t>
      </w:r>
    </w:p>
    <w:p w14:paraId="6AF2542E"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Etnoyer, P. &amp; Warrenchuk, J. (2007) A catshark nursery in a deep gorgonian field in the Mississipi Canyon, Gulf of Mexico. Bulletin of Marine Science 81: 553−559.</w:t>
      </w:r>
    </w:p>
    <w:p w14:paraId="6D9458CD"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Falkowski, P., Barber, R. &amp; Smetacek, V. (1998) Biogeochemical controls and feedbacks on ocean primary production. Science 281: 200 – 206.</w:t>
      </w:r>
    </w:p>
    <w:p w14:paraId="6F1FA67B"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Fallon, S.J., James, K., Norman, R., Kelly, M. &amp; Ellwood, M.J. 2010. A simple radiocarbon dating method for determining the age and growth rate of deep-sea sponges. Nuclear Instruments and Methods in Physics Research, Section B: Beam Interactions with Materials and Atoms. 268(7–8): 1241–1243.</w:t>
      </w:r>
    </w:p>
    <w:p w14:paraId="2C42C02F"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 xml:space="preserve">FAO (2007) State of the World’s Forests 2007. Rome. </w:t>
      </w:r>
      <w:hyperlink r:id="rId268" w:history="1">
        <w:r w:rsidRPr="009978E3">
          <w:rPr>
            <w:rStyle w:val="Hyperlink"/>
            <w:rFonts w:eastAsia="Calibri"/>
            <w:sz w:val="22"/>
            <w:szCs w:val="22"/>
            <w:lang w:val="en-US"/>
          </w:rPr>
          <w:t>www.fao.org/docrep/009/a0773e/a0773e00.htm</w:t>
        </w:r>
      </w:hyperlink>
      <w:r w:rsidRPr="00F66EF7">
        <w:rPr>
          <w:rFonts w:eastAsia="Calibri"/>
          <w:sz w:val="22"/>
          <w:szCs w:val="22"/>
          <w:lang w:val="en-US"/>
        </w:rPr>
        <w:t>.</w:t>
      </w:r>
    </w:p>
    <w:p w14:paraId="17D39C86"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rPr>
        <w:t xml:space="preserve">FAO, 2009. Report of the Technical Consultation on International Guidelines for the Management of Deep-sea Fisheries in the High Seas, Rome. 4–8 February and 25–29 August 2008, FAO Fisheries and Aquaculture Report, 881. </w:t>
      </w:r>
      <w:r w:rsidRPr="009978E3">
        <w:rPr>
          <w:rFonts w:ascii="Times New Roman" w:hAnsi="Times New Roman" w:cs="Times New Roman"/>
          <w:sz w:val="22"/>
          <w:szCs w:val="22"/>
          <w:lang w:val="en-US"/>
        </w:rPr>
        <w:t>86 pp.</w:t>
      </w:r>
    </w:p>
    <w:p w14:paraId="2C28852A"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Fossen, I., Cotton, C. F., Bergstad, O. A., &amp; Dyb, J. E. (2008). Species composition and distribution patterns of fishes captured by longlines on the Mid-Atlantic Ridge. </w:t>
      </w:r>
      <w:r w:rsidRPr="009978E3">
        <w:rPr>
          <w:rFonts w:ascii="Times New Roman" w:hAnsi="Times New Roman" w:cs="Times New Roman"/>
          <w:i/>
          <w:iCs/>
          <w:sz w:val="22"/>
          <w:szCs w:val="22"/>
        </w:rPr>
        <w:t>Deep Sea Research Part II: Topical Studies in Oceanography</w:t>
      </w:r>
      <w:r w:rsidRPr="009978E3">
        <w:rPr>
          <w:rFonts w:ascii="Times New Roman" w:hAnsi="Times New Roman" w:cs="Times New Roman"/>
          <w:sz w:val="22"/>
          <w:szCs w:val="22"/>
        </w:rPr>
        <w:t>, </w:t>
      </w:r>
      <w:r w:rsidRPr="009978E3">
        <w:rPr>
          <w:rFonts w:ascii="Times New Roman" w:hAnsi="Times New Roman" w:cs="Times New Roman"/>
          <w:i/>
          <w:iCs/>
          <w:sz w:val="22"/>
          <w:szCs w:val="22"/>
        </w:rPr>
        <w:t>55</w:t>
      </w:r>
      <w:r w:rsidRPr="009978E3">
        <w:rPr>
          <w:rFonts w:ascii="Times New Roman" w:hAnsi="Times New Roman" w:cs="Times New Roman"/>
          <w:sz w:val="22"/>
          <w:szCs w:val="22"/>
        </w:rPr>
        <w:t>(1-2), 203-217.</w:t>
      </w:r>
    </w:p>
    <w:p w14:paraId="298976D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Freese, J. (2001) Trawl-induced damage to sponges observed from a research submersible. Marine Fisheries Review 63: 38–42.</w:t>
      </w:r>
    </w:p>
    <w:p w14:paraId="19A12D77"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Freese, L., Auster, P., Heifetz, J. &amp; Wing, B. (1999) Effects of trawling on seafloor habitat and associated invertebrate taxa in the Gulf of Alaska. Marine Ecology Progress Series 182: 119 –126.</w:t>
      </w:r>
    </w:p>
    <w:p w14:paraId="5759DE6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Garrison, T. 2005. Oceanography: An Invitation to Marine Science. 5thed. Belmont, California: Brooks/Cole-Thomson Learning. 522 pp.</w:t>
      </w:r>
    </w:p>
    <w:p w14:paraId="2DB6341E"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Gebruk, A., Budaeva, N. &amp; King, N. (2010) Bathyal benthic fauna of the Mid-Atlantic Ridge between the Azores and the Reykjanes Ridge. Journal of the Marine Biological Association of the United Kingdom 90(01): 1-14.</w:t>
      </w:r>
    </w:p>
    <w:p w14:paraId="41FA31CC"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pt-PT"/>
        </w:rPr>
      </w:pPr>
      <w:r w:rsidRPr="009978E3">
        <w:rPr>
          <w:rFonts w:ascii="Times New Roman" w:hAnsi="Times New Roman" w:cs="Times New Roman"/>
          <w:sz w:val="22"/>
          <w:szCs w:val="22"/>
          <w:lang w:val="fr-CA"/>
        </w:rPr>
        <w:t xml:space="preserve">Girard, F., Lacharité, M., &amp; Metaxas, A. (2016). </w:t>
      </w:r>
      <w:r w:rsidRPr="009978E3">
        <w:rPr>
          <w:rFonts w:ascii="Times New Roman" w:hAnsi="Times New Roman" w:cs="Times New Roman"/>
          <w:sz w:val="22"/>
          <w:szCs w:val="22"/>
        </w:rPr>
        <w:t>Colonization of benthic invertebrates in a submarine canyon in the NW Atlantic. </w:t>
      </w:r>
      <w:r w:rsidRPr="009978E3">
        <w:rPr>
          <w:rFonts w:ascii="Times New Roman" w:hAnsi="Times New Roman" w:cs="Times New Roman"/>
          <w:i/>
          <w:iCs/>
          <w:sz w:val="22"/>
          <w:szCs w:val="22"/>
          <w:lang w:val="pt-PT"/>
        </w:rPr>
        <w:t>Marine Ecology Progress Series</w:t>
      </w:r>
      <w:r w:rsidRPr="009978E3">
        <w:rPr>
          <w:rFonts w:ascii="Times New Roman" w:hAnsi="Times New Roman" w:cs="Times New Roman"/>
          <w:sz w:val="22"/>
          <w:szCs w:val="22"/>
          <w:lang w:val="pt-PT"/>
        </w:rPr>
        <w:t>, </w:t>
      </w:r>
      <w:r w:rsidRPr="009978E3">
        <w:rPr>
          <w:rFonts w:ascii="Times New Roman" w:hAnsi="Times New Roman" w:cs="Times New Roman"/>
          <w:i/>
          <w:iCs/>
          <w:sz w:val="22"/>
          <w:szCs w:val="22"/>
          <w:lang w:val="pt-PT"/>
        </w:rPr>
        <w:t>544</w:t>
      </w:r>
      <w:r w:rsidRPr="009978E3">
        <w:rPr>
          <w:rFonts w:ascii="Times New Roman" w:hAnsi="Times New Roman" w:cs="Times New Roman"/>
          <w:sz w:val="22"/>
          <w:szCs w:val="22"/>
          <w:lang w:val="pt-PT"/>
        </w:rPr>
        <w:t>, 53-64.</w:t>
      </w:r>
    </w:p>
    <w:p w14:paraId="36554337"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lang w:val="pt-PT"/>
        </w:rPr>
        <w:t xml:space="preserve">Gomes-Pereira, J. N., Carmo, V., Catarino, D., Jakobsen, J., Alvarez, H., Aguilar, R., ... </w:t>
      </w:r>
      <w:r w:rsidRPr="009978E3">
        <w:rPr>
          <w:rFonts w:ascii="Times New Roman" w:hAnsi="Times New Roman" w:cs="Times New Roman"/>
          <w:sz w:val="22"/>
          <w:szCs w:val="22"/>
        </w:rPr>
        <w:t xml:space="preserve">&amp; Colaço, A. (2017). Cold-water corals and large hydrozoans provide essential fish habitat for Lappanella fasciata and Benthocometes robustus. </w:t>
      </w:r>
      <w:r w:rsidRPr="009978E3">
        <w:rPr>
          <w:rFonts w:ascii="Times New Roman" w:hAnsi="Times New Roman" w:cs="Times New Roman"/>
          <w:i/>
          <w:iCs/>
          <w:sz w:val="22"/>
          <w:szCs w:val="22"/>
        </w:rPr>
        <w:t>Deep Sea Research Part II: Topical Studies in Oceanography</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145</w:t>
      </w:r>
      <w:r w:rsidRPr="009978E3">
        <w:rPr>
          <w:rFonts w:ascii="Times New Roman" w:hAnsi="Times New Roman" w:cs="Times New Roman"/>
          <w:sz w:val="22"/>
          <w:szCs w:val="22"/>
        </w:rPr>
        <w:t>, 33-48.</w:t>
      </w:r>
    </w:p>
    <w:p w14:paraId="0000623C"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Gubbay, S. (2003) Seamounts of the North-East Atlantic. WWF Germany, Frankfurtam Main, Germany.</w:t>
      </w:r>
    </w:p>
    <w:p w14:paraId="29C555B0"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Hareide, N. &amp; Garnes, G. (2001) The distribution and catch rates of deep water fish along the Mid-Atlantic Ridge from 43 to 61 N. Fisheries research 51(2): 297-310.</w:t>
      </w:r>
    </w:p>
    <w:p w14:paraId="12751C21"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Harvey, J., &amp; Arhan, M. (1988) The water masses of the central North Atlantic in 1983-84. Journal of Physical Oceanography 18(12): 1855-1875.</w:t>
      </w:r>
    </w:p>
    <w:p w14:paraId="31C4E16D"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Heger, A., Ieno, E., King, N., Morris, K., Bagley, P. &amp; Priede, I. (2008). Deep-sea pelagic bioluminescence over the Mid-Atlantic Ridge. Deep Sea Research Part II: Topical Studies in Oceanography 55(1): 126-136.</w:t>
      </w:r>
    </w:p>
    <w:p w14:paraId="6908D85B"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Henry, L. A., Navas, J. M., Hennige, S. J., Wicks, L. C., Vad, J., &amp; Roberts, J. M. (2013). Cold-water coral reef habitats benefit recreationally valuable sharks. </w:t>
      </w:r>
      <w:r w:rsidRPr="009978E3">
        <w:rPr>
          <w:rFonts w:ascii="Times New Roman" w:hAnsi="Times New Roman" w:cs="Times New Roman"/>
          <w:i/>
          <w:iCs/>
          <w:sz w:val="22"/>
          <w:szCs w:val="22"/>
        </w:rPr>
        <w:t>Biological Conservation</w:t>
      </w:r>
      <w:r w:rsidRPr="009978E3">
        <w:rPr>
          <w:rFonts w:ascii="Times New Roman" w:hAnsi="Times New Roman" w:cs="Times New Roman"/>
          <w:sz w:val="22"/>
          <w:szCs w:val="22"/>
        </w:rPr>
        <w:t>, </w:t>
      </w:r>
      <w:r w:rsidRPr="009978E3">
        <w:rPr>
          <w:rFonts w:ascii="Times New Roman" w:hAnsi="Times New Roman" w:cs="Times New Roman"/>
          <w:i/>
          <w:iCs/>
          <w:sz w:val="22"/>
          <w:szCs w:val="22"/>
        </w:rPr>
        <w:t>161</w:t>
      </w:r>
      <w:r w:rsidRPr="009978E3">
        <w:rPr>
          <w:rFonts w:ascii="Times New Roman" w:hAnsi="Times New Roman" w:cs="Times New Roman"/>
          <w:sz w:val="22"/>
          <w:szCs w:val="22"/>
        </w:rPr>
        <w:t>, 67-70.</w:t>
      </w:r>
    </w:p>
    <w:p w14:paraId="1360F906"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Henry, L., Vad, J., Findlay, H., Murillo, J., Milligan, R. &amp; Roberts, J. (2014). Environmental variability and biodiversity of megabenthos on the Hebrides Terrace Seamount (Northeast Atlantic). Scientific reports 4: 5589.</w:t>
      </w:r>
    </w:p>
    <w:p w14:paraId="0A3E061E"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 xml:space="preserve">Hilário, A., Metaxas, A., Gaudron, S.M., Howell, K.L, Mercier, A., Mestre, N.C., Ross, R.E., Thurnherr, A.M. &amp; Young, C.Y. (2015). Estimating Dispersal Distance in the Deep Sea: Challenges and Applications to Marine Reserves. </w:t>
      </w:r>
      <w:r w:rsidRPr="009978E3">
        <w:rPr>
          <w:rFonts w:ascii="Times New Roman" w:hAnsi="Times New Roman" w:cs="Times New Roman"/>
          <w:i/>
          <w:sz w:val="22"/>
          <w:szCs w:val="22"/>
          <w:lang w:val="en-US"/>
        </w:rPr>
        <w:t>Frontiers in Marine Science</w:t>
      </w:r>
      <w:r w:rsidRPr="009978E3">
        <w:rPr>
          <w:rFonts w:ascii="Times New Roman" w:hAnsi="Times New Roman" w:cs="Times New Roman"/>
          <w:sz w:val="22"/>
          <w:szCs w:val="22"/>
          <w:lang w:val="en-US"/>
        </w:rPr>
        <w:t xml:space="preserve"> 2. https://doi.org/10.3389/fmars.2015.00006.</w:t>
      </w:r>
    </w:p>
    <w:p w14:paraId="087D637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Hoagland, P., Beaulieu, S., Tivey, M., Eggert, R., German, C., Glowka, L. &amp; Lin, J. (2010) Deep-sea mining of seafloor massive sulfides. Marine Policy 34(3): 728-732.</w:t>
      </w:r>
    </w:p>
    <w:p w14:paraId="4D5CEF3E"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ICES (2005) Report of the Working Group on Deep-water Ecology (WGDEC), 8-11 March 2005, ICES Headquarters, Copenhagen. ICES CM 2005/ACE:02. 76 pp.</w:t>
      </w:r>
    </w:p>
    <w:p w14:paraId="01530DC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ICES (2007) Report of the Working Group on Deep-water Ecology (WGDEC), 26-28 February 2007, . ICES CM 2007/ACE:01 Ref. LRC. 61 pp.</w:t>
      </w:r>
    </w:p>
    <w:p w14:paraId="6A43F5C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ICES (2008) Report of the Workshop on Methods to Evaluate and Estimate the Accuracy of Fisheries Data used for Assessment (WKACCU), 27–30 October 2008, Bergen, Norway. ICES CM 2008\ACOM:32. 41 pp.</w:t>
      </w:r>
    </w:p>
    <w:p w14:paraId="4C391B34" w14:textId="77777777" w:rsidR="006B3F46" w:rsidRPr="009978E3" w:rsidRDefault="006B3F46" w:rsidP="00907941">
      <w:pPr>
        <w:ind w:left="720" w:hanging="720"/>
        <w:jc w:val="both"/>
        <w:rPr>
          <w:rFonts w:eastAsia="Calibri"/>
          <w:sz w:val="22"/>
          <w:szCs w:val="22"/>
          <w:lang w:val="fr-FR"/>
        </w:rPr>
      </w:pPr>
      <w:r w:rsidRPr="009978E3">
        <w:rPr>
          <w:rFonts w:eastAsia="Calibri"/>
          <w:sz w:val="22"/>
          <w:szCs w:val="22"/>
          <w:lang w:val="en-US"/>
        </w:rPr>
        <w:t xml:space="preserve">IUCN (2011) IUCN Red List of Threatened Species. </w:t>
      </w:r>
      <w:r w:rsidRPr="009978E3">
        <w:rPr>
          <w:rFonts w:eastAsia="Calibri"/>
          <w:sz w:val="22"/>
          <w:szCs w:val="22"/>
          <w:lang w:val="fr-FR"/>
        </w:rPr>
        <w:t>Version 2011.2. Available: http://www.iucnredlist.org.</w:t>
      </w:r>
    </w:p>
    <w:p w14:paraId="45D57082"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Koslow, J. (1996) Energetic and life-history patterns of deep-sea benthic, benthopelagic and seamount associated fish. Journal of Fish Biology 49(Suppl A): 54–74.</w:t>
      </w:r>
    </w:p>
    <w:p w14:paraId="284A042B"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Koslow, J. (1997) Seamounts and the ecology of deep-sea fisheries. Americam Scientist 85: 168-176.</w:t>
      </w:r>
    </w:p>
    <w:p w14:paraId="3A8EB066"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Krautter, M., Conway, K. W., Barrie, J. V., &amp; Neuweiler, M. (2001). Discovery of a “living dinosaur”: globally unique modern hexactinellid sponge reefs off British Columbia, Canada. </w:t>
      </w:r>
      <w:r w:rsidRPr="009978E3">
        <w:rPr>
          <w:rFonts w:ascii="Times New Roman" w:hAnsi="Times New Roman" w:cs="Times New Roman"/>
          <w:i/>
          <w:iCs/>
          <w:sz w:val="22"/>
          <w:szCs w:val="22"/>
        </w:rPr>
        <w:t>Facies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44</w:t>
      </w:r>
      <w:r w:rsidRPr="009978E3">
        <w:rPr>
          <w:rFonts w:ascii="Times New Roman" w:hAnsi="Times New Roman" w:cs="Times New Roman"/>
          <w:sz w:val="22"/>
          <w:szCs w:val="22"/>
        </w:rPr>
        <w:t>(1), 265-282.</w:t>
      </w:r>
    </w:p>
    <w:p w14:paraId="0F121D89"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Kukuev, E. I. (2006). The second capture of a rare shark Scymnodalatias garricki (Dalatiidae) on a rise of the South Azores Complex and additional data on the distribution of S. albicauda. </w:t>
      </w:r>
      <w:r w:rsidRPr="009978E3">
        <w:rPr>
          <w:rFonts w:ascii="Times New Roman" w:hAnsi="Times New Roman" w:cs="Times New Roman"/>
          <w:i/>
          <w:iCs/>
          <w:sz w:val="22"/>
          <w:szCs w:val="22"/>
        </w:rPr>
        <w:t>Journal of Ichthyology</w:t>
      </w:r>
      <w:r w:rsidRPr="009978E3">
        <w:rPr>
          <w:rFonts w:ascii="Times New Roman" w:hAnsi="Times New Roman" w:cs="Times New Roman"/>
          <w:sz w:val="22"/>
          <w:szCs w:val="22"/>
        </w:rPr>
        <w:t>, </w:t>
      </w:r>
      <w:r w:rsidRPr="009978E3">
        <w:rPr>
          <w:rFonts w:ascii="Times New Roman" w:hAnsi="Times New Roman" w:cs="Times New Roman"/>
          <w:i/>
          <w:iCs/>
          <w:sz w:val="22"/>
          <w:szCs w:val="22"/>
        </w:rPr>
        <w:t>46</w:t>
      </w:r>
      <w:r w:rsidRPr="009978E3">
        <w:rPr>
          <w:rFonts w:ascii="Times New Roman" w:hAnsi="Times New Roman" w:cs="Times New Roman"/>
          <w:sz w:val="22"/>
          <w:szCs w:val="22"/>
        </w:rPr>
        <w:t>(9), 811-814.</w:t>
      </w:r>
    </w:p>
    <w:p w14:paraId="4503DA80"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Kukuev, E. I., &amp; Pavlov, V. P. (2008). The first case of mass catch of a rare frill shark Chlamydoselachus anguineus over a seamount of the Mid-Atlantic Ridge. </w:t>
      </w:r>
      <w:r w:rsidRPr="009978E3">
        <w:rPr>
          <w:rFonts w:ascii="Times New Roman" w:hAnsi="Times New Roman" w:cs="Times New Roman"/>
          <w:i/>
          <w:iCs/>
          <w:sz w:val="22"/>
          <w:szCs w:val="22"/>
        </w:rPr>
        <w:t>Journal of Ichthyology</w:t>
      </w:r>
      <w:r w:rsidRPr="009978E3">
        <w:rPr>
          <w:rFonts w:ascii="Times New Roman" w:hAnsi="Times New Roman" w:cs="Times New Roman"/>
          <w:sz w:val="22"/>
          <w:szCs w:val="22"/>
        </w:rPr>
        <w:t>, </w:t>
      </w:r>
      <w:r w:rsidRPr="009978E3">
        <w:rPr>
          <w:rFonts w:ascii="Times New Roman" w:hAnsi="Times New Roman" w:cs="Times New Roman"/>
          <w:i/>
          <w:iCs/>
          <w:sz w:val="22"/>
          <w:szCs w:val="22"/>
        </w:rPr>
        <w:t>48</w:t>
      </w:r>
      <w:r w:rsidRPr="009978E3">
        <w:rPr>
          <w:rFonts w:ascii="Times New Roman" w:hAnsi="Times New Roman" w:cs="Times New Roman"/>
          <w:sz w:val="22"/>
          <w:szCs w:val="22"/>
        </w:rPr>
        <w:t>(8), 676-678.</w:t>
      </w:r>
    </w:p>
    <w:p w14:paraId="3FE23026"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Kukuyev, E. I. (1988). Two new species of sharks of the genus Scymnodalatias (Dalatiidae) from the North Atlantic and southeastern Pacific oceans. </w:t>
      </w:r>
      <w:r w:rsidRPr="009978E3">
        <w:rPr>
          <w:rFonts w:ascii="Times New Roman" w:hAnsi="Times New Roman" w:cs="Times New Roman"/>
          <w:i/>
          <w:iCs/>
          <w:sz w:val="22"/>
          <w:szCs w:val="22"/>
        </w:rPr>
        <w:t>Voprosy ikhtiologii</w:t>
      </w:r>
      <w:r w:rsidRPr="009978E3">
        <w:rPr>
          <w:rFonts w:ascii="Times New Roman" w:hAnsi="Times New Roman" w:cs="Times New Roman"/>
          <w:sz w:val="22"/>
          <w:szCs w:val="22"/>
        </w:rPr>
        <w:t>, </w:t>
      </w:r>
      <w:r w:rsidRPr="009978E3">
        <w:rPr>
          <w:rFonts w:ascii="Times New Roman" w:hAnsi="Times New Roman" w:cs="Times New Roman"/>
          <w:i/>
          <w:iCs/>
          <w:sz w:val="22"/>
          <w:szCs w:val="22"/>
        </w:rPr>
        <w:t>2</w:t>
      </w:r>
      <w:r w:rsidRPr="009978E3">
        <w:rPr>
          <w:rFonts w:ascii="Times New Roman" w:hAnsi="Times New Roman" w:cs="Times New Roman"/>
          <w:sz w:val="22"/>
          <w:szCs w:val="22"/>
        </w:rPr>
        <w:t>, 315-319.</w:t>
      </w:r>
    </w:p>
    <w:p w14:paraId="635DFEDD"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Kunze, E. &amp; Llewellyn Smith, S. (2004) The role of small-scale topography in turbulent mixing of the global ocean. Oceanography 17(1): 55–64.</w:t>
      </w:r>
    </w:p>
    <w:p w14:paraId="2807550E"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Kyne, P. M., &amp; Simpfendorfer, C. A. (2007). A collation and summarization of available data on deepwater Chondrichthyans: biodiversity, life history and fisheries. IUCN Shark Specialist Group. </w:t>
      </w:r>
      <w:r w:rsidRPr="009978E3">
        <w:rPr>
          <w:rFonts w:ascii="Times New Roman" w:hAnsi="Times New Roman" w:cs="Times New Roman"/>
          <w:i/>
          <w:iCs/>
          <w:sz w:val="22"/>
          <w:szCs w:val="22"/>
        </w:rPr>
        <w:t>Available at ht tp://www. flmnh. ufl. edu/fish/organizations/ssg/deepchondreport. pdf</w:t>
      </w:r>
      <w:r w:rsidRPr="009978E3">
        <w:rPr>
          <w:rFonts w:ascii="Times New Roman" w:hAnsi="Times New Roman" w:cs="Times New Roman"/>
          <w:sz w:val="22"/>
          <w:szCs w:val="22"/>
        </w:rPr>
        <w:t>.</w:t>
      </w:r>
    </w:p>
    <w:p w14:paraId="3C56BBB9"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lang w:val="pt-PT"/>
        </w:rPr>
        <w:t xml:space="preserve">Levin, L. A., Baco, A. R., Bowden, D. A., Colaco, A., Cordes, E. E., Cunha, M. R., ... </w:t>
      </w:r>
      <w:r w:rsidRPr="009978E3">
        <w:rPr>
          <w:rFonts w:ascii="Times New Roman" w:hAnsi="Times New Roman" w:cs="Times New Roman"/>
          <w:sz w:val="22"/>
          <w:szCs w:val="22"/>
        </w:rPr>
        <w:t xml:space="preserve">&amp; Metaxas, A. (2016). Hydrothermal vents and methane seeps: rethinking the sphere of influence. </w:t>
      </w:r>
      <w:r w:rsidRPr="009978E3">
        <w:rPr>
          <w:rFonts w:ascii="Times New Roman" w:hAnsi="Times New Roman" w:cs="Times New Roman"/>
          <w:i/>
          <w:iCs/>
          <w:sz w:val="22"/>
          <w:szCs w:val="22"/>
        </w:rPr>
        <w:t>Frontiers in Marine Science</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3</w:t>
      </w:r>
      <w:r w:rsidRPr="009978E3">
        <w:rPr>
          <w:rFonts w:ascii="Times New Roman" w:hAnsi="Times New Roman" w:cs="Times New Roman"/>
          <w:sz w:val="22"/>
          <w:szCs w:val="22"/>
        </w:rPr>
        <w:t>, 72. doi: 10.3389/fmars.2016.00072</w:t>
      </w:r>
    </w:p>
    <w:p w14:paraId="666C868A"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Leys, S. P., &amp; Lauzon, N. R. (1998). Hexactinellid sponge ecology: growth rates and seasonality in deep water sponges. </w:t>
      </w:r>
      <w:r w:rsidRPr="009978E3">
        <w:rPr>
          <w:rFonts w:ascii="Times New Roman" w:hAnsi="Times New Roman" w:cs="Times New Roman"/>
          <w:i/>
          <w:iCs/>
          <w:sz w:val="22"/>
          <w:szCs w:val="22"/>
        </w:rPr>
        <w:t>Journal of Experimental Marine Biology and Ecology</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230</w:t>
      </w:r>
      <w:r w:rsidRPr="009978E3">
        <w:rPr>
          <w:rFonts w:ascii="Times New Roman" w:hAnsi="Times New Roman" w:cs="Times New Roman"/>
          <w:sz w:val="22"/>
          <w:szCs w:val="22"/>
        </w:rPr>
        <w:t>(1), 111-129.</w:t>
      </w:r>
    </w:p>
    <w:p w14:paraId="6C725045"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rPr>
        <w:t xml:space="preserve">Lopes, D. A., &amp; Tabachnick, K. R. (2013). New data on glass sponges (Porifera, Hexactinellida) of the northern Mid-Atlantic Ridge. </w:t>
      </w:r>
      <w:r w:rsidRPr="009978E3">
        <w:rPr>
          <w:rFonts w:ascii="Times New Roman" w:hAnsi="Times New Roman" w:cs="Times New Roman"/>
          <w:sz w:val="22"/>
          <w:szCs w:val="22"/>
          <w:lang w:val="en-US"/>
        </w:rPr>
        <w:t>Part 1. Farreidae. </w:t>
      </w:r>
      <w:r w:rsidRPr="009978E3">
        <w:rPr>
          <w:rFonts w:ascii="Times New Roman" w:hAnsi="Times New Roman" w:cs="Times New Roman"/>
          <w:i/>
          <w:iCs/>
          <w:sz w:val="22"/>
          <w:szCs w:val="22"/>
          <w:lang w:val="en-US"/>
        </w:rPr>
        <w:t>Marine Biology Research</w:t>
      </w:r>
      <w:r w:rsidRPr="009978E3">
        <w:rPr>
          <w:rFonts w:ascii="Times New Roman" w:hAnsi="Times New Roman" w:cs="Times New Roman"/>
          <w:sz w:val="22"/>
          <w:szCs w:val="22"/>
          <w:lang w:val="en-US"/>
        </w:rPr>
        <w:t>, </w:t>
      </w:r>
      <w:r w:rsidRPr="009978E3">
        <w:rPr>
          <w:rFonts w:ascii="Times New Roman" w:hAnsi="Times New Roman" w:cs="Times New Roman"/>
          <w:i/>
          <w:iCs/>
          <w:sz w:val="22"/>
          <w:szCs w:val="22"/>
          <w:lang w:val="en-US"/>
        </w:rPr>
        <w:t>9</w:t>
      </w:r>
      <w:r w:rsidRPr="009978E3">
        <w:rPr>
          <w:rFonts w:ascii="Times New Roman" w:hAnsi="Times New Roman" w:cs="Times New Roman"/>
          <w:sz w:val="22"/>
          <w:szCs w:val="22"/>
          <w:lang w:val="en-US"/>
        </w:rPr>
        <w:t>(5-6), 462-468.</w:t>
      </w:r>
    </w:p>
    <w:p w14:paraId="787E55BB"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Machín, F., Pelegrí, J., Emelianov, M., Isern-Fontanet, J., White, M., Bashmachnikov, I. &amp; Mohn, C. (2009) Mass and nutrient fluxes around Sedlo Seamount. Deep Sea Research Part II: Topical Studies in Oceanography 56(25): 2606-2617.</w:t>
      </w:r>
    </w:p>
    <w:p w14:paraId="21ABF21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Magalhães, M., Santos, R. &amp; Hamer, K. (2008) Dual-foraging of Cory’s shearwaters in the Azores: feeding locations, behaviour at sea and implications for food provisioning of chicks. Marine Ecology Progress Series 359: 283-293.</w:t>
      </w:r>
    </w:p>
    <w:p w14:paraId="5C72A89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Matthews, D., Laughton, A., Pugh, D., Sunderland, J., Taliin, M., &amp; Bacon, M. (1969). Crustal Structure and Origin of Peake and Freen Deeps, NE Atlantic. Geophysical Journal of the Royal Astronomical Society 18: 517–542.</w:t>
      </w:r>
    </w:p>
    <w:p w14:paraId="35BA224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McCartney, M. (1992) Recirculating components to the deep boundary current of the northern North Atlantic. Progress in Oceanography 29(4): 283-383.</w:t>
      </w:r>
    </w:p>
    <w:p w14:paraId="40C13EC7"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Melo, O. &amp; Menezes, G. (2002) Exploratory fishing of the orange roughy (Hoplostethus atlanticus) in some seamounts of the Azores archipelago. ICES CM 2002/M:26.</w:t>
      </w:r>
    </w:p>
    <w:p w14:paraId="50923B5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Menezes G., Rosa, A., Melo, O. &amp; Pinho M. (2009) Demersal fish assemblages off the Seine and Sedlo seamounts (northeast Atlantic). Deep sea research II 56: 2683–2704.</w:t>
      </w:r>
    </w:p>
    <w:p w14:paraId="14FBA41F"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Menezes, G., Rosa, A., Melo, O. &amp; Porteiro, F. (2012) Annotated list of demersal fishes occurring at Sedlo Seamount, Azores north</w:t>
      </w:r>
      <w:r w:rsidRPr="0021277B">
        <w:rPr>
          <w:rFonts w:ascii="Cambria Math" w:eastAsia="Calibri" w:hAnsi="Cambria Math" w:cs="Cambria Math"/>
          <w:sz w:val="22"/>
          <w:szCs w:val="22"/>
          <w:lang w:val="en-US"/>
        </w:rPr>
        <w:t>‐</w:t>
      </w:r>
      <w:r w:rsidRPr="00F66EF7">
        <w:rPr>
          <w:rFonts w:eastAsia="Calibri"/>
          <w:sz w:val="22"/>
          <w:szCs w:val="22"/>
          <w:lang w:val="en-US"/>
        </w:rPr>
        <w:t>east central Atlantic Ocean. Journal of Fish Biology 81(3): 1003-1018.</w:t>
      </w:r>
    </w:p>
    <w:p w14:paraId="14D3E420"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Mohn, C., White, M., Bashmachnikov, I., Jose, F. &amp; Pelegrí, J. (2009) Dynamics at an elongated, intermediate depth seamount in the North Atlantic (Sedlo Seamount, 40°20′N, 26°40′W). Deep-Sea Research Part II: Topical Studies in Oceanography 56(25): 2582–2592.</w:t>
      </w:r>
    </w:p>
    <w:p w14:paraId="1FE34F35"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Molodtsova, T. N. (2013). Deep-sea mushroom soft corals (Octocorallia: Alcyonacea: Alcyoniidae) of the northern mid-Atlantic ridge. </w:t>
      </w:r>
      <w:r w:rsidRPr="009978E3">
        <w:rPr>
          <w:rFonts w:ascii="Times New Roman" w:hAnsi="Times New Roman" w:cs="Times New Roman"/>
          <w:i/>
          <w:iCs/>
          <w:sz w:val="22"/>
          <w:szCs w:val="22"/>
        </w:rPr>
        <w:t>Marine Biology Research</w:t>
      </w:r>
      <w:r w:rsidRPr="009978E3">
        <w:rPr>
          <w:rFonts w:ascii="Times New Roman" w:hAnsi="Times New Roman" w:cs="Times New Roman"/>
          <w:sz w:val="22"/>
          <w:szCs w:val="22"/>
        </w:rPr>
        <w:t>, </w:t>
      </w:r>
      <w:r w:rsidRPr="009978E3">
        <w:rPr>
          <w:rFonts w:ascii="Times New Roman" w:hAnsi="Times New Roman" w:cs="Times New Roman"/>
          <w:i/>
          <w:iCs/>
          <w:sz w:val="22"/>
          <w:szCs w:val="22"/>
        </w:rPr>
        <w:t>9</w:t>
      </w:r>
      <w:r w:rsidRPr="009978E3">
        <w:rPr>
          <w:rFonts w:ascii="Times New Roman" w:hAnsi="Times New Roman" w:cs="Times New Roman"/>
          <w:sz w:val="22"/>
          <w:szCs w:val="22"/>
        </w:rPr>
        <w:t>(5-6), 488-515.</w:t>
      </w:r>
    </w:p>
    <w:p w14:paraId="6E6264D7" w14:textId="77777777" w:rsidR="006B3F46" w:rsidRPr="009978E3" w:rsidRDefault="006B3F46" w:rsidP="00907941">
      <w:pPr>
        <w:pStyle w:val="NoSpacing"/>
        <w:spacing w:line="240" w:lineRule="auto"/>
        <w:ind w:left="720" w:hanging="720"/>
        <w:rPr>
          <w:rFonts w:ascii="Times New Roman" w:hAnsi="Times New Roman" w:cs="Times New Roman"/>
          <w:iCs/>
          <w:sz w:val="22"/>
          <w:szCs w:val="22"/>
          <w:lang w:val="en-US"/>
        </w:rPr>
      </w:pPr>
      <w:r w:rsidRPr="009978E3">
        <w:rPr>
          <w:rFonts w:ascii="Times New Roman" w:hAnsi="Times New Roman" w:cs="Times New Roman"/>
          <w:sz w:val="22"/>
          <w:szCs w:val="22"/>
        </w:rPr>
        <w:t>Molodtsova, T. N. (2016). New records of Heteropathes Opresko, 2011 (Anthozoa: Antipatharia) from the Mid-Atlantic Ridge. </w:t>
      </w:r>
      <w:r w:rsidRPr="009978E3">
        <w:rPr>
          <w:rFonts w:ascii="Times New Roman" w:hAnsi="Times New Roman" w:cs="Times New Roman"/>
          <w:i/>
          <w:iCs/>
          <w:sz w:val="22"/>
          <w:szCs w:val="22"/>
          <w:lang w:val="en-US"/>
        </w:rPr>
        <w:t>Marine Biodiversity,</w:t>
      </w:r>
      <w:r w:rsidRPr="009978E3">
        <w:rPr>
          <w:rFonts w:ascii="Times New Roman" w:hAnsi="Times New Roman" w:cs="Times New Roman"/>
          <w:sz w:val="22"/>
          <w:szCs w:val="22"/>
          <w:lang w:val="en-US"/>
        </w:rPr>
        <w:t xml:space="preserve"> 47: 179–186</w:t>
      </w:r>
    </w:p>
    <w:p w14:paraId="4FC37BF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Morato, T. &amp; Clark, M. (2007). Seamount fishes: ecology and life histories. Chapter 9 In:Pitcher, T.J., Morato, T., Hart, P.J.B., Clark, M.R., Haggan, N. &amp; Santos, R.S. (eds) Seamounts: ecology, fisheries &amp; conservation. Fish and Aquatic Resources Series, Blackwell, Oxford, UK. pp. 170 -188.</w:t>
      </w:r>
    </w:p>
    <w:p w14:paraId="1977E0A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Morato, T. &amp; Pauly, D. (2004). Seamounts: Biodiversity and fisheries. Fisheries Centre, University of British Columbia.</w:t>
      </w:r>
    </w:p>
    <w:p w14:paraId="26F1BD9C"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Morato, T., Allain, V., Hoyle, S. &amp; Nicol, S. (2009) Tuna Longline Fishing around West and Central Pacific Seamounts. Information Paper. Scientific Committee, Fifth Regular Session, 10-21 August 2009, Port Vila, Vanuatu. WCPFC-SC5-2009/EB-IP-04. Western and Central Pacific Fisheries Commission, Palikir, Pohnpei.</w:t>
      </w:r>
    </w:p>
    <w:p w14:paraId="2303CED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Morato, T., Cheung, W. &amp; Pitcher, T. (2006) Vulnerability of seamount fish to fishing: fuzzy analysis of life history attributes. Journal of Fish Biology 68: 209–221.</w:t>
      </w:r>
    </w:p>
    <w:p w14:paraId="64228DF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 xml:space="preserve">Morato, T., Hoyle, S., Allain, V., &amp; Nicol, S. (2010) Seamounts are hotspots of pelagic biodiversity in the open ocean. Proceedings of the National Academy of Sciences of the United States of America 107(21): 9707–9711. </w:t>
      </w:r>
    </w:p>
    <w:p w14:paraId="1CACBBE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pt-PT"/>
        </w:rPr>
        <w:t xml:space="preserve">Morato, T., Kvile, K., Taranto, G., Tempera, F., Narayanaswamy, B., Hebbeln, D., Menezes, G., Wienberg, C., Santos, R. &amp; Pitcher, T. J. (2012). </w:t>
      </w:r>
      <w:r w:rsidRPr="009978E3">
        <w:rPr>
          <w:rFonts w:eastAsia="Calibri"/>
          <w:sz w:val="22"/>
          <w:szCs w:val="22"/>
          <w:lang w:val="en-US"/>
        </w:rPr>
        <w:t>Seamount physiography and biology in North-East Atlantic and Mediterranean Sea. Biogeosciences Discussions 9(12): 18951-18992.</w:t>
      </w:r>
    </w:p>
    <w:p w14:paraId="29B18D32"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Morato, T., Varkey, D., Damaso, C., Machete, M., Santos, M., Prieto, R., Santos, R. &amp; Pitcher, T. (2008) Evidence of a seamount effect on aggregating visitors. Marine Ecology Progress Series 357: 23-32.</w:t>
      </w:r>
    </w:p>
    <w:p w14:paraId="1B828FCF"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 xml:space="preserve">Mortensen, P., Buhl-Mortensen, L., Gebruk, A. &amp; Krylova, E. (2008) Occurrence of deep-water corals on the Mid-Atlantic Ridge based on MAR-ECO data. Deep-Sea Research Part II: Topical Studies in Oceanography 55(1-2): 142–152. </w:t>
      </w:r>
    </w:p>
    <w:p w14:paraId="7AD3A71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Muñoz, P. D., Román, E., González, F., &amp; Apartado, C. O. D. V. (2000). Results of a deep-water experimental fishing in the North Atlantic: an example of cooperative research with the fishing industry. ICES CM. 2000/W:04 p. 1-15</w:t>
      </w:r>
    </w:p>
    <w:p w14:paraId="24BE8569"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Nielsen, J., Hedeholm, R. B., Heinemeier, J., Bushnell, P. G., Christiansen, J. S., Olsen, J., ... &amp; Steffensen, J. F. (2016). Eye lens radiocarbon reveals centuries of longevity in the Greenland shark (Somniosus microcephalus). </w:t>
      </w:r>
      <w:r w:rsidRPr="009978E3">
        <w:rPr>
          <w:rFonts w:ascii="Times New Roman" w:hAnsi="Times New Roman" w:cs="Times New Roman"/>
          <w:i/>
          <w:iCs/>
          <w:sz w:val="22"/>
          <w:szCs w:val="22"/>
        </w:rPr>
        <w:t>Science</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353</w:t>
      </w:r>
      <w:r w:rsidRPr="009978E3">
        <w:rPr>
          <w:rFonts w:ascii="Times New Roman" w:hAnsi="Times New Roman" w:cs="Times New Roman"/>
          <w:sz w:val="22"/>
          <w:szCs w:val="22"/>
        </w:rPr>
        <w:t>(6300), 702-704.</w:t>
      </w:r>
    </w:p>
    <w:p w14:paraId="3C10D57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OASIS (2006) Final Scientific and Technical Report for the period 01.12.2002-30.11.2005. Oceanic Seamounts: an Integrated Study, contract number EVK3-CT-2002-00073-OASIS. 52 pp.</w:t>
      </w:r>
    </w:p>
    <w:p w14:paraId="6CD9817B"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O'Leary, B., Brown, R., Johnson, D., Von Nordheim, H., Ardron, J., Packeiser, T., &amp; Roberts, M. (2012). The first network of marine protected areas (MPAs) in the high seas: the process, the challenges and where next. Marine Policy 36(3): 598-605.</w:t>
      </w:r>
    </w:p>
    <w:p w14:paraId="6F492A51"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Opdal, A. F., Godø, O. R., Bergstad, O. A., &amp; Fiksen, Ø. (2008). Distribution, identity, and possible processes sustaining meso-and bathypelagic scattering layers on the northern Mid-Atlantic Ridge. </w:t>
      </w:r>
      <w:r w:rsidRPr="009978E3">
        <w:rPr>
          <w:rFonts w:ascii="Times New Roman" w:hAnsi="Times New Roman" w:cs="Times New Roman"/>
          <w:i/>
          <w:iCs/>
          <w:sz w:val="22"/>
          <w:szCs w:val="22"/>
        </w:rPr>
        <w:t>Deep Sea Research Part II: Topical Studies in Oceanography</w:t>
      </w:r>
      <w:r w:rsidRPr="009978E3">
        <w:rPr>
          <w:rFonts w:ascii="Times New Roman" w:hAnsi="Times New Roman" w:cs="Times New Roman"/>
          <w:sz w:val="22"/>
          <w:szCs w:val="22"/>
        </w:rPr>
        <w:t>, </w:t>
      </w:r>
      <w:r w:rsidRPr="009978E3">
        <w:rPr>
          <w:rFonts w:ascii="Times New Roman" w:hAnsi="Times New Roman" w:cs="Times New Roman"/>
          <w:i/>
          <w:iCs/>
          <w:sz w:val="22"/>
          <w:szCs w:val="22"/>
        </w:rPr>
        <w:t>55</w:t>
      </w:r>
      <w:r w:rsidRPr="009978E3">
        <w:rPr>
          <w:rFonts w:ascii="Times New Roman" w:hAnsi="Times New Roman" w:cs="Times New Roman"/>
          <w:sz w:val="22"/>
          <w:szCs w:val="22"/>
        </w:rPr>
        <w:t>(1-2), 45-58.</w:t>
      </w:r>
    </w:p>
    <w:p w14:paraId="64E94F26"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Orlov, A., Cottom, C. &amp; Byrkjedal, I. (2006) Deepwater skates (Rajidae) collected during the 2004 cruises of R.V. “G.O. Sars” and M.S. “Loran” in the Mid-Atlantic Ridge area. Cybium 30(4): 35 – 48.</w:t>
      </w:r>
    </w:p>
    <w:p w14:paraId="658E4A08"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 xml:space="preserve">OSPAR (2009) Background document on Lophelia pertusa reefs Biodiversity Series, Publication No 423/2009 Available at </w:t>
      </w:r>
      <w:hyperlink r:id="rId269" w:history="1">
        <w:r w:rsidRPr="009978E3">
          <w:rPr>
            <w:rStyle w:val="Hyperlink"/>
            <w:rFonts w:ascii="Times New Roman" w:hAnsi="Times New Roman"/>
            <w:sz w:val="22"/>
            <w:szCs w:val="22"/>
            <w:lang w:val="en-US"/>
          </w:rPr>
          <w:t>https://www.ospar.org/work-areas/bdc/species-habitats/list-of-threatened-declining-species-habitats</w:t>
        </w:r>
      </w:hyperlink>
      <w:r w:rsidRPr="00F66EF7">
        <w:rPr>
          <w:rFonts w:ascii="Times New Roman" w:hAnsi="Times New Roman" w:cs="Times New Roman"/>
          <w:sz w:val="22"/>
          <w:szCs w:val="22"/>
          <w:lang w:val="en-US"/>
        </w:rPr>
        <w:t>.</w:t>
      </w:r>
    </w:p>
    <w:p w14:paraId="1EBAFDF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OSPAR (2010) Quality Status Report 2010. OSPAR Commission. London. 176 pp.</w:t>
      </w:r>
    </w:p>
    <w:p w14:paraId="06AD6CCF"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OSPAR (2010d) Background Document for Deep-sea sponge aggregations. Biodiversity Series Available at: https://www.ospar.org/work-areas/bdc/species-habitats/list-of-threatened-declining-species-habitats</w:t>
      </w:r>
    </w:p>
    <w:p w14:paraId="4633FBA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OSPAR (2011) OSPAR Convention for the Protection of the Marine Environment of the North-East Atlantic Meeting of the OSPAR Commission (OSPAR) London: 20-24 June 2011.</w:t>
      </w:r>
    </w:p>
    <w:p w14:paraId="5349B67E"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OSPAR (2013) OSPAR Decision 2010/3 on the Establishment of the Altair Seamount High Seas Marine Protected Area, OSPAR 10/23/1-E, Annex 38 .</w:t>
      </w:r>
    </w:p>
    <w:p w14:paraId="4DEAD989"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OSPAR 2010a), Background Document for Seamounts. Biodiversity Series, Publication No. 492/2010.</w:t>
      </w:r>
    </w:p>
    <w:p w14:paraId="45A84DD6"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 xml:space="preserve">OSPAR 2010b), Background Document for Oceanic ridges with hydrothermal vents/fields. Biodiversity Series, Publication No. 490/2010 Available at </w:t>
      </w:r>
      <w:hyperlink r:id="rId270" w:history="1">
        <w:r w:rsidRPr="009978E3">
          <w:rPr>
            <w:rStyle w:val="Hyperlink"/>
            <w:rFonts w:ascii="Times New Roman" w:hAnsi="Times New Roman"/>
            <w:sz w:val="22"/>
            <w:szCs w:val="22"/>
            <w:lang w:val="en-US"/>
          </w:rPr>
          <w:t>https://www.ospar.org/work-areas/bdc/species-habitats/list-of-threatened-declining-species-habitats</w:t>
        </w:r>
      </w:hyperlink>
      <w:r w:rsidRPr="00F66EF7">
        <w:rPr>
          <w:rFonts w:ascii="Times New Roman" w:hAnsi="Times New Roman" w:cs="Times New Roman"/>
          <w:sz w:val="22"/>
          <w:szCs w:val="22"/>
          <w:lang w:val="en-US"/>
        </w:rPr>
        <w:t>.</w:t>
      </w:r>
    </w:p>
    <w:p w14:paraId="64BEE840"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OSPAR 2010c).</w:t>
      </w:r>
      <w:r w:rsidRPr="009978E3">
        <w:rPr>
          <w:rFonts w:ascii="Times New Roman" w:hAnsi="Times New Roman" w:cs="Times New Roman"/>
          <w:sz w:val="22"/>
          <w:szCs w:val="22"/>
        </w:rPr>
        <w:t xml:space="preserve"> </w:t>
      </w:r>
      <w:r w:rsidRPr="009978E3">
        <w:rPr>
          <w:rFonts w:ascii="Times New Roman" w:hAnsi="Times New Roman" w:cs="Times New Roman"/>
          <w:sz w:val="22"/>
          <w:szCs w:val="22"/>
          <w:lang w:val="en-US"/>
        </w:rPr>
        <w:t xml:space="preserve">Background document for coral gardens. Biodiversity Series, Publication Number: 486/2010 Available at: </w:t>
      </w:r>
      <w:hyperlink r:id="rId271" w:history="1">
        <w:r w:rsidRPr="009978E3">
          <w:rPr>
            <w:rStyle w:val="Hyperlink"/>
            <w:rFonts w:ascii="Times New Roman" w:hAnsi="Times New Roman"/>
            <w:sz w:val="22"/>
            <w:szCs w:val="22"/>
            <w:lang w:val="en-US"/>
          </w:rPr>
          <w:t>https://www.ospar.org/work-areas/bdc/species-habitats/list-of-threatened-declining-species-habitats</w:t>
        </w:r>
      </w:hyperlink>
      <w:r w:rsidRPr="00F66EF7">
        <w:rPr>
          <w:rFonts w:ascii="Times New Roman" w:hAnsi="Times New Roman" w:cs="Times New Roman"/>
          <w:sz w:val="22"/>
          <w:szCs w:val="22"/>
          <w:lang w:val="en-US"/>
        </w:rPr>
        <w:t>.</w:t>
      </w:r>
    </w:p>
    <w:p w14:paraId="0AE0D378" w14:textId="77777777" w:rsidR="006B3F46" w:rsidRPr="009978E3" w:rsidRDefault="006B3F46" w:rsidP="00907941">
      <w:pPr>
        <w:ind w:left="720" w:hanging="720"/>
        <w:jc w:val="both"/>
        <w:rPr>
          <w:rFonts w:eastAsia="Calibri"/>
          <w:sz w:val="22"/>
          <w:szCs w:val="22"/>
          <w:lang w:val="pt-PT"/>
        </w:rPr>
      </w:pPr>
      <w:r w:rsidRPr="009978E3">
        <w:rPr>
          <w:rFonts w:eastAsia="Calibri"/>
          <w:sz w:val="22"/>
          <w:szCs w:val="22"/>
          <w:lang w:val="en-US"/>
        </w:rPr>
        <w:t xml:space="preserve">Pakhorukov, N. (2008) Visual observations of fish from seamounts of the Southern Azores Region (the Atlantic Ocean). </w:t>
      </w:r>
      <w:r w:rsidRPr="009978E3">
        <w:rPr>
          <w:rFonts w:eastAsia="Calibri"/>
          <w:sz w:val="22"/>
          <w:szCs w:val="22"/>
          <w:lang w:val="pt-PT"/>
        </w:rPr>
        <w:t>Journal of Ichthyology 48: 114–123.</w:t>
      </w:r>
    </w:p>
    <w:p w14:paraId="6E1D4B81"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lang w:val="pt-PT"/>
        </w:rPr>
        <w:t xml:space="preserve">Pham, C. K., Vandeperre, F., Menezes, G., Porteiro, F., Isidro, E., &amp; Morato, T. (2015). </w:t>
      </w:r>
      <w:r w:rsidRPr="009978E3">
        <w:rPr>
          <w:rFonts w:ascii="Times New Roman" w:hAnsi="Times New Roman" w:cs="Times New Roman"/>
          <w:sz w:val="22"/>
          <w:szCs w:val="22"/>
        </w:rPr>
        <w:t xml:space="preserve">The importance of deep-sea vulnerable marine ecosystems for demersal fish in the Azores. </w:t>
      </w:r>
      <w:r w:rsidRPr="009978E3">
        <w:rPr>
          <w:rFonts w:ascii="Times New Roman" w:hAnsi="Times New Roman" w:cs="Times New Roman"/>
          <w:i/>
          <w:iCs/>
          <w:sz w:val="22"/>
          <w:szCs w:val="22"/>
        </w:rPr>
        <w:t>Deep Sea Research Part I: Oceanographic Research Papers</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96</w:t>
      </w:r>
      <w:r w:rsidRPr="009978E3">
        <w:rPr>
          <w:rFonts w:ascii="Times New Roman" w:hAnsi="Times New Roman" w:cs="Times New Roman"/>
          <w:sz w:val="22"/>
          <w:szCs w:val="22"/>
        </w:rPr>
        <w:t>, 80-88.</w:t>
      </w:r>
    </w:p>
    <w:p w14:paraId="74E67471"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Pitcher, T., Morato, T., Hart, P., Clark, M., Haggan, N. &amp; Santos, R. (2007) Seamounts: Ecology, Fisheries, and Conservation, Blackwell Fisheries and Aquatic Resources Series, Vol. 12, Blackwell Publishing, Oxford, 527 pp.</w:t>
      </w:r>
    </w:p>
    <w:p w14:paraId="480E187F"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Pollard, R., Griffiths, M., Cunningham, S., Read, J., Pérez, F. &amp; Ríos, A. (1996). Vivaldi 1991—A study of the formation, circulation and ventilation of eastern North Atlantic Central Water. Progress in Oceanography 37: 167–192.</w:t>
      </w:r>
    </w:p>
    <w:p w14:paraId="5FCEAD4E"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Priede, I. G., Bergstad, O. A., Miller, P. I., Vecchione, M., Gebruk, A., Falkenhaug, T., ... &amp; Lorance, P. (2013). Does presence of a mid-ocean ridge enhance biomass and biodiversity?. </w:t>
      </w:r>
      <w:r w:rsidRPr="009978E3">
        <w:rPr>
          <w:rFonts w:ascii="Times New Roman" w:hAnsi="Times New Roman" w:cs="Times New Roman"/>
          <w:i/>
          <w:iCs/>
          <w:sz w:val="22"/>
          <w:szCs w:val="22"/>
        </w:rPr>
        <w:t>PloS one</w:t>
      </w:r>
      <w:r w:rsidRPr="009978E3">
        <w:rPr>
          <w:rFonts w:ascii="Times New Roman" w:hAnsi="Times New Roman" w:cs="Times New Roman"/>
          <w:sz w:val="22"/>
          <w:szCs w:val="22"/>
        </w:rPr>
        <w:t xml:space="preserve">, </w:t>
      </w:r>
      <w:r w:rsidRPr="009978E3">
        <w:rPr>
          <w:rFonts w:ascii="Times New Roman" w:hAnsi="Times New Roman" w:cs="Times New Roman"/>
          <w:i/>
          <w:iCs/>
          <w:sz w:val="22"/>
          <w:szCs w:val="22"/>
        </w:rPr>
        <w:t>8</w:t>
      </w:r>
      <w:r w:rsidRPr="009978E3">
        <w:rPr>
          <w:rFonts w:ascii="Times New Roman" w:hAnsi="Times New Roman" w:cs="Times New Roman"/>
          <w:sz w:val="22"/>
          <w:szCs w:val="22"/>
        </w:rPr>
        <w:t xml:space="preserve">(5), e61550. doi: 10.1371/journal.pone.0061550. </w:t>
      </w:r>
    </w:p>
    <w:p w14:paraId="16DB7C21"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Ramirez-Llodra, E., Tyler, P., Baker, M., Bergstad, O., Clark, M., Escobar, E., Levin, L., Menot, L., Rowden, A., Craig, S. &amp; Van Dover, C. L. (2011). Man and the last great wilderness: human impact on the deep sea PLoS One 6(8): e22588.</w:t>
      </w:r>
    </w:p>
    <w:p w14:paraId="7D35BBF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Richardson, P., Bower, A. &amp; Zenk, W. (2000) A census of Meddies tracked by floats. Progress in Oceanography 45: 209–250.</w:t>
      </w:r>
    </w:p>
    <w:p w14:paraId="117861CD"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Roark, E., Guilderson, T., Dunbar, R. &amp; Ingram, B. (2006) Radiocarbon-based ages and growth rates of Hawaiian deep-sea corals. Marine Ecology Progress Series 327: 1–14.</w:t>
      </w:r>
    </w:p>
    <w:p w14:paraId="524CA726"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Roberts, J. M., Wheeler, A., Freiwald, A., &amp; Cairns, S. (2009). </w:t>
      </w:r>
      <w:r w:rsidRPr="009978E3">
        <w:rPr>
          <w:rFonts w:ascii="Times New Roman" w:hAnsi="Times New Roman" w:cs="Times New Roman"/>
          <w:i/>
          <w:iCs/>
          <w:sz w:val="22"/>
          <w:szCs w:val="22"/>
        </w:rPr>
        <w:t>Cold-water corals: the biology and geology of deep-sea coral habitats</w:t>
      </w:r>
      <w:r w:rsidRPr="009978E3">
        <w:rPr>
          <w:rFonts w:ascii="Times New Roman" w:hAnsi="Times New Roman" w:cs="Times New Roman"/>
          <w:sz w:val="22"/>
          <w:szCs w:val="22"/>
        </w:rPr>
        <w:t>. Cambridge University Press.</w:t>
      </w:r>
    </w:p>
    <w:p w14:paraId="61B5470D"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Roberts, J., Wheeler, A. &amp; Freiwald, A. (2006) Reefs of the deep: The biology and geology of cold-water coral ecosystems. Science 213: 543–547.</w:t>
      </w:r>
    </w:p>
    <w:p w14:paraId="0273AD4C"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Rogers, A., Clark, M., Hall-Spencer, J. &amp; Gjerde, K. (2008) The Science behind the Guidelines: A Scientific Guide to the FAO Draft International Guidelines (December 2007) for the Management of Deep-sea Fisheries in the High Seas and Examples of How the Guidelines May Be Practically Implemented. IUCN, Switzerland.</w:t>
      </w:r>
    </w:p>
    <w:p w14:paraId="2ACBDB7B"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Rossby, T. (1999). On gyre interactions. Deep Sea Research Part II: Topical Studies in Oceanography 46(1): 139-164.</w:t>
      </w:r>
    </w:p>
    <w:p w14:paraId="69AFD13B"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Rowden, A. A., Dower, J. F., Schlacher, T. A., Consalvey, M., &amp; Clark, M. R. (2010). Paradigms in seamount ecology: fact, fiction and future. </w:t>
      </w:r>
      <w:r w:rsidRPr="009978E3">
        <w:rPr>
          <w:rFonts w:ascii="Times New Roman" w:hAnsi="Times New Roman" w:cs="Times New Roman"/>
          <w:i/>
          <w:iCs/>
          <w:sz w:val="22"/>
          <w:szCs w:val="22"/>
        </w:rPr>
        <w:t>Marine Ecology</w:t>
      </w:r>
      <w:r w:rsidRPr="009978E3">
        <w:rPr>
          <w:rFonts w:ascii="Times New Roman" w:hAnsi="Times New Roman" w:cs="Times New Roman"/>
          <w:sz w:val="22"/>
          <w:szCs w:val="22"/>
        </w:rPr>
        <w:t>, </w:t>
      </w:r>
      <w:r w:rsidRPr="009978E3">
        <w:rPr>
          <w:rFonts w:ascii="Times New Roman" w:hAnsi="Times New Roman" w:cs="Times New Roman"/>
          <w:i/>
          <w:iCs/>
          <w:sz w:val="22"/>
          <w:szCs w:val="22"/>
        </w:rPr>
        <w:t>31</w:t>
      </w:r>
      <w:r w:rsidRPr="009978E3">
        <w:rPr>
          <w:rFonts w:ascii="Times New Roman" w:hAnsi="Times New Roman" w:cs="Times New Roman"/>
          <w:sz w:val="22"/>
          <w:szCs w:val="22"/>
        </w:rPr>
        <w:t>, 226-241.</w:t>
      </w:r>
    </w:p>
    <w:p w14:paraId="18FAA338"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Samadi, S., Bottan, L., Macpherson, E., Richer de Forges, B. &amp; Boisselier, M. (2006) Seamount endemism questioned by the geographical distribution and population genetic structure of marine invertebrates. Marine Biology 149: 1463–75.</w:t>
      </w:r>
    </w:p>
    <w:p w14:paraId="62546C90"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Samadi, S., Schlacher, T. &amp; de Forges, B. (2007) Seamount benthos. In: Pitcher, T.J., T. Morato, P.J.B. Hart, M.R. Clark, N. Haggan and R.S. Santos (Eds) Seamounts: Ecology, Fisheries &amp; Conservation. Fish and Aquatic Resources Series 12, Blackwell Publishing, Oxford, United Kingdom, pp 119-140.</w:t>
      </w:r>
    </w:p>
    <w:p w14:paraId="5BD5CC9E"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lang w:val="pt-PT"/>
        </w:rPr>
        <w:t xml:space="preserve">Sampaio, Í., Freiwald, A., Porteiro, F. M., Menezes, G., &amp; Carreiro-Silva, M. (2019). </w:t>
      </w:r>
      <w:r w:rsidRPr="009978E3">
        <w:rPr>
          <w:rFonts w:ascii="Times New Roman" w:hAnsi="Times New Roman" w:cs="Times New Roman"/>
          <w:sz w:val="22"/>
          <w:szCs w:val="22"/>
        </w:rPr>
        <w:t xml:space="preserve">Census of Octocorallia (Cnidaria: Anthozoa) of the Azores (NE Atlantic): a nomenclature update. </w:t>
      </w:r>
      <w:r w:rsidRPr="009978E3">
        <w:rPr>
          <w:rFonts w:ascii="Times New Roman" w:hAnsi="Times New Roman" w:cs="Times New Roman"/>
          <w:i/>
          <w:sz w:val="22"/>
          <w:szCs w:val="22"/>
        </w:rPr>
        <w:t>Zootaxa</w:t>
      </w:r>
      <w:r w:rsidRPr="009978E3">
        <w:rPr>
          <w:rFonts w:ascii="Times New Roman" w:hAnsi="Times New Roman" w:cs="Times New Roman"/>
          <w:sz w:val="22"/>
          <w:szCs w:val="22"/>
        </w:rPr>
        <w:t>, 4550 (4), 451–498. http://dx.doi.org/10.11646/zootaxa.4550.4.1.</w:t>
      </w:r>
    </w:p>
    <w:p w14:paraId="3417B05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Santos, M. A., Bolten, A. B., Martins, H. R., Riewald, B., &amp; Bjorndal, K. A. (2008). Air</w:t>
      </w:r>
      <w:r w:rsidRPr="0021277B">
        <w:rPr>
          <w:rFonts w:ascii="Cambria Math" w:eastAsia="Calibri" w:hAnsi="Cambria Math" w:cs="Cambria Math"/>
          <w:sz w:val="22"/>
          <w:szCs w:val="22"/>
          <w:lang w:val="en-US"/>
        </w:rPr>
        <w:t>‐</w:t>
      </w:r>
      <w:r w:rsidRPr="00F66EF7">
        <w:rPr>
          <w:rFonts w:eastAsia="Calibri"/>
          <w:sz w:val="22"/>
          <w:szCs w:val="22"/>
          <w:lang w:val="en-US"/>
        </w:rPr>
        <w:t>Breathing Visitors to Seamounts: Sea Turtles. Seamounts: Ecology, Fisheries &amp; Conservation, 239-244.</w:t>
      </w:r>
    </w:p>
    <w:p w14:paraId="0BD5363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Santos, M., Bolten, A., Martins, H., Riewald, B. &amp; Bjorndal, K. (2007) Air-breathing Visitors to Seamounts: Sea Turtles. Chapter 12 Section B. in Pitcher, T.J., Morato, T., Hart, P.J.B., Clark, M.R., Haggan, N. and Santos, R.S. (eds) Seamounts: Ecology, Conservation and Management. Fish and Aquatic Resources Series, Blackwell, Oxford, UK. pp. 239-244.</w:t>
      </w:r>
    </w:p>
    <w:p w14:paraId="0D8D23A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Santos, R. S., Christiansen, S., Christiansen, B., &amp; Gubbay, S. (2009). Toward the conservation and management of Sedlo Seamount: A case study. Deep Sea Research Part II: Topical Studies in Oceanography, 56(25), 2720-2730.</w:t>
      </w:r>
    </w:p>
    <w:p w14:paraId="7A9CE746"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Silveira, G., Vinnik, L., Stutzmann, E., Farra, V., Kiselev, S. &amp; Morais, I. (2010) Stratification of the Earth beneath the Azores from P and S receiver functions. Earth and Planetary Science Letters 299(1): 91-103.</w:t>
      </w:r>
    </w:p>
    <w:p w14:paraId="70615812"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Smith, J., Campbell, B., Hanson, T., Zhang, C. &amp; Cary, S. (2008) Nautilia profundicola sp. nov., a thermophilic, sulfur-reducing epsilonproteobacterium from deep-sea hydrothermal vents. International journal of systematic and evolutionary microbiology 58(7): 1598-1602</w:t>
      </w:r>
    </w:p>
    <w:p w14:paraId="617C9D41"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Søiland, H., Budgell, W. &amp; Knutsen, Ø. (2008) The physical oceanographic conditions along the Mid-Atlantic Ridge north of the Azores in June-July 2004. Deep-Sea Research II 55: 29 – 44.</w:t>
      </w:r>
    </w:p>
    <w:p w14:paraId="04A9A40E"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Staudigel, H. &amp; Clague, D. (2010) The geological history of deep-sea volcanoes: Biosphere, hydrosphere, and lithosphere interactions. Oceanography 23(1): 58–71.</w:t>
      </w:r>
    </w:p>
    <w:p w14:paraId="7B074D9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Synnes, M. (2007) Bioprospecting of organisms from the deep-sea: scientific and environmental aspects. Clean Technologies and Environmental Policy 9(1): 53 – 59.</w:t>
      </w:r>
    </w:p>
    <w:p w14:paraId="623906B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Tabachnick, K. &amp; Menchenina, L. (2007). Revision of the genus Asconema (Porifera: Hexactinellida:Rossellidae). Journal of the Marine Biological Association of the UK 87: 1403–1429.</w:t>
      </w:r>
    </w:p>
    <w:p w14:paraId="40C307AC"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Tabachnick, K. &amp; Menchenina, L. (2007). Revision of the genus Asconema (Porifera: Hexactinellida:Rossellidae). Journal of the Marine Biological Association of the UK 87: 1403–1429.</w:t>
      </w:r>
    </w:p>
    <w:p w14:paraId="150A3AFD"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pt-PT"/>
        </w:rPr>
      </w:pPr>
      <w:r w:rsidRPr="009978E3">
        <w:rPr>
          <w:rFonts w:ascii="Times New Roman" w:hAnsi="Times New Roman" w:cs="Times New Roman"/>
          <w:sz w:val="22"/>
          <w:szCs w:val="22"/>
        </w:rPr>
        <w:t>Tabachnick, K. R., &amp; Menshenina, L. L. (2013). New data on glass sponges (Porifera, Hexactinellida) of the northern Mid-Atlantic Ridge. Part 2. Aphrocallistidae, Euretidae, Euplectellidae and Rossellidae (with descriptions of two new species of Sympagella). </w:t>
      </w:r>
      <w:r w:rsidRPr="009978E3">
        <w:rPr>
          <w:rFonts w:ascii="Times New Roman" w:hAnsi="Times New Roman" w:cs="Times New Roman"/>
          <w:i/>
          <w:iCs/>
          <w:sz w:val="22"/>
          <w:szCs w:val="22"/>
          <w:lang w:val="pt-PT"/>
        </w:rPr>
        <w:t>Marine Biology Research</w:t>
      </w:r>
      <w:r w:rsidRPr="009978E3">
        <w:rPr>
          <w:rFonts w:ascii="Times New Roman" w:hAnsi="Times New Roman" w:cs="Times New Roman"/>
          <w:sz w:val="22"/>
          <w:szCs w:val="22"/>
          <w:lang w:val="pt-PT"/>
        </w:rPr>
        <w:t>, </w:t>
      </w:r>
      <w:r w:rsidRPr="009978E3">
        <w:rPr>
          <w:rFonts w:ascii="Times New Roman" w:hAnsi="Times New Roman" w:cs="Times New Roman"/>
          <w:i/>
          <w:iCs/>
          <w:sz w:val="22"/>
          <w:szCs w:val="22"/>
          <w:lang w:val="pt-PT"/>
        </w:rPr>
        <w:t>9</w:t>
      </w:r>
      <w:r w:rsidRPr="009978E3">
        <w:rPr>
          <w:rFonts w:ascii="Times New Roman" w:hAnsi="Times New Roman" w:cs="Times New Roman"/>
          <w:sz w:val="22"/>
          <w:szCs w:val="22"/>
          <w:lang w:val="pt-PT"/>
        </w:rPr>
        <w:t>(5-6), 469-487.</w:t>
      </w:r>
    </w:p>
    <w:p w14:paraId="4485A5CC"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pt-PT"/>
        </w:rPr>
        <w:t xml:space="preserve">Tempera, F., Carreiro-Silva, M., Jakobsen, K., Porteiro, F. M., Braga-Henriques, A., &amp; Jakobsen, J. (2015). </w:t>
      </w:r>
      <w:r w:rsidRPr="009978E3">
        <w:rPr>
          <w:rFonts w:ascii="Times New Roman" w:hAnsi="Times New Roman" w:cs="Times New Roman"/>
          <w:sz w:val="22"/>
          <w:szCs w:val="22"/>
          <w:lang w:val="en-US"/>
        </w:rPr>
        <w:t>An Eguchipsammia (Dendrophylliidae) topping on the cone. </w:t>
      </w:r>
      <w:r w:rsidRPr="009978E3">
        <w:rPr>
          <w:rFonts w:ascii="Times New Roman" w:hAnsi="Times New Roman" w:cs="Times New Roman"/>
          <w:i/>
          <w:iCs/>
          <w:sz w:val="22"/>
          <w:szCs w:val="22"/>
          <w:lang w:val="en-US"/>
        </w:rPr>
        <w:t>Marine Biodiversity</w:t>
      </w:r>
      <w:r w:rsidRPr="009978E3">
        <w:rPr>
          <w:rFonts w:ascii="Times New Roman" w:hAnsi="Times New Roman" w:cs="Times New Roman"/>
          <w:sz w:val="22"/>
          <w:szCs w:val="22"/>
          <w:lang w:val="en-US"/>
        </w:rPr>
        <w:t>, </w:t>
      </w:r>
      <w:r w:rsidRPr="009978E3">
        <w:rPr>
          <w:rFonts w:ascii="Times New Roman" w:hAnsi="Times New Roman" w:cs="Times New Roman"/>
          <w:i/>
          <w:iCs/>
          <w:sz w:val="22"/>
          <w:szCs w:val="22"/>
          <w:lang w:val="en-US"/>
        </w:rPr>
        <w:t>45</w:t>
      </w:r>
      <w:r w:rsidRPr="009978E3">
        <w:rPr>
          <w:rFonts w:ascii="Times New Roman" w:hAnsi="Times New Roman" w:cs="Times New Roman"/>
          <w:sz w:val="22"/>
          <w:szCs w:val="22"/>
          <w:lang w:val="en-US"/>
        </w:rPr>
        <w:t>(1), 3-4.</w:t>
      </w:r>
    </w:p>
    <w:p w14:paraId="56364B30"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Thornburg, C., Zabriskie, T., &amp; McPhail, K. (2010) Deep-Sea Hydrothermal Vents: Potential Hot Spots for Natural Products Discovery? Journal of natural products 73(3): 489-499.</w:t>
      </w:r>
    </w:p>
    <w:p w14:paraId="7BEF6699"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Tittensor, D. P., Baco, A. R., Hall</w:t>
      </w:r>
      <w:r w:rsidRPr="0021277B">
        <w:rPr>
          <w:rFonts w:ascii="Cambria Math" w:hAnsi="Cambria Math" w:cs="Cambria Math"/>
          <w:sz w:val="22"/>
          <w:szCs w:val="22"/>
        </w:rPr>
        <w:t>‐</w:t>
      </w:r>
      <w:r w:rsidRPr="00F66EF7">
        <w:rPr>
          <w:rFonts w:ascii="Times New Roman" w:hAnsi="Times New Roman" w:cs="Times New Roman"/>
          <w:sz w:val="22"/>
          <w:szCs w:val="22"/>
        </w:rPr>
        <w:t>Spencer, J. M., Orr, J. C., &amp; Rogers, A. D. (2010). Seamounts as refugia from ocean acidification for cold</w:t>
      </w:r>
      <w:r w:rsidRPr="0021277B">
        <w:rPr>
          <w:rFonts w:ascii="Cambria Math" w:hAnsi="Cambria Math" w:cs="Cambria Math"/>
          <w:sz w:val="22"/>
          <w:szCs w:val="22"/>
        </w:rPr>
        <w:t>‐</w:t>
      </w:r>
      <w:r w:rsidRPr="00F66EF7">
        <w:rPr>
          <w:rFonts w:ascii="Times New Roman" w:hAnsi="Times New Roman" w:cs="Times New Roman"/>
          <w:sz w:val="22"/>
          <w:szCs w:val="22"/>
        </w:rPr>
        <w:t>water stony corals.</w:t>
      </w:r>
      <w:r w:rsidRPr="009978E3">
        <w:rPr>
          <w:rFonts w:ascii="Times New Roman" w:hAnsi="Times New Roman" w:cs="Times New Roman"/>
          <w:sz w:val="22"/>
          <w:szCs w:val="22"/>
        </w:rPr>
        <w:t> </w:t>
      </w:r>
      <w:r w:rsidRPr="009978E3">
        <w:rPr>
          <w:rFonts w:ascii="Times New Roman" w:hAnsi="Times New Roman" w:cs="Times New Roman"/>
          <w:i/>
          <w:iCs/>
          <w:sz w:val="22"/>
          <w:szCs w:val="22"/>
        </w:rPr>
        <w:t>Marine Ecology</w:t>
      </w:r>
      <w:r w:rsidRPr="009978E3">
        <w:rPr>
          <w:rFonts w:ascii="Times New Roman" w:hAnsi="Times New Roman" w:cs="Times New Roman"/>
          <w:sz w:val="22"/>
          <w:szCs w:val="22"/>
        </w:rPr>
        <w:t>, </w:t>
      </w:r>
      <w:r w:rsidRPr="009978E3">
        <w:rPr>
          <w:rFonts w:ascii="Times New Roman" w:hAnsi="Times New Roman" w:cs="Times New Roman"/>
          <w:i/>
          <w:iCs/>
          <w:sz w:val="22"/>
          <w:szCs w:val="22"/>
        </w:rPr>
        <w:t>31</w:t>
      </w:r>
      <w:r w:rsidRPr="009978E3">
        <w:rPr>
          <w:rFonts w:ascii="Times New Roman" w:hAnsi="Times New Roman" w:cs="Times New Roman"/>
          <w:sz w:val="22"/>
          <w:szCs w:val="22"/>
        </w:rPr>
        <w:t>, 212-225.</w:t>
      </w:r>
    </w:p>
    <w:p w14:paraId="2A3FE69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Tracey, D., Neil, H., Gordon, D. &amp; O’Shea, S. (2003) Chronicles of the deep: ageing deep-sea corals in New Zealand waters. Water and Atmosphere 11: 22 –24.</w:t>
      </w:r>
    </w:p>
    <w:p w14:paraId="707DA44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Tunnicliffe, V., Fowler, C. &amp; Mcarthur, A. (1996). Plate tectonic history and hot vent biogeography. Geological Society, London, Special Publications 118(1): 225-238.</w:t>
      </w:r>
    </w:p>
    <w:p w14:paraId="1F1493A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Van den Hove, S. &amp; Moreau, V. (2007) Ecosystems and Biodiversity in Deep Waters and High Seas: A scoping report on their socio-economy, management and governance. Switzerland: UNEP-WCMC. 84 pp.</w:t>
      </w:r>
    </w:p>
    <w:p w14:paraId="7370854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Van Dover, C.  (2011) Tighten regulations on deep-sea mining. Nature 470(7332): 31-33.</w:t>
      </w:r>
    </w:p>
    <w:p w14:paraId="3EB6671D"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Van Dover, C. (2000). </w:t>
      </w:r>
      <w:r w:rsidRPr="009978E3">
        <w:rPr>
          <w:rFonts w:ascii="Times New Roman" w:hAnsi="Times New Roman" w:cs="Times New Roman"/>
          <w:i/>
          <w:iCs/>
          <w:sz w:val="22"/>
          <w:szCs w:val="22"/>
        </w:rPr>
        <w:t>The ecology of deep-sea hydrothermal vents</w:t>
      </w:r>
      <w:r w:rsidRPr="009978E3">
        <w:rPr>
          <w:rFonts w:ascii="Times New Roman" w:hAnsi="Times New Roman" w:cs="Times New Roman"/>
          <w:sz w:val="22"/>
          <w:szCs w:val="22"/>
        </w:rPr>
        <w:t>. Princeton University Press.</w:t>
      </w:r>
    </w:p>
    <w:p w14:paraId="769E877E"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Van Dover, C. (2000). </w:t>
      </w:r>
      <w:r w:rsidRPr="009978E3">
        <w:rPr>
          <w:rFonts w:ascii="Times New Roman" w:hAnsi="Times New Roman" w:cs="Times New Roman"/>
          <w:i/>
          <w:iCs/>
          <w:sz w:val="22"/>
          <w:szCs w:val="22"/>
        </w:rPr>
        <w:t>The ecology of deep-sea hydrothermal vents</w:t>
      </w:r>
      <w:r w:rsidRPr="009978E3">
        <w:rPr>
          <w:rFonts w:ascii="Times New Roman" w:hAnsi="Times New Roman" w:cs="Times New Roman"/>
          <w:sz w:val="22"/>
          <w:szCs w:val="22"/>
        </w:rPr>
        <w:t>. Princeton University Press.</w:t>
      </w:r>
    </w:p>
    <w:p w14:paraId="3AC0E350"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lang w:val="en-US"/>
        </w:rPr>
        <w:t>Van Dover, C. L., Arnaud-Haond, S., Gianni, M., Helmreich, S., Huber, J. A., Jaeckel, A. L., ... &amp; Steinberg, P. E. (2018). Scientific rationale and international obligations for protection of active hydrothermal vent ecosystems from deep-sea mining. Marine Policy, 90, 20-28.</w:t>
      </w:r>
    </w:p>
    <w:p w14:paraId="14DD3554"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Van Dover, C., Desbruyères, D., Segonzac, M., Comtet, T., Saldanha, L., Fiala-Medioni, A., &amp; Langmuir, C. (1996) Biology of the Lucky Strike hydrothermal field. Deep Sea Research Part I: Oceanographic Research Papers 43(9), 1509-1529.</w:t>
      </w:r>
    </w:p>
    <w:p w14:paraId="0553930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Van Dover, C., German, C., Speer, K., Parson, L. &amp; Vrijenhoek, R. (2002) Evolution and biogeography of deep-sea vent and seep invertebrates. Science 295(5558): 1253-1257.</w:t>
      </w:r>
    </w:p>
    <w:p w14:paraId="723B961B"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Van Oevelen, D. V., Duineveld, G., Lavaleye, M., Mienis, F., Soetaert, K., &amp; Heip, C. H. (2009). The cold</w:t>
      </w:r>
      <w:r w:rsidRPr="0021277B">
        <w:rPr>
          <w:rFonts w:ascii="Cambria Math" w:hAnsi="Cambria Math" w:cs="Cambria Math"/>
          <w:sz w:val="22"/>
          <w:szCs w:val="22"/>
        </w:rPr>
        <w:t>‐</w:t>
      </w:r>
      <w:r w:rsidRPr="00F66EF7">
        <w:rPr>
          <w:rFonts w:ascii="Times New Roman" w:hAnsi="Times New Roman" w:cs="Times New Roman"/>
          <w:sz w:val="22"/>
          <w:szCs w:val="22"/>
        </w:rPr>
        <w:t>water coral community as hotspot of ca</w:t>
      </w:r>
      <w:r w:rsidRPr="009978E3">
        <w:rPr>
          <w:rFonts w:ascii="Times New Roman" w:hAnsi="Times New Roman" w:cs="Times New Roman"/>
          <w:sz w:val="22"/>
          <w:szCs w:val="22"/>
        </w:rPr>
        <w:t>rbon cycling on continental margins: A food</w:t>
      </w:r>
      <w:r w:rsidRPr="0021277B">
        <w:rPr>
          <w:rFonts w:ascii="Cambria Math" w:hAnsi="Cambria Math" w:cs="Cambria Math"/>
          <w:sz w:val="22"/>
          <w:szCs w:val="22"/>
        </w:rPr>
        <w:t>‐</w:t>
      </w:r>
      <w:r w:rsidRPr="00F66EF7">
        <w:rPr>
          <w:rFonts w:ascii="Times New Roman" w:hAnsi="Times New Roman" w:cs="Times New Roman"/>
          <w:sz w:val="22"/>
          <w:szCs w:val="22"/>
        </w:rPr>
        <w:t>web analysis from Rockall Bank (northeast Atlantic). Limnology and O</w:t>
      </w:r>
      <w:r w:rsidRPr="009978E3">
        <w:rPr>
          <w:rFonts w:ascii="Times New Roman" w:hAnsi="Times New Roman" w:cs="Times New Roman"/>
          <w:sz w:val="22"/>
          <w:szCs w:val="22"/>
        </w:rPr>
        <w:t>ceanography, 54(6), 1829-1844.</w:t>
      </w:r>
    </w:p>
    <w:p w14:paraId="72FA769A"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Varentsov, I., Gevork’yan, V. &amp; Serebrennikova, N. (1988). the Geochemistry of Ferromanganese of Altair Seamount, Atlantic Ocean. International Geology Review 30(11): 1246–1256.</w:t>
      </w:r>
    </w:p>
    <w:p w14:paraId="0DA4E84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Vrijenhoek, R. (2010). Genetic diversity and connectivity of deep</w:t>
      </w:r>
      <w:r w:rsidRPr="0021277B">
        <w:rPr>
          <w:rFonts w:ascii="Cambria Math" w:eastAsia="Calibri" w:hAnsi="Cambria Math" w:cs="Cambria Math"/>
          <w:sz w:val="22"/>
          <w:szCs w:val="22"/>
          <w:lang w:val="en-US"/>
        </w:rPr>
        <w:t>‐</w:t>
      </w:r>
      <w:r w:rsidRPr="00F66EF7">
        <w:rPr>
          <w:rFonts w:eastAsia="Calibri"/>
          <w:sz w:val="22"/>
          <w:szCs w:val="22"/>
          <w:lang w:val="en-US"/>
        </w:rPr>
        <w:t>sea hydrothermal vent metapopulations Molecular Ecology 19(20): 4391-4411.</w:t>
      </w:r>
    </w:p>
    <w:p w14:paraId="0A6EFEA0"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rPr>
        <w:t xml:space="preserve">Watling, L., Haedrich, R.L., Devine, J., Drazen, J., Dunn, M.R., Gianni, M., Baker, K., Cailliet, G., Figueiredo, I., Kyne, P.M., Menezes, G., Neat, F., Orlov, A., Duran, P., Perez, J.A., Ardron, J.A., Bezaury, </w:t>
      </w:r>
      <w:r w:rsidRPr="009978E3">
        <w:rPr>
          <w:rFonts w:ascii="Times New Roman" w:hAnsi="Times New Roman" w:cs="Times New Roman"/>
          <w:sz w:val="22"/>
          <w:szCs w:val="22"/>
          <w:lang w:val="en-US"/>
        </w:rPr>
        <w:t xml:space="preserve">J., Revenga, C. &amp; Nouvian, C. (2011). </w:t>
      </w:r>
      <w:r w:rsidRPr="009978E3">
        <w:rPr>
          <w:rFonts w:ascii="Times New Roman" w:hAnsi="Times New Roman" w:cs="Times New Roman"/>
          <w:i/>
          <w:sz w:val="22"/>
          <w:szCs w:val="22"/>
        </w:rPr>
        <w:t>Can ecosystem-based deep-sea fishing be sustained? Report of a workshop held 31 August-3 September 2010. Walpole</w:t>
      </w:r>
      <w:r w:rsidRPr="009978E3">
        <w:rPr>
          <w:rFonts w:ascii="Times New Roman" w:hAnsi="Times New Roman" w:cs="Times New Roman"/>
          <w:sz w:val="22"/>
          <w:szCs w:val="22"/>
        </w:rPr>
        <w:t xml:space="preserve">, ME: University of Maine, Darling Marine Center. Darling Marine Center Special Publication 11-1. </w:t>
      </w:r>
      <w:r w:rsidRPr="009978E3">
        <w:rPr>
          <w:rFonts w:ascii="Times New Roman" w:hAnsi="Times New Roman" w:cs="Times New Roman"/>
          <w:sz w:val="22"/>
          <w:szCs w:val="22"/>
          <w:lang w:val="en-US"/>
        </w:rPr>
        <w:t>84p.</w:t>
      </w:r>
    </w:p>
    <w:p w14:paraId="5F2B0103"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Weaver, A., Bitz, C., Fanning, A. &amp; Holland, M. (1999) Thermohaline circulation: High-latitude phenomena and the difference between the Pacific and Atlantic. Annual Review of Earth and Planetary Sciences 27(1): 231-285.</w:t>
      </w:r>
    </w:p>
    <w:p w14:paraId="0FD2B579"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Webb, T., Vanden Berghe, E. &amp; O’Dor, R. (2010) Biodiversity’s big wet secret: the global distribution of marine biological records reveals chronic underexploration of the deep pelagic ocean. PLoS ONE 5(8): e10223.</w:t>
      </w:r>
    </w:p>
    <w:p w14:paraId="21888D38"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Wheeler, A. J., Murton, B., Copley, J., Lim, A., Carlsson, J., Collins, P., Dorsche,l B., Green, D., Judge, M., Nye, V., Benzie, J., Antoniacomi, A., Coughlan, M. &amp; Morris, K. (2013). Moytirra: Discovery of the first known deep</w:t>
      </w:r>
      <w:r w:rsidRPr="0021277B">
        <w:rPr>
          <w:rFonts w:ascii="Cambria Math" w:eastAsia="Calibri" w:hAnsi="Cambria Math" w:cs="Cambria Math"/>
          <w:sz w:val="22"/>
          <w:szCs w:val="22"/>
          <w:lang w:val="en-US"/>
        </w:rPr>
        <w:t>‐</w:t>
      </w:r>
      <w:r w:rsidRPr="00F66EF7">
        <w:rPr>
          <w:rFonts w:eastAsia="Calibri"/>
          <w:sz w:val="22"/>
          <w:szCs w:val="22"/>
          <w:lang w:val="en-US"/>
        </w:rPr>
        <w:t>sea hydrothermal vent field on the slow</w:t>
      </w:r>
      <w:r w:rsidRPr="0021277B">
        <w:rPr>
          <w:rFonts w:ascii="Cambria Math" w:eastAsia="Calibri" w:hAnsi="Cambria Math" w:cs="Cambria Math"/>
          <w:sz w:val="22"/>
          <w:szCs w:val="22"/>
          <w:lang w:val="en-US"/>
        </w:rPr>
        <w:t>‐</w:t>
      </w:r>
      <w:r w:rsidRPr="00F66EF7">
        <w:rPr>
          <w:rFonts w:eastAsia="Calibri"/>
          <w:sz w:val="22"/>
          <w:szCs w:val="22"/>
          <w:lang w:val="en-US"/>
        </w:rPr>
        <w:t>spreading Mid</w:t>
      </w:r>
      <w:r w:rsidRPr="0021277B">
        <w:rPr>
          <w:rFonts w:ascii="Cambria Math" w:eastAsia="Calibri" w:hAnsi="Cambria Math" w:cs="Cambria Math"/>
          <w:sz w:val="22"/>
          <w:szCs w:val="22"/>
          <w:lang w:val="en-US"/>
        </w:rPr>
        <w:t>‐</w:t>
      </w:r>
      <w:r w:rsidRPr="00F66EF7">
        <w:rPr>
          <w:rFonts w:eastAsia="Calibri"/>
          <w:sz w:val="22"/>
          <w:szCs w:val="22"/>
          <w:lang w:val="en-US"/>
        </w:rPr>
        <w:t>Atlant</w:t>
      </w:r>
      <w:r w:rsidRPr="009978E3">
        <w:rPr>
          <w:rFonts w:eastAsia="Calibri"/>
          <w:sz w:val="22"/>
          <w:szCs w:val="22"/>
          <w:lang w:val="en-US"/>
        </w:rPr>
        <w:t>ic Ridge north of the Azores. Geochemistry, Geophysics, Geosystems 14(10): 4170-4184.</w:t>
      </w:r>
    </w:p>
    <w:p w14:paraId="0E9E61E8"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White, M., Bashmachnikov, I., Aristegui, J. &amp; Martins, A. (2007) Physical processes and seamount productivity. In: Pitcher, T., Morato T., Hart, P., Clark, M., Haggan, N. &amp; Santos, R. (Eds) Seamounts: Ecology, Fisheries &amp; Conservation. Fish and Aquatic Resources Series 12, Blackwell Publishing, Oxford, United Kingdom, pp 65-84.</w:t>
      </w:r>
    </w:p>
    <w:p w14:paraId="6D1EBC79"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 xml:space="preserve">White, M., Wolff, G. A., Lundälv, T., Guihen, D., Kiriakoulakis, K., Lavaleye, M. S. S., </w:t>
      </w:r>
      <w:r w:rsidRPr="0006066A">
        <w:rPr>
          <w:rFonts w:ascii="Times New Roman" w:hAnsi="Times New Roman" w:cs="Times New Roman"/>
          <w:i/>
          <w:sz w:val="22"/>
          <w:szCs w:val="22"/>
        </w:rPr>
        <w:t>et al</w:t>
      </w:r>
      <w:r w:rsidRPr="009978E3">
        <w:rPr>
          <w:rFonts w:ascii="Times New Roman" w:hAnsi="Times New Roman" w:cs="Times New Roman"/>
          <w:sz w:val="22"/>
          <w:szCs w:val="22"/>
        </w:rPr>
        <w:t>. (2012). Cold-water coral ecosystem (Tisler Reef, Norwegian shelf) may be a hotspot for carbon cycling. Marine Ecology Progress Series, 465, 11–23.</w:t>
      </w:r>
    </w:p>
    <w:p w14:paraId="4F315AD4" w14:textId="77777777" w:rsidR="006B3F46" w:rsidRPr="009978E3" w:rsidRDefault="006B3F46" w:rsidP="00907941">
      <w:pPr>
        <w:pStyle w:val="NoSpacing"/>
        <w:spacing w:line="240" w:lineRule="auto"/>
        <w:ind w:left="720" w:hanging="720"/>
        <w:rPr>
          <w:rFonts w:ascii="Times New Roman" w:hAnsi="Times New Roman" w:cs="Times New Roman"/>
          <w:sz w:val="22"/>
          <w:szCs w:val="22"/>
          <w:lang w:val="en-US"/>
        </w:rPr>
      </w:pPr>
      <w:r w:rsidRPr="009978E3">
        <w:rPr>
          <w:rFonts w:ascii="Times New Roman" w:hAnsi="Times New Roman" w:cs="Times New Roman"/>
          <w:sz w:val="22"/>
          <w:szCs w:val="22"/>
        </w:rPr>
        <w:t xml:space="preserve">Wisshak, M., Neumann, C., Jakobsen, J. and Freiwald, A. (2009) The ‘living-fossil community’of the cyrtocrinid Cyathidium foresti and the deep-sea oyster Neopycnodonte zibrowii (Azores Archipelago). </w:t>
      </w:r>
      <w:r w:rsidRPr="009978E3">
        <w:rPr>
          <w:rFonts w:ascii="Times New Roman" w:hAnsi="Times New Roman" w:cs="Times New Roman"/>
          <w:sz w:val="22"/>
          <w:szCs w:val="22"/>
          <w:lang w:val="en-US"/>
        </w:rPr>
        <w:t>Palaeogeography, Palaeoclimatology, Palaeoecology, 271(1-2), pp.77-83.</w:t>
      </w:r>
    </w:p>
    <w:p w14:paraId="33764E02"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WWF (2001) Implementation of the EU Habitats Directive Offshore: Natura 2000 sites for reefs and submerged seabanks. Vol. II. Northeast Atlantic and North Sea, 87pp. World Wildlife Fund.</w:t>
      </w:r>
    </w:p>
    <w:p w14:paraId="5C9B7825"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Xavier, J., Magalhães, M., Mendonça, A., Antunes, M., Carvalho, N., Machete, M., Santos, R., Paiva, V. &amp; Hamer, K. (2011) Changes in diet of Cory’s Shearwaters Calonectris diomedea breeding in the Azores. Marine Ornithology 39: 129-134.</w:t>
      </w:r>
    </w:p>
    <w:p w14:paraId="535CFFFA" w14:textId="77777777" w:rsidR="006B3F46" w:rsidRPr="009978E3" w:rsidRDefault="006B3F46" w:rsidP="00907941">
      <w:pPr>
        <w:pStyle w:val="NoSpacing"/>
        <w:spacing w:line="240" w:lineRule="auto"/>
        <w:ind w:left="720" w:hanging="720"/>
        <w:rPr>
          <w:rFonts w:ascii="Times New Roman" w:hAnsi="Times New Roman" w:cs="Times New Roman"/>
          <w:sz w:val="22"/>
          <w:szCs w:val="22"/>
        </w:rPr>
      </w:pPr>
      <w:r w:rsidRPr="009978E3">
        <w:rPr>
          <w:rFonts w:ascii="Times New Roman" w:hAnsi="Times New Roman" w:cs="Times New Roman"/>
          <w:sz w:val="22"/>
          <w:szCs w:val="22"/>
        </w:rPr>
        <w:t>Yesson, C., Taylor, M. L., Tittensor, D. P., Davies, A. J., Guinotte, J., Baco, A., ... &amp; Rogers, A. D. (2012). Global habitat suitability of cold</w:t>
      </w:r>
      <w:r w:rsidRPr="0021277B">
        <w:rPr>
          <w:rFonts w:ascii="Cambria Math" w:hAnsi="Cambria Math" w:cs="Cambria Math"/>
          <w:sz w:val="22"/>
          <w:szCs w:val="22"/>
        </w:rPr>
        <w:t>‐</w:t>
      </w:r>
      <w:r w:rsidRPr="00F66EF7">
        <w:rPr>
          <w:rFonts w:ascii="Times New Roman" w:hAnsi="Times New Roman" w:cs="Times New Roman"/>
          <w:sz w:val="22"/>
          <w:szCs w:val="22"/>
        </w:rPr>
        <w:t>water octocorals.</w:t>
      </w:r>
      <w:r w:rsidRPr="009978E3">
        <w:rPr>
          <w:rFonts w:ascii="Times New Roman" w:hAnsi="Times New Roman" w:cs="Times New Roman"/>
          <w:sz w:val="22"/>
          <w:szCs w:val="22"/>
        </w:rPr>
        <w:t> </w:t>
      </w:r>
      <w:r w:rsidRPr="009978E3">
        <w:rPr>
          <w:rFonts w:ascii="Times New Roman" w:hAnsi="Times New Roman" w:cs="Times New Roman"/>
          <w:i/>
          <w:iCs/>
          <w:sz w:val="22"/>
          <w:szCs w:val="22"/>
        </w:rPr>
        <w:t>Journal of Biogeography</w:t>
      </w:r>
      <w:r w:rsidRPr="009978E3">
        <w:rPr>
          <w:rFonts w:ascii="Times New Roman" w:hAnsi="Times New Roman" w:cs="Times New Roman"/>
          <w:sz w:val="22"/>
          <w:szCs w:val="22"/>
        </w:rPr>
        <w:t>, </w:t>
      </w:r>
      <w:r w:rsidRPr="009978E3">
        <w:rPr>
          <w:rFonts w:ascii="Times New Roman" w:hAnsi="Times New Roman" w:cs="Times New Roman"/>
          <w:i/>
          <w:iCs/>
          <w:sz w:val="22"/>
          <w:szCs w:val="22"/>
        </w:rPr>
        <w:t>39</w:t>
      </w:r>
      <w:r w:rsidRPr="009978E3">
        <w:rPr>
          <w:rFonts w:ascii="Times New Roman" w:hAnsi="Times New Roman" w:cs="Times New Roman"/>
          <w:sz w:val="22"/>
          <w:szCs w:val="22"/>
        </w:rPr>
        <w:t>(7), 1278-1292.</w:t>
      </w:r>
    </w:p>
    <w:p w14:paraId="31D5002C" w14:textId="77777777" w:rsidR="006B3F46" w:rsidRPr="009978E3" w:rsidRDefault="006B3F46" w:rsidP="00907941">
      <w:pPr>
        <w:ind w:left="720" w:hanging="720"/>
        <w:jc w:val="both"/>
        <w:rPr>
          <w:rFonts w:eastAsia="Calibri"/>
          <w:sz w:val="22"/>
          <w:szCs w:val="22"/>
          <w:lang w:val="en-US"/>
        </w:rPr>
      </w:pPr>
      <w:r w:rsidRPr="009978E3">
        <w:rPr>
          <w:rFonts w:eastAsia="Calibri"/>
          <w:sz w:val="22"/>
          <w:szCs w:val="22"/>
          <w:lang w:val="en-US"/>
        </w:rPr>
        <w:t>Zolotarev, B. (1984). Volcanic Formations of the Second Layer of the Oceanic Crust. Trudy 27 Mezhdunarodnogo geologicheskogo kongressa 6(part1): 138-147.</w:t>
      </w:r>
    </w:p>
    <w:p w14:paraId="53747678" w14:textId="77777777" w:rsidR="006B3F46" w:rsidRPr="009978E3" w:rsidRDefault="006B3F46" w:rsidP="00907941">
      <w:pPr>
        <w:ind w:left="720" w:hanging="720"/>
        <w:rPr>
          <w:rFonts w:eastAsia="MS Mincho"/>
          <w:b/>
          <w:sz w:val="22"/>
          <w:szCs w:val="22"/>
          <w:lang w:val="en-US"/>
        </w:rPr>
      </w:pPr>
    </w:p>
    <w:p w14:paraId="35F1B54F" w14:textId="77777777" w:rsidR="006B3F46" w:rsidRPr="009978E3" w:rsidRDefault="006B3F46" w:rsidP="00907941">
      <w:pPr>
        <w:rPr>
          <w:rFonts w:eastAsia="MS Mincho"/>
          <w:b/>
          <w:sz w:val="22"/>
          <w:szCs w:val="22"/>
          <w:lang w:val="en-US"/>
        </w:rPr>
      </w:pPr>
    </w:p>
    <w:p w14:paraId="14C557C4" w14:textId="77777777" w:rsidR="006B3F46" w:rsidRDefault="006B3F46" w:rsidP="002E4B39">
      <w:pPr>
        <w:keepNext/>
        <w:rPr>
          <w:rFonts w:eastAsia="MS Mincho"/>
          <w:b/>
          <w:sz w:val="22"/>
          <w:szCs w:val="22"/>
          <w:lang w:val="en-US"/>
        </w:rPr>
      </w:pPr>
      <w:r w:rsidRPr="009978E3">
        <w:rPr>
          <w:rFonts w:eastAsia="MS Mincho"/>
          <w:b/>
          <w:sz w:val="22"/>
          <w:szCs w:val="22"/>
          <w:lang w:val="en-US"/>
        </w:rPr>
        <w:t>Maps and Figures</w:t>
      </w:r>
    </w:p>
    <w:p w14:paraId="71C4B94A" w14:textId="77777777" w:rsidR="006B3F46" w:rsidRDefault="009E53BE" w:rsidP="00907941">
      <w:pPr>
        <w:rPr>
          <w:rFonts w:eastAsia="MS Mincho"/>
          <w:b/>
          <w:sz w:val="22"/>
          <w:szCs w:val="22"/>
          <w:lang w:val="en-US"/>
        </w:rPr>
      </w:pPr>
      <w:r>
        <w:pict w14:anchorId="6181CD94">
          <v:shape id="_x0000_i1129" type="#_x0000_t75" style="width:411pt;height:411pt">
            <v:imagedata r:id="rId272" o:title=""/>
          </v:shape>
        </w:pict>
      </w:r>
    </w:p>
    <w:p w14:paraId="230549D7" w14:textId="77777777" w:rsidR="006B3F46" w:rsidRPr="009978E3" w:rsidRDefault="006B3F46" w:rsidP="00907941">
      <w:pPr>
        <w:rPr>
          <w:rFonts w:eastAsia="MS Mincho"/>
          <w:b/>
          <w:sz w:val="22"/>
          <w:szCs w:val="22"/>
          <w:lang w:val="en-US"/>
        </w:rPr>
      </w:pPr>
    </w:p>
    <w:p w14:paraId="1CEE7D9F" w14:textId="77777777" w:rsidR="006B3F46" w:rsidRPr="0021277B" w:rsidRDefault="006B3F46" w:rsidP="00907941">
      <w:pPr>
        <w:jc w:val="center"/>
        <w:rPr>
          <w:b/>
          <w:bCs/>
          <w:sz w:val="22"/>
          <w:szCs w:val="22"/>
        </w:rPr>
      </w:pPr>
      <w:r w:rsidRPr="0021277B">
        <w:rPr>
          <w:b/>
          <w:bCs/>
          <w:sz w:val="22"/>
          <w:szCs w:val="22"/>
        </w:rPr>
        <w:t>Location of area no. 13: North Azores Plateau</w:t>
      </w:r>
    </w:p>
    <w:p w14:paraId="0455FF4D" w14:textId="77777777" w:rsidR="006B3F46" w:rsidRPr="00F66EF7" w:rsidRDefault="009E53BE" w:rsidP="00907941">
      <w:pPr>
        <w:jc w:val="both"/>
        <w:rPr>
          <w:rFonts w:eastAsia="MS Mincho"/>
          <w:sz w:val="22"/>
          <w:szCs w:val="22"/>
          <w:lang w:val="en-US"/>
        </w:rPr>
      </w:pPr>
      <w:r>
        <w:rPr>
          <w:noProof/>
          <w:sz w:val="22"/>
          <w:szCs w:val="22"/>
          <w:lang w:val="fr-CA" w:eastAsia="fr-CA"/>
        </w:rPr>
        <w:pict w14:anchorId="4BB8845A">
          <v:shape id="_x0000_i1130" type="#_x0000_t75" style="width:426pt;height:285.75pt;visibility:visible">
            <v:imagedata r:id="rId273" o:title=""/>
          </v:shape>
        </w:pict>
      </w:r>
    </w:p>
    <w:p w14:paraId="337759CB"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Figure 1</w:t>
      </w:r>
      <w:r>
        <w:rPr>
          <w:rFonts w:eastAsia="MS Mincho"/>
          <w:sz w:val="22"/>
          <w:szCs w:val="22"/>
          <w:lang w:val="en-US"/>
        </w:rPr>
        <w:t>.</w:t>
      </w:r>
      <w:r w:rsidRPr="009978E3">
        <w:rPr>
          <w:rFonts w:eastAsia="MS Mincho"/>
          <w:sz w:val="22"/>
          <w:szCs w:val="22"/>
          <w:lang w:val="en-US"/>
        </w:rPr>
        <w:t xml:space="preserve"> Structures included in </w:t>
      </w:r>
      <w:r>
        <w:rPr>
          <w:rFonts w:eastAsia="MS Mincho"/>
          <w:sz w:val="22"/>
          <w:szCs w:val="22"/>
          <w:lang w:val="en-US"/>
        </w:rPr>
        <w:t>North Azores Plateau</w:t>
      </w:r>
      <w:r w:rsidRPr="009978E3">
        <w:rPr>
          <w:rFonts w:eastAsia="MS Mincho"/>
          <w:sz w:val="22"/>
          <w:szCs w:val="22"/>
          <w:lang w:val="en-US"/>
        </w:rPr>
        <w:t xml:space="preserve"> area </w:t>
      </w:r>
    </w:p>
    <w:p w14:paraId="78A58573" w14:textId="77777777" w:rsidR="006B3F46" w:rsidRPr="00F66EF7" w:rsidRDefault="006B3F46" w:rsidP="00907941">
      <w:pPr>
        <w:jc w:val="both"/>
        <w:rPr>
          <w:rFonts w:eastAsia="MS Mincho"/>
          <w:sz w:val="22"/>
          <w:szCs w:val="22"/>
          <w:lang w:val="en-US"/>
        </w:rPr>
      </w:pPr>
      <w:r w:rsidRPr="009978E3">
        <w:rPr>
          <w:noProof/>
          <w:sz w:val="22"/>
          <w:szCs w:val="22"/>
          <w:lang w:val="fr-CA" w:eastAsia="fr-CA"/>
        </w:rPr>
        <w:object w:dxaOrig="8088" w:dyaOrig="5880" w14:anchorId="00BA4585">
          <v:shape id="_x0000_i1131" type="#_x0000_t75" style="width:404.25pt;height:294pt" o:ole="">
            <v:imagedata r:id="rId274" o:title="" croptop="-854f" cropbottom="-1612f" cropleft="-1395f" cropright="-1278f"/>
            <o:lock v:ext="edit" aspectratio="f"/>
          </v:shape>
          <o:OLEObject Type="Embed" ProgID="Excel.Sheet.8" ShapeID="_x0000_i1131" DrawAspect="Content" ObjectID="_1639044485" r:id="rId275">
            <o:FieldCodes>\s</o:FieldCodes>
          </o:OLEObject>
        </w:object>
      </w:r>
    </w:p>
    <w:p w14:paraId="1A3029B2" w14:textId="77777777" w:rsidR="006B3F46" w:rsidRPr="009978E3" w:rsidRDefault="006B3F46" w:rsidP="00907941">
      <w:pPr>
        <w:jc w:val="both"/>
        <w:rPr>
          <w:rFonts w:eastAsia="MS Mincho"/>
          <w:sz w:val="22"/>
          <w:szCs w:val="22"/>
          <w:lang w:val="en-US"/>
        </w:rPr>
      </w:pPr>
      <w:r w:rsidRPr="009978E3">
        <w:rPr>
          <w:rFonts w:eastAsia="MS Mincho"/>
          <w:sz w:val="22"/>
          <w:szCs w:val="22"/>
          <w:lang w:val="en-US"/>
        </w:rPr>
        <w:t xml:space="preserve">Figure </w:t>
      </w:r>
      <w:r>
        <w:rPr>
          <w:rFonts w:eastAsia="MS Mincho"/>
          <w:sz w:val="22"/>
          <w:szCs w:val="22"/>
          <w:lang w:val="en-US"/>
        </w:rPr>
        <w:t>2.</w:t>
      </w:r>
      <w:r w:rsidRPr="009978E3">
        <w:rPr>
          <w:rFonts w:eastAsia="MS Mincho"/>
          <w:sz w:val="22"/>
          <w:szCs w:val="22"/>
          <w:lang w:val="en-US"/>
        </w:rPr>
        <w:t xml:space="preserve"> Relative frequency (</w:t>
      </w:r>
      <w:r>
        <w:rPr>
          <w:rFonts w:eastAsia="MS Mincho"/>
          <w:sz w:val="22"/>
          <w:szCs w:val="22"/>
          <w:lang w:val="en-US"/>
        </w:rPr>
        <w:t xml:space="preserve"> per cent</w:t>
      </w:r>
      <w:r w:rsidRPr="009978E3">
        <w:rPr>
          <w:rFonts w:eastAsia="MS Mincho"/>
          <w:sz w:val="22"/>
          <w:szCs w:val="22"/>
          <w:lang w:val="en-US"/>
        </w:rPr>
        <w:t xml:space="preserve">) of the different phylum/class/order of the species identified in the </w:t>
      </w:r>
      <w:r>
        <w:rPr>
          <w:rFonts w:eastAsia="MS Mincho"/>
          <w:sz w:val="22"/>
          <w:szCs w:val="22"/>
          <w:lang w:val="en-US"/>
        </w:rPr>
        <w:t>North Azores Plateau area</w:t>
      </w:r>
      <w:r w:rsidRPr="009978E3">
        <w:rPr>
          <w:rFonts w:eastAsia="MS Mincho"/>
          <w:sz w:val="22"/>
          <w:szCs w:val="22"/>
          <w:lang w:val="en-US"/>
        </w:rPr>
        <w:t>.</w:t>
      </w:r>
    </w:p>
    <w:p w14:paraId="05D4F1D5"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Rights and permissions </w:t>
      </w:r>
    </w:p>
    <w:p w14:paraId="340C15B0" w14:textId="3CD2593E" w:rsidR="006B3F46" w:rsidRPr="009978E3" w:rsidRDefault="006B3F46" w:rsidP="00907941">
      <w:pPr>
        <w:jc w:val="both"/>
        <w:rPr>
          <w:rFonts w:eastAsia="MS Mincho"/>
          <w:b/>
          <w:sz w:val="22"/>
          <w:szCs w:val="22"/>
          <w:lang w:val="en-US"/>
        </w:rPr>
      </w:pPr>
      <w:r w:rsidRPr="009978E3">
        <w:rPr>
          <w:sz w:val="22"/>
          <w:szCs w:val="22"/>
        </w:rPr>
        <w:t>Only processed and analysed information is included here</w:t>
      </w:r>
      <w:r>
        <w:rPr>
          <w:sz w:val="22"/>
          <w:szCs w:val="22"/>
        </w:rPr>
        <w:t>,</w:t>
      </w:r>
      <w:r w:rsidRPr="009978E3">
        <w:rPr>
          <w:sz w:val="22"/>
          <w:szCs w:val="22"/>
        </w:rPr>
        <w:t xml:space="preserve"> and the results from these analyses are publicly available.</w:t>
      </w:r>
      <w:r w:rsidRPr="009978E3">
        <w:rPr>
          <w:rFonts w:eastAsia="MS Mincho"/>
          <w:b/>
          <w:sz w:val="22"/>
          <w:szCs w:val="22"/>
          <w:lang w:val="en-US"/>
        </w:rPr>
        <w:br w:type="page"/>
      </w:r>
    </w:p>
    <w:p w14:paraId="4EA8CA38" w14:textId="77777777" w:rsidR="006B3F46" w:rsidRPr="009978E3" w:rsidRDefault="006B3F46" w:rsidP="00907941">
      <w:pPr>
        <w:jc w:val="center"/>
        <w:rPr>
          <w:b/>
          <w:sz w:val="22"/>
          <w:szCs w:val="22"/>
        </w:rPr>
      </w:pPr>
      <w:r w:rsidRPr="009978E3">
        <w:rPr>
          <w:rFonts w:eastAsia="MS Mincho"/>
          <w:b/>
          <w:sz w:val="22"/>
          <w:szCs w:val="22"/>
          <w:lang w:val="en-US"/>
        </w:rPr>
        <w:t xml:space="preserve">Area no. 14: </w:t>
      </w:r>
    </w:p>
    <w:p w14:paraId="3C62928C" w14:textId="77777777" w:rsidR="006B3F46" w:rsidRPr="009978E3" w:rsidRDefault="006B3F46" w:rsidP="00907941">
      <w:pPr>
        <w:jc w:val="center"/>
        <w:rPr>
          <w:b/>
          <w:sz w:val="22"/>
          <w:szCs w:val="22"/>
        </w:rPr>
      </w:pPr>
      <w:bookmarkStart w:id="35" w:name="_Hlk23416771"/>
      <w:r w:rsidRPr="009978E3">
        <w:rPr>
          <w:b/>
          <w:sz w:val="22"/>
          <w:szCs w:val="22"/>
        </w:rPr>
        <w:t xml:space="preserve">Mid-North-Atlantic Frontal System </w:t>
      </w:r>
    </w:p>
    <w:bookmarkEnd w:id="35"/>
    <w:p w14:paraId="1788BCAE"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 xml:space="preserve">Abstract </w:t>
      </w:r>
    </w:p>
    <w:p w14:paraId="73BB0F9D" w14:textId="77777777" w:rsidR="006B3F46" w:rsidRPr="009978E3" w:rsidRDefault="006B3F46" w:rsidP="002E4B39">
      <w:pPr>
        <w:suppressLineNumbers/>
        <w:spacing w:after="120"/>
        <w:jc w:val="both"/>
        <w:rPr>
          <w:rFonts w:eastAsia="MS Mincho"/>
          <w:sz w:val="22"/>
          <w:szCs w:val="22"/>
          <w:lang w:val="en-US"/>
        </w:rPr>
      </w:pPr>
      <w:r w:rsidRPr="009978E3">
        <w:rPr>
          <w:sz w:val="22"/>
          <w:szCs w:val="22"/>
        </w:rPr>
        <w:t xml:space="preserve">The </w:t>
      </w:r>
      <w:r>
        <w:rPr>
          <w:sz w:val="22"/>
          <w:szCs w:val="22"/>
        </w:rPr>
        <w:t>M</w:t>
      </w:r>
      <w:r w:rsidRPr="009978E3">
        <w:rPr>
          <w:sz w:val="22"/>
          <w:szCs w:val="22"/>
        </w:rPr>
        <w:t>id-</w:t>
      </w:r>
      <w:r>
        <w:rPr>
          <w:sz w:val="22"/>
          <w:szCs w:val="22"/>
        </w:rPr>
        <w:t>North-</w:t>
      </w:r>
      <w:r w:rsidRPr="009978E3">
        <w:rPr>
          <w:sz w:val="22"/>
          <w:szCs w:val="22"/>
        </w:rPr>
        <w:t xml:space="preserve">Atlantic </w:t>
      </w:r>
      <w:r>
        <w:rPr>
          <w:sz w:val="22"/>
          <w:szCs w:val="22"/>
        </w:rPr>
        <w:t>F</w:t>
      </w:r>
      <w:r w:rsidRPr="009978E3">
        <w:rPr>
          <w:sz w:val="22"/>
          <w:szCs w:val="22"/>
        </w:rPr>
        <w:t xml:space="preserve">rontal </w:t>
      </w:r>
      <w:r>
        <w:rPr>
          <w:sz w:val="22"/>
          <w:szCs w:val="22"/>
        </w:rPr>
        <w:t>S</w:t>
      </w:r>
      <w:r w:rsidRPr="009978E3">
        <w:rPr>
          <w:sz w:val="22"/>
          <w:szCs w:val="22"/>
        </w:rPr>
        <w:t>ystem</w:t>
      </w:r>
      <w:r>
        <w:rPr>
          <w:sz w:val="22"/>
          <w:szCs w:val="22"/>
        </w:rPr>
        <w:t xml:space="preserve"> </w:t>
      </w:r>
      <w:r w:rsidRPr="009978E3">
        <w:rPr>
          <w:sz w:val="22"/>
          <w:szCs w:val="22"/>
        </w:rPr>
        <w:t>is a remote area of intense mesoscale activity with near</w:t>
      </w:r>
      <w:r>
        <w:rPr>
          <w:sz w:val="22"/>
          <w:szCs w:val="22"/>
        </w:rPr>
        <w:t>-</w:t>
      </w:r>
      <w:r w:rsidRPr="009978E3">
        <w:rPr>
          <w:sz w:val="22"/>
          <w:szCs w:val="22"/>
        </w:rPr>
        <w:t>stationary eddies and numerous thermal fronts aligned in zonal bands. These fronts and eddies enhance primary productivity and retain and concentrate secondary productivity both vertically and horizontally. The combination of localised high</w:t>
      </w:r>
      <w:r>
        <w:rPr>
          <w:sz w:val="22"/>
          <w:szCs w:val="22"/>
        </w:rPr>
        <w:t>-</w:t>
      </w:r>
      <w:r w:rsidRPr="009978E3">
        <w:rPr>
          <w:sz w:val="22"/>
          <w:szCs w:val="22"/>
        </w:rPr>
        <w:t>intensity mixing in the eddies results in patchy</w:t>
      </w:r>
      <w:r>
        <w:rPr>
          <w:sz w:val="22"/>
          <w:szCs w:val="22"/>
        </w:rPr>
        <w:t>,</w:t>
      </w:r>
      <w:r w:rsidRPr="009978E3">
        <w:rPr>
          <w:sz w:val="22"/>
          <w:szCs w:val="22"/>
        </w:rPr>
        <w:t xml:space="preserve"> high surface, productivity at fine scales. Tracking data collected for seabirds, whales, sea-turtles, tunas and sharks (several of which </w:t>
      </w:r>
      <w:r>
        <w:rPr>
          <w:sz w:val="22"/>
          <w:szCs w:val="22"/>
        </w:rPr>
        <w:t xml:space="preserve">are </w:t>
      </w:r>
      <w:r w:rsidRPr="009978E3">
        <w:rPr>
          <w:sz w:val="22"/>
          <w:szCs w:val="22"/>
        </w:rPr>
        <w:t xml:space="preserve">globally threatened) confirm </w:t>
      </w:r>
      <w:r>
        <w:rPr>
          <w:sz w:val="22"/>
          <w:szCs w:val="22"/>
        </w:rPr>
        <w:t xml:space="preserve">that </w:t>
      </w:r>
      <w:r w:rsidRPr="009978E3">
        <w:rPr>
          <w:sz w:val="22"/>
          <w:szCs w:val="22"/>
        </w:rPr>
        <w:t>this is an area of high productivity, with a high intensity of foraging activity</w:t>
      </w:r>
      <w:r>
        <w:rPr>
          <w:sz w:val="22"/>
          <w:szCs w:val="22"/>
        </w:rPr>
        <w:t>,</w:t>
      </w:r>
      <w:r w:rsidRPr="009978E3">
        <w:rPr>
          <w:sz w:val="22"/>
          <w:szCs w:val="22"/>
        </w:rPr>
        <w:t xml:space="preserve"> </w:t>
      </w:r>
      <w:r w:rsidRPr="002E4B39">
        <w:rPr>
          <w:rFonts w:eastAsia="MS Mincho"/>
          <w:sz w:val="22"/>
          <w:szCs w:val="22"/>
          <w:lang w:val="en-US"/>
        </w:rPr>
        <w:t>suggesting</w:t>
      </w:r>
      <w:r w:rsidRPr="009978E3">
        <w:rPr>
          <w:sz w:val="22"/>
          <w:szCs w:val="22"/>
        </w:rPr>
        <w:t xml:space="preserve"> that productivity cascades to higher trophic levels. </w:t>
      </w:r>
    </w:p>
    <w:p w14:paraId="088B339F"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5F482098" w14:textId="77777777" w:rsidR="006B3F46" w:rsidRPr="00EC5399" w:rsidRDefault="006B3F46" w:rsidP="002E4B39">
      <w:pPr>
        <w:suppressLineNumbers/>
        <w:spacing w:after="120"/>
        <w:jc w:val="both"/>
        <w:rPr>
          <w:sz w:val="22"/>
          <w:szCs w:val="22"/>
        </w:rPr>
      </w:pPr>
      <w:r w:rsidRPr="009978E3">
        <w:rPr>
          <w:sz w:val="22"/>
          <w:szCs w:val="22"/>
        </w:rPr>
        <w:t xml:space="preserve">The North-Atlantic Current (NAC) is the main northward branch of the Gulf Stream </w:t>
      </w:r>
      <w:r w:rsidRPr="009978E3">
        <w:rPr>
          <w:noProof/>
          <w:sz w:val="22"/>
          <w:szCs w:val="22"/>
        </w:rPr>
        <w:t xml:space="preserve">(Krauss 1986, </w:t>
      </w:r>
      <w:r w:rsidRPr="009978E3">
        <w:rPr>
          <w:sz w:val="22"/>
          <w:szCs w:val="22"/>
        </w:rPr>
        <w:t xml:space="preserve">Rossby 1996), transporting warm water towards higher latitudes. After splitting from the Gulf Stream near the Tail of the Grand Banks of Newfoundland and extending north into the Labrador Sea, the NAC turns east at the so-called </w:t>
      </w:r>
      <w:r w:rsidRPr="009978E3">
        <w:rPr>
          <w:color w:val="000000"/>
          <w:sz w:val="22"/>
          <w:szCs w:val="22"/>
          <w:shd w:val="clear" w:color="auto" w:fill="FFFFFF"/>
        </w:rPr>
        <w:t xml:space="preserve">Northwest Corner and flows eastward. The front associated with the NAC is called the </w:t>
      </w:r>
      <w:r w:rsidRPr="009978E3">
        <w:rPr>
          <w:sz w:val="22"/>
          <w:szCs w:val="22"/>
        </w:rPr>
        <w:t xml:space="preserve">Subpolar (or Subarctic) Front </w:t>
      </w:r>
      <w:r w:rsidRPr="009978E3">
        <w:rPr>
          <w:noProof/>
          <w:sz w:val="22"/>
          <w:szCs w:val="22"/>
        </w:rPr>
        <w:t>(Belkin &amp; Levitus 1996)</w:t>
      </w:r>
      <w:r w:rsidRPr="009978E3">
        <w:rPr>
          <w:sz w:val="22"/>
          <w:szCs w:val="22"/>
        </w:rPr>
        <w:t xml:space="preserve">. </w:t>
      </w:r>
      <w:r w:rsidRPr="009978E3">
        <w:rPr>
          <w:color w:val="000000"/>
          <w:sz w:val="22"/>
          <w:szCs w:val="22"/>
          <w:shd w:val="clear" w:color="auto" w:fill="FFFFFF"/>
        </w:rPr>
        <w:t xml:space="preserve">The Subpolar Front is a relatively wide region that separates the subtropical gyre from the subpolar gyre and where the main thermocline shoals to the surface </w:t>
      </w:r>
      <w:r w:rsidRPr="009978E3">
        <w:rPr>
          <w:noProof/>
          <w:color w:val="000000"/>
          <w:sz w:val="22"/>
          <w:szCs w:val="22"/>
          <w:shd w:val="clear" w:color="auto" w:fill="FFFFFF"/>
        </w:rPr>
        <w:t>(Rossby 1996)</w:t>
      </w:r>
      <w:r w:rsidRPr="009978E3">
        <w:rPr>
          <w:color w:val="000000"/>
          <w:sz w:val="22"/>
          <w:szCs w:val="22"/>
          <w:shd w:val="clear" w:color="auto" w:fill="FFFFFF"/>
        </w:rPr>
        <w:t xml:space="preserve">. The NAC is different from surrounding areas and can be visualised through </w:t>
      </w:r>
      <w:r w:rsidRPr="009978E3">
        <w:rPr>
          <w:sz w:val="22"/>
          <w:szCs w:val="22"/>
        </w:rPr>
        <w:t xml:space="preserve">satellite altimetry and NEMO (Nucleus for European Modelling of the Ocean) ocean models </w:t>
      </w:r>
      <w:r w:rsidRPr="009978E3">
        <w:rPr>
          <w:noProof/>
          <w:sz w:val="22"/>
          <w:szCs w:val="22"/>
        </w:rPr>
        <w:t>(</w:t>
      </w:r>
      <w:r>
        <w:rPr>
          <w:noProof/>
          <w:sz w:val="22"/>
          <w:szCs w:val="22"/>
        </w:rPr>
        <w:t>e.g.</w:t>
      </w:r>
      <w:r w:rsidRPr="009978E3">
        <w:rPr>
          <w:noProof/>
          <w:sz w:val="22"/>
          <w:szCs w:val="22"/>
        </w:rPr>
        <w:t xml:space="preserve">, </w:t>
      </w:r>
      <w:r w:rsidRPr="00EC5399">
        <w:rPr>
          <w:noProof/>
          <w:sz w:val="22"/>
          <w:szCs w:val="22"/>
        </w:rPr>
        <w:t>Miller</w:t>
      </w:r>
      <w:r w:rsidRPr="00EC5399">
        <w:rPr>
          <w:i/>
          <w:noProof/>
          <w:sz w:val="22"/>
          <w:szCs w:val="22"/>
        </w:rPr>
        <w:t xml:space="preserve"> et al</w:t>
      </w:r>
      <w:r w:rsidRPr="00EC5399">
        <w:rPr>
          <w:noProof/>
          <w:sz w:val="22"/>
          <w:szCs w:val="22"/>
        </w:rPr>
        <w:t>. 2013; Marzocchi</w:t>
      </w:r>
      <w:r w:rsidRPr="00EC5399">
        <w:rPr>
          <w:i/>
          <w:noProof/>
          <w:sz w:val="22"/>
          <w:szCs w:val="22"/>
        </w:rPr>
        <w:t xml:space="preserve"> et al</w:t>
      </w:r>
      <w:r w:rsidRPr="00EC5399">
        <w:rPr>
          <w:noProof/>
          <w:sz w:val="22"/>
          <w:szCs w:val="22"/>
        </w:rPr>
        <w:t>. 2015)</w:t>
      </w:r>
      <w:r w:rsidRPr="00EC5399">
        <w:rPr>
          <w:sz w:val="22"/>
          <w:szCs w:val="22"/>
        </w:rPr>
        <w:t xml:space="preserve"> and oceanographic sections </w:t>
      </w:r>
      <w:r w:rsidRPr="00EC5399">
        <w:rPr>
          <w:noProof/>
          <w:sz w:val="22"/>
          <w:szCs w:val="22"/>
        </w:rPr>
        <w:t>(Belkin &amp; Levitus 1996) (see also Figures 1-2)</w:t>
      </w:r>
      <w:r w:rsidRPr="00EC5399">
        <w:rPr>
          <w:sz w:val="22"/>
          <w:szCs w:val="22"/>
        </w:rPr>
        <w:t xml:space="preserve">. The NAC pathways are not randomly located but remain between a number of preferred latitudes, with surface thermal fronts appearing in a banded structure, aligned west to east in the area south of the Charlie-Gibbs Fracture Zone (CGFZ), and aligned roughly SW to NE in the north; this alignment follows the direction of the NAC </w:t>
      </w:r>
      <w:r w:rsidRPr="00EC5399">
        <w:rPr>
          <w:noProof/>
          <w:sz w:val="22"/>
          <w:szCs w:val="22"/>
        </w:rPr>
        <w:t>(Miller</w:t>
      </w:r>
      <w:r w:rsidRPr="00EC5399">
        <w:rPr>
          <w:i/>
          <w:noProof/>
          <w:sz w:val="22"/>
          <w:szCs w:val="22"/>
        </w:rPr>
        <w:t xml:space="preserve"> et al</w:t>
      </w:r>
      <w:r w:rsidRPr="00EC5399">
        <w:rPr>
          <w:noProof/>
          <w:sz w:val="22"/>
          <w:szCs w:val="22"/>
        </w:rPr>
        <w:t>. 2013)</w:t>
      </w:r>
      <w:r w:rsidRPr="00EC5399">
        <w:rPr>
          <w:sz w:val="22"/>
          <w:szCs w:val="22"/>
        </w:rPr>
        <w:t xml:space="preserve">. The NAC is a transition zone and has a wide banded structure with distinct water types that get progressively cooler and fresher from south to north separated by the three branches and their density fronts. The fronts are associated with vigorous vertical velocities (bringing nutrients to the surface) and some horizontal exchange, especially southward from the subpolar region </w:t>
      </w:r>
      <w:r w:rsidRPr="00EC5399">
        <w:rPr>
          <w:noProof/>
          <w:sz w:val="22"/>
          <w:szCs w:val="22"/>
        </w:rPr>
        <w:t>(Dutkiewicz</w:t>
      </w:r>
      <w:r w:rsidRPr="00EC5399">
        <w:rPr>
          <w:i/>
          <w:noProof/>
          <w:sz w:val="22"/>
          <w:szCs w:val="22"/>
        </w:rPr>
        <w:t xml:space="preserve"> et al</w:t>
      </w:r>
      <w:r w:rsidRPr="00EC5399">
        <w:rPr>
          <w:noProof/>
          <w:sz w:val="22"/>
          <w:szCs w:val="22"/>
        </w:rPr>
        <w:t xml:space="preserve">. 2001; </w:t>
      </w:r>
      <w:r w:rsidRPr="00EC5399">
        <w:rPr>
          <w:sz w:val="22"/>
          <w:szCs w:val="22"/>
        </w:rPr>
        <w:t>Figures 1-</w:t>
      </w:r>
      <w:r w:rsidRPr="00EC5399">
        <w:rPr>
          <w:noProof/>
          <w:sz w:val="22"/>
          <w:szCs w:val="22"/>
        </w:rPr>
        <w:t>2)</w:t>
      </w:r>
      <w:r w:rsidRPr="00EC5399">
        <w:rPr>
          <w:sz w:val="22"/>
          <w:szCs w:val="22"/>
        </w:rPr>
        <w:t xml:space="preserve">. Density contrasts across the fronts lead to instability and the development of eddies </w:t>
      </w:r>
      <w:r w:rsidRPr="00EC5399">
        <w:rPr>
          <w:noProof/>
          <w:sz w:val="22"/>
          <w:szCs w:val="22"/>
        </w:rPr>
        <w:t>(Volkov 2005)</w:t>
      </w:r>
      <w:r w:rsidRPr="00EC5399">
        <w:rPr>
          <w:sz w:val="22"/>
          <w:szCs w:val="22"/>
        </w:rPr>
        <w:t xml:space="preserve">. These eddies enhance and concentrate primary production and represent an important habitat for oceanic higher predators, including seabirds, as evident from studies on seabirds, turtles, whales, sharks and tunas (e.g., Hays </w:t>
      </w:r>
      <w:r w:rsidRPr="00EC5399">
        <w:rPr>
          <w:i/>
          <w:sz w:val="22"/>
          <w:szCs w:val="22"/>
        </w:rPr>
        <w:t>et al</w:t>
      </w:r>
      <w:r w:rsidRPr="00EC5399">
        <w:rPr>
          <w:sz w:val="22"/>
          <w:szCs w:val="22"/>
        </w:rPr>
        <w:t xml:space="preserve">. 2004, </w:t>
      </w:r>
      <w:r w:rsidRPr="00EC5399">
        <w:rPr>
          <w:rFonts w:eastAsia="MS Mincho"/>
          <w:sz w:val="22"/>
          <w:szCs w:val="22"/>
          <w:lang w:val="en-US"/>
        </w:rPr>
        <w:t xml:space="preserve">Walli </w:t>
      </w:r>
      <w:r w:rsidRPr="00EC5399">
        <w:rPr>
          <w:rFonts w:eastAsia="MS Mincho"/>
          <w:i/>
          <w:sz w:val="22"/>
          <w:szCs w:val="22"/>
          <w:lang w:val="en-US"/>
        </w:rPr>
        <w:t>et al</w:t>
      </w:r>
      <w:r w:rsidRPr="00EC5399">
        <w:rPr>
          <w:rFonts w:eastAsia="MS Mincho"/>
          <w:sz w:val="22"/>
          <w:szCs w:val="22"/>
          <w:lang w:val="en-US"/>
        </w:rPr>
        <w:t xml:space="preserve">. 2009, </w:t>
      </w:r>
      <w:r w:rsidRPr="00EC5399">
        <w:rPr>
          <w:sz w:val="22"/>
          <w:szCs w:val="22"/>
        </w:rPr>
        <w:t xml:space="preserve">Egevang </w:t>
      </w:r>
      <w:r w:rsidRPr="00EC5399">
        <w:rPr>
          <w:i/>
          <w:sz w:val="22"/>
          <w:szCs w:val="22"/>
        </w:rPr>
        <w:t>et al</w:t>
      </w:r>
      <w:r w:rsidRPr="00EC5399">
        <w:rPr>
          <w:sz w:val="22"/>
          <w:szCs w:val="22"/>
        </w:rPr>
        <w:t xml:space="preserve">. 2010, Dias </w:t>
      </w:r>
      <w:r w:rsidRPr="00EC5399">
        <w:rPr>
          <w:i/>
          <w:sz w:val="22"/>
          <w:szCs w:val="22"/>
        </w:rPr>
        <w:t>et al</w:t>
      </w:r>
      <w:r w:rsidRPr="00EC5399">
        <w:rPr>
          <w:sz w:val="22"/>
          <w:szCs w:val="22"/>
        </w:rPr>
        <w:t xml:space="preserve">. 2011, 2012, Gilg </w:t>
      </w:r>
      <w:r w:rsidRPr="00EC5399">
        <w:rPr>
          <w:i/>
          <w:sz w:val="22"/>
          <w:szCs w:val="22"/>
        </w:rPr>
        <w:t>et al</w:t>
      </w:r>
      <w:r w:rsidRPr="00EC5399">
        <w:rPr>
          <w:sz w:val="22"/>
          <w:szCs w:val="22"/>
        </w:rPr>
        <w:t xml:space="preserve">. 2013; </w:t>
      </w:r>
      <w:r w:rsidRPr="00EC5399">
        <w:rPr>
          <w:rFonts w:eastAsia="MS Mincho"/>
          <w:sz w:val="22"/>
          <w:szCs w:val="22"/>
          <w:lang w:val="en-US"/>
        </w:rPr>
        <w:t xml:space="preserve">Queiroz </w:t>
      </w:r>
      <w:r w:rsidRPr="00EC5399">
        <w:rPr>
          <w:rFonts w:eastAsia="MS Mincho"/>
          <w:i/>
          <w:sz w:val="22"/>
          <w:szCs w:val="22"/>
          <w:lang w:val="en-US"/>
        </w:rPr>
        <w:t>et al</w:t>
      </w:r>
      <w:r w:rsidRPr="00EC5399">
        <w:rPr>
          <w:rFonts w:eastAsia="MS Mincho"/>
          <w:sz w:val="22"/>
          <w:szCs w:val="22"/>
          <w:lang w:val="en-US"/>
        </w:rPr>
        <w:t>. 2016</w:t>
      </w:r>
      <w:r w:rsidRPr="00EC5399">
        <w:rPr>
          <w:sz w:val="22"/>
          <w:szCs w:val="22"/>
        </w:rPr>
        <w:t xml:space="preserve">), which frequently target areas of higher prey availability. A large quantity of seabird tracking data confirms this is an area of high productivity, with a high intensity of foraging activity in the area (BirdLife International 2019a, Figure 3a). Seabird tracking data shows 21 species of seabird foraging in the area including endangered </w:t>
      </w:r>
      <w:r w:rsidRPr="00EC5399">
        <w:rPr>
          <w:color w:val="000000"/>
          <w:sz w:val="22"/>
          <w:szCs w:val="22"/>
        </w:rPr>
        <w:t>Zino's petrel (</w:t>
      </w:r>
      <w:r w:rsidRPr="00EC5399">
        <w:rPr>
          <w:i/>
          <w:color w:val="000000"/>
          <w:sz w:val="22"/>
          <w:szCs w:val="22"/>
        </w:rPr>
        <w:t xml:space="preserve">Pterodroma madeira), </w:t>
      </w:r>
      <w:r w:rsidRPr="00EC5399">
        <w:rPr>
          <w:color w:val="000000"/>
          <w:sz w:val="22"/>
          <w:szCs w:val="22"/>
        </w:rPr>
        <w:t>endangered Bermuda petrel (</w:t>
      </w:r>
      <w:r w:rsidRPr="00EC5399">
        <w:rPr>
          <w:i/>
          <w:color w:val="000000"/>
          <w:sz w:val="22"/>
          <w:szCs w:val="22"/>
        </w:rPr>
        <w:t>Pterodroma cahow),</w:t>
      </w:r>
      <w:r w:rsidRPr="00EC5399">
        <w:rPr>
          <w:color w:val="000000"/>
          <w:sz w:val="22"/>
          <w:szCs w:val="22"/>
        </w:rPr>
        <w:t xml:space="preserve"> vulnerable </w:t>
      </w:r>
      <w:r w:rsidRPr="00EC5399">
        <w:rPr>
          <w:bCs/>
          <w:color w:val="000000"/>
          <w:sz w:val="22"/>
          <w:szCs w:val="22"/>
        </w:rPr>
        <w:t>Atlantic puffin (</w:t>
      </w:r>
      <w:r w:rsidRPr="00EC5399">
        <w:rPr>
          <w:bCs/>
          <w:i/>
          <w:color w:val="000000"/>
          <w:sz w:val="22"/>
          <w:szCs w:val="22"/>
        </w:rPr>
        <w:t xml:space="preserve">Fratercula arctica), </w:t>
      </w:r>
      <w:r w:rsidRPr="00EC5399">
        <w:rPr>
          <w:bCs/>
          <w:color w:val="000000"/>
          <w:sz w:val="22"/>
          <w:szCs w:val="22"/>
        </w:rPr>
        <w:t xml:space="preserve">and </w:t>
      </w:r>
      <w:r w:rsidRPr="00EC5399">
        <w:rPr>
          <w:color w:val="000000"/>
          <w:sz w:val="22"/>
          <w:szCs w:val="22"/>
        </w:rPr>
        <w:t>vulnerable</w:t>
      </w:r>
      <w:r w:rsidRPr="00EC5399">
        <w:rPr>
          <w:sz w:val="22"/>
          <w:szCs w:val="22"/>
        </w:rPr>
        <w:t xml:space="preserve"> black-legged </w:t>
      </w:r>
      <w:r w:rsidRPr="002E4B39">
        <w:rPr>
          <w:rFonts w:eastAsia="MS Mincho"/>
          <w:sz w:val="22"/>
          <w:szCs w:val="22"/>
          <w:lang w:val="en-US"/>
        </w:rPr>
        <w:t>kittiwake</w:t>
      </w:r>
      <w:r w:rsidRPr="00EC5399">
        <w:rPr>
          <w:sz w:val="22"/>
          <w:szCs w:val="22"/>
        </w:rPr>
        <w:t xml:space="preserve"> (</w:t>
      </w:r>
      <w:r w:rsidRPr="00EC5399">
        <w:rPr>
          <w:i/>
          <w:color w:val="000000"/>
          <w:sz w:val="22"/>
          <w:szCs w:val="22"/>
        </w:rPr>
        <w:t>Rissa tridactyla)</w:t>
      </w:r>
      <w:r w:rsidRPr="00EC5399">
        <w:rPr>
          <w:sz w:val="22"/>
          <w:szCs w:val="22"/>
        </w:rPr>
        <w:t>.</w:t>
      </w:r>
    </w:p>
    <w:p w14:paraId="31D11AFB" w14:textId="77777777" w:rsidR="006B3F46" w:rsidRPr="009978E3" w:rsidRDefault="006B3F46" w:rsidP="002E4B39">
      <w:pPr>
        <w:suppressLineNumbers/>
        <w:spacing w:after="120"/>
        <w:jc w:val="both"/>
        <w:rPr>
          <w:sz w:val="22"/>
          <w:szCs w:val="22"/>
        </w:rPr>
      </w:pPr>
      <w:r w:rsidRPr="00EC5399">
        <w:rPr>
          <w:sz w:val="22"/>
          <w:szCs w:val="22"/>
        </w:rPr>
        <w:t>This site is identified from in situ and remote sensing (or satellite) data and validated with biological data (</w:t>
      </w:r>
      <w:r w:rsidRPr="002E4B39">
        <w:rPr>
          <w:rFonts w:eastAsia="MS Mincho"/>
          <w:sz w:val="22"/>
          <w:szCs w:val="22"/>
          <w:lang w:val="en-US"/>
        </w:rPr>
        <w:t>tracking</w:t>
      </w:r>
      <w:r w:rsidRPr="00EC5399">
        <w:rPr>
          <w:sz w:val="22"/>
          <w:szCs w:val="22"/>
        </w:rPr>
        <w:t xml:space="preserve"> data collected for seabirds</w:t>
      </w:r>
      <w:r w:rsidRPr="009978E3">
        <w:rPr>
          <w:sz w:val="22"/>
          <w:szCs w:val="22"/>
        </w:rPr>
        <w:t xml:space="preserve"> and other marine megafauna). </w:t>
      </w:r>
    </w:p>
    <w:p w14:paraId="5DF656A4"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Location</w:t>
      </w:r>
    </w:p>
    <w:p w14:paraId="5E48A311" w14:textId="3A6EED4C" w:rsidR="006B3F46" w:rsidRPr="009978E3" w:rsidRDefault="006B3F46" w:rsidP="00907941">
      <w:pPr>
        <w:jc w:val="both"/>
        <w:rPr>
          <w:rFonts w:eastAsia="MS Mincho"/>
          <w:b/>
          <w:sz w:val="22"/>
          <w:szCs w:val="22"/>
          <w:lang w:val="en-US"/>
        </w:rPr>
      </w:pPr>
      <w:r w:rsidRPr="009978E3">
        <w:rPr>
          <w:sz w:val="22"/>
          <w:szCs w:val="22"/>
          <w:shd w:val="clear" w:color="auto" w:fill="FFFFFF"/>
        </w:rPr>
        <w:t>Th</w:t>
      </w:r>
      <w:r>
        <w:rPr>
          <w:sz w:val="22"/>
          <w:szCs w:val="22"/>
          <w:shd w:val="clear" w:color="auto" w:fill="FFFFFF"/>
        </w:rPr>
        <w:t>is</w:t>
      </w:r>
      <w:r w:rsidRPr="009978E3">
        <w:rPr>
          <w:sz w:val="22"/>
          <w:szCs w:val="22"/>
          <w:shd w:val="clear" w:color="auto" w:fill="FFFFFF"/>
        </w:rPr>
        <w:t xml:space="preserve"> </w:t>
      </w:r>
      <w:r w:rsidRPr="009978E3">
        <w:rPr>
          <w:sz w:val="22"/>
          <w:szCs w:val="22"/>
        </w:rPr>
        <w:t>area</w:t>
      </w:r>
      <w:r w:rsidRPr="009978E3">
        <w:rPr>
          <w:sz w:val="22"/>
          <w:szCs w:val="22"/>
          <w:shd w:val="clear" w:color="auto" w:fill="FFFFFF"/>
        </w:rPr>
        <w:t xml:space="preserve"> has a well-defined western boundary (front), defined by the maritime boundary of the OSPAR Commission. It extends north along the east flank of the Grand Banks</w:t>
      </w:r>
      <w:r>
        <w:rPr>
          <w:sz w:val="22"/>
          <w:szCs w:val="22"/>
          <w:shd w:val="clear" w:color="auto" w:fill="FFFFFF"/>
        </w:rPr>
        <w:t>,</w:t>
      </w:r>
      <w:r w:rsidRPr="009978E3">
        <w:rPr>
          <w:sz w:val="22"/>
          <w:szCs w:val="22"/>
          <w:shd w:val="clear" w:color="auto" w:fill="FFFFFF"/>
        </w:rPr>
        <w:t xml:space="preserve"> where it forms a loop called the Northwest Corner and continues to the east. The northern boundary is defined by the northern extent of the </w:t>
      </w:r>
      <w:r w:rsidRPr="009978E3">
        <w:rPr>
          <w:color w:val="000000"/>
          <w:sz w:val="22"/>
          <w:szCs w:val="22"/>
          <w:shd w:val="clear" w:color="auto" w:fill="FFFFFF"/>
        </w:rPr>
        <w:t xml:space="preserve">Subpolar Front at 54°N. </w:t>
      </w:r>
      <w:r w:rsidRPr="009978E3">
        <w:rPr>
          <w:sz w:val="22"/>
          <w:szCs w:val="22"/>
          <w:shd w:val="clear" w:color="auto" w:fill="FFFFFF"/>
        </w:rPr>
        <w:t xml:space="preserve">The North Subarctic Front is topographically fixed at the Charlie-Gibbs Fracture Zone </w:t>
      </w:r>
      <w:r w:rsidRPr="009978E3">
        <w:rPr>
          <w:noProof/>
          <w:sz w:val="22"/>
          <w:szCs w:val="22"/>
          <w:shd w:val="clear" w:color="auto" w:fill="FFFFFF"/>
        </w:rPr>
        <w:t>(Belkin &amp; Levitus 1996)</w:t>
      </w:r>
      <w:r>
        <w:rPr>
          <w:noProof/>
          <w:sz w:val="22"/>
          <w:szCs w:val="22"/>
          <w:shd w:val="clear" w:color="auto" w:fill="FFFFFF"/>
        </w:rPr>
        <w:t>,</w:t>
      </w:r>
      <w:r w:rsidRPr="009978E3">
        <w:rPr>
          <w:sz w:val="22"/>
          <w:szCs w:val="22"/>
          <w:shd w:val="clear" w:color="auto" w:fill="FFFFFF"/>
        </w:rPr>
        <w:t xml:space="preserve"> at </w:t>
      </w:r>
      <w:r w:rsidRPr="009978E3">
        <w:rPr>
          <w:sz w:val="22"/>
          <w:szCs w:val="22"/>
        </w:rPr>
        <w:t>30°W. It is known that the North Atlantic Current and f</w:t>
      </w:r>
      <w:r w:rsidRPr="009978E3">
        <w:rPr>
          <w:sz w:val="22"/>
          <w:szCs w:val="22"/>
          <w:shd w:val="clear" w:color="auto" w:fill="FFFFFF"/>
        </w:rPr>
        <w:t xml:space="preserve">rontal branches vary strongly, with latitudinal shifts up to 250-300 km </w:t>
      </w:r>
      <w:r w:rsidRPr="009978E3">
        <w:rPr>
          <w:noProof/>
          <w:sz w:val="22"/>
          <w:szCs w:val="22"/>
          <w:shd w:val="clear" w:color="auto" w:fill="FFFFFF"/>
        </w:rPr>
        <w:t>(Belkin &amp; Levitus 1996)</w:t>
      </w:r>
      <w:r w:rsidRPr="009978E3">
        <w:rPr>
          <w:sz w:val="22"/>
          <w:szCs w:val="22"/>
          <w:shd w:val="clear" w:color="auto" w:fill="FFFFFF"/>
        </w:rPr>
        <w:t xml:space="preserve">. Thus, maps of annual means have been used to ensure the full temporal variability has been captured </w:t>
      </w:r>
      <w:r w:rsidRPr="009978E3">
        <w:rPr>
          <w:noProof/>
          <w:sz w:val="22"/>
          <w:szCs w:val="22"/>
          <w:shd w:val="clear" w:color="auto" w:fill="FFFFFF"/>
        </w:rPr>
        <w:t>(Marzocchi</w:t>
      </w:r>
      <w:r w:rsidRPr="009978E3">
        <w:rPr>
          <w:i/>
          <w:noProof/>
          <w:sz w:val="22"/>
          <w:szCs w:val="22"/>
          <w:shd w:val="clear" w:color="auto" w:fill="FFFFFF"/>
        </w:rPr>
        <w:t xml:space="preserve"> </w:t>
      </w:r>
      <w:r w:rsidRPr="0006066A">
        <w:rPr>
          <w:i/>
          <w:noProof/>
          <w:sz w:val="22"/>
          <w:szCs w:val="22"/>
          <w:shd w:val="clear" w:color="auto" w:fill="FFFFFF"/>
        </w:rPr>
        <w:t>et al</w:t>
      </w:r>
      <w:r w:rsidRPr="009978E3">
        <w:rPr>
          <w:i/>
          <w:noProof/>
          <w:sz w:val="22"/>
          <w:szCs w:val="22"/>
          <w:shd w:val="clear" w:color="auto" w:fill="FFFFFF"/>
        </w:rPr>
        <w:t>.</w:t>
      </w:r>
      <w:r w:rsidRPr="009978E3">
        <w:rPr>
          <w:noProof/>
          <w:sz w:val="22"/>
          <w:szCs w:val="22"/>
          <w:shd w:val="clear" w:color="auto" w:fill="FFFFFF"/>
        </w:rPr>
        <w:t xml:space="preserve"> 2015; </w:t>
      </w:r>
      <w:r w:rsidRPr="002E4B39">
        <w:rPr>
          <w:rFonts w:eastAsia="MS Mincho"/>
          <w:sz w:val="22"/>
          <w:szCs w:val="22"/>
          <w:lang w:val="en-US"/>
        </w:rPr>
        <w:t>Figure</w:t>
      </w:r>
      <w:r w:rsidRPr="009978E3">
        <w:rPr>
          <w:noProof/>
          <w:sz w:val="22"/>
          <w:szCs w:val="22"/>
          <w:shd w:val="clear" w:color="auto" w:fill="FFFFFF"/>
        </w:rPr>
        <w:t xml:space="preserve"> 2)</w:t>
      </w:r>
      <w:r w:rsidRPr="009978E3">
        <w:rPr>
          <w:sz w:val="22"/>
          <w:szCs w:val="22"/>
          <w:shd w:val="clear" w:color="auto" w:fill="FFFFFF"/>
        </w:rPr>
        <w:t xml:space="preserve">. </w:t>
      </w:r>
    </w:p>
    <w:p w14:paraId="23A4B13F" w14:textId="77777777" w:rsidR="006B3F46" w:rsidRPr="009978E3" w:rsidRDefault="006B3F46" w:rsidP="002E4B39">
      <w:pPr>
        <w:keepNext/>
        <w:jc w:val="both"/>
        <w:rPr>
          <w:rFonts w:eastAsia="MS Mincho"/>
          <w:b/>
          <w:sz w:val="22"/>
          <w:szCs w:val="22"/>
          <w:lang w:val="en-US"/>
        </w:rPr>
      </w:pPr>
      <w:r w:rsidRPr="009978E3">
        <w:rPr>
          <w:rFonts w:eastAsia="MS Mincho"/>
          <w:b/>
          <w:sz w:val="22"/>
          <w:szCs w:val="22"/>
          <w:lang w:val="en-US"/>
        </w:rPr>
        <w:t>Feature description of the area</w:t>
      </w:r>
    </w:p>
    <w:p w14:paraId="00309136" w14:textId="4C9250FA" w:rsidR="006B3F46" w:rsidRPr="009978E3" w:rsidRDefault="006B3F46" w:rsidP="002E4B39">
      <w:pPr>
        <w:suppressLineNumbers/>
        <w:spacing w:after="120"/>
        <w:jc w:val="both"/>
        <w:rPr>
          <w:rFonts w:eastAsia="MS Mincho"/>
          <w:b/>
          <w:sz w:val="22"/>
          <w:szCs w:val="22"/>
          <w:lang w:val="en-US"/>
        </w:rPr>
      </w:pPr>
      <w:r w:rsidRPr="009978E3">
        <w:rPr>
          <w:rFonts w:eastAsia="MS Mincho"/>
          <w:sz w:val="22"/>
          <w:szCs w:val="22"/>
          <w:lang w:val="en-US"/>
        </w:rPr>
        <w:t xml:space="preserve">The area includes the water column and surface used by seabirds </w:t>
      </w:r>
      <w:r w:rsidRPr="00EC5399">
        <w:rPr>
          <w:rFonts w:eastAsia="MS Mincho"/>
          <w:sz w:val="22"/>
          <w:szCs w:val="22"/>
          <w:lang w:val="en-US"/>
        </w:rPr>
        <w:t xml:space="preserve">and other marine top predators as foraging areas throughout the year, as revealed by recent telemetry studies (see Figures 3-5; e.g., Dias </w:t>
      </w:r>
      <w:r w:rsidRPr="00EC5399">
        <w:rPr>
          <w:rFonts w:eastAsia="MS Mincho"/>
          <w:i/>
          <w:sz w:val="22"/>
          <w:szCs w:val="22"/>
          <w:lang w:val="en-US"/>
        </w:rPr>
        <w:t>et al</w:t>
      </w:r>
      <w:r w:rsidRPr="00EC5399">
        <w:rPr>
          <w:rFonts w:eastAsia="MS Mincho"/>
          <w:sz w:val="22"/>
          <w:szCs w:val="22"/>
          <w:lang w:val="en-US"/>
        </w:rPr>
        <w:t xml:space="preserve">. 2011, 2012; Egevang </w:t>
      </w:r>
      <w:r w:rsidRPr="00EC5399">
        <w:rPr>
          <w:rFonts w:eastAsia="MS Mincho"/>
          <w:i/>
          <w:sz w:val="22"/>
          <w:szCs w:val="22"/>
          <w:lang w:val="en-US"/>
        </w:rPr>
        <w:t>et al</w:t>
      </w:r>
      <w:r w:rsidRPr="00EC5399">
        <w:rPr>
          <w:rFonts w:eastAsia="MS Mincho"/>
          <w:sz w:val="22"/>
          <w:szCs w:val="22"/>
          <w:lang w:val="en-US"/>
        </w:rPr>
        <w:t xml:space="preserve">. 2010; Frederiksen </w:t>
      </w:r>
      <w:r w:rsidRPr="00EC5399">
        <w:rPr>
          <w:rFonts w:eastAsia="MS Mincho"/>
          <w:i/>
          <w:sz w:val="22"/>
          <w:szCs w:val="22"/>
          <w:lang w:val="en-US"/>
        </w:rPr>
        <w:t>et al</w:t>
      </w:r>
      <w:r w:rsidRPr="00EC5399">
        <w:rPr>
          <w:rFonts w:eastAsia="MS Mincho"/>
          <w:sz w:val="22"/>
          <w:szCs w:val="22"/>
          <w:lang w:val="en-US"/>
        </w:rPr>
        <w:t xml:space="preserve">. 2016; Frederiksen </w:t>
      </w:r>
      <w:r w:rsidRPr="00EC5399">
        <w:rPr>
          <w:rFonts w:eastAsia="MS Mincho"/>
          <w:i/>
          <w:sz w:val="22"/>
          <w:szCs w:val="22"/>
          <w:lang w:val="en-US"/>
        </w:rPr>
        <w:t>et al</w:t>
      </w:r>
      <w:r w:rsidRPr="00EC5399">
        <w:rPr>
          <w:rFonts w:eastAsia="MS Mincho"/>
          <w:sz w:val="22"/>
          <w:szCs w:val="22"/>
          <w:lang w:val="en-US"/>
        </w:rPr>
        <w:t xml:space="preserve">. 2012; Gilg </w:t>
      </w:r>
      <w:r w:rsidRPr="00EC5399">
        <w:rPr>
          <w:rFonts w:eastAsia="MS Mincho"/>
          <w:i/>
          <w:sz w:val="22"/>
          <w:szCs w:val="22"/>
          <w:lang w:val="en-US"/>
        </w:rPr>
        <w:t>et al</w:t>
      </w:r>
      <w:r w:rsidRPr="00EC5399">
        <w:rPr>
          <w:rFonts w:eastAsia="MS Mincho"/>
          <w:sz w:val="22"/>
          <w:szCs w:val="22"/>
          <w:lang w:val="en-US"/>
        </w:rPr>
        <w:t xml:space="preserve">. 2013; Hedd </w:t>
      </w:r>
      <w:r w:rsidRPr="00EC5399">
        <w:rPr>
          <w:rFonts w:eastAsia="MS Mincho"/>
          <w:i/>
          <w:sz w:val="22"/>
          <w:szCs w:val="22"/>
          <w:lang w:val="en-US"/>
        </w:rPr>
        <w:t>et al</w:t>
      </w:r>
      <w:r w:rsidRPr="00EC5399">
        <w:rPr>
          <w:rFonts w:eastAsia="MS Mincho"/>
          <w:sz w:val="22"/>
          <w:szCs w:val="22"/>
          <w:lang w:val="en-US"/>
        </w:rPr>
        <w:t xml:space="preserve">. 2012; Kopp </w:t>
      </w:r>
      <w:r w:rsidRPr="00EC5399">
        <w:rPr>
          <w:rFonts w:eastAsia="MS Mincho"/>
          <w:i/>
          <w:sz w:val="22"/>
          <w:szCs w:val="22"/>
          <w:lang w:val="en-US"/>
        </w:rPr>
        <w:t>et al</w:t>
      </w:r>
      <w:r w:rsidRPr="00EC5399">
        <w:rPr>
          <w:rFonts w:eastAsia="MS Mincho"/>
          <w:sz w:val="22"/>
          <w:szCs w:val="22"/>
          <w:lang w:val="en-US"/>
        </w:rPr>
        <w:t xml:space="preserve">. 2011; Queiroz </w:t>
      </w:r>
      <w:r w:rsidRPr="00EC5399">
        <w:rPr>
          <w:rFonts w:eastAsia="MS Mincho"/>
          <w:i/>
          <w:sz w:val="22"/>
          <w:szCs w:val="22"/>
          <w:lang w:val="en-US"/>
        </w:rPr>
        <w:t>et al</w:t>
      </w:r>
      <w:r w:rsidRPr="00EC5399">
        <w:rPr>
          <w:rFonts w:eastAsia="MS Mincho"/>
          <w:sz w:val="22"/>
          <w:szCs w:val="22"/>
          <w:lang w:val="en-US"/>
        </w:rPr>
        <w:t xml:space="preserve">. 2016;). Some seabird species travel to this area during the breeding season, mostly from colonies located in the Azores (e.g., Magalhães </w:t>
      </w:r>
      <w:r w:rsidRPr="00EC5399">
        <w:rPr>
          <w:rFonts w:eastAsia="MS Mincho"/>
          <w:i/>
          <w:sz w:val="22"/>
          <w:szCs w:val="22"/>
          <w:lang w:val="en-US"/>
        </w:rPr>
        <w:t>et al</w:t>
      </w:r>
      <w:r w:rsidRPr="00EC5399">
        <w:rPr>
          <w:rFonts w:eastAsia="MS Mincho"/>
          <w:sz w:val="22"/>
          <w:szCs w:val="22"/>
          <w:lang w:val="en-US"/>
        </w:rPr>
        <w:t xml:space="preserve">. 2008) and Madeira (Silva </w:t>
      </w:r>
      <w:r w:rsidRPr="00EC5399">
        <w:rPr>
          <w:rFonts w:eastAsia="MS Mincho"/>
          <w:i/>
          <w:sz w:val="22"/>
          <w:szCs w:val="22"/>
          <w:lang w:val="en-US"/>
        </w:rPr>
        <w:t>et al</w:t>
      </w:r>
      <w:r w:rsidRPr="00EC5399">
        <w:rPr>
          <w:rFonts w:eastAsia="MS Mincho"/>
          <w:sz w:val="22"/>
          <w:szCs w:val="22"/>
          <w:lang w:val="en-US"/>
        </w:rPr>
        <w:t>. 2019, Figure 3). The area is also very important as a stopover site during the migration of Arctic species such as the Arctic tern (</w:t>
      </w:r>
      <w:r w:rsidRPr="00EC5399">
        <w:rPr>
          <w:rFonts w:eastAsia="MS Mincho"/>
          <w:i/>
          <w:sz w:val="22"/>
          <w:szCs w:val="22"/>
          <w:lang w:val="en-US"/>
        </w:rPr>
        <w:t>Sterna paradisea)</w:t>
      </w:r>
      <w:r w:rsidRPr="00EC5399">
        <w:rPr>
          <w:rFonts w:eastAsia="MS Mincho"/>
          <w:sz w:val="22"/>
          <w:szCs w:val="22"/>
          <w:lang w:val="en-US"/>
        </w:rPr>
        <w:t xml:space="preserve"> and the long-tailed jaeger (</w:t>
      </w:r>
      <w:r w:rsidRPr="00EC5399">
        <w:rPr>
          <w:rFonts w:eastAsia="MS Mincho"/>
          <w:i/>
          <w:sz w:val="22"/>
          <w:szCs w:val="22"/>
          <w:lang w:val="en-US"/>
        </w:rPr>
        <w:t>Stercorarius longicaudus)</w:t>
      </w:r>
      <w:r w:rsidRPr="00EC5399">
        <w:rPr>
          <w:rFonts w:eastAsia="MS Mincho"/>
          <w:sz w:val="22"/>
          <w:szCs w:val="22"/>
          <w:lang w:val="en-US"/>
        </w:rPr>
        <w:t xml:space="preserve"> (</w:t>
      </w:r>
      <w:r w:rsidRPr="00EC5399">
        <w:rPr>
          <w:rFonts w:eastAsia="MS Mincho"/>
          <w:sz w:val="22"/>
          <w:szCs w:val="22"/>
        </w:rPr>
        <w:t xml:space="preserve">Egevang </w:t>
      </w:r>
      <w:r w:rsidRPr="00EC5399">
        <w:rPr>
          <w:rFonts w:eastAsia="MS Mincho"/>
          <w:i/>
          <w:sz w:val="22"/>
          <w:szCs w:val="22"/>
        </w:rPr>
        <w:t>et al</w:t>
      </w:r>
      <w:r w:rsidRPr="00EC5399">
        <w:rPr>
          <w:rFonts w:eastAsia="MS Mincho"/>
          <w:sz w:val="22"/>
          <w:szCs w:val="22"/>
        </w:rPr>
        <w:t xml:space="preserve">. 2010, Gilg </w:t>
      </w:r>
      <w:r w:rsidRPr="00EC5399">
        <w:rPr>
          <w:rFonts w:eastAsia="MS Mincho"/>
          <w:i/>
          <w:sz w:val="22"/>
          <w:szCs w:val="22"/>
        </w:rPr>
        <w:t>et al</w:t>
      </w:r>
      <w:r w:rsidRPr="00EC5399">
        <w:rPr>
          <w:rFonts w:eastAsia="MS Mincho"/>
          <w:sz w:val="22"/>
          <w:szCs w:val="22"/>
        </w:rPr>
        <w:t>. 2013</w:t>
      </w:r>
      <w:r w:rsidRPr="00EC5399">
        <w:rPr>
          <w:rFonts w:eastAsia="MS Mincho"/>
          <w:sz w:val="22"/>
          <w:szCs w:val="22"/>
          <w:lang w:val="en-US"/>
        </w:rPr>
        <w:t>), and as a wintering ground for species both from the North and the South Atlantic (e.g., Atlantic Puffin–</w:t>
      </w:r>
      <w:r w:rsidRPr="00EC5399">
        <w:rPr>
          <w:rFonts w:eastAsia="MS Mincho"/>
          <w:i/>
          <w:sz w:val="22"/>
          <w:szCs w:val="22"/>
          <w:lang w:val="en-US"/>
        </w:rPr>
        <w:t>Fratercula arctica</w:t>
      </w:r>
      <w:r w:rsidRPr="00EC5399">
        <w:rPr>
          <w:rFonts w:eastAsia="MS Mincho"/>
          <w:sz w:val="22"/>
          <w:szCs w:val="22"/>
          <w:lang w:val="en-US"/>
        </w:rPr>
        <w:t>, black-legged</w:t>
      </w:r>
      <w:r w:rsidRPr="009978E3">
        <w:rPr>
          <w:rFonts w:eastAsia="MS Mincho"/>
          <w:sz w:val="22"/>
          <w:szCs w:val="22"/>
          <w:lang w:val="en-US"/>
        </w:rPr>
        <w:t xml:space="preserve"> </w:t>
      </w:r>
      <w:r>
        <w:rPr>
          <w:rFonts w:eastAsia="MS Mincho"/>
          <w:sz w:val="22"/>
          <w:szCs w:val="22"/>
          <w:lang w:val="en-US"/>
        </w:rPr>
        <w:t>k</w:t>
      </w:r>
      <w:r w:rsidRPr="009978E3">
        <w:rPr>
          <w:rFonts w:eastAsia="MS Mincho"/>
          <w:sz w:val="22"/>
          <w:szCs w:val="22"/>
          <w:lang w:val="en-US"/>
        </w:rPr>
        <w:t>ittiwake</w:t>
      </w:r>
      <w:r>
        <w:rPr>
          <w:rFonts w:eastAsia="MS Mincho"/>
          <w:sz w:val="22"/>
          <w:szCs w:val="22"/>
          <w:lang w:val="en-US"/>
        </w:rPr>
        <w:t>–</w:t>
      </w:r>
      <w:r w:rsidRPr="009978E3">
        <w:rPr>
          <w:rFonts w:eastAsia="MS Mincho"/>
          <w:i/>
          <w:sz w:val="22"/>
          <w:szCs w:val="22"/>
          <w:lang w:val="en-US"/>
        </w:rPr>
        <w:t>Rissa tridactyla</w:t>
      </w:r>
      <w:r w:rsidRPr="009978E3">
        <w:rPr>
          <w:rFonts w:eastAsia="MS Mincho"/>
          <w:sz w:val="22"/>
          <w:szCs w:val="22"/>
          <w:lang w:val="en-US"/>
        </w:rPr>
        <w:t>, Cory’s shearwater</w:t>
      </w:r>
      <w:r>
        <w:rPr>
          <w:rFonts w:eastAsia="MS Mincho"/>
          <w:sz w:val="22"/>
          <w:szCs w:val="22"/>
          <w:lang w:val="en-US"/>
        </w:rPr>
        <w:t>–</w:t>
      </w:r>
      <w:r w:rsidRPr="009978E3">
        <w:rPr>
          <w:rFonts w:eastAsia="MS Mincho"/>
          <w:i/>
          <w:sz w:val="22"/>
          <w:szCs w:val="22"/>
          <w:lang w:val="en-US"/>
        </w:rPr>
        <w:t>Calonectris diomedea</w:t>
      </w:r>
      <w:r w:rsidRPr="009978E3">
        <w:rPr>
          <w:rFonts w:eastAsia="MS Mincho"/>
          <w:sz w:val="22"/>
          <w:szCs w:val="22"/>
          <w:lang w:val="en-US"/>
        </w:rPr>
        <w:t xml:space="preserve">, </w:t>
      </w:r>
      <w:r>
        <w:rPr>
          <w:rFonts w:eastAsia="MS Mincho"/>
          <w:sz w:val="22"/>
          <w:szCs w:val="22"/>
          <w:lang w:val="en-US"/>
        </w:rPr>
        <w:t>g</w:t>
      </w:r>
      <w:r w:rsidRPr="009978E3">
        <w:rPr>
          <w:rFonts w:eastAsia="MS Mincho"/>
          <w:sz w:val="22"/>
          <w:szCs w:val="22"/>
          <w:lang w:val="en-US"/>
        </w:rPr>
        <w:t>reat shearwater</w:t>
      </w:r>
      <w:r>
        <w:rPr>
          <w:rFonts w:eastAsia="MS Mincho"/>
          <w:sz w:val="22"/>
          <w:szCs w:val="22"/>
          <w:lang w:val="en-US"/>
        </w:rPr>
        <w:t>–</w:t>
      </w:r>
      <w:r w:rsidRPr="009978E3">
        <w:rPr>
          <w:rFonts w:eastAsia="MS Mincho"/>
          <w:i/>
          <w:sz w:val="22"/>
          <w:szCs w:val="22"/>
          <w:lang w:val="en-US"/>
        </w:rPr>
        <w:t>Ardenna gravis</w:t>
      </w:r>
      <w:r w:rsidRPr="009978E3">
        <w:rPr>
          <w:rFonts w:eastAsia="MS Mincho"/>
          <w:sz w:val="22"/>
          <w:szCs w:val="22"/>
          <w:lang w:val="en-US"/>
        </w:rPr>
        <w:t xml:space="preserve">, </w:t>
      </w:r>
      <w:r>
        <w:rPr>
          <w:rFonts w:eastAsia="MS Mincho"/>
          <w:sz w:val="22"/>
          <w:szCs w:val="22"/>
          <w:lang w:val="en-US"/>
        </w:rPr>
        <w:t>s</w:t>
      </w:r>
      <w:r w:rsidRPr="009978E3">
        <w:rPr>
          <w:rFonts w:eastAsia="MS Mincho"/>
          <w:sz w:val="22"/>
          <w:szCs w:val="22"/>
          <w:lang w:val="en-US"/>
        </w:rPr>
        <w:t>ooty shearwater</w:t>
      </w:r>
      <w:r>
        <w:rPr>
          <w:rFonts w:eastAsia="MS Mincho"/>
          <w:sz w:val="22"/>
          <w:szCs w:val="22"/>
          <w:lang w:val="en-US"/>
        </w:rPr>
        <w:t>–</w:t>
      </w:r>
      <w:r w:rsidRPr="009978E3">
        <w:rPr>
          <w:rFonts w:eastAsia="MS Mincho"/>
          <w:sz w:val="22"/>
          <w:szCs w:val="22"/>
          <w:lang w:val="en-US"/>
        </w:rPr>
        <w:t xml:space="preserve"> </w:t>
      </w:r>
      <w:r w:rsidRPr="009978E3">
        <w:rPr>
          <w:rFonts w:eastAsia="MS Mincho"/>
          <w:i/>
          <w:sz w:val="22"/>
          <w:szCs w:val="22"/>
          <w:lang w:val="en-US"/>
        </w:rPr>
        <w:t>Ardenna grisea</w:t>
      </w:r>
      <w:r w:rsidRPr="009978E3">
        <w:rPr>
          <w:rFonts w:eastAsia="MS Mincho"/>
          <w:sz w:val="22"/>
          <w:szCs w:val="22"/>
          <w:lang w:val="en-US"/>
        </w:rPr>
        <w:t xml:space="preserve"> and South Polar </w:t>
      </w:r>
      <w:r>
        <w:rPr>
          <w:rFonts w:eastAsia="MS Mincho"/>
          <w:sz w:val="22"/>
          <w:szCs w:val="22"/>
          <w:lang w:val="en-US"/>
        </w:rPr>
        <w:t>s</w:t>
      </w:r>
      <w:r w:rsidRPr="009978E3">
        <w:rPr>
          <w:rFonts w:eastAsia="MS Mincho"/>
          <w:sz w:val="22"/>
          <w:szCs w:val="22"/>
          <w:lang w:val="en-US"/>
        </w:rPr>
        <w:t>kua</w:t>
      </w:r>
      <w:r>
        <w:rPr>
          <w:rFonts w:eastAsia="MS Mincho"/>
          <w:sz w:val="22"/>
          <w:szCs w:val="22"/>
          <w:lang w:val="en-US"/>
        </w:rPr>
        <w:t>–</w:t>
      </w:r>
      <w:r w:rsidRPr="009978E3">
        <w:rPr>
          <w:rFonts w:eastAsia="MS Mincho"/>
          <w:i/>
          <w:sz w:val="22"/>
          <w:szCs w:val="22"/>
          <w:lang w:val="en-US"/>
        </w:rPr>
        <w:t>Catharacta maccormicki</w:t>
      </w:r>
      <w:r w:rsidRPr="009978E3">
        <w:rPr>
          <w:rFonts w:eastAsia="MS Mincho"/>
          <w:sz w:val="22"/>
          <w:szCs w:val="22"/>
          <w:lang w:val="en-US"/>
        </w:rPr>
        <w:t xml:space="preserve">; Dias </w:t>
      </w:r>
      <w:r w:rsidRPr="0006066A">
        <w:rPr>
          <w:rFonts w:eastAsia="MS Mincho"/>
          <w:i/>
          <w:sz w:val="22"/>
          <w:szCs w:val="22"/>
          <w:lang w:val="en-US"/>
        </w:rPr>
        <w:t>et al</w:t>
      </w:r>
      <w:r w:rsidRPr="009978E3">
        <w:rPr>
          <w:rFonts w:eastAsia="MS Mincho"/>
          <w:sz w:val="22"/>
          <w:szCs w:val="22"/>
          <w:lang w:val="en-US"/>
        </w:rPr>
        <w:t xml:space="preserve">. 2011, 2012, Kopp </w:t>
      </w:r>
      <w:r w:rsidRPr="0006066A">
        <w:rPr>
          <w:rFonts w:eastAsia="MS Mincho"/>
          <w:i/>
          <w:sz w:val="22"/>
          <w:szCs w:val="22"/>
          <w:lang w:val="en-US"/>
        </w:rPr>
        <w:t>et al</w:t>
      </w:r>
      <w:r w:rsidRPr="009978E3">
        <w:rPr>
          <w:rFonts w:eastAsia="MS Mincho"/>
          <w:sz w:val="22"/>
          <w:szCs w:val="22"/>
          <w:lang w:val="en-US"/>
        </w:rPr>
        <w:t xml:space="preserve">. 2011, Hedd </w:t>
      </w:r>
      <w:r w:rsidRPr="0006066A">
        <w:rPr>
          <w:rFonts w:eastAsia="MS Mincho"/>
          <w:i/>
          <w:sz w:val="22"/>
          <w:szCs w:val="22"/>
          <w:lang w:val="en-US"/>
        </w:rPr>
        <w:t>et al</w:t>
      </w:r>
      <w:r w:rsidRPr="009978E3">
        <w:rPr>
          <w:rFonts w:eastAsia="MS Mincho"/>
          <w:sz w:val="22"/>
          <w:szCs w:val="22"/>
          <w:lang w:val="en-US"/>
        </w:rPr>
        <w:t xml:space="preserve">. 2012; Figure 3). Twenty-one species of seabirds are known to use the area </w:t>
      </w:r>
      <w:r>
        <w:rPr>
          <w:rFonts w:eastAsia="MS Mincho"/>
          <w:sz w:val="22"/>
          <w:szCs w:val="22"/>
          <w:lang w:val="en-US"/>
        </w:rPr>
        <w:t>on</w:t>
      </w:r>
      <w:r w:rsidRPr="009978E3">
        <w:rPr>
          <w:rFonts w:eastAsia="MS Mincho"/>
          <w:sz w:val="22"/>
          <w:szCs w:val="22"/>
          <w:lang w:val="en-US"/>
        </w:rPr>
        <w:t xml:space="preserve"> a regular basis, including the OSPAR-listed Audubon’s </w:t>
      </w:r>
      <w:r>
        <w:rPr>
          <w:rFonts w:eastAsia="MS Mincho"/>
          <w:sz w:val="22"/>
          <w:szCs w:val="22"/>
          <w:lang w:val="en-US"/>
        </w:rPr>
        <w:t>s</w:t>
      </w:r>
      <w:r w:rsidRPr="009978E3">
        <w:rPr>
          <w:rFonts w:eastAsia="MS Mincho"/>
          <w:sz w:val="22"/>
          <w:szCs w:val="22"/>
          <w:lang w:val="en-US"/>
        </w:rPr>
        <w:t xml:space="preserve">hearwater </w:t>
      </w:r>
      <w:r>
        <w:rPr>
          <w:rFonts w:eastAsia="MS Mincho"/>
          <w:sz w:val="22"/>
          <w:szCs w:val="22"/>
          <w:lang w:val="en-US"/>
        </w:rPr>
        <w:t>(</w:t>
      </w:r>
      <w:r w:rsidRPr="009978E3">
        <w:rPr>
          <w:rFonts w:eastAsia="MS Mincho"/>
          <w:i/>
          <w:sz w:val="22"/>
          <w:szCs w:val="22"/>
          <w:lang w:val="en-US"/>
        </w:rPr>
        <w:t>Puffinus lherminieri baroli</w:t>
      </w:r>
      <w:r>
        <w:rPr>
          <w:rFonts w:eastAsia="MS Mincho"/>
          <w:i/>
          <w:sz w:val="22"/>
          <w:szCs w:val="22"/>
          <w:lang w:val="en-US"/>
        </w:rPr>
        <w:t>)</w:t>
      </w:r>
      <w:r w:rsidRPr="009978E3">
        <w:rPr>
          <w:rFonts w:eastAsia="MS Mincho"/>
          <w:sz w:val="22"/>
          <w:szCs w:val="22"/>
          <w:lang w:val="en-US"/>
        </w:rPr>
        <w:t xml:space="preserve"> and </w:t>
      </w:r>
      <w:r>
        <w:rPr>
          <w:rFonts w:eastAsia="MS Mincho"/>
          <w:sz w:val="22"/>
          <w:szCs w:val="22"/>
          <w:lang w:val="en-US"/>
        </w:rPr>
        <w:t>t</w:t>
      </w:r>
      <w:r w:rsidRPr="009978E3">
        <w:rPr>
          <w:rFonts w:eastAsia="MS Mincho"/>
          <w:sz w:val="22"/>
          <w:szCs w:val="22"/>
          <w:lang w:val="en-US"/>
        </w:rPr>
        <w:t xml:space="preserve">hick-billed </w:t>
      </w:r>
      <w:r>
        <w:rPr>
          <w:rFonts w:eastAsia="MS Mincho"/>
          <w:sz w:val="22"/>
          <w:szCs w:val="22"/>
          <w:lang w:val="en-US"/>
        </w:rPr>
        <w:t>m</w:t>
      </w:r>
      <w:r w:rsidRPr="009978E3">
        <w:rPr>
          <w:rFonts w:eastAsia="MS Mincho"/>
          <w:sz w:val="22"/>
          <w:szCs w:val="22"/>
          <w:lang w:val="en-US"/>
        </w:rPr>
        <w:t xml:space="preserve">urre </w:t>
      </w:r>
      <w:r>
        <w:rPr>
          <w:rFonts w:eastAsia="MS Mincho"/>
          <w:sz w:val="22"/>
          <w:szCs w:val="22"/>
          <w:lang w:val="en-US"/>
        </w:rPr>
        <w:t>(</w:t>
      </w:r>
      <w:r w:rsidRPr="009978E3">
        <w:rPr>
          <w:rFonts w:eastAsia="MS Mincho"/>
          <w:i/>
          <w:sz w:val="22"/>
          <w:szCs w:val="22"/>
          <w:lang w:val="en-US"/>
        </w:rPr>
        <w:t>Uria lomvia</w:t>
      </w:r>
      <w:r>
        <w:rPr>
          <w:rFonts w:eastAsia="MS Mincho"/>
          <w:sz w:val="22"/>
          <w:szCs w:val="22"/>
          <w:lang w:val="en-US"/>
        </w:rPr>
        <w:t>)</w:t>
      </w:r>
      <w:r w:rsidRPr="009978E3">
        <w:rPr>
          <w:rFonts w:eastAsia="MS Mincho"/>
          <w:sz w:val="22"/>
          <w:szCs w:val="22"/>
          <w:lang w:val="en-US"/>
        </w:rPr>
        <w:t xml:space="preserve"> and several globally threatened species as Atlantic </w:t>
      </w:r>
      <w:r>
        <w:rPr>
          <w:rFonts w:eastAsia="MS Mincho"/>
          <w:sz w:val="22"/>
          <w:szCs w:val="22"/>
          <w:lang w:val="en-US"/>
        </w:rPr>
        <w:t>p</w:t>
      </w:r>
      <w:r w:rsidRPr="009978E3">
        <w:rPr>
          <w:rFonts w:eastAsia="MS Mincho"/>
          <w:sz w:val="22"/>
          <w:szCs w:val="22"/>
          <w:lang w:val="en-US"/>
        </w:rPr>
        <w:t xml:space="preserve">uffin </w:t>
      </w:r>
      <w:r>
        <w:rPr>
          <w:rFonts w:eastAsia="MS Mincho"/>
          <w:sz w:val="22"/>
          <w:szCs w:val="22"/>
          <w:lang w:val="en-US"/>
        </w:rPr>
        <w:t>(</w:t>
      </w:r>
      <w:r w:rsidRPr="009978E3">
        <w:rPr>
          <w:rFonts w:eastAsia="MS Mincho"/>
          <w:i/>
          <w:sz w:val="22"/>
          <w:szCs w:val="22"/>
          <w:lang w:val="en-US"/>
        </w:rPr>
        <w:t>Fratercula arctica</w:t>
      </w:r>
      <w:r>
        <w:rPr>
          <w:rFonts w:eastAsia="MS Mincho"/>
          <w:i/>
          <w:sz w:val="22"/>
          <w:szCs w:val="22"/>
          <w:lang w:val="en-US"/>
        </w:rPr>
        <w:t>)</w:t>
      </w:r>
      <w:r w:rsidRPr="009978E3">
        <w:rPr>
          <w:rFonts w:eastAsia="MS Mincho"/>
          <w:sz w:val="22"/>
          <w:szCs w:val="22"/>
          <w:lang w:val="en-US"/>
        </w:rPr>
        <w:t xml:space="preserve">, </w:t>
      </w:r>
      <w:r>
        <w:rPr>
          <w:rFonts w:eastAsia="MS Mincho"/>
          <w:sz w:val="22"/>
          <w:szCs w:val="22"/>
          <w:lang w:val="en-US"/>
        </w:rPr>
        <w:t>b</w:t>
      </w:r>
      <w:r w:rsidRPr="009978E3">
        <w:rPr>
          <w:rFonts w:eastAsia="MS Mincho"/>
          <w:sz w:val="22"/>
          <w:szCs w:val="22"/>
          <w:lang w:val="en-US"/>
        </w:rPr>
        <w:t xml:space="preserve">lack-legged </w:t>
      </w:r>
      <w:r>
        <w:rPr>
          <w:rFonts w:eastAsia="MS Mincho"/>
          <w:sz w:val="22"/>
          <w:szCs w:val="22"/>
          <w:lang w:val="en-US"/>
        </w:rPr>
        <w:t>k</w:t>
      </w:r>
      <w:r w:rsidRPr="009978E3">
        <w:rPr>
          <w:rFonts w:eastAsia="MS Mincho"/>
          <w:sz w:val="22"/>
          <w:szCs w:val="22"/>
          <w:lang w:val="en-US"/>
        </w:rPr>
        <w:t xml:space="preserve">ittiwake </w:t>
      </w:r>
      <w:r>
        <w:rPr>
          <w:rFonts w:eastAsia="MS Mincho"/>
          <w:sz w:val="22"/>
          <w:szCs w:val="22"/>
          <w:lang w:val="en-US"/>
        </w:rPr>
        <w:t>(</w:t>
      </w:r>
      <w:r w:rsidRPr="009978E3">
        <w:rPr>
          <w:rFonts w:eastAsia="MS Mincho"/>
          <w:i/>
          <w:sz w:val="22"/>
          <w:szCs w:val="22"/>
          <w:lang w:val="en-US"/>
        </w:rPr>
        <w:t>Rissa tridactyla</w:t>
      </w:r>
      <w:r>
        <w:rPr>
          <w:rFonts w:eastAsia="MS Mincho"/>
          <w:i/>
          <w:sz w:val="22"/>
          <w:szCs w:val="22"/>
          <w:lang w:val="en-US"/>
        </w:rPr>
        <w:t>)</w:t>
      </w:r>
      <w:r w:rsidRPr="009978E3">
        <w:rPr>
          <w:rFonts w:eastAsia="MS Mincho"/>
          <w:sz w:val="22"/>
          <w:szCs w:val="22"/>
          <w:lang w:val="en-US"/>
        </w:rPr>
        <w:t xml:space="preserve">, Desertas petrel </w:t>
      </w:r>
      <w:r>
        <w:rPr>
          <w:rFonts w:eastAsia="MS Mincho"/>
          <w:sz w:val="22"/>
          <w:szCs w:val="22"/>
          <w:lang w:val="en-US"/>
        </w:rPr>
        <w:t>(</w:t>
      </w:r>
      <w:r w:rsidRPr="009978E3">
        <w:rPr>
          <w:rFonts w:eastAsia="MS Mincho"/>
          <w:i/>
          <w:sz w:val="22"/>
          <w:szCs w:val="22"/>
          <w:lang w:val="en-US"/>
        </w:rPr>
        <w:t>Pterodroma deserta</w:t>
      </w:r>
      <w:r>
        <w:rPr>
          <w:rFonts w:eastAsia="MS Mincho"/>
          <w:i/>
          <w:sz w:val="22"/>
          <w:szCs w:val="22"/>
          <w:lang w:val="en-US"/>
        </w:rPr>
        <w:t>)</w:t>
      </w:r>
      <w:r w:rsidRPr="009978E3">
        <w:rPr>
          <w:rFonts w:eastAsia="MS Mincho"/>
          <w:sz w:val="22"/>
          <w:szCs w:val="22"/>
          <w:lang w:val="en-US"/>
        </w:rPr>
        <w:t xml:space="preserve">, Zino’s </w:t>
      </w:r>
      <w:r>
        <w:rPr>
          <w:rFonts w:eastAsia="MS Mincho"/>
          <w:sz w:val="22"/>
          <w:szCs w:val="22"/>
          <w:lang w:val="en-US"/>
        </w:rPr>
        <w:t>p</w:t>
      </w:r>
      <w:r w:rsidRPr="009978E3">
        <w:rPr>
          <w:rFonts w:eastAsia="MS Mincho"/>
          <w:sz w:val="22"/>
          <w:szCs w:val="22"/>
          <w:lang w:val="en-US"/>
        </w:rPr>
        <w:t xml:space="preserve">etrel </w:t>
      </w:r>
      <w:r>
        <w:rPr>
          <w:rFonts w:eastAsia="MS Mincho"/>
          <w:sz w:val="22"/>
          <w:szCs w:val="22"/>
          <w:lang w:val="en-US"/>
        </w:rPr>
        <w:t>(</w:t>
      </w:r>
      <w:r w:rsidRPr="009978E3">
        <w:rPr>
          <w:rFonts w:eastAsia="MS Mincho"/>
          <w:i/>
          <w:sz w:val="22"/>
          <w:szCs w:val="22"/>
          <w:lang w:val="en-US"/>
        </w:rPr>
        <w:t>Pterodroma madeira</w:t>
      </w:r>
      <w:r>
        <w:rPr>
          <w:rFonts w:eastAsia="MS Mincho"/>
          <w:i/>
          <w:sz w:val="22"/>
          <w:szCs w:val="22"/>
          <w:lang w:val="en-US"/>
        </w:rPr>
        <w:t>)</w:t>
      </w:r>
      <w:r w:rsidRPr="009978E3">
        <w:rPr>
          <w:rFonts w:eastAsia="MS Mincho"/>
          <w:sz w:val="22"/>
          <w:szCs w:val="22"/>
          <w:lang w:val="en-US"/>
        </w:rPr>
        <w:t xml:space="preserve"> and Bermuda </w:t>
      </w:r>
      <w:r>
        <w:rPr>
          <w:rFonts w:eastAsia="MS Mincho"/>
          <w:sz w:val="22"/>
          <w:szCs w:val="22"/>
          <w:lang w:val="en-US"/>
        </w:rPr>
        <w:t>p</w:t>
      </w:r>
      <w:r w:rsidRPr="009978E3">
        <w:rPr>
          <w:rFonts w:eastAsia="MS Mincho"/>
          <w:sz w:val="22"/>
          <w:szCs w:val="22"/>
          <w:lang w:val="en-US"/>
        </w:rPr>
        <w:t xml:space="preserve">etrel </w:t>
      </w:r>
      <w:r>
        <w:rPr>
          <w:rFonts w:eastAsia="MS Mincho"/>
          <w:sz w:val="22"/>
          <w:szCs w:val="22"/>
          <w:lang w:val="en-US"/>
        </w:rPr>
        <w:t>(</w:t>
      </w:r>
      <w:r w:rsidRPr="009978E3">
        <w:rPr>
          <w:rFonts w:eastAsia="MS Mincho"/>
          <w:i/>
          <w:sz w:val="22"/>
          <w:szCs w:val="22"/>
          <w:lang w:val="en-US"/>
        </w:rPr>
        <w:t>Pterodroma cahow</w:t>
      </w:r>
      <w:r w:rsidRPr="009978E3">
        <w:rPr>
          <w:rFonts w:eastAsia="MS Mincho"/>
          <w:sz w:val="22"/>
          <w:szCs w:val="22"/>
          <w:lang w:val="en-US"/>
        </w:rPr>
        <w:t xml:space="preserve">). A scientific expedition to the area carried out in 2018 confirmed the enhanced abundance and diversity of seabird species in the area in comparison with adjacent waters (Wakefield 2018), and provided further evidence of the use of the area by other seabird species for which tracking data are not available, such as Leach’s </w:t>
      </w:r>
      <w:r>
        <w:rPr>
          <w:rFonts w:eastAsia="MS Mincho"/>
          <w:sz w:val="22"/>
          <w:szCs w:val="22"/>
          <w:lang w:val="en-US"/>
        </w:rPr>
        <w:t>s</w:t>
      </w:r>
      <w:r w:rsidRPr="009978E3">
        <w:rPr>
          <w:rFonts w:eastAsia="MS Mincho"/>
          <w:sz w:val="22"/>
          <w:szCs w:val="22"/>
          <w:lang w:val="en-US"/>
        </w:rPr>
        <w:t xml:space="preserve">torm </w:t>
      </w:r>
      <w:r>
        <w:rPr>
          <w:rFonts w:eastAsia="MS Mincho"/>
          <w:sz w:val="22"/>
          <w:szCs w:val="22"/>
          <w:lang w:val="en-US"/>
        </w:rPr>
        <w:t>p</w:t>
      </w:r>
      <w:r w:rsidRPr="009978E3">
        <w:rPr>
          <w:rFonts w:eastAsia="MS Mincho"/>
          <w:sz w:val="22"/>
          <w:szCs w:val="22"/>
          <w:lang w:val="en-US"/>
        </w:rPr>
        <w:t xml:space="preserve">etrel </w:t>
      </w:r>
      <w:r>
        <w:rPr>
          <w:rFonts w:eastAsia="MS Mincho"/>
          <w:sz w:val="22"/>
          <w:szCs w:val="22"/>
          <w:lang w:val="en-US"/>
        </w:rPr>
        <w:t>(</w:t>
      </w:r>
      <w:r w:rsidRPr="009978E3">
        <w:rPr>
          <w:rFonts w:eastAsia="MS Mincho"/>
          <w:i/>
          <w:sz w:val="22"/>
          <w:szCs w:val="22"/>
          <w:lang w:val="en-US"/>
        </w:rPr>
        <w:t>Hydrobates leucorhous</w:t>
      </w:r>
      <w:r>
        <w:rPr>
          <w:rFonts w:eastAsia="MS Mincho"/>
          <w:i/>
          <w:sz w:val="22"/>
          <w:szCs w:val="22"/>
          <w:lang w:val="en-US"/>
        </w:rPr>
        <w:t>)</w:t>
      </w:r>
      <w:r w:rsidRPr="009978E3">
        <w:rPr>
          <w:rFonts w:eastAsia="MS Mincho"/>
          <w:sz w:val="22"/>
          <w:szCs w:val="22"/>
          <w:lang w:val="en-US"/>
        </w:rPr>
        <w:t xml:space="preserve">, Wilson’s storm petrel </w:t>
      </w:r>
      <w:r>
        <w:rPr>
          <w:rFonts w:eastAsia="MS Mincho"/>
          <w:sz w:val="22"/>
          <w:szCs w:val="22"/>
          <w:lang w:val="en-US"/>
        </w:rPr>
        <w:t>(</w:t>
      </w:r>
      <w:r w:rsidRPr="009978E3">
        <w:rPr>
          <w:rFonts w:eastAsia="MS Mincho"/>
          <w:i/>
          <w:sz w:val="22"/>
          <w:szCs w:val="22"/>
          <w:lang w:val="en-US"/>
        </w:rPr>
        <w:t>Oceanites oceanicus</w:t>
      </w:r>
      <w:r>
        <w:rPr>
          <w:rFonts w:eastAsia="MS Mincho"/>
          <w:i/>
          <w:sz w:val="22"/>
          <w:szCs w:val="22"/>
          <w:lang w:val="en-US"/>
        </w:rPr>
        <w:t>)</w:t>
      </w:r>
      <w:r w:rsidRPr="009978E3">
        <w:rPr>
          <w:rFonts w:eastAsia="MS Mincho"/>
          <w:sz w:val="22"/>
          <w:szCs w:val="22"/>
          <w:lang w:val="en-US"/>
        </w:rPr>
        <w:t xml:space="preserve">, </w:t>
      </w:r>
      <w:r>
        <w:rPr>
          <w:rFonts w:eastAsia="MS Mincho"/>
          <w:sz w:val="22"/>
          <w:szCs w:val="22"/>
          <w:lang w:val="en-US"/>
        </w:rPr>
        <w:t>g</w:t>
      </w:r>
      <w:r w:rsidRPr="009978E3">
        <w:rPr>
          <w:rFonts w:eastAsia="MS Mincho"/>
          <w:sz w:val="22"/>
          <w:szCs w:val="22"/>
          <w:lang w:val="en-US"/>
        </w:rPr>
        <w:t xml:space="preserve">reat </w:t>
      </w:r>
      <w:r>
        <w:rPr>
          <w:rFonts w:eastAsia="MS Mincho"/>
          <w:sz w:val="22"/>
          <w:szCs w:val="22"/>
          <w:lang w:val="en-US"/>
        </w:rPr>
        <w:t>b</w:t>
      </w:r>
      <w:r w:rsidRPr="009978E3">
        <w:rPr>
          <w:rFonts w:eastAsia="MS Mincho"/>
          <w:sz w:val="22"/>
          <w:szCs w:val="22"/>
          <w:lang w:val="en-US"/>
        </w:rPr>
        <w:t xml:space="preserve">lack-backed </w:t>
      </w:r>
      <w:r>
        <w:rPr>
          <w:rFonts w:eastAsia="MS Mincho"/>
          <w:sz w:val="22"/>
          <w:szCs w:val="22"/>
          <w:lang w:val="en-US"/>
        </w:rPr>
        <w:t>g</w:t>
      </w:r>
      <w:r w:rsidRPr="009978E3">
        <w:rPr>
          <w:rFonts w:eastAsia="MS Mincho"/>
          <w:sz w:val="22"/>
          <w:szCs w:val="22"/>
          <w:lang w:val="en-US"/>
        </w:rPr>
        <w:t xml:space="preserve">ull </w:t>
      </w:r>
      <w:r>
        <w:rPr>
          <w:rFonts w:eastAsia="MS Mincho"/>
          <w:sz w:val="22"/>
          <w:szCs w:val="22"/>
          <w:lang w:val="en-US"/>
        </w:rPr>
        <w:t>(</w:t>
      </w:r>
      <w:r w:rsidRPr="009978E3">
        <w:rPr>
          <w:rFonts w:eastAsia="MS Mincho"/>
          <w:i/>
          <w:sz w:val="22"/>
          <w:szCs w:val="22"/>
          <w:lang w:val="en-US"/>
        </w:rPr>
        <w:t>Larus marinus</w:t>
      </w:r>
      <w:r>
        <w:rPr>
          <w:rFonts w:eastAsia="MS Mincho"/>
          <w:i/>
          <w:sz w:val="22"/>
          <w:szCs w:val="22"/>
          <w:lang w:val="en-US"/>
        </w:rPr>
        <w:t>)</w:t>
      </w:r>
      <w:r w:rsidRPr="009978E3">
        <w:rPr>
          <w:rFonts w:eastAsia="MS Mincho"/>
          <w:sz w:val="22"/>
          <w:szCs w:val="22"/>
          <w:lang w:val="en-US"/>
        </w:rPr>
        <w:t xml:space="preserve">, </w:t>
      </w:r>
      <w:r w:rsidRPr="009978E3">
        <w:rPr>
          <w:rFonts w:eastAsia="MS Mincho"/>
          <w:sz w:val="22"/>
          <w:szCs w:val="22"/>
        </w:rPr>
        <w:t xml:space="preserve">Arctic </w:t>
      </w:r>
      <w:r>
        <w:rPr>
          <w:rFonts w:eastAsia="MS Mincho"/>
          <w:sz w:val="22"/>
          <w:szCs w:val="22"/>
        </w:rPr>
        <w:t>j</w:t>
      </w:r>
      <w:r w:rsidRPr="009978E3">
        <w:rPr>
          <w:rFonts w:eastAsia="MS Mincho"/>
          <w:sz w:val="22"/>
          <w:szCs w:val="22"/>
        </w:rPr>
        <w:t xml:space="preserve">aegar </w:t>
      </w:r>
      <w:r>
        <w:rPr>
          <w:rFonts w:eastAsia="MS Mincho"/>
          <w:sz w:val="22"/>
          <w:szCs w:val="22"/>
        </w:rPr>
        <w:t>(</w:t>
      </w:r>
      <w:r w:rsidRPr="009978E3">
        <w:rPr>
          <w:rFonts w:eastAsia="MS Mincho"/>
          <w:i/>
          <w:sz w:val="22"/>
          <w:szCs w:val="22"/>
        </w:rPr>
        <w:t>Stercorarius parasiticus</w:t>
      </w:r>
      <w:r>
        <w:rPr>
          <w:rFonts w:eastAsia="MS Mincho"/>
          <w:i/>
          <w:sz w:val="22"/>
          <w:szCs w:val="22"/>
        </w:rPr>
        <w:t>)</w:t>
      </w:r>
      <w:r w:rsidRPr="009978E3">
        <w:rPr>
          <w:rFonts w:eastAsia="MS Mincho"/>
          <w:sz w:val="22"/>
          <w:szCs w:val="22"/>
        </w:rPr>
        <w:t xml:space="preserve">, </w:t>
      </w:r>
      <w:r>
        <w:rPr>
          <w:rFonts w:eastAsia="MS Mincho"/>
          <w:sz w:val="22"/>
          <w:szCs w:val="22"/>
        </w:rPr>
        <w:t>p</w:t>
      </w:r>
      <w:r w:rsidRPr="009978E3">
        <w:rPr>
          <w:rFonts w:eastAsia="MS Mincho"/>
          <w:sz w:val="22"/>
          <w:szCs w:val="22"/>
        </w:rPr>
        <w:t xml:space="preserve">omarine </w:t>
      </w:r>
      <w:r>
        <w:rPr>
          <w:rFonts w:eastAsia="MS Mincho"/>
          <w:sz w:val="22"/>
          <w:szCs w:val="22"/>
        </w:rPr>
        <w:t>j</w:t>
      </w:r>
      <w:r w:rsidRPr="009978E3">
        <w:rPr>
          <w:rFonts w:eastAsia="MS Mincho"/>
          <w:sz w:val="22"/>
          <w:szCs w:val="22"/>
        </w:rPr>
        <w:t xml:space="preserve">aegar </w:t>
      </w:r>
      <w:r>
        <w:rPr>
          <w:rFonts w:eastAsia="MS Mincho"/>
          <w:sz w:val="22"/>
          <w:szCs w:val="22"/>
        </w:rPr>
        <w:t>(</w:t>
      </w:r>
      <w:r w:rsidRPr="009978E3">
        <w:rPr>
          <w:rFonts w:eastAsia="MS Mincho"/>
          <w:i/>
          <w:sz w:val="22"/>
          <w:szCs w:val="22"/>
        </w:rPr>
        <w:t>Stercorarius pomarinus</w:t>
      </w:r>
      <w:r>
        <w:rPr>
          <w:rFonts w:eastAsia="MS Mincho"/>
          <w:i/>
          <w:sz w:val="22"/>
          <w:szCs w:val="22"/>
        </w:rPr>
        <w:t>)</w:t>
      </w:r>
      <w:r w:rsidRPr="009978E3">
        <w:rPr>
          <w:rFonts w:eastAsia="MS Mincho"/>
          <w:sz w:val="22"/>
          <w:szCs w:val="22"/>
        </w:rPr>
        <w:t xml:space="preserve"> and </w:t>
      </w:r>
      <w:r>
        <w:rPr>
          <w:rFonts w:eastAsia="MS Mincho"/>
          <w:sz w:val="22"/>
          <w:szCs w:val="22"/>
          <w:lang w:val="en-US"/>
        </w:rPr>
        <w:t>n</w:t>
      </w:r>
      <w:r w:rsidRPr="009978E3">
        <w:rPr>
          <w:rFonts w:eastAsia="MS Mincho"/>
          <w:sz w:val="22"/>
          <w:szCs w:val="22"/>
          <w:lang w:val="en-US"/>
        </w:rPr>
        <w:t xml:space="preserve">orthern </w:t>
      </w:r>
      <w:r>
        <w:rPr>
          <w:rFonts w:eastAsia="MS Mincho"/>
          <w:sz w:val="22"/>
          <w:szCs w:val="22"/>
          <w:lang w:val="en-US"/>
        </w:rPr>
        <w:t>g</w:t>
      </w:r>
      <w:r w:rsidRPr="009978E3">
        <w:rPr>
          <w:rFonts w:eastAsia="MS Mincho"/>
          <w:sz w:val="22"/>
          <w:szCs w:val="22"/>
          <w:lang w:val="en-US"/>
        </w:rPr>
        <w:t xml:space="preserve">annet </w:t>
      </w:r>
      <w:r>
        <w:rPr>
          <w:rFonts w:eastAsia="MS Mincho"/>
          <w:sz w:val="22"/>
          <w:szCs w:val="22"/>
          <w:lang w:val="en-US"/>
        </w:rPr>
        <w:t>(</w:t>
      </w:r>
      <w:r w:rsidRPr="009978E3">
        <w:rPr>
          <w:rFonts w:eastAsia="MS Mincho"/>
          <w:i/>
          <w:sz w:val="22"/>
          <w:szCs w:val="22"/>
          <w:lang w:val="en-US"/>
        </w:rPr>
        <w:t>Morus bassanus</w:t>
      </w:r>
      <w:r>
        <w:rPr>
          <w:rFonts w:eastAsia="MS Mincho"/>
          <w:i/>
          <w:sz w:val="22"/>
          <w:szCs w:val="22"/>
          <w:lang w:val="en-US"/>
        </w:rPr>
        <w:t>)</w:t>
      </w:r>
      <w:r w:rsidRPr="009978E3">
        <w:rPr>
          <w:rFonts w:eastAsia="MS Mincho"/>
          <w:sz w:val="22"/>
          <w:szCs w:val="22"/>
          <w:lang w:val="en-US"/>
        </w:rPr>
        <w:t xml:space="preserve"> (Wakefield 2018).</w:t>
      </w:r>
    </w:p>
    <w:p w14:paraId="37D8036D" w14:textId="77777777" w:rsidR="006B3F46" w:rsidRPr="009978E3" w:rsidRDefault="006B3F46" w:rsidP="002E4B39">
      <w:pPr>
        <w:suppressLineNumbers/>
        <w:spacing w:after="120"/>
        <w:jc w:val="both"/>
        <w:rPr>
          <w:sz w:val="22"/>
          <w:szCs w:val="22"/>
        </w:rPr>
      </w:pPr>
      <w:r w:rsidRPr="009978E3">
        <w:rPr>
          <w:rFonts w:eastAsia="MS Mincho"/>
          <w:sz w:val="22"/>
          <w:szCs w:val="22"/>
          <w:lang w:val="en-US"/>
        </w:rPr>
        <w:t>Other marine megafauna occur in the area, such as marine mammals, sea</w:t>
      </w:r>
      <w:r>
        <w:rPr>
          <w:rFonts w:eastAsia="MS Mincho"/>
          <w:sz w:val="22"/>
          <w:szCs w:val="22"/>
          <w:lang w:val="en-US"/>
        </w:rPr>
        <w:t xml:space="preserve"> </w:t>
      </w:r>
      <w:r w:rsidRPr="009978E3">
        <w:rPr>
          <w:rFonts w:eastAsia="MS Mincho"/>
          <w:sz w:val="22"/>
          <w:szCs w:val="22"/>
          <w:lang w:val="en-US"/>
        </w:rPr>
        <w:t>turtles and sharks (</w:t>
      </w:r>
      <w:r w:rsidRPr="009978E3">
        <w:rPr>
          <w:sz w:val="22"/>
          <w:szCs w:val="22"/>
        </w:rPr>
        <w:t xml:space="preserve">Hays </w:t>
      </w:r>
      <w:r w:rsidRPr="0006066A">
        <w:rPr>
          <w:i/>
          <w:sz w:val="22"/>
          <w:szCs w:val="22"/>
        </w:rPr>
        <w:t>et al</w:t>
      </w:r>
      <w:r w:rsidRPr="009978E3">
        <w:rPr>
          <w:sz w:val="22"/>
          <w:szCs w:val="22"/>
        </w:rPr>
        <w:t xml:space="preserve">. 2004, Olsen </w:t>
      </w:r>
      <w:r w:rsidRPr="0006066A">
        <w:rPr>
          <w:i/>
          <w:sz w:val="22"/>
          <w:szCs w:val="22"/>
        </w:rPr>
        <w:t>et al</w:t>
      </w:r>
      <w:r w:rsidRPr="009978E3">
        <w:rPr>
          <w:sz w:val="22"/>
          <w:szCs w:val="22"/>
        </w:rPr>
        <w:t xml:space="preserve">. 2009, </w:t>
      </w:r>
      <w:r w:rsidRPr="009978E3">
        <w:rPr>
          <w:rFonts w:eastAsia="MS Mincho"/>
          <w:sz w:val="22"/>
          <w:szCs w:val="22"/>
          <w:lang w:val="en-US"/>
        </w:rPr>
        <w:t xml:space="preserve">Walli </w:t>
      </w:r>
      <w:r w:rsidRPr="0006066A">
        <w:rPr>
          <w:rFonts w:eastAsia="MS Mincho"/>
          <w:i/>
          <w:sz w:val="22"/>
          <w:szCs w:val="22"/>
          <w:lang w:val="en-US"/>
        </w:rPr>
        <w:t>et al</w:t>
      </w:r>
      <w:r w:rsidRPr="009978E3">
        <w:rPr>
          <w:rFonts w:eastAsia="MS Mincho"/>
          <w:sz w:val="22"/>
          <w:szCs w:val="22"/>
          <w:lang w:val="en-US"/>
        </w:rPr>
        <w:t xml:space="preserve">. 2009, </w:t>
      </w:r>
      <w:r w:rsidRPr="009978E3">
        <w:rPr>
          <w:sz w:val="22"/>
          <w:szCs w:val="22"/>
        </w:rPr>
        <w:t xml:space="preserve">Silva </w:t>
      </w:r>
      <w:r w:rsidRPr="0006066A">
        <w:rPr>
          <w:i/>
          <w:sz w:val="22"/>
          <w:szCs w:val="22"/>
        </w:rPr>
        <w:t>et al</w:t>
      </w:r>
      <w:r w:rsidRPr="009978E3">
        <w:rPr>
          <w:sz w:val="22"/>
          <w:szCs w:val="22"/>
        </w:rPr>
        <w:t xml:space="preserve">. 2013, Prieto </w:t>
      </w:r>
      <w:r w:rsidRPr="0006066A">
        <w:rPr>
          <w:i/>
          <w:sz w:val="22"/>
          <w:szCs w:val="22"/>
        </w:rPr>
        <w:t>et al</w:t>
      </w:r>
      <w:r w:rsidRPr="009978E3">
        <w:rPr>
          <w:sz w:val="22"/>
          <w:szCs w:val="22"/>
        </w:rPr>
        <w:t xml:space="preserve">. 2014, </w:t>
      </w:r>
      <w:r w:rsidRPr="009978E3">
        <w:rPr>
          <w:rFonts w:eastAsia="MS Mincho"/>
          <w:sz w:val="22"/>
          <w:szCs w:val="22"/>
          <w:lang w:val="en-US"/>
        </w:rPr>
        <w:t xml:space="preserve">Queiroz </w:t>
      </w:r>
      <w:r w:rsidRPr="0006066A">
        <w:rPr>
          <w:rFonts w:eastAsia="MS Mincho"/>
          <w:i/>
          <w:sz w:val="22"/>
          <w:szCs w:val="22"/>
          <w:lang w:val="en-US"/>
        </w:rPr>
        <w:t>et al</w:t>
      </w:r>
      <w:r w:rsidRPr="009978E3">
        <w:rPr>
          <w:rFonts w:eastAsia="MS Mincho"/>
          <w:sz w:val="22"/>
          <w:szCs w:val="22"/>
          <w:lang w:val="en-US"/>
        </w:rPr>
        <w:t xml:space="preserve">. 2016). </w:t>
      </w:r>
      <w:r w:rsidRPr="009978E3">
        <w:rPr>
          <w:sz w:val="22"/>
          <w:szCs w:val="22"/>
        </w:rPr>
        <w:t xml:space="preserve">A number of tracking and telemetry studies on marine mammals, particularly for baleen whale species, have indicated the presence of known migratory pathways transiting through the region. Such cetaceans include the </w:t>
      </w:r>
      <w:r>
        <w:rPr>
          <w:sz w:val="22"/>
          <w:szCs w:val="22"/>
        </w:rPr>
        <w:t>e</w:t>
      </w:r>
      <w:r w:rsidRPr="009978E3">
        <w:rPr>
          <w:sz w:val="22"/>
          <w:szCs w:val="22"/>
        </w:rPr>
        <w:t xml:space="preserve">ndangered </w:t>
      </w:r>
      <w:r>
        <w:rPr>
          <w:sz w:val="22"/>
          <w:szCs w:val="22"/>
        </w:rPr>
        <w:t>s</w:t>
      </w:r>
      <w:r w:rsidRPr="009978E3">
        <w:rPr>
          <w:sz w:val="22"/>
          <w:szCs w:val="22"/>
        </w:rPr>
        <w:t xml:space="preserve">ei </w:t>
      </w:r>
      <w:r>
        <w:rPr>
          <w:sz w:val="22"/>
          <w:szCs w:val="22"/>
        </w:rPr>
        <w:t>w</w:t>
      </w:r>
      <w:r w:rsidRPr="009978E3">
        <w:rPr>
          <w:sz w:val="22"/>
          <w:szCs w:val="22"/>
        </w:rPr>
        <w:t xml:space="preserve">hale </w:t>
      </w:r>
      <w:r>
        <w:rPr>
          <w:sz w:val="22"/>
          <w:szCs w:val="22"/>
        </w:rPr>
        <w:t>(</w:t>
      </w:r>
      <w:r w:rsidRPr="009978E3">
        <w:rPr>
          <w:i/>
          <w:sz w:val="22"/>
          <w:szCs w:val="22"/>
        </w:rPr>
        <w:t>Balaenoptera borealis</w:t>
      </w:r>
      <w:r>
        <w:rPr>
          <w:i/>
          <w:sz w:val="22"/>
          <w:szCs w:val="22"/>
        </w:rPr>
        <w:t xml:space="preserve">), </w:t>
      </w:r>
      <w:r w:rsidRPr="0021277B">
        <w:rPr>
          <w:sz w:val="22"/>
          <w:szCs w:val="22"/>
        </w:rPr>
        <w:t>which</w:t>
      </w:r>
      <w:r w:rsidRPr="009978E3">
        <w:rPr>
          <w:sz w:val="22"/>
          <w:szCs w:val="22"/>
        </w:rPr>
        <w:t xml:space="preserve"> migrate through the </w:t>
      </w:r>
      <w:r w:rsidRPr="00EC5399">
        <w:rPr>
          <w:sz w:val="22"/>
          <w:szCs w:val="22"/>
        </w:rPr>
        <w:t xml:space="preserve">area from the Azores, likely longitudinally from waters on the Eastern Atlantic, to highly productive foraging areas in the Labrador Sea (Figure 4) as well as Greenlandic and Icelandic waters (Olsen </w:t>
      </w:r>
      <w:r w:rsidRPr="00EC5399">
        <w:rPr>
          <w:i/>
          <w:sz w:val="22"/>
          <w:szCs w:val="22"/>
        </w:rPr>
        <w:t>et al</w:t>
      </w:r>
      <w:r w:rsidRPr="00EC5399">
        <w:rPr>
          <w:sz w:val="22"/>
          <w:szCs w:val="22"/>
        </w:rPr>
        <w:t xml:space="preserve">. 2009, Prieto </w:t>
      </w:r>
      <w:r w:rsidRPr="00EC5399">
        <w:rPr>
          <w:i/>
          <w:sz w:val="22"/>
          <w:szCs w:val="22"/>
        </w:rPr>
        <w:t>et al</w:t>
      </w:r>
      <w:r w:rsidRPr="00EC5399">
        <w:rPr>
          <w:sz w:val="22"/>
          <w:szCs w:val="22"/>
        </w:rPr>
        <w:t>. 2014). Other tracking studies of endangered fin whales (</w:t>
      </w:r>
      <w:r w:rsidRPr="00EC5399">
        <w:rPr>
          <w:i/>
          <w:sz w:val="22"/>
          <w:szCs w:val="22"/>
        </w:rPr>
        <w:t>Balaenoptera physalus</w:t>
      </w:r>
      <w:r w:rsidRPr="00EC5399">
        <w:rPr>
          <w:sz w:val="22"/>
          <w:szCs w:val="22"/>
        </w:rPr>
        <w:t>) and blue whales (</w:t>
      </w:r>
      <w:r w:rsidRPr="00EC5399">
        <w:rPr>
          <w:i/>
          <w:sz w:val="22"/>
          <w:szCs w:val="22"/>
        </w:rPr>
        <w:t>Balaenoptera musculus)</w:t>
      </w:r>
      <w:r w:rsidRPr="00EC5399">
        <w:rPr>
          <w:sz w:val="22"/>
          <w:szCs w:val="22"/>
        </w:rPr>
        <w:t xml:space="preserve"> have described long migratory movements between the area of the Azores northward towards key foraging areas in the region of eastern Greenland and western Iceland (Figure 4; Silva </w:t>
      </w:r>
      <w:r w:rsidRPr="00EC5399">
        <w:rPr>
          <w:i/>
          <w:sz w:val="22"/>
          <w:szCs w:val="22"/>
        </w:rPr>
        <w:t>et al</w:t>
      </w:r>
      <w:r w:rsidRPr="00EC5399">
        <w:rPr>
          <w:sz w:val="22"/>
          <w:szCs w:val="22"/>
        </w:rPr>
        <w:t>. 2013). Furthermore, fin and blue whales remained at middle latitudes along their migration in the area for prolonged periods, exhibiting area-restricted search (ARS) behaviour, indicative of foraging activity. Satellite tracking studies of humpback whales (</w:t>
      </w:r>
      <w:r w:rsidRPr="00EC5399">
        <w:rPr>
          <w:i/>
          <w:sz w:val="22"/>
          <w:szCs w:val="22"/>
        </w:rPr>
        <w:t>Megaptera novaeangliae</w:t>
      </w:r>
      <w:r w:rsidRPr="00EC5399">
        <w:rPr>
          <w:sz w:val="22"/>
          <w:szCs w:val="22"/>
        </w:rPr>
        <w:t xml:space="preserve">) tagged in Norwegian waters as part of the Arctic University of Norway’s Whaletrack project has further recorded the use of the area by migrating animals (Whaletrack 2019; Figure 4). Observations carried out during scientific expeditions (e.g., 2004 Mid-Atlantic Ridge (MAR)-ECO expedition on the R.V. G.O. Sars; Skov </w:t>
      </w:r>
      <w:r w:rsidRPr="00EC5399">
        <w:rPr>
          <w:i/>
          <w:sz w:val="22"/>
          <w:szCs w:val="22"/>
        </w:rPr>
        <w:t>et al</w:t>
      </w:r>
      <w:r w:rsidRPr="00EC5399">
        <w:rPr>
          <w:sz w:val="22"/>
          <w:szCs w:val="22"/>
        </w:rPr>
        <w:t>. 2008) also provided evidence of the use of the area by sei whale</w:t>
      </w:r>
      <w:r w:rsidRPr="00EC5399">
        <w:rPr>
          <w:i/>
          <w:sz w:val="22"/>
          <w:szCs w:val="22"/>
        </w:rPr>
        <w:t>,</w:t>
      </w:r>
      <w:r w:rsidRPr="00EC5399">
        <w:rPr>
          <w:sz w:val="22"/>
          <w:szCs w:val="22"/>
        </w:rPr>
        <w:t xml:space="preserve"> blue whale, fin whale  and sperm whale, as well as long and Short-finned pilot whales (</w:t>
      </w:r>
      <w:r w:rsidRPr="00EC5399">
        <w:rPr>
          <w:i/>
          <w:sz w:val="22"/>
          <w:szCs w:val="22"/>
        </w:rPr>
        <w:t>Globicephala melas</w:t>
      </w:r>
      <w:r w:rsidRPr="00EC5399">
        <w:rPr>
          <w:sz w:val="22"/>
          <w:szCs w:val="22"/>
        </w:rPr>
        <w:t xml:space="preserve">, </w:t>
      </w:r>
      <w:r w:rsidRPr="00EC5399">
        <w:rPr>
          <w:i/>
          <w:sz w:val="22"/>
          <w:szCs w:val="22"/>
        </w:rPr>
        <w:t>G. macrorhynchus)</w:t>
      </w:r>
      <w:r w:rsidRPr="00EC5399">
        <w:rPr>
          <w:sz w:val="22"/>
          <w:szCs w:val="22"/>
        </w:rPr>
        <w:t>, humpback whale (</w:t>
      </w:r>
      <w:r w:rsidRPr="00EC5399">
        <w:rPr>
          <w:i/>
          <w:sz w:val="22"/>
          <w:szCs w:val="22"/>
        </w:rPr>
        <w:t>Megaptera novaeangliae)</w:t>
      </w:r>
      <w:r w:rsidRPr="00EC5399">
        <w:rPr>
          <w:sz w:val="22"/>
          <w:szCs w:val="22"/>
        </w:rPr>
        <w:t>, killer whale (</w:t>
      </w:r>
      <w:r w:rsidRPr="00EC5399">
        <w:rPr>
          <w:i/>
          <w:sz w:val="22"/>
          <w:szCs w:val="22"/>
        </w:rPr>
        <w:t>Orcinus orca)</w:t>
      </w:r>
      <w:r w:rsidRPr="00EC5399">
        <w:rPr>
          <w:sz w:val="22"/>
          <w:szCs w:val="22"/>
        </w:rPr>
        <w:t>, beaked whales (</w:t>
      </w:r>
      <w:r w:rsidRPr="00EC5399">
        <w:rPr>
          <w:i/>
          <w:sz w:val="22"/>
          <w:szCs w:val="22"/>
        </w:rPr>
        <w:t>Mesoplodon</w:t>
      </w:r>
      <w:r w:rsidRPr="009978E3">
        <w:rPr>
          <w:i/>
          <w:sz w:val="22"/>
          <w:szCs w:val="22"/>
        </w:rPr>
        <w:t xml:space="preserve"> sp</w:t>
      </w:r>
      <w:r w:rsidRPr="009978E3">
        <w:rPr>
          <w:sz w:val="22"/>
          <w:szCs w:val="22"/>
        </w:rPr>
        <w:t>.</w:t>
      </w:r>
      <w:r>
        <w:rPr>
          <w:sz w:val="22"/>
          <w:szCs w:val="22"/>
        </w:rPr>
        <w:t>)</w:t>
      </w:r>
      <w:r w:rsidRPr="009978E3">
        <w:rPr>
          <w:sz w:val="22"/>
          <w:szCs w:val="22"/>
        </w:rPr>
        <w:t xml:space="preserve"> and </w:t>
      </w:r>
      <w:r>
        <w:rPr>
          <w:sz w:val="22"/>
          <w:szCs w:val="22"/>
        </w:rPr>
        <w:t xml:space="preserve"> </w:t>
      </w:r>
      <w:r w:rsidRPr="00D73502">
        <w:rPr>
          <w:sz w:val="22"/>
          <w:szCs w:val="22"/>
        </w:rPr>
        <w:t>Atlantic white-sided dolphin</w:t>
      </w:r>
      <w:r w:rsidRPr="009978E3">
        <w:rPr>
          <w:sz w:val="22"/>
          <w:szCs w:val="22"/>
        </w:rPr>
        <w:t xml:space="preserve"> </w:t>
      </w:r>
      <w:r>
        <w:rPr>
          <w:sz w:val="22"/>
          <w:szCs w:val="22"/>
        </w:rPr>
        <w:t>(</w:t>
      </w:r>
      <w:r w:rsidRPr="009978E3">
        <w:rPr>
          <w:i/>
          <w:sz w:val="22"/>
          <w:szCs w:val="22"/>
        </w:rPr>
        <w:t>Lagenorhynchus acutus</w:t>
      </w:r>
      <w:r>
        <w:rPr>
          <w:i/>
          <w:sz w:val="22"/>
          <w:szCs w:val="22"/>
        </w:rPr>
        <w:t>)</w:t>
      </w:r>
      <w:r w:rsidRPr="009978E3">
        <w:rPr>
          <w:sz w:val="22"/>
          <w:szCs w:val="22"/>
        </w:rPr>
        <w:t xml:space="preserve"> (Waring </w:t>
      </w:r>
      <w:r w:rsidRPr="0006066A">
        <w:rPr>
          <w:i/>
          <w:sz w:val="22"/>
          <w:szCs w:val="22"/>
        </w:rPr>
        <w:t>et al</w:t>
      </w:r>
      <w:r w:rsidRPr="009978E3">
        <w:rPr>
          <w:sz w:val="22"/>
          <w:szCs w:val="22"/>
        </w:rPr>
        <w:t xml:space="preserve">. 2009; Figure 4). Analysis of the data collected from the same expedition revealed that modelled aggregations of sperm whales and sei whales along the MAR are primarily associated with fine-scale frontal processes interacting with the topography in the upper 100 m of the water column just north of the Sub-Polar Front (SPF) and the CGFZ, as well as moderate and high habitat suitability estimated only for areas downstream from the SPF (Skov </w:t>
      </w:r>
      <w:r w:rsidRPr="0006066A">
        <w:rPr>
          <w:i/>
          <w:sz w:val="22"/>
          <w:szCs w:val="22"/>
        </w:rPr>
        <w:t>et al</w:t>
      </w:r>
      <w:r w:rsidRPr="009978E3">
        <w:rPr>
          <w:sz w:val="22"/>
          <w:szCs w:val="22"/>
        </w:rPr>
        <w:t>. 2008; Figure 4).</w:t>
      </w:r>
    </w:p>
    <w:p w14:paraId="5ACAB99D"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Tracking studies on the </w:t>
      </w:r>
      <w:r w:rsidRPr="002E4B39">
        <w:rPr>
          <w:rFonts w:eastAsia="MS Mincho"/>
          <w:sz w:val="22"/>
          <w:szCs w:val="22"/>
          <w:lang w:val="en-US"/>
        </w:rPr>
        <w:t>leatherback</w:t>
      </w:r>
      <w:r w:rsidRPr="009978E3">
        <w:rPr>
          <w:rFonts w:eastAsia="MS Mincho"/>
          <w:sz w:val="22"/>
          <w:szCs w:val="22"/>
        </w:rPr>
        <w:t xml:space="preserve"> </w:t>
      </w:r>
      <w:r>
        <w:rPr>
          <w:rFonts w:eastAsia="MS Mincho"/>
          <w:sz w:val="22"/>
          <w:szCs w:val="22"/>
        </w:rPr>
        <w:t>t</w:t>
      </w:r>
      <w:r w:rsidRPr="009978E3">
        <w:rPr>
          <w:rFonts w:eastAsia="MS Mincho"/>
          <w:sz w:val="22"/>
          <w:szCs w:val="22"/>
        </w:rPr>
        <w:t xml:space="preserve">urtle </w:t>
      </w:r>
      <w:r>
        <w:rPr>
          <w:rFonts w:eastAsia="MS Mincho"/>
          <w:sz w:val="22"/>
          <w:szCs w:val="22"/>
        </w:rPr>
        <w:t>(</w:t>
      </w:r>
      <w:r w:rsidRPr="009978E3">
        <w:rPr>
          <w:rFonts w:eastAsia="MS Mincho"/>
          <w:i/>
          <w:sz w:val="22"/>
          <w:szCs w:val="22"/>
        </w:rPr>
        <w:t>Dermochelys coriacea</w:t>
      </w:r>
      <w:r>
        <w:rPr>
          <w:rFonts w:eastAsia="MS Mincho"/>
          <w:i/>
          <w:sz w:val="22"/>
          <w:szCs w:val="22"/>
        </w:rPr>
        <w:t>)</w:t>
      </w:r>
      <w:r w:rsidRPr="009978E3">
        <w:rPr>
          <w:rFonts w:eastAsia="MS Mincho"/>
          <w:sz w:val="22"/>
          <w:szCs w:val="22"/>
        </w:rPr>
        <w:t xml:space="preserve"> have indicated that the area is also used by this species during the summer and autumn for months at a time (Hays </w:t>
      </w:r>
      <w:r w:rsidRPr="0006066A">
        <w:rPr>
          <w:rFonts w:eastAsia="MS Mincho"/>
          <w:i/>
          <w:sz w:val="22"/>
          <w:szCs w:val="22"/>
        </w:rPr>
        <w:t>et al</w:t>
      </w:r>
      <w:r w:rsidRPr="009978E3">
        <w:rPr>
          <w:rFonts w:eastAsia="MS Mincho"/>
          <w:sz w:val="22"/>
          <w:szCs w:val="22"/>
        </w:rPr>
        <w:t xml:space="preserve">. 2004). The Atlantic </w:t>
      </w:r>
      <w:r>
        <w:rPr>
          <w:rFonts w:eastAsia="MS Mincho"/>
          <w:sz w:val="22"/>
          <w:szCs w:val="22"/>
        </w:rPr>
        <w:t>b</w:t>
      </w:r>
      <w:r w:rsidRPr="009978E3">
        <w:rPr>
          <w:rFonts w:eastAsia="MS Mincho"/>
          <w:sz w:val="22"/>
          <w:szCs w:val="22"/>
        </w:rPr>
        <w:t xml:space="preserve">luefin tuna, listed by OSPAR as a Threatened and Declining Species, is known to use the area during all seasons (Walli </w:t>
      </w:r>
      <w:r w:rsidRPr="0006066A">
        <w:rPr>
          <w:rFonts w:eastAsia="MS Mincho"/>
          <w:i/>
          <w:sz w:val="22"/>
          <w:szCs w:val="22"/>
        </w:rPr>
        <w:t>et al</w:t>
      </w:r>
      <w:r w:rsidRPr="009978E3">
        <w:rPr>
          <w:rFonts w:eastAsia="MS Mincho"/>
          <w:sz w:val="22"/>
          <w:szCs w:val="22"/>
        </w:rPr>
        <w:t xml:space="preserve">. 2009).  Tracking studies have indicated that the area is also used by </w:t>
      </w:r>
      <w:r>
        <w:rPr>
          <w:rFonts w:eastAsia="MS Mincho"/>
          <w:sz w:val="22"/>
          <w:szCs w:val="22"/>
        </w:rPr>
        <w:t>b</w:t>
      </w:r>
      <w:r w:rsidRPr="009978E3">
        <w:rPr>
          <w:rFonts w:eastAsia="MS Mincho"/>
          <w:sz w:val="22"/>
          <w:szCs w:val="22"/>
        </w:rPr>
        <w:t xml:space="preserve">asking </w:t>
      </w:r>
      <w:r>
        <w:rPr>
          <w:rFonts w:eastAsia="MS Mincho"/>
          <w:sz w:val="22"/>
          <w:szCs w:val="22"/>
        </w:rPr>
        <w:t>s</w:t>
      </w:r>
      <w:r w:rsidRPr="009978E3">
        <w:rPr>
          <w:rFonts w:eastAsia="MS Mincho"/>
          <w:sz w:val="22"/>
          <w:szCs w:val="22"/>
        </w:rPr>
        <w:t xml:space="preserve">harks </w:t>
      </w:r>
      <w:r>
        <w:rPr>
          <w:rFonts w:eastAsia="MS Mincho"/>
          <w:sz w:val="22"/>
          <w:szCs w:val="22"/>
        </w:rPr>
        <w:t>(</w:t>
      </w:r>
      <w:r w:rsidRPr="009978E3">
        <w:rPr>
          <w:rFonts w:eastAsia="MS Mincho"/>
          <w:i/>
          <w:sz w:val="22"/>
          <w:szCs w:val="22"/>
        </w:rPr>
        <w:t>Cetorhinus maximus</w:t>
      </w:r>
      <w:r>
        <w:rPr>
          <w:rFonts w:eastAsia="MS Mincho"/>
          <w:i/>
          <w:sz w:val="22"/>
          <w:szCs w:val="22"/>
        </w:rPr>
        <w:t>)</w:t>
      </w:r>
      <w:r w:rsidRPr="009978E3">
        <w:rPr>
          <w:rFonts w:eastAsia="MS Mincho"/>
          <w:sz w:val="22"/>
          <w:szCs w:val="22"/>
        </w:rPr>
        <w:t xml:space="preserve"> (Gore </w:t>
      </w:r>
      <w:r w:rsidRPr="0006066A">
        <w:rPr>
          <w:rFonts w:eastAsia="MS Mincho"/>
          <w:i/>
          <w:sz w:val="22"/>
          <w:szCs w:val="22"/>
        </w:rPr>
        <w:t>et al</w:t>
      </w:r>
      <w:r w:rsidRPr="009978E3">
        <w:rPr>
          <w:rFonts w:eastAsia="MS Mincho"/>
          <w:sz w:val="22"/>
          <w:szCs w:val="22"/>
        </w:rPr>
        <w:t>. 2008) (Figure 5).</w:t>
      </w:r>
    </w:p>
    <w:p w14:paraId="5CA9D2E7"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The high abundance and diversity of megafaunais likely linked to the presence of multiple frontal zones and persistent eddies, which are known to aggregate primary productivity and zooplankton, providing a temporally and spatially reliable foraging zone for higher trophic level predators (Scales </w:t>
      </w:r>
      <w:r w:rsidRPr="0006066A">
        <w:rPr>
          <w:rFonts w:eastAsia="MS Mincho"/>
          <w:i/>
          <w:sz w:val="22"/>
          <w:szCs w:val="22"/>
        </w:rPr>
        <w:t>et al</w:t>
      </w:r>
      <w:r w:rsidRPr="009978E3">
        <w:rPr>
          <w:rFonts w:eastAsia="MS Mincho"/>
          <w:sz w:val="22"/>
          <w:szCs w:val="22"/>
        </w:rPr>
        <w:t xml:space="preserve">. 2014). Prey availability can be further enhanced when these features occur over seamounts, as zooplankton can become entrained over the abrupt topography (the topographic blockage), and are then further restricted in their vertical migrations, thereby rendering them more accessible for mesopelagic fish and other top predators (Dias </w:t>
      </w:r>
      <w:r w:rsidRPr="0006066A">
        <w:rPr>
          <w:rFonts w:eastAsia="MS Mincho"/>
          <w:i/>
          <w:sz w:val="22"/>
          <w:szCs w:val="22"/>
        </w:rPr>
        <w:t>et al</w:t>
      </w:r>
      <w:r w:rsidRPr="009978E3">
        <w:rPr>
          <w:rFonts w:eastAsia="MS Mincho"/>
          <w:sz w:val="22"/>
          <w:szCs w:val="22"/>
        </w:rPr>
        <w:t xml:space="preserve">. 2016; Morato </w:t>
      </w:r>
      <w:r w:rsidRPr="0006066A">
        <w:rPr>
          <w:rFonts w:eastAsia="MS Mincho"/>
          <w:i/>
          <w:sz w:val="22"/>
          <w:szCs w:val="22"/>
        </w:rPr>
        <w:t>et al</w:t>
      </w:r>
      <w:r w:rsidRPr="009978E3">
        <w:rPr>
          <w:rFonts w:eastAsia="MS Mincho"/>
          <w:sz w:val="22"/>
          <w:szCs w:val="22"/>
        </w:rPr>
        <w:t xml:space="preserve">. 2016; Sweetman </w:t>
      </w:r>
      <w:r w:rsidRPr="0006066A">
        <w:rPr>
          <w:rFonts w:eastAsia="MS Mincho"/>
          <w:i/>
          <w:sz w:val="22"/>
          <w:szCs w:val="22"/>
        </w:rPr>
        <w:t>et al</w:t>
      </w:r>
      <w:r w:rsidRPr="009978E3">
        <w:rPr>
          <w:rFonts w:eastAsia="MS Mincho"/>
          <w:sz w:val="22"/>
          <w:szCs w:val="22"/>
        </w:rPr>
        <w:t>. 2013). Broad</w:t>
      </w:r>
      <w:r>
        <w:rPr>
          <w:rFonts w:eastAsia="MS Mincho"/>
          <w:sz w:val="22"/>
          <w:szCs w:val="22"/>
        </w:rPr>
        <w:t>-</w:t>
      </w:r>
      <w:r w:rsidRPr="009978E3">
        <w:rPr>
          <w:rFonts w:eastAsia="MS Mincho"/>
          <w:sz w:val="22"/>
          <w:szCs w:val="22"/>
        </w:rPr>
        <w:t>scale and remotely sensed studies of the region have demonstrated that the frontal zone is subject to large</w:t>
      </w:r>
      <w:r>
        <w:rPr>
          <w:rFonts w:eastAsia="MS Mincho"/>
          <w:sz w:val="22"/>
          <w:szCs w:val="22"/>
        </w:rPr>
        <w:t>-</w:t>
      </w:r>
      <w:r w:rsidRPr="009978E3">
        <w:rPr>
          <w:rFonts w:eastAsia="MS Mincho"/>
          <w:sz w:val="22"/>
          <w:szCs w:val="22"/>
        </w:rPr>
        <w:t xml:space="preserve">scale phytoplankton blooms during spring and summer (Taylor and Ferrari 2011) with much higher chlorophyll concentrations than the </w:t>
      </w:r>
      <w:r w:rsidRPr="002E4B39">
        <w:rPr>
          <w:rFonts w:eastAsia="MS Mincho"/>
          <w:sz w:val="22"/>
          <w:szCs w:val="22"/>
          <w:lang w:val="en-US"/>
        </w:rPr>
        <w:t>adjacent</w:t>
      </w:r>
      <w:r w:rsidRPr="009978E3">
        <w:rPr>
          <w:rFonts w:eastAsia="MS Mincho"/>
          <w:sz w:val="22"/>
          <w:szCs w:val="22"/>
        </w:rPr>
        <w:t xml:space="preserve"> waters (Gaard </w:t>
      </w:r>
      <w:r w:rsidRPr="0006066A">
        <w:rPr>
          <w:rFonts w:eastAsia="MS Mincho"/>
          <w:i/>
          <w:sz w:val="22"/>
          <w:szCs w:val="22"/>
        </w:rPr>
        <w:t>et al</w:t>
      </w:r>
      <w:r w:rsidRPr="009978E3">
        <w:rPr>
          <w:rFonts w:eastAsia="MS Mincho"/>
          <w:sz w:val="22"/>
          <w:szCs w:val="22"/>
        </w:rPr>
        <w:t xml:space="preserve">. 2008; Pelegrí </w:t>
      </w:r>
      <w:r w:rsidRPr="0006066A">
        <w:rPr>
          <w:rFonts w:eastAsia="MS Mincho"/>
          <w:i/>
          <w:sz w:val="22"/>
          <w:szCs w:val="22"/>
        </w:rPr>
        <w:t>et al</w:t>
      </w:r>
      <w:r w:rsidRPr="009978E3">
        <w:rPr>
          <w:rFonts w:eastAsia="MS Mincho"/>
          <w:sz w:val="22"/>
          <w:szCs w:val="22"/>
        </w:rPr>
        <w:t xml:space="preserve">. 2006; Vecchione </w:t>
      </w:r>
      <w:r w:rsidRPr="0006066A">
        <w:rPr>
          <w:rFonts w:eastAsia="MS Mincho"/>
          <w:i/>
          <w:sz w:val="22"/>
          <w:szCs w:val="22"/>
        </w:rPr>
        <w:t>et al</w:t>
      </w:r>
      <w:r w:rsidRPr="009978E3">
        <w:rPr>
          <w:rFonts w:eastAsia="MS Mincho"/>
          <w:sz w:val="22"/>
          <w:szCs w:val="22"/>
        </w:rPr>
        <w:t xml:space="preserve">. 2015). </w:t>
      </w:r>
    </w:p>
    <w:p w14:paraId="57693606" w14:textId="77777777" w:rsidR="006B3F46" w:rsidRPr="009978E3" w:rsidRDefault="006B3F46" w:rsidP="002E4B39">
      <w:pPr>
        <w:suppressLineNumbers/>
        <w:spacing w:after="120"/>
        <w:jc w:val="both"/>
        <w:rPr>
          <w:sz w:val="22"/>
          <w:szCs w:val="22"/>
        </w:rPr>
      </w:pPr>
      <w:r w:rsidRPr="009978E3">
        <w:rPr>
          <w:sz w:val="22"/>
          <w:szCs w:val="22"/>
        </w:rPr>
        <w:t xml:space="preserve">In </w:t>
      </w:r>
      <w:r w:rsidRPr="002E4B39">
        <w:rPr>
          <w:rFonts w:eastAsia="MS Mincho"/>
          <w:sz w:val="22"/>
          <w:szCs w:val="22"/>
          <w:lang w:val="en-US"/>
        </w:rPr>
        <w:t>relation</w:t>
      </w:r>
      <w:r w:rsidRPr="009978E3">
        <w:rPr>
          <w:sz w:val="22"/>
          <w:szCs w:val="22"/>
        </w:rPr>
        <w:t xml:space="preserve"> to zooplankton communities, the available evidence suggests a high abundance of copepods, gelatinous zooplankton and euphausiids (Gaard </w:t>
      </w:r>
      <w:r w:rsidRPr="0006066A">
        <w:rPr>
          <w:i/>
          <w:sz w:val="22"/>
          <w:szCs w:val="22"/>
        </w:rPr>
        <w:t>et al</w:t>
      </w:r>
      <w:r w:rsidRPr="009978E3">
        <w:rPr>
          <w:sz w:val="22"/>
          <w:szCs w:val="22"/>
        </w:rPr>
        <w:t xml:space="preserve">. 2008; Letessier </w:t>
      </w:r>
      <w:r w:rsidRPr="0006066A">
        <w:rPr>
          <w:i/>
          <w:sz w:val="22"/>
          <w:szCs w:val="22"/>
        </w:rPr>
        <w:t>et al</w:t>
      </w:r>
      <w:r w:rsidRPr="009978E3">
        <w:rPr>
          <w:sz w:val="22"/>
          <w:szCs w:val="22"/>
        </w:rPr>
        <w:t xml:space="preserve">. 2011; Vecchione </w:t>
      </w:r>
      <w:r w:rsidRPr="0006066A">
        <w:rPr>
          <w:i/>
          <w:sz w:val="22"/>
          <w:szCs w:val="22"/>
        </w:rPr>
        <w:t>et al</w:t>
      </w:r>
      <w:r w:rsidRPr="009978E3">
        <w:rPr>
          <w:sz w:val="22"/>
          <w:szCs w:val="22"/>
        </w:rPr>
        <w:t xml:space="preserve">. 2015). Copepods are important prey for gelatinous zooplankton, mesopelagic fish, and some seabird species and are often associated with high seabird numbers in the North Atlantic as indicators of abundant food (Frederiksen </w:t>
      </w:r>
      <w:r w:rsidRPr="0006066A">
        <w:rPr>
          <w:i/>
          <w:sz w:val="22"/>
          <w:szCs w:val="22"/>
        </w:rPr>
        <w:t>et al</w:t>
      </w:r>
      <w:r w:rsidRPr="009978E3">
        <w:rPr>
          <w:sz w:val="22"/>
          <w:szCs w:val="22"/>
        </w:rPr>
        <w:t xml:space="preserve">. 2013; Karnovsky </w:t>
      </w:r>
      <w:r w:rsidRPr="0006066A">
        <w:rPr>
          <w:i/>
          <w:sz w:val="22"/>
          <w:szCs w:val="22"/>
        </w:rPr>
        <w:t>et al</w:t>
      </w:r>
      <w:r w:rsidRPr="009978E3">
        <w:rPr>
          <w:sz w:val="22"/>
          <w:szCs w:val="22"/>
        </w:rPr>
        <w:t xml:space="preserve">. 2008). Euphausiids are also abundant across the region and are important prey for mesopelagic fish, cetaceans and seabirds, including </w:t>
      </w:r>
      <w:r>
        <w:rPr>
          <w:sz w:val="22"/>
          <w:szCs w:val="22"/>
        </w:rPr>
        <w:t>t</w:t>
      </w:r>
      <w:r w:rsidRPr="009978E3">
        <w:rPr>
          <w:sz w:val="22"/>
          <w:szCs w:val="22"/>
        </w:rPr>
        <w:t xml:space="preserve">hick-billed </w:t>
      </w:r>
      <w:r>
        <w:rPr>
          <w:sz w:val="22"/>
          <w:szCs w:val="22"/>
        </w:rPr>
        <w:t>m</w:t>
      </w:r>
      <w:r w:rsidRPr="009978E3">
        <w:rPr>
          <w:sz w:val="22"/>
          <w:szCs w:val="22"/>
        </w:rPr>
        <w:t xml:space="preserve">urre, </w:t>
      </w:r>
      <w:r>
        <w:rPr>
          <w:sz w:val="22"/>
          <w:szCs w:val="22"/>
        </w:rPr>
        <w:t>l</w:t>
      </w:r>
      <w:r w:rsidRPr="009978E3">
        <w:rPr>
          <w:sz w:val="22"/>
          <w:szCs w:val="22"/>
        </w:rPr>
        <w:t xml:space="preserve">ittle </w:t>
      </w:r>
      <w:r>
        <w:rPr>
          <w:sz w:val="22"/>
          <w:szCs w:val="22"/>
        </w:rPr>
        <w:t>a</w:t>
      </w:r>
      <w:r w:rsidRPr="009978E3">
        <w:rPr>
          <w:sz w:val="22"/>
          <w:szCs w:val="22"/>
        </w:rPr>
        <w:t xml:space="preserve">uk and </w:t>
      </w:r>
      <w:r>
        <w:rPr>
          <w:sz w:val="22"/>
          <w:szCs w:val="22"/>
        </w:rPr>
        <w:t>b</w:t>
      </w:r>
      <w:r w:rsidRPr="009978E3">
        <w:rPr>
          <w:sz w:val="22"/>
          <w:szCs w:val="22"/>
        </w:rPr>
        <w:t xml:space="preserve">lack-legged </w:t>
      </w:r>
      <w:r>
        <w:rPr>
          <w:sz w:val="22"/>
          <w:szCs w:val="22"/>
        </w:rPr>
        <w:t>k</w:t>
      </w:r>
      <w:r w:rsidRPr="009978E3">
        <w:rPr>
          <w:sz w:val="22"/>
          <w:szCs w:val="22"/>
        </w:rPr>
        <w:t>ittiwake (Mehlum and Gabrielsen 1993).</w:t>
      </w:r>
    </w:p>
    <w:p w14:paraId="165585D4" w14:textId="77777777" w:rsidR="006B3F46" w:rsidRDefault="006B3F46" w:rsidP="002E4B39">
      <w:pPr>
        <w:suppressLineNumbers/>
        <w:spacing w:after="120"/>
        <w:jc w:val="both"/>
        <w:rPr>
          <w:sz w:val="22"/>
          <w:szCs w:val="22"/>
        </w:rPr>
      </w:pPr>
      <w:bookmarkStart w:id="36" w:name="_Hlk23412904"/>
      <w:r w:rsidRPr="002E4B39">
        <w:rPr>
          <w:rFonts w:eastAsia="MS Mincho"/>
          <w:sz w:val="22"/>
          <w:szCs w:val="22"/>
          <w:lang w:val="en-US"/>
        </w:rPr>
        <w:t>Mesopelagic</w:t>
      </w:r>
      <w:r w:rsidRPr="000507B6">
        <w:rPr>
          <w:sz w:val="22"/>
          <w:szCs w:val="22"/>
        </w:rPr>
        <w:t xml:space="preserve"> fish are a major source of biomass in the oceans and important prey for higher trophic predators, including seabirds (Gjøsaet</w:t>
      </w:r>
      <w:r w:rsidRPr="00B665FA">
        <w:rPr>
          <w:sz w:val="22"/>
          <w:szCs w:val="22"/>
        </w:rPr>
        <w:t xml:space="preserve">er and Kawaguchi 1980; Harris </w:t>
      </w:r>
      <w:r w:rsidRPr="00335FFA">
        <w:rPr>
          <w:i/>
          <w:sz w:val="22"/>
          <w:szCs w:val="22"/>
        </w:rPr>
        <w:t>et al</w:t>
      </w:r>
      <w:r w:rsidRPr="00335FFA">
        <w:rPr>
          <w:sz w:val="22"/>
          <w:szCs w:val="22"/>
        </w:rPr>
        <w:t xml:space="preserve">. 2015; Paredes </w:t>
      </w:r>
      <w:r w:rsidRPr="00335FFA">
        <w:rPr>
          <w:i/>
          <w:sz w:val="22"/>
          <w:szCs w:val="22"/>
        </w:rPr>
        <w:t>et al</w:t>
      </w:r>
      <w:r w:rsidRPr="00335FFA">
        <w:rPr>
          <w:sz w:val="22"/>
          <w:szCs w:val="22"/>
        </w:rPr>
        <w:t xml:space="preserve">. 2014; Waap </w:t>
      </w:r>
      <w:r w:rsidRPr="005D2EE2">
        <w:rPr>
          <w:i/>
          <w:sz w:val="22"/>
          <w:szCs w:val="22"/>
        </w:rPr>
        <w:t>et al</w:t>
      </w:r>
      <w:r w:rsidRPr="005D2EE2">
        <w:rPr>
          <w:sz w:val="22"/>
          <w:szCs w:val="22"/>
        </w:rPr>
        <w:t xml:space="preserve">. 2017). Mesopelagic fish prey on gelatinous zooplankton, and they in turn are preyed on by larger fish, cetaceans and seabirds (Granadeiro </w:t>
      </w:r>
      <w:r w:rsidRPr="005D2EE2">
        <w:rPr>
          <w:i/>
          <w:sz w:val="22"/>
          <w:szCs w:val="22"/>
        </w:rPr>
        <w:t>et al</w:t>
      </w:r>
      <w:r w:rsidRPr="005D2EE2">
        <w:rPr>
          <w:sz w:val="22"/>
          <w:szCs w:val="22"/>
        </w:rPr>
        <w:t xml:space="preserve">. 1998; </w:t>
      </w:r>
      <w:r w:rsidRPr="00E6659C">
        <w:rPr>
          <w:sz w:val="22"/>
          <w:szCs w:val="22"/>
        </w:rPr>
        <w:t xml:space="preserve">Granadeiro </w:t>
      </w:r>
      <w:r w:rsidRPr="00E6659C">
        <w:rPr>
          <w:i/>
          <w:sz w:val="22"/>
          <w:szCs w:val="22"/>
        </w:rPr>
        <w:t>et al</w:t>
      </w:r>
      <w:r w:rsidRPr="00E6659C">
        <w:rPr>
          <w:sz w:val="22"/>
          <w:szCs w:val="22"/>
        </w:rPr>
        <w:t xml:space="preserve">. 2002; Waap </w:t>
      </w:r>
      <w:r w:rsidRPr="00E6659C">
        <w:rPr>
          <w:i/>
          <w:sz w:val="22"/>
          <w:szCs w:val="22"/>
        </w:rPr>
        <w:t>et al</w:t>
      </w:r>
      <w:r w:rsidRPr="00E6659C">
        <w:rPr>
          <w:sz w:val="22"/>
          <w:szCs w:val="22"/>
        </w:rPr>
        <w:t xml:space="preserve">. 2017). These small fish are particularly associated with fronts and eddies, such as those occurring within the area (Paredes </w:t>
      </w:r>
      <w:r w:rsidRPr="00E6659C">
        <w:rPr>
          <w:i/>
          <w:sz w:val="22"/>
          <w:szCs w:val="22"/>
        </w:rPr>
        <w:t>et al</w:t>
      </w:r>
      <w:r w:rsidRPr="00E6659C">
        <w:rPr>
          <w:sz w:val="22"/>
          <w:szCs w:val="22"/>
        </w:rPr>
        <w:t>. 2014). Within the areas investigated by MARECO/ECOMAR (Vecchione et al. 2015, mesopelagic species such as the goiter blacksmelt (</w:t>
      </w:r>
      <w:r w:rsidRPr="00E6659C">
        <w:rPr>
          <w:i/>
          <w:sz w:val="22"/>
          <w:szCs w:val="22"/>
        </w:rPr>
        <w:t>Bathylagus euryops</w:t>
      </w:r>
      <w:r w:rsidRPr="00E6659C">
        <w:rPr>
          <w:sz w:val="22"/>
          <w:szCs w:val="22"/>
        </w:rPr>
        <w:t>) and lanternfish</w:t>
      </w:r>
      <w:r w:rsidRPr="000507B6">
        <w:rPr>
          <w:sz w:val="22"/>
          <w:szCs w:val="22"/>
        </w:rPr>
        <w:t xml:space="preserve"> (Myctophids) were found in the highest abundance at the Subpolar Front and the CGFZ and with a tendency to be distributed in the upper surface layers (Sweetman </w:t>
      </w:r>
      <w:r w:rsidRPr="00335FFA">
        <w:rPr>
          <w:i/>
          <w:sz w:val="22"/>
          <w:szCs w:val="22"/>
        </w:rPr>
        <w:t>et al</w:t>
      </w:r>
      <w:r w:rsidRPr="00335FFA">
        <w:rPr>
          <w:sz w:val="22"/>
          <w:szCs w:val="22"/>
        </w:rPr>
        <w:t>. 2013).</w:t>
      </w:r>
    </w:p>
    <w:bookmarkEnd w:id="36"/>
    <w:p w14:paraId="7FB2074C" w14:textId="77777777" w:rsidR="006B3F46" w:rsidRPr="009978E3" w:rsidRDefault="006B3F46" w:rsidP="002E4B39">
      <w:pPr>
        <w:suppressLineNumbers/>
        <w:spacing w:after="120"/>
        <w:jc w:val="both"/>
        <w:rPr>
          <w:rFonts w:eastAsia="MS Mincho"/>
          <w:sz w:val="22"/>
          <w:szCs w:val="22"/>
          <w:lang w:val="en-US"/>
        </w:rPr>
      </w:pPr>
      <w:r w:rsidRPr="002E4B39">
        <w:rPr>
          <w:rFonts w:eastAsia="MS Mincho"/>
          <w:sz w:val="22"/>
          <w:szCs w:val="22"/>
          <w:lang w:val="en-US"/>
        </w:rPr>
        <w:t>Cephalopods</w:t>
      </w:r>
      <w:r w:rsidRPr="009978E3">
        <w:rPr>
          <w:sz w:val="22"/>
          <w:szCs w:val="22"/>
        </w:rPr>
        <w:t xml:space="preserve"> are also potentially concentrated within the boundary and broader region of the area, with studies from the MARECO/ECOMAR programme indicating the highest diversity and abundance occurring south of the CGFZ (Vecchione </w:t>
      </w:r>
      <w:r w:rsidRPr="0006066A">
        <w:rPr>
          <w:i/>
          <w:sz w:val="22"/>
          <w:szCs w:val="22"/>
        </w:rPr>
        <w:t>et al</w:t>
      </w:r>
      <w:r w:rsidRPr="009978E3">
        <w:rPr>
          <w:sz w:val="22"/>
          <w:szCs w:val="22"/>
        </w:rPr>
        <w:t>. 201</w:t>
      </w:r>
      <w:r>
        <w:rPr>
          <w:sz w:val="22"/>
          <w:szCs w:val="22"/>
        </w:rPr>
        <w:t>5</w:t>
      </w:r>
      <w:r w:rsidRPr="009978E3">
        <w:rPr>
          <w:sz w:val="22"/>
          <w:szCs w:val="22"/>
        </w:rPr>
        <w:t xml:space="preserve">). The importance of cephalopods in the diet of some Atlantic seabirds is well documented, for example in Audubon’s </w:t>
      </w:r>
      <w:r>
        <w:rPr>
          <w:sz w:val="22"/>
          <w:szCs w:val="22"/>
        </w:rPr>
        <w:t>s</w:t>
      </w:r>
      <w:r w:rsidRPr="009978E3">
        <w:rPr>
          <w:sz w:val="22"/>
          <w:szCs w:val="22"/>
        </w:rPr>
        <w:t xml:space="preserve">hearwater </w:t>
      </w:r>
      <w:r>
        <w:rPr>
          <w:sz w:val="22"/>
          <w:szCs w:val="22"/>
        </w:rPr>
        <w:t>(</w:t>
      </w:r>
      <w:r w:rsidRPr="009978E3">
        <w:rPr>
          <w:i/>
          <w:sz w:val="22"/>
          <w:szCs w:val="22"/>
        </w:rPr>
        <w:t>Puffinus lherminieri</w:t>
      </w:r>
      <w:r>
        <w:rPr>
          <w:i/>
          <w:sz w:val="22"/>
          <w:szCs w:val="22"/>
        </w:rPr>
        <w:t>)</w:t>
      </w:r>
      <w:r w:rsidRPr="009978E3">
        <w:rPr>
          <w:sz w:val="22"/>
          <w:szCs w:val="22"/>
        </w:rPr>
        <w:t xml:space="preserve">, Cory’s </w:t>
      </w:r>
      <w:r>
        <w:rPr>
          <w:sz w:val="22"/>
          <w:szCs w:val="22"/>
        </w:rPr>
        <w:t>s</w:t>
      </w:r>
      <w:r w:rsidRPr="009978E3">
        <w:rPr>
          <w:sz w:val="22"/>
          <w:szCs w:val="22"/>
        </w:rPr>
        <w:t xml:space="preserve">hearwater </w:t>
      </w:r>
      <w:r>
        <w:rPr>
          <w:sz w:val="22"/>
          <w:szCs w:val="22"/>
        </w:rPr>
        <w:t>(</w:t>
      </w:r>
      <w:r w:rsidRPr="009978E3">
        <w:rPr>
          <w:i/>
          <w:sz w:val="22"/>
          <w:szCs w:val="22"/>
        </w:rPr>
        <w:t>Calonectris borealis</w:t>
      </w:r>
      <w:r>
        <w:rPr>
          <w:i/>
          <w:sz w:val="22"/>
          <w:szCs w:val="22"/>
        </w:rPr>
        <w:t>)</w:t>
      </w:r>
      <w:r w:rsidRPr="009978E3">
        <w:rPr>
          <w:sz w:val="22"/>
          <w:szCs w:val="22"/>
        </w:rPr>
        <w:t xml:space="preserve">, Manx </w:t>
      </w:r>
      <w:r>
        <w:rPr>
          <w:sz w:val="22"/>
          <w:szCs w:val="22"/>
        </w:rPr>
        <w:t>s</w:t>
      </w:r>
      <w:r w:rsidRPr="009978E3">
        <w:rPr>
          <w:sz w:val="22"/>
          <w:szCs w:val="22"/>
        </w:rPr>
        <w:t xml:space="preserve">hearwater </w:t>
      </w:r>
      <w:r>
        <w:rPr>
          <w:sz w:val="22"/>
          <w:szCs w:val="22"/>
        </w:rPr>
        <w:t>(</w:t>
      </w:r>
      <w:r w:rsidRPr="009978E3">
        <w:rPr>
          <w:i/>
          <w:sz w:val="22"/>
          <w:szCs w:val="22"/>
        </w:rPr>
        <w:t>Puffinus puffinus</w:t>
      </w:r>
      <w:r>
        <w:rPr>
          <w:i/>
          <w:sz w:val="22"/>
          <w:szCs w:val="22"/>
        </w:rPr>
        <w:t>)</w:t>
      </w:r>
      <w:r w:rsidRPr="009978E3">
        <w:rPr>
          <w:sz w:val="22"/>
          <w:szCs w:val="22"/>
        </w:rPr>
        <w:t xml:space="preserve"> and Bulwer’s </w:t>
      </w:r>
      <w:r>
        <w:rPr>
          <w:sz w:val="22"/>
          <w:szCs w:val="22"/>
        </w:rPr>
        <w:t>p</w:t>
      </w:r>
      <w:r w:rsidRPr="009978E3">
        <w:rPr>
          <w:sz w:val="22"/>
          <w:szCs w:val="22"/>
        </w:rPr>
        <w:t xml:space="preserve">etrel </w:t>
      </w:r>
      <w:r>
        <w:rPr>
          <w:sz w:val="22"/>
          <w:szCs w:val="22"/>
        </w:rPr>
        <w:t>(</w:t>
      </w:r>
      <w:r w:rsidRPr="009978E3">
        <w:rPr>
          <w:i/>
          <w:sz w:val="22"/>
          <w:szCs w:val="22"/>
        </w:rPr>
        <w:t>Bulweria bulwerii</w:t>
      </w:r>
      <w:r>
        <w:rPr>
          <w:i/>
          <w:sz w:val="22"/>
          <w:szCs w:val="22"/>
        </w:rPr>
        <w:t>)</w:t>
      </w:r>
      <w:r w:rsidRPr="009978E3">
        <w:rPr>
          <w:sz w:val="22"/>
          <w:szCs w:val="22"/>
        </w:rPr>
        <w:t xml:space="preserve"> (Den Hartog &amp; Clarke 1996; Neves </w:t>
      </w:r>
      <w:r w:rsidRPr="0006066A">
        <w:rPr>
          <w:i/>
          <w:sz w:val="22"/>
          <w:szCs w:val="22"/>
        </w:rPr>
        <w:t>et al</w:t>
      </w:r>
      <w:r w:rsidRPr="009978E3">
        <w:rPr>
          <w:sz w:val="22"/>
          <w:szCs w:val="22"/>
        </w:rPr>
        <w:t xml:space="preserve">. 2012; Petry </w:t>
      </w:r>
      <w:r w:rsidRPr="0006066A">
        <w:rPr>
          <w:i/>
          <w:sz w:val="22"/>
          <w:szCs w:val="22"/>
        </w:rPr>
        <w:t>et al</w:t>
      </w:r>
      <w:r w:rsidRPr="009978E3">
        <w:rPr>
          <w:sz w:val="22"/>
          <w:szCs w:val="22"/>
        </w:rPr>
        <w:t xml:space="preserve">. 2008; Waap </w:t>
      </w:r>
      <w:r w:rsidRPr="0006066A">
        <w:rPr>
          <w:i/>
          <w:sz w:val="22"/>
          <w:szCs w:val="22"/>
        </w:rPr>
        <w:t>et al</w:t>
      </w:r>
      <w:r w:rsidRPr="009978E3">
        <w:rPr>
          <w:sz w:val="22"/>
          <w:szCs w:val="22"/>
        </w:rPr>
        <w:t xml:space="preserve">. 2017); other species such as Desertas </w:t>
      </w:r>
      <w:r>
        <w:rPr>
          <w:sz w:val="22"/>
          <w:szCs w:val="22"/>
        </w:rPr>
        <w:t>p</w:t>
      </w:r>
      <w:r w:rsidRPr="009978E3">
        <w:rPr>
          <w:sz w:val="22"/>
          <w:szCs w:val="22"/>
        </w:rPr>
        <w:t xml:space="preserve">etrel </w:t>
      </w:r>
      <w:r>
        <w:rPr>
          <w:sz w:val="22"/>
          <w:szCs w:val="22"/>
        </w:rPr>
        <w:t>(</w:t>
      </w:r>
      <w:r w:rsidRPr="009978E3">
        <w:rPr>
          <w:i/>
          <w:sz w:val="22"/>
          <w:szCs w:val="22"/>
        </w:rPr>
        <w:t>Pterodroma deserta</w:t>
      </w:r>
      <w:r>
        <w:rPr>
          <w:i/>
          <w:sz w:val="22"/>
          <w:szCs w:val="22"/>
        </w:rPr>
        <w:t>)</w:t>
      </w:r>
      <w:r w:rsidRPr="009978E3">
        <w:rPr>
          <w:sz w:val="22"/>
          <w:szCs w:val="22"/>
        </w:rPr>
        <w:t xml:space="preserve"> and Atlantic </w:t>
      </w:r>
      <w:r>
        <w:rPr>
          <w:sz w:val="22"/>
          <w:szCs w:val="22"/>
        </w:rPr>
        <w:t>p</w:t>
      </w:r>
      <w:r w:rsidRPr="009978E3">
        <w:rPr>
          <w:sz w:val="22"/>
          <w:szCs w:val="22"/>
        </w:rPr>
        <w:t xml:space="preserve">uffin </w:t>
      </w:r>
      <w:r>
        <w:rPr>
          <w:sz w:val="22"/>
          <w:szCs w:val="22"/>
        </w:rPr>
        <w:t>(</w:t>
      </w:r>
      <w:r w:rsidRPr="009978E3">
        <w:rPr>
          <w:i/>
          <w:sz w:val="22"/>
          <w:szCs w:val="22"/>
        </w:rPr>
        <w:t>Fratercula arctica</w:t>
      </w:r>
      <w:r>
        <w:rPr>
          <w:i/>
          <w:sz w:val="22"/>
          <w:szCs w:val="22"/>
        </w:rPr>
        <w:t>)</w:t>
      </w:r>
      <w:r w:rsidRPr="009978E3">
        <w:rPr>
          <w:sz w:val="22"/>
          <w:szCs w:val="22"/>
        </w:rPr>
        <w:t xml:space="preserve"> are also known to prey on squid (Harris </w:t>
      </w:r>
      <w:r w:rsidRPr="0006066A">
        <w:rPr>
          <w:i/>
          <w:sz w:val="22"/>
          <w:szCs w:val="22"/>
        </w:rPr>
        <w:t>et al</w:t>
      </w:r>
      <w:r w:rsidRPr="009978E3">
        <w:rPr>
          <w:sz w:val="22"/>
          <w:szCs w:val="22"/>
        </w:rPr>
        <w:t xml:space="preserve">. 2015; Ramos </w:t>
      </w:r>
      <w:r w:rsidRPr="0006066A">
        <w:rPr>
          <w:i/>
          <w:sz w:val="22"/>
          <w:szCs w:val="22"/>
        </w:rPr>
        <w:t>et al</w:t>
      </w:r>
      <w:r w:rsidRPr="009978E3">
        <w:rPr>
          <w:sz w:val="22"/>
          <w:szCs w:val="22"/>
        </w:rPr>
        <w:t>. 2016).</w:t>
      </w:r>
    </w:p>
    <w:p w14:paraId="7DA3A82F"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0A7810BC"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Due </w:t>
      </w:r>
      <w:r w:rsidRPr="002E4B39">
        <w:rPr>
          <w:rFonts w:eastAsia="MS Mincho"/>
          <w:sz w:val="22"/>
          <w:szCs w:val="22"/>
          <w:lang w:val="en-US"/>
        </w:rPr>
        <w:t>to</w:t>
      </w:r>
      <w:r w:rsidRPr="009978E3">
        <w:rPr>
          <w:rFonts w:eastAsia="MS Mincho"/>
          <w:sz w:val="22"/>
          <w:szCs w:val="22"/>
        </w:rPr>
        <w:t xml:space="preserve"> </w:t>
      </w:r>
      <w:r>
        <w:rPr>
          <w:rFonts w:eastAsia="MS Mincho"/>
          <w:sz w:val="22"/>
          <w:szCs w:val="22"/>
        </w:rPr>
        <w:t>the</w:t>
      </w:r>
      <w:r w:rsidRPr="009978E3">
        <w:rPr>
          <w:rFonts w:eastAsia="MS Mincho"/>
          <w:sz w:val="22"/>
          <w:szCs w:val="22"/>
        </w:rPr>
        <w:t xml:space="preserve"> remoteness of the area and lack of long-term studies, there is no information to determine the trends of the conditions. Satellite information and other databases suggest that the area is less commercially important for fishing than adjacent areas, and that no other major activities occur in the area, apart from shipping (major shipping lines between Canada, USA and Europe pass through the area; GFW 2019, </w:t>
      </w:r>
      <w:r w:rsidRPr="000451B8">
        <w:rPr>
          <w:sz w:val="22"/>
          <w:szCs w:val="22"/>
        </w:rPr>
        <w:t>PASTA MARE 2019</w:t>
      </w:r>
      <w:r w:rsidRPr="009978E3">
        <w:rPr>
          <w:rFonts w:eastAsia="MS Mincho"/>
          <w:sz w:val="22"/>
          <w:szCs w:val="22"/>
        </w:rPr>
        <w:t xml:space="preserve">). There is an ongoing project, led by University of Glasgow, to study the community of seabirds, cetaceans and turtles in the area (Wakefield </w:t>
      </w:r>
      <w:r w:rsidRPr="0006066A">
        <w:rPr>
          <w:rFonts w:eastAsia="MS Mincho"/>
          <w:i/>
          <w:sz w:val="22"/>
          <w:szCs w:val="22"/>
        </w:rPr>
        <w:t>et al</w:t>
      </w:r>
      <w:r w:rsidRPr="009978E3">
        <w:rPr>
          <w:rFonts w:eastAsia="MS Mincho"/>
          <w:sz w:val="22"/>
          <w:szCs w:val="22"/>
        </w:rPr>
        <w:t xml:space="preserve">. 2018). There is also a proposal to designate part of the area as a </w:t>
      </w:r>
      <w:r>
        <w:rPr>
          <w:rFonts w:eastAsia="MS Mincho"/>
          <w:sz w:val="22"/>
          <w:szCs w:val="22"/>
        </w:rPr>
        <w:t>m</w:t>
      </w:r>
      <w:r w:rsidRPr="009978E3">
        <w:rPr>
          <w:rFonts w:eastAsia="MS Mincho"/>
          <w:sz w:val="22"/>
          <w:szCs w:val="22"/>
        </w:rPr>
        <w:t xml:space="preserve">arine </w:t>
      </w:r>
      <w:r>
        <w:rPr>
          <w:rFonts w:eastAsia="MS Mincho"/>
          <w:sz w:val="22"/>
          <w:szCs w:val="22"/>
        </w:rPr>
        <w:t>p</w:t>
      </w:r>
      <w:r w:rsidRPr="009978E3">
        <w:rPr>
          <w:rFonts w:eastAsia="MS Mincho"/>
          <w:sz w:val="22"/>
          <w:szCs w:val="22"/>
        </w:rPr>
        <w:t xml:space="preserve">rotected </w:t>
      </w:r>
      <w:r>
        <w:rPr>
          <w:rFonts w:eastAsia="MS Mincho"/>
          <w:sz w:val="22"/>
          <w:szCs w:val="22"/>
        </w:rPr>
        <w:t>a</w:t>
      </w:r>
      <w:r w:rsidRPr="009978E3">
        <w:rPr>
          <w:rFonts w:eastAsia="MS Mincho"/>
          <w:sz w:val="22"/>
          <w:szCs w:val="22"/>
        </w:rPr>
        <w:t xml:space="preserve">rea under the OSPAR </w:t>
      </w:r>
      <w:r w:rsidRPr="002E4B39">
        <w:rPr>
          <w:rFonts w:eastAsia="MS Mincho"/>
          <w:sz w:val="22"/>
          <w:szCs w:val="22"/>
          <w:lang w:val="en-US"/>
        </w:rPr>
        <w:t>Convention</w:t>
      </w:r>
      <w:r w:rsidRPr="009978E3">
        <w:rPr>
          <w:rFonts w:eastAsia="MS Mincho"/>
          <w:sz w:val="22"/>
          <w:szCs w:val="22"/>
        </w:rPr>
        <w:t>.</w:t>
      </w:r>
    </w:p>
    <w:p w14:paraId="53F8EA35"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301306">
        <w:rPr>
          <w:rFonts w:eastAsia="MS Mincho"/>
          <w:b/>
          <w:sz w:val="22"/>
          <w:szCs w:val="22"/>
          <w:lang w:val="en-US"/>
        </w:rPr>
        <w:t>rea no. 14</w:t>
      </w:r>
      <w:r>
        <w:rPr>
          <w:rFonts w:eastAsia="MS Mincho"/>
          <w:b/>
          <w:sz w:val="22"/>
          <w:szCs w:val="22"/>
          <w:lang w:val="en-US"/>
        </w:rPr>
        <w:t>,</w:t>
      </w:r>
      <w:r w:rsidRPr="00301306">
        <w:rPr>
          <w:rFonts w:eastAsia="MS Mincho"/>
          <w:b/>
          <w:sz w:val="22"/>
          <w:szCs w:val="22"/>
          <w:lang w:val="en-US"/>
        </w:rPr>
        <w:t xml:space="preserve"> Mid-North-Atlantic Frontal System</w:t>
      </w:r>
      <w:r>
        <w:rPr>
          <w:rFonts w:eastAsia="MS Mincho"/>
          <w:b/>
          <w:sz w:val="22"/>
          <w:szCs w:val="22"/>
          <w:lang w:val="en-US"/>
        </w:rPr>
        <w:t>,</w:t>
      </w:r>
      <w:r w:rsidRPr="009978E3">
        <w:rPr>
          <w:rFonts w:eastAsia="MS Mincho"/>
          <w:b/>
          <w:sz w:val="22"/>
          <w:szCs w:val="22"/>
          <w:lang w:val="en-US"/>
        </w:rPr>
        <w:t xml:space="preserve"> against CBD EBSA Criteria </w:t>
      </w:r>
    </w:p>
    <w:p w14:paraId="0F3DD6FD"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21277B" w14:paraId="44619239" w14:textId="77777777" w:rsidTr="002E4B39">
        <w:tc>
          <w:tcPr>
            <w:tcW w:w="832" w:type="pct"/>
            <w:vMerge w:val="restart"/>
            <w:shd w:val="clear" w:color="auto" w:fill="auto"/>
          </w:tcPr>
          <w:p w14:paraId="526D5252"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CBD EBSA Criteria</w:t>
            </w:r>
          </w:p>
          <w:p w14:paraId="46FBE649" w14:textId="77777777" w:rsidR="006B3F46" w:rsidRPr="0021277B" w:rsidRDefault="006B3F46" w:rsidP="00907941">
            <w:pPr>
              <w:widowControl w:val="0"/>
              <w:autoSpaceDE w:val="0"/>
              <w:autoSpaceDN w:val="0"/>
              <w:adjustRightInd w:val="0"/>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32" w:type="pct"/>
            <w:vMerge w:val="restart"/>
            <w:shd w:val="clear" w:color="auto" w:fill="auto"/>
          </w:tcPr>
          <w:p w14:paraId="48BE57D5"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Description</w:t>
            </w:r>
          </w:p>
          <w:p w14:paraId="493C7400"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2F3AF3E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03AAA3F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35C115D1" w14:textId="77777777" w:rsidTr="002E4B39">
        <w:tc>
          <w:tcPr>
            <w:tcW w:w="832" w:type="pct"/>
            <w:vMerge/>
            <w:shd w:val="clear" w:color="auto" w:fill="auto"/>
          </w:tcPr>
          <w:p w14:paraId="6E337DD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2232" w:type="pct"/>
            <w:vMerge/>
            <w:shd w:val="clear" w:color="auto" w:fill="auto"/>
          </w:tcPr>
          <w:p w14:paraId="486F2826"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547" w:type="pct"/>
            <w:gridSpan w:val="2"/>
            <w:shd w:val="clear" w:color="auto" w:fill="auto"/>
          </w:tcPr>
          <w:p w14:paraId="6B6416A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79C56D7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2604563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0F6BCDC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7DE61CD6" w14:textId="77777777" w:rsidTr="002E4B39">
        <w:tc>
          <w:tcPr>
            <w:tcW w:w="832" w:type="pct"/>
            <w:shd w:val="clear" w:color="auto" w:fill="auto"/>
          </w:tcPr>
          <w:p w14:paraId="4B6ECF5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32" w:type="pct"/>
            <w:shd w:val="clear" w:color="auto" w:fill="auto"/>
          </w:tcPr>
          <w:p w14:paraId="7514087A"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1C96170D"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Pr>
                <w:rFonts w:eastAsia="MS Mincho"/>
                <w:bCs/>
                <w:color w:val="000000"/>
                <w:sz w:val="22"/>
                <w:szCs w:val="22"/>
                <w:lang w:val="en-US"/>
              </w:rPr>
              <w:t>X</w:t>
            </w:r>
          </w:p>
        </w:tc>
        <w:tc>
          <w:tcPr>
            <w:tcW w:w="547" w:type="pct"/>
            <w:gridSpan w:val="3"/>
            <w:shd w:val="clear" w:color="auto" w:fill="auto"/>
          </w:tcPr>
          <w:p w14:paraId="44FF026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060BD12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0E62C32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17FE1C20" w14:textId="77777777" w:rsidTr="00907941">
        <w:tc>
          <w:tcPr>
            <w:tcW w:w="5000" w:type="pct"/>
            <w:gridSpan w:val="11"/>
            <w:shd w:val="clear" w:color="auto" w:fill="auto"/>
          </w:tcPr>
          <w:p w14:paraId="7FED443C"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4C5FB3CC" w14:textId="77777777" w:rsidR="006B3F46" w:rsidRPr="0021277B" w:rsidRDefault="006B3F46" w:rsidP="00907941">
            <w:pPr>
              <w:widowControl w:val="0"/>
              <w:autoSpaceDE w:val="0"/>
              <w:autoSpaceDN w:val="0"/>
              <w:adjustRightInd w:val="0"/>
              <w:rPr>
                <w:rFonts w:eastAsia="MS Mincho"/>
                <w:color w:val="000000"/>
                <w:sz w:val="22"/>
                <w:szCs w:val="22"/>
                <w:lang w:val="en-US"/>
              </w:rPr>
            </w:pPr>
          </w:p>
          <w:p w14:paraId="0E8178A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65804FE2" w14:textId="77777777" w:rsidTr="002E4B39">
        <w:tc>
          <w:tcPr>
            <w:tcW w:w="832" w:type="pct"/>
            <w:shd w:val="clear" w:color="auto" w:fill="auto"/>
          </w:tcPr>
          <w:p w14:paraId="0A89A45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32" w:type="pct"/>
            <w:shd w:val="clear" w:color="auto" w:fill="auto"/>
          </w:tcPr>
          <w:p w14:paraId="5D7321C1"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tcPr>
          <w:p w14:paraId="24E2DC2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2E23B0D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A44BDB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2A2EEE7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21277B" w14:paraId="41E6DBF3" w14:textId="77777777" w:rsidTr="00907941">
        <w:tc>
          <w:tcPr>
            <w:tcW w:w="5000" w:type="pct"/>
            <w:gridSpan w:val="11"/>
            <w:shd w:val="clear" w:color="auto" w:fill="auto"/>
          </w:tcPr>
          <w:p w14:paraId="06857177"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6D466D95" w14:textId="243974E4"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sz w:val="22"/>
                <w:szCs w:val="22"/>
              </w:rPr>
              <w:t>The area is a globally important migratory seabird foraging area, primarily used during the non-breeding or winter season (</w:t>
            </w:r>
            <w:r w:rsidRPr="00EC5399">
              <w:rPr>
                <w:sz w:val="22"/>
                <w:szCs w:val="22"/>
              </w:rPr>
              <w:t>e.g.,</w:t>
            </w:r>
            <w:r w:rsidRPr="0021277B">
              <w:rPr>
                <w:sz w:val="22"/>
                <w:szCs w:val="22"/>
              </w:rPr>
              <w:t xml:space="preserve"> Guilford </w:t>
            </w:r>
            <w:r w:rsidRPr="00EC5399">
              <w:rPr>
                <w:i/>
                <w:sz w:val="22"/>
                <w:szCs w:val="22"/>
              </w:rPr>
              <w:t>et al</w:t>
            </w:r>
            <w:r w:rsidRPr="0021277B">
              <w:rPr>
                <w:sz w:val="22"/>
                <w:szCs w:val="22"/>
              </w:rPr>
              <w:t xml:space="preserve">. 2009, Egevang </w:t>
            </w:r>
            <w:r w:rsidRPr="00EC5399">
              <w:rPr>
                <w:i/>
                <w:sz w:val="22"/>
                <w:szCs w:val="22"/>
              </w:rPr>
              <w:t>et al</w:t>
            </w:r>
            <w:r w:rsidRPr="0021277B">
              <w:rPr>
                <w:sz w:val="22"/>
                <w:szCs w:val="22"/>
              </w:rPr>
              <w:t xml:space="preserve">. 2010; Dias </w:t>
            </w:r>
            <w:r w:rsidRPr="00EC5399">
              <w:rPr>
                <w:i/>
                <w:sz w:val="22"/>
                <w:szCs w:val="22"/>
              </w:rPr>
              <w:t>et al</w:t>
            </w:r>
            <w:r w:rsidRPr="0021277B">
              <w:rPr>
                <w:sz w:val="22"/>
                <w:szCs w:val="22"/>
              </w:rPr>
              <w:t xml:space="preserve">. 2011, 2012, Hedd </w:t>
            </w:r>
            <w:r w:rsidRPr="00EC5399">
              <w:rPr>
                <w:i/>
                <w:sz w:val="22"/>
                <w:szCs w:val="22"/>
              </w:rPr>
              <w:t>et al</w:t>
            </w:r>
            <w:r w:rsidRPr="0021277B">
              <w:rPr>
                <w:sz w:val="22"/>
                <w:szCs w:val="22"/>
              </w:rPr>
              <w:t>. 2012). Tracking shows 21 species foraging in the area (Figure 3). Birds travel to the area from colonies located both in the North and South Atlantic to spend the winter foraging in these productive waters (</w:t>
            </w:r>
            <w:r w:rsidRPr="00EC5399">
              <w:rPr>
                <w:sz w:val="22"/>
                <w:szCs w:val="22"/>
              </w:rPr>
              <w:t>e.g.,</w:t>
            </w:r>
            <w:r w:rsidRPr="0021277B">
              <w:rPr>
                <w:sz w:val="22"/>
                <w:szCs w:val="22"/>
              </w:rPr>
              <w:t xml:space="preserve"> Guilford </w:t>
            </w:r>
            <w:r w:rsidRPr="00EC5399">
              <w:rPr>
                <w:i/>
                <w:sz w:val="22"/>
                <w:szCs w:val="22"/>
              </w:rPr>
              <w:t>et al</w:t>
            </w:r>
            <w:r w:rsidRPr="0021277B">
              <w:rPr>
                <w:sz w:val="22"/>
                <w:szCs w:val="22"/>
              </w:rPr>
              <w:t xml:space="preserve">. 2009; Dias </w:t>
            </w:r>
            <w:r w:rsidRPr="00EC5399">
              <w:rPr>
                <w:i/>
                <w:sz w:val="22"/>
                <w:szCs w:val="22"/>
              </w:rPr>
              <w:t>et al</w:t>
            </w:r>
            <w:r w:rsidRPr="0021277B">
              <w:rPr>
                <w:sz w:val="22"/>
                <w:szCs w:val="22"/>
              </w:rPr>
              <w:t xml:space="preserve">. 2011, Kopp </w:t>
            </w:r>
            <w:r w:rsidRPr="00EC5399">
              <w:rPr>
                <w:i/>
                <w:sz w:val="22"/>
                <w:szCs w:val="22"/>
              </w:rPr>
              <w:t>et al</w:t>
            </w:r>
            <w:r w:rsidRPr="0021277B">
              <w:rPr>
                <w:sz w:val="22"/>
                <w:szCs w:val="22"/>
              </w:rPr>
              <w:t xml:space="preserve">. 2011; Hedd </w:t>
            </w:r>
            <w:r w:rsidRPr="00EC5399">
              <w:rPr>
                <w:i/>
                <w:sz w:val="22"/>
                <w:szCs w:val="22"/>
              </w:rPr>
              <w:t>et al</w:t>
            </w:r>
            <w:r w:rsidRPr="0021277B">
              <w:rPr>
                <w:sz w:val="22"/>
                <w:szCs w:val="22"/>
              </w:rPr>
              <w:t xml:space="preserve">. 2012). The site is important for species such as the </w:t>
            </w:r>
            <w:r w:rsidRPr="00EC5399">
              <w:rPr>
                <w:sz w:val="22"/>
                <w:szCs w:val="22"/>
              </w:rPr>
              <w:t>b</w:t>
            </w:r>
            <w:r w:rsidRPr="0021277B">
              <w:rPr>
                <w:sz w:val="22"/>
                <w:szCs w:val="22"/>
              </w:rPr>
              <w:t xml:space="preserve">lack-legged </w:t>
            </w:r>
            <w:r w:rsidRPr="00EC5399">
              <w:rPr>
                <w:sz w:val="22"/>
                <w:szCs w:val="22"/>
              </w:rPr>
              <w:t>k</w:t>
            </w:r>
            <w:r w:rsidRPr="0021277B">
              <w:rPr>
                <w:sz w:val="22"/>
                <w:szCs w:val="22"/>
              </w:rPr>
              <w:t xml:space="preserve">ittiwake </w:t>
            </w:r>
            <w:r w:rsidRPr="00EC5399">
              <w:rPr>
                <w:sz w:val="22"/>
                <w:szCs w:val="22"/>
              </w:rPr>
              <w:t>(</w:t>
            </w:r>
            <w:r w:rsidRPr="0021277B">
              <w:rPr>
                <w:i/>
                <w:color w:val="000000"/>
                <w:sz w:val="22"/>
                <w:szCs w:val="22"/>
              </w:rPr>
              <w:t>Rissa tridactyla</w:t>
            </w:r>
            <w:r w:rsidRPr="00EC5399">
              <w:rPr>
                <w:i/>
                <w:color w:val="000000"/>
                <w:sz w:val="22"/>
                <w:szCs w:val="22"/>
              </w:rPr>
              <w:t>)</w:t>
            </w:r>
            <w:r w:rsidRPr="0021277B">
              <w:rPr>
                <w:sz w:val="22"/>
                <w:szCs w:val="22"/>
              </w:rPr>
              <w:t xml:space="preserve">, </w:t>
            </w:r>
            <w:r w:rsidRPr="00EC5399">
              <w:rPr>
                <w:sz w:val="22"/>
                <w:szCs w:val="22"/>
              </w:rPr>
              <w:t>t</w:t>
            </w:r>
            <w:r w:rsidRPr="0021277B">
              <w:rPr>
                <w:sz w:val="22"/>
                <w:szCs w:val="22"/>
              </w:rPr>
              <w:t xml:space="preserve">hick-billed </w:t>
            </w:r>
            <w:r w:rsidRPr="00EC5399">
              <w:rPr>
                <w:sz w:val="22"/>
                <w:szCs w:val="22"/>
              </w:rPr>
              <w:t>m</w:t>
            </w:r>
            <w:r w:rsidRPr="0021277B">
              <w:rPr>
                <w:sz w:val="22"/>
                <w:szCs w:val="22"/>
              </w:rPr>
              <w:t xml:space="preserve">urre </w:t>
            </w:r>
            <w:r w:rsidRPr="00EC5399">
              <w:rPr>
                <w:sz w:val="22"/>
                <w:szCs w:val="22"/>
              </w:rPr>
              <w:t>(</w:t>
            </w:r>
            <w:r w:rsidRPr="0021277B">
              <w:rPr>
                <w:i/>
                <w:color w:val="000000"/>
                <w:sz w:val="22"/>
                <w:szCs w:val="22"/>
              </w:rPr>
              <w:t>Uria lomvia</w:t>
            </w:r>
            <w:r w:rsidRPr="00EC5399">
              <w:rPr>
                <w:i/>
                <w:color w:val="000000"/>
                <w:sz w:val="22"/>
                <w:szCs w:val="22"/>
              </w:rPr>
              <w:t>)</w:t>
            </w:r>
            <w:r w:rsidRPr="00EC5399">
              <w:rPr>
                <w:sz w:val="22"/>
                <w:szCs w:val="22"/>
              </w:rPr>
              <w:t xml:space="preserve"> and</w:t>
            </w:r>
            <w:r w:rsidRPr="0021277B">
              <w:rPr>
                <w:sz w:val="22"/>
                <w:szCs w:val="22"/>
              </w:rPr>
              <w:t xml:space="preserve"> Audubon’s </w:t>
            </w:r>
            <w:r w:rsidRPr="00EC5399">
              <w:rPr>
                <w:sz w:val="22"/>
                <w:szCs w:val="22"/>
              </w:rPr>
              <w:t>s</w:t>
            </w:r>
            <w:r w:rsidRPr="0021277B">
              <w:rPr>
                <w:sz w:val="22"/>
                <w:szCs w:val="22"/>
              </w:rPr>
              <w:t xml:space="preserve">hearwater </w:t>
            </w:r>
            <w:r w:rsidRPr="00EC5399">
              <w:rPr>
                <w:sz w:val="22"/>
                <w:szCs w:val="22"/>
              </w:rPr>
              <w:t>(</w:t>
            </w:r>
            <w:r w:rsidRPr="0021277B">
              <w:rPr>
                <w:bCs/>
                <w:i/>
                <w:color w:val="000000"/>
                <w:sz w:val="22"/>
                <w:szCs w:val="22"/>
              </w:rPr>
              <w:t>Puffinus lherminieri</w:t>
            </w:r>
            <w:r w:rsidRPr="00EC5399">
              <w:rPr>
                <w:bCs/>
                <w:i/>
                <w:color w:val="000000"/>
                <w:sz w:val="22"/>
                <w:szCs w:val="22"/>
              </w:rPr>
              <w:t>)</w:t>
            </w:r>
            <w:r w:rsidRPr="0021277B">
              <w:rPr>
                <w:sz w:val="22"/>
                <w:szCs w:val="22"/>
              </w:rPr>
              <w:t xml:space="preserve"> (OSPAR listed threatened and/or declining species) (OSPAR 2009a-c). Breeding populations of species from Azores and Madeiran archipelagos also use the area during the incubation period (Magalhães </w:t>
            </w:r>
            <w:r w:rsidRPr="00EC5399">
              <w:rPr>
                <w:i/>
                <w:sz w:val="22"/>
                <w:szCs w:val="22"/>
              </w:rPr>
              <w:t>et al</w:t>
            </w:r>
            <w:r w:rsidRPr="0021277B">
              <w:rPr>
                <w:sz w:val="22"/>
                <w:szCs w:val="22"/>
              </w:rPr>
              <w:t xml:space="preserve">. 2008, Silva </w:t>
            </w:r>
            <w:r w:rsidRPr="00EC5399">
              <w:rPr>
                <w:i/>
                <w:sz w:val="22"/>
                <w:szCs w:val="22"/>
              </w:rPr>
              <w:t>et al</w:t>
            </w:r>
            <w:r w:rsidRPr="0021277B">
              <w:rPr>
                <w:sz w:val="22"/>
                <w:szCs w:val="22"/>
              </w:rPr>
              <w:t>. 2019), commuting in some cases more than 3</w:t>
            </w:r>
            <w:r w:rsidRPr="00EC5399">
              <w:rPr>
                <w:sz w:val="22"/>
                <w:szCs w:val="22"/>
              </w:rPr>
              <w:t>,</w:t>
            </w:r>
            <w:r w:rsidRPr="0021277B">
              <w:rPr>
                <w:sz w:val="22"/>
                <w:szCs w:val="22"/>
              </w:rPr>
              <w:t xml:space="preserve">000 km from their colonies to forage here (Figure 3). The site is also important for migratory </w:t>
            </w:r>
            <w:r w:rsidRPr="00EC5399">
              <w:rPr>
                <w:sz w:val="22"/>
                <w:szCs w:val="22"/>
              </w:rPr>
              <w:t>h</w:t>
            </w:r>
            <w:r w:rsidRPr="0021277B">
              <w:rPr>
                <w:sz w:val="22"/>
                <w:szCs w:val="22"/>
              </w:rPr>
              <w:t xml:space="preserve">umpback whales </w:t>
            </w:r>
            <w:r w:rsidRPr="00EC5399">
              <w:rPr>
                <w:sz w:val="22"/>
                <w:szCs w:val="22"/>
              </w:rPr>
              <w:t>(</w:t>
            </w:r>
            <w:r w:rsidRPr="0021277B">
              <w:rPr>
                <w:i/>
                <w:sz w:val="22"/>
                <w:szCs w:val="22"/>
              </w:rPr>
              <w:t>Megaptera novaeangliae</w:t>
            </w:r>
            <w:r w:rsidRPr="00EC5399">
              <w:rPr>
                <w:i/>
                <w:sz w:val="22"/>
                <w:szCs w:val="22"/>
              </w:rPr>
              <w:t>)</w:t>
            </w:r>
            <w:r w:rsidRPr="0021277B">
              <w:rPr>
                <w:sz w:val="22"/>
                <w:szCs w:val="22"/>
              </w:rPr>
              <w:t xml:space="preserve"> between foraging areas in Norway, Svalbard, and Iceland and their southern breeding areas within the Caribbean (Whaletrack 2019). (Figure 4).</w:t>
            </w:r>
          </w:p>
        </w:tc>
      </w:tr>
      <w:tr w:rsidR="006B3F46" w:rsidRPr="0021277B" w14:paraId="417EEA60" w14:textId="77777777" w:rsidTr="002E4B39">
        <w:tc>
          <w:tcPr>
            <w:tcW w:w="832" w:type="pct"/>
            <w:shd w:val="clear" w:color="auto" w:fill="auto"/>
          </w:tcPr>
          <w:p w14:paraId="5090C5A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32" w:type="pct"/>
            <w:shd w:val="clear" w:color="auto" w:fill="auto"/>
          </w:tcPr>
          <w:p w14:paraId="5CFA8ED9"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1347011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260266B1"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52A4DC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c>
          <w:tcPr>
            <w:tcW w:w="432" w:type="pct"/>
            <w:gridSpan w:val="2"/>
            <w:shd w:val="clear" w:color="auto" w:fill="auto"/>
          </w:tcPr>
          <w:p w14:paraId="02F6649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5A95C378" w14:textId="77777777" w:rsidTr="00907941">
        <w:tc>
          <w:tcPr>
            <w:tcW w:w="5000" w:type="pct"/>
            <w:gridSpan w:val="11"/>
            <w:shd w:val="clear" w:color="auto" w:fill="auto"/>
          </w:tcPr>
          <w:p w14:paraId="3CF22AB6"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65DFED0C" w14:textId="4B462226" w:rsidR="006B3F46" w:rsidRPr="0021277B" w:rsidRDefault="006B3F46" w:rsidP="002E4B39">
            <w:pPr>
              <w:widowControl w:val="0"/>
              <w:autoSpaceDE w:val="0"/>
              <w:autoSpaceDN w:val="0"/>
              <w:adjustRightInd w:val="0"/>
              <w:jc w:val="both"/>
              <w:rPr>
                <w:rFonts w:eastAsia="MS Mincho"/>
                <w:b/>
                <w:bCs/>
                <w:color w:val="000000"/>
                <w:sz w:val="22"/>
                <w:szCs w:val="22"/>
                <w:lang w:val="en-US"/>
              </w:rPr>
            </w:pPr>
            <w:r w:rsidRPr="0021277B">
              <w:rPr>
                <w:sz w:val="22"/>
                <w:szCs w:val="22"/>
              </w:rPr>
              <w:t xml:space="preserve">Seabird tracking data shows that some species of seabirds classified as threatened at the global level (BirdLife International 2019b) forage in the area, including </w:t>
            </w:r>
            <w:r>
              <w:rPr>
                <w:sz w:val="22"/>
                <w:szCs w:val="22"/>
              </w:rPr>
              <w:t>e</w:t>
            </w:r>
            <w:r w:rsidRPr="0021277B">
              <w:rPr>
                <w:sz w:val="22"/>
                <w:szCs w:val="22"/>
              </w:rPr>
              <w:t xml:space="preserve">ndangered </w:t>
            </w:r>
            <w:r w:rsidRPr="0021277B">
              <w:rPr>
                <w:color w:val="000000"/>
                <w:sz w:val="22"/>
                <w:szCs w:val="22"/>
              </w:rPr>
              <w:t xml:space="preserve">Zino's </w:t>
            </w:r>
            <w:r>
              <w:rPr>
                <w:color w:val="000000"/>
                <w:sz w:val="22"/>
                <w:szCs w:val="22"/>
              </w:rPr>
              <w:t>p</w:t>
            </w:r>
            <w:r w:rsidRPr="0021277B">
              <w:rPr>
                <w:color w:val="000000"/>
                <w:sz w:val="22"/>
                <w:szCs w:val="22"/>
              </w:rPr>
              <w:t xml:space="preserve">etrel </w:t>
            </w:r>
            <w:r>
              <w:rPr>
                <w:color w:val="000000"/>
                <w:sz w:val="22"/>
                <w:szCs w:val="22"/>
              </w:rPr>
              <w:t>(</w:t>
            </w:r>
            <w:r w:rsidRPr="0021277B">
              <w:rPr>
                <w:i/>
                <w:color w:val="000000"/>
                <w:sz w:val="22"/>
                <w:szCs w:val="22"/>
              </w:rPr>
              <w:t>Pterodroma madeira</w:t>
            </w:r>
            <w:r>
              <w:rPr>
                <w:i/>
                <w:color w:val="000000"/>
                <w:sz w:val="22"/>
                <w:szCs w:val="22"/>
              </w:rPr>
              <w:t>)</w:t>
            </w:r>
            <w:r w:rsidRPr="0021277B">
              <w:rPr>
                <w:i/>
                <w:color w:val="000000"/>
                <w:sz w:val="22"/>
                <w:szCs w:val="22"/>
              </w:rPr>
              <w:t xml:space="preserve">, </w:t>
            </w:r>
            <w:r>
              <w:rPr>
                <w:color w:val="000000"/>
                <w:sz w:val="22"/>
                <w:szCs w:val="22"/>
              </w:rPr>
              <w:t>e</w:t>
            </w:r>
            <w:r w:rsidRPr="0021277B">
              <w:rPr>
                <w:color w:val="000000"/>
                <w:sz w:val="22"/>
                <w:szCs w:val="22"/>
              </w:rPr>
              <w:t xml:space="preserve">ndangered Bermuda </w:t>
            </w:r>
            <w:r>
              <w:rPr>
                <w:color w:val="000000"/>
                <w:sz w:val="22"/>
                <w:szCs w:val="22"/>
              </w:rPr>
              <w:t>p</w:t>
            </w:r>
            <w:r w:rsidRPr="0021277B">
              <w:rPr>
                <w:color w:val="000000"/>
                <w:sz w:val="22"/>
                <w:szCs w:val="22"/>
              </w:rPr>
              <w:t xml:space="preserve">etrel </w:t>
            </w:r>
            <w:r>
              <w:rPr>
                <w:color w:val="000000"/>
                <w:sz w:val="22"/>
                <w:szCs w:val="22"/>
              </w:rPr>
              <w:t>(</w:t>
            </w:r>
            <w:r w:rsidRPr="0021277B">
              <w:rPr>
                <w:i/>
                <w:color w:val="000000"/>
                <w:sz w:val="22"/>
                <w:szCs w:val="22"/>
              </w:rPr>
              <w:t>Pterodroma cahow</w:t>
            </w:r>
            <w:r>
              <w:rPr>
                <w:i/>
                <w:color w:val="000000"/>
                <w:sz w:val="22"/>
                <w:szCs w:val="22"/>
              </w:rPr>
              <w:t>)</w:t>
            </w:r>
            <w:r w:rsidRPr="0021277B">
              <w:rPr>
                <w:i/>
                <w:color w:val="000000"/>
                <w:sz w:val="22"/>
                <w:szCs w:val="22"/>
              </w:rPr>
              <w:t>,</w:t>
            </w:r>
            <w:r w:rsidRPr="0021277B">
              <w:rPr>
                <w:color w:val="000000"/>
                <w:sz w:val="22"/>
                <w:szCs w:val="22"/>
              </w:rPr>
              <w:t xml:space="preserve"> </w:t>
            </w:r>
            <w:r>
              <w:rPr>
                <w:color w:val="000000"/>
                <w:sz w:val="22"/>
                <w:szCs w:val="22"/>
              </w:rPr>
              <w:t>v</w:t>
            </w:r>
            <w:r w:rsidRPr="0021277B">
              <w:rPr>
                <w:color w:val="000000"/>
                <w:sz w:val="22"/>
                <w:szCs w:val="22"/>
              </w:rPr>
              <w:t xml:space="preserve">ulnerable </w:t>
            </w:r>
            <w:r w:rsidRPr="0021277B">
              <w:rPr>
                <w:bCs/>
                <w:color w:val="000000"/>
                <w:sz w:val="22"/>
                <w:szCs w:val="22"/>
              </w:rPr>
              <w:t xml:space="preserve">Atlantic </w:t>
            </w:r>
            <w:r>
              <w:rPr>
                <w:bCs/>
                <w:color w:val="000000"/>
                <w:sz w:val="22"/>
                <w:szCs w:val="22"/>
              </w:rPr>
              <w:t>p</w:t>
            </w:r>
            <w:r w:rsidRPr="0021277B">
              <w:rPr>
                <w:bCs/>
                <w:color w:val="000000"/>
                <w:sz w:val="22"/>
                <w:szCs w:val="22"/>
              </w:rPr>
              <w:t xml:space="preserve">uffin </w:t>
            </w:r>
            <w:r>
              <w:rPr>
                <w:bCs/>
                <w:color w:val="000000"/>
                <w:sz w:val="22"/>
                <w:szCs w:val="22"/>
              </w:rPr>
              <w:t>(</w:t>
            </w:r>
            <w:r w:rsidRPr="0021277B">
              <w:rPr>
                <w:bCs/>
                <w:i/>
                <w:color w:val="000000"/>
                <w:sz w:val="22"/>
                <w:szCs w:val="22"/>
              </w:rPr>
              <w:t>Fratercula arctica</w:t>
            </w:r>
            <w:r>
              <w:rPr>
                <w:bCs/>
                <w:i/>
                <w:color w:val="000000"/>
                <w:sz w:val="22"/>
                <w:szCs w:val="22"/>
              </w:rPr>
              <w:t>)</w:t>
            </w:r>
            <w:r w:rsidRPr="0021277B">
              <w:rPr>
                <w:bCs/>
                <w:i/>
                <w:color w:val="000000"/>
                <w:sz w:val="22"/>
                <w:szCs w:val="22"/>
              </w:rPr>
              <w:t xml:space="preserve">, </w:t>
            </w:r>
            <w:r w:rsidRPr="0021277B">
              <w:rPr>
                <w:bCs/>
                <w:color w:val="000000"/>
                <w:sz w:val="22"/>
                <w:szCs w:val="22"/>
              </w:rPr>
              <w:t xml:space="preserve">and </w:t>
            </w:r>
            <w:r>
              <w:rPr>
                <w:color w:val="000000"/>
                <w:sz w:val="22"/>
                <w:szCs w:val="22"/>
              </w:rPr>
              <w:t>v</w:t>
            </w:r>
            <w:r w:rsidRPr="0021277B">
              <w:rPr>
                <w:color w:val="000000"/>
                <w:sz w:val="22"/>
                <w:szCs w:val="22"/>
              </w:rPr>
              <w:t>ulnerable</w:t>
            </w:r>
            <w:r w:rsidRPr="0021277B">
              <w:rPr>
                <w:sz w:val="22"/>
                <w:szCs w:val="22"/>
              </w:rPr>
              <w:t xml:space="preserve"> </w:t>
            </w:r>
            <w:r>
              <w:rPr>
                <w:sz w:val="22"/>
                <w:szCs w:val="22"/>
              </w:rPr>
              <w:t>b</w:t>
            </w:r>
            <w:r w:rsidRPr="0021277B">
              <w:rPr>
                <w:sz w:val="22"/>
                <w:szCs w:val="22"/>
              </w:rPr>
              <w:t xml:space="preserve">lack-legged </w:t>
            </w:r>
            <w:r>
              <w:rPr>
                <w:sz w:val="22"/>
                <w:szCs w:val="22"/>
              </w:rPr>
              <w:t>k</w:t>
            </w:r>
            <w:r w:rsidRPr="0021277B">
              <w:rPr>
                <w:sz w:val="22"/>
                <w:szCs w:val="22"/>
              </w:rPr>
              <w:t xml:space="preserve">ittiwake </w:t>
            </w:r>
            <w:r>
              <w:rPr>
                <w:sz w:val="22"/>
                <w:szCs w:val="22"/>
              </w:rPr>
              <w:t>(</w:t>
            </w:r>
            <w:r w:rsidRPr="0021277B">
              <w:rPr>
                <w:i/>
                <w:color w:val="000000"/>
                <w:sz w:val="22"/>
                <w:szCs w:val="22"/>
              </w:rPr>
              <w:t>Rissa tridactyla</w:t>
            </w:r>
            <w:r>
              <w:rPr>
                <w:i/>
                <w:color w:val="000000"/>
                <w:sz w:val="22"/>
                <w:szCs w:val="22"/>
              </w:rPr>
              <w:t>)</w:t>
            </w:r>
            <w:r w:rsidRPr="0021277B">
              <w:rPr>
                <w:color w:val="000000"/>
                <w:sz w:val="22"/>
                <w:szCs w:val="22"/>
              </w:rPr>
              <w:t xml:space="preserve"> (BirdLife International 2019a)</w:t>
            </w:r>
            <w:r w:rsidRPr="0021277B">
              <w:rPr>
                <w:sz w:val="22"/>
                <w:szCs w:val="22"/>
              </w:rPr>
              <w:t xml:space="preserve">. Thick-billed </w:t>
            </w:r>
            <w:r>
              <w:rPr>
                <w:sz w:val="22"/>
                <w:szCs w:val="22"/>
              </w:rPr>
              <w:t>m</w:t>
            </w:r>
            <w:r w:rsidRPr="0021277B">
              <w:rPr>
                <w:sz w:val="22"/>
                <w:szCs w:val="22"/>
              </w:rPr>
              <w:t xml:space="preserve">urre </w:t>
            </w:r>
            <w:r>
              <w:rPr>
                <w:sz w:val="22"/>
                <w:szCs w:val="22"/>
              </w:rPr>
              <w:t>(</w:t>
            </w:r>
            <w:r w:rsidRPr="0021277B">
              <w:rPr>
                <w:i/>
                <w:color w:val="000000"/>
                <w:sz w:val="22"/>
                <w:szCs w:val="22"/>
              </w:rPr>
              <w:t>Uria lomvia</w:t>
            </w:r>
            <w:r>
              <w:rPr>
                <w:i/>
                <w:color w:val="000000"/>
                <w:sz w:val="22"/>
                <w:szCs w:val="22"/>
              </w:rPr>
              <w:t>)</w:t>
            </w:r>
            <w:r w:rsidRPr="0021277B">
              <w:rPr>
                <w:sz w:val="22"/>
                <w:szCs w:val="22"/>
              </w:rPr>
              <w:t xml:space="preserve"> and Audubon’s </w:t>
            </w:r>
            <w:r>
              <w:rPr>
                <w:sz w:val="22"/>
                <w:szCs w:val="22"/>
              </w:rPr>
              <w:t>s</w:t>
            </w:r>
            <w:r w:rsidRPr="0021277B">
              <w:rPr>
                <w:sz w:val="22"/>
                <w:szCs w:val="22"/>
              </w:rPr>
              <w:t xml:space="preserve">hearwater </w:t>
            </w:r>
            <w:r>
              <w:rPr>
                <w:sz w:val="22"/>
                <w:szCs w:val="22"/>
              </w:rPr>
              <w:t>(</w:t>
            </w:r>
            <w:r w:rsidRPr="0021277B">
              <w:rPr>
                <w:bCs/>
                <w:i/>
                <w:color w:val="000000"/>
                <w:sz w:val="22"/>
                <w:szCs w:val="22"/>
              </w:rPr>
              <w:t>Puffinus lherminieri</w:t>
            </w:r>
            <w:r>
              <w:rPr>
                <w:bCs/>
                <w:i/>
                <w:color w:val="000000"/>
                <w:sz w:val="22"/>
                <w:szCs w:val="22"/>
              </w:rPr>
              <w:t>)</w:t>
            </w:r>
            <w:r w:rsidRPr="0021277B">
              <w:rPr>
                <w:bCs/>
                <w:color w:val="000000"/>
                <w:sz w:val="22"/>
                <w:szCs w:val="22"/>
              </w:rPr>
              <w:t>,</w:t>
            </w:r>
            <w:r w:rsidRPr="0021277B">
              <w:rPr>
                <w:sz w:val="22"/>
                <w:szCs w:val="22"/>
              </w:rPr>
              <w:t xml:space="preserve"> listed by OSPAR as threatened and/or declining species (OSPAR 2009a-c), also use the area (BirdLife International 2019a). Other globally threatened species known to occur in the area are the </w:t>
            </w:r>
            <w:r>
              <w:rPr>
                <w:color w:val="000000"/>
                <w:sz w:val="22"/>
                <w:szCs w:val="22"/>
              </w:rPr>
              <w:t>e</w:t>
            </w:r>
            <w:r w:rsidRPr="0021277B">
              <w:rPr>
                <w:color w:val="000000"/>
                <w:sz w:val="22"/>
                <w:szCs w:val="22"/>
              </w:rPr>
              <w:t xml:space="preserve">ndangered </w:t>
            </w:r>
            <w:r>
              <w:rPr>
                <w:sz w:val="22"/>
                <w:szCs w:val="22"/>
              </w:rPr>
              <w:t>b</w:t>
            </w:r>
            <w:r w:rsidRPr="0021277B">
              <w:rPr>
                <w:sz w:val="22"/>
                <w:szCs w:val="22"/>
              </w:rPr>
              <w:t xml:space="preserve">lue </w:t>
            </w:r>
            <w:r>
              <w:rPr>
                <w:sz w:val="22"/>
                <w:szCs w:val="22"/>
              </w:rPr>
              <w:t>w</w:t>
            </w:r>
            <w:r w:rsidRPr="0021277B">
              <w:rPr>
                <w:sz w:val="22"/>
                <w:szCs w:val="22"/>
              </w:rPr>
              <w:t xml:space="preserve">hale </w:t>
            </w:r>
            <w:r>
              <w:rPr>
                <w:sz w:val="22"/>
                <w:szCs w:val="22"/>
              </w:rPr>
              <w:t>(</w:t>
            </w:r>
            <w:r w:rsidRPr="0021277B">
              <w:rPr>
                <w:i/>
                <w:sz w:val="22"/>
                <w:szCs w:val="22"/>
              </w:rPr>
              <w:t>Balaenoptera musculus</w:t>
            </w:r>
            <w:r>
              <w:rPr>
                <w:i/>
                <w:sz w:val="22"/>
                <w:szCs w:val="22"/>
              </w:rPr>
              <w:t>)</w:t>
            </w:r>
            <w:r w:rsidRPr="0021277B">
              <w:rPr>
                <w:sz w:val="22"/>
                <w:szCs w:val="22"/>
              </w:rPr>
              <w:t xml:space="preserve">, </w:t>
            </w:r>
            <w:r>
              <w:rPr>
                <w:color w:val="000000"/>
                <w:sz w:val="22"/>
                <w:szCs w:val="22"/>
              </w:rPr>
              <w:t>e</w:t>
            </w:r>
            <w:r w:rsidRPr="0021277B">
              <w:rPr>
                <w:color w:val="000000"/>
                <w:sz w:val="22"/>
                <w:szCs w:val="22"/>
              </w:rPr>
              <w:t xml:space="preserve">ndangered </w:t>
            </w:r>
            <w:r>
              <w:rPr>
                <w:sz w:val="22"/>
                <w:szCs w:val="22"/>
              </w:rPr>
              <w:t>f</w:t>
            </w:r>
            <w:r w:rsidRPr="0021277B">
              <w:rPr>
                <w:sz w:val="22"/>
                <w:szCs w:val="22"/>
              </w:rPr>
              <w:t xml:space="preserve">in </w:t>
            </w:r>
            <w:r>
              <w:rPr>
                <w:sz w:val="22"/>
                <w:szCs w:val="22"/>
              </w:rPr>
              <w:t>w</w:t>
            </w:r>
            <w:r w:rsidRPr="0021277B">
              <w:rPr>
                <w:sz w:val="22"/>
                <w:szCs w:val="22"/>
              </w:rPr>
              <w:t xml:space="preserve">hale </w:t>
            </w:r>
            <w:r>
              <w:rPr>
                <w:sz w:val="22"/>
                <w:szCs w:val="22"/>
              </w:rPr>
              <w:t>(</w:t>
            </w:r>
            <w:r w:rsidRPr="0021277B">
              <w:rPr>
                <w:i/>
                <w:sz w:val="22"/>
                <w:szCs w:val="22"/>
              </w:rPr>
              <w:t>Balaenoptera physalus</w:t>
            </w:r>
            <w:r>
              <w:rPr>
                <w:i/>
                <w:sz w:val="22"/>
                <w:szCs w:val="22"/>
              </w:rPr>
              <w:t>)</w:t>
            </w:r>
            <w:r w:rsidRPr="0021277B">
              <w:rPr>
                <w:sz w:val="22"/>
                <w:szCs w:val="22"/>
              </w:rPr>
              <w:t xml:space="preserve">, </w:t>
            </w:r>
            <w:r>
              <w:rPr>
                <w:color w:val="000000"/>
                <w:sz w:val="22"/>
                <w:szCs w:val="22"/>
              </w:rPr>
              <w:t>e</w:t>
            </w:r>
            <w:r w:rsidRPr="0021277B">
              <w:rPr>
                <w:color w:val="000000"/>
                <w:sz w:val="22"/>
                <w:szCs w:val="22"/>
              </w:rPr>
              <w:t xml:space="preserve">ndangered </w:t>
            </w:r>
            <w:r>
              <w:rPr>
                <w:sz w:val="22"/>
                <w:szCs w:val="22"/>
              </w:rPr>
              <w:t>s</w:t>
            </w:r>
            <w:r w:rsidRPr="0021277B">
              <w:rPr>
                <w:sz w:val="22"/>
                <w:szCs w:val="22"/>
              </w:rPr>
              <w:t xml:space="preserve">ei </w:t>
            </w:r>
            <w:r>
              <w:rPr>
                <w:sz w:val="22"/>
                <w:szCs w:val="22"/>
              </w:rPr>
              <w:t>w</w:t>
            </w:r>
            <w:r w:rsidRPr="0021277B">
              <w:rPr>
                <w:sz w:val="22"/>
                <w:szCs w:val="22"/>
              </w:rPr>
              <w:t xml:space="preserve">hale </w:t>
            </w:r>
            <w:r>
              <w:rPr>
                <w:sz w:val="22"/>
                <w:szCs w:val="22"/>
              </w:rPr>
              <w:t>(</w:t>
            </w:r>
            <w:r w:rsidRPr="0021277B">
              <w:rPr>
                <w:i/>
                <w:sz w:val="22"/>
                <w:szCs w:val="22"/>
              </w:rPr>
              <w:t>Balaenoptera borealis</w:t>
            </w:r>
            <w:r>
              <w:rPr>
                <w:i/>
                <w:sz w:val="22"/>
                <w:szCs w:val="22"/>
              </w:rPr>
              <w:t>)</w:t>
            </w:r>
            <w:r w:rsidRPr="0021277B">
              <w:rPr>
                <w:sz w:val="22"/>
                <w:szCs w:val="22"/>
              </w:rPr>
              <w:t xml:space="preserve">, </w:t>
            </w:r>
            <w:r>
              <w:rPr>
                <w:color w:val="000000"/>
                <w:sz w:val="22"/>
                <w:szCs w:val="22"/>
              </w:rPr>
              <w:t>e</w:t>
            </w:r>
            <w:r w:rsidRPr="0021277B">
              <w:rPr>
                <w:color w:val="000000"/>
                <w:sz w:val="22"/>
                <w:szCs w:val="22"/>
              </w:rPr>
              <w:t xml:space="preserve">ndangered </w:t>
            </w:r>
            <w:r w:rsidRPr="0021277B">
              <w:rPr>
                <w:sz w:val="22"/>
                <w:szCs w:val="22"/>
              </w:rPr>
              <w:t xml:space="preserve">Atlantic </w:t>
            </w:r>
            <w:r>
              <w:rPr>
                <w:sz w:val="22"/>
                <w:szCs w:val="22"/>
              </w:rPr>
              <w:t>b</w:t>
            </w:r>
            <w:r w:rsidRPr="0021277B">
              <w:rPr>
                <w:sz w:val="22"/>
                <w:szCs w:val="22"/>
              </w:rPr>
              <w:t xml:space="preserve">luefin </w:t>
            </w:r>
            <w:r>
              <w:rPr>
                <w:sz w:val="22"/>
                <w:szCs w:val="22"/>
              </w:rPr>
              <w:t>t</w:t>
            </w:r>
            <w:r w:rsidRPr="0021277B">
              <w:rPr>
                <w:sz w:val="22"/>
                <w:szCs w:val="22"/>
              </w:rPr>
              <w:t xml:space="preserve">una </w:t>
            </w:r>
            <w:r>
              <w:rPr>
                <w:sz w:val="22"/>
                <w:szCs w:val="22"/>
              </w:rPr>
              <w:t>(</w:t>
            </w:r>
            <w:r w:rsidRPr="0021277B">
              <w:rPr>
                <w:i/>
                <w:sz w:val="22"/>
                <w:szCs w:val="22"/>
              </w:rPr>
              <w:t>Thunnus thynnus</w:t>
            </w:r>
            <w:r>
              <w:rPr>
                <w:i/>
                <w:sz w:val="22"/>
                <w:szCs w:val="22"/>
              </w:rPr>
              <w:t>)</w:t>
            </w:r>
            <w:r w:rsidRPr="0021277B">
              <w:rPr>
                <w:sz w:val="22"/>
                <w:szCs w:val="22"/>
              </w:rPr>
              <w:t xml:space="preserve">, </w:t>
            </w:r>
            <w:r>
              <w:rPr>
                <w:sz w:val="22"/>
                <w:szCs w:val="22"/>
              </w:rPr>
              <w:t>v</w:t>
            </w:r>
            <w:r w:rsidRPr="0021277B">
              <w:rPr>
                <w:sz w:val="22"/>
                <w:szCs w:val="22"/>
              </w:rPr>
              <w:t xml:space="preserve">ulnerable </w:t>
            </w:r>
            <w:r>
              <w:rPr>
                <w:sz w:val="22"/>
                <w:szCs w:val="22"/>
              </w:rPr>
              <w:t>s</w:t>
            </w:r>
            <w:r w:rsidRPr="0021277B">
              <w:rPr>
                <w:sz w:val="22"/>
                <w:szCs w:val="22"/>
              </w:rPr>
              <w:t xml:space="preserve">perm </w:t>
            </w:r>
            <w:r>
              <w:rPr>
                <w:sz w:val="22"/>
                <w:szCs w:val="22"/>
              </w:rPr>
              <w:t>w</w:t>
            </w:r>
            <w:r w:rsidRPr="0021277B">
              <w:rPr>
                <w:sz w:val="22"/>
                <w:szCs w:val="22"/>
              </w:rPr>
              <w:t xml:space="preserve">hale </w:t>
            </w:r>
            <w:r>
              <w:rPr>
                <w:sz w:val="22"/>
                <w:szCs w:val="22"/>
              </w:rPr>
              <w:t>(</w:t>
            </w:r>
            <w:r w:rsidRPr="0021277B">
              <w:rPr>
                <w:i/>
                <w:sz w:val="22"/>
                <w:szCs w:val="22"/>
              </w:rPr>
              <w:t>Physeter macrocephalus</w:t>
            </w:r>
            <w:r>
              <w:rPr>
                <w:i/>
                <w:sz w:val="22"/>
                <w:szCs w:val="22"/>
              </w:rPr>
              <w:t>)</w:t>
            </w:r>
            <w:r w:rsidRPr="0021277B">
              <w:rPr>
                <w:sz w:val="22"/>
                <w:szCs w:val="22"/>
              </w:rPr>
              <w:t xml:space="preserve">, </w:t>
            </w:r>
            <w:r>
              <w:rPr>
                <w:sz w:val="22"/>
                <w:szCs w:val="22"/>
              </w:rPr>
              <w:t>v</w:t>
            </w:r>
            <w:r w:rsidRPr="0021277B">
              <w:rPr>
                <w:sz w:val="22"/>
                <w:szCs w:val="22"/>
              </w:rPr>
              <w:t xml:space="preserve">ulnerable </w:t>
            </w:r>
            <w:r>
              <w:rPr>
                <w:sz w:val="22"/>
                <w:szCs w:val="22"/>
              </w:rPr>
              <w:t>l</w:t>
            </w:r>
            <w:r w:rsidRPr="0021277B">
              <w:rPr>
                <w:sz w:val="22"/>
                <w:szCs w:val="22"/>
              </w:rPr>
              <w:t xml:space="preserve">eatherback </w:t>
            </w:r>
            <w:r>
              <w:rPr>
                <w:sz w:val="22"/>
                <w:szCs w:val="22"/>
              </w:rPr>
              <w:t>t</w:t>
            </w:r>
            <w:r w:rsidRPr="0021277B">
              <w:rPr>
                <w:sz w:val="22"/>
                <w:szCs w:val="22"/>
              </w:rPr>
              <w:t xml:space="preserve">urtle </w:t>
            </w:r>
            <w:r>
              <w:rPr>
                <w:sz w:val="22"/>
                <w:szCs w:val="22"/>
              </w:rPr>
              <w:t>(</w:t>
            </w:r>
            <w:r w:rsidRPr="0021277B">
              <w:rPr>
                <w:i/>
                <w:sz w:val="22"/>
                <w:szCs w:val="22"/>
              </w:rPr>
              <w:t>Dermochelys coriacea</w:t>
            </w:r>
            <w:r>
              <w:rPr>
                <w:i/>
                <w:sz w:val="22"/>
                <w:szCs w:val="22"/>
              </w:rPr>
              <w:t>)</w:t>
            </w:r>
            <w:r w:rsidRPr="0021277B">
              <w:rPr>
                <w:sz w:val="22"/>
                <w:szCs w:val="22"/>
              </w:rPr>
              <w:t xml:space="preserve">, </w:t>
            </w:r>
            <w:r>
              <w:rPr>
                <w:sz w:val="22"/>
                <w:szCs w:val="22"/>
              </w:rPr>
              <w:t>v</w:t>
            </w:r>
            <w:r w:rsidRPr="0021277B">
              <w:rPr>
                <w:sz w:val="22"/>
                <w:szCs w:val="22"/>
              </w:rPr>
              <w:t xml:space="preserve">ulnerable </w:t>
            </w:r>
            <w:r>
              <w:rPr>
                <w:sz w:val="22"/>
                <w:szCs w:val="22"/>
              </w:rPr>
              <w:t>b</w:t>
            </w:r>
            <w:r w:rsidRPr="0021277B">
              <w:rPr>
                <w:sz w:val="22"/>
                <w:szCs w:val="22"/>
              </w:rPr>
              <w:t xml:space="preserve">asking </w:t>
            </w:r>
            <w:r>
              <w:rPr>
                <w:sz w:val="22"/>
                <w:szCs w:val="22"/>
              </w:rPr>
              <w:t>s</w:t>
            </w:r>
            <w:r w:rsidRPr="0021277B">
              <w:rPr>
                <w:sz w:val="22"/>
                <w:szCs w:val="22"/>
              </w:rPr>
              <w:t xml:space="preserve">hark </w:t>
            </w:r>
            <w:r>
              <w:rPr>
                <w:sz w:val="22"/>
                <w:szCs w:val="22"/>
              </w:rPr>
              <w:t>(</w:t>
            </w:r>
            <w:r w:rsidRPr="0021277B">
              <w:rPr>
                <w:i/>
                <w:sz w:val="22"/>
                <w:szCs w:val="22"/>
              </w:rPr>
              <w:t>Cetorhinus maximus</w:t>
            </w:r>
            <w:r>
              <w:rPr>
                <w:i/>
                <w:sz w:val="22"/>
                <w:szCs w:val="22"/>
              </w:rPr>
              <w:t>)</w:t>
            </w:r>
            <w:r w:rsidRPr="0021277B">
              <w:rPr>
                <w:sz w:val="22"/>
                <w:szCs w:val="22"/>
              </w:rPr>
              <w:t xml:space="preserve"> and </w:t>
            </w:r>
            <w:r>
              <w:rPr>
                <w:sz w:val="22"/>
                <w:szCs w:val="22"/>
              </w:rPr>
              <w:t>v</w:t>
            </w:r>
            <w:r w:rsidRPr="0021277B">
              <w:rPr>
                <w:sz w:val="22"/>
                <w:szCs w:val="22"/>
              </w:rPr>
              <w:t xml:space="preserve">ulnerable </w:t>
            </w:r>
            <w:r>
              <w:rPr>
                <w:sz w:val="22"/>
                <w:szCs w:val="22"/>
              </w:rPr>
              <w:t>s</w:t>
            </w:r>
            <w:r w:rsidRPr="0021277B">
              <w:rPr>
                <w:sz w:val="22"/>
                <w:szCs w:val="22"/>
              </w:rPr>
              <w:t xml:space="preserve">hortfin </w:t>
            </w:r>
            <w:r>
              <w:rPr>
                <w:sz w:val="22"/>
                <w:szCs w:val="22"/>
              </w:rPr>
              <w:t>m</w:t>
            </w:r>
            <w:r w:rsidRPr="0021277B">
              <w:rPr>
                <w:sz w:val="22"/>
                <w:szCs w:val="22"/>
              </w:rPr>
              <w:t xml:space="preserve">ako </w:t>
            </w:r>
            <w:r>
              <w:rPr>
                <w:sz w:val="22"/>
                <w:szCs w:val="22"/>
              </w:rPr>
              <w:t>s</w:t>
            </w:r>
            <w:r w:rsidRPr="0021277B">
              <w:rPr>
                <w:sz w:val="22"/>
                <w:szCs w:val="22"/>
              </w:rPr>
              <w:t xml:space="preserve">hark </w:t>
            </w:r>
            <w:r>
              <w:rPr>
                <w:sz w:val="22"/>
                <w:szCs w:val="22"/>
              </w:rPr>
              <w:t>(</w:t>
            </w:r>
            <w:r w:rsidRPr="0021277B">
              <w:rPr>
                <w:i/>
                <w:sz w:val="22"/>
                <w:szCs w:val="22"/>
              </w:rPr>
              <w:t>Isurus oxyrinchus</w:t>
            </w:r>
            <w:r>
              <w:rPr>
                <w:i/>
                <w:sz w:val="22"/>
                <w:szCs w:val="22"/>
              </w:rPr>
              <w:t>)</w:t>
            </w:r>
            <w:r w:rsidRPr="0021277B">
              <w:rPr>
                <w:sz w:val="22"/>
                <w:szCs w:val="22"/>
              </w:rPr>
              <w:t xml:space="preserve"> (Hays </w:t>
            </w:r>
            <w:r w:rsidRPr="0006066A">
              <w:rPr>
                <w:i/>
                <w:sz w:val="22"/>
                <w:szCs w:val="22"/>
              </w:rPr>
              <w:t>et al</w:t>
            </w:r>
            <w:r w:rsidRPr="0021277B">
              <w:rPr>
                <w:sz w:val="22"/>
                <w:szCs w:val="22"/>
              </w:rPr>
              <w:t xml:space="preserve">. 2004, Olsen </w:t>
            </w:r>
            <w:r w:rsidRPr="0006066A">
              <w:rPr>
                <w:i/>
                <w:sz w:val="22"/>
                <w:szCs w:val="22"/>
              </w:rPr>
              <w:t>et al</w:t>
            </w:r>
            <w:r w:rsidRPr="0021277B">
              <w:rPr>
                <w:sz w:val="22"/>
                <w:szCs w:val="22"/>
              </w:rPr>
              <w:t xml:space="preserve">. 2009, </w:t>
            </w:r>
            <w:r w:rsidRPr="0021277B">
              <w:rPr>
                <w:rFonts w:eastAsia="MS Mincho"/>
                <w:sz w:val="22"/>
                <w:szCs w:val="22"/>
                <w:lang w:val="en-US"/>
              </w:rPr>
              <w:t xml:space="preserve">Walli </w:t>
            </w:r>
            <w:r w:rsidRPr="0006066A">
              <w:rPr>
                <w:rFonts w:eastAsia="MS Mincho"/>
                <w:i/>
                <w:sz w:val="22"/>
                <w:szCs w:val="22"/>
                <w:lang w:val="en-US"/>
              </w:rPr>
              <w:t>et al</w:t>
            </w:r>
            <w:r w:rsidRPr="0021277B">
              <w:rPr>
                <w:rFonts w:eastAsia="MS Mincho"/>
                <w:sz w:val="22"/>
                <w:szCs w:val="22"/>
                <w:lang w:val="en-US"/>
              </w:rPr>
              <w:t xml:space="preserve">. 2009, </w:t>
            </w:r>
            <w:r w:rsidRPr="0021277B">
              <w:rPr>
                <w:sz w:val="22"/>
                <w:szCs w:val="22"/>
              </w:rPr>
              <w:t xml:space="preserve">Silva </w:t>
            </w:r>
            <w:r w:rsidRPr="0006066A">
              <w:rPr>
                <w:i/>
                <w:sz w:val="22"/>
                <w:szCs w:val="22"/>
              </w:rPr>
              <w:t>et al</w:t>
            </w:r>
            <w:r w:rsidRPr="0021277B">
              <w:rPr>
                <w:sz w:val="22"/>
                <w:szCs w:val="22"/>
              </w:rPr>
              <w:t xml:space="preserve">. 2013, Prieto </w:t>
            </w:r>
            <w:r w:rsidRPr="0006066A">
              <w:rPr>
                <w:i/>
                <w:sz w:val="22"/>
                <w:szCs w:val="22"/>
              </w:rPr>
              <w:t>et al</w:t>
            </w:r>
            <w:r w:rsidRPr="0021277B">
              <w:rPr>
                <w:sz w:val="22"/>
                <w:szCs w:val="22"/>
              </w:rPr>
              <w:t xml:space="preserve">. 2014, </w:t>
            </w:r>
            <w:r w:rsidRPr="0021277B">
              <w:rPr>
                <w:rFonts w:eastAsia="MS Mincho"/>
                <w:sz w:val="22"/>
                <w:szCs w:val="22"/>
                <w:lang w:val="en-US"/>
              </w:rPr>
              <w:t xml:space="preserve">Queiroz </w:t>
            </w:r>
            <w:r w:rsidRPr="0006066A">
              <w:rPr>
                <w:rFonts w:eastAsia="MS Mincho"/>
                <w:i/>
                <w:sz w:val="22"/>
                <w:szCs w:val="22"/>
                <w:lang w:val="en-US"/>
              </w:rPr>
              <w:t>et al</w:t>
            </w:r>
            <w:r w:rsidRPr="0021277B">
              <w:rPr>
                <w:rFonts w:eastAsia="MS Mincho"/>
                <w:sz w:val="22"/>
                <w:szCs w:val="22"/>
                <w:lang w:val="en-US"/>
              </w:rPr>
              <w:t>. 2016</w:t>
            </w:r>
            <w:r w:rsidRPr="0021277B">
              <w:rPr>
                <w:sz w:val="22"/>
                <w:szCs w:val="22"/>
              </w:rPr>
              <w:t xml:space="preserve">). The </w:t>
            </w:r>
            <w:r>
              <w:rPr>
                <w:sz w:val="22"/>
                <w:szCs w:val="22"/>
              </w:rPr>
              <w:t>b</w:t>
            </w:r>
            <w:r w:rsidRPr="0021277B">
              <w:rPr>
                <w:sz w:val="22"/>
                <w:szCs w:val="22"/>
              </w:rPr>
              <w:t>lue whale</w:t>
            </w:r>
            <w:r w:rsidRPr="0021277B">
              <w:rPr>
                <w:i/>
                <w:sz w:val="22"/>
                <w:szCs w:val="22"/>
              </w:rPr>
              <w:t>s</w:t>
            </w:r>
            <w:r w:rsidRPr="0021277B">
              <w:rPr>
                <w:sz w:val="22"/>
                <w:szCs w:val="22"/>
              </w:rPr>
              <w:t xml:space="preserve">, </w:t>
            </w:r>
            <w:r>
              <w:rPr>
                <w:sz w:val="22"/>
                <w:szCs w:val="22"/>
              </w:rPr>
              <w:t>l</w:t>
            </w:r>
            <w:r w:rsidRPr="0021277B">
              <w:rPr>
                <w:sz w:val="22"/>
                <w:szCs w:val="22"/>
              </w:rPr>
              <w:t xml:space="preserve">eatherback </w:t>
            </w:r>
            <w:r>
              <w:rPr>
                <w:sz w:val="22"/>
                <w:szCs w:val="22"/>
              </w:rPr>
              <w:t>t</w:t>
            </w:r>
            <w:r w:rsidRPr="0021277B">
              <w:rPr>
                <w:sz w:val="22"/>
                <w:szCs w:val="22"/>
              </w:rPr>
              <w:t xml:space="preserve">urtle </w:t>
            </w:r>
            <w:r>
              <w:rPr>
                <w:sz w:val="22"/>
                <w:szCs w:val="22"/>
              </w:rPr>
              <w:t>(</w:t>
            </w:r>
            <w:r w:rsidRPr="0021277B">
              <w:rPr>
                <w:i/>
                <w:sz w:val="22"/>
                <w:szCs w:val="22"/>
              </w:rPr>
              <w:t>Dermochelys coriacea</w:t>
            </w:r>
            <w:r>
              <w:rPr>
                <w:i/>
                <w:sz w:val="22"/>
                <w:szCs w:val="22"/>
              </w:rPr>
              <w:t>)</w:t>
            </w:r>
            <w:r w:rsidRPr="0021277B">
              <w:rPr>
                <w:sz w:val="22"/>
                <w:szCs w:val="22"/>
              </w:rPr>
              <w:t xml:space="preserve">, </w:t>
            </w:r>
            <w:r>
              <w:rPr>
                <w:sz w:val="22"/>
                <w:szCs w:val="22"/>
              </w:rPr>
              <w:t>b</w:t>
            </w:r>
            <w:r w:rsidRPr="0021277B">
              <w:rPr>
                <w:sz w:val="22"/>
                <w:szCs w:val="22"/>
              </w:rPr>
              <w:t xml:space="preserve">asking </w:t>
            </w:r>
            <w:r>
              <w:rPr>
                <w:sz w:val="22"/>
                <w:szCs w:val="22"/>
              </w:rPr>
              <w:t>s</w:t>
            </w:r>
            <w:r w:rsidRPr="0021277B">
              <w:rPr>
                <w:sz w:val="22"/>
                <w:szCs w:val="22"/>
              </w:rPr>
              <w:t xml:space="preserve">hark and </w:t>
            </w:r>
            <w:r w:rsidRPr="0021277B">
              <w:rPr>
                <w:color w:val="000000"/>
                <w:sz w:val="22"/>
                <w:szCs w:val="22"/>
                <w:lang w:eastAsia="en-GB"/>
              </w:rPr>
              <w:t xml:space="preserve">Atlantic </w:t>
            </w:r>
            <w:r>
              <w:rPr>
                <w:color w:val="000000"/>
                <w:sz w:val="22"/>
                <w:szCs w:val="22"/>
                <w:lang w:eastAsia="en-GB"/>
              </w:rPr>
              <w:t>b</w:t>
            </w:r>
            <w:r w:rsidRPr="0021277B">
              <w:rPr>
                <w:color w:val="000000"/>
                <w:sz w:val="22"/>
                <w:szCs w:val="22"/>
                <w:lang w:eastAsia="en-GB"/>
              </w:rPr>
              <w:t xml:space="preserve">luefin </w:t>
            </w:r>
            <w:r>
              <w:rPr>
                <w:color w:val="000000"/>
                <w:sz w:val="22"/>
                <w:szCs w:val="22"/>
                <w:lang w:eastAsia="en-GB"/>
              </w:rPr>
              <w:t>t</w:t>
            </w:r>
            <w:r w:rsidRPr="0021277B">
              <w:rPr>
                <w:color w:val="000000"/>
                <w:sz w:val="22"/>
                <w:szCs w:val="22"/>
                <w:lang w:eastAsia="en-GB"/>
              </w:rPr>
              <w:t xml:space="preserve">una are also </w:t>
            </w:r>
            <w:r w:rsidRPr="0021277B">
              <w:rPr>
                <w:sz w:val="22"/>
                <w:szCs w:val="22"/>
              </w:rPr>
              <w:t>listed by OSPAR as threatened and/or declining species.</w:t>
            </w:r>
          </w:p>
        </w:tc>
      </w:tr>
      <w:tr w:rsidR="006B3F46" w:rsidRPr="0021277B" w14:paraId="79371A34" w14:textId="77777777" w:rsidTr="002E4B39">
        <w:tc>
          <w:tcPr>
            <w:tcW w:w="832" w:type="pct"/>
            <w:shd w:val="clear" w:color="auto" w:fill="auto"/>
          </w:tcPr>
          <w:p w14:paraId="3E78B1D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32" w:type="pct"/>
            <w:shd w:val="clear" w:color="auto" w:fill="auto"/>
          </w:tcPr>
          <w:p w14:paraId="374AE6AF"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4F80AB2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1632E05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8D650E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10E9ED0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21277B" w14:paraId="492869CE" w14:textId="77777777" w:rsidTr="00907941">
        <w:tc>
          <w:tcPr>
            <w:tcW w:w="5000" w:type="pct"/>
            <w:gridSpan w:val="11"/>
            <w:shd w:val="clear" w:color="auto" w:fill="auto"/>
          </w:tcPr>
          <w:p w14:paraId="51F535F9"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5E42F11A" w14:textId="5C98E50B" w:rsidR="006B3F46" w:rsidRPr="0021277B" w:rsidRDefault="006B3F46" w:rsidP="00907941">
            <w:pPr>
              <w:widowControl w:val="0"/>
              <w:autoSpaceDE w:val="0"/>
              <w:autoSpaceDN w:val="0"/>
              <w:adjustRightInd w:val="0"/>
              <w:jc w:val="both"/>
              <w:rPr>
                <w:rFonts w:eastAsia="MS Mincho"/>
                <w:b/>
                <w:bCs/>
                <w:color w:val="000000"/>
                <w:sz w:val="22"/>
                <w:szCs w:val="22"/>
                <w:lang w:val="en-US"/>
              </w:rPr>
            </w:pPr>
            <w:r w:rsidRPr="0021277B">
              <w:rPr>
                <w:sz w:val="22"/>
                <w:szCs w:val="22"/>
              </w:rPr>
              <w:t xml:space="preserve">The area is of high importance to numerous </w:t>
            </w:r>
            <w:r>
              <w:rPr>
                <w:sz w:val="22"/>
                <w:szCs w:val="22"/>
              </w:rPr>
              <w:t>g</w:t>
            </w:r>
            <w:r w:rsidRPr="0021277B">
              <w:rPr>
                <w:sz w:val="22"/>
                <w:szCs w:val="22"/>
              </w:rPr>
              <w:t xml:space="preserve">lobally </w:t>
            </w:r>
            <w:r>
              <w:rPr>
                <w:sz w:val="22"/>
                <w:szCs w:val="22"/>
              </w:rPr>
              <w:t>t</w:t>
            </w:r>
            <w:r w:rsidRPr="0021277B">
              <w:rPr>
                <w:sz w:val="22"/>
                <w:szCs w:val="22"/>
              </w:rPr>
              <w:t xml:space="preserve">hreatened </w:t>
            </w:r>
            <w:r>
              <w:rPr>
                <w:sz w:val="22"/>
                <w:szCs w:val="22"/>
              </w:rPr>
              <w:t>s</w:t>
            </w:r>
            <w:r w:rsidRPr="0021277B">
              <w:rPr>
                <w:sz w:val="22"/>
                <w:szCs w:val="22"/>
              </w:rPr>
              <w:t>pecies that have suffered significant population declines – including E</w:t>
            </w:r>
            <w:r>
              <w:rPr>
                <w:sz w:val="22"/>
                <w:szCs w:val="22"/>
              </w:rPr>
              <w:t>e</w:t>
            </w:r>
            <w:r w:rsidRPr="0021277B">
              <w:rPr>
                <w:sz w:val="22"/>
                <w:szCs w:val="22"/>
              </w:rPr>
              <w:t xml:space="preserve">dangered </w:t>
            </w:r>
            <w:r w:rsidRPr="0021277B">
              <w:rPr>
                <w:color w:val="000000"/>
                <w:sz w:val="22"/>
                <w:szCs w:val="22"/>
              </w:rPr>
              <w:t xml:space="preserve">Zino's </w:t>
            </w:r>
            <w:r>
              <w:rPr>
                <w:color w:val="000000"/>
                <w:sz w:val="22"/>
                <w:szCs w:val="22"/>
              </w:rPr>
              <w:t>p</w:t>
            </w:r>
            <w:r w:rsidRPr="0021277B">
              <w:rPr>
                <w:color w:val="000000"/>
                <w:sz w:val="22"/>
                <w:szCs w:val="22"/>
              </w:rPr>
              <w:t xml:space="preserve">etrel </w:t>
            </w:r>
            <w:r>
              <w:rPr>
                <w:color w:val="000000"/>
                <w:sz w:val="22"/>
                <w:szCs w:val="22"/>
              </w:rPr>
              <w:t>(</w:t>
            </w:r>
            <w:r w:rsidRPr="0021277B">
              <w:rPr>
                <w:i/>
                <w:color w:val="000000"/>
                <w:sz w:val="22"/>
                <w:szCs w:val="22"/>
              </w:rPr>
              <w:t>Pterodroma madeira</w:t>
            </w:r>
            <w:r>
              <w:rPr>
                <w:i/>
                <w:color w:val="000000"/>
                <w:sz w:val="22"/>
                <w:szCs w:val="22"/>
              </w:rPr>
              <w:t>)</w:t>
            </w:r>
            <w:r w:rsidRPr="0021277B">
              <w:rPr>
                <w:i/>
                <w:color w:val="000000"/>
                <w:sz w:val="22"/>
                <w:szCs w:val="22"/>
              </w:rPr>
              <w:t xml:space="preserve">, </w:t>
            </w:r>
            <w:r>
              <w:rPr>
                <w:color w:val="000000"/>
                <w:sz w:val="22"/>
                <w:szCs w:val="22"/>
              </w:rPr>
              <w:t>e</w:t>
            </w:r>
            <w:r w:rsidRPr="0021277B">
              <w:rPr>
                <w:color w:val="000000"/>
                <w:sz w:val="22"/>
                <w:szCs w:val="22"/>
              </w:rPr>
              <w:t xml:space="preserve">ndangered Bermuda </w:t>
            </w:r>
            <w:r>
              <w:rPr>
                <w:color w:val="000000"/>
                <w:sz w:val="22"/>
                <w:szCs w:val="22"/>
              </w:rPr>
              <w:t>p</w:t>
            </w:r>
            <w:r w:rsidRPr="0021277B">
              <w:rPr>
                <w:color w:val="000000"/>
                <w:sz w:val="22"/>
                <w:szCs w:val="22"/>
              </w:rPr>
              <w:t xml:space="preserve">etrel </w:t>
            </w:r>
            <w:r>
              <w:rPr>
                <w:color w:val="000000"/>
                <w:sz w:val="22"/>
                <w:szCs w:val="22"/>
              </w:rPr>
              <w:t>(</w:t>
            </w:r>
            <w:r w:rsidRPr="0021277B">
              <w:rPr>
                <w:i/>
                <w:color w:val="000000"/>
                <w:sz w:val="22"/>
                <w:szCs w:val="22"/>
              </w:rPr>
              <w:t>Pterodroma cahow</w:t>
            </w:r>
            <w:r>
              <w:rPr>
                <w:i/>
                <w:color w:val="000000"/>
                <w:sz w:val="22"/>
                <w:szCs w:val="22"/>
              </w:rPr>
              <w:t>)</w:t>
            </w:r>
            <w:r w:rsidRPr="0021277B">
              <w:rPr>
                <w:i/>
                <w:color w:val="000000"/>
                <w:sz w:val="22"/>
                <w:szCs w:val="22"/>
              </w:rPr>
              <w:t>,</w:t>
            </w:r>
            <w:r w:rsidRPr="0021277B">
              <w:rPr>
                <w:color w:val="000000"/>
                <w:sz w:val="22"/>
                <w:szCs w:val="22"/>
              </w:rPr>
              <w:t xml:space="preserve"> </w:t>
            </w:r>
            <w:r>
              <w:rPr>
                <w:color w:val="000000"/>
                <w:sz w:val="22"/>
                <w:szCs w:val="22"/>
              </w:rPr>
              <w:t>v</w:t>
            </w:r>
            <w:r w:rsidRPr="0021277B">
              <w:rPr>
                <w:color w:val="000000"/>
                <w:sz w:val="22"/>
                <w:szCs w:val="22"/>
              </w:rPr>
              <w:t xml:space="preserve">ulnerable </w:t>
            </w:r>
            <w:r w:rsidRPr="0021277B">
              <w:rPr>
                <w:bCs/>
                <w:color w:val="000000"/>
                <w:sz w:val="22"/>
                <w:szCs w:val="22"/>
              </w:rPr>
              <w:t xml:space="preserve">Atlantic </w:t>
            </w:r>
            <w:r>
              <w:rPr>
                <w:bCs/>
                <w:color w:val="000000"/>
                <w:sz w:val="22"/>
                <w:szCs w:val="22"/>
              </w:rPr>
              <w:t>p</w:t>
            </w:r>
            <w:r w:rsidRPr="0021277B">
              <w:rPr>
                <w:bCs/>
                <w:color w:val="000000"/>
                <w:sz w:val="22"/>
                <w:szCs w:val="22"/>
              </w:rPr>
              <w:t xml:space="preserve">uffin </w:t>
            </w:r>
            <w:r>
              <w:rPr>
                <w:bCs/>
                <w:color w:val="000000"/>
                <w:sz w:val="22"/>
                <w:szCs w:val="22"/>
              </w:rPr>
              <w:t>(</w:t>
            </w:r>
            <w:r w:rsidRPr="0021277B">
              <w:rPr>
                <w:bCs/>
                <w:i/>
                <w:color w:val="000000"/>
                <w:sz w:val="22"/>
                <w:szCs w:val="22"/>
              </w:rPr>
              <w:t>Fratercula arctica</w:t>
            </w:r>
            <w:r>
              <w:rPr>
                <w:bCs/>
                <w:i/>
                <w:color w:val="000000"/>
                <w:sz w:val="22"/>
                <w:szCs w:val="22"/>
              </w:rPr>
              <w:t>)</w:t>
            </w:r>
            <w:r w:rsidRPr="0021277B">
              <w:rPr>
                <w:bCs/>
                <w:i/>
                <w:color w:val="000000"/>
                <w:sz w:val="22"/>
                <w:szCs w:val="22"/>
              </w:rPr>
              <w:t xml:space="preserve">, </w:t>
            </w:r>
            <w:r w:rsidRPr="0021277B">
              <w:rPr>
                <w:bCs/>
                <w:color w:val="000000"/>
                <w:sz w:val="22"/>
                <w:szCs w:val="22"/>
              </w:rPr>
              <w:t xml:space="preserve">and </w:t>
            </w:r>
            <w:r>
              <w:rPr>
                <w:color w:val="000000"/>
                <w:sz w:val="22"/>
                <w:szCs w:val="22"/>
              </w:rPr>
              <w:t>v</w:t>
            </w:r>
            <w:r w:rsidRPr="0021277B">
              <w:rPr>
                <w:color w:val="000000"/>
                <w:sz w:val="22"/>
                <w:szCs w:val="22"/>
              </w:rPr>
              <w:t>ulnerable</w:t>
            </w:r>
            <w:r w:rsidRPr="0021277B">
              <w:rPr>
                <w:sz w:val="22"/>
                <w:szCs w:val="22"/>
              </w:rPr>
              <w:t xml:space="preserve"> </w:t>
            </w:r>
            <w:r>
              <w:rPr>
                <w:sz w:val="22"/>
                <w:szCs w:val="22"/>
              </w:rPr>
              <w:t>b</w:t>
            </w:r>
            <w:r w:rsidRPr="0021277B">
              <w:rPr>
                <w:sz w:val="22"/>
                <w:szCs w:val="22"/>
              </w:rPr>
              <w:t xml:space="preserve">lack-legged </w:t>
            </w:r>
            <w:r>
              <w:rPr>
                <w:sz w:val="22"/>
                <w:szCs w:val="22"/>
              </w:rPr>
              <w:t>k</w:t>
            </w:r>
            <w:r w:rsidRPr="0021277B">
              <w:rPr>
                <w:sz w:val="22"/>
                <w:szCs w:val="22"/>
              </w:rPr>
              <w:t xml:space="preserve">ittiwake </w:t>
            </w:r>
            <w:r>
              <w:rPr>
                <w:sz w:val="22"/>
                <w:szCs w:val="22"/>
              </w:rPr>
              <w:t>(</w:t>
            </w:r>
            <w:r w:rsidRPr="0021277B">
              <w:rPr>
                <w:i/>
                <w:color w:val="000000"/>
                <w:sz w:val="22"/>
                <w:szCs w:val="22"/>
              </w:rPr>
              <w:t>Rissa tridactyla</w:t>
            </w:r>
            <w:r>
              <w:rPr>
                <w:i/>
                <w:color w:val="000000"/>
                <w:sz w:val="22"/>
                <w:szCs w:val="22"/>
              </w:rPr>
              <w:t>)</w:t>
            </w:r>
            <w:r w:rsidRPr="0021277B">
              <w:rPr>
                <w:sz w:val="22"/>
                <w:szCs w:val="22"/>
              </w:rPr>
              <w:t xml:space="preserve">. In addition, the area is used by </w:t>
            </w:r>
            <w:r>
              <w:rPr>
                <w:sz w:val="22"/>
                <w:szCs w:val="22"/>
              </w:rPr>
              <w:t>t</w:t>
            </w:r>
            <w:r w:rsidRPr="0021277B">
              <w:rPr>
                <w:sz w:val="22"/>
                <w:szCs w:val="22"/>
              </w:rPr>
              <w:t xml:space="preserve">hick-billed </w:t>
            </w:r>
            <w:r>
              <w:rPr>
                <w:sz w:val="22"/>
                <w:szCs w:val="22"/>
              </w:rPr>
              <w:t>m</w:t>
            </w:r>
            <w:r w:rsidRPr="0021277B">
              <w:rPr>
                <w:sz w:val="22"/>
                <w:szCs w:val="22"/>
              </w:rPr>
              <w:t xml:space="preserve">urre </w:t>
            </w:r>
            <w:r>
              <w:rPr>
                <w:sz w:val="22"/>
                <w:szCs w:val="22"/>
              </w:rPr>
              <w:t>(</w:t>
            </w:r>
            <w:r w:rsidRPr="0021277B">
              <w:rPr>
                <w:i/>
                <w:color w:val="000000"/>
                <w:sz w:val="22"/>
                <w:szCs w:val="22"/>
              </w:rPr>
              <w:t>Uria lomvia</w:t>
            </w:r>
            <w:r>
              <w:rPr>
                <w:i/>
                <w:color w:val="000000"/>
                <w:sz w:val="22"/>
                <w:szCs w:val="22"/>
              </w:rPr>
              <w:t>)</w:t>
            </w:r>
            <w:r w:rsidRPr="0021277B">
              <w:rPr>
                <w:sz w:val="22"/>
                <w:szCs w:val="22"/>
              </w:rPr>
              <w:t xml:space="preserve"> and Audubon’s </w:t>
            </w:r>
            <w:r>
              <w:rPr>
                <w:sz w:val="22"/>
                <w:szCs w:val="22"/>
              </w:rPr>
              <w:t>s</w:t>
            </w:r>
            <w:r w:rsidRPr="0021277B">
              <w:rPr>
                <w:sz w:val="22"/>
                <w:szCs w:val="22"/>
              </w:rPr>
              <w:t xml:space="preserve">hearwater </w:t>
            </w:r>
            <w:r>
              <w:rPr>
                <w:sz w:val="22"/>
                <w:szCs w:val="22"/>
              </w:rPr>
              <w:t>(</w:t>
            </w:r>
            <w:r w:rsidRPr="0021277B">
              <w:rPr>
                <w:bCs/>
                <w:i/>
                <w:color w:val="000000"/>
                <w:sz w:val="22"/>
                <w:szCs w:val="22"/>
              </w:rPr>
              <w:t>Puffinus lherminieri</w:t>
            </w:r>
            <w:r>
              <w:rPr>
                <w:bCs/>
                <w:i/>
                <w:color w:val="000000"/>
                <w:sz w:val="22"/>
                <w:szCs w:val="22"/>
              </w:rPr>
              <w:t>)</w:t>
            </w:r>
            <w:r w:rsidRPr="0021277B">
              <w:rPr>
                <w:sz w:val="22"/>
                <w:szCs w:val="22"/>
              </w:rPr>
              <w:t>, which are listed by OSPAR as threatened and/or declining species.</w:t>
            </w:r>
            <w:r w:rsidRPr="0021277B">
              <w:rPr>
                <w:color w:val="0070C0"/>
                <w:sz w:val="22"/>
                <w:szCs w:val="22"/>
              </w:rPr>
              <w:t xml:space="preserve"> </w:t>
            </w:r>
            <w:r w:rsidRPr="0021277B">
              <w:rPr>
                <w:sz w:val="22"/>
                <w:szCs w:val="22"/>
              </w:rPr>
              <w:t xml:space="preserve">Black-legged </w:t>
            </w:r>
            <w:r>
              <w:rPr>
                <w:sz w:val="22"/>
                <w:szCs w:val="22"/>
              </w:rPr>
              <w:t>k</w:t>
            </w:r>
            <w:r w:rsidRPr="0021277B">
              <w:rPr>
                <w:sz w:val="22"/>
                <w:szCs w:val="22"/>
              </w:rPr>
              <w:t xml:space="preserve">ittiwake is listed as </w:t>
            </w:r>
            <w:r>
              <w:rPr>
                <w:sz w:val="22"/>
                <w:szCs w:val="22"/>
              </w:rPr>
              <w:t>v</w:t>
            </w:r>
            <w:r w:rsidRPr="0021277B">
              <w:rPr>
                <w:sz w:val="22"/>
                <w:szCs w:val="22"/>
              </w:rPr>
              <w:t xml:space="preserve">ulnerable because of </w:t>
            </w:r>
            <w:r>
              <w:rPr>
                <w:sz w:val="22"/>
                <w:szCs w:val="22"/>
              </w:rPr>
              <w:t xml:space="preserve">population </w:t>
            </w:r>
            <w:r w:rsidRPr="0021277B">
              <w:rPr>
                <w:sz w:val="22"/>
                <w:szCs w:val="22"/>
              </w:rPr>
              <w:t>declines due to the depletion of food resources (</w:t>
            </w:r>
            <w:r>
              <w:rPr>
                <w:sz w:val="22"/>
                <w:szCs w:val="22"/>
              </w:rPr>
              <w:t>e.g.,</w:t>
            </w:r>
            <w:r w:rsidRPr="0021277B">
              <w:rPr>
                <w:sz w:val="22"/>
                <w:szCs w:val="22"/>
              </w:rPr>
              <w:t xml:space="preserve"> through over-fishing) (Frederiksen </w:t>
            </w:r>
            <w:r w:rsidRPr="0006066A">
              <w:rPr>
                <w:i/>
                <w:sz w:val="22"/>
                <w:szCs w:val="22"/>
              </w:rPr>
              <w:t>et al</w:t>
            </w:r>
            <w:r w:rsidRPr="0021277B">
              <w:rPr>
                <w:sz w:val="22"/>
                <w:szCs w:val="22"/>
              </w:rPr>
              <w:t xml:space="preserve">. 2004, Nikolaeva </w:t>
            </w:r>
            <w:r w:rsidRPr="0006066A">
              <w:rPr>
                <w:i/>
                <w:sz w:val="22"/>
                <w:szCs w:val="22"/>
              </w:rPr>
              <w:t>et al</w:t>
            </w:r>
            <w:r w:rsidRPr="0021277B">
              <w:rPr>
                <w:sz w:val="22"/>
                <w:szCs w:val="22"/>
              </w:rPr>
              <w:t xml:space="preserve">. 2006), marine oil spills (Nikolaeva </w:t>
            </w:r>
            <w:r w:rsidRPr="0006066A">
              <w:rPr>
                <w:i/>
                <w:sz w:val="22"/>
                <w:szCs w:val="22"/>
              </w:rPr>
              <w:t>et al</w:t>
            </w:r>
            <w:r w:rsidRPr="0021277B">
              <w:rPr>
                <w:sz w:val="22"/>
                <w:szCs w:val="22"/>
              </w:rPr>
              <w:t xml:space="preserve">. 2006) and chronic oil pollution (Nikolaeva </w:t>
            </w:r>
            <w:r w:rsidRPr="0006066A">
              <w:rPr>
                <w:i/>
                <w:sz w:val="22"/>
                <w:szCs w:val="22"/>
              </w:rPr>
              <w:t>et al</w:t>
            </w:r>
            <w:r w:rsidRPr="0021277B">
              <w:rPr>
                <w:sz w:val="22"/>
                <w:szCs w:val="22"/>
              </w:rPr>
              <w:t xml:space="preserve">. 2006). All these species are long-lived seabirds with a low reproduction rate and thus with slow recovery. The whales occurring in the area are also species of low reproduction rate and vulnerable to multiple anthropogenic pressures (Melcón </w:t>
            </w:r>
            <w:r w:rsidRPr="0006066A">
              <w:rPr>
                <w:i/>
                <w:sz w:val="22"/>
                <w:szCs w:val="22"/>
              </w:rPr>
              <w:t>et al</w:t>
            </w:r>
            <w:r w:rsidRPr="0021277B">
              <w:rPr>
                <w:sz w:val="22"/>
                <w:szCs w:val="22"/>
              </w:rPr>
              <w:t xml:space="preserve">. 2012). </w:t>
            </w:r>
          </w:p>
        </w:tc>
      </w:tr>
      <w:tr w:rsidR="006B3F46" w:rsidRPr="0021277B" w14:paraId="25691A2C" w14:textId="77777777" w:rsidTr="002E4B39">
        <w:tc>
          <w:tcPr>
            <w:tcW w:w="832" w:type="pct"/>
            <w:shd w:val="clear" w:color="auto" w:fill="auto"/>
          </w:tcPr>
          <w:p w14:paraId="2E6FEB3D"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32" w:type="pct"/>
            <w:shd w:val="clear" w:color="auto" w:fill="auto"/>
          </w:tcPr>
          <w:p w14:paraId="16A0501D" w14:textId="77777777" w:rsidR="006B3F46" w:rsidRPr="0021277B" w:rsidRDefault="006B3F46" w:rsidP="00907941">
            <w:pPr>
              <w:widowControl w:val="0"/>
              <w:autoSpaceDE w:val="0"/>
              <w:autoSpaceDN w:val="0"/>
              <w:adjustRightInd w:val="0"/>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1F2E30E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4A176CA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7FB129B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4A9A883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21277B" w14:paraId="1F973347" w14:textId="77777777" w:rsidTr="00907941">
        <w:tc>
          <w:tcPr>
            <w:tcW w:w="5000" w:type="pct"/>
            <w:gridSpan w:val="11"/>
            <w:shd w:val="clear" w:color="auto" w:fill="auto"/>
          </w:tcPr>
          <w:p w14:paraId="4C1DE28D"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713F2C66" w14:textId="7097BDA5" w:rsidR="006B3F46" w:rsidRPr="0021277B" w:rsidRDefault="006B3F46" w:rsidP="002E4B39">
            <w:pPr>
              <w:widowControl w:val="0"/>
              <w:autoSpaceDE w:val="0"/>
              <w:autoSpaceDN w:val="0"/>
              <w:adjustRightInd w:val="0"/>
              <w:jc w:val="both"/>
              <w:rPr>
                <w:rFonts w:eastAsia="MS Mincho"/>
                <w:b/>
                <w:bCs/>
                <w:color w:val="000000"/>
                <w:sz w:val="22"/>
                <w:szCs w:val="22"/>
                <w:lang w:val="en-US"/>
              </w:rPr>
            </w:pPr>
            <w:r w:rsidRPr="0021277B">
              <w:rPr>
                <w:sz w:val="22"/>
                <w:szCs w:val="22"/>
              </w:rPr>
              <w:t>Both satellite altimetry and numerous thermal fronts show this is an area of high mesoscale activity with near</w:t>
            </w:r>
            <w:r w:rsidRPr="00EC5399">
              <w:rPr>
                <w:sz w:val="22"/>
                <w:szCs w:val="22"/>
              </w:rPr>
              <w:t>-</w:t>
            </w:r>
            <w:r w:rsidRPr="0021277B">
              <w:rPr>
                <w:sz w:val="22"/>
                <w:szCs w:val="22"/>
              </w:rPr>
              <w:t xml:space="preserve">stationary eddies and thermal fronts aligned in zonal bands (Read </w:t>
            </w:r>
            <w:r w:rsidRPr="00EC5399">
              <w:rPr>
                <w:i/>
                <w:sz w:val="22"/>
                <w:szCs w:val="22"/>
              </w:rPr>
              <w:t>et al</w:t>
            </w:r>
            <w:r w:rsidRPr="0021277B">
              <w:rPr>
                <w:sz w:val="22"/>
                <w:szCs w:val="22"/>
              </w:rPr>
              <w:t xml:space="preserve">. 2010; Figure 2). The fronts retain and concentrate productivity both vertically and horizontally, and the combination of localised high intensity mixing in the eddies results in patchy but high surface productivity at fine scales </w:t>
            </w:r>
            <w:r w:rsidRPr="0021277B">
              <w:rPr>
                <w:noProof/>
                <w:sz w:val="22"/>
                <w:szCs w:val="22"/>
              </w:rPr>
              <w:t>(Vecchione</w:t>
            </w:r>
            <w:r w:rsidRPr="0021277B">
              <w:rPr>
                <w:i/>
                <w:noProof/>
                <w:sz w:val="22"/>
                <w:szCs w:val="22"/>
              </w:rPr>
              <w:t xml:space="preserve"> </w:t>
            </w:r>
            <w:r w:rsidRPr="00EC5399">
              <w:rPr>
                <w:i/>
                <w:noProof/>
                <w:sz w:val="22"/>
                <w:szCs w:val="22"/>
              </w:rPr>
              <w:t>et al</w:t>
            </w:r>
            <w:r w:rsidRPr="0021277B">
              <w:rPr>
                <w:i/>
                <w:noProof/>
                <w:sz w:val="22"/>
                <w:szCs w:val="22"/>
              </w:rPr>
              <w:t>.</w:t>
            </w:r>
            <w:r w:rsidRPr="0021277B">
              <w:rPr>
                <w:noProof/>
                <w:sz w:val="22"/>
                <w:szCs w:val="22"/>
              </w:rPr>
              <w:t xml:space="preserve"> 2015)</w:t>
            </w:r>
            <w:r w:rsidRPr="0021277B">
              <w:rPr>
                <w:sz w:val="22"/>
                <w:szCs w:val="22"/>
              </w:rPr>
              <w:t xml:space="preserve">. Seabird tracking data confirms this is an area of high productivity, with a high intensity of foraging activity in the area </w:t>
            </w:r>
            <w:r w:rsidRPr="0021277B">
              <w:rPr>
                <w:rFonts w:eastAsia="MS Mincho"/>
                <w:color w:val="000000"/>
                <w:sz w:val="22"/>
                <w:szCs w:val="22"/>
                <w:lang w:val="en-US"/>
              </w:rPr>
              <w:t xml:space="preserve">(BirdLife International 2019a). </w:t>
            </w:r>
          </w:p>
        </w:tc>
      </w:tr>
      <w:tr w:rsidR="006B3F46" w:rsidRPr="0021277B" w14:paraId="6F1ADC6D" w14:textId="77777777" w:rsidTr="002E4B39">
        <w:tc>
          <w:tcPr>
            <w:tcW w:w="832" w:type="pct"/>
            <w:shd w:val="clear" w:color="auto" w:fill="auto"/>
          </w:tcPr>
          <w:p w14:paraId="0696E5C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32" w:type="pct"/>
            <w:shd w:val="clear" w:color="auto" w:fill="auto"/>
          </w:tcPr>
          <w:p w14:paraId="65F941CE"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265E5F1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0D73CF3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EE1A8E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221A898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21277B" w14:paraId="035665DC" w14:textId="77777777" w:rsidTr="00907941">
        <w:tc>
          <w:tcPr>
            <w:tcW w:w="5000" w:type="pct"/>
            <w:gridSpan w:val="11"/>
            <w:shd w:val="clear" w:color="auto" w:fill="auto"/>
          </w:tcPr>
          <w:p w14:paraId="74874060"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 xml:space="preserve">Explanation for ranking </w:t>
            </w:r>
          </w:p>
          <w:p w14:paraId="03BD899B"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This area comprises a transition from the subtropical ocean to the subpolar (subarctic) ocean. As such, this area features several well-defined water masses separated by well-defined fronts (Figure 2). Each water mass contains a distinct ecosystem, while fronts act as ecotones, ensuring the high diversity of ecosystems and habitats in this area (Read </w:t>
            </w:r>
            <w:r w:rsidRPr="00EC5399">
              <w:rPr>
                <w:rFonts w:eastAsia="MS Mincho"/>
                <w:i/>
                <w:color w:val="000000"/>
                <w:sz w:val="22"/>
                <w:szCs w:val="22"/>
                <w:lang w:val="en-US"/>
              </w:rPr>
              <w:t>et al</w:t>
            </w:r>
            <w:r w:rsidRPr="0021277B">
              <w:rPr>
                <w:rFonts w:eastAsia="MS Mincho"/>
                <w:color w:val="000000"/>
                <w:sz w:val="22"/>
                <w:szCs w:val="22"/>
                <w:lang w:val="en-US"/>
              </w:rPr>
              <w:t xml:space="preserve">. 2010; Miller </w:t>
            </w:r>
            <w:r w:rsidRPr="00EC5399">
              <w:rPr>
                <w:rFonts w:eastAsia="MS Mincho"/>
                <w:i/>
                <w:color w:val="000000"/>
                <w:sz w:val="22"/>
                <w:szCs w:val="22"/>
                <w:lang w:val="en-US"/>
              </w:rPr>
              <w:t>et al</w:t>
            </w:r>
            <w:r w:rsidRPr="0021277B">
              <w:rPr>
                <w:rFonts w:eastAsia="MS Mincho"/>
                <w:color w:val="000000"/>
                <w:sz w:val="22"/>
                <w:szCs w:val="22"/>
                <w:lang w:val="en-US"/>
              </w:rPr>
              <w:t>. 2013).</w:t>
            </w:r>
          </w:p>
          <w:p w14:paraId="1954B3FC" w14:textId="77777777"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 xml:space="preserve">Analyses of tracking data from over 2,000 individual seabirds indicate that the area is intensively used by 21 species (compiled by BirdLife International, 2019a; see also Figure 3): </w:t>
            </w:r>
          </w:p>
          <w:p w14:paraId="6189989F"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Arctic Tern </w:t>
            </w:r>
            <w:r w:rsidRPr="0021277B">
              <w:rPr>
                <w:rFonts w:eastAsia="MS Mincho"/>
                <w:i/>
                <w:iCs/>
                <w:color w:val="000000"/>
                <w:szCs w:val="22"/>
                <w:lang w:val="en-US"/>
              </w:rPr>
              <w:t>Sterna paradisaea</w:t>
            </w:r>
            <w:r w:rsidRPr="0021277B">
              <w:rPr>
                <w:rFonts w:eastAsia="MS Mincho"/>
                <w:color w:val="000000"/>
                <w:szCs w:val="22"/>
                <w:lang w:val="en-US"/>
              </w:rPr>
              <w:t xml:space="preserve"> (LC)</w:t>
            </w:r>
          </w:p>
          <w:p w14:paraId="76B0EFF0"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Atlantic Puffin </w:t>
            </w:r>
            <w:r w:rsidRPr="0021277B">
              <w:rPr>
                <w:rFonts w:eastAsia="MS Mincho"/>
                <w:i/>
                <w:iCs/>
                <w:color w:val="000000"/>
                <w:szCs w:val="22"/>
                <w:lang w:val="en-US"/>
              </w:rPr>
              <w:t>Fratercula arctica</w:t>
            </w:r>
            <w:r w:rsidRPr="0021277B">
              <w:rPr>
                <w:rFonts w:eastAsia="MS Mincho"/>
                <w:color w:val="000000"/>
                <w:szCs w:val="22"/>
                <w:lang w:val="en-US"/>
              </w:rPr>
              <w:t xml:space="preserve"> (VU)</w:t>
            </w:r>
          </w:p>
          <w:p w14:paraId="7CF1C4C4"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Audubon’s Shearwater </w:t>
            </w:r>
            <w:r w:rsidRPr="0021277B">
              <w:rPr>
                <w:rFonts w:eastAsia="MS Mincho"/>
                <w:i/>
                <w:iCs/>
                <w:color w:val="000000"/>
                <w:szCs w:val="22"/>
                <w:lang w:val="en-US"/>
              </w:rPr>
              <w:t xml:space="preserve">Puffinus lherminieri </w:t>
            </w:r>
            <w:r w:rsidRPr="0021277B">
              <w:rPr>
                <w:szCs w:val="22"/>
              </w:rPr>
              <w:t>(LC)</w:t>
            </w:r>
          </w:p>
          <w:p w14:paraId="621699B3"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pt-PT"/>
              </w:rPr>
            </w:pPr>
            <w:r w:rsidRPr="0021277B">
              <w:rPr>
                <w:rFonts w:eastAsia="MS Mincho"/>
                <w:color w:val="000000"/>
                <w:szCs w:val="22"/>
                <w:lang w:val="pt-PT"/>
              </w:rPr>
              <w:t xml:space="preserve">Bermuda Petrel </w:t>
            </w:r>
            <w:r w:rsidRPr="0021277B">
              <w:rPr>
                <w:rFonts w:eastAsia="MS Mincho"/>
                <w:i/>
                <w:iCs/>
                <w:color w:val="000000"/>
                <w:szCs w:val="22"/>
                <w:lang w:val="pt-PT"/>
              </w:rPr>
              <w:t>Pterodroma cahow</w:t>
            </w:r>
            <w:r w:rsidRPr="0021277B">
              <w:rPr>
                <w:rFonts w:eastAsia="MS Mincho"/>
                <w:color w:val="000000"/>
                <w:szCs w:val="22"/>
                <w:lang w:val="pt-PT"/>
              </w:rPr>
              <w:t xml:space="preserve"> (EN)</w:t>
            </w:r>
          </w:p>
          <w:p w14:paraId="181343AB"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Black-legged Kittiwake </w:t>
            </w:r>
            <w:r w:rsidRPr="0021277B">
              <w:rPr>
                <w:rFonts w:eastAsia="MS Mincho"/>
                <w:i/>
                <w:iCs/>
                <w:color w:val="000000"/>
                <w:szCs w:val="22"/>
                <w:lang w:val="en-US"/>
              </w:rPr>
              <w:t>Rissa tridactyla</w:t>
            </w:r>
            <w:r w:rsidRPr="0021277B">
              <w:rPr>
                <w:rFonts w:eastAsia="MS Mincho"/>
                <w:color w:val="000000"/>
                <w:szCs w:val="22"/>
                <w:lang w:val="en-US"/>
              </w:rPr>
              <w:t xml:space="preserve"> (VU)</w:t>
            </w:r>
          </w:p>
          <w:p w14:paraId="3617B038"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Bulwer’s Petrel </w:t>
            </w:r>
            <w:r w:rsidRPr="0021277B">
              <w:rPr>
                <w:rFonts w:eastAsia="MS Mincho"/>
                <w:i/>
                <w:iCs/>
                <w:color w:val="000000"/>
                <w:szCs w:val="22"/>
                <w:lang w:val="en-US"/>
              </w:rPr>
              <w:t>Bulweria bulwerii</w:t>
            </w:r>
            <w:r w:rsidRPr="0021277B">
              <w:rPr>
                <w:rFonts w:eastAsia="MS Mincho"/>
                <w:color w:val="000000"/>
                <w:szCs w:val="22"/>
                <w:lang w:val="en-US"/>
              </w:rPr>
              <w:t xml:space="preserve"> (LC)</w:t>
            </w:r>
          </w:p>
          <w:p w14:paraId="45D0178E"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Common Murre </w:t>
            </w:r>
            <w:r w:rsidRPr="0021277B">
              <w:rPr>
                <w:rFonts w:eastAsia="MS Mincho"/>
                <w:i/>
                <w:iCs/>
                <w:color w:val="000000"/>
                <w:szCs w:val="22"/>
                <w:lang w:val="en-US"/>
              </w:rPr>
              <w:t>Uria aalge</w:t>
            </w:r>
            <w:r w:rsidRPr="0021277B">
              <w:rPr>
                <w:rFonts w:eastAsia="MS Mincho"/>
                <w:color w:val="000000"/>
                <w:szCs w:val="22"/>
                <w:lang w:val="en-US"/>
              </w:rPr>
              <w:t xml:space="preserve"> (LC)</w:t>
            </w:r>
          </w:p>
          <w:p w14:paraId="5B2479CD"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Cory’s Shearwater </w:t>
            </w:r>
            <w:r w:rsidRPr="0021277B">
              <w:rPr>
                <w:rFonts w:eastAsia="MS Mincho"/>
                <w:i/>
                <w:iCs/>
                <w:color w:val="000000"/>
                <w:szCs w:val="22"/>
                <w:lang w:val="en-US"/>
              </w:rPr>
              <w:t>Calonectris borealis</w:t>
            </w:r>
            <w:r w:rsidRPr="0021277B">
              <w:rPr>
                <w:rFonts w:eastAsia="MS Mincho"/>
                <w:color w:val="000000"/>
                <w:szCs w:val="22"/>
                <w:lang w:val="en-US"/>
              </w:rPr>
              <w:t xml:space="preserve"> (LC)</w:t>
            </w:r>
          </w:p>
          <w:p w14:paraId="216197CC"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pt-PT"/>
              </w:rPr>
            </w:pPr>
            <w:r w:rsidRPr="0021277B">
              <w:rPr>
                <w:rFonts w:eastAsia="MS Mincho"/>
                <w:color w:val="000000"/>
                <w:szCs w:val="22"/>
                <w:lang w:val="pt-PT"/>
              </w:rPr>
              <w:t xml:space="preserve">Desertas Petrel </w:t>
            </w:r>
            <w:r w:rsidRPr="0021277B">
              <w:rPr>
                <w:rFonts w:eastAsia="MS Mincho"/>
                <w:i/>
                <w:iCs/>
                <w:color w:val="000000"/>
                <w:szCs w:val="22"/>
                <w:lang w:val="pt-PT"/>
              </w:rPr>
              <w:t>Pterodroma deserta</w:t>
            </w:r>
            <w:r w:rsidRPr="0021277B">
              <w:rPr>
                <w:rFonts w:eastAsia="MS Mincho"/>
                <w:color w:val="000000"/>
                <w:szCs w:val="22"/>
                <w:lang w:val="pt-PT"/>
              </w:rPr>
              <w:t xml:space="preserve"> (VU)</w:t>
            </w:r>
          </w:p>
          <w:p w14:paraId="38093D49"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Great Shearwater </w:t>
            </w:r>
            <w:r w:rsidRPr="0021277B">
              <w:rPr>
                <w:rFonts w:eastAsia="MS Mincho"/>
                <w:i/>
                <w:iCs/>
                <w:color w:val="000000"/>
                <w:szCs w:val="22"/>
                <w:lang w:val="en-US"/>
              </w:rPr>
              <w:t>Ardenna gravis</w:t>
            </w:r>
            <w:r w:rsidRPr="0021277B">
              <w:rPr>
                <w:rFonts w:eastAsia="MS Mincho"/>
                <w:color w:val="000000"/>
                <w:szCs w:val="22"/>
                <w:lang w:val="en-US"/>
              </w:rPr>
              <w:t xml:space="preserve"> (LC)</w:t>
            </w:r>
          </w:p>
          <w:p w14:paraId="5580DAA2"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Great Skua </w:t>
            </w:r>
            <w:r w:rsidRPr="0021277B">
              <w:rPr>
                <w:rFonts w:eastAsia="MS Mincho"/>
                <w:i/>
                <w:iCs/>
                <w:color w:val="000000"/>
                <w:szCs w:val="22"/>
                <w:lang w:val="en-US"/>
              </w:rPr>
              <w:t>Catharacta skua</w:t>
            </w:r>
            <w:r w:rsidRPr="0021277B">
              <w:rPr>
                <w:rFonts w:eastAsia="MS Mincho"/>
                <w:color w:val="000000"/>
                <w:szCs w:val="22"/>
                <w:lang w:val="en-US"/>
              </w:rPr>
              <w:t xml:space="preserve"> (LC)</w:t>
            </w:r>
          </w:p>
          <w:p w14:paraId="4B504CC5"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Little Auk </w:t>
            </w:r>
            <w:r w:rsidRPr="0021277B">
              <w:rPr>
                <w:rFonts w:eastAsia="MS Mincho"/>
                <w:i/>
                <w:iCs/>
                <w:color w:val="000000"/>
                <w:szCs w:val="22"/>
                <w:lang w:val="en-US"/>
              </w:rPr>
              <w:t>Alle alle</w:t>
            </w:r>
            <w:r w:rsidRPr="0021277B">
              <w:rPr>
                <w:rFonts w:eastAsia="MS Mincho"/>
                <w:color w:val="000000"/>
                <w:szCs w:val="22"/>
                <w:lang w:val="en-US"/>
              </w:rPr>
              <w:t xml:space="preserve"> (LC)</w:t>
            </w:r>
          </w:p>
          <w:p w14:paraId="629E0C30"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Long-tailed Jaeger </w:t>
            </w:r>
            <w:r w:rsidRPr="0021277B">
              <w:rPr>
                <w:rFonts w:eastAsia="MS Mincho"/>
                <w:i/>
                <w:iCs/>
                <w:color w:val="000000"/>
                <w:szCs w:val="22"/>
                <w:lang w:val="en-US"/>
              </w:rPr>
              <w:t>Stercorarius longicaudus</w:t>
            </w:r>
            <w:r w:rsidRPr="0021277B">
              <w:rPr>
                <w:rFonts w:eastAsia="MS Mincho"/>
                <w:color w:val="000000"/>
                <w:szCs w:val="22"/>
                <w:lang w:val="en-US"/>
              </w:rPr>
              <w:t xml:space="preserve"> (LC)</w:t>
            </w:r>
          </w:p>
          <w:p w14:paraId="6446797B"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Manx Shearwater </w:t>
            </w:r>
            <w:r w:rsidRPr="0021277B">
              <w:rPr>
                <w:rFonts w:eastAsia="MS Mincho"/>
                <w:i/>
                <w:iCs/>
                <w:color w:val="000000"/>
                <w:szCs w:val="22"/>
                <w:lang w:val="en-US"/>
              </w:rPr>
              <w:t>Puffinus puffinus</w:t>
            </w:r>
            <w:r w:rsidRPr="0021277B">
              <w:rPr>
                <w:rFonts w:eastAsia="MS Mincho"/>
                <w:color w:val="000000"/>
                <w:szCs w:val="22"/>
                <w:lang w:val="en-US"/>
              </w:rPr>
              <w:t xml:space="preserve"> (LC)</w:t>
            </w:r>
          </w:p>
          <w:p w14:paraId="7EAF6109"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Northern Fulmar </w:t>
            </w:r>
            <w:r w:rsidRPr="0021277B">
              <w:rPr>
                <w:rFonts w:eastAsia="MS Mincho"/>
                <w:i/>
                <w:iCs/>
                <w:color w:val="000000"/>
                <w:szCs w:val="22"/>
                <w:lang w:val="en-US"/>
              </w:rPr>
              <w:t>Fulmarus glacialis</w:t>
            </w:r>
            <w:r w:rsidRPr="0021277B">
              <w:rPr>
                <w:rFonts w:eastAsia="MS Mincho"/>
                <w:color w:val="000000"/>
                <w:szCs w:val="22"/>
                <w:lang w:val="en-US"/>
              </w:rPr>
              <w:t xml:space="preserve"> (LC)</w:t>
            </w:r>
          </w:p>
          <w:p w14:paraId="292A920E"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Razorbill </w:t>
            </w:r>
            <w:r w:rsidRPr="0021277B">
              <w:rPr>
                <w:rFonts w:eastAsia="MS Mincho"/>
                <w:i/>
                <w:iCs/>
                <w:color w:val="000000"/>
                <w:szCs w:val="22"/>
                <w:lang w:val="en-US"/>
              </w:rPr>
              <w:t>Alca torda</w:t>
            </w:r>
            <w:r w:rsidRPr="0021277B">
              <w:rPr>
                <w:rFonts w:eastAsia="MS Mincho"/>
                <w:color w:val="000000"/>
                <w:szCs w:val="22"/>
                <w:lang w:val="en-US"/>
              </w:rPr>
              <w:t xml:space="preserve"> (NT)</w:t>
            </w:r>
          </w:p>
          <w:p w14:paraId="6131D942"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pt-PT"/>
              </w:rPr>
            </w:pPr>
            <w:r w:rsidRPr="0021277B">
              <w:rPr>
                <w:rFonts w:eastAsia="MS Mincho"/>
                <w:color w:val="000000"/>
                <w:szCs w:val="22"/>
                <w:lang w:val="pt-PT"/>
              </w:rPr>
              <w:t xml:space="preserve">Sabine’s Gull </w:t>
            </w:r>
            <w:r w:rsidRPr="0021277B">
              <w:rPr>
                <w:rFonts w:eastAsia="MS Mincho"/>
                <w:i/>
                <w:iCs/>
                <w:color w:val="000000"/>
                <w:szCs w:val="22"/>
                <w:lang w:val="pt-PT"/>
              </w:rPr>
              <w:t>Xema sabini</w:t>
            </w:r>
            <w:r w:rsidRPr="0021277B">
              <w:rPr>
                <w:rFonts w:eastAsia="MS Mincho"/>
                <w:color w:val="000000"/>
                <w:szCs w:val="22"/>
                <w:lang w:val="pt-PT"/>
              </w:rPr>
              <w:t xml:space="preserve"> (LC)</w:t>
            </w:r>
          </w:p>
          <w:p w14:paraId="50689F54"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Sooty Shearwater </w:t>
            </w:r>
            <w:r w:rsidRPr="0021277B">
              <w:rPr>
                <w:rFonts w:eastAsia="MS Mincho"/>
                <w:i/>
                <w:iCs/>
                <w:color w:val="000000"/>
                <w:szCs w:val="22"/>
                <w:lang w:val="en-US"/>
              </w:rPr>
              <w:t>Ardenna grisea</w:t>
            </w:r>
            <w:r w:rsidRPr="0021277B">
              <w:rPr>
                <w:rFonts w:eastAsia="MS Mincho"/>
                <w:color w:val="000000"/>
                <w:szCs w:val="22"/>
                <w:lang w:val="en-US"/>
              </w:rPr>
              <w:t xml:space="preserve"> (NT)</w:t>
            </w:r>
          </w:p>
          <w:p w14:paraId="58B53800"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South Polar Skua </w:t>
            </w:r>
            <w:r w:rsidRPr="0021277B">
              <w:rPr>
                <w:rFonts w:eastAsia="MS Mincho"/>
                <w:i/>
                <w:iCs/>
                <w:color w:val="000000"/>
                <w:szCs w:val="22"/>
                <w:lang w:val="en-US"/>
              </w:rPr>
              <w:t>Catharacta maccormicki</w:t>
            </w:r>
            <w:r w:rsidRPr="0021277B">
              <w:rPr>
                <w:rFonts w:eastAsia="MS Mincho"/>
                <w:color w:val="000000"/>
                <w:szCs w:val="22"/>
                <w:lang w:val="en-US"/>
              </w:rPr>
              <w:t xml:space="preserve"> (LC)</w:t>
            </w:r>
          </w:p>
          <w:p w14:paraId="3B3233B6"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en-US"/>
              </w:rPr>
            </w:pPr>
            <w:r w:rsidRPr="0021277B">
              <w:rPr>
                <w:rFonts w:eastAsia="MS Mincho"/>
                <w:color w:val="000000"/>
                <w:szCs w:val="22"/>
                <w:lang w:val="en-US"/>
              </w:rPr>
              <w:t xml:space="preserve">Thick-billed Murre </w:t>
            </w:r>
            <w:r w:rsidRPr="0021277B">
              <w:rPr>
                <w:rFonts w:eastAsia="MS Mincho"/>
                <w:i/>
                <w:iCs/>
                <w:color w:val="000000"/>
                <w:szCs w:val="22"/>
                <w:lang w:val="en-US"/>
              </w:rPr>
              <w:t>Uria lomvia</w:t>
            </w:r>
            <w:r w:rsidRPr="0021277B">
              <w:rPr>
                <w:rFonts w:eastAsia="MS Mincho"/>
                <w:color w:val="000000"/>
                <w:szCs w:val="22"/>
                <w:lang w:val="en-US"/>
              </w:rPr>
              <w:t xml:space="preserve"> (LC)</w:t>
            </w:r>
          </w:p>
          <w:p w14:paraId="0FF6B38C" w14:textId="77777777" w:rsidR="006B3F46" w:rsidRPr="0021277B" w:rsidRDefault="006B3F46" w:rsidP="006B3F46">
            <w:pPr>
              <w:pStyle w:val="ListParagraph"/>
              <w:widowControl w:val="0"/>
              <w:numPr>
                <w:ilvl w:val="0"/>
                <w:numId w:val="44"/>
              </w:numPr>
              <w:autoSpaceDE w:val="0"/>
              <w:autoSpaceDN w:val="0"/>
              <w:adjustRightInd w:val="0"/>
              <w:ind w:leftChars="0"/>
              <w:contextualSpacing/>
              <w:jc w:val="left"/>
              <w:rPr>
                <w:rFonts w:eastAsia="MS Mincho"/>
                <w:color w:val="000000"/>
                <w:szCs w:val="22"/>
                <w:lang w:val="pt-PT"/>
              </w:rPr>
            </w:pPr>
            <w:r w:rsidRPr="0021277B">
              <w:rPr>
                <w:rFonts w:eastAsia="MS Mincho"/>
                <w:color w:val="000000"/>
                <w:szCs w:val="22"/>
                <w:lang w:val="pt-PT"/>
              </w:rPr>
              <w:t xml:space="preserve">Zino’s Petrel </w:t>
            </w:r>
            <w:r w:rsidRPr="0021277B">
              <w:rPr>
                <w:rFonts w:eastAsia="MS Mincho"/>
                <w:i/>
                <w:iCs/>
                <w:color w:val="000000"/>
                <w:szCs w:val="22"/>
                <w:lang w:val="pt-PT"/>
              </w:rPr>
              <w:t>Pterodroma madeira</w:t>
            </w:r>
            <w:r w:rsidRPr="0021277B">
              <w:rPr>
                <w:rFonts w:eastAsia="MS Mincho"/>
                <w:color w:val="000000"/>
                <w:szCs w:val="22"/>
                <w:lang w:val="pt-PT"/>
              </w:rPr>
              <w:t xml:space="preserve"> (EN)</w:t>
            </w:r>
          </w:p>
          <w:p w14:paraId="0652C0F4" w14:textId="77777777" w:rsidR="006B3F46" w:rsidRPr="0021277B" w:rsidRDefault="006B3F46" w:rsidP="00907941">
            <w:pPr>
              <w:widowControl w:val="0"/>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At-sea surveys confirmed the use of the area by </w:t>
            </w:r>
            <w:r>
              <w:rPr>
                <w:rFonts w:eastAsia="MS Mincho"/>
                <w:bCs/>
                <w:color w:val="000000"/>
                <w:sz w:val="22"/>
                <w:szCs w:val="22"/>
              </w:rPr>
              <w:t xml:space="preserve">five </w:t>
            </w:r>
            <w:r w:rsidRPr="0021277B">
              <w:rPr>
                <w:rFonts w:eastAsia="MS Mincho"/>
                <w:bCs/>
                <w:color w:val="000000"/>
                <w:sz w:val="22"/>
                <w:szCs w:val="22"/>
              </w:rPr>
              <w:t xml:space="preserve">additional species (Wakefield </w:t>
            </w:r>
            <w:r w:rsidRPr="0006066A">
              <w:rPr>
                <w:rFonts w:eastAsia="MS Mincho"/>
                <w:bCs/>
                <w:i/>
                <w:color w:val="000000"/>
                <w:sz w:val="22"/>
                <w:szCs w:val="22"/>
              </w:rPr>
              <w:t>et al</w:t>
            </w:r>
            <w:r w:rsidRPr="0021277B">
              <w:rPr>
                <w:rFonts w:eastAsia="MS Mincho"/>
                <w:bCs/>
                <w:color w:val="000000"/>
                <w:sz w:val="22"/>
                <w:szCs w:val="22"/>
              </w:rPr>
              <w:t>. 2018):</w:t>
            </w:r>
          </w:p>
          <w:p w14:paraId="2FC101DF" w14:textId="77777777" w:rsidR="006B3F46" w:rsidRPr="0021277B" w:rsidRDefault="006B3F46" w:rsidP="006B3F46">
            <w:pPr>
              <w:widowControl w:val="0"/>
              <w:numPr>
                <w:ilvl w:val="0"/>
                <w:numId w:val="46"/>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Great Black-backed Gull, </w:t>
            </w:r>
            <w:r w:rsidRPr="0021277B">
              <w:rPr>
                <w:rFonts w:eastAsia="MS Mincho"/>
                <w:bCs/>
                <w:i/>
                <w:color w:val="000000"/>
                <w:sz w:val="22"/>
                <w:szCs w:val="22"/>
              </w:rPr>
              <w:t>Larus marinus</w:t>
            </w:r>
            <w:r w:rsidRPr="0021277B">
              <w:rPr>
                <w:rFonts w:eastAsia="MS Mincho"/>
                <w:bCs/>
                <w:color w:val="000000"/>
                <w:sz w:val="22"/>
                <w:szCs w:val="22"/>
              </w:rPr>
              <w:t xml:space="preserve"> (LC)</w:t>
            </w:r>
          </w:p>
          <w:p w14:paraId="1A718874" w14:textId="77777777" w:rsidR="006B3F46" w:rsidRPr="0021277B" w:rsidRDefault="006B3F46" w:rsidP="006B3F46">
            <w:pPr>
              <w:widowControl w:val="0"/>
              <w:numPr>
                <w:ilvl w:val="0"/>
                <w:numId w:val="46"/>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Leach’s Storm Petrel, </w:t>
            </w:r>
            <w:r w:rsidRPr="0021277B">
              <w:rPr>
                <w:rFonts w:eastAsia="MS Mincho"/>
                <w:bCs/>
                <w:i/>
                <w:color w:val="000000"/>
                <w:sz w:val="22"/>
                <w:szCs w:val="22"/>
              </w:rPr>
              <w:t>Hydrobates leucorhous</w:t>
            </w:r>
            <w:r w:rsidRPr="0021277B">
              <w:rPr>
                <w:rFonts w:eastAsia="MS Mincho"/>
                <w:bCs/>
                <w:color w:val="000000"/>
                <w:sz w:val="22"/>
                <w:szCs w:val="22"/>
              </w:rPr>
              <w:t xml:space="preserve"> (VU)</w:t>
            </w:r>
          </w:p>
          <w:p w14:paraId="108C85B6" w14:textId="77777777" w:rsidR="006B3F46" w:rsidRPr="0021277B" w:rsidRDefault="006B3F46" w:rsidP="006B3F46">
            <w:pPr>
              <w:widowControl w:val="0"/>
              <w:numPr>
                <w:ilvl w:val="0"/>
                <w:numId w:val="46"/>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Northern Gannet, </w:t>
            </w:r>
            <w:r w:rsidRPr="0021277B">
              <w:rPr>
                <w:rFonts w:eastAsia="MS Mincho"/>
                <w:bCs/>
                <w:i/>
                <w:color w:val="000000"/>
                <w:sz w:val="22"/>
                <w:szCs w:val="22"/>
              </w:rPr>
              <w:t>Morus bassanus</w:t>
            </w:r>
            <w:r w:rsidRPr="0021277B">
              <w:rPr>
                <w:rFonts w:eastAsia="MS Mincho"/>
                <w:bCs/>
                <w:color w:val="000000"/>
                <w:sz w:val="22"/>
                <w:szCs w:val="22"/>
              </w:rPr>
              <w:t xml:space="preserve"> (LC)</w:t>
            </w:r>
          </w:p>
          <w:p w14:paraId="79F25A1A" w14:textId="77777777" w:rsidR="006B3F46" w:rsidRPr="0021277B" w:rsidRDefault="006B3F46" w:rsidP="006B3F46">
            <w:pPr>
              <w:widowControl w:val="0"/>
              <w:numPr>
                <w:ilvl w:val="0"/>
                <w:numId w:val="46"/>
              </w:numPr>
              <w:autoSpaceDE w:val="0"/>
              <w:autoSpaceDN w:val="0"/>
              <w:adjustRightInd w:val="0"/>
              <w:jc w:val="both"/>
              <w:rPr>
                <w:rFonts w:eastAsia="MS Mincho"/>
                <w:bCs/>
                <w:color w:val="000000"/>
                <w:sz w:val="22"/>
                <w:szCs w:val="22"/>
                <w:lang w:val="pt-PT"/>
              </w:rPr>
            </w:pPr>
            <w:r w:rsidRPr="0021277B">
              <w:rPr>
                <w:rFonts w:eastAsia="MS Mincho"/>
                <w:bCs/>
                <w:color w:val="000000"/>
                <w:sz w:val="22"/>
                <w:szCs w:val="22"/>
                <w:lang w:val="pt-PT"/>
              </w:rPr>
              <w:t xml:space="preserve">Pomarine Jaegar, </w:t>
            </w:r>
            <w:r w:rsidRPr="0021277B">
              <w:rPr>
                <w:rFonts w:eastAsia="MS Mincho"/>
                <w:bCs/>
                <w:i/>
                <w:color w:val="000000"/>
                <w:sz w:val="22"/>
                <w:szCs w:val="22"/>
                <w:lang w:val="pt-PT"/>
              </w:rPr>
              <w:t>Stercorarius pomarinus</w:t>
            </w:r>
            <w:r w:rsidRPr="0021277B">
              <w:rPr>
                <w:rFonts w:eastAsia="MS Mincho"/>
                <w:bCs/>
                <w:color w:val="000000"/>
                <w:sz w:val="22"/>
                <w:szCs w:val="22"/>
                <w:lang w:val="pt-PT"/>
              </w:rPr>
              <w:t xml:space="preserve"> (LC)</w:t>
            </w:r>
          </w:p>
          <w:p w14:paraId="6177801E" w14:textId="77777777" w:rsidR="006B3F46" w:rsidRPr="0021277B" w:rsidRDefault="006B3F46" w:rsidP="006B3F46">
            <w:pPr>
              <w:widowControl w:val="0"/>
              <w:numPr>
                <w:ilvl w:val="0"/>
                <w:numId w:val="46"/>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Wilson’s storm petrel, </w:t>
            </w:r>
            <w:r w:rsidRPr="0021277B">
              <w:rPr>
                <w:rFonts w:eastAsia="MS Mincho"/>
                <w:bCs/>
                <w:i/>
                <w:color w:val="000000"/>
                <w:sz w:val="22"/>
                <w:szCs w:val="22"/>
              </w:rPr>
              <w:t>Oceanites oceanicus</w:t>
            </w:r>
            <w:r w:rsidRPr="0021277B">
              <w:rPr>
                <w:rFonts w:eastAsia="MS Mincho"/>
                <w:bCs/>
                <w:color w:val="000000"/>
                <w:sz w:val="22"/>
                <w:szCs w:val="22"/>
              </w:rPr>
              <w:t xml:space="preserve"> (LC)</w:t>
            </w:r>
          </w:p>
          <w:p w14:paraId="407AF5A9" w14:textId="77777777" w:rsidR="006B3F46" w:rsidRPr="0021277B" w:rsidRDefault="006B3F46" w:rsidP="00907941">
            <w:pPr>
              <w:widowControl w:val="0"/>
              <w:autoSpaceDE w:val="0"/>
              <w:autoSpaceDN w:val="0"/>
              <w:adjustRightInd w:val="0"/>
              <w:jc w:val="both"/>
              <w:rPr>
                <w:rFonts w:eastAsia="MS Mincho"/>
                <w:bCs/>
                <w:color w:val="000000"/>
                <w:sz w:val="22"/>
                <w:szCs w:val="22"/>
              </w:rPr>
            </w:pPr>
          </w:p>
          <w:p w14:paraId="482F2A69" w14:textId="77777777" w:rsidR="006B3F46" w:rsidRPr="0021277B" w:rsidRDefault="006B3F46" w:rsidP="00907941">
            <w:pPr>
              <w:widowControl w:val="0"/>
              <w:autoSpaceDE w:val="0"/>
              <w:autoSpaceDN w:val="0"/>
              <w:adjustRightInd w:val="0"/>
              <w:jc w:val="both"/>
              <w:rPr>
                <w:rFonts w:eastAsia="MS Mincho"/>
                <w:bCs/>
                <w:color w:val="000000"/>
                <w:sz w:val="22"/>
                <w:szCs w:val="22"/>
              </w:rPr>
            </w:pPr>
            <w:r w:rsidRPr="0021277B">
              <w:rPr>
                <w:rFonts w:eastAsia="MS Mincho"/>
                <w:bCs/>
                <w:color w:val="000000"/>
                <w:sz w:val="22"/>
                <w:szCs w:val="22"/>
              </w:rPr>
              <w:t>There is also evidence of the use of the area by other species of marine megafauna (</w:t>
            </w:r>
            <w:r w:rsidRPr="0021277B">
              <w:rPr>
                <w:sz w:val="22"/>
                <w:szCs w:val="22"/>
              </w:rPr>
              <w:t xml:space="preserve">Waring </w:t>
            </w:r>
            <w:r w:rsidRPr="0006066A">
              <w:rPr>
                <w:i/>
                <w:sz w:val="22"/>
                <w:szCs w:val="22"/>
              </w:rPr>
              <w:t>et al</w:t>
            </w:r>
            <w:r w:rsidRPr="0021277B">
              <w:rPr>
                <w:sz w:val="22"/>
                <w:szCs w:val="22"/>
              </w:rPr>
              <w:t xml:space="preserve">. 2009; Olsen </w:t>
            </w:r>
            <w:r w:rsidRPr="0006066A">
              <w:rPr>
                <w:i/>
                <w:sz w:val="22"/>
                <w:szCs w:val="22"/>
              </w:rPr>
              <w:t>et al</w:t>
            </w:r>
            <w:r w:rsidRPr="0021277B">
              <w:rPr>
                <w:sz w:val="22"/>
                <w:szCs w:val="22"/>
              </w:rPr>
              <w:t xml:space="preserve">. 2009, Silva </w:t>
            </w:r>
            <w:r w:rsidRPr="0006066A">
              <w:rPr>
                <w:i/>
                <w:sz w:val="22"/>
                <w:szCs w:val="22"/>
              </w:rPr>
              <w:t>et al</w:t>
            </w:r>
            <w:r w:rsidRPr="0021277B">
              <w:rPr>
                <w:sz w:val="22"/>
                <w:szCs w:val="22"/>
              </w:rPr>
              <w:t xml:space="preserve">. 2013; Prieto </w:t>
            </w:r>
            <w:r w:rsidRPr="0006066A">
              <w:rPr>
                <w:i/>
                <w:sz w:val="22"/>
                <w:szCs w:val="22"/>
              </w:rPr>
              <w:t>et al</w:t>
            </w:r>
            <w:r w:rsidRPr="0021277B">
              <w:rPr>
                <w:sz w:val="22"/>
                <w:szCs w:val="22"/>
              </w:rPr>
              <w:t>. 2014;</w:t>
            </w:r>
            <w:r w:rsidRPr="0021277B">
              <w:rPr>
                <w:rFonts w:eastAsia="MS Mincho"/>
                <w:bCs/>
                <w:color w:val="000000"/>
                <w:sz w:val="22"/>
                <w:szCs w:val="22"/>
              </w:rPr>
              <w:t xml:space="preserve"> Wakefield </w:t>
            </w:r>
            <w:r w:rsidRPr="0006066A">
              <w:rPr>
                <w:rFonts w:eastAsia="MS Mincho"/>
                <w:bCs/>
                <w:i/>
                <w:color w:val="000000"/>
                <w:sz w:val="22"/>
                <w:szCs w:val="22"/>
              </w:rPr>
              <w:t>et al</w:t>
            </w:r>
            <w:r w:rsidRPr="0021277B">
              <w:rPr>
                <w:rFonts w:eastAsia="MS Mincho"/>
                <w:bCs/>
                <w:color w:val="000000"/>
                <w:sz w:val="22"/>
                <w:szCs w:val="22"/>
              </w:rPr>
              <w:t xml:space="preserve">. 2018): </w:t>
            </w:r>
          </w:p>
          <w:p w14:paraId="547AEC10"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Blue Whale, </w:t>
            </w:r>
            <w:r w:rsidRPr="0021277B">
              <w:rPr>
                <w:rFonts w:eastAsia="MS Mincho"/>
                <w:bCs/>
                <w:i/>
                <w:color w:val="000000"/>
                <w:sz w:val="22"/>
                <w:szCs w:val="22"/>
              </w:rPr>
              <w:t>Balaenoptera musculus</w:t>
            </w:r>
            <w:r w:rsidRPr="0021277B">
              <w:rPr>
                <w:rFonts w:eastAsia="MS Mincho"/>
                <w:bCs/>
                <w:color w:val="000000"/>
                <w:sz w:val="22"/>
                <w:szCs w:val="22"/>
              </w:rPr>
              <w:t xml:space="preserve"> (EN)</w:t>
            </w:r>
          </w:p>
          <w:p w14:paraId="0ABF0D90"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lang w:val="fr-CA"/>
              </w:rPr>
            </w:pPr>
            <w:r w:rsidRPr="0021277B">
              <w:rPr>
                <w:rFonts w:eastAsia="MS Mincho"/>
                <w:bCs/>
                <w:color w:val="000000"/>
                <w:sz w:val="22"/>
                <w:szCs w:val="22"/>
                <w:lang w:val="fr-CA"/>
              </w:rPr>
              <w:t xml:space="preserve">Fin Whale, </w:t>
            </w:r>
            <w:r w:rsidRPr="0021277B">
              <w:rPr>
                <w:rFonts w:eastAsia="MS Mincho"/>
                <w:bCs/>
                <w:i/>
                <w:color w:val="000000"/>
                <w:sz w:val="22"/>
                <w:szCs w:val="22"/>
                <w:lang w:val="fr-CA"/>
              </w:rPr>
              <w:t>Balaenoptera physalus</w:t>
            </w:r>
            <w:r w:rsidRPr="0021277B">
              <w:rPr>
                <w:rFonts w:eastAsia="MS Mincho"/>
                <w:bCs/>
                <w:color w:val="000000"/>
                <w:sz w:val="22"/>
                <w:szCs w:val="22"/>
                <w:lang w:val="fr-CA"/>
              </w:rPr>
              <w:t xml:space="preserve"> (EN)</w:t>
            </w:r>
          </w:p>
          <w:p w14:paraId="5E78086E"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lang w:val="fr-CA"/>
              </w:rPr>
            </w:pPr>
            <w:r w:rsidRPr="0021277B">
              <w:rPr>
                <w:rFonts w:eastAsia="MS Mincho"/>
                <w:bCs/>
                <w:color w:val="000000"/>
                <w:sz w:val="22"/>
                <w:szCs w:val="22"/>
                <w:lang w:val="fr-CA"/>
              </w:rPr>
              <w:t xml:space="preserve">Sei Whale, </w:t>
            </w:r>
            <w:r w:rsidRPr="0021277B">
              <w:rPr>
                <w:rFonts w:eastAsia="MS Mincho"/>
                <w:bCs/>
                <w:i/>
                <w:color w:val="000000"/>
                <w:sz w:val="22"/>
                <w:szCs w:val="22"/>
                <w:lang w:val="fr-CA"/>
              </w:rPr>
              <w:t>Balaenoptera borealis</w:t>
            </w:r>
            <w:r w:rsidRPr="0021277B">
              <w:rPr>
                <w:rFonts w:eastAsia="MS Mincho"/>
                <w:bCs/>
                <w:color w:val="000000"/>
                <w:sz w:val="22"/>
                <w:szCs w:val="22"/>
                <w:lang w:val="fr-CA"/>
              </w:rPr>
              <w:t xml:space="preserve">  (EN)</w:t>
            </w:r>
          </w:p>
          <w:p w14:paraId="3DE849DD"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Humpback Whale, </w:t>
            </w:r>
            <w:r w:rsidRPr="0021277B">
              <w:rPr>
                <w:rFonts w:eastAsia="MS Mincho"/>
                <w:bCs/>
                <w:i/>
                <w:color w:val="000000"/>
                <w:sz w:val="22"/>
                <w:szCs w:val="22"/>
              </w:rPr>
              <w:t>Megaptera novaeangliae</w:t>
            </w:r>
            <w:r w:rsidRPr="0021277B">
              <w:rPr>
                <w:rFonts w:eastAsia="MS Mincho"/>
                <w:bCs/>
                <w:color w:val="000000"/>
                <w:sz w:val="22"/>
                <w:szCs w:val="22"/>
              </w:rPr>
              <w:t xml:space="preserve"> (LC)</w:t>
            </w:r>
          </w:p>
          <w:p w14:paraId="13667E53"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Sperm Whale, </w:t>
            </w:r>
            <w:r w:rsidRPr="0021277B">
              <w:rPr>
                <w:rFonts w:eastAsia="MS Mincho"/>
                <w:bCs/>
                <w:i/>
                <w:color w:val="000000"/>
                <w:sz w:val="22"/>
                <w:szCs w:val="22"/>
              </w:rPr>
              <w:t>Physeter macrocephalus</w:t>
            </w:r>
            <w:r w:rsidRPr="0021277B">
              <w:rPr>
                <w:rFonts w:eastAsia="MS Mincho"/>
                <w:bCs/>
                <w:color w:val="000000"/>
                <w:sz w:val="22"/>
                <w:szCs w:val="22"/>
              </w:rPr>
              <w:t xml:space="preserve"> (VU)</w:t>
            </w:r>
          </w:p>
          <w:p w14:paraId="5E09043A"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Pilot Whales, </w:t>
            </w:r>
            <w:r w:rsidRPr="0021277B">
              <w:rPr>
                <w:rFonts w:eastAsia="MS Mincho"/>
                <w:bCs/>
                <w:i/>
                <w:color w:val="000000"/>
                <w:sz w:val="22"/>
                <w:szCs w:val="22"/>
              </w:rPr>
              <w:t>Globicephala spp</w:t>
            </w:r>
            <w:r w:rsidRPr="0021277B">
              <w:rPr>
                <w:rFonts w:eastAsia="MS Mincho"/>
                <w:bCs/>
                <w:color w:val="000000"/>
                <w:sz w:val="22"/>
                <w:szCs w:val="22"/>
              </w:rPr>
              <w:t xml:space="preserve"> (DD)</w:t>
            </w:r>
          </w:p>
          <w:p w14:paraId="1AF40941"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Killer Whale, Orcinus orca (DD)</w:t>
            </w:r>
          </w:p>
          <w:p w14:paraId="1F13B079"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Short-beaked Common Dolphin, </w:t>
            </w:r>
            <w:r w:rsidRPr="0021277B">
              <w:rPr>
                <w:rFonts w:eastAsia="MS Mincho"/>
                <w:bCs/>
                <w:i/>
                <w:color w:val="000000"/>
                <w:sz w:val="22"/>
                <w:szCs w:val="22"/>
              </w:rPr>
              <w:t>Delphinus delphis</w:t>
            </w:r>
            <w:r w:rsidRPr="0021277B">
              <w:rPr>
                <w:rFonts w:eastAsia="MS Mincho"/>
                <w:bCs/>
                <w:color w:val="000000"/>
                <w:sz w:val="22"/>
                <w:szCs w:val="22"/>
              </w:rPr>
              <w:t xml:space="preserve"> (LC)</w:t>
            </w:r>
          </w:p>
          <w:p w14:paraId="5165CBBA"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Risso’s Dolphin, </w:t>
            </w:r>
            <w:r w:rsidRPr="0021277B">
              <w:rPr>
                <w:rFonts w:eastAsia="MS Mincho"/>
                <w:bCs/>
                <w:i/>
                <w:color w:val="000000"/>
                <w:sz w:val="22"/>
                <w:szCs w:val="22"/>
              </w:rPr>
              <w:t>Grampus griseus</w:t>
            </w:r>
            <w:r w:rsidRPr="0021277B">
              <w:rPr>
                <w:rFonts w:eastAsia="MS Mincho"/>
                <w:bCs/>
                <w:color w:val="000000"/>
                <w:sz w:val="22"/>
                <w:szCs w:val="22"/>
              </w:rPr>
              <w:t xml:space="preserve"> (LC)</w:t>
            </w:r>
          </w:p>
          <w:p w14:paraId="49457A22"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White-sided Dolphin, </w:t>
            </w:r>
            <w:r w:rsidRPr="0021277B">
              <w:rPr>
                <w:rFonts w:eastAsia="MS Mincho"/>
                <w:bCs/>
                <w:i/>
                <w:color w:val="000000"/>
                <w:sz w:val="22"/>
                <w:szCs w:val="22"/>
              </w:rPr>
              <w:t>Lagenorhynchus acutus</w:t>
            </w:r>
            <w:r w:rsidRPr="0021277B">
              <w:rPr>
                <w:rFonts w:eastAsia="MS Mincho"/>
                <w:bCs/>
                <w:color w:val="000000"/>
                <w:sz w:val="22"/>
                <w:szCs w:val="22"/>
              </w:rPr>
              <w:t xml:space="preserve"> (LC)</w:t>
            </w:r>
          </w:p>
          <w:p w14:paraId="096B42D8"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Beaked Whales </w:t>
            </w:r>
            <w:r w:rsidRPr="0021277B">
              <w:rPr>
                <w:rFonts w:eastAsia="MS Mincho"/>
                <w:bCs/>
                <w:i/>
                <w:color w:val="000000"/>
                <w:sz w:val="22"/>
                <w:szCs w:val="22"/>
              </w:rPr>
              <w:t>Mesoplodon spp</w:t>
            </w:r>
          </w:p>
          <w:p w14:paraId="72F01FCC"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Striped Dolphin, </w:t>
            </w:r>
            <w:r w:rsidRPr="0021277B">
              <w:rPr>
                <w:rFonts w:eastAsia="MS Mincho"/>
                <w:bCs/>
                <w:i/>
                <w:color w:val="000000"/>
                <w:sz w:val="22"/>
                <w:szCs w:val="22"/>
              </w:rPr>
              <w:t>Stenella coeruleoalba</w:t>
            </w:r>
            <w:r w:rsidRPr="0021277B">
              <w:rPr>
                <w:rFonts w:eastAsia="MS Mincho"/>
                <w:bCs/>
                <w:color w:val="000000"/>
                <w:sz w:val="22"/>
                <w:szCs w:val="22"/>
              </w:rPr>
              <w:t xml:space="preserve"> (LC)</w:t>
            </w:r>
          </w:p>
          <w:p w14:paraId="0100D252"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Leatherback Turtle, </w:t>
            </w:r>
            <w:r w:rsidRPr="0021277B">
              <w:rPr>
                <w:rFonts w:eastAsia="MS Mincho"/>
                <w:bCs/>
                <w:i/>
                <w:color w:val="000000"/>
                <w:sz w:val="22"/>
                <w:szCs w:val="22"/>
              </w:rPr>
              <w:t>Dermochelys coriacea</w:t>
            </w:r>
            <w:r w:rsidRPr="0021277B">
              <w:rPr>
                <w:rFonts w:eastAsia="MS Mincho"/>
                <w:bCs/>
                <w:color w:val="000000"/>
                <w:sz w:val="22"/>
                <w:szCs w:val="22"/>
              </w:rPr>
              <w:t xml:space="preserve"> (VU)</w:t>
            </w:r>
          </w:p>
          <w:p w14:paraId="179134FC"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Basking Shark, </w:t>
            </w:r>
            <w:r w:rsidRPr="0021277B">
              <w:rPr>
                <w:rFonts w:eastAsia="MS Mincho"/>
                <w:bCs/>
                <w:i/>
                <w:color w:val="000000"/>
                <w:sz w:val="22"/>
                <w:szCs w:val="22"/>
              </w:rPr>
              <w:t>Cetorhinus maximus</w:t>
            </w:r>
            <w:r w:rsidRPr="0021277B">
              <w:rPr>
                <w:rFonts w:eastAsia="MS Mincho"/>
                <w:bCs/>
                <w:color w:val="000000"/>
                <w:sz w:val="22"/>
                <w:szCs w:val="22"/>
              </w:rPr>
              <w:t xml:space="preserve"> (VU)</w:t>
            </w:r>
          </w:p>
          <w:p w14:paraId="38AA6CEF"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Atlantic Bluefin Tuna, </w:t>
            </w:r>
            <w:r w:rsidRPr="0021277B">
              <w:rPr>
                <w:rFonts w:eastAsia="MS Mincho"/>
                <w:bCs/>
                <w:i/>
                <w:color w:val="000000"/>
                <w:sz w:val="22"/>
                <w:szCs w:val="22"/>
              </w:rPr>
              <w:t>Thunnus thynnus</w:t>
            </w:r>
            <w:r w:rsidRPr="0021277B">
              <w:rPr>
                <w:rFonts w:eastAsia="MS Mincho"/>
                <w:bCs/>
                <w:color w:val="000000"/>
                <w:sz w:val="22"/>
                <w:szCs w:val="22"/>
              </w:rPr>
              <w:t xml:space="preserve"> (EN)</w:t>
            </w:r>
          </w:p>
          <w:p w14:paraId="7D21D371"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Blue Shark, </w:t>
            </w:r>
            <w:r w:rsidRPr="0021277B">
              <w:rPr>
                <w:rFonts w:eastAsia="MS Mincho"/>
                <w:bCs/>
                <w:i/>
                <w:color w:val="000000"/>
                <w:sz w:val="22"/>
                <w:szCs w:val="22"/>
              </w:rPr>
              <w:t>Prionace glauca</w:t>
            </w:r>
            <w:r w:rsidRPr="0021277B">
              <w:rPr>
                <w:rFonts w:eastAsia="MS Mincho"/>
                <w:bCs/>
                <w:color w:val="000000"/>
                <w:sz w:val="22"/>
                <w:szCs w:val="22"/>
              </w:rPr>
              <w:t xml:space="preserve"> (NT)</w:t>
            </w:r>
          </w:p>
          <w:p w14:paraId="15B98AA4" w14:textId="77777777" w:rsidR="006B3F46" w:rsidRPr="0021277B" w:rsidRDefault="006B3F46" w:rsidP="006B3F46">
            <w:pPr>
              <w:widowControl w:val="0"/>
              <w:numPr>
                <w:ilvl w:val="0"/>
                <w:numId w:val="45"/>
              </w:numPr>
              <w:autoSpaceDE w:val="0"/>
              <w:autoSpaceDN w:val="0"/>
              <w:adjustRightInd w:val="0"/>
              <w:jc w:val="both"/>
              <w:rPr>
                <w:rFonts w:eastAsia="MS Mincho"/>
                <w:bCs/>
                <w:color w:val="000000"/>
                <w:sz w:val="22"/>
                <w:szCs w:val="22"/>
              </w:rPr>
            </w:pPr>
            <w:r w:rsidRPr="0021277B">
              <w:rPr>
                <w:rFonts w:eastAsia="MS Mincho"/>
                <w:bCs/>
                <w:color w:val="000000"/>
                <w:sz w:val="22"/>
                <w:szCs w:val="22"/>
              </w:rPr>
              <w:t xml:space="preserve">Shortfin Mako Shark, </w:t>
            </w:r>
            <w:r w:rsidRPr="0021277B">
              <w:rPr>
                <w:rFonts w:eastAsia="MS Mincho"/>
                <w:bCs/>
                <w:i/>
                <w:color w:val="000000"/>
                <w:sz w:val="22"/>
                <w:szCs w:val="22"/>
              </w:rPr>
              <w:t>Isurus oxyrinchus</w:t>
            </w:r>
            <w:r w:rsidRPr="0021277B">
              <w:rPr>
                <w:rFonts w:eastAsia="MS Mincho"/>
                <w:bCs/>
                <w:color w:val="000000"/>
                <w:sz w:val="22"/>
                <w:szCs w:val="22"/>
              </w:rPr>
              <w:t xml:space="preserve"> (VU)</w:t>
            </w:r>
          </w:p>
          <w:p w14:paraId="0A088156" w14:textId="77777777" w:rsidR="006B3F46" w:rsidRPr="0021277B" w:rsidRDefault="006B3F46" w:rsidP="00907941">
            <w:pPr>
              <w:widowControl w:val="0"/>
              <w:autoSpaceDE w:val="0"/>
              <w:autoSpaceDN w:val="0"/>
              <w:adjustRightInd w:val="0"/>
              <w:jc w:val="both"/>
              <w:rPr>
                <w:rFonts w:eastAsia="MS Mincho"/>
                <w:b/>
                <w:bCs/>
                <w:color w:val="000000"/>
                <w:sz w:val="22"/>
                <w:szCs w:val="22"/>
              </w:rPr>
            </w:pPr>
          </w:p>
        </w:tc>
      </w:tr>
      <w:tr w:rsidR="006B3F46" w:rsidRPr="0021277B" w14:paraId="636C5CAB" w14:textId="77777777" w:rsidTr="002E4B39">
        <w:tc>
          <w:tcPr>
            <w:tcW w:w="832" w:type="pct"/>
            <w:shd w:val="clear" w:color="auto" w:fill="auto"/>
          </w:tcPr>
          <w:p w14:paraId="248E6371"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47" w:type="pct"/>
            <w:gridSpan w:val="2"/>
            <w:shd w:val="clear" w:color="auto" w:fill="auto"/>
          </w:tcPr>
          <w:p w14:paraId="0589BA93"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0FC748AF"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53" w:type="pct"/>
            <w:gridSpan w:val="2"/>
            <w:shd w:val="clear" w:color="auto" w:fill="auto"/>
          </w:tcPr>
          <w:p w14:paraId="6B3C2CA6"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tcPr>
          <w:p w14:paraId="7E89DCA7"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385" w:type="pct"/>
            <w:shd w:val="clear" w:color="auto" w:fill="auto"/>
          </w:tcPr>
          <w:p w14:paraId="09E2F8B8"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Pr>
                <w:rFonts w:eastAsia="MS Mincho"/>
                <w:color w:val="000000"/>
                <w:sz w:val="22"/>
                <w:szCs w:val="22"/>
                <w:lang w:val="en-US"/>
              </w:rPr>
              <w:t>X</w:t>
            </w:r>
          </w:p>
        </w:tc>
      </w:tr>
      <w:tr w:rsidR="006B3F46" w:rsidRPr="0021277B" w14:paraId="772DCB86" w14:textId="77777777" w:rsidTr="00907941">
        <w:trPr>
          <w:trHeight w:val="983"/>
        </w:trPr>
        <w:tc>
          <w:tcPr>
            <w:tcW w:w="5000" w:type="pct"/>
            <w:gridSpan w:val="11"/>
            <w:shd w:val="clear" w:color="auto" w:fill="auto"/>
          </w:tcPr>
          <w:p w14:paraId="4F2C044E"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3E023EBE" w14:textId="08535D4E" w:rsidR="006B3F46" w:rsidRPr="0021277B" w:rsidRDefault="006B3F46" w:rsidP="00907941">
            <w:pPr>
              <w:widowControl w:val="0"/>
              <w:autoSpaceDE w:val="0"/>
              <w:autoSpaceDN w:val="0"/>
              <w:adjustRightInd w:val="0"/>
              <w:jc w:val="both"/>
              <w:rPr>
                <w:rFonts w:eastAsia="MS Mincho"/>
                <w:color w:val="000000"/>
                <w:sz w:val="22"/>
                <w:szCs w:val="22"/>
                <w:lang w:val="en-US"/>
              </w:rPr>
            </w:pPr>
            <w:r w:rsidRPr="0021277B">
              <w:rPr>
                <w:rFonts w:eastAsia="MS Mincho"/>
                <w:color w:val="000000"/>
                <w:sz w:val="22"/>
                <w:szCs w:val="22"/>
                <w:lang w:val="en-US"/>
              </w:rPr>
              <w:t>Due to its remote location in very deep, open ocean, the area is not easily accessible. The waters within the area are therefore only exposed to a very limited range of human uses at present (</w:t>
            </w:r>
            <w:r>
              <w:rPr>
                <w:rFonts w:eastAsia="MS Mincho"/>
                <w:color w:val="000000"/>
                <w:sz w:val="22"/>
                <w:szCs w:val="22"/>
                <w:lang w:val="en-US"/>
              </w:rPr>
              <w:t>e.g.,</w:t>
            </w:r>
            <w:r w:rsidRPr="0021277B">
              <w:rPr>
                <w:rFonts w:eastAsia="MS Mincho"/>
                <w:color w:val="000000"/>
                <w:sz w:val="22"/>
                <w:szCs w:val="22"/>
                <w:lang w:val="en-US"/>
              </w:rPr>
              <w:t xml:space="preserve"> PASTA MARE 2019, GFW 2019).</w:t>
            </w:r>
          </w:p>
        </w:tc>
      </w:tr>
    </w:tbl>
    <w:p w14:paraId="32E5BEFA"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32DC5ADB"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Sharing experiences and information applying other criteria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7"/>
        <w:gridCol w:w="4217"/>
        <w:gridCol w:w="967"/>
        <w:gridCol w:w="938"/>
        <w:gridCol w:w="987"/>
        <w:gridCol w:w="754"/>
      </w:tblGrid>
      <w:tr w:rsidR="006B3F46" w:rsidRPr="009978E3" w14:paraId="55AF43F6" w14:textId="77777777" w:rsidTr="00907941">
        <w:tc>
          <w:tcPr>
            <w:tcW w:w="1477" w:type="dxa"/>
            <w:vMerge w:val="restart"/>
            <w:shd w:val="clear" w:color="auto" w:fill="auto"/>
          </w:tcPr>
          <w:p w14:paraId="4A965BD3" w14:textId="77777777" w:rsidR="006B3F46" w:rsidRPr="009978E3" w:rsidRDefault="006B3F46" w:rsidP="00907941">
            <w:pPr>
              <w:widowControl w:val="0"/>
              <w:autoSpaceDE w:val="0"/>
              <w:autoSpaceDN w:val="0"/>
              <w:adjustRightInd w:val="0"/>
              <w:rPr>
                <w:rFonts w:eastAsia="MS Mincho"/>
                <w:b/>
                <w:bCs/>
                <w:color w:val="000000"/>
                <w:sz w:val="22"/>
                <w:szCs w:val="22"/>
                <w:lang w:val="it-IT"/>
              </w:rPr>
            </w:pPr>
            <w:r w:rsidRPr="009978E3">
              <w:rPr>
                <w:rFonts w:eastAsia="MS Mincho"/>
                <w:b/>
                <w:bCs/>
                <w:color w:val="000000"/>
                <w:sz w:val="22"/>
                <w:szCs w:val="22"/>
                <w:lang w:val="it-IT"/>
              </w:rPr>
              <w:t>Other Criteria</w:t>
            </w:r>
          </w:p>
          <w:p w14:paraId="054D8672" w14:textId="77777777" w:rsidR="006B3F46" w:rsidRPr="009978E3" w:rsidRDefault="006B3F46" w:rsidP="00907941">
            <w:pPr>
              <w:widowControl w:val="0"/>
              <w:autoSpaceDE w:val="0"/>
              <w:autoSpaceDN w:val="0"/>
              <w:adjustRightInd w:val="0"/>
              <w:rPr>
                <w:rFonts w:eastAsia="MS Mincho"/>
                <w:bCs/>
                <w:color w:val="000000"/>
                <w:sz w:val="22"/>
                <w:szCs w:val="22"/>
                <w:lang w:val="it-IT"/>
              </w:rPr>
            </w:pPr>
          </w:p>
        </w:tc>
        <w:tc>
          <w:tcPr>
            <w:tcW w:w="4189" w:type="dxa"/>
            <w:vMerge w:val="restart"/>
            <w:shd w:val="clear" w:color="auto" w:fill="auto"/>
          </w:tcPr>
          <w:p w14:paraId="0A2B8042" w14:textId="77777777" w:rsidR="006B3F46" w:rsidRPr="009978E3" w:rsidRDefault="006B3F46" w:rsidP="00907941">
            <w:pPr>
              <w:widowControl w:val="0"/>
              <w:autoSpaceDE w:val="0"/>
              <w:autoSpaceDN w:val="0"/>
              <w:adjustRightInd w:val="0"/>
              <w:rPr>
                <w:rFonts w:eastAsia="MS Mincho"/>
                <w:b/>
                <w:bCs/>
                <w:sz w:val="22"/>
                <w:szCs w:val="22"/>
                <w:lang w:val="en-US"/>
              </w:rPr>
            </w:pPr>
            <w:r w:rsidRPr="009978E3">
              <w:rPr>
                <w:rFonts w:eastAsia="MS Mincho"/>
                <w:b/>
                <w:bCs/>
                <w:sz w:val="22"/>
                <w:szCs w:val="22"/>
                <w:lang w:val="en-US"/>
              </w:rPr>
              <w:t>Description</w:t>
            </w:r>
          </w:p>
          <w:p w14:paraId="41E42A56" w14:textId="77777777" w:rsidR="006B3F46" w:rsidRPr="009978E3" w:rsidRDefault="006B3F46" w:rsidP="00907941">
            <w:pPr>
              <w:widowControl w:val="0"/>
              <w:autoSpaceDE w:val="0"/>
              <w:autoSpaceDN w:val="0"/>
              <w:adjustRightInd w:val="0"/>
              <w:rPr>
                <w:rFonts w:eastAsia="MS Mincho"/>
                <w:bCs/>
                <w:sz w:val="22"/>
                <w:szCs w:val="22"/>
                <w:lang w:val="en-US"/>
              </w:rPr>
            </w:pPr>
          </w:p>
        </w:tc>
        <w:tc>
          <w:tcPr>
            <w:tcW w:w="3621" w:type="dxa"/>
            <w:gridSpan w:val="4"/>
            <w:shd w:val="clear" w:color="auto" w:fill="auto"/>
          </w:tcPr>
          <w:p w14:paraId="6938EE38"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 xml:space="preserve">Ranking of criterion relevance </w:t>
            </w:r>
          </w:p>
          <w:p w14:paraId="4817D766"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Cs/>
                <w:color w:val="000000"/>
                <w:sz w:val="22"/>
                <w:szCs w:val="22"/>
                <w:lang w:val="en-US"/>
              </w:rPr>
              <w:t>(please mark one column with an X)</w:t>
            </w:r>
          </w:p>
        </w:tc>
      </w:tr>
      <w:tr w:rsidR="006B3F46" w:rsidRPr="009978E3" w14:paraId="227BAA92" w14:textId="77777777" w:rsidTr="00907941">
        <w:tc>
          <w:tcPr>
            <w:tcW w:w="1477" w:type="dxa"/>
            <w:vMerge/>
            <w:shd w:val="clear" w:color="auto" w:fill="auto"/>
          </w:tcPr>
          <w:p w14:paraId="3FCF2163"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p>
        </w:tc>
        <w:tc>
          <w:tcPr>
            <w:tcW w:w="4189" w:type="dxa"/>
            <w:vMerge/>
            <w:shd w:val="clear" w:color="auto" w:fill="auto"/>
          </w:tcPr>
          <w:p w14:paraId="0840B7D2" w14:textId="77777777" w:rsidR="006B3F46" w:rsidRPr="009978E3" w:rsidRDefault="006B3F46" w:rsidP="00907941">
            <w:pPr>
              <w:widowControl w:val="0"/>
              <w:autoSpaceDE w:val="0"/>
              <w:autoSpaceDN w:val="0"/>
              <w:adjustRightInd w:val="0"/>
              <w:rPr>
                <w:rFonts w:eastAsia="MS Mincho"/>
                <w:b/>
                <w:bCs/>
                <w:sz w:val="22"/>
                <w:szCs w:val="22"/>
                <w:lang w:val="en-US"/>
              </w:rPr>
            </w:pPr>
          </w:p>
        </w:tc>
        <w:tc>
          <w:tcPr>
            <w:tcW w:w="960" w:type="dxa"/>
            <w:shd w:val="clear" w:color="auto" w:fill="auto"/>
          </w:tcPr>
          <w:p w14:paraId="35D8B97F"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Don’t Know</w:t>
            </w:r>
          </w:p>
        </w:tc>
        <w:tc>
          <w:tcPr>
            <w:tcW w:w="932" w:type="dxa"/>
            <w:shd w:val="clear" w:color="auto" w:fill="auto"/>
          </w:tcPr>
          <w:p w14:paraId="56511E8B"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Low</w:t>
            </w:r>
          </w:p>
        </w:tc>
        <w:tc>
          <w:tcPr>
            <w:tcW w:w="980" w:type="dxa"/>
            <w:shd w:val="clear" w:color="auto" w:fill="auto"/>
          </w:tcPr>
          <w:p w14:paraId="010D996F"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Medium</w:t>
            </w:r>
          </w:p>
        </w:tc>
        <w:tc>
          <w:tcPr>
            <w:tcW w:w="749" w:type="dxa"/>
            <w:shd w:val="clear" w:color="auto" w:fill="auto"/>
          </w:tcPr>
          <w:p w14:paraId="01C3F020" w14:textId="77777777" w:rsidR="006B3F46" w:rsidRPr="009978E3" w:rsidRDefault="006B3F46" w:rsidP="00907941">
            <w:pPr>
              <w:widowControl w:val="0"/>
              <w:autoSpaceDE w:val="0"/>
              <w:autoSpaceDN w:val="0"/>
              <w:adjustRightInd w:val="0"/>
              <w:rPr>
                <w:rFonts w:eastAsia="MS Mincho"/>
                <w:b/>
                <w:bCs/>
                <w:color w:val="000000"/>
                <w:sz w:val="22"/>
                <w:szCs w:val="22"/>
                <w:lang w:val="en-US"/>
              </w:rPr>
            </w:pPr>
            <w:r w:rsidRPr="009978E3">
              <w:rPr>
                <w:rFonts w:eastAsia="MS Mincho"/>
                <w:b/>
                <w:bCs/>
                <w:color w:val="000000"/>
                <w:sz w:val="22"/>
                <w:szCs w:val="22"/>
                <w:lang w:val="en-US"/>
              </w:rPr>
              <w:t>High</w:t>
            </w:r>
          </w:p>
          <w:p w14:paraId="54DFA2F6" w14:textId="77777777" w:rsidR="006B3F46" w:rsidRPr="009978E3" w:rsidRDefault="006B3F46" w:rsidP="00907941">
            <w:pPr>
              <w:rPr>
                <w:rFonts w:eastAsia="MS Mincho"/>
                <w:sz w:val="22"/>
                <w:szCs w:val="22"/>
                <w:lang w:val="en-US"/>
              </w:rPr>
            </w:pPr>
          </w:p>
        </w:tc>
      </w:tr>
      <w:tr w:rsidR="006B3F46" w:rsidRPr="009978E3" w14:paraId="586BB65D" w14:textId="77777777" w:rsidTr="00907941">
        <w:tc>
          <w:tcPr>
            <w:tcW w:w="1477" w:type="dxa"/>
            <w:shd w:val="clear" w:color="auto" w:fill="auto"/>
          </w:tcPr>
          <w:p w14:paraId="7D4B5D2E" w14:textId="77777777" w:rsidR="006B3F46" w:rsidRPr="009978E3" w:rsidRDefault="006B3F46" w:rsidP="00907941">
            <w:pPr>
              <w:widowControl w:val="0"/>
              <w:autoSpaceDE w:val="0"/>
              <w:autoSpaceDN w:val="0"/>
              <w:adjustRightInd w:val="0"/>
              <w:rPr>
                <w:rFonts w:eastAsia="MS Mincho"/>
                <w:bCs/>
                <w:i/>
                <w:color w:val="000000"/>
                <w:sz w:val="22"/>
                <w:szCs w:val="22"/>
                <w:lang w:val="en-US"/>
              </w:rPr>
            </w:pPr>
            <w:r w:rsidRPr="009978E3">
              <w:rPr>
                <w:rFonts w:eastAsia="MS Mincho"/>
                <w:bCs/>
                <w:i/>
                <w:color w:val="000000"/>
                <w:sz w:val="22"/>
                <w:szCs w:val="22"/>
                <w:lang w:val="en-US"/>
              </w:rPr>
              <w:t>IBA criteria</w:t>
            </w:r>
          </w:p>
          <w:p w14:paraId="4F42AC1D" w14:textId="77777777" w:rsidR="006B3F46" w:rsidRPr="009978E3" w:rsidRDefault="006B3F46" w:rsidP="00907941">
            <w:pPr>
              <w:widowControl w:val="0"/>
              <w:autoSpaceDE w:val="0"/>
              <w:autoSpaceDN w:val="0"/>
              <w:adjustRightInd w:val="0"/>
              <w:rPr>
                <w:rFonts w:eastAsia="MS Mincho"/>
                <w:bCs/>
                <w:i/>
                <w:color w:val="000000"/>
                <w:sz w:val="22"/>
                <w:szCs w:val="22"/>
                <w:lang w:val="en-US"/>
              </w:rPr>
            </w:pPr>
          </w:p>
        </w:tc>
        <w:tc>
          <w:tcPr>
            <w:tcW w:w="4189" w:type="dxa"/>
            <w:shd w:val="clear" w:color="auto" w:fill="auto"/>
          </w:tcPr>
          <w:p w14:paraId="4BD1BEDC" w14:textId="77777777" w:rsidR="006B3F46" w:rsidRPr="009978E3" w:rsidRDefault="006B3F46" w:rsidP="00907941">
            <w:pPr>
              <w:widowControl w:val="0"/>
              <w:autoSpaceDE w:val="0"/>
              <w:autoSpaceDN w:val="0"/>
              <w:adjustRightInd w:val="0"/>
              <w:rPr>
                <w:rFonts w:eastAsia="MS Mincho"/>
                <w:bCs/>
                <w:sz w:val="22"/>
                <w:szCs w:val="22"/>
                <w:lang w:val="en-US"/>
              </w:rPr>
            </w:pPr>
            <w:r w:rsidRPr="009978E3">
              <w:rPr>
                <w:rFonts w:eastAsia="MS Mincho"/>
                <w:bCs/>
                <w:sz w:val="22"/>
                <w:szCs w:val="22"/>
                <w:lang w:val="en-US"/>
              </w:rPr>
              <w:t xml:space="preserve">The site is known or thought to hold regularly significant numbers of a globally threatened species (Donald </w:t>
            </w:r>
            <w:r w:rsidRPr="0006066A">
              <w:rPr>
                <w:rFonts w:eastAsia="MS Mincho"/>
                <w:bCs/>
                <w:i/>
                <w:sz w:val="22"/>
                <w:szCs w:val="22"/>
                <w:lang w:val="en-US"/>
              </w:rPr>
              <w:t>et al</w:t>
            </w:r>
            <w:r w:rsidRPr="009978E3">
              <w:rPr>
                <w:rFonts w:eastAsia="MS Mincho"/>
                <w:bCs/>
                <w:sz w:val="22"/>
                <w:szCs w:val="22"/>
                <w:lang w:val="en-US"/>
              </w:rPr>
              <w:t>. 2018)</w:t>
            </w:r>
          </w:p>
          <w:p w14:paraId="4893CE18" w14:textId="77777777" w:rsidR="006B3F46" w:rsidRPr="009978E3" w:rsidRDefault="006B3F46" w:rsidP="00907941">
            <w:pPr>
              <w:widowControl w:val="0"/>
              <w:autoSpaceDE w:val="0"/>
              <w:autoSpaceDN w:val="0"/>
              <w:adjustRightInd w:val="0"/>
              <w:rPr>
                <w:rFonts w:eastAsia="MS Mincho"/>
                <w:bCs/>
                <w:sz w:val="22"/>
                <w:szCs w:val="22"/>
                <w:lang w:val="en-US"/>
              </w:rPr>
            </w:pPr>
          </w:p>
          <w:p w14:paraId="69565631" w14:textId="77777777" w:rsidR="006B3F46" w:rsidRPr="009978E3" w:rsidRDefault="006B3F46" w:rsidP="00907941">
            <w:pPr>
              <w:widowControl w:val="0"/>
              <w:autoSpaceDE w:val="0"/>
              <w:autoSpaceDN w:val="0"/>
              <w:adjustRightInd w:val="0"/>
              <w:rPr>
                <w:rFonts w:eastAsia="MS Mincho"/>
                <w:bCs/>
                <w:sz w:val="22"/>
                <w:szCs w:val="22"/>
                <w:lang w:val="en-US"/>
              </w:rPr>
            </w:pPr>
            <w:r w:rsidRPr="009978E3">
              <w:rPr>
                <w:rFonts w:eastAsia="MS Mincho"/>
                <w:bCs/>
                <w:sz w:val="22"/>
                <w:szCs w:val="22"/>
                <w:lang w:val="en-US"/>
              </w:rPr>
              <w:t>The site is known or thought to hold congregations of ≥1</w:t>
            </w:r>
            <w:r>
              <w:rPr>
                <w:rFonts w:eastAsia="MS Mincho"/>
                <w:bCs/>
                <w:sz w:val="22"/>
                <w:szCs w:val="22"/>
                <w:lang w:val="en-US"/>
              </w:rPr>
              <w:t xml:space="preserve"> per cent</w:t>
            </w:r>
            <w:r w:rsidRPr="009978E3">
              <w:rPr>
                <w:rFonts w:eastAsia="MS Mincho"/>
                <w:bCs/>
                <w:sz w:val="22"/>
                <w:szCs w:val="22"/>
                <w:lang w:val="en-US"/>
              </w:rPr>
              <w:t xml:space="preserve"> of the global population of one or more species on a regular or predictable basis (Donald </w:t>
            </w:r>
            <w:r w:rsidRPr="0006066A">
              <w:rPr>
                <w:rFonts w:eastAsia="MS Mincho"/>
                <w:bCs/>
                <w:i/>
                <w:sz w:val="22"/>
                <w:szCs w:val="22"/>
                <w:lang w:val="en-US"/>
              </w:rPr>
              <w:t>et al</w:t>
            </w:r>
            <w:r w:rsidRPr="009978E3">
              <w:rPr>
                <w:rFonts w:eastAsia="MS Mincho"/>
                <w:bCs/>
                <w:sz w:val="22"/>
                <w:szCs w:val="22"/>
                <w:lang w:val="en-US"/>
              </w:rPr>
              <w:t>. 2018)</w:t>
            </w:r>
          </w:p>
        </w:tc>
        <w:tc>
          <w:tcPr>
            <w:tcW w:w="960" w:type="dxa"/>
            <w:shd w:val="clear" w:color="auto" w:fill="auto"/>
          </w:tcPr>
          <w:p w14:paraId="30359016"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932" w:type="dxa"/>
            <w:shd w:val="clear" w:color="auto" w:fill="auto"/>
          </w:tcPr>
          <w:p w14:paraId="11E56041"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980" w:type="dxa"/>
            <w:shd w:val="clear" w:color="auto" w:fill="auto"/>
          </w:tcPr>
          <w:p w14:paraId="27AA634C"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p>
        </w:tc>
        <w:tc>
          <w:tcPr>
            <w:tcW w:w="749" w:type="dxa"/>
            <w:shd w:val="clear" w:color="auto" w:fill="auto"/>
          </w:tcPr>
          <w:p w14:paraId="4EB0319A" w14:textId="77777777" w:rsidR="006B3F46" w:rsidRPr="009978E3" w:rsidRDefault="006B3F46" w:rsidP="00907941">
            <w:pPr>
              <w:widowControl w:val="0"/>
              <w:autoSpaceDE w:val="0"/>
              <w:autoSpaceDN w:val="0"/>
              <w:adjustRightInd w:val="0"/>
              <w:jc w:val="center"/>
              <w:rPr>
                <w:rFonts w:eastAsia="MS Mincho"/>
                <w:bCs/>
                <w:color w:val="000000"/>
                <w:sz w:val="22"/>
                <w:szCs w:val="22"/>
                <w:lang w:val="en-US"/>
              </w:rPr>
            </w:pPr>
            <w:r>
              <w:rPr>
                <w:rFonts w:eastAsia="MS Mincho"/>
                <w:bCs/>
                <w:color w:val="000000"/>
                <w:sz w:val="22"/>
                <w:szCs w:val="22"/>
                <w:lang w:val="en-US"/>
              </w:rPr>
              <w:t>X</w:t>
            </w:r>
          </w:p>
        </w:tc>
      </w:tr>
      <w:tr w:rsidR="006B3F46" w:rsidRPr="009978E3" w14:paraId="57496D90" w14:textId="77777777" w:rsidTr="00907941">
        <w:tc>
          <w:tcPr>
            <w:tcW w:w="9287" w:type="dxa"/>
            <w:gridSpan w:val="6"/>
            <w:shd w:val="clear" w:color="auto" w:fill="auto"/>
          </w:tcPr>
          <w:p w14:paraId="2A0D3225" w14:textId="012F1E48" w:rsidR="006B3F46" w:rsidRPr="009978E3" w:rsidRDefault="006B3F46" w:rsidP="00907941">
            <w:pPr>
              <w:widowControl w:val="0"/>
              <w:autoSpaceDE w:val="0"/>
              <w:autoSpaceDN w:val="0"/>
              <w:adjustRightInd w:val="0"/>
              <w:rPr>
                <w:rFonts w:eastAsia="MS Mincho"/>
                <w:bCs/>
                <w:color w:val="000000"/>
                <w:sz w:val="22"/>
                <w:szCs w:val="22"/>
                <w:lang w:val="en-US"/>
              </w:rPr>
            </w:pPr>
            <w:r w:rsidRPr="009978E3">
              <w:rPr>
                <w:rFonts w:eastAsia="MS Mincho"/>
                <w:bCs/>
                <w:sz w:val="22"/>
                <w:szCs w:val="22"/>
                <w:lang w:val="en-US"/>
              </w:rPr>
              <w:t xml:space="preserve">The area </w:t>
            </w:r>
            <w:r>
              <w:rPr>
                <w:rFonts w:eastAsia="MS Mincho"/>
                <w:bCs/>
                <w:sz w:val="22"/>
                <w:szCs w:val="22"/>
                <w:lang w:val="en-US"/>
              </w:rPr>
              <w:t>meets</w:t>
            </w:r>
            <w:r w:rsidRPr="009978E3">
              <w:rPr>
                <w:rFonts w:eastAsia="MS Mincho"/>
                <w:bCs/>
                <w:sz w:val="22"/>
                <w:szCs w:val="22"/>
                <w:lang w:val="en-US"/>
              </w:rPr>
              <w:t xml:space="preserve"> the criteria to be classified as an Important Bird and Biodiversity Area (IBA) by BirdLife International (Donald </w:t>
            </w:r>
            <w:r w:rsidRPr="0006066A">
              <w:rPr>
                <w:rFonts w:eastAsia="MS Mincho"/>
                <w:bCs/>
                <w:i/>
                <w:sz w:val="22"/>
                <w:szCs w:val="22"/>
                <w:lang w:val="en-US"/>
              </w:rPr>
              <w:t>et al</w:t>
            </w:r>
            <w:r w:rsidRPr="009978E3">
              <w:rPr>
                <w:rFonts w:eastAsia="MS Mincho"/>
                <w:bCs/>
                <w:sz w:val="22"/>
                <w:szCs w:val="22"/>
                <w:lang w:val="en-US"/>
              </w:rPr>
              <w:t xml:space="preserve">. 2018, BirdLife International 2019c), which are very </w:t>
            </w:r>
            <w:r>
              <w:rPr>
                <w:rFonts w:eastAsia="MS Mincho"/>
                <w:bCs/>
                <w:sz w:val="22"/>
                <w:szCs w:val="22"/>
                <w:lang w:val="en-US"/>
              </w:rPr>
              <w:t>closely</w:t>
            </w:r>
            <w:r w:rsidRPr="009978E3">
              <w:rPr>
                <w:rFonts w:eastAsia="MS Mincho"/>
                <w:bCs/>
                <w:sz w:val="22"/>
                <w:szCs w:val="22"/>
                <w:lang w:val="en-US"/>
              </w:rPr>
              <w:t xml:space="preserve"> aligned with the EBSA criteria (</w:t>
            </w:r>
            <w:r w:rsidRPr="009978E3">
              <w:rPr>
                <w:sz w:val="22"/>
                <w:szCs w:val="22"/>
              </w:rPr>
              <w:t xml:space="preserve">Waliczky </w:t>
            </w:r>
            <w:r w:rsidRPr="0006066A">
              <w:rPr>
                <w:i/>
                <w:sz w:val="22"/>
                <w:szCs w:val="22"/>
              </w:rPr>
              <w:t>et al</w:t>
            </w:r>
            <w:r w:rsidRPr="009978E3">
              <w:rPr>
                <w:sz w:val="22"/>
                <w:szCs w:val="22"/>
              </w:rPr>
              <w:t>. 2018).</w:t>
            </w:r>
          </w:p>
        </w:tc>
      </w:tr>
    </w:tbl>
    <w:p w14:paraId="36FD0907" w14:textId="77777777" w:rsidR="006B3F46" w:rsidRDefault="006B3F46" w:rsidP="00907941">
      <w:pPr>
        <w:rPr>
          <w:rFonts w:eastAsia="MS Mincho"/>
          <w:b/>
          <w:sz w:val="22"/>
          <w:szCs w:val="22"/>
          <w:lang w:val="en-US"/>
        </w:rPr>
      </w:pPr>
    </w:p>
    <w:p w14:paraId="224DAC6F" w14:textId="77777777" w:rsidR="006B3F46" w:rsidRPr="009978E3" w:rsidRDefault="006B3F46" w:rsidP="00907941">
      <w:pPr>
        <w:rPr>
          <w:rFonts w:eastAsia="MS Mincho"/>
          <w:b/>
          <w:sz w:val="22"/>
          <w:szCs w:val="22"/>
          <w:lang w:val="en-US"/>
        </w:rPr>
      </w:pPr>
      <w:r w:rsidRPr="009978E3">
        <w:rPr>
          <w:rFonts w:eastAsia="MS Mincho"/>
          <w:b/>
          <w:sz w:val="22"/>
          <w:szCs w:val="22"/>
          <w:lang w:val="en-US"/>
        </w:rPr>
        <w:t>References</w:t>
      </w:r>
    </w:p>
    <w:p w14:paraId="18DCDEC4" w14:textId="77777777" w:rsidR="006B3F46" w:rsidRPr="009978E3" w:rsidRDefault="006B3F46" w:rsidP="00907941">
      <w:pPr>
        <w:pStyle w:val="EndNoteBibliography"/>
        <w:ind w:left="567" w:hanging="567"/>
        <w:jc w:val="both"/>
        <w:rPr>
          <w:sz w:val="22"/>
          <w:szCs w:val="22"/>
        </w:rPr>
      </w:pPr>
      <w:r w:rsidRPr="009978E3">
        <w:rPr>
          <w:sz w:val="22"/>
          <w:szCs w:val="22"/>
        </w:rPr>
        <w:t>Belkin, I. M. &amp; Levitus, S. (1996) Temporal variability of the subarctic front near the Charlie</w:t>
      </w:r>
      <w:r w:rsidRPr="0021277B">
        <w:rPr>
          <w:rFonts w:ascii="Cambria Math" w:hAnsi="Cambria Math" w:cs="Cambria Math"/>
          <w:sz w:val="22"/>
          <w:szCs w:val="22"/>
        </w:rPr>
        <w:t>‐</w:t>
      </w:r>
      <w:r w:rsidRPr="00F66EF7">
        <w:rPr>
          <w:sz w:val="22"/>
          <w:szCs w:val="22"/>
        </w:rPr>
        <w:t>Gibbs fracture zone. Journal of Geophysi</w:t>
      </w:r>
      <w:r w:rsidRPr="009978E3">
        <w:rPr>
          <w:sz w:val="22"/>
          <w:szCs w:val="22"/>
        </w:rPr>
        <w:t>cal Research: Oceans 101(C12): 28317-28324.</w:t>
      </w:r>
    </w:p>
    <w:p w14:paraId="6C5AC0C5" w14:textId="77777777" w:rsidR="006B3F46" w:rsidRPr="009978E3" w:rsidRDefault="006B3F46" w:rsidP="00907941">
      <w:pPr>
        <w:pStyle w:val="EndNoteBibliography"/>
        <w:ind w:left="567" w:hanging="567"/>
        <w:jc w:val="both"/>
        <w:rPr>
          <w:sz w:val="22"/>
          <w:szCs w:val="22"/>
        </w:rPr>
      </w:pPr>
      <w:r w:rsidRPr="009978E3">
        <w:rPr>
          <w:sz w:val="22"/>
          <w:szCs w:val="22"/>
        </w:rPr>
        <w:t xml:space="preserve">BirdLife International (2019a). The Seabird Tracking Database. www.seabirdtracking.org </w:t>
      </w:r>
    </w:p>
    <w:p w14:paraId="70A22EEA" w14:textId="77777777" w:rsidR="006B3F46" w:rsidRPr="009978E3" w:rsidRDefault="006B3F46" w:rsidP="00907941">
      <w:pPr>
        <w:pStyle w:val="EndNoteBibliography"/>
        <w:ind w:left="567" w:hanging="567"/>
        <w:jc w:val="both"/>
        <w:rPr>
          <w:color w:val="333333"/>
          <w:sz w:val="22"/>
          <w:szCs w:val="22"/>
          <w:shd w:val="clear" w:color="auto" w:fill="FFFFFF"/>
        </w:rPr>
      </w:pPr>
      <w:r w:rsidRPr="009978E3">
        <w:rPr>
          <w:sz w:val="22"/>
          <w:szCs w:val="22"/>
          <w:shd w:val="clear" w:color="auto" w:fill="FFFFFF"/>
        </w:rPr>
        <w:t>BirdLife International (2019b) IUCN Red List for birds. Downloaded from </w:t>
      </w:r>
      <w:r w:rsidRPr="009978E3">
        <w:rPr>
          <w:rStyle w:val="Hyperlink"/>
          <w:noProof w:val="0"/>
          <w:sz w:val="22"/>
          <w:szCs w:val="22"/>
          <w:lang w:val="en-GB"/>
        </w:rPr>
        <w:t>http://www.birdlife.org</w:t>
      </w:r>
      <w:r w:rsidRPr="009978E3">
        <w:rPr>
          <w:color w:val="333333"/>
          <w:sz w:val="22"/>
          <w:szCs w:val="22"/>
          <w:shd w:val="clear" w:color="auto" w:fill="FFFFFF"/>
        </w:rPr>
        <w:t> </w:t>
      </w:r>
      <w:r w:rsidRPr="009978E3">
        <w:rPr>
          <w:sz w:val="22"/>
          <w:szCs w:val="22"/>
          <w:shd w:val="clear" w:color="auto" w:fill="FFFFFF"/>
        </w:rPr>
        <w:t>on 30/08/2019.</w:t>
      </w:r>
    </w:p>
    <w:p w14:paraId="18EEAFD6" w14:textId="77777777" w:rsidR="006B3F46" w:rsidRPr="00F66EF7" w:rsidRDefault="006B3F46" w:rsidP="00907941">
      <w:pPr>
        <w:autoSpaceDE w:val="0"/>
        <w:autoSpaceDN w:val="0"/>
        <w:adjustRightInd w:val="0"/>
        <w:ind w:left="567" w:hanging="567"/>
        <w:jc w:val="both"/>
        <w:rPr>
          <w:sz w:val="22"/>
          <w:szCs w:val="22"/>
        </w:rPr>
      </w:pPr>
      <w:r w:rsidRPr="009978E3">
        <w:rPr>
          <w:rFonts w:eastAsia="MS Mincho"/>
          <w:bCs/>
          <w:sz w:val="22"/>
          <w:szCs w:val="22"/>
          <w:lang w:val="en-US"/>
        </w:rPr>
        <w:t>BirdLife International (2019c)</w:t>
      </w:r>
      <w:r w:rsidRPr="009978E3">
        <w:rPr>
          <w:sz w:val="22"/>
          <w:szCs w:val="22"/>
        </w:rPr>
        <w:t xml:space="preserve"> Marine IBA e-Atlas. Available at </w:t>
      </w:r>
      <w:hyperlink r:id="rId276" w:history="1">
        <w:r w:rsidRPr="009978E3">
          <w:rPr>
            <w:rStyle w:val="Hyperlink"/>
            <w:sz w:val="22"/>
            <w:szCs w:val="22"/>
          </w:rPr>
          <w:t>https://maps.birdlife.org/marineIBAs/default.html</w:t>
        </w:r>
      </w:hyperlink>
    </w:p>
    <w:p w14:paraId="17DC5CB7" w14:textId="77777777" w:rsidR="006B3F46" w:rsidRPr="009978E3" w:rsidRDefault="006B3F46" w:rsidP="00907941">
      <w:pPr>
        <w:autoSpaceDE w:val="0"/>
        <w:autoSpaceDN w:val="0"/>
        <w:adjustRightInd w:val="0"/>
        <w:ind w:left="567" w:hanging="567"/>
        <w:jc w:val="both"/>
        <w:rPr>
          <w:iCs/>
          <w:sz w:val="22"/>
          <w:szCs w:val="22"/>
        </w:rPr>
      </w:pPr>
      <w:r w:rsidRPr="009978E3">
        <w:rPr>
          <w:sz w:val="22"/>
          <w:szCs w:val="22"/>
        </w:rPr>
        <w:t xml:space="preserve">Cayula J.-F., P. Cornillon (1992), Edge Detection Algorithm for SST Images, </w:t>
      </w:r>
      <w:r w:rsidRPr="009978E3">
        <w:rPr>
          <w:iCs/>
          <w:sz w:val="22"/>
          <w:szCs w:val="22"/>
        </w:rPr>
        <w:t xml:space="preserve">Journal of Atmospheric and Oceanic Technology </w:t>
      </w:r>
      <w:r w:rsidRPr="009978E3">
        <w:rPr>
          <w:sz w:val="22"/>
          <w:szCs w:val="22"/>
        </w:rPr>
        <w:t>9, 67–80.</w:t>
      </w:r>
    </w:p>
    <w:p w14:paraId="7BDDA641" w14:textId="77777777" w:rsidR="006B3F46" w:rsidRPr="009978E3" w:rsidRDefault="006B3F46" w:rsidP="00907941">
      <w:pPr>
        <w:autoSpaceDE w:val="0"/>
        <w:autoSpaceDN w:val="0"/>
        <w:adjustRightInd w:val="0"/>
        <w:ind w:left="567" w:hanging="567"/>
        <w:jc w:val="both"/>
        <w:rPr>
          <w:sz w:val="22"/>
          <w:szCs w:val="22"/>
        </w:rPr>
      </w:pPr>
      <w:r w:rsidRPr="009978E3">
        <w:rPr>
          <w:sz w:val="22"/>
          <w:szCs w:val="22"/>
        </w:rPr>
        <w:t xml:space="preserve">Chassignet, E. </w:t>
      </w:r>
      <w:r w:rsidRPr="0006066A">
        <w:rPr>
          <w:i/>
          <w:sz w:val="22"/>
          <w:szCs w:val="22"/>
        </w:rPr>
        <w:t>et al</w:t>
      </w:r>
      <w:r w:rsidRPr="009978E3">
        <w:rPr>
          <w:sz w:val="22"/>
          <w:szCs w:val="22"/>
        </w:rPr>
        <w:t>. (2009). US GODAE: Global Ocean Prediction with the HYbrid Coordinate Ocean Model (HYCOM). - Oceanog. 22: 64–75.</w:t>
      </w:r>
    </w:p>
    <w:p w14:paraId="013FFA49" w14:textId="77777777" w:rsidR="006B3F46" w:rsidRPr="009978E3" w:rsidRDefault="006B3F46" w:rsidP="00907941">
      <w:pPr>
        <w:pStyle w:val="EndNoteBibliography"/>
        <w:ind w:left="567" w:hanging="567"/>
        <w:jc w:val="both"/>
        <w:rPr>
          <w:sz w:val="22"/>
          <w:szCs w:val="22"/>
        </w:rPr>
      </w:pPr>
      <w:r w:rsidRPr="009978E3">
        <w:rPr>
          <w:sz w:val="22"/>
          <w:szCs w:val="22"/>
        </w:rPr>
        <w:t xml:space="preserve">Den Hartog J., Clarke M. (1996) A study of stomach contents of Cory's Shearwater, </w:t>
      </w:r>
      <w:r w:rsidRPr="009978E3">
        <w:rPr>
          <w:i/>
          <w:sz w:val="22"/>
          <w:szCs w:val="22"/>
        </w:rPr>
        <w:t>Calonectris diomedea borealis</w:t>
      </w:r>
      <w:r w:rsidRPr="009978E3">
        <w:rPr>
          <w:sz w:val="22"/>
          <w:szCs w:val="22"/>
        </w:rPr>
        <w:t xml:space="preserve"> (Cory, 1881)(Aves: Procellariidae), from the Macaronesian Islands. Zoologische Mededeelingen 70, 117-133.</w:t>
      </w:r>
    </w:p>
    <w:p w14:paraId="0E7180F0" w14:textId="77777777" w:rsidR="006B3F46" w:rsidRPr="009978E3" w:rsidRDefault="006B3F46" w:rsidP="00907941">
      <w:pPr>
        <w:pStyle w:val="EndNoteBibliography"/>
        <w:ind w:left="567" w:hanging="567"/>
        <w:jc w:val="both"/>
        <w:rPr>
          <w:rFonts w:eastAsia="MS Mincho"/>
          <w:sz w:val="22"/>
          <w:szCs w:val="22"/>
          <w:lang w:val="en-US" w:eastAsia="en-US"/>
        </w:rPr>
      </w:pPr>
      <w:r w:rsidRPr="009978E3">
        <w:rPr>
          <w:rFonts w:eastAsia="MS Mincho"/>
          <w:sz w:val="22"/>
          <w:szCs w:val="22"/>
          <w:lang w:val="en-US" w:eastAsia="en-US"/>
        </w:rPr>
        <w:t>Dias M.P., Granadeiro J.P., Phillips R.A., Alonso H., Catry P. (2011) Breaking the routine: individual Cory's shearwaters shift winter destinations between hemispheres and across ocean basins. Proceedings of the Royal Society of London B: Biological Sciences 278, 1786-1793.</w:t>
      </w:r>
    </w:p>
    <w:p w14:paraId="336C366E"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Dias M., Granadeiro J., Catry P. (2012a) Do Seabirds Differ from Other Migrants in Their Travel Arrangements? On Route Strategies of Cory’s Shearwater during Its Trans-Equatorial Journey. PLOS ONE 7, e49376.</w:t>
      </w:r>
    </w:p>
    <w:p w14:paraId="5970E4A0"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 xml:space="preserve">Dias M.P., Romero J., Granadeiro J.P., Catry T., Pollet I.L., Catry P. (2016) Distribution and at-sea activity of a nocturnal seabird, the Bulwer's petrel </w:t>
      </w:r>
      <w:r w:rsidRPr="009978E3">
        <w:rPr>
          <w:rFonts w:eastAsia="MS Mincho"/>
          <w:i/>
          <w:sz w:val="22"/>
          <w:szCs w:val="22"/>
          <w:lang w:eastAsia="en-US"/>
        </w:rPr>
        <w:t>Bulweria bulwerii</w:t>
      </w:r>
      <w:r w:rsidRPr="009978E3">
        <w:rPr>
          <w:rFonts w:eastAsia="MS Mincho"/>
          <w:sz w:val="22"/>
          <w:szCs w:val="22"/>
          <w:lang w:eastAsia="en-US"/>
        </w:rPr>
        <w:t>, during the incubation period. Deep Sea Research Part I: Oceanographic Research Papers 113, 49-56.</w:t>
      </w:r>
    </w:p>
    <w:p w14:paraId="5AFFBB55" w14:textId="77777777" w:rsidR="006B3F46" w:rsidRPr="00F66EF7" w:rsidRDefault="006B3F46" w:rsidP="00907941">
      <w:pPr>
        <w:pStyle w:val="EndNoteBibliography"/>
        <w:ind w:left="567" w:hanging="567"/>
        <w:jc w:val="both"/>
        <w:rPr>
          <w:rFonts w:eastAsia="MS Mincho"/>
          <w:bCs/>
          <w:sz w:val="22"/>
          <w:szCs w:val="22"/>
          <w:lang w:val="en-US" w:eastAsia="en-US"/>
        </w:rPr>
      </w:pPr>
      <w:r w:rsidRPr="009978E3">
        <w:rPr>
          <w:rFonts w:eastAsia="MS Mincho"/>
          <w:bCs/>
          <w:sz w:val="22"/>
          <w:szCs w:val="22"/>
          <w:lang w:val="en-US" w:eastAsia="en-US"/>
        </w:rPr>
        <w:t xml:space="preserve">Donald, P.F., Fishpool, L.D.C., Ajagbe, A., Bennun, L.A., Bunting, G., Burfield, I.J., Butchart, S.H.M., Capellan, S., Crosby, M.J., Dias, M.P., Diaz, D., Evans, M.I., Grimmett, R., Heath, M., Jones, V.R., Lascelles, B.G., Merriman, J.C., O’brien, M., Ramírez, I., Waliczky, Z., Wege, D.C., (2018). Important Bird and Biodiversity Areas (IBAs): the development and characteristics of a global inventory of key sites for biodiversity. Bird Conservation International 1–22. </w:t>
      </w:r>
      <w:hyperlink r:id="rId277" w:history="1">
        <w:r w:rsidRPr="009978E3">
          <w:rPr>
            <w:rStyle w:val="Hyperlink"/>
            <w:rFonts w:eastAsia="MS Mincho"/>
            <w:bCs/>
            <w:sz w:val="22"/>
            <w:szCs w:val="22"/>
            <w:lang w:val="en-US" w:eastAsia="en-US"/>
          </w:rPr>
          <w:t>https://doi.org/10.1017/S0959270918000102</w:t>
        </w:r>
      </w:hyperlink>
    </w:p>
    <w:p w14:paraId="1FC28EF0" w14:textId="77777777" w:rsidR="006B3F46" w:rsidRPr="009978E3" w:rsidRDefault="006B3F46" w:rsidP="00907941">
      <w:pPr>
        <w:pStyle w:val="EndNoteBibliography"/>
        <w:ind w:left="567" w:hanging="567"/>
        <w:jc w:val="both"/>
        <w:rPr>
          <w:sz w:val="22"/>
          <w:szCs w:val="22"/>
        </w:rPr>
      </w:pPr>
      <w:r w:rsidRPr="009978E3">
        <w:rPr>
          <w:sz w:val="22"/>
          <w:szCs w:val="22"/>
        </w:rPr>
        <w:t>Dutkiewicz, S., Rothstein, L. &amp; Rossby, T. (2001) Pathways of cross</w:t>
      </w:r>
      <w:r w:rsidRPr="0021277B">
        <w:rPr>
          <w:rFonts w:ascii="Cambria Math" w:hAnsi="Cambria Math" w:cs="Cambria Math"/>
          <w:sz w:val="22"/>
          <w:szCs w:val="22"/>
        </w:rPr>
        <w:t>‐</w:t>
      </w:r>
      <w:r w:rsidRPr="00F66EF7">
        <w:rPr>
          <w:sz w:val="22"/>
          <w:szCs w:val="22"/>
        </w:rPr>
        <w:t>fr</w:t>
      </w:r>
      <w:r w:rsidRPr="009978E3">
        <w:rPr>
          <w:sz w:val="22"/>
          <w:szCs w:val="22"/>
        </w:rPr>
        <w:t>ontal exchange in the North Atlantic Current. Journal of Geophysical Research: Oceans 106(C11): 26917-26928.</w:t>
      </w:r>
    </w:p>
    <w:p w14:paraId="05F2459D"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Egevang C., Stenhouse I.J., Phillips R.A., Petersen A., Fox J.W., Silk J.R. (2010) Tracking of Arctic terns Sterna paradisaea reveals longest animal migration. Proceedings of the National Academy of Sciences 107, 2078-2081.</w:t>
      </w:r>
    </w:p>
    <w:p w14:paraId="3A6542E5" w14:textId="77777777" w:rsidR="006B3F46" w:rsidRPr="009978E3" w:rsidRDefault="006B3F46" w:rsidP="00907941">
      <w:pPr>
        <w:pStyle w:val="EndNoteBibliography"/>
        <w:ind w:left="567" w:hanging="567"/>
        <w:jc w:val="both"/>
        <w:rPr>
          <w:sz w:val="22"/>
          <w:szCs w:val="22"/>
        </w:rPr>
      </w:pPr>
      <w:r w:rsidRPr="009978E3">
        <w:rPr>
          <w:sz w:val="22"/>
          <w:szCs w:val="22"/>
        </w:rPr>
        <w:t>Frederiksen M., Anker</w:t>
      </w:r>
      <w:r w:rsidRPr="0021277B">
        <w:rPr>
          <w:rFonts w:ascii="Cambria Math" w:hAnsi="Cambria Math" w:cs="Cambria Math"/>
          <w:sz w:val="22"/>
          <w:szCs w:val="22"/>
        </w:rPr>
        <w:t>‐</w:t>
      </w:r>
      <w:r w:rsidRPr="00F66EF7">
        <w:rPr>
          <w:sz w:val="22"/>
          <w:szCs w:val="22"/>
        </w:rPr>
        <w:t>Nilssen T., Beaugrand G., Wanless S. (2013) Climate, copepods and seabirds in the boreal Northeast Atlantic</w:t>
      </w:r>
      <w:r w:rsidRPr="009978E3">
        <w:rPr>
          <w:sz w:val="22"/>
          <w:szCs w:val="22"/>
        </w:rPr>
        <w:t>–current state and future outlook. Global Change Biology 19, 364-372.</w:t>
      </w:r>
    </w:p>
    <w:p w14:paraId="59C42122" w14:textId="77777777" w:rsidR="006B3F46" w:rsidRPr="009978E3" w:rsidRDefault="006B3F46" w:rsidP="00907941">
      <w:pPr>
        <w:pStyle w:val="EndNoteBibliography"/>
        <w:ind w:left="567" w:hanging="567"/>
        <w:jc w:val="both"/>
        <w:rPr>
          <w:sz w:val="22"/>
          <w:szCs w:val="22"/>
        </w:rPr>
      </w:pPr>
      <w:r w:rsidRPr="009978E3">
        <w:rPr>
          <w:sz w:val="22"/>
          <w:szCs w:val="22"/>
        </w:rPr>
        <w:t xml:space="preserve">Frederiksen M., Moe B., Daunt F. </w:t>
      </w:r>
      <w:r w:rsidRPr="0006066A">
        <w:rPr>
          <w:i/>
          <w:sz w:val="22"/>
          <w:szCs w:val="22"/>
        </w:rPr>
        <w:t>et al</w:t>
      </w:r>
      <w:r w:rsidRPr="009978E3">
        <w:rPr>
          <w:sz w:val="22"/>
          <w:szCs w:val="22"/>
        </w:rPr>
        <w:t>. (2012) Multicolony tracking reveals the winter distribution of a pelagic seabird on an ocean basin scale. Diversity and Distributions 18, 530-542.</w:t>
      </w:r>
    </w:p>
    <w:p w14:paraId="5437FC4D" w14:textId="77777777" w:rsidR="006B3F46" w:rsidRPr="009978E3" w:rsidRDefault="006B3F46" w:rsidP="00907941">
      <w:pPr>
        <w:ind w:left="567" w:hanging="567"/>
        <w:jc w:val="both"/>
        <w:rPr>
          <w:iCs/>
          <w:sz w:val="22"/>
          <w:szCs w:val="22"/>
          <w:lang w:eastAsia="en-GB"/>
        </w:rPr>
      </w:pPr>
      <w:r w:rsidRPr="009978E3">
        <w:rPr>
          <w:sz w:val="22"/>
          <w:szCs w:val="22"/>
          <w:shd w:val="clear" w:color="auto" w:fill="FFFFFF"/>
        </w:rPr>
        <w:t>Frederiksen, M., Wanless, S., Harris, M. P., Rothery, P., Wilson, L. J. (2004). The role of industrial fisheries and oceanographic change in the decline of North Sea black-legged kittiwakes. </w:t>
      </w:r>
      <w:r w:rsidRPr="009978E3">
        <w:rPr>
          <w:iCs/>
          <w:sz w:val="22"/>
          <w:szCs w:val="22"/>
          <w:shd w:val="clear" w:color="auto" w:fill="FFFFFF"/>
        </w:rPr>
        <w:t>Journal of Applied Ecology</w:t>
      </w:r>
      <w:r w:rsidRPr="009978E3">
        <w:rPr>
          <w:sz w:val="22"/>
          <w:szCs w:val="22"/>
          <w:shd w:val="clear" w:color="auto" w:fill="FFFFFF"/>
        </w:rPr>
        <w:t> 41: 1129-1139.</w:t>
      </w:r>
    </w:p>
    <w:p w14:paraId="02D705D8"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 xml:space="preserve">Gaard E., Gislason A., Falkenhaug T. </w:t>
      </w:r>
      <w:r w:rsidRPr="0006066A">
        <w:rPr>
          <w:rFonts w:eastAsia="MS Mincho"/>
          <w:i/>
          <w:sz w:val="22"/>
          <w:szCs w:val="22"/>
          <w:lang w:eastAsia="en-US"/>
        </w:rPr>
        <w:t>et al</w:t>
      </w:r>
      <w:r w:rsidRPr="009978E3">
        <w:rPr>
          <w:rFonts w:eastAsia="MS Mincho"/>
          <w:sz w:val="22"/>
          <w:szCs w:val="22"/>
          <w:lang w:eastAsia="en-US"/>
        </w:rPr>
        <w:t>. (2008) Horizontal and vertical copepod distribution and abundance on the Mid-Atlantic Ridge in June 2004. Deep Sea Research Part II: Topical Studies in Oceanography 55, 59-71.</w:t>
      </w:r>
    </w:p>
    <w:p w14:paraId="0E07EA37" w14:textId="77777777" w:rsidR="006B3F46" w:rsidRPr="009978E3" w:rsidRDefault="006B3F46" w:rsidP="00907941">
      <w:pPr>
        <w:pStyle w:val="EndNoteBibliography"/>
        <w:ind w:left="567" w:hanging="567"/>
        <w:jc w:val="both"/>
        <w:rPr>
          <w:color w:val="333333"/>
          <w:sz w:val="22"/>
          <w:szCs w:val="22"/>
          <w:shd w:val="clear" w:color="auto" w:fill="FFFFFF"/>
        </w:rPr>
      </w:pPr>
      <w:r w:rsidRPr="009978E3">
        <w:rPr>
          <w:rFonts w:eastAsia="MS Mincho"/>
          <w:color w:val="000000"/>
          <w:sz w:val="22"/>
          <w:szCs w:val="22"/>
          <w:lang w:val="en-US" w:eastAsia="en-US"/>
        </w:rPr>
        <w:t xml:space="preserve">GFW (2019). Global Fishing Watch dataase. Accessed </w:t>
      </w:r>
      <w:r w:rsidRPr="009978E3">
        <w:rPr>
          <w:sz w:val="22"/>
          <w:szCs w:val="22"/>
          <w:shd w:val="clear" w:color="auto" w:fill="FFFFFF"/>
        </w:rPr>
        <w:t>on 26/09/2019.</w:t>
      </w:r>
    </w:p>
    <w:p w14:paraId="60B1030B" w14:textId="77777777" w:rsidR="006B3F46" w:rsidRPr="009978E3" w:rsidRDefault="006B3F46" w:rsidP="00907941">
      <w:pPr>
        <w:pStyle w:val="EndNoteBibliography"/>
        <w:ind w:left="567" w:hanging="567"/>
        <w:jc w:val="both"/>
        <w:rPr>
          <w:sz w:val="22"/>
          <w:szCs w:val="22"/>
        </w:rPr>
      </w:pPr>
      <w:r w:rsidRPr="009978E3">
        <w:rPr>
          <w:sz w:val="22"/>
          <w:szCs w:val="22"/>
          <w:lang w:val="fr-CA"/>
        </w:rPr>
        <w:t xml:space="preserve">Gilg O., Moe B., Hanssen S.A. </w:t>
      </w:r>
      <w:r w:rsidRPr="0006066A">
        <w:rPr>
          <w:i/>
          <w:sz w:val="22"/>
          <w:szCs w:val="22"/>
          <w:lang w:val="fr-CA"/>
        </w:rPr>
        <w:t>et al</w:t>
      </w:r>
      <w:r w:rsidRPr="009978E3">
        <w:rPr>
          <w:sz w:val="22"/>
          <w:szCs w:val="22"/>
          <w:lang w:val="fr-CA"/>
        </w:rPr>
        <w:t xml:space="preserve">. </w:t>
      </w:r>
      <w:r w:rsidRPr="009978E3">
        <w:rPr>
          <w:sz w:val="22"/>
          <w:szCs w:val="22"/>
        </w:rPr>
        <w:t>(2013) Trans-equatorial migration routes, staging sites and wintering areas of a high-arctic avian predator: the long-tailed skua (</w:t>
      </w:r>
      <w:r w:rsidRPr="009978E3">
        <w:rPr>
          <w:i/>
          <w:sz w:val="22"/>
          <w:szCs w:val="22"/>
        </w:rPr>
        <w:t>Stercorarius longicaudus</w:t>
      </w:r>
      <w:r w:rsidRPr="009978E3">
        <w:rPr>
          <w:sz w:val="22"/>
          <w:szCs w:val="22"/>
        </w:rPr>
        <w:t>). PloS one 8, e64614.</w:t>
      </w:r>
    </w:p>
    <w:p w14:paraId="01CE9D48" w14:textId="77777777" w:rsidR="006B3F46" w:rsidRPr="009978E3" w:rsidRDefault="006B3F46" w:rsidP="00907941">
      <w:pPr>
        <w:pStyle w:val="EndNoteBibliography"/>
        <w:ind w:left="567" w:hanging="567"/>
        <w:jc w:val="both"/>
        <w:rPr>
          <w:sz w:val="22"/>
          <w:szCs w:val="22"/>
        </w:rPr>
      </w:pPr>
      <w:r w:rsidRPr="009978E3">
        <w:rPr>
          <w:sz w:val="22"/>
          <w:szCs w:val="22"/>
        </w:rPr>
        <w:t>Gjøsaeter J., Kawaguchi K. (1980) A review of the world resources of mesopelagic fish. pp. 193-199. FAO Fisheries Technical Paper 193 Food &amp; Agriculture Organisation, Rome, Italy.</w:t>
      </w:r>
    </w:p>
    <w:p w14:paraId="6E74964A"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Gore M.A., Rowat D., Hall J., Gell F.R., Ormond R.F. (2008) Transatlantic migration and deep mid-ocean diving by basking shark. Biology letters 4, 395-398.</w:t>
      </w:r>
    </w:p>
    <w:p w14:paraId="09B68B80" w14:textId="77777777" w:rsidR="006B3F46" w:rsidRPr="009978E3" w:rsidRDefault="006B3F46" w:rsidP="00907941">
      <w:pPr>
        <w:pStyle w:val="EndNoteBibliography"/>
        <w:ind w:left="567" w:hanging="567"/>
        <w:jc w:val="both"/>
        <w:rPr>
          <w:sz w:val="22"/>
          <w:szCs w:val="22"/>
          <w:lang w:val="en-GB"/>
        </w:rPr>
      </w:pPr>
      <w:r w:rsidRPr="009978E3">
        <w:rPr>
          <w:sz w:val="22"/>
          <w:szCs w:val="22"/>
          <w:lang w:val="en-GB"/>
        </w:rPr>
        <w:t xml:space="preserve">Granadeiro J.P., Monteiro L.R., Furness R.W. (1998) Diet and feeding ecology of Cory's shearwater </w:t>
      </w:r>
      <w:r w:rsidRPr="009978E3">
        <w:rPr>
          <w:i/>
          <w:sz w:val="22"/>
          <w:szCs w:val="22"/>
          <w:lang w:val="en-GB"/>
        </w:rPr>
        <w:t>Calonectris diomedea</w:t>
      </w:r>
      <w:r w:rsidRPr="009978E3">
        <w:rPr>
          <w:sz w:val="22"/>
          <w:szCs w:val="22"/>
          <w:lang w:val="en-GB"/>
        </w:rPr>
        <w:t xml:space="preserve"> in the Azores, north-east Atlantic. Marine Ecology Progress Series, 267-276.</w:t>
      </w:r>
    </w:p>
    <w:p w14:paraId="3B126639" w14:textId="77777777" w:rsidR="006B3F46" w:rsidRPr="009978E3" w:rsidRDefault="006B3F46" w:rsidP="00907941">
      <w:pPr>
        <w:pStyle w:val="EndNoteBibliography"/>
        <w:ind w:left="567" w:hanging="567"/>
        <w:jc w:val="both"/>
        <w:rPr>
          <w:sz w:val="22"/>
          <w:szCs w:val="22"/>
          <w:lang w:val="en-GB"/>
        </w:rPr>
      </w:pPr>
      <w:r w:rsidRPr="009978E3">
        <w:rPr>
          <w:sz w:val="22"/>
          <w:szCs w:val="22"/>
          <w:lang w:val="en-GB"/>
        </w:rPr>
        <w:t>Granadeiro J.P., Monteiro L.R., Silva M.C., Furness R.W. (2002) Diet of common terns in the Azores, Northeast Atlantic. Waterbirds 25, 149-155.</w:t>
      </w:r>
    </w:p>
    <w:p w14:paraId="4BE85F70"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 xml:space="preserve">Guilford T., Meade J., Willis J. </w:t>
      </w:r>
      <w:r w:rsidRPr="0006066A">
        <w:rPr>
          <w:rFonts w:eastAsia="MS Mincho"/>
          <w:i/>
          <w:sz w:val="22"/>
          <w:szCs w:val="22"/>
          <w:lang w:eastAsia="en-US"/>
        </w:rPr>
        <w:t>et al</w:t>
      </w:r>
      <w:r w:rsidRPr="009978E3">
        <w:rPr>
          <w:rFonts w:eastAsia="MS Mincho"/>
          <w:sz w:val="22"/>
          <w:szCs w:val="22"/>
          <w:lang w:eastAsia="en-US"/>
        </w:rPr>
        <w:t xml:space="preserve">. (2009) Migration and stopover in a small pelagic seabird, the Manx shearwater </w:t>
      </w:r>
      <w:r w:rsidRPr="009978E3">
        <w:rPr>
          <w:rFonts w:eastAsia="MS Mincho"/>
          <w:i/>
          <w:sz w:val="22"/>
          <w:szCs w:val="22"/>
          <w:lang w:eastAsia="en-US"/>
        </w:rPr>
        <w:t>Puffinus puffinus</w:t>
      </w:r>
      <w:r w:rsidRPr="009978E3">
        <w:rPr>
          <w:rFonts w:eastAsia="MS Mincho"/>
          <w:sz w:val="22"/>
          <w:szCs w:val="22"/>
          <w:lang w:eastAsia="en-US"/>
        </w:rPr>
        <w:t>: insights from machine learning. Proceedings of the Royal Society of London B: Biological Sciences, rspb. 2008.1577.</w:t>
      </w:r>
    </w:p>
    <w:p w14:paraId="2CA23783" w14:textId="77777777" w:rsidR="006B3F46" w:rsidRPr="009978E3" w:rsidRDefault="006B3F46" w:rsidP="00907941">
      <w:pPr>
        <w:pStyle w:val="EndNoteBibliography"/>
        <w:ind w:left="567" w:hanging="567"/>
        <w:jc w:val="both"/>
        <w:rPr>
          <w:sz w:val="22"/>
          <w:szCs w:val="22"/>
        </w:rPr>
      </w:pPr>
      <w:r w:rsidRPr="009978E3">
        <w:rPr>
          <w:sz w:val="22"/>
          <w:szCs w:val="22"/>
        </w:rPr>
        <w:t xml:space="preserve">Harris M.P., Leopold M.F., Jensen J.K., Meesters E.H., Wanless S. (2015) The winter diet of the Atlantic Puffin </w:t>
      </w:r>
      <w:r w:rsidRPr="009978E3">
        <w:rPr>
          <w:i/>
          <w:sz w:val="22"/>
          <w:szCs w:val="22"/>
        </w:rPr>
        <w:t>Fratercula arctica</w:t>
      </w:r>
      <w:r w:rsidRPr="009978E3">
        <w:rPr>
          <w:sz w:val="22"/>
          <w:szCs w:val="22"/>
        </w:rPr>
        <w:t xml:space="preserve"> around the Faroe Islands. Ibis 157, 468-479.</w:t>
      </w:r>
    </w:p>
    <w:p w14:paraId="66385EAD" w14:textId="77777777" w:rsidR="006B3F46" w:rsidRPr="00F66EF7" w:rsidRDefault="006B3F46" w:rsidP="00907941">
      <w:pPr>
        <w:pStyle w:val="EndNoteBibliography"/>
        <w:ind w:left="567" w:hanging="567"/>
        <w:jc w:val="both"/>
        <w:rPr>
          <w:sz w:val="22"/>
          <w:szCs w:val="22"/>
        </w:rPr>
      </w:pPr>
      <w:r w:rsidRPr="009978E3">
        <w:rPr>
          <w:sz w:val="22"/>
          <w:szCs w:val="22"/>
        </w:rPr>
        <w:t xml:space="preserve">Hays, G.C., Houghton, J.D.R., Myers, A.E., (2004). Pan-Atlantic leatherback turtle movements. Nature 429, 522–522. </w:t>
      </w:r>
      <w:hyperlink r:id="rId278" w:history="1">
        <w:r w:rsidRPr="009978E3">
          <w:rPr>
            <w:rStyle w:val="Hyperlink"/>
            <w:sz w:val="22"/>
            <w:szCs w:val="22"/>
          </w:rPr>
          <w:t>https://doi.org/10.1038/429522a</w:t>
        </w:r>
      </w:hyperlink>
    </w:p>
    <w:p w14:paraId="1B94F4A2"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 xml:space="preserve">Hedd A., Montevecchi W.A., Otley H., Phillips R.A., Fifield D.A. (2012) Trans-equatorial migration and habitat use by sooty shearwaters </w:t>
      </w:r>
      <w:r w:rsidRPr="009978E3">
        <w:rPr>
          <w:rFonts w:eastAsia="MS Mincho"/>
          <w:i/>
          <w:sz w:val="22"/>
          <w:szCs w:val="22"/>
          <w:lang w:eastAsia="en-US"/>
        </w:rPr>
        <w:t>Puffinus griseus</w:t>
      </w:r>
      <w:r w:rsidRPr="009978E3">
        <w:rPr>
          <w:rFonts w:eastAsia="MS Mincho"/>
          <w:sz w:val="22"/>
          <w:szCs w:val="22"/>
          <w:lang w:eastAsia="en-US"/>
        </w:rPr>
        <w:t xml:space="preserve"> from the South Atlantic during the nonbreeding season. Marine Ecology Progress Series 449, 277-290.</w:t>
      </w:r>
    </w:p>
    <w:p w14:paraId="3C799FE7" w14:textId="77777777" w:rsidR="006B3F46" w:rsidRPr="009978E3" w:rsidRDefault="006B3F46" w:rsidP="00907941">
      <w:pPr>
        <w:pStyle w:val="EndNoteBibliography"/>
        <w:ind w:left="567" w:hanging="567"/>
        <w:jc w:val="both"/>
        <w:rPr>
          <w:sz w:val="22"/>
          <w:szCs w:val="22"/>
        </w:rPr>
      </w:pPr>
      <w:r w:rsidRPr="009978E3">
        <w:rPr>
          <w:sz w:val="22"/>
          <w:szCs w:val="22"/>
        </w:rPr>
        <w:t>Karnovsky N.J., Hobson K.A., Iverson S., Hunt Jr G.L. (2008) Seasonal changes in diets of seabirds in the North Water Polynya: a multiple-indicator approach. Marine Ecology Progress Series 357, 291-299.</w:t>
      </w:r>
    </w:p>
    <w:p w14:paraId="20F82B79" w14:textId="77777777" w:rsidR="006B3F46" w:rsidRPr="009978E3" w:rsidRDefault="006B3F46" w:rsidP="00907941">
      <w:pPr>
        <w:pStyle w:val="EndNoteBibliography"/>
        <w:ind w:left="567" w:hanging="567"/>
        <w:jc w:val="both"/>
        <w:rPr>
          <w:sz w:val="22"/>
          <w:szCs w:val="22"/>
        </w:rPr>
      </w:pPr>
      <w:r w:rsidRPr="009978E3">
        <w:rPr>
          <w:sz w:val="22"/>
          <w:szCs w:val="22"/>
        </w:rPr>
        <w:t xml:space="preserve">Kopp M., Peter H.-U., Mustafa O. </w:t>
      </w:r>
      <w:r w:rsidRPr="0006066A">
        <w:rPr>
          <w:i/>
          <w:sz w:val="22"/>
          <w:szCs w:val="22"/>
        </w:rPr>
        <w:t>et al</w:t>
      </w:r>
      <w:r w:rsidRPr="009978E3">
        <w:rPr>
          <w:sz w:val="22"/>
          <w:szCs w:val="22"/>
        </w:rPr>
        <w:t>. (2011) South polar skuas from a single breeding population overwinter in different oceans though show similar migration patterns. Marine Ecology Progress Series 435, 263-267.</w:t>
      </w:r>
    </w:p>
    <w:p w14:paraId="6BA89087" w14:textId="77777777" w:rsidR="006B3F46" w:rsidRPr="009978E3" w:rsidRDefault="006B3F46" w:rsidP="00907941">
      <w:pPr>
        <w:pStyle w:val="EndNoteBibliography"/>
        <w:ind w:left="567" w:hanging="567"/>
        <w:jc w:val="both"/>
        <w:rPr>
          <w:sz w:val="22"/>
          <w:szCs w:val="22"/>
        </w:rPr>
      </w:pPr>
      <w:r w:rsidRPr="009978E3">
        <w:rPr>
          <w:sz w:val="22"/>
          <w:szCs w:val="22"/>
        </w:rPr>
        <w:t>Krauss, W. (1986) The north Atlantic current. Journal of Geophysical Research: Oceans 91(C4): 5061-5074.</w:t>
      </w:r>
    </w:p>
    <w:p w14:paraId="3CBD8780" w14:textId="77777777" w:rsidR="006B3F46" w:rsidRPr="009978E3" w:rsidRDefault="006B3F46" w:rsidP="00907941">
      <w:pPr>
        <w:pStyle w:val="EndNoteBibliography"/>
        <w:ind w:left="567" w:hanging="567"/>
        <w:jc w:val="both"/>
        <w:rPr>
          <w:sz w:val="22"/>
          <w:szCs w:val="22"/>
        </w:rPr>
      </w:pPr>
      <w:r w:rsidRPr="009978E3">
        <w:rPr>
          <w:sz w:val="22"/>
          <w:szCs w:val="22"/>
        </w:rPr>
        <w:t>Letessier T., Pond D.W., McGill R.A., Reid W.D., Brierley A.S. (2012) Trophic interaction of invertebrate zooplankton on either side of the a Fracture Zone/Subpolar Front of the Mid-Atlantic Ridge. Journal of marine systems 94, 174-184.</w:t>
      </w:r>
    </w:p>
    <w:p w14:paraId="4E040819" w14:textId="77777777" w:rsidR="006B3F46" w:rsidRPr="00F66EF7" w:rsidRDefault="006B3F46" w:rsidP="00907941">
      <w:pPr>
        <w:pStyle w:val="EndNoteBibliography"/>
        <w:ind w:left="567" w:hanging="567"/>
        <w:jc w:val="both"/>
        <w:rPr>
          <w:sz w:val="22"/>
          <w:szCs w:val="22"/>
        </w:rPr>
      </w:pPr>
      <w:r w:rsidRPr="009978E3">
        <w:rPr>
          <w:sz w:val="22"/>
          <w:szCs w:val="22"/>
          <w:lang w:val="en-GB"/>
        </w:rPr>
        <w:t xml:space="preserve">Magalhães, M.C., Santos, R.S., Hamer, K.C., (2008). </w:t>
      </w:r>
      <w:r w:rsidRPr="009978E3">
        <w:rPr>
          <w:sz w:val="22"/>
          <w:szCs w:val="22"/>
        </w:rPr>
        <w:t xml:space="preserve">Dual-foraging of Cory’s shearwaters in the Azores: feeding locations, behaviour at sea and implications for food provisioning of chicks. Marine Ecology Progress Series 359, 283–293. </w:t>
      </w:r>
      <w:hyperlink r:id="rId279" w:history="1">
        <w:r w:rsidRPr="009978E3">
          <w:rPr>
            <w:rStyle w:val="Hyperlink"/>
            <w:sz w:val="22"/>
            <w:szCs w:val="22"/>
          </w:rPr>
          <w:t>https://doi.org/10.3354/meps07340</w:t>
        </w:r>
      </w:hyperlink>
    </w:p>
    <w:p w14:paraId="0BB795AE" w14:textId="77777777" w:rsidR="006B3F46" w:rsidRPr="009978E3" w:rsidRDefault="006B3F46" w:rsidP="00907941">
      <w:pPr>
        <w:pStyle w:val="EndNoteBibliography"/>
        <w:ind w:left="567" w:hanging="567"/>
        <w:jc w:val="both"/>
        <w:rPr>
          <w:sz w:val="22"/>
          <w:szCs w:val="22"/>
        </w:rPr>
      </w:pPr>
      <w:r w:rsidRPr="009978E3">
        <w:rPr>
          <w:sz w:val="22"/>
          <w:szCs w:val="22"/>
        </w:rPr>
        <w:t>Marzocchi, A., Hirschi, J. J. M., Holliday, N. P., Cunningham, S. A., Blaker, A. T. &amp; Coward, A. C. (2015) The North Atlantic subpolar circulation in an eddy-resolving global ocean model. Journal of Marine Systems 142: 126-143.</w:t>
      </w:r>
    </w:p>
    <w:p w14:paraId="1CF5EB96" w14:textId="77777777" w:rsidR="006B3F46" w:rsidRPr="009978E3" w:rsidRDefault="006B3F46" w:rsidP="00907941">
      <w:pPr>
        <w:pStyle w:val="EndNoteBibliography"/>
        <w:ind w:left="567" w:hanging="567"/>
        <w:jc w:val="both"/>
        <w:rPr>
          <w:sz w:val="22"/>
          <w:szCs w:val="22"/>
        </w:rPr>
      </w:pPr>
      <w:r w:rsidRPr="009978E3">
        <w:rPr>
          <w:sz w:val="22"/>
          <w:szCs w:val="22"/>
        </w:rPr>
        <w:t>Mehlum F., Gabrielsen G. (1993) The diet of high-arctic seabirds in coastal and ice-covered, pelagic areas near the Svalbard archipelago. Polar research 12, 1-20.</w:t>
      </w:r>
    </w:p>
    <w:p w14:paraId="215B95E3" w14:textId="77777777" w:rsidR="006B3F46" w:rsidRPr="009978E3" w:rsidRDefault="006B3F46" w:rsidP="00907941">
      <w:pPr>
        <w:pStyle w:val="EndNoteBibliography"/>
        <w:ind w:left="567" w:hanging="567"/>
        <w:jc w:val="both"/>
        <w:rPr>
          <w:sz w:val="22"/>
          <w:szCs w:val="22"/>
          <w:lang w:eastAsia="en-US"/>
        </w:rPr>
      </w:pPr>
      <w:r w:rsidRPr="009978E3">
        <w:rPr>
          <w:sz w:val="22"/>
          <w:szCs w:val="22"/>
          <w:lang w:eastAsia="en-US"/>
        </w:rPr>
        <w:t xml:space="preserve">Melcón, M.L., Cummins, A.J., Kerosky, S.M., Roche, L.K., Wiggins, S.M., Hildebrand, J.A., (2012). Blue Whales Respond to Anthropogenic Noise. PLOS ONE 7, e32681. </w:t>
      </w:r>
      <w:hyperlink r:id="rId280" w:history="1">
        <w:r w:rsidRPr="009978E3">
          <w:rPr>
            <w:rStyle w:val="Hyperlink"/>
            <w:sz w:val="22"/>
            <w:szCs w:val="22"/>
            <w:lang w:eastAsia="en-US"/>
          </w:rPr>
          <w:t>https://doi.org/10.1371/journal.pone.0032681</w:t>
        </w:r>
      </w:hyperlink>
      <w:r w:rsidRPr="00F66EF7">
        <w:rPr>
          <w:sz w:val="22"/>
          <w:szCs w:val="22"/>
          <w:lang w:eastAsia="en-US"/>
        </w:rPr>
        <w:t xml:space="preserve"> </w:t>
      </w:r>
    </w:p>
    <w:p w14:paraId="5191E860" w14:textId="77777777" w:rsidR="006B3F46" w:rsidRPr="009978E3" w:rsidRDefault="006B3F46" w:rsidP="00907941">
      <w:pPr>
        <w:pStyle w:val="EndNoteBibliography"/>
        <w:ind w:left="567" w:hanging="567"/>
        <w:jc w:val="both"/>
        <w:rPr>
          <w:sz w:val="22"/>
          <w:szCs w:val="22"/>
        </w:rPr>
      </w:pPr>
      <w:r w:rsidRPr="009978E3">
        <w:rPr>
          <w:sz w:val="22"/>
          <w:szCs w:val="22"/>
        </w:rPr>
        <w:t>Miller, P. I., Read, J. F. &amp; Dale, A. C. (2013) Thermal front variability along the North Atlantic Current observed using microwave and infrared satellite data. Deep Sea Research Part II: Topical Studies in Oceanography 98: 244-256.</w:t>
      </w:r>
    </w:p>
    <w:p w14:paraId="658C8C94"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Morato T., Miller P.I., Dunn D.C., Nicol S.J., Bowcott J., Halpin P.N. (2016) A perspective on the importance of oceanic fronts in promoting aggregation of visitors to seamounts. Fish and Fisheries 17, 1227-1233.</w:t>
      </w:r>
    </w:p>
    <w:p w14:paraId="5BFA0492" w14:textId="77777777" w:rsidR="006B3F46" w:rsidRPr="009978E3" w:rsidRDefault="006B3F46" w:rsidP="00907941">
      <w:pPr>
        <w:pStyle w:val="EndNoteBibliography"/>
        <w:ind w:left="567" w:hanging="567"/>
        <w:jc w:val="both"/>
        <w:rPr>
          <w:sz w:val="22"/>
          <w:szCs w:val="22"/>
        </w:rPr>
      </w:pPr>
      <w:r w:rsidRPr="009978E3">
        <w:rPr>
          <w:sz w:val="22"/>
          <w:szCs w:val="22"/>
        </w:rPr>
        <w:t xml:space="preserve">Neves V.C., Bried J., González-Solís J., Roscales J.L., Clarke M.R. (2012) Feeding ecology and movements of the Barolo shearwater </w:t>
      </w:r>
      <w:r w:rsidRPr="009978E3">
        <w:rPr>
          <w:i/>
          <w:sz w:val="22"/>
          <w:szCs w:val="22"/>
        </w:rPr>
        <w:t>Puffinus baroli baroli</w:t>
      </w:r>
      <w:r w:rsidRPr="009978E3">
        <w:rPr>
          <w:sz w:val="22"/>
          <w:szCs w:val="22"/>
        </w:rPr>
        <w:t xml:space="preserve"> in the Azores, NE Atlantic. Marine Ecology Progress Series 452, 269-285.</w:t>
      </w:r>
    </w:p>
    <w:p w14:paraId="218E4A14" w14:textId="77777777" w:rsidR="006B3F46" w:rsidRPr="009978E3" w:rsidRDefault="006B3F46" w:rsidP="00907941">
      <w:pPr>
        <w:pStyle w:val="EndNoteBibliography"/>
        <w:ind w:left="567" w:hanging="567"/>
        <w:jc w:val="both"/>
        <w:rPr>
          <w:sz w:val="22"/>
          <w:szCs w:val="22"/>
          <w:shd w:val="clear" w:color="auto" w:fill="FFFFFF"/>
        </w:rPr>
      </w:pPr>
      <w:r w:rsidRPr="009978E3">
        <w:rPr>
          <w:sz w:val="22"/>
          <w:szCs w:val="22"/>
          <w:shd w:val="clear" w:color="auto" w:fill="FFFFFF"/>
        </w:rPr>
        <w:t>Nikolaeva, N.G.; Spiridonov, V.A.; Krasnov, Y.V. (2006). Existing and proposed marine protected areas and their relevance for seabird conservation: a case study in the Barents Sea region. In: G. Boere, C. Galbraith and D. Stroud (eds), </w:t>
      </w:r>
      <w:r w:rsidRPr="009978E3">
        <w:rPr>
          <w:iCs/>
          <w:sz w:val="22"/>
          <w:szCs w:val="22"/>
          <w:shd w:val="clear" w:color="auto" w:fill="FFFFFF"/>
        </w:rPr>
        <w:t>Waterbirds around the world</w:t>
      </w:r>
      <w:r w:rsidRPr="009978E3">
        <w:rPr>
          <w:sz w:val="22"/>
          <w:szCs w:val="22"/>
          <w:shd w:val="clear" w:color="auto" w:fill="FFFFFF"/>
        </w:rPr>
        <w:t>, pp. 743-749. The Stationery Office, Edinburgh, UK.</w:t>
      </w:r>
    </w:p>
    <w:p w14:paraId="6ABCB076" w14:textId="77777777" w:rsidR="006B3F46" w:rsidRPr="009978E3" w:rsidRDefault="006B3F46" w:rsidP="00907941">
      <w:pPr>
        <w:pStyle w:val="EndNoteBibliography"/>
        <w:ind w:left="567" w:hanging="567"/>
        <w:jc w:val="both"/>
        <w:rPr>
          <w:rFonts w:eastAsia="Times New Roman"/>
          <w:sz w:val="22"/>
          <w:szCs w:val="22"/>
        </w:rPr>
      </w:pPr>
      <w:r w:rsidRPr="009978E3">
        <w:rPr>
          <w:rFonts w:eastAsia="Times New Roman"/>
          <w:sz w:val="22"/>
          <w:szCs w:val="22"/>
        </w:rPr>
        <w:t>Olsen, E., Budgell P., Head E., Kleivane L., Nottestad L., Prieto R., Silva M., Skov H., Vikingsson G., Waring G., Oien N. 2009. First satellite-tracked long-distance movement of a Sei Whale (</w:t>
      </w:r>
      <w:r w:rsidRPr="009978E3">
        <w:rPr>
          <w:rFonts w:eastAsia="Times New Roman"/>
          <w:i/>
          <w:sz w:val="22"/>
          <w:szCs w:val="22"/>
        </w:rPr>
        <w:t>Balaenoptera borealis</w:t>
      </w:r>
      <w:r w:rsidRPr="009978E3">
        <w:rPr>
          <w:rFonts w:eastAsia="Times New Roman"/>
          <w:sz w:val="22"/>
          <w:szCs w:val="22"/>
        </w:rPr>
        <w:t>) in the North Atlantic. Aquatic Mammals, 35(3): 313-318</w:t>
      </w:r>
    </w:p>
    <w:p w14:paraId="63CA9ED8" w14:textId="77777777" w:rsidR="006B3F46" w:rsidRPr="009978E3" w:rsidRDefault="006B3F46" w:rsidP="00907941">
      <w:pPr>
        <w:ind w:left="567" w:hanging="567"/>
        <w:jc w:val="both"/>
        <w:rPr>
          <w:iCs/>
          <w:sz w:val="22"/>
          <w:szCs w:val="22"/>
          <w:lang w:eastAsia="en-GB"/>
        </w:rPr>
      </w:pPr>
      <w:r w:rsidRPr="009978E3">
        <w:rPr>
          <w:sz w:val="22"/>
          <w:szCs w:val="22"/>
          <w:lang w:eastAsia="en-GB"/>
        </w:rPr>
        <w:t xml:space="preserve">OSPAR (2009a). Background document for Black-legged Kittiwake </w:t>
      </w:r>
      <w:r w:rsidRPr="009978E3">
        <w:rPr>
          <w:i/>
          <w:sz w:val="22"/>
          <w:szCs w:val="22"/>
        </w:rPr>
        <w:t>Rissa tridactyla</w:t>
      </w:r>
      <w:r w:rsidRPr="009978E3">
        <w:rPr>
          <w:sz w:val="22"/>
          <w:szCs w:val="22"/>
        </w:rPr>
        <w:t xml:space="preserve">. </w:t>
      </w:r>
      <w:r w:rsidRPr="009978E3">
        <w:rPr>
          <w:iCs/>
          <w:sz w:val="22"/>
          <w:szCs w:val="22"/>
          <w:lang w:eastAsia="en-GB"/>
        </w:rPr>
        <w:t xml:space="preserve">Biodiversity Series. </w:t>
      </w:r>
    </w:p>
    <w:p w14:paraId="6F3CA799" w14:textId="77777777" w:rsidR="006B3F46" w:rsidRPr="009978E3" w:rsidRDefault="006B3F46" w:rsidP="00907941">
      <w:pPr>
        <w:ind w:left="567" w:hanging="567"/>
        <w:jc w:val="both"/>
        <w:rPr>
          <w:iCs/>
          <w:sz w:val="22"/>
          <w:szCs w:val="22"/>
          <w:lang w:eastAsia="en-GB"/>
        </w:rPr>
      </w:pPr>
      <w:r w:rsidRPr="009978E3">
        <w:rPr>
          <w:sz w:val="22"/>
          <w:szCs w:val="22"/>
          <w:lang w:eastAsia="en-GB"/>
        </w:rPr>
        <w:t xml:space="preserve">OSPAR (2009b). Background document for </w:t>
      </w:r>
      <w:r w:rsidRPr="009978E3">
        <w:rPr>
          <w:sz w:val="22"/>
          <w:szCs w:val="22"/>
        </w:rPr>
        <w:t xml:space="preserve">Audubon’s Shearwater </w:t>
      </w:r>
      <w:r w:rsidRPr="009978E3">
        <w:rPr>
          <w:bCs/>
          <w:i/>
          <w:sz w:val="22"/>
          <w:szCs w:val="22"/>
        </w:rPr>
        <w:t>Puffinus lherminieri</w:t>
      </w:r>
      <w:r w:rsidRPr="009978E3">
        <w:rPr>
          <w:sz w:val="22"/>
          <w:szCs w:val="22"/>
        </w:rPr>
        <w:t xml:space="preserve">. </w:t>
      </w:r>
      <w:r w:rsidRPr="009978E3">
        <w:rPr>
          <w:iCs/>
          <w:sz w:val="22"/>
          <w:szCs w:val="22"/>
          <w:lang w:eastAsia="en-GB"/>
        </w:rPr>
        <w:t>Biodiversity Series.</w:t>
      </w:r>
    </w:p>
    <w:p w14:paraId="04F67E57" w14:textId="77777777" w:rsidR="006B3F46" w:rsidRPr="009978E3" w:rsidRDefault="006B3F46" w:rsidP="00907941">
      <w:pPr>
        <w:pStyle w:val="EndNoteBibliography"/>
        <w:ind w:left="567" w:hanging="567"/>
        <w:jc w:val="both"/>
        <w:rPr>
          <w:sz w:val="22"/>
          <w:szCs w:val="22"/>
          <w:shd w:val="clear" w:color="auto" w:fill="FFFFFF"/>
        </w:rPr>
      </w:pPr>
      <w:r w:rsidRPr="009978E3">
        <w:rPr>
          <w:sz w:val="22"/>
          <w:szCs w:val="22"/>
          <w:lang w:eastAsia="en-GB"/>
        </w:rPr>
        <w:t xml:space="preserve">OSPAR (2009c). Background document for </w:t>
      </w:r>
      <w:r w:rsidRPr="009978E3">
        <w:rPr>
          <w:sz w:val="22"/>
          <w:szCs w:val="22"/>
        </w:rPr>
        <w:t xml:space="preserve">Thick-billed Murre </w:t>
      </w:r>
      <w:r w:rsidRPr="009978E3">
        <w:rPr>
          <w:i/>
          <w:sz w:val="22"/>
          <w:szCs w:val="22"/>
        </w:rPr>
        <w:t>Uria lomvia</w:t>
      </w:r>
      <w:r w:rsidRPr="009978E3">
        <w:rPr>
          <w:sz w:val="22"/>
          <w:szCs w:val="22"/>
        </w:rPr>
        <w:t xml:space="preserve">. </w:t>
      </w:r>
      <w:r w:rsidRPr="009978E3">
        <w:rPr>
          <w:iCs/>
          <w:sz w:val="22"/>
          <w:szCs w:val="22"/>
          <w:lang w:eastAsia="en-GB"/>
        </w:rPr>
        <w:t>Biodiversity Series</w:t>
      </w:r>
    </w:p>
    <w:p w14:paraId="7F59767D" w14:textId="77777777" w:rsidR="006B3F46" w:rsidRPr="009978E3" w:rsidRDefault="006B3F46" w:rsidP="00907941">
      <w:pPr>
        <w:pStyle w:val="EndNoteBibliography"/>
        <w:ind w:left="567" w:hanging="567"/>
        <w:jc w:val="both"/>
        <w:rPr>
          <w:sz w:val="22"/>
          <w:szCs w:val="22"/>
          <w:lang w:val="en-GB"/>
        </w:rPr>
      </w:pPr>
      <w:r w:rsidRPr="009978E3">
        <w:rPr>
          <w:sz w:val="22"/>
          <w:szCs w:val="22"/>
          <w:lang w:val="en-GB"/>
        </w:rPr>
        <w:t xml:space="preserve">Paredes R., Orben R.A., Suryan R.M. </w:t>
      </w:r>
      <w:r w:rsidRPr="0006066A">
        <w:rPr>
          <w:i/>
          <w:sz w:val="22"/>
          <w:szCs w:val="22"/>
          <w:lang w:val="en-GB"/>
        </w:rPr>
        <w:t>et al</w:t>
      </w:r>
      <w:r w:rsidRPr="009978E3">
        <w:rPr>
          <w:sz w:val="22"/>
          <w:szCs w:val="22"/>
          <w:lang w:val="en-GB"/>
        </w:rPr>
        <w:t>. (2014) Foraging responses of black-legged kittiwakes to prolonged food-shortages around colonies on the Bering Sea shelf. PloS one 9, e92520.</w:t>
      </w:r>
    </w:p>
    <w:p w14:paraId="2623A408" w14:textId="77777777" w:rsidR="006B3F46" w:rsidRPr="009978E3" w:rsidRDefault="006B3F46" w:rsidP="00907941">
      <w:pPr>
        <w:pStyle w:val="EndNoteBibliography"/>
        <w:ind w:left="567" w:hanging="567"/>
        <w:jc w:val="both"/>
        <w:rPr>
          <w:sz w:val="22"/>
          <w:szCs w:val="22"/>
          <w:lang w:val="en-GB"/>
        </w:rPr>
      </w:pPr>
      <w:r w:rsidRPr="009978E3">
        <w:rPr>
          <w:sz w:val="22"/>
          <w:szCs w:val="22"/>
          <w:lang w:val="en-GB" w:eastAsia="en-US"/>
        </w:rPr>
        <w:t xml:space="preserve">PASTA MARE (2019). </w:t>
      </w:r>
      <w:r w:rsidRPr="009978E3">
        <w:rPr>
          <w:sz w:val="22"/>
          <w:szCs w:val="22"/>
          <w:lang w:eastAsia="en-US"/>
        </w:rPr>
        <w:t xml:space="preserve">Maritime traffic density.  Available at </w:t>
      </w:r>
      <w:hyperlink r:id="rId281" w:history="1">
        <w:r w:rsidRPr="009978E3">
          <w:rPr>
            <w:rStyle w:val="Hyperlink"/>
            <w:sz w:val="22"/>
            <w:szCs w:val="22"/>
          </w:rPr>
          <w:t>https://octopus.zoo.ox.ac.uk/beta/data</w:t>
        </w:r>
      </w:hyperlink>
      <w:r w:rsidRPr="00F66EF7">
        <w:rPr>
          <w:sz w:val="22"/>
          <w:szCs w:val="22"/>
          <w:lang w:eastAsia="en-US"/>
        </w:rPr>
        <w:t xml:space="preserve"> </w:t>
      </w:r>
    </w:p>
    <w:p w14:paraId="40587BE2"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Pelegrí J., Marrero-Díaz A., Ratsimandresy A. (2006) Nutrient irrigation of the North Atlantic. Progress in Oceanography 70, 366-406.</w:t>
      </w:r>
    </w:p>
    <w:p w14:paraId="1D9550B0" w14:textId="77777777" w:rsidR="006B3F46" w:rsidRPr="009978E3" w:rsidRDefault="006B3F46" w:rsidP="00907941">
      <w:pPr>
        <w:ind w:left="567" w:hanging="567"/>
        <w:jc w:val="both"/>
        <w:rPr>
          <w:noProof/>
          <w:sz w:val="22"/>
          <w:szCs w:val="22"/>
        </w:rPr>
      </w:pPr>
      <w:r w:rsidRPr="009978E3">
        <w:rPr>
          <w:noProof/>
          <w:sz w:val="22"/>
          <w:szCs w:val="22"/>
        </w:rPr>
        <w:t>Petry M.V., da Silva Fonseca V.S., Krüger-Garcia L., da Cruz Piuco R., Brummelhaus J. (2008) Shearwater diet during migration along the coast of Rio Grande do Sul, Brazil. Marine Biology 154, 613-621.</w:t>
      </w:r>
    </w:p>
    <w:p w14:paraId="044543A3" w14:textId="77777777" w:rsidR="006B3F46" w:rsidRPr="009978E3" w:rsidRDefault="006B3F46" w:rsidP="00907941">
      <w:pPr>
        <w:ind w:left="567" w:hanging="567"/>
        <w:jc w:val="both"/>
        <w:rPr>
          <w:sz w:val="22"/>
          <w:szCs w:val="22"/>
        </w:rPr>
      </w:pPr>
      <w:r w:rsidRPr="009978E3">
        <w:rPr>
          <w:sz w:val="22"/>
          <w:szCs w:val="22"/>
        </w:rPr>
        <w:t>Prieto, R., Silva, M.A., Waring, G. &amp; Gonçalves, J. (2014). Sei whale movements and behavior in the North Atlantic inferred from satellite telemetry. Endangered Species Research. 26. 103-113. DOI: https://doi.org/10.3354/esr00630</w:t>
      </w:r>
    </w:p>
    <w:p w14:paraId="70407391" w14:textId="77777777" w:rsidR="006B3F46" w:rsidRPr="00F66EF7" w:rsidRDefault="006B3F46" w:rsidP="00907941">
      <w:pPr>
        <w:pStyle w:val="EndNoteBibliography"/>
        <w:ind w:left="567" w:hanging="567"/>
        <w:jc w:val="both"/>
        <w:rPr>
          <w:sz w:val="22"/>
          <w:szCs w:val="22"/>
          <w:lang w:val="pt-PT"/>
        </w:rPr>
      </w:pPr>
      <w:r w:rsidRPr="009978E3">
        <w:rPr>
          <w:sz w:val="22"/>
          <w:szCs w:val="22"/>
        </w:rPr>
        <w:t xml:space="preserve">Queiroz, N., Humphries, N.E., Mucientes, G., Hammerschlag, N., Lima, F.P., Scales, K.L., Miller, P.I., Sousa, L.L., Seabra, R., Sims, D.W., (2016). Ocean-wide tracking of pelagic sharks reveals extent of overlap with longline fishing hotspots. </w:t>
      </w:r>
      <w:r w:rsidRPr="009978E3">
        <w:rPr>
          <w:sz w:val="22"/>
          <w:szCs w:val="22"/>
          <w:lang w:val="pt-PT"/>
        </w:rPr>
        <w:t xml:space="preserve">PNAS 113, 1582–1587. </w:t>
      </w:r>
      <w:hyperlink r:id="rId282" w:history="1">
        <w:r w:rsidRPr="009978E3">
          <w:rPr>
            <w:rStyle w:val="Hyperlink"/>
            <w:sz w:val="22"/>
            <w:szCs w:val="22"/>
            <w:lang w:val="pt-PT"/>
          </w:rPr>
          <w:t>https://doi.org/10.1073/pnas.1510090113</w:t>
        </w:r>
      </w:hyperlink>
    </w:p>
    <w:p w14:paraId="739E7A15" w14:textId="77777777" w:rsidR="006B3F46" w:rsidRPr="009978E3" w:rsidRDefault="006B3F46" w:rsidP="00907941">
      <w:pPr>
        <w:pStyle w:val="EndNoteBibliography"/>
        <w:ind w:left="567" w:hanging="567"/>
        <w:jc w:val="both"/>
        <w:rPr>
          <w:sz w:val="22"/>
          <w:szCs w:val="22"/>
        </w:rPr>
      </w:pPr>
      <w:r w:rsidRPr="009978E3">
        <w:rPr>
          <w:sz w:val="22"/>
          <w:szCs w:val="22"/>
          <w:lang w:val="pt-PT"/>
        </w:rPr>
        <w:t xml:space="preserve">Ramos R., Ramírez I., Paiva V.H. </w:t>
      </w:r>
      <w:r w:rsidRPr="0006066A">
        <w:rPr>
          <w:i/>
          <w:sz w:val="22"/>
          <w:szCs w:val="22"/>
          <w:lang w:val="pt-PT"/>
        </w:rPr>
        <w:t>et al</w:t>
      </w:r>
      <w:r w:rsidRPr="009978E3">
        <w:rPr>
          <w:sz w:val="22"/>
          <w:szCs w:val="22"/>
          <w:lang w:val="pt-PT"/>
        </w:rPr>
        <w:t xml:space="preserve">. </w:t>
      </w:r>
      <w:r w:rsidRPr="009978E3">
        <w:rPr>
          <w:sz w:val="22"/>
          <w:szCs w:val="22"/>
        </w:rPr>
        <w:t>(2016) Global spatial ecology of three closely-related gadfly petrels. Scientific reports 6.</w:t>
      </w:r>
    </w:p>
    <w:p w14:paraId="21BE73F0" w14:textId="77777777" w:rsidR="006B3F46" w:rsidRPr="009978E3" w:rsidRDefault="006B3F46" w:rsidP="00907941">
      <w:pPr>
        <w:pStyle w:val="EndNoteBibliography"/>
        <w:ind w:left="567" w:hanging="567"/>
        <w:jc w:val="both"/>
        <w:rPr>
          <w:sz w:val="22"/>
          <w:szCs w:val="22"/>
        </w:rPr>
      </w:pPr>
      <w:r w:rsidRPr="009978E3">
        <w:rPr>
          <w:sz w:val="22"/>
          <w:szCs w:val="22"/>
        </w:rPr>
        <w:t>Read, J., Pollard, R., Miller, P. &amp; Dale, A. (2010) Circulation and variability of the North Atlantic Current in the vicinity of the Mid-Atlantic Ridge. Deep Sea Research Part I: Oceanographic Research Papers 57(3): 307-318.</w:t>
      </w:r>
    </w:p>
    <w:p w14:paraId="22727EDA" w14:textId="77777777" w:rsidR="006B3F46" w:rsidRPr="009978E3" w:rsidRDefault="006B3F46" w:rsidP="00907941">
      <w:pPr>
        <w:autoSpaceDE w:val="0"/>
        <w:autoSpaceDN w:val="0"/>
        <w:adjustRightInd w:val="0"/>
        <w:ind w:left="567" w:hanging="567"/>
        <w:jc w:val="both"/>
        <w:rPr>
          <w:sz w:val="22"/>
          <w:szCs w:val="22"/>
        </w:rPr>
      </w:pPr>
      <w:r w:rsidRPr="009978E3">
        <w:rPr>
          <w:sz w:val="22"/>
          <w:szCs w:val="22"/>
        </w:rPr>
        <w:t>Roberts, J.J., B.D. Best, D.C. Dunn, E.A. Treml, and P.N. Halpin (2010). Marine Geospatial Ecology Tools: An integrated framework for ecological geoprocessing with ArcGIS, Python,R, MATLAB, and C++. Environmental Modelling &amp; Software 25: 1197-1207.</w:t>
      </w:r>
    </w:p>
    <w:p w14:paraId="1D7941AC" w14:textId="77777777" w:rsidR="006B3F46" w:rsidRPr="009978E3" w:rsidRDefault="006B3F46" w:rsidP="00907941">
      <w:pPr>
        <w:pStyle w:val="EndNoteBibliography"/>
        <w:ind w:left="567" w:hanging="567"/>
        <w:jc w:val="both"/>
        <w:rPr>
          <w:sz w:val="22"/>
          <w:szCs w:val="22"/>
        </w:rPr>
      </w:pPr>
      <w:r w:rsidRPr="009978E3">
        <w:rPr>
          <w:sz w:val="22"/>
          <w:szCs w:val="22"/>
        </w:rPr>
        <w:t>Rossby, T. (1996) The North Atlantic Current and surrounding waters: At the crossroads. Reviews of Geophysics 34(4): 463-481.</w:t>
      </w:r>
    </w:p>
    <w:p w14:paraId="4FD91A1B" w14:textId="77777777" w:rsidR="006B3F46" w:rsidRPr="009978E3" w:rsidRDefault="006B3F46" w:rsidP="00907941">
      <w:pPr>
        <w:ind w:left="567" w:hanging="567"/>
        <w:jc w:val="both"/>
        <w:rPr>
          <w:rFonts w:eastAsia="MS Mincho"/>
          <w:noProof/>
          <w:sz w:val="22"/>
          <w:szCs w:val="22"/>
          <w:lang w:val="pt-PT"/>
        </w:rPr>
      </w:pPr>
      <w:r w:rsidRPr="009978E3">
        <w:rPr>
          <w:rFonts w:eastAsia="MS Mincho"/>
          <w:noProof/>
          <w:sz w:val="22"/>
          <w:szCs w:val="22"/>
        </w:rPr>
        <w:t>Scales K.L., Miller P.I., Hawkes L.A., Ingram S.N., Sims D.W., Votier S.C. (2014) On the Front Line: frontal zones as priority at</w:t>
      </w:r>
      <w:r w:rsidRPr="0021277B">
        <w:rPr>
          <w:rFonts w:ascii="Cambria Math" w:eastAsia="MS Mincho" w:hAnsi="Cambria Math" w:cs="Cambria Math"/>
          <w:noProof/>
          <w:sz w:val="22"/>
          <w:szCs w:val="22"/>
        </w:rPr>
        <w:t>‐</w:t>
      </w:r>
      <w:r w:rsidRPr="00F66EF7">
        <w:rPr>
          <w:rFonts w:eastAsia="MS Mincho"/>
          <w:noProof/>
          <w:sz w:val="22"/>
          <w:szCs w:val="22"/>
        </w:rPr>
        <w:t xml:space="preserve">sea conservation areas for mobile marine vertebrates. </w:t>
      </w:r>
      <w:r w:rsidRPr="009978E3">
        <w:rPr>
          <w:rFonts w:eastAsia="MS Mincho"/>
          <w:noProof/>
          <w:sz w:val="22"/>
          <w:szCs w:val="22"/>
          <w:lang w:val="pt-PT"/>
        </w:rPr>
        <w:t>Journal of Applied Ecology 51, 1575-1583.</w:t>
      </w:r>
    </w:p>
    <w:p w14:paraId="56CB679B" w14:textId="77777777" w:rsidR="006B3F46" w:rsidRPr="009978E3" w:rsidRDefault="006B3F46" w:rsidP="00907941">
      <w:pPr>
        <w:ind w:left="567" w:hanging="567"/>
        <w:jc w:val="both"/>
        <w:rPr>
          <w:sz w:val="22"/>
          <w:szCs w:val="22"/>
          <w:lang w:val="pt-PT"/>
        </w:rPr>
      </w:pPr>
      <w:r w:rsidRPr="009978E3">
        <w:rPr>
          <w:sz w:val="22"/>
          <w:szCs w:val="22"/>
          <w:lang w:val="pt-PT"/>
        </w:rPr>
        <w:t xml:space="preserve">Silva, M., Catry, P., Menezes, D., Zino, F., Viveiros, C., Camara, J., Gouveia, P., Gomes, J., Catry, T., Granadeiro, J.P. (2019). </w:t>
      </w:r>
      <w:r w:rsidRPr="009978E3">
        <w:rPr>
          <w:sz w:val="22"/>
          <w:szCs w:val="22"/>
        </w:rPr>
        <w:t>Mechanisms of breeding asynchrony in sympatric Portuguese seabirds, the endangered Zino’s Petrel (</w:t>
      </w:r>
      <w:r w:rsidRPr="009978E3">
        <w:rPr>
          <w:i/>
          <w:sz w:val="22"/>
          <w:szCs w:val="22"/>
        </w:rPr>
        <w:t>Pterodroma madeira</w:t>
      </w:r>
      <w:r w:rsidRPr="009978E3">
        <w:rPr>
          <w:sz w:val="22"/>
          <w:szCs w:val="22"/>
        </w:rPr>
        <w:t>) and Deserta´s Petrel (</w:t>
      </w:r>
      <w:r w:rsidRPr="009978E3">
        <w:rPr>
          <w:i/>
          <w:sz w:val="22"/>
          <w:szCs w:val="22"/>
        </w:rPr>
        <w:t>Pterodroma deserta</w:t>
      </w:r>
      <w:r w:rsidRPr="009978E3">
        <w:rPr>
          <w:sz w:val="22"/>
          <w:szCs w:val="22"/>
        </w:rPr>
        <w:t xml:space="preserve">). in SPEA (2019) (Eds). </w:t>
      </w:r>
      <w:r w:rsidRPr="009978E3">
        <w:rPr>
          <w:sz w:val="22"/>
          <w:szCs w:val="22"/>
          <w:lang w:val="pt-PT"/>
        </w:rPr>
        <w:t>Livro de Resumos do X Congresso de Ornitologia da SPEA – 1.ª edição. Sociedade Portuguesa para o Estudo das Aves, Lisboa</w:t>
      </w:r>
    </w:p>
    <w:p w14:paraId="5452916E" w14:textId="77777777" w:rsidR="006B3F46" w:rsidRPr="009978E3" w:rsidRDefault="006B3F46" w:rsidP="00907941">
      <w:pPr>
        <w:ind w:left="567" w:hanging="567"/>
        <w:jc w:val="both"/>
        <w:rPr>
          <w:sz w:val="22"/>
          <w:szCs w:val="22"/>
        </w:rPr>
      </w:pPr>
      <w:r w:rsidRPr="009978E3">
        <w:rPr>
          <w:sz w:val="22"/>
          <w:szCs w:val="22"/>
          <w:lang w:val="pt-PT"/>
        </w:rPr>
        <w:t xml:space="preserve">Silva, M.A., Prieto, R., Jonsen, I., Baumgartner, M.F., Santos, R.S. (2013). </w:t>
      </w:r>
      <w:r w:rsidRPr="009978E3">
        <w:rPr>
          <w:sz w:val="22"/>
          <w:szCs w:val="22"/>
        </w:rPr>
        <w:t>North Atlantic Blue and Fin Whales Suspend Their Spring Migration to Forage in Middle Latitudes: Building up Energy Reserves for the Journey? PLoS ONE 8(10): e76507. https://doi.org/10.1371/journal.pone.0076507</w:t>
      </w:r>
    </w:p>
    <w:p w14:paraId="7EA206EB" w14:textId="77777777" w:rsidR="006B3F46" w:rsidRPr="009978E3" w:rsidRDefault="006B3F46" w:rsidP="00907941">
      <w:pPr>
        <w:ind w:left="567" w:hanging="567"/>
        <w:jc w:val="both"/>
        <w:rPr>
          <w:sz w:val="22"/>
          <w:szCs w:val="22"/>
        </w:rPr>
      </w:pPr>
      <w:r w:rsidRPr="009978E3">
        <w:rPr>
          <w:sz w:val="22"/>
          <w:szCs w:val="22"/>
        </w:rPr>
        <w:t>Skov, H., Gunnlaugsson, T., Budgell, W. P., Horne, J., Nøttestad, L., Olsen, E.V., Søilandc, H. Vı́kingsson, G. and Waring, G. (2008) Small-scale spatial variability of sperm and sei whales in relation to oceanographic and topographic features along the Mid-Atlantic Ridge. Deep Sea Research Part II Topical Studies in Oceanography. 55. 254-268. 10.1016/j.dsr2.2007.09.020.</w:t>
      </w:r>
    </w:p>
    <w:p w14:paraId="28F05D09"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Sweetman C.J., Sutton T., Vecchione M., Latour R.J. (2013) Distribution of the biomass-dominant pelagic fish, Bathylagus euryops (Argentiniformes: Microstomatidae), along the northern Mid-Atlantic Ridge. Deep Sea Research Part I: Oceanographic Research Papers 78, 16-23.</w:t>
      </w:r>
    </w:p>
    <w:p w14:paraId="282DD8E5" w14:textId="77777777" w:rsidR="006B3F46" w:rsidRPr="009978E3" w:rsidRDefault="006B3F46" w:rsidP="00907941">
      <w:pPr>
        <w:pStyle w:val="EndNoteBibliography"/>
        <w:ind w:left="567" w:hanging="567"/>
        <w:jc w:val="both"/>
        <w:rPr>
          <w:rFonts w:eastAsia="MS Mincho"/>
          <w:sz w:val="22"/>
          <w:szCs w:val="22"/>
          <w:lang w:eastAsia="en-US"/>
        </w:rPr>
      </w:pPr>
      <w:r w:rsidRPr="009978E3">
        <w:rPr>
          <w:rFonts w:eastAsia="MS Mincho"/>
          <w:sz w:val="22"/>
          <w:szCs w:val="22"/>
          <w:lang w:eastAsia="en-US"/>
        </w:rPr>
        <w:t>Taylor J.R., Ferrari R. (2011) Ocean fronts trigger high latitude phytoplankton blooms. Geophysical Research Letters 38.</w:t>
      </w:r>
    </w:p>
    <w:p w14:paraId="01E68CA2" w14:textId="77777777" w:rsidR="006B3F46" w:rsidRDefault="006B3F46" w:rsidP="00907941">
      <w:pPr>
        <w:pStyle w:val="EndNoteBibliography"/>
        <w:ind w:left="567" w:hanging="567"/>
        <w:jc w:val="both"/>
        <w:rPr>
          <w:sz w:val="22"/>
          <w:szCs w:val="22"/>
        </w:rPr>
      </w:pPr>
      <w:r w:rsidRPr="009978E3">
        <w:rPr>
          <w:sz w:val="22"/>
          <w:szCs w:val="22"/>
        </w:rPr>
        <w:t xml:space="preserve">Vecchione M., Falkenhaug T., Sutton T. </w:t>
      </w:r>
      <w:r w:rsidRPr="0006066A">
        <w:rPr>
          <w:i/>
          <w:sz w:val="22"/>
          <w:szCs w:val="22"/>
        </w:rPr>
        <w:t>et al</w:t>
      </w:r>
      <w:r w:rsidRPr="009978E3">
        <w:rPr>
          <w:sz w:val="22"/>
          <w:szCs w:val="22"/>
        </w:rPr>
        <w:t>. (2015) The effect of the North Atlantic Subpolar Front as a boundary in pelagic biogeography decreases with increasing depth and organism size. Progress in Oceanography 138, 105-115.</w:t>
      </w:r>
    </w:p>
    <w:p w14:paraId="04ADC240" w14:textId="77777777" w:rsidR="006B3F46" w:rsidRPr="009978E3" w:rsidRDefault="006B3F46" w:rsidP="00907941">
      <w:pPr>
        <w:pStyle w:val="EndNoteBibliography"/>
        <w:ind w:left="567" w:hanging="567"/>
        <w:jc w:val="both"/>
        <w:rPr>
          <w:sz w:val="22"/>
          <w:szCs w:val="22"/>
        </w:rPr>
      </w:pPr>
    </w:p>
    <w:p w14:paraId="1901C8DA" w14:textId="77777777" w:rsidR="006B3F46" w:rsidRPr="009978E3" w:rsidRDefault="006B3F46" w:rsidP="00907941">
      <w:pPr>
        <w:pStyle w:val="EndNoteBibliography"/>
        <w:ind w:left="567" w:hanging="567"/>
        <w:jc w:val="both"/>
        <w:rPr>
          <w:sz w:val="22"/>
          <w:szCs w:val="22"/>
        </w:rPr>
      </w:pPr>
      <w:r w:rsidRPr="009978E3">
        <w:rPr>
          <w:sz w:val="22"/>
          <w:szCs w:val="22"/>
        </w:rPr>
        <w:t>Volkov, D. L. (2005) Interannual variability of the altimetry-derived eddy field and surface circulation in the extratropical North Atlantic Ocean in 1993–2001. Journal of Physical Oceanography 35(4): 405-426.</w:t>
      </w:r>
    </w:p>
    <w:p w14:paraId="7483151F" w14:textId="77777777" w:rsidR="006B3F46" w:rsidRPr="009978E3" w:rsidRDefault="006B3F46" w:rsidP="00907941">
      <w:pPr>
        <w:ind w:left="567" w:hanging="567"/>
        <w:jc w:val="both"/>
        <w:rPr>
          <w:noProof/>
          <w:sz w:val="22"/>
          <w:szCs w:val="22"/>
        </w:rPr>
      </w:pPr>
      <w:r w:rsidRPr="009978E3">
        <w:rPr>
          <w:noProof/>
          <w:sz w:val="22"/>
          <w:szCs w:val="22"/>
        </w:rPr>
        <w:t xml:space="preserve">Waap S., Symondson W.O., Granadeiro J.P. </w:t>
      </w:r>
      <w:r w:rsidRPr="0006066A">
        <w:rPr>
          <w:i/>
          <w:noProof/>
          <w:sz w:val="22"/>
          <w:szCs w:val="22"/>
        </w:rPr>
        <w:t>et al</w:t>
      </w:r>
      <w:r w:rsidRPr="009978E3">
        <w:rPr>
          <w:noProof/>
          <w:sz w:val="22"/>
          <w:szCs w:val="22"/>
        </w:rPr>
        <w:t>. (2017) The diet of a nocturnal pelagic predator, the Bulwer’s petrel, across the lunar cycle. Scientific Reports 7.</w:t>
      </w:r>
    </w:p>
    <w:p w14:paraId="63CE3138" w14:textId="77777777" w:rsidR="006B3F46" w:rsidRPr="009978E3" w:rsidRDefault="006B3F46" w:rsidP="00907941">
      <w:pPr>
        <w:ind w:left="567" w:hanging="567"/>
        <w:jc w:val="both"/>
        <w:rPr>
          <w:sz w:val="22"/>
          <w:szCs w:val="22"/>
        </w:rPr>
      </w:pPr>
      <w:r w:rsidRPr="009978E3">
        <w:rPr>
          <w:sz w:val="22"/>
          <w:szCs w:val="22"/>
        </w:rPr>
        <w:t>Wakefield, E.D. (2018) Transatlantic surveys of seabirds, cetaceans and turtles, July 2013 and July 2018, University of Glasgow, UK, 34p.</w:t>
      </w:r>
    </w:p>
    <w:p w14:paraId="7843299A" w14:textId="77777777" w:rsidR="006B3F46" w:rsidRPr="00F66EF7" w:rsidRDefault="006B3F46" w:rsidP="00907941">
      <w:pPr>
        <w:pStyle w:val="EndNoteBibliography"/>
        <w:ind w:left="567" w:hanging="567"/>
        <w:jc w:val="both"/>
        <w:rPr>
          <w:sz w:val="22"/>
          <w:szCs w:val="22"/>
        </w:rPr>
      </w:pPr>
      <w:r w:rsidRPr="009978E3">
        <w:rPr>
          <w:sz w:val="22"/>
          <w:szCs w:val="22"/>
        </w:rPr>
        <w:t xml:space="preserve">Waliczky, Z., Fishpool, L.D.C., Butchart, S.H.M., Thomas, D., Heath, M.F., Hazin, C., Donald, P.F., Kowalska, A., Dias, M.P., Allinson, T.S.M., (2018). Important Bird and Biodiversity Areas (IBAs): their impact on conservation policy, advocacy and action. Bird Conservation International 1–17. </w:t>
      </w:r>
      <w:hyperlink r:id="rId283" w:history="1">
        <w:r w:rsidRPr="009978E3">
          <w:rPr>
            <w:rStyle w:val="Hyperlink"/>
            <w:sz w:val="22"/>
            <w:szCs w:val="22"/>
          </w:rPr>
          <w:t>https://doi.org/10.1017/S0959270918000175</w:t>
        </w:r>
      </w:hyperlink>
    </w:p>
    <w:p w14:paraId="439FE73D" w14:textId="77777777" w:rsidR="006B3F46" w:rsidRPr="009978E3" w:rsidRDefault="006B3F46" w:rsidP="00907941">
      <w:pPr>
        <w:ind w:left="567" w:hanging="567"/>
        <w:jc w:val="both"/>
        <w:rPr>
          <w:rFonts w:eastAsia="MS Mincho"/>
          <w:noProof/>
          <w:sz w:val="22"/>
          <w:szCs w:val="22"/>
          <w:lang w:val="en-US"/>
        </w:rPr>
      </w:pPr>
      <w:r w:rsidRPr="00F66EF7">
        <w:rPr>
          <w:rFonts w:eastAsia="MS Mincho"/>
          <w:noProof/>
          <w:sz w:val="22"/>
          <w:szCs w:val="22"/>
          <w:lang w:val="en-US"/>
        </w:rPr>
        <w:t xml:space="preserve">Walli A., Teo S.L., Boustany A. </w:t>
      </w:r>
      <w:r w:rsidRPr="0006066A">
        <w:rPr>
          <w:rFonts w:eastAsia="MS Mincho"/>
          <w:i/>
          <w:noProof/>
          <w:sz w:val="22"/>
          <w:szCs w:val="22"/>
          <w:lang w:val="en-US"/>
        </w:rPr>
        <w:t>et al</w:t>
      </w:r>
      <w:r w:rsidRPr="00F66EF7">
        <w:rPr>
          <w:rFonts w:eastAsia="MS Mincho"/>
          <w:noProof/>
          <w:sz w:val="22"/>
          <w:szCs w:val="22"/>
          <w:lang w:val="en-US"/>
        </w:rPr>
        <w:t xml:space="preserve">. (2009) Seasonal movements, aggregations and diving behavior of Atlantic bluefin tuna (Thunnus thynnus) revealed with archival tags. PLoS One 4, </w:t>
      </w:r>
      <w:r w:rsidRPr="009978E3">
        <w:rPr>
          <w:rFonts w:eastAsia="MS Mincho"/>
          <w:noProof/>
          <w:sz w:val="22"/>
          <w:szCs w:val="22"/>
          <w:lang w:val="en-US"/>
        </w:rPr>
        <w:t>e6151.</w:t>
      </w:r>
    </w:p>
    <w:p w14:paraId="6876F762" w14:textId="77777777" w:rsidR="006B3F46" w:rsidRPr="009978E3" w:rsidRDefault="006B3F46" w:rsidP="00907941">
      <w:pPr>
        <w:ind w:left="567" w:hanging="567"/>
        <w:jc w:val="both"/>
        <w:rPr>
          <w:sz w:val="22"/>
          <w:szCs w:val="22"/>
        </w:rPr>
      </w:pPr>
      <w:r w:rsidRPr="009978E3">
        <w:rPr>
          <w:sz w:val="22"/>
          <w:szCs w:val="22"/>
        </w:rPr>
        <w:t>Waring, G., Nøttestad, L., Olsen, E., Skov, H. &amp; Víkingsson, G (2009) Distribution and density estimates of cetaceans along the mid- Atlantic Ridge during summer 2004. Journal of Cetacean Research and Management. 10. 137-146.</w:t>
      </w:r>
    </w:p>
    <w:p w14:paraId="36FD5DD8" w14:textId="77777777" w:rsidR="006B3F46" w:rsidRPr="00F66EF7" w:rsidRDefault="006B3F46" w:rsidP="00907941">
      <w:pPr>
        <w:ind w:left="567" w:hanging="567"/>
        <w:jc w:val="both"/>
        <w:rPr>
          <w:sz w:val="22"/>
          <w:szCs w:val="22"/>
        </w:rPr>
      </w:pPr>
      <w:r w:rsidRPr="009978E3">
        <w:rPr>
          <w:sz w:val="22"/>
          <w:szCs w:val="22"/>
        </w:rPr>
        <w:t xml:space="preserve">Whaletrack (2019) UiT- The Arctic University of Norway - </w:t>
      </w:r>
      <w:hyperlink r:id="rId284" w:history="1">
        <w:r w:rsidRPr="009978E3">
          <w:rPr>
            <w:rStyle w:val="Hyperlink"/>
            <w:sz w:val="22"/>
            <w:szCs w:val="22"/>
          </w:rPr>
          <w:t>https://en.uit.no/prosjekter/prosjekt?p_document_id=505966</w:t>
        </w:r>
      </w:hyperlink>
    </w:p>
    <w:p w14:paraId="3105E8E2" w14:textId="77777777" w:rsidR="006B3F46" w:rsidRPr="009978E3" w:rsidRDefault="006B3F46" w:rsidP="00907941">
      <w:pPr>
        <w:jc w:val="both"/>
        <w:rPr>
          <w:rFonts w:eastAsia="MS Mincho"/>
          <w:b/>
          <w:sz w:val="22"/>
          <w:szCs w:val="22"/>
        </w:rPr>
      </w:pPr>
    </w:p>
    <w:p w14:paraId="4AC3EF88" w14:textId="77777777" w:rsidR="006B3F46" w:rsidRPr="009978E3" w:rsidRDefault="006B3F46" w:rsidP="00907941">
      <w:pPr>
        <w:rPr>
          <w:rFonts w:eastAsia="MS Mincho"/>
          <w:b/>
          <w:sz w:val="22"/>
          <w:szCs w:val="22"/>
          <w:lang w:val="en-US"/>
        </w:rPr>
      </w:pPr>
    </w:p>
    <w:p w14:paraId="59C90E8B" w14:textId="77777777" w:rsidR="006B3F46" w:rsidRPr="009978E3" w:rsidRDefault="006B3F46" w:rsidP="00907941">
      <w:pPr>
        <w:rPr>
          <w:rFonts w:eastAsia="MS Mincho"/>
          <w:b/>
          <w:sz w:val="22"/>
          <w:szCs w:val="22"/>
          <w:lang w:val="en-US"/>
        </w:rPr>
      </w:pPr>
    </w:p>
    <w:p w14:paraId="113FD80B" w14:textId="77777777" w:rsidR="006B3F46" w:rsidRPr="009978E3" w:rsidRDefault="006B3F46" w:rsidP="00907941">
      <w:pPr>
        <w:rPr>
          <w:rFonts w:eastAsia="MS Mincho"/>
          <w:b/>
          <w:sz w:val="22"/>
          <w:szCs w:val="22"/>
          <w:lang w:val="en-US"/>
        </w:rPr>
      </w:pPr>
    </w:p>
    <w:p w14:paraId="594FE6E6" w14:textId="77777777" w:rsidR="006B3F46" w:rsidRPr="009978E3" w:rsidRDefault="006B3F46" w:rsidP="00907941">
      <w:pPr>
        <w:rPr>
          <w:rFonts w:eastAsia="MS Mincho"/>
          <w:b/>
          <w:sz w:val="22"/>
          <w:szCs w:val="22"/>
          <w:lang w:val="en-US"/>
        </w:rPr>
      </w:pPr>
    </w:p>
    <w:p w14:paraId="6959FBA4" w14:textId="77777777" w:rsidR="006B3F46" w:rsidRPr="009978E3" w:rsidRDefault="006B3F46" w:rsidP="00907941">
      <w:pPr>
        <w:rPr>
          <w:rFonts w:eastAsia="MS Mincho"/>
          <w:b/>
          <w:sz w:val="22"/>
          <w:szCs w:val="22"/>
          <w:lang w:val="en-US"/>
        </w:rPr>
      </w:pPr>
      <w:r w:rsidRPr="009978E3">
        <w:rPr>
          <w:rFonts w:eastAsia="MS Mincho"/>
          <w:b/>
          <w:sz w:val="22"/>
          <w:szCs w:val="22"/>
          <w:lang w:val="en-US"/>
        </w:rPr>
        <w:t>Maps and Figures</w:t>
      </w:r>
    </w:p>
    <w:p w14:paraId="3C17A69C" w14:textId="77777777" w:rsidR="006B3F46" w:rsidRPr="009978E3" w:rsidRDefault="006B3F46" w:rsidP="00907941">
      <w:pPr>
        <w:rPr>
          <w:rFonts w:eastAsia="MS Mincho"/>
          <w:b/>
          <w:sz w:val="22"/>
          <w:szCs w:val="22"/>
          <w:lang w:val="en-US"/>
        </w:rPr>
      </w:pPr>
    </w:p>
    <w:p w14:paraId="725F74F4" w14:textId="77777777" w:rsidR="006B3F46" w:rsidRDefault="009E53BE" w:rsidP="00907941">
      <w:pPr>
        <w:rPr>
          <w:rFonts w:eastAsia="MS Mincho"/>
          <w:b/>
          <w:sz w:val="22"/>
          <w:szCs w:val="22"/>
          <w:lang w:val="en-US"/>
        </w:rPr>
      </w:pPr>
      <w:r>
        <w:pict w14:anchorId="0509A41C">
          <v:shape id="_x0000_i1132" type="#_x0000_t75" style="width:6in;height:6in">
            <v:imagedata r:id="rId285" o:title=""/>
          </v:shape>
        </w:pict>
      </w:r>
      <w:r w:rsidR="006B3F46" w:rsidRPr="009978E3" w:rsidDel="001618B9">
        <w:rPr>
          <w:rFonts w:eastAsia="MS Mincho"/>
          <w:b/>
          <w:sz w:val="22"/>
          <w:szCs w:val="22"/>
          <w:highlight w:val="yellow"/>
          <w:lang w:val="en-US"/>
        </w:rPr>
        <w:t xml:space="preserve"> </w:t>
      </w:r>
    </w:p>
    <w:p w14:paraId="53169D04" w14:textId="77777777" w:rsidR="006B3F46" w:rsidRDefault="006B3F46" w:rsidP="00907941">
      <w:pPr>
        <w:rPr>
          <w:rFonts w:eastAsia="MS Mincho"/>
          <w:b/>
          <w:sz w:val="22"/>
          <w:szCs w:val="22"/>
          <w:lang w:val="en-US"/>
        </w:rPr>
      </w:pPr>
    </w:p>
    <w:p w14:paraId="25927D58" w14:textId="77777777" w:rsidR="006B3F46" w:rsidRPr="0021277B" w:rsidRDefault="006B3F46" w:rsidP="00907941">
      <w:pPr>
        <w:jc w:val="center"/>
        <w:rPr>
          <w:rFonts w:eastAsia="MS Mincho"/>
          <w:b/>
          <w:bCs/>
          <w:sz w:val="22"/>
          <w:szCs w:val="22"/>
          <w:lang w:val="en-US"/>
        </w:rPr>
      </w:pPr>
      <w:r w:rsidRPr="0021277B">
        <w:rPr>
          <w:rFonts w:eastAsia="MS Mincho"/>
          <w:b/>
          <w:bCs/>
          <w:sz w:val="22"/>
          <w:szCs w:val="22"/>
          <w:lang w:val="en-US"/>
        </w:rPr>
        <w:t>Figure 1. Location of area no. 14: Mid-North-Atlantic Frontal System</w:t>
      </w:r>
    </w:p>
    <w:p w14:paraId="7FDF591B" w14:textId="77777777" w:rsidR="006B3F46" w:rsidRPr="009978E3" w:rsidRDefault="006B3F46" w:rsidP="00907941">
      <w:pPr>
        <w:rPr>
          <w:rFonts w:eastAsia="MS Mincho"/>
          <w:bCs/>
          <w:color w:val="000000"/>
          <w:sz w:val="22"/>
          <w:szCs w:val="22"/>
          <w:lang w:val="en-US"/>
        </w:rPr>
      </w:pPr>
    </w:p>
    <w:p w14:paraId="366A4D3B" w14:textId="77777777" w:rsidR="006B3F46" w:rsidRPr="00F66EF7" w:rsidRDefault="006B3F46" w:rsidP="00907941">
      <w:pPr>
        <w:rPr>
          <w:rFonts w:eastAsia="MS Mincho"/>
          <w:sz w:val="22"/>
          <w:szCs w:val="22"/>
          <w:lang w:val="en-US"/>
        </w:rPr>
      </w:pPr>
    </w:p>
    <w:p w14:paraId="2721A3FB" w14:textId="77777777" w:rsidR="006B3F46" w:rsidRPr="009978E3" w:rsidRDefault="006B3F46" w:rsidP="00907941">
      <w:pPr>
        <w:rPr>
          <w:rFonts w:eastAsia="MS Mincho"/>
          <w:bCs/>
          <w:color w:val="000000"/>
          <w:sz w:val="22"/>
          <w:szCs w:val="22"/>
          <w:lang w:val="en-US"/>
        </w:rPr>
      </w:pPr>
    </w:p>
    <w:p w14:paraId="509C9BF7" w14:textId="77777777" w:rsidR="006B3F46" w:rsidRPr="009978E3" w:rsidRDefault="006B3F46" w:rsidP="00907941">
      <w:pPr>
        <w:rPr>
          <w:rFonts w:eastAsia="MS Mincho"/>
          <w:bCs/>
          <w:color w:val="000000"/>
          <w:sz w:val="22"/>
          <w:szCs w:val="22"/>
          <w:lang w:val="en-US"/>
        </w:rPr>
      </w:pPr>
    </w:p>
    <w:p w14:paraId="23182D05" w14:textId="77777777" w:rsidR="006B3F46" w:rsidRPr="009978E3" w:rsidRDefault="006B3F46" w:rsidP="00907941">
      <w:pPr>
        <w:rPr>
          <w:rFonts w:eastAsia="MS Mincho"/>
          <w:bCs/>
          <w:color w:val="000000"/>
          <w:sz w:val="22"/>
          <w:szCs w:val="22"/>
          <w:lang w:val="en-US"/>
        </w:rPr>
      </w:pPr>
    </w:p>
    <w:p w14:paraId="7183EDEF" w14:textId="77777777" w:rsidR="006B3F46" w:rsidRPr="009978E3" w:rsidRDefault="006B3F46" w:rsidP="00907941">
      <w:pPr>
        <w:rPr>
          <w:rFonts w:eastAsia="MS Mincho"/>
          <w:bCs/>
          <w:color w:val="000000"/>
          <w:sz w:val="22"/>
          <w:szCs w:val="22"/>
          <w:lang w:val="en-US"/>
        </w:rPr>
      </w:pPr>
    </w:p>
    <w:p w14:paraId="6D4BD0D9" w14:textId="77777777" w:rsidR="006B3F46" w:rsidRPr="009978E3" w:rsidRDefault="009E53BE" w:rsidP="00907941">
      <w:pPr>
        <w:rPr>
          <w:rFonts w:eastAsia="MS Mincho"/>
          <w:bCs/>
          <w:color w:val="000000"/>
          <w:sz w:val="22"/>
          <w:szCs w:val="22"/>
          <w:lang w:val="en-US"/>
        </w:rPr>
      </w:pPr>
      <w:r>
        <w:pict w14:anchorId="5DE980C4">
          <v:shape id="_x0000_i1133" type="#_x0000_t75" style="width:7in;height:636pt">
            <v:imagedata r:id="rId286" o:title=""/>
          </v:shape>
        </w:pict>
      </w:r>
    </w:p>
    <w:p w14:paraId="10980BBF" w14:textId="77777777" w:rsidR="006B3F46" w:rsidRPr="009978E3" w:rsidRDefault="006B3F46" w:rsidP="00907941">
      <w:pPr>
        <w:rPr>
          <w:rFonts w:eastAsia="MS Mincho"/>
          <w:bCs/>
          <w:color w:val="000000"/>
          <w:sz w:val="22"/>
          <w:szCs w:val="22"/>
          <w:lang w:val="en-US"/>
        </w:rPr>
      </w:pPr>
    </w:p>
    <w:p w14:paraId="19634B5F" w14:textId="07A95254" w:rsidR="006B3F46" w:rsidRDefault="006B3F46" w:rsidP="002E4B39">
      <w:pPr>
        <w:jc w:val="both"/>
        <w:rPr>
          <w:color w:val="1F497D"/>
        </w:rPr>
      </w:pPr>
      <w:r w:rsidRPr="00556B32">
        <w:rPr>
          <w:sz w:val="22"/>
          <w:szCs w:val="22"/>
        </w:rPr>
        <w:t xml:space="preserve">Figure 2. </w:t>
      </w:r>
      <w:r w:rsidRPr="0021277B">
        <w:rPr>
          <w:sz w:val="22"/>
          <w:szCs w:val="22"/>
        </w:rPr>
        <w:t>Oceanographic conditions in the Mid-North Atlantic Frontal System</w:t>
      </w:r>
      <w:r w:rsidRPr="00EC5399">
        <w:rPr>
          <w:sz w:val="22"/>
          <w:szCs w:val="22"/>
        </w:rPr>
        <w:t>.</w:t>
      </w:r>
      <w:r w:rsidRPr="00556B32">
        <w:rPr>
          <w:sz w:val="22"/>
          <w:szCs w:val="22"/>
        </w:rPr>
        <w:t xml:space="preserve"> a-b) Sea Surface Temperature Front Climatology for April-June and Oct-Dec, respectively (from the Moderate Resolution Imaging Spectroradiometer (MODIS); Roberts et al. 2010, Cayula &amp; Cornillon 1992); c-d) Average Surface Current Velocity and Average Surface Currents, respectively, for April-June (from the HYCOM consortium; Chassignet et al. 2009).</w:t>
      </w:r>
    </w:p>
    <w:p w14:paraId="27F8187F" w14:textId="77777777" w:rsidR="006B3F46" w:rsidRDefault="009E53BE" w:rsidP="00907941">
      <w:r>
        <w:pict w14:anchorId="61FDC630">
          <v:shape id="_x0000_i1134" type="#_x0000_t75" style="width:470.25pt;height:411pt">
            <v:imagedata r:id="rId287" o:title=""/>
          </v:shape>
        </w:pict>
      </w:r>
    </w:p>
    <w:p w14:paraId="73D0794E" w14:textId="77777777" w:rsidR="006B3F46" w:rsidRPr="00556B32" w:rsidRDefault="006B3F46" w:rsidP="00907941">
      <w:pPr>
        <w:autoSpaceDE w:val="0"/>
        <w:autoSpaceDN w:val="0"/>
        <w:jc w:val="both"/>
        <w:rPr>
          <w:sz w:val="22"/>
          <w:szCs w:val="22"/>
        </w:rPr>
      </w:pPr>
      <w:r w:rsidRPr="00556B32">
        <w:rPr>
          <w:color w:val="000000"/>
          <w:sz w:val="22"/>
          <w:szCs w:val="22"/>
        </w:rPr>
        <w:t xml:space="preserve">Figure 3. </w:t>
      </w:r>
      <w:r w:rsidRPr="0021277B">
        <w:rPr>
          <w:color w:val="000000"/>
          <w:sz w:val="22"/>
          <w:szCs w:val="22"/>
        </w:rPr>
        <w:t xml:space="preserve">Use of </w:t>
      </w:r>
      <w:r w:rsidRPr="0021277B">
        <w:rPr>
          <w:sz w:val="22"/>
          <w:szCs w:val="22"/>
        </w:rPr>
        <w:t>the Mid-North Atlantic Frontal System by seabird species</w:t>
      </w:r>
      <w:r w:rsidRPr="00EC5399">
        <w:rPr>
          <w:sz w:val="22"/>
          <w:szCs w:val="22"/>
        </w:rPr>
        <w:t>.</w:t>
      </w:r>
      <w:r w:rsidRPr="00556B32">
        <w:rPr>
          <w:sz w:val="22"/>
          <w:szCs w:val="22"/>
        </w:rPr>
        <w:t xml:space="preserve"> a) Density and richness of seabirds based on tracking data for 21 species (BirdLife International 2019a). b) tracking data of Manx Shearwater </w:t>
      </w:r>
      <w:r>
        <w:rPr>
          <w:sz w:val="22"/>
          <w:szCs w:val="22"/>
        </w:rPr>
        <w:t>(</w:t>
      </w:r>
      <w:r w:rsidRPr="00556B32">
        <w:rPr>
          <w:i/>
          <w:iCs/>
          <w:sz w:val="22"/>
          <w:szCs w:val="22"/>
        </w:rPr>
        <w:t>Puffinus puffinus</w:t>
      </w:r>
      <w:r>
        <w:rPr>
          <w:i/>
          <w:iCs/>
          <w:sz w:val="22"/>
          <w:szCs w:val="22"/>
        </w:rPr>
        <w:t>)</w:t>
      </w:r>
      <w:r w:rsidRPr="00556B32">
        <w:rPr>
          <w:sz w:val="22"/>
          <w:szCs w:val="22"/>
        </w:rPr>
        <w:t xml:space="preserve"> showing the use of the area as a stopover during migration (from Guilford et al. 2009). c) tracking data of Cory’s </w:t>
      </w:r>
      <w:r>
        <w:rPr>
          <w:sz w:val="22"/>
          <w:szCs w:val="22"/>
        </w:rPr>
        <w:t>s</w:t>
      </w:r>
      <w:r w:rsidRPr="00556B32">
        <w:rPr>
          <w:sz w:val="22"/>
          <w:szCs w:val="22"/>
        </w:rPr>
        <w:t xml:space="preserve">hearwater </w:t>
      </w:r>
      <w:r>
        <w:rPr>
          <w:sz w:val="22"/>
          <w:szCs w:val="22"/>
        </w:rPr>
        <w:t>(</w:t>
      </w:r>
      <w:r w:rsidRPr="00556B32">
        <w:rPr>
          <w:i/>
          <w:iCs/>
          <w:sz w:val="22"/>
          <w:szCs w:val="22"/>
        </w:rPr>
        <w:t>Calonectris borealis</w:t>
      </w:r>
      <w:r>
        <w:rPr>
          <w:i/>
          <w:iCs/>
          <w:sz w:val="22"/>
          <w:szCs w:val="22"/>
        </w:rPr>
        <w:t>)</w:t>
      </w:r>
      <w:r w:rsidRPr="00556B32">
        <w:rPr>
          <w:i/>
          <w:iCs/>
          <w:sz w:val="22"/>
          <w:szCs w:val="22"/>
        </w:rPr>
        <w:t xml:space="preserve"> </w:t>
      </w:r>
      <w:r w:rsidRPr="00556B32">
        <w:rPr>
          <w:sz w:val="22"/>
          <w:szCs w:val="22"/>
        </w:rPr>
        <w:t xml:space="preserve">showing the use of the area as a stopover during migration and as a wintering area (Dias et al. 2012). d) tracking data of Arctic </w:t>
      </w:r>
      <w:r>
        <w:rPr>
          <w:sz w:val="22"/>
          <w:szCs w:val="22"/>
        </w:rPr>
        <w:t>t</w:t>
      </w:r>
      <w:r w:rsidRPr="00556B32">
        <w:rPr>
          <w:sz w:val="22"/>
          <w:szCs w:val="22"/>
        </w:rPr>
        <w:t xml:space="preserve">ern </w:t>
      </w:r>
      <w:r>
        <w:rPr>
          <w:sz w:val="22"/>
          <w:szCs w:val="22"/>
        </w:rPr>
        <w:t>(</w:t>
      </w:r>
      <w:r w:rsidRPr="00556B32">
        <w:rPr>
          <w:i/>
          <w:iCs/>
          <w:sz w:val="22"/>
          <w:szCs w:val="22"/>
        </w:rPr>
        <w:t>Sterna paradisea</w:t>
      </w:r>
      <w:r>
        <w:rPr>
          <w:i/>
          <w:iCs/>
          <w:sz w:val="22"/>
          <w:szCs w:val="22"/>
        </w:rPr>
        <w:t>)</w:t>
      </w:r>
      <w:r w:rsidRPr="00556B32">
        <w:rPr>
          <w:sz w:val="22"/>
          <w:szCs w:val="22"/>
        </w:rPr>
        <w:t xml:space="preserve"> showing the use of the area as a stopover during migration (from Egevang et al. 2010); e) tracking data of </w:t>
      </w:r>
      <w:r>
        <w:rPr>
          <w:sz w:val="22"/>
          <w:szCs w:val="22"/>
        </w:rPr>
        <w:t>l</w:t>
      </w:r>
      <w:r w:rsidRPr="00556B32">
        <w:rPr>
          <w:sz w:val="22"/>
          <w:szCs w:val="22"/>
        </w:rPr>
        <w:t xml:space="preserve">ong-tailed </w:t>
      </w:r>
      <w:r>
        <w:rPr>
          <w:sz w:val="22"/>
          <w:szCs w:val="22"/>
        </w:rPr>
        <w:t>j</w:t>
      </w:r>
      <w:r w:rsidRPr="00556B32">
        <w:rPr>
          <w:sz w:val="22"/>
          <w:szCs w:val="22"/>
        </w:rPr>
        <w:t xml:space="preserve">aeger </w:t>
      </w:r>
      <w:r>
        <w:rPr>
          <w:sz w:val="22"/>
          <w:szCs w:val="22"/>
        </w:rPr>
        <w:t>(</w:t>
      </w:r>
      <w:r w:rsidRPr="00556B32">
        <w:rPr>
          <w:i/>
          <w:iCs/>
          <w:sz w:val="22"/>
          <w:szCs w:val="22"/>
        </w:rPr>
        <w:t>Stercorarius longicaudus</w:t>
      </w:r>
      <w:r>
        <w:rPr>
          <w:i/>
          <w:iCs/>
          <w:sz w:val="22"/>
          <w:szCs w:val="22"/>
        </w:rPr>
        <w:t>)</w:t>
      </w:r>
      <w:r w:rsidRPr="00556B32">
        <w:rPr>
          <w:sz w:val="22"/>
          <w:szCs w:val="22"/>
        </w:rPr>
        <w:t xml:space="preserve"> showing the use of the area as a stopover during migration (from Gilg et al. 2013); f) tracking data of </w:t>
      </w:r>
      <w:r>
        <w:rPr>
          <w:sz w:val="22"/>
          <w:szCs w:val="22"/>
        </w:rPr>
        <w:t>s</w:t>
      </w:r>
      <w:r w:rsidRPr="00556B32">
        <w:rPr>
          <w:sz w:val="22"/>
          <w:szCs w:val="22"/>
        </w:rPr>
        <w:t xml:space="preserve">ooty shearwater </w:t>
      </w:r>
      <w:r>
        <w:rPr>
          <w:sz w:val="22"/>
          <w:szCs w:val="22"/>
        </w:rPr>
        <w:t>(</w:t>
      </w:r>
      <w:r w:rsidRPr="00556B32">
        <w:rPr>
          <w:i/>
          <w:iCs/>
          <w:sz w:val="22"/>
          <w:szCs w:val="22"/>
        </w:rPr>
        <w:t>Ardenna grisea</w:t>
      </w:r>
      <w:r>
        <w:rPr>
          <w:i/>
          <w:iCs/>
          <w:sz w:val="22"/>
          <w:szCs w:val="22"/>
        </w:rPr>
        <w:t>)</w:t>
      </w:r>
      <w:r w:rsidRPr="00556B32">
        <w:rPr>
          <w:i/>
          <w:iCs/>
          <w:sz w:val="22"/>
          <w:szCs w:val="22"/>
        </w:rPr>
        <w:t xml:space="preserve"> </w:t>
      </w:r>
      <w:r w:rsidRPr="00556B32">
        <w:rPr>
          <w:sz w:val="22"/>
          <w:szCs w:val="22"/>
        </w:rPr>
        <w:t xml:space="preserve">(tracked from a colony in the South Atlantic) showing the use of the area during the wintering period (from Hedd et al. 2012); g) tracking data of south polar skua </w:t>
      </w:r>
      <w:r>
        <w:rPr>
          <w:sz w:val="22"/>
          <w:szCs w:val="22"/>
        </w:rPr>
        <w:t>(</w:t>
      </w:r>
      <w:r w:rsidRPr="00556B32">
        <w:rPr>
          <w:i/>
          <w:iCs/>
          <w:sz w:val="22"/>
          <w:szCs w:val="22"/>
        </w:rPr>
        <w:t>Catharacta maccormicki</w:t>
      </w:r>
      <w:r>
        <w:rPr>
          <w:i/>
          <w:iCs/>
          <w:sz w:val="22"/>
          <w:szCs w:val="22"/>
        </w:rPr>
        <w:t>)</w:t>
      </w:r>
      <w:r w:rsidRPr="00556B32">
        <w:rPr>
          <w:i/>
          <w:iCs/>
          <w:sz w:val="22"/>
          <w:szCs w:val="22"/>
        </w:rPr>
        <w:t xml:space="preserve"> </w:t>
      </w:r>
      <w:r w:rsidRPr="00556B32">
        <w:rPr>
          <w:sz w:val="22"/>
          <w:szCs w:val="22"/>
        </w:rPr>
        <w:t xml:space="preserve">(tracked from a colony in the Antarctica) showing the use of the area during the wintering period (from Kopp et al. 2011); h) tracking data of Desertas petrel </w:t>
      </w:r>
      <w:r>
        <w:rPr>
          <w:sz w:val="22"/>
          <w:szCs w:val="22"/>
        </w:rPr>
        <w:t>(</w:t>
      </w:r>
      <w:r w:rsidRPr="00556B32">
        <w:rPr>
          <w:i/>
          <w:iCs/>
          <w:sz w:val="22"/>
          <w:szCs w:val="22"/>
        </w:rPr>
        <w:t>Pteerodroma deserta</w:t>
      </w:r>
      <w:r>
        <w:rPr>
          <w:i/>
          <w:iCs/>
          <w:sz w:val="22"/>
          <w:szCs w:val="22"/>
        </w:rPr>
        <w:t>)</w:t>
      </w:r>
      <w:r w:rsidRPr="00556B32">
        <w:rPr>
          <w:i/>
          <w:iCs/>
          <w:sz w:val="22"/>
          <w:szCs w:val="22"/>
        </w:rPr>
        <w:t xml:space="preserve"> </w:t>
      </w:r>
      <w:r w:rsidRPr="00556B32">
        <w:rPr>
          <w:sz w:val="22"/>
          <w:szCs w:val="22"/>
        </w:rPr>
        <w:t>(tracked from Deserta, Madeira) showing the use of the area during the incubation period (Granadeiro &amp; Catry unpublished data; Silva et al. 2019)</w:t>
      </w:r>
    </w:p>
    <w:p w14:paraId="1FCA95E1" w14:textId="77777777" w:rsidR="006B3F46" w:rsidRDefault="006B3F46" w:rsidP="00907941">
      <w:r w:rsidRPr="00556B32">
        <w:rPr>
          <w:sz w:val="22"/>
          <w:szCs w:val="22"/>
        </w:rPr>
        <w:br w:type="page"/>
      </w:r>
      <w:r w:rsidR="009E53BE">
        <w:pict w14:anchorId="5FA8F800">
          <v:shape id="_x0000_i1135" type="#_x0000_t75" style="width:464.25pt;height:370.5pt">
            <v:imagedata r:id="rId288" o:title=""/>
          </v:shape>
        </w:pict>
      </w:r>
    </w:p>
    <w:p w14:paraId="39E4ABFC" w14:textId="77777777" w:rsidR="006B3F46" w:rsidRPr="00556B32" w:rsidRDefault="006B3F46" w:rsidP="00907941">
      <w:pPr>
        <w:jc w:val="both"/>
        <w:rPr>
          <w:sz w:val="22"/>
          <w:szCs w:val="22"/>
        </w:rPr>
      </w:pPr>
      <w:r w:rsidRPr="00556B32">
        <w:rPr>
          <w:sz w:val="22"/>
          <w:szCs w:val="22"/>
        </w:rPr>
        <w:t xml:space="preserve">Figure 4. </w:t>
      </w:r>
      <w:r w:rsidRPr="0021277B">
        <w:rPr>
          <w:sz w:val="22"/>
          <w:szCs w:val="22"/>
        </w:rPr>
        <w:t>Use of the Mid-North Atlantic Frontal System by whales</w:t>
      </w:r>
      <w:r w:rsidRPr="00556B32">
        <w:rPr>
          <w:sz w:val="22"/>
          <w:szCs w:val="22"/>
        </w:rPr>
        <w:t xml:space="preserve">. a-b) movements of sei whale </w:t>
      </w:r>
      <w:r>
        <w:rPr>
          <w:sz w:val="22"/>
          <w:szCs w:val="22"/>
        </w:rPr>
        <w:t>(</w:t>
      </w:r>
      <w:r w:rsidRPr="00556B32">
        <w:rPr>
          <w:i/>
          <w:sz w:val="22"/>
          <w:szCs w:val="22"/>
        </w:rPr>
        <w:t>Balaenoptera borealis</w:t>
      </w:r>
      <w:r>
        <w:rPr>
          <w:sz w:val="22"/>
          <w:szCs w:val="22"/>
        </w:rPr>
        <w:t>)</w:t>
      </w:r>
      <w:r w:rsidRPr="00556B32">
        <w:rPr>
          <w:sz w:val="22"/>
          <w:szCs w:val="22"/>
        </w:rPr>
        <w:t xml:space="preserve"> obtained by satellite tracking (Prieto et al. 2014, Olsen et al. 2009); c) tracks of humpback whales </w:t>
      </w:r>
      <w:r>
        <w:rPr>
          <w:sz w:val="22"/>
          <w:szCs w:val="22"/>
        </w:rPr>
        <w:t>(</w:t>
      </w:r>
      <w:r w:rsidRPr="00556B32">
        <w:rPr>
          <w:i/>
          <w:sz w:val="22"/>
          <w:szCs w:val="22"/>
        </w:rPr>
        <w:t>Megaptera novaeangliae</w:t>
      </w:r>
      <w:r>
        <w:rPr>
          <w:sz w:val="22"/>
          <w:szCs w:val="22"/>
        </w:rPr>
        <w:t>)</w:t>
      </w:r>
      <w:r w:rsidRPr="00556B32">
        <w:rPr>
          <w:sz w:val="22"/>
          <w:szCs w:val="22"/>
        </w:rPr>
        <w:t xml:space="preserve"> tagged in Norway (UiT and Institute of Marine Research – IMR  </w:t>
      </w:r>
      <w:hyperlink r:id="rId289" w:history="1">
        <w:r w:rsidRPr="00556B32">
          <w:rPr>
            <w:rStyle w:val="Hyperlink"/>
            <w:sz w:val="22"/>
            <w:szCs w:val="22"/>
          </w:rPr>
          <w:t>https://en.uit.no/prosjekter/prosjekt?p_document_id=505966</w:t>
        </w:r>
      </w:hyperlink>
      <w:r w:rsidRPr="00556B32">
        <w:rPr>
          <w:sz w:val="22"/>
          <w:szCs w:val="22"/>
        </w:rPr>
        <w:t xml:space="preserve">); d) hierarchical switching state-space model derived tracks of 12 fin whales </w:t>
      </w:r>
      <w:r>
        <w:rPr>
          <w:sz w:val="22"/>
          <w:szCs w:val="22"/>
        </w:rPr>
        <w:t>(</w:t>
      </w:r>
      <w:r w:rsidRPr="00556B32">
        <w:rPr>
          <w:i/>
          <w:sz w:val="22"/>
          <w:szCs w:val="22"/>
        </w:rPr>
        <w:t>Balaenoptera physalus</w:t>
      </w:r>
      <w:r>
        <w:rPr>
          <w:sz w:val="22"/>
          <w:szCs w:val="22"/>
        </w:rPr>
        <w:t>)</w:t>
      </w:r>
      <w:r w:rsidRPr="00556B32">
        <w:rPr>
          <w:sz w:val="22"/>
          <w:szCs w:val="22"/>
        </w:rPr>
        <w:t xml:space="preserve"> and </w:t>
      </w:r>
      <w:r>
        <w:rPr>
          <w:sz w:val="22"/>
          <w:szCs w:val="22"/>
        </w:rPr>
        <w:t>three</w:t>
      </w:r>
      <w:r w:rsidRPr="00556B32">
        <w:rPr>
          <w:sz w:val="22"/>
          <w:szCs w:val="22"/>
        </w:rPr>
        <w:t xml:space="preserve"> blue whales </w:t>
      </w:r>
      <w:r>
        <w:rPr>
          <w:sz w:val="22"/>
          <w:szCs w:val="22"/>
        </w:rPr>
        <w:t>(</w:t>
      </w:r>
      <w:r w:rsidRPr="00556B32">
        <w:rPr>
          <w:i/>
          <w:sz w:val="22"/>
          <w:szCs w:val="22"/>
        </w:rPr>
        <w:t>Balaenoptera musculus</w:t>
      </w:r>
      <w:r>
        <w:rPr>
          <w:i/>
          <w:sz w:val="22"/>
          <w:szCs w:val="22"/>
        </w:rPr>
        <w:t>)</w:t>
      </w:r>
      <w:r w:rsidRPr="00556B32">
        <w:rPr>
          <w:sz w:val="22"/>
          <w:szCs w:val="22"/>
        </w:rPr>
        <w:t xml:space="preserve"> (reproduced from Silva et al. 2013).</w:t>
      </w:r>
    </w:p>
    <w:p w14:paraId="14A6B4D2" w14:textId="77777777" w:rsidR="006B3F46" w:rsidRPr="00556B32" w:rsidRDefault="006B3F46" w:rsidP="00907941">
      <w:pPr>
        <w:rPr>
          <w:sz w:val="22"/>
          <w:szCs w:val="22"/>
        </w:rPr>
      </w:pPr>
    </w:p>
    <w:p w14:paraId="5A73A0B3" w14:textId="77777777" w:rsidR="006B3F46" w:rsidRDefault="006B3F46" w:rsidP="00907941">
      <w:pPr>
        <w:rPr>
          <w:sz w:val="22"/>
          <w:szCs w:val="22"/>
        </w:rPr>
      </w:pPr>
    </w:p>
    <w:p w14:paraId="20E8C6A6" w14:textId="77777777" w:rsidR="006B3F46" w:rsidRPr="0021277B" w:rsidRDefault="006B3F46" w:rsidP="00907941">
      <w:pPr>
        <w:rPr>
          <w:sz w:val="22"/>
          <w:szCs w:val="22"/>
        </w:rPr>
      </w:pPr>
    </w:p>
    <w:p w14:paraId="1D199D0F" w14:textId="77777777" w:rsidR="006B3F46" w:rsidRDefault="009E53BE" w:rsidP="00907941">
      <w:r>
        <w:rPr>
          <w:sz w:val="22"/>
          <w:szCs w:val="22"/>
        </w:rPr>
        <w:pict w14:anchorId="703F0CA9">
          <v:shape id="_x0000_i1136" type="#_x0000_t75" style="width:443.25pt;height:246pt">
            <v:imagedata r:id="rId290" o:title=""/>
          </v:shape>
        </w:pict>
      </w:r>
    </w:p>
    <w:p w14:paraId="7AAAF840" w14:textId="77777777" w:rsidR="006B3F46" w:rsidRPr="00556B32" w:rsidRDefault="006B3F46" w:rsidP="00907941">
      <w:pPr>
        <w:jc w:val="both"/>
        <w:rPr>
          <w:sz w:val="22"/>
          <w:szCs w:val="22"/>
          <w:lang w:val="en-US"/>
        </w:rPr>
      </w:pPr>
      <w:r w:rsidRPr="0021277B">
        <w:rPr>
          <w:sz w:val="22"/>
          <w:szCs w:val="22"/>
        </w:rPr>
        <w:t>Figure 5. Use of the Mid-North Atlantic Frontal System by sharks and tunas</w:t>
      </w:r>
      <w:r w:rsidRPr="00EC5399">
        <w:rPr>
          <w:sz w:val="22"/>
          <w:szCs w:val="22"/>
        </w:rPr>
        <w:t>.</w:t>
      </w:r>
      <w:r w:rsidRPr="00556B32">
        <w:rPr>
          <w:sz w:val="22"/>
          <w:szCs w:val="22"/>
        </w:rPr>
        <w:t xml:space="preserve"> a, d) high species-specific space-use areas calculated for blue shark </w:t>
      </w:r>
      <w:r>
        <w:rPr>
          <w:sz w:val="22"/>
          <w:szCs w:val="22"/>
        </w:rPr>
        <w:t>(</w:t>
      </w:r>
      <w:r w:rsidRPr="00556B32">
        <w:rPr>
          <w:i/>
          <w:iCs/>
          <w:sz w:val="22"/>
          <w:szCs w:val="22"/>
        </w:rPr>
        <w:t>Prionace glauca</w:t>
      </w:r>
      <w:r>
        <w:rPr>
          <w:i/>
          <w:iCs/>
          <w:sz w:val="22"/>
          <w:szCs w:val="22"/>
        </w:rPr>
        <w:t>)</w:t>
      </w:r>
      <w:r w:rsidRPr="00556B32">
        <w:rPr>
          <w:sz w:val="22"/>
          <w:szCs w:val="22"/>
        </w:rPr>
        <w:t xml:space="preserve"> and </w:t>
      </w:r>
      <w:r>
        <w:rPr>
          <w:sz w:val="22"/>
          <w:szCs w:val="22"/>
        </w:rPr>
        <w:t>s</w:t>
      </w:r>
      <w:r w:rsidRPr="00556B32">
        <w:rPr>
          <w:sz w:val="22"/>
          <w:szCs w:val="22"/>
        </w:rPr>
        <w:t xml:space="preserve">hortfin </w:t>
      </w:r>
      <w:r>
        <w:rPr>
          <w:sz w:val="22"/>
          <w:szCs w:val="22"/>
        </w:rPr>
        <w:t>m</w:t>
      </w:r>
      <w:r w:rsidRPr="00556B32">
        <w:rPr>
          <w:sz w:val="22"/>
          <w:szCs w:val="22"/>
        </w:rPr>
        <w:t xml:space="preserve">ako </w:t>
      </w:r>
      <w:r>
        <w:rPr>
          <w:sz w:val="22"/>
          <w:szCs w:val="22"/>
        </w:rPr>
        <w:t>s</w:t>
      </w:r>
      <w:r w:rsidRPr="00556B32">
        <w:rPr>
          <w:sz w:val="22"/>
          <w:szCs w:val="22"/>
        </w:rPr>
        <w:t xml:space="preserve">hark </w:t>
      </w:r>
      <w:r>
        <w:rPr>
          <w:sz w:val="22"/>
          <w:szCs w:val="22"/>
        </w:rPr>
        <w:t>(</w:t>
      </w:r>
      <w:r w:rsidRPr="00556B32">
        <w:rPr>
          <w:i/>
          <w:iCs/>
          <w:sz w:val="22"/>
          <w:szCs w:val="22"/>
        </w:rPr>
        <w:t>Isurus oxyrinchus</w:t>
      </w:r>
      <w:r>
        <w:rPr>
          <w:i/>
          <w:iCs/>
          <w:sz w:val="22"/>
          <w:szCs w:val="22"/>
        </w:rPr>
        <w:t>)</w:t>
      </w:r>
      <w:r w:rsidRPr="00556B32">
        <w:rPr>
          <w:sz w:val="22"/>
          <w:szCs w:val="22"/>
        </w:rPr>
        <w:t xml:space="preserve">, respectively (adapted from Queiroz et al. 2016);  c,d) Atlantic </w:t>
      </w:r>
      <w:r>
        <w:rPr>
          <w:sz w:val="22"/>
          <w:szCs w:val="22"/>
        </w:rPr>
        <w:t>b</w:t>
      </w:r>
      <w:r w:rsidRPr="00556B32">
        <w:rPr>
          <w:sz w:val="22"/>
          <w:szCs w:val="22"/>
        </w:rPr>
        <w:t xml:space="preserve">luefin </w:t>
      </w:r>
      <w:r>
        <w:rPr>
          <w:sz w:val="22"/>
          <w:szCs w:val="22"/>
        </w:rPr>
        <w:t>t</w:t>
      </w:r>
      <w:r w:rsidRPr="00556B32">
        <w:rPr>
          <w:sz w:val="22"/>
          <w:szCs w:val="22"/>
        </w:rPr>
        <w:t xml:space="preserve">una </w:t>
      </w:r>
      <w:r>
        <w:rPr>
          <w:sz w:val="22"/>
          <w:szCs w:val="22"/>
        </w:rPr>
        <w:t>(</w:t>
      </w:r>
      <w:r w:rsidRPr="00556B32">
        <w:rPr>
          <w:i/>
          <w:iCs/>
          <w:sz w:val="22"/>
          <w:szCs w:val="22"/>
        </w:rPr>
        <w:t>Thunnus thynnus</w:t>
      </w:r>
      <w:r>
        <w:rPr>
          <w:i/>
          <w:iCs/>
          <w:sz w:val="22"/>
          <w:szCs w:val="22"/>
        </w:rPr>
        <w:t>)</w:t>
      </w:r>
      <w:r w:rsidRPr="00556B32">
        <w:rPr>
          <w:sz w:val="22"/>
          <w:szCs w:val="22"/>
        </w:rPr>
        <w:t xml:space="preserve"> foraging area hotspot analysis in summer and autumn (adapted from Walli et al. 2009).</w:t>
      </w:r>
    </w:p>
    <w:p w14:paraId="0C02AB1C" w14:textId="77777777" w:rsidR="006B3F46" w:rsidRPr="00556B32" w:rsidRDefault="006B3F46" w:rsidP="00907941">
      <w:pPr>
        <w:rPr>
          <w:rFonts w:ascii="Calibri" w:hAnsi="Calibri" w:cs="Calibri"/>
          <w:sz w:val="22"/>
          <w:szCs w:val="22"/>
        </w:rPr>
      </w:pPr>
    </w:p>
    <w:p w14:paraId="5D6B0E63" w14:textId="77777777" w:rsidR="006B3F46" w:rsidRPr="009978E3" w:rsidRDefault="006B3F46" w:rsidP="00907941">
      <w:pPr>
        <w:autoSpaceDE w:val="0"/>
        <w:autoSpaceDN w:val="0"/>
        <w:adjustRightInd w:val="0"/>
        <w:rPr>
          <w:rFonts w:eastAsia="MS Mincho"/>
          <w:bCs/>
          <w:color w:val="000000"/>
          <w:sz w:val="22"/>
          <w:szCs w:val="22"/>
          <w:lang w:val="en-US"/>
        </w:rPr>
      </w:pPr>
    </w:p>
    <w:p w14:paraId="6F13D529" w14:textId="77777777" w:rsidR="006B3F46" w:rsidRPr="009978E3" w:rsidRDefault="006B3F46" w:rsidP="00907941">
      <w:pPr>
        <w:rPr>
          <w:rFonts w:eastAsia="MS Mincho"/>
          <w:bCs/>
          <w:color w:val="000000"/>
          <w:sz w:val="22"/>
          <w:szCs w:val="22"/>
          <w:lang w:val="en-US"/>
        </w:rPr>
      </w:pPr>
    </w:p>
    <w:p w14:paraId="66E586FE" w14:textId="77777777" w:rsidR="006B3F46" w:rsidRPr="009978E3" w:rsidRDefault="006B3F46" w:rsidP="00907941">
      <w:pPr>
        <w:jc w:val="center"/>
        <w:rPr>
          <w:rFonts w:eastAsia="MS Mincho"/>
          <w:b/>
          <w:sz w:val="22"/>
          <w:szCs w:val="22"/>
          <w:lang w:val="en-US"/>
        </w:rPr>
      </w:pPr>
      <w:r w:rsidRPr="009978E3">
        <w:rPr>
          <w:rFonts w:eastAsia="MS Mincho"/>
          <w:bCs/>
          <w:color w:val="000000"/>
          <w:sz w:val="22"/>
          <w:szCs w:val="22"/>
          <w:lang w:val="en-US"/>
        </w:rPr>
        <w:br w:type="page"/>
      </w:r>
      <w:r w:rsidRPr="009978E3">
        <w:rPr>
          <w:rFonts w:eastAsia="MS Mincho"/>
          <w:b/>
          <w:sz w:val="22"/>
          <w:szCs w:val="22"/>
          <w:lang w:val="en-US"/>
        </w:rPr>
        <w:t xml:space="preserve">Area no. 15: </w:t>
      </w:r>
      <w:r w:rsidRPr="009978E3">
        <w:rPr>
          <w:rFonts w:eastAsia="MS Mincho"/>
          <w:b/>
          <w:bCs/>
          <w:sz w:val="22"/>
          <w:szCs w:val="22"/>
          <w:lang w:val="en-US"/>
        </w:rPr>
        <w:t xml:space="preserve">Charlie-Gibbs </w:t>
      </w:r>
      <w:r w:rsidRPr="00F66EF7">
        <w:rPr>
          <w:rFonts w:eastAsia="MS Mincho"/>
          <w:b/>
          <w:bCs/>
          <w:sz w:val="22"/>
          <w:szCs w:val="22"/>
          <w:lang w:val="en-US"/>
        </w:rPr>
        <w:t>Fracture Zone</w:t>
      </w:r>
    </w:p>
    <w:p w14:paraId="49022210" w14:textId="77777777" w:rsidR="006B3F46" w:rsidRPr="009978E3" w:rsidRDefault="006B3F46" w:rsidP="00907941">
      <w:pPr>
        <w:tabs>
          <w:tab w:val="left" w:pos="7350"/>
        </w:tabs>
        <w:jc w:val="both"/>
        <w:rPr>
          <w:rFonts w:eastAsia="MS Mincho"/>
          <w:sz w:val="22"/>
          <w:szCs w:val="22"/>
          <w:lang w:val="en-US"/>
        </w:rPr>
      </w:pPr>
      <w:r w:rsidRPr="009978E3">
        <w:rPr>
          <w:rFonts w:eastAsia="MS Mincho"/>
          <w:b/>
          <w:sz w:val="22"/>
          <w:szCs w:val="22"/>
          <w:lang w:val="en-US"/>
        </w:rPr>
        <w:t>Abstract</w:t>
      </w:r>
      <w:r w:rsidRPr="009978E3">
        <w:rPr>
          <w:rFonts w:eastAsia="MS Mincho"/>
          <w:i/>
          <w:sz w:val="22"/>
          <w:szCs w:val="22"/>
          <w:lang w:val="en-US"/>
        </w:rPr>
        <w:tab/>
      </w:r>
    </w:p>
    <w:p w14:paraId="71E18E6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bCs/>
          <w:color w:val="000000"/>
          <w:sz w:val="22"/>
          <w:szCs w:val="22"/>
          <w:lang w:val="en-US"/>
        </w:rPr>
        <w:t>Fracture zones are common topographic features of the ocean that arise through plate tectonics. The</w:t>
      </w:r>
      <w:r w:rsidRPr="009978E3">
        <w:rPr>
          <w:rFonts w:eastAsia="MS Mincho"/>
          <w:bCs/>
          <w:i/>
          <w:color w:val="000000"/>
          <w:sz w:val="22"/>
          <w:szCs w:val="22"/>
          <w:lang w:val="en-US"/>
        </w:rPr>
        <w:t xml:space="preserve"> </w:t>
      </w:r>
      <w:r w:rsidRPr="009978E3">
        <w:rPr>
          <w:rFonts w:eastAsia="MS Mincho"/>
          <w:bCs/>
          <w:iCs/>
          <w:color w:val="000000"/>
          <w:sz w:val="22"/>
          <w:szCs w:val="22"/>
          <w:lang w:val="en-US"/>
        </w:rPr>
        <w:t>Charlie-Gibbs Fracture Zone</w:t>
      </w:r>
      <w:r w:rsidRPr="009978E3">
        <w:rPr>
          <w:rFonts w:eastAsia="MS Mincho"/>
          <w:bCs/>
          <w:color w:val="000000"/>
          <w:sz w:val="22"/>
          <w:szCs w:val="22"/>
          <w:lang w:val="en-US"/>
        </w:rPr>
        <w:t xml:space="preserve"> </w:t>
      </w:r>
      <w:r w:rsidRPr="009978E3">
        <w:rPr>
          <w:rFonts w:eastAsia="MS Mincho"/>
          <w:bCs/>
          <w:color w:val="000000"/>
          <w:sz w:val="22"/>
          <w:szCs w:val="22"/>
        </w:rPr>
        <w:t xml:space="preserve">is an unusual left lateral strike-slip </w:t>
      </w:r>
      <w:r w:rsidRPr="009978E3">
        <w:rPr>
          <w:rFonts w:eastAsia="MS Mincho"/>
          <w:bCs/>
          <w:iCs/>
          <w:color w:val="000000"/>
          <w:sz w:val="22"/>
          <w:szCs w:val="22"/>
        </w:rPr>
        <w:t>double</w:t>
      </w:r>
      <w:r w:rsidRPr="009978E3">
        <w:rPr>
          <w:rFonts w:eastAsia="MS Mincho"/>
          <w:bCs/>
          <w:color w:val="000000"/>
          <w:sz w:val="22"/>
          <w:szCs w:val="22"/>
        </w:rPr>
        <w:t xml:space="preserve"> transform fault in the North Atlantic Ocean, along which the rift valley of the Mid-Atlantic Ridge is offset by 350 km near 52º30′N. </w:t>
      </w:r>
      <w:r w:rsidRPr="009978E3">
        <w:rPr>
          <w:rFonts w:eastAsia="MS Mincho"/>
          <w:sz w:val="22"/>
          <w:szCs w:val="22"/>
          <w:lang w:eastAsia="en-GB"/>
        </w:rPr>
        <w:t>It opens the deepest connection between the northwest and northeast Atlantic (maximum depth of approximately 4500 m) and</w:t>
      </w:r>
      <w:r w:rsidRPr="009978E3">
        <w:rPr>
          <w:rFonts w:eastAsia="MS Mincho"/>
          <w:bCs/>
          <w:color w:val="000000"/>
          <w:sz w:val="22"/>
          <w:szCs w:val="22"/>
        </w:rPr>
        <w:t xml:space="preserve"> is </w:t>
      </w:r>
      <w:r w:rsidRPr="009978E3">
        <w:rPr>
          <w:rFonts w:eastAsia="MS Mincho"/>
          <w:bCs/>
          <w:color w:val="000000"/>
          <w:sz w:val="22"/>
          <w:szCs w:val="22"/>
          <w:lang w:val="en-US"/>
        </w:rPr>
        <w:t xml:space="preserve">approximately 2000 km in length, extending from about 25°W to 45°W. </w:t>
      </w:r>
      <w:r w:rsidRPr="009978E3">
        <w:rPr>
          <w:rFonts w:eastAsia="MS Mincho"/>
          <w:bCs/>
          <w:color w:val="000000"/>
          <w:sz w:val="22"/>
          <w:szCs w:val="22"/>
        </w:rPr>
        <w:t xml:space="preserve">It is </w:t>
      </w:r>
      <w:r w:rsidRPr="009978E3">
        <w:rPr>
          <w:rFonts w:eastAsia="MS Mincho"/>
          <w:sz w:val="22"/>
          <w:szCs w:val="22"/>
          <w:lang w:val="en"/>
        </w:rPr>
        <w:t>the most prominent interruption of the Mid-Atlantic Ridge between the Azores and Iceland</w:t>
      </w:r>
      <w:r w:rsidRPr="009978E3">
        <w:rPr>
          <w:rFonts w:eastAsia="MS Mincho"/>
          <w:sz w:val="22"/>
          <w:szCs w:val="22"/>
          <w:vertAlign w:val="superscript"/>
          <w:lang w:val="en"/>
        </w:rPr>
        <w:t xml:space="preserve"> </w:t>
      </w:r>
      <w:r w:rsidRPr="009978E3">
        <w:rPr>
          <w:rFonts w:eastAsia="MS Mincho"/>
          <w:bCs/>
          <w:color w:val="000000"/>
          <w:sz w:val="22"/>
          <w:szCs w:val="22"/>
        </w:rPr>
        <w:t xml:space="preserve">and the </w:t>
      </w:r>
      <w:r w:rsidRPr="0021277B">
        <w:rPr>
          <w:rFonts w:eastAsia="MS Mincho"/>
          <w:bCs/>
          <w:iCs/>
          <w:color w:val="000000"/>
          <w:sz w:val="22"/>
          <w:szCs w:val="22"/>
        </w:rPr>
        <w:t>only</w:t>
      </w:r>
      <w:r w:rsidRPr="00F66EF7">
        <w:rPr>
          <w:rFonts w:eastAsia="MS Mincho"/>
          <w:bCs/>
          <w:color w:val="000000"/>
          <w:sz w:val="22"/>
          <w:szCs w:val="22"/>
        </w:rPr>
        <w:t xml:space="preserve"> fracture zone between Europe and North America </w:t>
      </w:r>
      <w:r w:rsidRPr="002E4B39">
        <w:rPr>
          <w:rFonts w:eastAsia="MS Mincho"/>
          <w:sz w:val="22"/>
          <w:szCs w:val="22"/>
          <w:lang w:val="en-US"/>
        </w:rPr>
        <w:t>that</w:t>
      </w:r>
      <w:r w:rsidRPr="00F66EF7">
        <w:rPr>
          <w:rFonts w:eastAsia="MS Mincho"/>
          <w:bCs/>
          <w:color w:val="000000"/>
          <w:sz w:val="22"/>
          <w:szCs w:val="22"/>
        </w:rPr>
        <w:t xml:space="preserve"> has an offset of this size. Two named seamounts are associated with the transform faults: M</w:t>
      </w:r>
      <w:r w:rsidRPr="009978E3">
        <w:rPr>
          <w:rFonts w:eastAsia="MS Mincho"/>
          <w:bCs/>
          <w:color w:val="000000"/>
          <w:sz w:val="22"/>
          <w:szCs w:val="22"/>
        </w:rPr>
        <w:t xml:space="preserve">inia and Hecate. The area is a unique </w:t>
      </w:r>
      <w:r w:rsidRPr="009978E3">
        <w:rPr>
          <w:rFonts w:eastAsia="MS Mincho"/>
          <w:sz w:val="22"/>
          <w:szCs w:val="22"/>
          <w:lang w:val="en-US"/>
        </w:rPr>
        <w:t>geomorphological feature in the North Atlantic. Further, it</w:t>
      </w:r>
      <w:r w:rsidRPr="009978E3">
        <w:rPr>
          <w:rFonts w:eastAsia="MS Mincho"/>
          <w:bCs/>
          <w:color w:val="000000"/>
          <w:sz w:val="22"/>
          <w:szCs w:val="22"/>
        </w:rPr>
        <w:t xml:space="preserve"> </w:t>
      </w:r>
      <w:r w:rsidRPr="009978E3">
        <w:rPr>
          <w:rFonts w:eastAsia="MS Mincho"/>
          <w:sz w:val="22"/>
          <w:szCs w:val="22"/>
          <w:lang w:val="en-US"/>
        </w:rPr>
        <w:t xml:space="preserve">captures the Earth’s geological history, including significant ongoing geological processes. </w:t>
      </w:r>
      <w:r w:rsidRPr="009978E3">
        <w:rPr>
          <w:sz w:val="22"/>
          <w:szCs w:val="22"/>
          <w:lang w:val="en-US"/>
        </w:rPr>
        <w:t>The sub-polar front is also representative of a pelagic frontal system. The area is described bas</w:t>
      </w:r>
      <w:r>
        <w:rPr>
          <w:sz w:val="22"/>
          <w:szCs w:val="22"/>
          <w:lang w:val="en-US"/>
        </w:rPr>
        <w:t>ed on</w:t>
      </w:r>
      <w:r w:rsidRPr="009978E3">
        <w:rPr>
          <w:sz w:val="22"/>
          <w:szCs w:val="22"/>
          <w:lang w:val="en-US"/>
        </w:rPr>
        <w:t xml:space="preserve"> its</w:t>
      </w:r>
      <w:r w:rsidRPr="009978E3">
        <w:rPr>
          <w:rFonts w:eastAsia="MS Mincho"/>
          <w:sz w:val="22"/>
          <w:szCs w:val="22"/>
          <w:lang w:val="en-US"/>
        </w:rPr>
        <w:t xml:space="preserve"> </w:t>
      </w:r>
      <w:r w:rsidRPr="009978E3">
        <w:rPr>
          <w:sz w:val="22"/>
          <w:szCs w:val="22"/>
          <w:lang w:val="en-US"/>
        </w:rPr>
        <w:t>importance as a section of the northern Mid</w:t>
      </w:r>
      <w:r>
        <w:rPr>
          <w:sz w:val="22"/>
          <w:szCs w:val="22"/>
          <w:lang w:val="en-US"/>
        </w:rPr>
        <w:t>-</w:t>
      </w:r>
      <w:r w:rsidRPr="009978E3">
        <w:rPr>
          <w:sz w:val="22"/>
          <w:szCs w:val="22"/>
          <w:lang w:val="en-US"/>
        </w:rPr>
        <w:t>Atlantic Ridge and is a biogeographically representative section of the northern Mid</w:t>
      </w:r>
      <w:r>
        <w:rPr>
          <w:sz w:val="22"/>
          <w:szCs w:val="22"/>
          <w:lang w:val="en-US"/>
        </w:rPr>
        <w:t>-</w:t>
      </w:r>
      <w:r w:rsidRPr="009978E3">
        <w:rPr>
          <w:sz w:val="22"/>
          <w:szCs w:val="22"/>
          <w:lang w:val="en-US"/>
        </w:rPr>
        <w:t>Atlantic Ridge. There is evidence of both deep-sea sponge aggregations and cold-water corals in this area. In addition, the Mid</w:t>
      </w:r>
      <w:r>
        <w:rPr>
          <w:sz w:val="22"/>
          <w:szCs w:val="22"/>
          <w:lang w:val="en-US"/>
        </w:rPr>
        <w:t>-</w:t>
      </w:r>
      <w:r w:rsidRPr="009978E3">
        <w:rPr>
          <w:sz w:val="22"/>
          <w:szCs w:val="22"/>
          <w:lang w:val="en-US"/>
        </w:rPr>
        <w:t xml:space="preserve">Atlantic Ridge </w:t>
      </w:r>
      <w:r>
        <w:rPr>
          <w:sz w:val="22"/>
          <w:szCs w:val="22"/>
          <w:lang w:val="en-US"/>
        </w:rPr>
        <w:t>is</w:t>
      </w:r>
      <w:r w:rsidRPr="009978E3">
        <w:rPr>
          <w:sz w:val="22"/>
          <w:szCs w:val="22"/>
          <w:lang w:val="en-US"/>
        </w:rPr>
        <w:t xml:space="preserve"> the only extensive hard substrate available for propagation of benthic suspension feeders off the continental shelves and isolated seamounts in the region.</w:t>
      </w:r>
    </w:p>
    <w:p w14:paraId="17BD7066"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598DB585" w14:textId="77777777" w:rsidR="006B3F46" w:rsidRPr="009978E3" w:rsidRDefault="006B3F46" w:rsidP="002E4B39">
      <w:pPr>
        <w:suppressLineNumbers/>
        <w:spacing w:after="120"/>
        <w:jc w:val="both"/>
        <w:rPr>
          <w:rFonts w:eastAsia="MS Mincho"/>
          <w:bCs/>
          <w:color w:val="000000"/>
          <w:sz w:val="22"/>
          <w:szCs w:val="22"/>
          <w:lang w:val="en-US"/>
        </w:rPr>
      </w:pPr>
      <w:r w:rsidRPr="009978E3">
        <w:rPr>
          <w:rFonts w:eastAsia="MS Mincho"/>
          <w:bCs/>
          <w:color w:val="000000"/>
          <w:sz w:val="22"/>
          <w:szCs w:val="22"/>
          <w:lang w:val="en-US"/>
        </w:rPr>
        <w:t xml:space="preserve">Fracture zones are common topographic features of the global oceans that arise through plate tectonics. They are </w:t>
      </w:r>
      <w:r w:rsidRPr="009978E3">
        <w:rPr>
          <w:rFonts w:eastAsia="MS Mincho"/>
          <w:sz w:val="22"/>
          <w:szCs w:val="22"/>
          <w:lang w:val="en"/>
        </w:rPr>
        <w:t>characterized by two strongly contrasting types of topography.</w:t>
      </w:r>
      <w:r w:rsidRPr="009978E3">
        <w:rPr>
          <w:rFonts w:eastAsia="MS Mincho"/>
          <w:color w:val="403838"/>
          <w:sz w:val="22"/>
          <w:szCs w:val="22"/>
          <w:lang w:val="en"/>
        </w:rPr>
        <w:t xml:space="preserve"> </w:t>
      </w:r>
      <w:r w:rsidRPr="009978E3">
        <w:rPr>
          <w:rFonts w:eastAsia="MS Mincho"/>
          <w:bCs/>
          <w:color w:val="000000"/>
          <w:sz w:val="22"/>
          <w:szCs w:val="22"/>
          <w:lang w:val="en-US"/>
        </w:rPr>
        <w:t>Seismically active transform faults form near mid-ocean ridges where the continental plates move in opposing directions at their junction. Seismically inactive fracture zones, where the plate segments move in the same direction, extend beyond the transform faults often for 100s of kilometr</w:t>
      </w:r>
      <w:r>
        <w:rPr>
          <w:rFonts w:eastAsia="MS Mincho"/>
          <w:bCs/>
          <w:color w:val="000000"/>
          <w:sz w:val="22"/>
          <w:szCs w:val="22"/>
          <w:lang w:val="en-US"/>
        </w:rPr>
        <w:t>e</w:t>
      </w:r>
      <w:r w:rsidRPr="009978E3">
        <w:rPr>
          <w:rFonts w:eastAsia="MS Mincho"/>
          <w:bCs/>
          <w:color w:val="000000"/>
          <w:sz w:val="22"/>
          <w:szCs w:val="22"/>
          <w:lang w:val="en-US"/>
        </w:rPr>
        <w:t xml:space="preserve">s. Their atypical crust thickness that can be as little as 2 km (Mutter </w:t>
      </w:r>
      <w:r w:rsidRPr="0006066A">
        <w:rPr>
          <w:rFonts w:eastAsia="MS Mincho"/>
          <w:bCs/>
          <w:i/>
          <w:color w:val="000000"/>
          <w:sz w:val="22"/>
          <w:szCs w:val="22"/>
          <w:lang w:val="en-US"/>
        </w:rPr>
        <w:t>et al</w:t>
      </w:r>
      <w:r w:rsidRPr="009978E3">
        <w:rPr>
          <w:rFonts w:eastAsia="MS Mincho"/>
          <w:bCs/>
          <w:color w:val="000000"/>
          <w:sz w:val="22"/>
          <w:szCs w:val="22"/>
          <w:lang w:val="en-US"/>
        </w:rPr>
        <w:t xml:space="preserve">. 1984, Cormier </w:t>
      </w:r>
      <w:r w:rsidRPr="0006066A">
        <w:rPr>
          <w:rFonts w:eastAsia="MS Mincho"/>
          <w:bCs/>
          <w:i/>
          <w:color w:val="000000"/>
          <w:sz w:val="22"/>
          <w:szCs w:val="22"/>
          <w:lang w:val="en-US"/>
        </w:rPr>
        <w:t>et al</w:t>
      </w:r>
      <w:r w:rsidRPr="009978E3">
        <w:rPr>
          <w:rFonts w:eastAsia="MS Mincho"/>
          <w:bCs/>
          <w:color w:val="000000"/>
          <w:sz w:val="22"/>
          <w:szCs w:val="22"/>
          <w:lang w:val="en-US"/>
        </w:rPr>
        <w:t xml:space="preserve">. 1984, Calvert and Whitmarsh 1986) allowing direct seismic investigations of the internal structure and composition of oceanic crusts used to model processes of seafloor spreading. In the Atlantic Ocean most fracture zones originate from the Mid-Atlantic Ridge (MAR) and are nearly perfectly west - east oriented. There are about 300 fracture zones occurring on average every 55 km along the ridge, with the offsets created by transform faults ranging from 9 to 400 km in length (Müller </w:t>
      </w:r>
      <w:r w:rsidRPr="002E4B39">
        <w:rPr>
          <w:rFonts w:eastAsia="MS Mincho"/>
          <w:sz w:val="22"/>
          <w:szCs w:val="22"/>
          <w:lang w:val="en-US"/>
        </w:rPr>
        <w:t>and</w:t>
      </w:r>
      <w:r w:rsidRPr="009978E3">
        <w:rPr>
          <w:rFonts w:eastAsia="MS Mincho"/>
          <w:bCs/>
          <w:color w:val="000000"/>
          <w:sz w:val="22"/>
          <w:szCs w:val="22"/>
          <w:lang w:val="en-US"/>
        </w:rPr>
        <w:t xml:space="preserve"> Roest 1992). </w:t>
      </w:r>
    </w:p>
    <w:p w14:paraId="50EB0E89"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bCs/>
          <w:color w:val="000000"/>
          <w:sz w:val="22"/>
          <w:szCs w:val="22"/>
          <w:lang w:val="en-US"/>
        </w:rPr>
        <w:t xml:space="preserve">The Charlie-Gibbs Fracture Zone (CGFZ) </w:t>
      </w:r>
      <w:r w:rsidRPr="009978E3">
        <w:rPr>
          <w:rFonts w:eastAsia="MS Mincho"/>
          <w:bCs/>
          <w:color w:val="000000"/>
          <w:sz w:val="22"/>
          <w:szCs w:val="22"/>
        </w:rPr>
        <w:t xml:space="preserve">is an unusual left lateral strike-slip double transform fault in the North Atlantic Ocean along which the rift valley of the MAR is offset by 350 km near 52º30′N (Figure 1). </w:t>
      </w:r>
      <w:r w:rsidRPr="009978E3">
        <w:rPr>
          <w:rFonts w:eastAsia="MS Mincho"/>
          <w:sz w:val="22"/>
          <w:szCs w:val="22"/>
          <w:lang w:eastAsia="en-GB"/>
        </w:rPr>
        <w:t xml:space="preserve">It opens the deepest connection between the northwest and northeast Atlantic (maximum depth of approximately 4500 m; Fleming </w:t>
      </w:r>
      <w:r w:rsidRPr="0006066A">
        <w:rPr>
          <w:rFonts w:eastAsia="MS Mincho"/>
          <w:i/>
          <w:sz w:val="22"/>
          <w:szCs w:val="22"/>
          <w:lang w:eastAsia="en-GB"/>
        </w:rPr>
        <w:t>et al</w:t>
      </w:r>
      <w:r w:rsidRPr="009978E3">
        <w:rPr>
          <w:rFonts w:eastAsia="MS Mincho"/>
          <w:sz w:val="22"/>
          <w:szCs w:val="22"/>
          <w:lang w:eastAsia="en-GB"/>
        </w:rPr>
        <w:t>. 1970) and</w:t>
      </w:r>
      <w:r w:rsidRPr="009978E3">
        <w:rPr>
          <w:rFonts w:eastAsia="MS Mincho"/>
          <w:bCs/>
          <w:color w:val="000000"/>
          <w:sz w:val="22"/>
          <w:szCs w:val="22"/>
        </w:rPr>
        <w:t xml:space="preserve"> is </w:t>
      </w:r>
      <w:r w:rsidRPr="009978E3">
        <w:rPr>
          <w:rFonts w:eastAsia="MS Mincho"/>
          <w:bCs/>
          <w:color w:val="000000"/>
          <w:sz w:val="22"/>
          <w:szCs w:val="22"/>
          <w:lang w:val="en-US"/>
        </w:rPr>
        <w:t xml:space="preserve">approximately 2000 km in length extending from about 25°W to 45°W. </w:t>
      </w:r>
      <w:r w:rsidRPr="009978E3">
        <w:rPr>
          <w:rFonts w:eastAsia="MS Mincho"/>
          <w:bCs/>
          <w:color w:val="000000"/>
          <w:sz w:val="22"/>
          <w:szCs w:val="22"/>
        </w:rPr>
        <w:t xml:space="preserve">It is </w:t>
      </w:r>
      <w:r w:rsidRPr="009978E3">
        <w:rPr>
          <w:rFonts w:eastAsia="MS Mincho"/>
          <w:sz w:val="22"/>
          <w:szCs w:val="22"/>
          <w:lang w:val="en"/>
        </w:rPr>
        <w:t>the most prominent interruption of the MAR between the Azores and Iceland</w:t>
      </w:r>
      <w:r w:rsidRPr="009978E3">
        <w:rPr>
          <w:rFonts w:eastAsia="MS Mincho"/>
          <w:sz w:val="22"/>
          <w:szCs w:val="22"/>
          <w:vertAlign w:val="superscript"/>
          <w:lang w:val="en"/>
        </w:rPr>
        <w:t xml:space="preserve"> </w:t>
      </w:r>
      <w:r w:rsidRPr="009978E3">
        <w:rPr>
          <w:rFonts w:eastAsia="MS Mincho"/>
          <w:bCs/>
          <w:color w:val="000000"/>
          <w:sz w:val="22"/>
          <w:szCs w:val="22"/>
        </w:rPr>
        <w:t>and the only fracture zone between Europe and North America that has an offset of this size</w:t>
      </w:r>
      <w:r w:rsidRPr="00F66EF7">
        <w:rPr>
          <w:rFonts w:eastAsia="MS Mincho"/>
          <w:sz w:val="22"/>
          <w:szCs w:val="22"/>
          <w:vertAlign w:val="superscript"/>
          <w:lang w:val="en"/>
        </w:rPr>
        <w:footnoteReference w:id="18"/>
      </w:r>
      <w:r w:rsidRPr="00F66EF7">
        <w:rPr>
          <w:rFonts w:eastAsia="MS Mincho"/>
          <w:bCs/>
          <w:color w:val="000000"/>
          <w:sz w:val="22"/>
          <w:szCs w:val="22"/>
        </w:rPr>
        <w:t>. Knowledge of its geomorphology is considered essential to the underst</w:t>
      </w:r>
      <w:r w:rsidRPr="009978E3">
        <w:rPr>
          <w:rFonts w:eastAsia="MS Mincho"/>
          <w:bCs/>
          <w:color w:val="000000"/>
          <w:sz w:val="22"/>
          <w:szCs w:val="22"/>
        </w:rPr>
        <w:t xml:space="preserve">anding of the plate tectonic history of the Atlantic north of the Azores (Olivet </w:t>
      </w:r>
      <w:r w:rsidRPr="0006066A">
        <w:rPr>
          <w:rFonts w:eastAsia="MS Mincho"/>
          <w:bCs/>
          <w:i/>
          <w:color w:val="000000"/>
          <w:sz w:val="22"/>
          <w:szCs w:val="22"/>
        </w:rPr>
        <w:t>et al</w:t>
      </w:r>
      <w:r w:rsidRPr="009978E3">
        <w:rPr>
          <w:rFonts w:eastAsia="MS Mincho"/>
          <w:bCs/>
          <w:color w:val="000000"/>
          <w:sz w:val="22"/>
          <w:szCs w:val="22"/>
        </w:rPr>
        <w:t xml:space="preserve">. 1974). For these reasons it is a unique </w:t>
      </w:r>
      <w:r w:rsidRPr="009978E3">
        <w:rPr>
          <w:rFonts w:eastAsia="MS Mincho"/>
          <w:sz w:val="22"/>
          <w:szCs w:val="22"/>
          <w:lang w:val="en-US"/>
        </w:rPr>
        <w:t>geomorphological feature in the North Atlantic; further, it</w:t>
      </w:r>
      <w:r w:rsidRPr="009978E3">
        <w:rPr>
          <w:rFonts w:eastAsia="MS Mincho"/>
          <w:bCs/>
          <w:color w:val="000000"/>
          <w:sz w:val="22"/>
          <w:szCs w:val="22"/>
        </w:rPr>
        <w:t xml:space="preserve"> </w:t>
      </w:r>
      <w:r w:rsidRPr="009978E3">
        <w:rPr>
          <w:rFonts w:eastAsia="MS Mincho"/>
          <w:sz w:val="22"/>
          <w:szCs w:val="22"/>
          <w:lang w:val="en-US"/>
        </w:rPr>
        <w:t>captures the Earth’s geological history, including significant on-going geological processes.</w:t>
      </w:r>
    </w:p>
    <w:p w14:paraId="6DCDD602" w14:textId="77777777" w:rsidR="006B3F46" w:rsidRPr="009978E3" w:rsidRDefault="006B3F46" w:rsidP="002E4B39">
      <w:pPr>
        <w:suppressLineNumbers/>
        <w:spacing w:after="120"/>
        <w:jc w:val="both"/>
        <w:rPr>
          <w:rFonts w:eastAsia="MS Mincho"/>
          <w:bCs/>
          <w:color w:val="000000"/>
          <w:sz w:val="22"/>
          <w:szCs w:val="22"/>
        </w:rPr>
      </w:pPr>
      <w:r w:rsidRPr="009978E3">
        <w:rPr>
          <w:rFonts w:eastAsia="MS Mincho"/>
          <w:bCs/>
          <w:color w:val="000000"/>
          <w:sz w:val="22"/>
          <w:szCs w:val="22"/>
        </w:rPr>
        <w:t>The CGFZ comprise</w:t>
      </w:r>
      <w:r>
        <w:rPr>
          <w:rFonts w:eastAsia="MS Mincho"/>
          <w:bCs/>
          <w:color w:val="000000"/>
          <w:sz w:val="22"/>
          <w:szCs w:val="22"/>
        </w:rPr>
        <w:t>s</w:t>
      </w:r>
      <w:r w:rsidRPr="009978E3">
        <w:rPr>
          <w:rFonts w:eastAsia="MS Mincho"/>
          <w:bCs/>
          <w:color w:val="000000"/>
          <w:sz w:val="22"/>
          <w:szCs w:val="22"/>
        </w:rPr>
        <w:t xml:space="preserve"> two narrow parallel fracture zones (Fleming </w:t>
      </w:r>
      <w:r w:rsidRPr="0006066A">
        <w:rPr>
          <w:rFonts w:eastAsia="MS Mincho"/>
          <w:bCs/>
          <w:i/>
          <w:color w:val="000000"/>
          <w:sz w:val="22"/>
          <w:szCs w:val="22"/>
        </w:rPr>
        <w:t>et al</w:t>
      </w:r>
      <w:r w:rsidRPr="009978E3">
        <w:rPr>
          <w:rFonts w:eastAsia="MS Mincho"/>
          <w:bCs/>
          <w:color w:val="000000"/>
          <w:sz w:val="22"/>
          <w:szCs w:val="22"/>
        </w:rPr>
        <w:t>. 1970)</w:t>
      </w:r>
      <w:r>
        <w:rPr>
          <w:rFonts w:eastAsia="MS Mincho"/>
          <w:bCs/>
          <w:color w:val="000000"/>
          <w:sz w:val="22"/>
          <w:szCs w:val="22"/>
        </w:rPr>
        <w:t>,</w:t>
      </w:r>
      <w:r w:rsidRPr="009978E3">
        <w:rPr>
          <w:rFonts w:eastAsia="MS Mincho"/>
          <w:bCs/>
          <w:color w:val="000000"/>
          <w:sz w:val="22"/>
          <w:szCs w:val="22"/>
        </w:rPr>
        <w:t xml:space="preserve"> which form deep trenches located at 30ºW (Charlie-Gibbs South </w:t>
      </w:r>
      <w:r w:rsidRPr="009978E3">
        <w:rPr>
          <w:rFonts w:eastAsia="MS Mincho"/>
          <w:bCs/>
          <w:color w:val="000000"/>
          <w:sz w:val="22"/>
          <w:szCs w:val="22"/>
          <w:lang w:val="en"/>
        </w:rPr>
        <w:t>Transform Fault</w:t>
      </w:r>
      <w:r w:rsidRPr="009978E3">
        <w:rPr>
          <w:rFonts w:eastAsia="MS Mincho"/>
          <w:bCs/>
          <w:color w:val="000000"/>
          <w:sz w:val="22"/>
          <w:szCs w:val="22"/>
        </w:rPr>
        <w:t xml:space="preserve">) and 35º15′W (Charlie-Gibbs North </w:t>
      </w:r>
      <w:r w:rsidRPr="009978E3">
        <w:rPr>
          <w:rFonts w:eastAsia="MS Mincho"/>
          <w:bCs/>
          <w:color w:val="000000"/>
          <w:sz w:val="22"/>
          <w:szCs w:val="22"/>
          <w:lang w:val="en"/>
        </w:rPr>
        <w:t>Transform Fault</w:t>
      </w:r>
      <w:r w:rsidRPr="009978E3">
        <w:rPr>
          <w:rFonts w:eastAsia="MS Mincho"/>
          <w:bCs/>
          <w:color w:val="000000"/>
          <w:sz w:val="22"/>
          <w:szCs w:val="22"/>
        </w:rPr>
        <w:t>) and separated by a short (40 km) north-south seismically active (Bergman and Solomon 1988) spreading centr</w:t>
      </w:r>
      <w:r>
        <w:rPr>
          <w:rFonts w:eastAsia="MS Mincho"/>
          <w:bCs/>
          <w:color w:val="000000"/>
          <w:sz w:val="22"/>
          <w:szCs w:val="22"/>
        </w:rPr>
        <w:t>e</w:t>
      </w:r>
      <w:r w:rsidRPr="009978E3">
        <w:rPr>
          <w:rFonts w:eastAsia="MS Mincho"/>
          <w:bCs/>
          <w:color w:val="000000"/>
          <w:sz w:val="22"/>
          <w:szCs w:val="22"/>
        </w:rPr>
        <w:t xml:space="preserve"> (median transverse ridge) at 31º45’W (Figure 2; Searle 1981; Fleming </w:t>
      </w:r>
      <w:r w:rsidRPr="0006066A">
        <w:rPr>
          <w:rFonts w:eastAsia="MS Mincho"/>
          <w:bCs/>
          <w:i/>
          <w:color w:val="000000"/>
          <w:sz w:val="22"/>
          <w:szCs w:val="22"/>
        </w:rPr>
        <w:t>et al</w:t>
      </w:r>
      <w:r w:rsidRPr="009978E3">
        <w:rPr>
          <w:rFonts w:eastAsia="MS Mincho"/>
          <w:bCs/>
          <w:color w:val="000000"/>
          <w:sz w:val="22"/>
          <w:szCs w:val="22"/>
        </w:rPr>
        <w:t xml:space="preserve">. 1970, Olivet </w:t>
      </w:r>
      <w:r w:rsidRPr="0006066A">
        <w:rPr>
          <w:rFonts w:eastAsia="MS Mincho"/>
          <w:bCs/>
          <w:i/>
          <w:color w:val="000000"/>
          <w:sz w:val="22"/>
          <w:szCs w:val="22"/>
        </w:rPr>
        <w:t>et al</w:t>
      </w:r>
      <w:r w:rsidRPr="009978E3">
        <w:rPr>
          <w:rFonts w:eastAsia="MS Mincho"/>
          <w:bCs/>
          <w:color w:val="000000"/>
          <w:sz w:val="22"/>
          <w:szCs w:val="22"/>
        </w:rPr>
        <w:t xml:space="preserve">. 1974). </w:t>
      </w:r>
      <w:r w:rsidRPr="009978E3">
        <w:rPr>
          <w:rFonts w:eastAsia="MS Mincho"/>
          <w:bCs/>
          <w:color w:val="000000"/>
          <w:sz w:val="22"/>
          <w:szCs w:val="22"/>
          <w:lang w:val="en"/>
        </w:rPr>
        <w:t xml:space="preserve">The southern fault displaces the MAR, coming from the Azores, to the west over 120 km. It is at most 30 km wide (Searle 1981). The northern fault displaces the spreading ridge over another 230 km to the west before it connects to the northern part of the MAR going to Iceland. Both transform faults continue eastward and westward </w:t>
      </w:r>
      <w:r w:rsidRPr="009978E3">
        <w:rPr>
          <w:rFonts w:eastAsia="MS Mincho"/>
          <w:bCs/>
          <w:color w:val="000000"/>
          <w:sz w:val="22"/>
          <w:szCs w:val="22"/>
        </w:rPr>
        <w:t xml:space="preserve">as inactive fracture zones (Figure 2). </w:t>
      </w:r>
    </w:p>
    <w:p w14:paraId="3B397436" w14:textId="77777777" w:rsidR="006B3F46" w:rsidRPr="009978E3" w:rsidRDefault="006B3F46" w:rsidP="002E4B39">
      <w:pPr>
        <w:suppressLineNumbers/>
        <w:spacing w:after="120"/>
        <w:jc w:val="both"/>
        <w:rPr>
          <w:rFonts w:eastAsia="MS Mincho"/>
          <w:bCs/>
          <w:color w:val="000000"/>
          <w:sz w:val="22"/>
          <w:szCs w:val="22"/>
          <w:lang w:val="en"/>
        </w:rPr>
      </w:pPr>
      <w:r w:rsidRPr="002E4B39">
        <w:rPr>
          <w:rFonts w:eastAsia="MS Mincho"/>
          <w:sz w:val="22"/>
          <w:szCs w:val="22"/>
          <w:lang w:val="en-US"/>
        </w:rPr>
        <w:t>The</w:t>
      </w:r>
      <w:r w:rsidRPr="009978E3">
        <w:rPr>
          <w:rFonts w:eastAsia="MS Mincho"/>
          <w:bCs/>
          <w:color w:val="000000"/>
          <w:sz w:val="22"/>
          <w:szCs w:val="22"/>
          <w:lang w:val="en"/>
        </w:rPr>
        <w:t xml:space="preserve"> CGFZ is characterized by rough morphology</w:t>
      </w:r>
      <w:r>
        <w:rPr>
          <w:rFonts w:eastAsia="MS Mincho"/>
          <w:bCs/>
          <w:color w:val="000000"/>
          <w:sz w:val="22"/>
          <w:szCs w:val="22"/>
          <w:lang w:val="en"/>
        </w:rPr>
        <w:t>,</w:t>
      </w:r>
      <w:r w:rsidRPr="009978E3">
        <w:rPr>
          <w:rFonts w:eastAsia="MS Mincho"/>
          <w:bCs/>
          <w:color w:val="000000"/>
          <w:sz w:val="22"/>
          <w:szCs w:val="22"/>
          <w:lang w:val="en"/>
        </w:rPr>
        <w:t xml:space="preserve"> and the walls of the fracture valleys and the ridge in between them are broken and irregular</w:t>
      </w:r>
      <w:r>
        <w:rPr>
          <w:rFonts w:eastAsia="MS Mincho"/>
          <w:bCs/>
          <w:color w:val="000000"/>
          <w:sz w:val="22"/>
          <w:szCs w:val="22"/>
          <w:lang w:val="en"/>
        </w:rPr>
        <w:t>,</w:t>
      </w:r>
      <w:r w:rsidRPr="009978E3">
        <w:rPr>
          <w:rFonts w:eastAsia="MS Mincho"/>
          <w:bCs/>
          <w:color w:val="000000"/>
          <w:sz w:val="22"/>
          <w:szCs w:val="22"/>
          <w:lang w:val="en"/>
        </w:rPr>
        <w:t xml:space="preserve"> with slopes of up to 29° (Fleming </w:t>
      </w:r>
      <w:r w:rsidRPr="0006066A">
        <w:rPr>
          <w:rFonts w:eastAsia="MS Mincho"/>
          <w:bCs/>
          <w:i/>
          <w:color w:val="000000"/>
          <w:sz w:val="22"/>
          <w:szCs w:val="22"/>
          <w:lang w:val="en"/>
        </w:rPr>
        <w:t>et al</w:t>
      </w:r>
      <w:r w:rsidRPr="009978E3">
        <w:rPr>
          <w:rFonts w:eastAsia="MS Mincho"/>
          <w:bCs/>
          <w:i/>
          <w:color w:val="000000"/>
          <w:sz w:val="22"/>
          <w:szCs w:val="22"/>
          <w:lang w:val="en"/>
        </w:rPr>
        <w:t>.</w:t>
      </w:r>
      <w:r w:rsidRPr="009978E3">
        <w:rPr>
          <w:rFonts w:eastAsia="MS Mincho"/>
          <w:bCs/>
          <w:color w:val="000000"/>
          <w:sz w:val="22"/>
          <w:szCs w:val="22"/>
          <w:lang w:val="en"/>
        </w:rPr>
        <w:t xml:space="preserve"> 1970). The height of the ridge between the faults is at least 1000 m below the surface and as shallow as 636 m in parts (Fleming </w:t>
      </w:r>
      <w:r w:rsidRPr="0006066A">
        <w:rPr>
          <w:rFonts w:eastAsia="MS Mincho"/>
          <w:bCs/>
          <w:i/>
          <w:color w:val="000000"/>
          <w:sz w:val="22"/>
          <w:szCs w:val="22"/>
          <w:lang w:val="en"/>
        </w:rPr>
        <w:t>et al</w:t>
      </w:r>
      <w:r w:rsidRPr="009978E3">
        <w:rPr>
          <w:rFonts w:eastAsia="MS Mincho"/>
          <w:bCs/>
          <w:i/>
          <w:color w:val="000000"/>
          <w:sz w:val="22"/>
          <w:szCs w:val="22"/>
          <w:lang w:val="en"/>
        </w:rPr>
        <w:t>.</w:t>
      </w:r>
      <w:r w:rsidRPr="009978E3">
        <w:rPr>
          <w:rFonts w:eastAsia="MS Mincho"/>
          <w:bCs/>
          <w:color w:val="000000"/>
          <w:sz w:val="22"/>
          <w:szCs w:val="22"/>
          <w:lang w:val="en"/>
        </w:rPr>
        <w:t xml:space="preserve"> 1970). </w:t>
      </w:r>
      <w:r w:rsidRPr="009978E3">
        <w:rPr>
          <w:rFonts w:eastAsia="MS Mincho"/>
          <w:bCs/>
          <w:color w:val="000000"/>
          <w:sz w:val="22"/>
          <w:szCs w:val="22"/>
        </w:rPr>
        <w:t>Rock samples show the walls of the fracture zone to be both basaltic and ultramafic while the median transverse ridge contains gabbro (Hekinian and Aumento 1973). Earthquake epicentres are associated with the transform faults (Kanamori and Stewart 1976, Bergman and Solomon 1988)</w:t>
      </w:r>
      <w:r>
        <w:rPr>
          <w:rFonts w:eastAsia="MS Mincho"/>
          <w:bCs/>
          <w:color w:val="000000"/>
          <w:sz w:val="22"/>
          <w:szCs w:val="22"/>
        </w:rPr>
        <w:t>,</w:t>
      </w:r>
      <w:r w:rsidRPr="009978E3">
        <w:rPr>
          <w:rFonts w:eastAsia="MS Mincho"/>
          <w:bCs/>
          <w:color w:val="000000"/>
          <w:sz w:val="22"/>
          <w:szCs w:val="22"/>
        </w:rPr>
        <w:t xml:space="preserve"> and an almost continuous belt of epicentres follow</w:t>
      </w:r>
      <w:r>
        <w:rPr>
          <w:rFonts w:eastAsia="MS Mincho"/>
          <w:bCs/>
          <w:color w:val="000000"/>
          <w:sz w:val="22"/>
          <w:szCs w:val="22"/>
        </w:rPr>
        <w:t>s</w:t>
      </w:r>
      <w:r w:rsidRPr="009978E3">
        <w:rPr>
          <w:rFonts w:eastAsia="MS Mincho"/>
          <w:bCs/>
          <w:color w:val="000000"/>
          <w:sz w:val="22"/>
          <w:szCs w:val="22"/>
        </w:rPr>
        <w:t xml:space="preserve"> the southern end of the Reykjanes Ridge, along the northern transform valley, the central median valley and the southern transform valley to the north end of the MAR (Lilwall and Kirk 1985). Two named seamounts are associated with the transform faults: Minia Seamount (53°01′N 34°58′W)</w:t>
      </w:r>
      <w:r>
        <w:rPr>
          <w:rFonts w:eastAsia="MS Mincho"/>
          <w:bCs/>
          <w:color w:val="000000"/>
          <w:sz w:val="22"/>
          <w:szCs w:val="22"/>
        </w:rPr>
        <w:t>,</w:t>
      </w:r>
      <w:r w:rsidRPr="009978E3">
        <w:rPr>
          <w:rFonts w:eastAsia="MS Mincho"/>
          <w:bCs/>
          <w:color w:val="000000"/>
          <w:sz w:val="22"/>
          <w:szCs w:val="22"/>
        </w:rPr>
        <w:t xml:space="preserve"> </w:t>
      </w:r>
      <w:r w:rsidRPr="009978E3">
        <w:rPr>
          <w:rFonts w:eastAsia="MS Mincho"/>
          <w:bCs/>
          <w:color w:val="000000"/>
          <w:sz w:val="22"/>
          <w:szCs w:val="22"/>
          <w:lang w:val="en"/>
        </w:rPr>
        <w:t>located near the junction of the Reykjanes Ridge and the northern transform fault</w:t>
      </w:r>
      <w:r>
        <w:rPr>
          <w:rFonts w:eastAsia="MS Mincho"/>
          <w:bCs/>
          <w:color w:val="000000"/>
          <w:sz w:val="22"/>
          <w:szCs w:val="22"/>
          <w:lang w:val="en"/>
        </w:rPr>
        <w:t>,</w:t>
      </w:r>
      <w:r w:rsidRPr="009978E3">
        <w:rPr>
          <w:rFonts w:eastAsia="MS Mincho"/>
          <w:bCs/>
          <w:color w:val="000000"/>
          <w:sz w:val="22"/>
          <w:szCs w:val="22"/>
          <w:lang w:val="en"/>
        </w:rPr>
        <w:t xml:space="preserve"> </w:t>
      </w:r>
      <w:r w:rsidRPr="009978E3">
        <w:rPr>
          <w:rFonts w:eastAsia="MS Mincho"/>
          <w:bCs/>
          <w:color w:val="000000"/>
          <w:sz w:val="22"/>
          <w:szCs w:val="22"/>
        </w:rPr>
        <w:t>and Hecate Seamount</w:t>
      </w:r>
      <w:r w:rsidRPr="009978E3">
        <w:rPr>
          <w:rFonts w:eastAsia="MS Mincho"/>
          <w:sz w:val="22"/>
          <w:szCs w:val="22"/>
          <w:lang w:val="en"/>
        </w:rPr>
        <w:t xml:space="preserve"> (52°17′N 31°00′W</w:t>
      </w:r>
      <w:r w:rsidRPr="0021277B">
        <w:rPr>
          <w:rFonts w:eastAsia="MS Mincho"/>
          <w:vanish/>
          <w:sz w:val="22"/>
          <w:szCs w:val="22"/>
          <w:lang w:val="en"/>
        </w:rPr>
        <w:t>﻿</w:t>
      </w:r>
      <w:r w:rsidRPr="00F66EF7">
        <w:rPr>
          <w:rFonts w:eastAsia="MS Mincho"/>
          <w:vanish/>
          <w:sz w:val="22"/>
          <w:szCs w:val="22"/>
          <w:lang w:val="en"/>
        </w:rPr>
        <w:t xml:space="preserve"> / </w:t>
      </w:r>
      <w:r w:rsidRPr="0021277B">
        <w:rPr>
          <w:rFonts w:eastAsia="MS Mincho"/>
          <w:vanish/>
          <w:sz w:val="22"/>
          <w:szCs w:val="22"/>
          <w:lang w:val="en"/>
        </w:rPr>
        <w:t>﻿</w:t>
      </w:r>
      <w:r w:rsidRPr="00F66EF7">
        <w:rPr>
          <w:rFonts w:eastAsia="MS Mincho"/>
          <w:vanish/>
          <w:sz w:val="22"/>
          <w:szCs w:val="22"/>
          <w:lang w:val="en"/>
        </w:rPr>
        <w:t>52.283°N 31.000°W</w:t>
      </w:r>
      <w:r w:rsidRPr="0021277B">
        <w:rPr>
          <w:rFonts w:eastAsia="MS Mincho"/>
          <w:vanish/>
          <w:sz w:val="22"/>
          <w:szCs w:val="22"/>
          <w:lang w:val="en"/>
        </w:rPr>
        <w:t>﻿</w:t>
      </w:r>
      <w:r w:rsidRPr="00F66EF7">
        <w:rPr>
          <w:rFonts w:eastAsia="MS Mincho"/>
          <w:vanish/>
          <w:sz w:val="22"/>
          <w:szCs w:val="22"/>
          <w:lang w:val="en"/>
        </w:rPr>
        <w:t xml:space="preserve"> / 52.283; -31.000</w:t>
      </w:r>
      <w:r w:rsidRPr="009978E3">
        <w:rPr>
          <w:rFonts w:eastAsia="MS Mincho"/>
          <w:sz w:val="22"/>
          <w:szCs w:val="22"/>
          <w:lang w:val="en"/>
        </w:rPr>
        <w:t>)</w:t>
      </w:r>
      <w:r>
        <w:rPr>
          <w:rFonts w:eastAsia="MS Mincho"/>
          <w:sz w:val="22"/>
          <w:szCs w:val="22"/>
          <w:lang w:val="en"/>
        </w:rPr>
        <w:t>,</w:t>
      </w:r>
      <w:r w:rsidRPr="009978E3">
        <w:rPr>
          <w:rFonts w:eastAsia="MS Mincho"/>
          <w:sz w:val="22"/>
          <w:szCs w:val="22"/>
          <w:lang w:val="en"/>
        </w:rPr>
        <w:t xml:space="preserve"> </w:t>
      </w:r>
      <w:r w:rsidRPr="009978E3">
        <w:rPr>
          <w:rFonts w:eastAsia="MS Mincho"/>
          <w:bCs/>
          <w:color w:val="000000"/>
          <w:sz w:val="22"/>
          <w:szCs w:val="22"/>
          <w:lang w:val="en"/>
        </w:rPr>
        <w:t xml:space="preserve">located on the northern wall of the southern transform fault east of the short </w:t>
      </w:r>
      <w:r w:rsidRPr="009978E3">
        <w:rPr>
          <w:rFonts w:eastAsia="MS Mincho"/>
          <w:bCs/>
          <w:color w:val="000000"/>
          <w:sz w:val="22"/>
          <w:szCs w:val="22"/>
        </w:rPr>
        <w:t>median transverse ridge</w:t>
      </w:r>
      <w:r w:rsidRPr="009978E3">
        <w:rPr>
          <w:rFonts w:eastAsia="MS Mincho"/>
          <w:bCs/>
          <w:color w:val="000000"/>
          <w:sz w:val="22"/>
          <w:szCs w:val="22"/>
          <w:lang w:val="en"/>
        </w:rPr>
        <w:t>.</w:t>
      </w:r>
    </w:p>
    <w:p w14:paraId="0517917B" w14:textId="77777777" w:rsidR="006B3F46" w:rsidRPr="009978E3" w:rsidRDefault="006B3F46" w:rsidP="002E4B39">
      <w:pPr>
        <w:suppressLineNumbers/>
        <w:spacing w:after="120"/>
        <w:jc w:val="both"/>
        <w:rPr>
          <w:rFonts w:eastAsia="MS Mincho"/>
          <w:bCs/>
          <w:color w:val="000000"/>
          <w:sz w:val="22"/>
          <w:szCs w:val="22"/>
        </w:rPr>
      </w:pPr>
      <w:r w:rsidRPr="009978E3">
        <w:rPr>
          <w:rFonts w:eastAsia="MS Mincho"/>
          <w:bCs/>
          <w:color w:val="000000"/>
          <w:sz w:val="22"/>
          <w:szCs w:val="22"/>
          <w:lang w:val="en"/>
        </w:rPr>
        <w:t>Ridge</w:t>
      </w:r>
      <w:r>
        <w:rPr>
          <w:rFonts w:eastAsia="MS Mincho"/>
          <w:bCs/>
          <w:color w:val="000000"/>
          <w:sz w:val="22"/>
          <w:szCs w:val="22"/>
          <w:lang w:val="en"/>
        </w:rPr>
        <w:t>s</w:t>
      </w:r>
      <w:r w:rsidRPr="009978E3">
        <w:rPr>
          <w:rFonts w:eastAsia="MS Mincho"/>
          <w:bCs/>
          <w:color w:val="000000"/>
          <w:sz w:val="22"/>
          <w:szCs w:val="22"/>
          <w:lang w:val="en"/>
        </w:rPr>
        <w:t xml:space="preserve"> and troughs along the CGFZ are mostly covered with muddy sediments (Fleming </w:t>
      </w:r>
      <w:r w:rsidRPr="0006066A">
        <w:rPr>
          <w:rFonts w:eastAsia="MS Mincho"/>
          <w:bCs/>
          <w:i/>
          <w:color w:val="000000"/>
          <w:sz w:val="22"/>
          <w:szCs w:val="22"/>
          <w:lang w:val="en"/>
        </w:rPr>
        <w:t>et al</w:t>
      </w:r>
      <w:r w:rsidRPr="009978E3">
        <w:rPr>
          <w:rFonts w:eastAsia="MS Mincho"/>
          <w:bCs/>
          <w:color w:val="000000"/>
          <w:sz w:val="22"/>
          <w:szCs w:val="22"/>
          <w:lang w:val="en"/>
        </w:rPr>
        <w:t>. 1970)</w:t>
      </w:r>
      <w:r>
        <w:rPr>
          <w:rFonts w:eastAsia="MS Mincho"/>
          <w:bCs/>
          <w:color w:val="000000"/>
          <w:sz w:val="22"/>
          <w:szCs w:val="22"/>
          <w:lang w:val="en"/>
        </w:rPr>
        <w:t>,</w:t>
      </w:r>
      <w:r w:rsidRPr="009978E3">
        <w:rPr>
          <w:rFonts w:eastAsia="MS Mincho"/>
          <w:bCs/>
          <w:color w:val="000000"/>
          <w:sz w:val="22"/>
          <w:szCs w:val="22"/>
          <w:lang w:val="en"/>
        </w:rPr>
        <w:t xml:space="preserve"> although </w:t>
      </w:r>
      <w:r w:rsidRPr="002E4B39">
        <w:rPr>
          <w:rFonts w:eastAsia="MS Mincho"/>
          <w:sz w:val="22"/>
          <w:szCs w:val="22"/>
          <w:lang w:val="en-US"/>
        </w:rPr>
        <w:t>outcrops</w:t>
      </w:r>
      <w:r w:rsidRPr="009978E3">
        <w:rPr>
          <w:rFonts w:eastAsia="MS Mincho"/>
          <w:bCs/>
          <w:color w:val="000000"/>
          <w:sz w:val="22"/>
          <w:szCs w:val="22"/>
          <w:lang w:val="en"/>
        </w:rPr>
        <w:t xml:space="preserve"> of sedimentary rock and boulder fields are exposed by recent faulting and current scour (Shor </w:t>
      </w:r>
      <w:r w:rsidRPr="0006066A">
        <w:rPr>
          <w:rFonts w:eastAsia="MS Mincho"/>
          <w:bCs/>
          <w:i/>
          <w:color w:val="000000"/>
          <w:sz w:val="22"/>
          <w:szCs w:val="22"/>
          <w:lang w:val="en"/>
        </w:rPr>
        <w:t>et al</w:t>
      </w:r>
      <w:r w:rsidRPr="009978E3">
        <w:rPr>
          <w:rFonts w:eastAsia="MS Mincho"/>
          <w:bCs/>
          <w:color w:val="000000"/>
          <w:sz w:val="22"/>
          <w:szCs w:val="22"/>
          <w:lang w:val="en"/>
        </w:rPr>
        <w:t>. 1980, Searle 1981)</w:t>
      </w:r>
      <w:r>
        <w:rPr>
          <w:rFonts w:eastAsia="MS Mincho"/>
          <w:bCs/>
          <w:color w:val="000000"/>
          <w:sz w:val="22"/>
          <w:szCs w:val="22"/>
          <w:lang w:val="en"/>
        </w:rPr>
        <w:t>,</w:t>
      </w:r>
      <w:r w:rsidRPr="009978E3">
        <w:rPr>
          <w:rFonts w:eastAsia="MS Mincho"/>
          <w:bCs/>
          <w:color w:val="000000"/>
          <w:sz w:val="22"/>
          <w:szCs w:val="22"/>
          <w:lang w:val="en"/>
        </w:rPr>
        <w:t xml:space="preserve"> and the southern transform </w:t>
      </w:r>
      <w:r w:rsidRPr="009978E3">
        <w:rPr>
          <w:rFonts w:eastAsia="MS Mincho"/>
          <w:bCs/>
          <w:color w:val="000000"/>
          <w:sz w:val="22"/>
          <w:szCs w:val="22"/>
        </w:rPr>
        <w:t>near 30°30′W</w:t>
      </w:r>
      <w:r w:rsidRPr="009978E3">
        <w:rPr>
          <w:rFonts w:eastAsia="MS Mincho"/>
          <w:bCs/>
          <w:color w:val="000000"/>
          <w:sz w:val="22"/>
          <w:szCs w:val="22"/>
          <w:lang w:val="en"/>
        </w:rPr>
        <w:t xml:space="preserve"> has no sediment cover (Searle 1981). </w:t>
      </w:r>
      <w:r>
        <w:rPr>
          <w:rFonts w:eastAsia="MS Mincho"/>
          <w:bCs/>
          <w:color w:val="000000"/>
          <w:sz w:val="22"/>
          <w:szCs w:val="22"/>
          <w:lang w:val="en"/>
        </w:rPr>
        <w:t xml:space="preserve">Thick layers </w:t>
      </w:r>
      <w:r w:rsidRPr="009978E3">
        <w:rPr>
          <w:rFonts w:eastAsia="MS Mincho"/>
          <w:bCs/>
          <w:color w:val="000000"/>
          <w:sz w:val="22"/>
          <w:szCs w:val="22"/>
        </w:rPr>
        <w:t xml:space="preserve"> of sediment are deposited in the northern transform valley from the Iceland-Scotland Overflow Water (ISOW)</w:t>
      </w:r>
      <w:r>
        <w:rPr>
          <w:rFonts w:eastAsia="MS Mincho"/>
          <w:bCs/>
          <w:color w:val="000000"/>
          <w:sz w:val="22"/>
          <w:szCs w:val="22"/>
        </w:rPr>
        <w:t>,</w:t>
      </w:r>
      <w:r w:rsidRPr="009978E3">
        <w:rPr>
          <w:rFonts w:eastAsia="MS Mincho"/>
          <w:bCs/>
          <w:color w:val="000000"/>
          <w:sz w:val="22"/>
          <w:szCs w:val="22"/>
        </w:rPr>
        <w:t xml:space="preserve"> which carries a significant load of suspended sediment (25 μg I</w:t>
      </w:r>
      <w:r w:rsidRPr="009978E3">
        <w:rPr>
          <w:rFonts w:eastAsia="MS Mincho"/>
          <w:bCs/>
          <w:color w:val="000000"/>
          <w:sz w:val="22"/>
          <w:szCs w:val="22"/>
          <w:vertAlign w:val="superscript"/>
        </w:rPr>
        <w:t>-1</w:t>
      </w:r>
      <w:r w:rsidRPr="009978E3">
        <w:rPr>
          <w:rFonts w:eastAsia="MS Mincho"/>
          <w:bCs/>
          <w:color w:val="000000"/>
          <w:sz w:val="22"/>
          <w:szCs w:val="22"/>
        </w:rPr>
        <w:t xml:space="preserve">) as it passes through (Shor </w:t>
      </w:r>
      <w:r w:rsidRPr="0006066A">
        <w:rPr>
          <w:rFonts w:eastAsia="MS Mincho"/>
          <w:bCs/>
          <w:i/>
          <w:color w:val="000000"/>
          <w:sz w:val="22"/>
          <w:szCs w:val="22"/>
        </w:rPr>
        <w:t>et al</w:t>
      </w:r>
      <w:r w:rsidRPr="009978E3">
        <w:rPr>
          <w:rFonts w:eastAsia="MS Mincho"/>
          <w:bCs/>
          <w:color w:val="000000"/>
          <w:sz w:val="22"/>
          <w:szCs w:val="22"/>
        </w:rPr>
        <w:t xml:space="preserve">. 1980). Transverse ridges prevent the sediment </w:t>
      </w:r>
      <w:r>
        <w:rPr>
          <w:rFonts w:eastAsia="MS Mincho"/>
          <w:bCs/>
          <w:color w:val="000000"/>
          <w:sz w:val="22"/>
          <w:szCs w:val="22"/>
        </w:rPr>
        <w:t xml:space="preserve">from </w:t>
      </w:r>
      <w:r w:rsidRPr="009978E3">
        <w:rPr>
          <w:rFonts w:eastAsia="MS Mincho"/>
          <w:bCs/>
          <w:color w:val="000000"/>
          <w:sz w:val="22"/>
          <w:szCs w:val="22"/>
        </w:rPr>
        <w:t>reaching the southern valley (Searle 1981)</w:t>
      </w:r>
      <w:r>
        <w:rPr>
          <w:rFonts w:eastAsia="MS Mincho"/>
          <w:bCs/>
          <w:color w:val="000000"/>
          <w:sz w:val="22"/>
          <w:szCs w:val="22"/>
        </w:rPr>
        <w:t>,</w:t>
      </w:r>
      <w:r w:rsidRPr="009978E3">
        <w:rPr>
          <w:rFonts w:eastAsia="MS Mincho"/>
          <w:bCs/>
          <w:color w:val="000000"/>
          <w:sz w:val="22"/>
          <w:szCs w:val="22"/>
        </w:rPr>
        <w:t xml:space="preserve"> which has less sediment cover, although it is still considered a depositional environment (Shor </w:t>
      </w:r>
      <w:r w:rsidRPr="0006066A">
        <w:rPr>
          <w:rFonts w:eastAsia="MS Mincho"/>
          <w:bCs/>
          <w:i/>
          <w:color w:val="000000"/>
          <w:sz w:val="22"/>
          <w:szCs w:val="22"/>
        </w:rPr>
        <w:t>et al</w:t>
      </w:r>
      <w:r w:rsidRPr="009978E3">
        <w:rPr>
          <w:rFonts w:eastAsia="MS Mincho"/>
          <w:bCs/>
          <w:color w:val="000000"/>
          <w:sz w:val="22"/>
          <w:szCs w:val="22"/>
        </w:rPr>
        <w:t xml:space="preserve">. 1980). </w:t>
      </w:r>
    </w:p>
    <w:p w14:paraId="28978E18" w14:textId="77777777" w:rsidR="006B3F46" w:rsidRPr="009978E3" w:rsidRDefault="006B3F46" w:rsidP="002E4B39">
      <w:pPr>
        <w:suppressLineNumbers/>
        <w:spacing w:after="120"/>
        <w:jc w:val="both"/>
        <w:rPr>
          <w:rFonts w:eastAsia="MS Mincho"/>
          <w:bCs/>
          <w:color w:val="000000"/>
          <w:sz w:val="22"/>
          <w:szCs w:val="22"/>
          <w:lang w:val="en"/>
        </w:rPr>
      </w:pPr>
      <w:r w:rsidRPr="009978E3">
        <w:rPr>
          <w:rFonts w:eastAsia="MS Mincho"/>
          <w:bCs/>
          <w:color w:val="000000"/>
          <w:sz w:val="22"/>
          <w:szCs w:val="22"/>
        </w:rPr>
        <w:t xml:space="preserve">The </w:t>
      </w:r>
      <w:r w:rsidRPr="002E4B39">
        <w:rPr>
          <w:rFonts w:eastAsia="MS Mincho"/>
          <w:sz w:val="22"/>
          <w:szCs w:val="22"/>
          <w:lang w:val="en-US"/>
        </w:rPr>
        <w:t>topography</w:t>
      </w:r>
      <w:r w:rsidRPr="009978E3">
        <w:rPr>
          <w:rFonts w:eastAsia="MS Mincho"/>
          <w:bCs/>
          <w:color w:val="000000"/>
          <w:sz w:val="22"/>
          <w:szCs w:val="22"/>
        </w:rPr>
        <w:t xml:space="preserve"> of the CGFZ has a major influence on deep-water oceanographic circulation (Harvey and Theodorou 1986). A large component of the North Atlantic Deep Water originates in the Norwegian Sea and flows south over the sills between Scotland and Iceland (ISOW). It meets the CGFZ near the intersection of the transform faults and the spreading centre (Shor </w:t>
      </w:r>
      <w:r w:rsidRPr="0006066A">
        <w:rPr>
          <w:rFonts w:eastAsia="MS Mincho"/>
          <w:bCs/>
          <w:i/>
          <w:color w:val="000000"/>
          <w:sz w:val="22"/>
          <w:szCs w:val="22"/>
        </w:rPr>
        <w:t>et al</w:t>
      </w:r>
      <w:r w:rsidRPr="009978E3">
        <w:rPr>
          <w:rFonts w:eastAsia="MS Mincho"/>
          <w:bCs/>
          <w:color w:val="000000"/>
          <w:sz w:val="22"/>
          <w:szCs w:val="22"/>
        </w:rPr>
        <w:t xml:space="preserve">. 1980). There is then a westward movement of deep water passing through the fracture zone from east to west through to the Irminger Sea occurring from the core depth of the ISOW at about 2500 m to the sea floor </w:t>
      </w:r>
      <w:r w:rsidRPr="009978E3">
        <w:rPr>
          <w:rFonts w:eastAsia="MS Mincho"/>
          <w:bCs/>
          <w:color w:val="000000"/>
          <w:sz w:val="22"/>
          <w:szCs w:val="22"/>
          <w:lang w:val="en"/>
        </w:rPr>
        <w:t xml:space="preserve">(Garner 1972, Shor </w:t>
      </w:r>
      <w:r w:rsidRPr="0006066A">
        <w:rPr>
          <w:rFonts w:eastAsia="MS Mincho"/>
          <w:bCs/>
          <w:i/>
          <w:color w:val="000000"/>
          <w:sz w:val="22"/>
          <w:szCs w:val="22"/>
          <w:lang w:val="en"/>
        </w:rPr>
        <w:t>et al</w:t>
      </w:r>
      <w:r w:rsidRPr="009978E3">
        <w:rPr>
          <w:rFonts w:eastAsia="MS Mincho"/>
          <w:bCs/>
          <w:color w:val="000000"/>
          <w:sz w:val="22"/>
          <w:szCs w:val="22"/>
          <w:lang w:val="en"/>
        </w:rPr>
        <w:t xml:space="preserve">. 1980, Saunders 1994). Most of this water is carried through the northern transform fault where the overflow water first encounters the fracture zone. </w:t>
      </w:r>
    </w:p>
    <w:p w14:paraId="146C382E" w14:textId="77777777" w:rsidR="006B3F46" w:rsidRPr="009978E3" w:rsidRDefault="006B3F46" w:rsidP="002E4B39">
      <w:pPr>
        <w:suppressLineNumbers/>
        <w:spacing w:after="120"/>
        <w:jc w:val="both"/>
        <w:rPr>
          <w:rFonts w:eastAsia="MS Mincho"/>
          <w:bCs/>
          <w:color w:val="000000"/>
          <w:sz w:val="22"/>
          <w:szCs w:val="22"/>
          <w:lang w:val="en-US"/>
        </w:rPr>
      </w:pPr>
      <w:r w:rsidRPr="009978E3">
        <w:rPr>
          <w:rFonts w:eastAsia="MS Mincho"/>
          <w:bCs/>
          <w:color w:val="000000"/>
          <w:sz w:val="22"/>
          <w:szCs w:val="22"/>
        </w:rPr>
        <w:t xml:space="preserve">The </w:t>
      </w:r>
      <w:r w:rsidRPr="002E4B39">
        <w:rPr>
          <w:rFonts w:eastAsia="MS Mincho"/>
          <w:sz w:val="22"/>
          <w:szCs w:val="22"/>
          <w:lang w:val="en-US"/>
        </w:rPr>
        <w:t>topography</w:t>
      </w:r>
      <w:r w:rsidRPr="009978E3">
        <w:rPr>
          <w:rFonts w:eastAsia="MS Mincho"/>
          <w:bCs/>
          <w:color w:val="000000"/>
          <w:sz w:val="22"/>
          <w:szCs w:val="22"/>
        </w:rPr>
        <w:t xml:space="preserve"> of the CGFZ also is thought to have some influence on the circulation of surface waters, although they are not locked to the bottom features to the same extent as the ISOW (Rossby 1999, Bower </w:t>
      </w:r>
      <w:r w:rsidRPr="0006066A">
        <w:rPr>
          <w:rFonts w:eastAsia="MS Mincho"/>
          <w:bCs/>
          <w:i/>
          <w:color w:val="000000"/>
          <w:sz w:val="22"/>
          <w:szCs w:val="22"/>
        </w:rPr>
        <w:t>et al</w:t>
      </w:r>
      <w:r w:rsidRPr="009978E3">
        <w:rPr>
          <w:rFonts w:eastAsia="MS Mincho"/>
          <w:bCs/>
          <w:color w:val="000000"/>
          <w:sz w:val="22"/>
          <w:szCs w:val="22"/>
        </w:rPr>
        <w:t xml:space="preserve">. 2002). The </w:t>
      </w:r>
      <w:r w:rsidRPr="009978E3">
        <w:rPr>
          <w:rFonts w:eastAsia="MS Mincho"/>
          <w:bCs/>
          <w:color w:val="000000"/>
          <w:sz w:val="22"/>
          <w:szCs w:val="22"/>
          <w:lang w:val="en-US"/>
        </w:rPr>
        <w:t xml:space="preserve">northern branch of the North Atlantic Current defines the location of the sub-polar front between colder Sub Arctic Intermediate Water to the north and warmer North Atlantic Intermediate Water to the south (Søiland </w:t>
      </w:r>
      <w:r w:rsidRPr="0006066A">
        <w:rPr>
          <w:rFonts w:eastAsia="MS Mincho"/>
          <w:bCs/>
          <w:i/>
          <w:color w:val="000000"/>
          <w:sz w:val="22"/>
          <w:szCs w:val="22"/>
          <w:lang w:val="en-US"/>
        </w:rPr>
        <w:t>et al</w:t>
      </w:r>
      <w:r w:rsidRPr="009978E3">
        <w:rPr>
          <w:rFonts w:eastAsia="MS Mincho"/>
          <w:bCs/>
          <w:color w:val="000000"/>
          <w:sz w:val="22"/>
          <w:szCs w:val="22"/>
          <w:lang w:val="en-US"/>
        </w:rPr>
        <w:t xml:space="preserve">. 2008). </w:t>
      </w:r>
      <w:r w:rsidRPr="009978E3">
        <w:rPr>
          <w:rFonts w:eastAsia="MS Mincho"/>
          <w:sz w:val="22"/>
          <w:szCs w:val="22"/>
          <w:lang w:eastAsia="en-GB"/>
        </w:rPr>
        <w:t>The sub-polar front meanders between 48-53°N</w:t>
      </w:r>
      <w:r>
        <w:rPr>
          <w:rFonts w:eastAsia="MS Mincho"/>
          <w:sz w:val="22"/>
          <w:szCs w:val="22"/>
          <w:lang w:eastAsia="en-GB"/>
        </w:rPr>
        <w:t>,</w:t>
      </w:r>
      <w:r w:rsidRPr="009978E3">
        <w:rPr>
          <w:rFonts w:eastAsia="MS Mincho"/>
          <w:sz w:val="22"/>
          <w:szCs w:val="22"/>
          <w:lang w:eastAsia="en-GB"/>
        </w:rPr>
        <w:t xml:space="preserve"> </w:t>
      </w:r>
      <w:r w:rsidRPr="009978E3">
        <w:rPr>
          <w:rFonts w:eastAsia="MS Mincho"/>
          <w:bCs/>
          <w:color w:val="000000"/>
          <w:sz w:val="22"/>
          <w:szCs w:val="22"/>
          <w:lang w:val="en-US"/>
        </w:rPr>
        <w:t xml:space="preserve">and surface flow is predominantly eastward. The CGFZ is therefore not only a topographic discontinuity in the MAR but the area also constitutes an oceanographic transition zone between waters of different temperatures and flow regimes (Priede </w:t>
      </w:r>
      <w:r w:rsidRPr="0006066A">
        <w:rPr>
          <w:rFonts w:eastAsia="MS Mincho"/>
          <w:bCs/>
          <w:i/>
          <w:color w:val="000000"/>
          <w:sz w:val="22"/>
          <w:szCs w:val="22"/>
          <w:lang w:val="en-US"/>
        </w:rPr>
        <w:t>et al</w:t>
      </w:r>
      <w:r w:rsidRPr="009978E3">
        <w:rPr>
          <w:rFonts w:eastAsia="MS Mincho"/>
          <w:bCs/>
          <w:color w:val="000000"/>
          <w:sz w:val="22"/>
          <w:szCs w:val="22"/>
          <w:lang w:val="en-US"/>
        </w:rPr>
        <w:t>. 2013).</w:t>
      </w:r>
    </w:p>
    <w:p w14:paraId="0E910471" w14:textId="77777777" w:rsidR="006B3F46" w:rsidRPr="009978E3" w:rsidRDefault="006B3F46" w:rsidP="002E4B39">
      <w:pPr>
        <w:suppressLineNumbers/>
        <w:spacing w:after="120"/>
        <w:jc w:val="both"/>
        <w:rPr>
          <w:sz w:val="22"/>
          <w:szCs w:val="22"/>
        </w:rPr>
      </w:pPr>
      <w:r w:rsidRPr="009978E3">
        <w:rPr>
          <w:sz w:val="22"/>
          <w:szCs w:val="22"/>
          <w:lang w:val="en-US"/>
        </w:rPr>
        <w:t xml:space="preserve">This </w:t>
      </w:r>
      <w:r w:rsidRPr="002E4B39">
        <w:rPr>
          <w:rFonts w:eastAsia="MS Mincho"/>
          <w:sz w:val="22"/>
          <w:szCs w:val="22"/>
          <w:lang w:val="en-US"/>
        </w:rPr>
        <w:t>proposal</w:t>
      </w:r>
      <w:r w:rsidRPr="009978E3">
        <w:rPr>
          <w:sz w:val="22"/>
          <w:szCs w:val="22"/>
          <w:lang w:val="en-US"/>
        </w:rPr>
        <w:t xml:space="preserve"> concentrates on an area that is an especially complex section of the </w:t>
      </w:r>
      <w:r>
        <w:rPr>
          <w:sz w:val="22"/>
          <w:szCs w:val="22"/>
          <w:lang w:val="en-US"/>
        </w:rPr>
        <w:t>MAR</w:t>
      </w:r>
      <w:r w:rsidRPr="009978E3">
        <w:rPr>
          <w:sz w:val="22"/>
          <w:szCs w:val="22"/>
          <w:lang w:val="en-US"/>
        </w:rPr>
        <w:t xml:space="preserve"> (Søiland </w:t>
      </w:r>
      <w:r w:rsidRPr="0006066A">
        <w:rPr>
          <w:i/>
          <w:sz w:val="22"/>
          <w:szCs w:val="22"/>
          <w:lang w:val="en-US"/>
        </w:rPr>
        <w:t>et al</w:t>
      </w:r>
      <w:r w:rsidRPr="009978E3">
        <w:rPr>
          <w:sz w:val="22"/>
          <w:szCs w:val="22"/>
          <w:lang w:val="en-US"/>
        </w:rPr>
        <w:t xml:space="preserve">., 2008), including sections of the MAR to the north and south of the Charlie-Gibbs Fracture Zone, and as such is expected to be home to diverse and interesting deep-sea fauna (Tabachnick &amp; Collins, 2008). From the north, the Reykjanes Ridge stretches southwestwards from Iceland to approximately 52ºN, where the Charlie-Gibbs Fracture Zone (Felley </w:t>
      </w:r>
      <w:r w:rsidRPr="0006066A">
        <w:rPr>
          <w:i/>
          <w:sz w:val="22"/>
          <w:szCs w:val="22"/>
          <w:lang w:val="en-US"/>
        </w:rPr>
        <w:t>et al</w:t>
      </w:r>
      <w:r w:rsidRPr="009978E3">
        <w:rPr>
          <w:sz w:val="22"/>
          <w:szCs w:val="22"/>
          <w:lang w:val="en-US"/>
        </w:rPr>
        <w:t xml:space="preserve">., 2008; Heger </w:t>
      </w:r>
      <w:r w:rsidRPr="0006066A">
        <w:rPr>
          <w:i/>
          <w:sz w:val="22"/>
          <w:szCs w:val="22"/>
          <w:lang w:val="en-US"/>
        </w:rPr>
        <w:t>et al</w:t>
      </w:r>
      <w:r w:rsidRPr="009978E3">
        <w:rPr>
          <w:sz w:val="22"/>
          <w:szCs w:val="22"/>
          <w:lang w:val="en-US"/>
        </w:rPr>
        <w:t xml:space="preserve">., 2008) offsets the ridge by 5º to the east and opens the deepest (maximum depth 4500 m) connection between the northwest and northeast Atlantic (Felley </w:t>
      </w:r>
      <w:r w:rsidRPr="0006066A">
        <w:rPr>
          <w:i/>
          <w:sz w:val="22"/>
          <w:szCs w:val="22"/>
          <w:lang w:val="en-US"/>
        </w:rPr>
        <w:t>et al</w:t>
      </w:r>
      <w:r w:rsidRPr="009978E3">
        <w:rPr>
          <w:sz w:val="22"/>
          <w:szCs w:val="22"/>
          <w:lang w:val="en-US"/>
        </w:rPr>
        <w:t xml:space="preserve">., 2008; Heger </w:t>
      </w:r>
      <w:r w:rsidRPr="0006066A">
        <w:rPr>
          <w:i/>
          <w:sz w:val="22"/>
          <w:szCs w:val="22"/>
          <w:lang w:val="en-US"/>
        </w:rPr>
        <w:t>et al</w:t>
      </w:r>
      <w:r w:rsidRPr="009978E3">
        <w:rPr>
          <w:sz w:val="22"/>
          <w:szCs w:val="22"/>
          <w:lang w:val="en-US"/>
        </w:rPr>
        <w:t xml:space="preserve">., 2008; Mortensen </w:t>
      </w:r>
      <w:r w:rsidRPr="0006066A">
        <w:rPr>
          <w:i/>
          <w:sz w:val="22"/>
          <w:szCs w:val="22"/>
          <w:lang w:val="en-US"/>
        </w:rPr>
        <w:t>et al</w:t>
      </w:r>
      <w:r w:rsidRPr="009978E3">
        <w:rPr>
          <w:sz w:val="22"/>
          <w:szCs w:val="22"/>
          <w:lang w:val="en-US"/>
        </w:rPr>
        <w:t xml:space="preserve">., 2008; Søiland </w:t>
      </w:r>
      <w:r w:rsidRPr="0006066A">
        <w:rPr>
          <w:i/>
          <w:sz w:val="22"/>
          <w:szCs w:val="22"/>
          <w:lang w:val="en-US"/>
        </w:rPr>
        <w:t>et al</w:t>
      </w:r>
      <w:r w:rsidRPr="009978E3">
        <w:rPr>
          <w:sz w:val="22"/>
          <w:szCs w:val="22"/>
          <w:lang w:val="en-US"/>
        </w:rPr>
        <w:t xml:space="preserve">., 2008). South of the Charlie-Gibbs Fracture zone, two pronounced deep rift valleys at 32.25ºW and 31.75ºW (Opdal </w:t>
      </w:r>
      <w:r w:rsidRPr="0006066A">
        <w:rPr>
          <w:i/>
          <w:sz w:val="22"/>
          <w:szCs w:val="22"/>
          <w:lang w:val="en-US"/>
        </w:rPr>
        <w:t>et al</w:t>
      </w:r>
      <w:r w:rsidRPr="009978E3">
        <w:rPr>
          <w:sz w:val="22"/>
          <w:szCs w:val="22"/>
          <w:lang w:val="en-US"/>
        </w:rPr>
        <w:t xml:space="preserve">., 2008) and two further fracture zones (Faraday and Maxwell Fracture Zones, at 50ºN and 48ºN respectively) create </w:t>
      </w:r>
      <w:r w:rsidRPr="009978E3">
        <w:rPr>
          <w:sz w:val="22"/>
          <w:szCs w:val="22"/>
        </w:rPr>
        <w:t>topographic complexity that likely also creates associated diversity in ecological communities, although the latter remain poorly characterised.</w:t>
      </w:r>
      <w:r w:rsidRPr="009978E3">
        <w:rPr>
          <w:sz w:val="22"/>
          <w:szCs w:val="22"/>
          <w:lang w:val="en-US"/>
        </w:rPr>
        <w:t xml:space="preserve">The </w:t>
      </w:r>
      <w:r>
        <w:rPr>
          <w:sz w:val="22"/>
          <w:szCs w:val="22"/>
          <w:lang w:val="en-US"/>
        </w:rPr>
        <w:t>MAR</w:t>
      </w:r>
      <w:r w:rsidRPr="009978E3">
        <w:rPr>
          <w:sz w:val="22"/>
          <w:szCs w:val="22"/>
          <w:lang w:val="en-US"/>
        </w:rPr>
        <w:t xml:space="preserve"> within the OSPAR maritime area is considered to have three different biogeographic regions. The MAR-ECO project studied these areas in their fieldwork, by targeting three clear areas in the northern, southern and Charlie-Gibbs Fracture Areas regions. The on-going ATLAS project is completing a revision of North Atlantic biogeography, including work to understand the implications of </w:t>
      </w:r>
      <w:r w:rsidRPr="002E4B39">
        <w:rPr>
          <w:rFonts w:eastAsia="MS Mincho"/>
          <w:sz w:val="22"/>
          <w:szCs w:val="22"/>
          <w:lang w:val="en-US"/>
        </w:rPr>
        <w:t>changing</w:t>
      </w:r>
      <w:r w:rsidRPr="009978E3">
        <w:rPr>
          <w:sz w:val="22"/>
          <w:szCs w:val="22"/>
          <w:lang w:val="en-US"/>
        </w:rPr>
        <w:t xml:space="preserve"> ocean conditions (ATLAS 2019). </w:t>
      </w:r>
    </w:p>
    <w:p w14:paraId="58F4715E" w14:textId="77777777" w:rsidR="006B3F46" w:rsidRPr="009978E3" w:rsidRDefault="006B3F46" w:rsidP="002E4B39">
      <w:pPr>
        <w:suppressLineNumbers/>
        <w:spacing w:after="120"/>
        <w:jc w:val="both"/>
        <w:rPr>
          <w:rFonts w:eastAsia="MS Mincho"/>
          <w:b/>
          <w:sz w:val="22"/>
          <w:szCs w:val="22"/>
          <w:lang w:val="en-US"/>
        </w:rPr>
      </w:pPr>
      <w:r w:rsidRPr="002E4B39">
        <w:rPr>
          <w:rFonts w:eastAsia="MS Mincho"/>
          <w:sz w:val="22"/>
          <w:szCs w:val="22"/>
          <w:lang w:val="en-US"/>
        </w:rPr>
        <w:t>The</w:t>
      </w:r>
      <w:r w:rsidRPr="009978E3">
        <w:rPr>
          <w:sz w:val="22"/>
          <w:szCs w:val="22"/>
          <w:lang w:val="en-US"/>
        </w:rPr>
        <w:t xml:space="preserve"> general circulation in the epipelagic zone (0-200 m) is well understood as the warm North Atlantic current flowing north-eastwards from the subtropical gyre in the southwest Atlantic towards the European shelf with two to four branches crossing the MAR between 45° and 52° N, approximately coinciding with the three fracture zones (Sy </w:t>
      </w:r>
      <w:r w:rsidRPr="0006066A">
        <w:rPr>
          <w:i/>
          <w:sz w:val="22"/>
          <w:szCs w:val="22"/>
          <w:lang w:val="en-US"/>
        </w:rPr>
        <w:t>et al</w:t>
      </w:r>
      <w:r w:rsidRPr="009978E3">
        <w:rPr>
          <w:sz w:val="22"/>
          <w:szCs w:val="22"/>
          <w:lang w:val="en-US"/>
        </w:rPr>
        <w:t xml:space="preserve">. 1992, Søiland </w:t>
      </w:r>
      <w:r w:rsidRPr="0006066A">
        <w:rPr>
          <w:i/>
          <w:sz w:val="22"/>
          <w:szCs w:val="22"/>
          <w:lang w:val="en-US"/>
        </w:rPr>
        <w:t>et al</w:t>
      </w:r>
      <w:r w:rsidRPr="009978E3">
        <w:rPr>
          <w:sz w:val="22"/>
          <w:szCs w:val="22"/>
          <w:lang w:val="en-US"/>
        </w:rPr>
        <w:t>.</w:t>
      </w:r>
      <w:r>
        <w:rPr>
          <w:sz w:val="22"/>
          <w:szCs w:val="22"/>
          <w:lang w:val="en-US"/>
        </w:rPr>
        <w:t xml:space="preserve">, </w:t>
      </w:r>
      <w:r w:rsidRPr="009978E3">
        <w:rPr>
          <w:sz w:val="22"/>
          <w:szCs w:val="22"/>
          <w:lang w:val="en-US"/>
        </w:rPr>
        <w:t xml:space="preserve">2008). The sub-polar front is created where the warm, saline North Atlantic water meets the cold, less saline water of the sub-polar gyre from the Labrador and Irminger Seas and is a permanent feature. The meandering of the sub-polar front between 48-53°N coincides with temporal variation in the character and spatial distribution of the water masses and frontal features (Søiland </w:t>
      </w:r>
      <w:r w:rsidRPr="0006066A">
        <w:rPr>
          <w:i/>
          <w:sz w:val="22"/>
          <w:szCs w:val="22"/>
          <w:lang w:val="en-US"/>
        </w:rPr>
        <w:t>et al</w:t>
      </w:r>
      <w:r w:rsidRPr="009978E3">
        <w:rPr>
          <w:sz w:val="22"/>
          <w:szCs w:val="22"/>
          <w:lang w:val="en-US"/>
        </w:rPr>
        <w:t>. 2008). This front is one of the major oceanic features in the OSPAR region, being an area of elevated abundance and diversity of many taxa, including a</w:t>
      </w:r>
      <w:r>
        <w:rPr>
          <w:sz w:val="22"/>
          <w:szCs w:val="22"/>
          <w:lang w:val="en-US"/>
        </w:rPr>
        <w:t>n</w:t>
      </w:r>
      <w:r w:rsidRPr="009978E3">
        <w:rPr>
          <w:sz w:val="22"/>
          <w:szCs w:val="22"/>
          <w:lang w:val="en-US"/>
        </w:rPr>
        <w:t xml:space="preserve"> elevated standing stock of phytoplankton (Clark </w:t>
      </w:r>
      <w:r w:rsidRPr="0006066A">
        <w:rPr>
          <w:i/>
          <w:sz w:val="22"/>
          <w:szCs w:val="22"/>
          <w:lang w:val="en-US"/>
        </w:rPr>
        <w:t>et al</w:t>
      </w:r>
      <w:r w:rsidRPr="009978E3">
        <w:rPr>
          <w:sz w:val="22"/>
          <w:szCs w:val="22"/>
          <w:lang w:val="en-US"/>
        </w:rPr>
        <w:t xml:space="preserve">., 2001; Gallienne </w:t>
      </w:r>
      <w:r w:rsidRPr="0006066A">
        <w:rPr>
          <w:i/>
          <w:sz w:val="22"/>
          <w:szCs w:val="22"/>
          <w:lang w:val="en-US"/>
        </w:rPr>
        <w:t>et al</w:t>
      </w:r>
      <w:r w:rsidRPr="009978E3">
        <w:rPr>
          <w:sz w:val="22"/>
          <w:szCs w:val="22"/>
          <w:lang w:val="en-US"/>
        </w:rPr>
        <w:t xml:space="preserve">., 2001; Gaard </w:t>
      </w:r>
      <w:r w:rsidRPr="0006066A">
        <w:rPr>
          <w:i/>
          <w:sz w:val="22"/>
          <w:szCs w:val="22"/>
          <w:lang w:val="en-US"/>
        </w:rPr>
        <w:t>et al</w:t>
      </w:r>
      <w:r w:rsidRPr="009978E3">
        <w:rPr>
          <w:sz w:val="22"/>
          <w:szCs w:val="22"/>
          <w:lang w:val="en-US"/>
        </w:rPr>
        <w:t xml:space="preserve">., 2008; Opdal </w:t>
      </w:r>
      <w:r w:rsidRPr="0006066A">
        <w:rPr>
          <w:i/>
          <w:sz w:val="22"/>
          <w:szCs w:val="22"/>
          <w:lang w:val="en-US"/>
        </w:rPr>
        <w:t>et al</w:t>
      </w:r>
      <w:r w:rsidRPr="009978E3">
        <w:rPr>
          <w:sz w:val="22"/>
          <w:szCs w:val="22"/>
          <w:lang w:val="en-US"/>
        </w:rPr>
        <w:t xml:space="preserve">., 2008; Sutton </w:t>
      </w:r>
      <w:r w:rsidRPr="0006066A">
        <w:rPr>
          <w:i/>
          <w:sz w:val="22"/>
          <w:szCs w:val="22"/>
          <w:lang w:val="en-US"/>
        </w:rPr>
        <w:t>et al</w:t>
      </w:r>
      <w:r w:rsidRPr="009978E3">
        <w:rPr>
          <w:sz w:val="22"/>
          <w:szCs w:val="22"/>
          <w:lang w:val="en-US"/>
        </w:rPr>
        <w:t>., 2008).</w:t>
      </w:r>
    </w:p>
    <w:p w14:paraId="11734BB9"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Location</w:t>
      </w:r>
    </w:p>
    <w:p w14:paraId="0F2CBC05" w14:textId="77777777" w:rsidR="006B3F46" w:rsidRPr="009978E3" w:rsidRDefault="006B3F46" w:rsidP="002E4B39">
      <w:pPr>
        <w:suppressLineNumbers/>
        <w:spacing w:after="120"/>
        <w:jc w:val="both"/>
        <w:rPr>
          <w:rFonts w:eastAsia="MS Mincho"/>
          <w:bCs/>
          <w:color w:val="000000"/>
          <w:sz w:val="22"/>
          <w:szCs w:val="22"/>
          <w:lang w:val="en-US"/>
        </w:rPr>
      </w:pPr>
      <w:r w:rsidRPr="009978E3">
        <w:rPr>
          <w:rFonts w:eastAsia="MS Mincho"/>
          <w:bCs/>
          <w:color w:val="000000"/>
          <w:sz w:val="22"/>
          <w:szCs w:val="22"/>
          <w:lang w:val="en-US"/>
        </w:rPr>
        <w:t>This area extends from 48°N and 55°</w:t>
      </w:r>
      <w:r w:rsidRPr="009978E3">
        <w:rPr>
          <w:rFonts w:eastAsia="MS Mincho"/>
          <w:bCs/>
          <w:color w:val="000000"/>
          <w:sz w:val="22"/>
          <w:szCs w:val="22"/>
        </w:rPr>
        <w:t>188′N</w:t>
      </w:r>
      <w:r w:rsidRPr="009978E3">
        <w:rPr>
          <w:rFonts w:eastAsia="MS Mincho"/>
          <w:bCs/>
          <w:color w:val="000000"/>
          <w:sz w:val="22"/>
          <w:szCs w:val="22"/>
          <w:lang w:val="en-US"/>
        </w:rPr>
        <w:t xml:space="preserve"> </w:t>
      </w:r>
      <w:r w:rsidRPr="009978E3">
        <w:rPr>
          <w:rFonts w:eastAsia="MS Mincho"/>
          <w:bCs/>
          <w:color w:val="000000"/>
          <w:sz w:val="22"/>
          <w:szCs w:val="22"/>
        </w:rPr>
        <w:t>along the Mid-Atlantic Ridge</w:t>
      </w:r>
      <w:r>
        <w:rPr>
          <w:rFonts w:eastAsia="MS Mincho"/>
          <w:bCs/>
          <w:color w:val="000000"/>
          <w:sz w:val="22"/>
          <w:szCs w:val="22"/>
        </w:rPr>
        <w:t>,</w:t>
      </w:r>
      <w:r w:rsidRPr="009978E3">
        <w:rPr>
          <w:rFonts w:eastAsia="MS Mincho"/>
          <w:bCs/>
          <w:color w:val="000000"/>
          <w:sz w:val="22"/>
          <w:szCs w:val="22"/>
        </w:rPr>
        <w:t xml:space="preserve"> </w:t>
      </w:r>
      <w:r w:rsidRPr="009978E3">
        <w:rPr>
          <w:rFonts w:eastAsia="MS Mincho"/>
          <w:bCs/>
          <w:color w:val="000000"/>
          <w:sz w:val="22"/>
          <w:szCs w:val="22"/>
          <w:lang w:val="en-US"/>
        </w:rPr>
        <w:t xml:space="preserve">and the Charlie-Gibbs Fracture Zone </w:t>
      </w:r>
      <w:r w:rsidRPr="009978E3">
        <w:rPr>
          <w:rFonts w:eastAsia="MS Mincho"/>
          <w:bCs/>
          <w:color w:val="000000"/>
          <w:sz w:val="22"/>
          <w:szCs w:val="22"/>
        </w:rPr>
        <w:t>occurs at 52º30′N. The area extends</w:t>
      </w:r>
      <w:r w:rsidRPr="009978E3">
        <w:rPr>
          <w:rFonts w:eastAsia="MS Mincho"/>
          <w:bCs/>
          <w:color w:val="000000"/>
          <w:sz w:val="22"/>
          <w:szCs w:val="22"/>
          <w:lang w:val="en-US"/>
        </w:rPr>
        <w:t xml:space="preserve"> from about 25°W to 45°W, with the transform faults occurring between 30°W and 35°W (Olivet </w:t>
      </w:r>
      <w:r w:rsidRPr="0006066A">
        <w:rPr>
          <w:rFonts w:eastAsia="MS Mincho"/>
          <w:bCs/>
          <w:i/>
          <w:color w:val="000000"/>
          <w:sz w:val="22"/>
          <w:szCs w:val="22"/>
          <w:lang w:val="en-US"/>
        </w:rPr>
        <w:t>et al</w:t>
      </w:r>
      <w:r w:rsidRPr="009978E3">
        <w:rPr>
          <w:rFonts w:eastAsia="MS Mincho"/>
          <w:bCs/>
          <w:i/>
          <w:color w:val="000000"/>
          <w:sz w:val="22"/>
          <w:szCs w:val="22"/>
          <w:lang w:val="en-US"/>
        </w:rPr>
        <w:t>.</w:t>
      </w:r>
      <w:r w:rsidRPr="009978E3">
        <w:rPr>
          <w:rFonts w:eastAsia="MS Mincho"/>
          <w:bCs/>
          <w:color w:val="000000"/>
          <w:sz w:val="22"/>
          <w:szCs w:val="22"/>
          <w:lang w:val="en-US"/>
        </w:rPr>
        <w:t xml:space="preserve"> 1974). </w:t>
      </w:r>
      <w:r w:rsidRPr="009978E3">
        <w:rPr>
          <w:rFonts w:eastAsia="MS Mincho"/>
          <w:sz w:val="22"/>
          <w:szCs w:val="22"/>
          <w:lang w:val="en-US"/>
        </w:rPr>
        <w:t>The eastern boundary of the Charlie</w:t>
      </w:r>
      <w:r>
        <w:rPr>
          <w:rFonts w:eastAsia="MS Mincho"/>
          <w:sz w:val="22"/>
          <w:szCs w:val="22"/>
          <w:lang w:val="en-US"/>
        </w:rPr>
        <w:t>-</w:t>
      </w:r>
      <w:r w:rsidRPr="009978E3">
        <w:rPr>
          <w:rFonts w:eastAsia="MS Mincho"/>
          <w:sz w:val="22"/>
          <w:szCs w:val="22"/>
          <w:lang w:val="en-US"/>
        </w:rPr>
        <w:t xml:space="preserve"> Gibbs Fracture Zone is detectable beyond 42</w:t>
      </w:r>
      <w:r w:rsidRPr="009978E3">
        <w:rPr>
          <w:rFonts w:eastAsia="MS Mincho"/>
          <w:bCs/>
          <w:color w:val="000000"/>
          <w:sz w:val="22"/>
          <w:szCs w:val="22"/>
          <w:lang w:val="en-US"/>
        </w:rPr>
        <w:t xml:space="preserve">°W. The southern ridge continues uninterrupted to 45°W (Olivet </w:t>
      </w:r>
      <w:r w:rsidRPr="0006066A">
        <w:rPr>
          <w:rFonts w:eastAsia="MS Mincho"/>
          <w:bCs/>
          <w:i/>
          <w:color w:val="000000"/>
          <w:sz w:val="22"/>
          <w:szCs w:val="22"/>
          <w:lang w:val="en-US"/>
        </w:rPr>
        <w:t>et al</w:t>
      </w:r>
      <w:r w:rsidRPr="009978E3">
        <w:rPr>
          <w:rFonts w:eastAsia="MS Mincho"/>
          <w:bCs/>
          <w:i/>
          <w:color w:val="000000"/>
          <w:sz w:val="22"/>
          <w:szCs w:val="22"/>
          <w:lang w:val="en-US"/>
        </w:rPr>
        <w:t>.</w:t>
      </w:r>
      <w:r w:rsidRPr="009978E3">
        <w:rPr>
          <w:rFonts w:eastAsia="MS Mincho"/>
          <w:bCs/>
          <w:color w:val="000000"/>
          <w:sz w:val="22"/>
          <w:szCs w:val="22"/>
          <w:lang w:val="en-US"/>
        </w:rPr>
        <w:t xml:space="preserve"> 1974). </w:t>
      </w:r>
      <w:r w:rsidRPr="009978E3">
        <w:rPr>
          <w:sz w:val="22"/>
          <w:szCs w:val="22"/>
          <w:lang w:val="en-US"/>
        </w:rPr>
        <w:t xml:space="preserve">This area encompasses the Charlie-Gibbs Fracture Zone, the meandering Sub-polar Frontal Zone and the benthic </w:t>
      </w:r>
      <w:r w:rsidRPr="002E4B39">
        <w:rPr>
          <w:rFonts w:eastAsia="MS Mincho"/>
          <w:sz w:val="22"/>
          <w:szCs w:val="22"/>
          <w:lang w:val="en-US"/>
        </w:rPr>
        <w:t>communities</w:t>
      </w:r>
      <w:r w:rsidRPr="009978E3">
        <w:rPr>
          <w:sz w:val="22"/>
          <w:szCs w:val="22"/>
          <w:lang w:val="en-US"/>
        </w:rPr>
        <w:t xml:space="preserve"> of the Mid-Atlantic Ridge in this area, including individual seamounts.</w:t>
      </w:r>
    </w:p>
    <w:p w14:paraId="252EB871"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0C669A3A" w14:textId="77777777" w:rsidR="006B3F46" w:rsidRPr="009978E3" w:rsidRDefault="006B3F46" w:rsidP="002E4B39">
      <w:pPr>
        <w:suppressLineNumbers/>
        <w:spacing w:after="120"/>
        <w:jc w:val="both"/>
        <w:rPr>
          <w:sz w:val="22"/>
          <w:szCs w:val="22"/>
          <w:lang w:val="en-US"/>
        </w:rPr>
      </w:pPr>
      <w:r w:rsidRPr="009978E3">
        <w:rPr>
          <w:sz w:val="22"/>
          <w:szCs w:val="22"/>
          <w:lang w:val="en-US"/>
        </w:rPr>
        <w:t xml:space="preserve">The </w:t>
      </w:r>
      <w:r>
        <w:rPr>
          <w:sz w:val="22"/>
          <w:szCs w:val="22"/>
          <w:lang w:val="en-US"/>
        </w:rPr>
        <w:t>MAR</w:t>
      </w:r>
      <w:r w:rsidRPr="009978E3">
        <w:rPr>
          <w:sz w:val="22"/>
          <w:szCs w:val="22"/>
          <w:lang w:val="en-US"/>
        </w:rPr>
        <w:t xml:space="preserve"> </w:t>
      </w:r>
      <w:r w:rsidRPr="002E4B39">
        <w:rPr>
          <w:rFonts w:eastAsia="MS Mincho"/>
          <w:sz w:val="22"/>
          <w:szCs w:val="22"/>
          <w:lang w:val="en-US"/>
        </w:rPr>
        <w:t>is</w:t>
      </w:r>
      <w:r w:rsidRPr="009978E3">
        <w:rPr>
          <w:sz w:val="22"/>
          <w:szCs w:val="22"/>
          <w:lang w:val="en-US"/>
        </w:rPr>
        <w:t xml:space="preserve"> a benthic feature and has important benthic habitats associated with it. However, as mentioned in the introductory section</w:t>
      </w:r>
      <w:r>
        <w:rPr>
          <w:sz w:val="22"/>
          <w:szCs w:val="22"/>
          <w:lang w:val="en-US"/>
        </w:rPr>
        <w:t>,</w:t>
      </w:r>
      <w:r w:rsidRPr="009978E3">
        <w:rPr>
          <w:sz w:val="22"/>
          <w:szCs w:val="22"/>
          <w:lang w:val="en-US"/>
        </w:rPr>
        <w:t xml:space="preserve"> the MAR plays a fundamental role in circulation patterns of the area and so can also be considered a water column feature.</w:t>
      </w:r>
      <w:r w:rsidRPr="009978E3">
        <w:rPr>
          <w:rFonts w:eastAsia="MS Mincho"/>
          <w:bCs/>
          <w:sz w:val="22"/>
          <w:szCs w:val="22"/>
          <w:lang w:val="en-US"/>
        </w:rPr>
        <w:t xml:space="preserve"> The Charlie-Gibbs Fracture Zone</w:t>
      </w:r>
      <w:r w:rsidRPr="009978E3">
        <w:rPr>
          <w:rFonts w:eastAsia="MS Mincho"/>
          <w:sz w:val="22"/>
          <w:szCs w:val="22"/>
          <w:lang w:val="en-US"/>
        </w:rPr>
        <w:t xml:space="preserve"> (CGFZ) is a unique geomorphological feature to the North Atlantic Ocean and to the high-seas areas of NEAFC and OSPAR. Owing to its remoteness, the fauna associated with the CGFZ are poorly studied</w:t>
      </w:r>
      <w:r>
        <w:rPr>
          <w:rFonts w:eastAsia="MS Mincho"/>
          <w:sz w:val="22"/>
          <w:szCs w:val="22"/>
          <w:lang w:val="en-US"/>
        </w:rPr>
        <w:t>,</w:t>
      </w:r>
      <w:r w:rsidRPr="009978E3">
        <w:rPr>
          <w:rFonts w:eastAsia="MS Mincho"/>
          <w:sz w:val="22"/>
          <w:szCs w:val="22"/>
          <w:lang w:val="en-US"/>
        </w:rPr>
        <w:t xml:space="preserve"> and it is premature to speculate on whether any species are endemic based on first descriptions. For example, Gebruk (2008) described two species of holothurians and believed them to be endemic to the </w:t>
      </w:r>
      <w:r>
        <w:rPr>
          <w:rFonts w:eastAsia="MS Mincho"/>
          <w:sz w:val="22"/>
          <w:szCs w:val="22"/>
          <w:lang w:val="en-US"/>
        </w:rPr>
        <w:t>MAR</w:t>
      </w:r>
      <w:r w:rsidRPr="009978E3">
        <w:rPr>
          <w:rFonts w:eastAsia="MS Mincho"/>
          <w:sz w:val="22"/>
          <w:szCs w:val="22"/>
          <w:lang w:val="en-US"/>
        </w:rPr>
        <w:t xml:space="preserve"> but they subsequently were found on the European continental margin in the Whittard Canyon (Masson 2009).</w:t>
      </w:r>
    </w:p>
    <w:p w14:paraId="7ED2639E" w14:textId="77777777" w:rsidR="006B3F46" w:rsidRPr="009978E3" w:rsidRDefault="006B3F46" w:rsidP="002E4B39">
      <w:pPr>
        <w:suppressLineNumbers/>
        <w:spacing w:after="120"/>
        <w:jc w:val="both"/>
        <w:rPr>
          <w:sz w:val="22"/>
          <w:szCs w:val="22"/>
        </w:rPr>
      </w:pPr>
      <w:r w:rsidRPr="009978E3">
        <w:rPr>
          <w:rFonts w:eastAsia="MS Mincho"/>
          <w:sz w:val="22"/>
          <w:szCs w:val="22"/>
        </w:rPr>
        <w:t xml:space="preserve">As part of the MAR-ECO project (Priede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2013) manned submersibles were deployed on the axis (52°47′N) and the northern slopes (52°58′N) of the Charlie–Gibbs North transform fault and surveyed macroplankton (Vinogradov 2005), demersal nekton (Felley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and invertebrate megafauna (Gebruk and Krylova 2013). </w:t>
      </w:r>
      <w:r w:rsidRPr="009978E3">
        <w:rPr>
          <w:sz w:val="22"/>
          <w:szCs w:val="22"/>
        </w:rPr>
        <w:t>Pelagic shrimps, chaetognaths and gelatinous animals were numerically dominant in the plankton, with peak densities corresponding to the main pycnocline. Mucous houses of appendicularians were abundant at 150 m above the seabed, although this is common throughout the central Atlantic and not associated with specific bottom topography (Vinogradov 2005). Nekton included large and small macrourids (</w:t>
      </w:r>
      <w:r w:rsidRPr="009978E3">
        <w:rPr>
          <w:i/>
          <w:sz w:val="22"/>
          <w:szCs w:val="22"/>
        </w:rPr>
        <w:t>Coryphaenoides</w:t>
      </w:r>
      <w:r w:rsidRPr="009978E3">
        <w:rPr>
          <w:sz w:val="22"/>
          <w:szCs w:val="22"/>
        </w:rPr>
        <w:t xml:space="preserve"> spp.), shrimp (infraorder Penaeidea), </w:t>
      </w:r>
      <w:r w:rsidRPr="009978E3">
        <w:rPr>
          <w:i/>
          <w:sz w:val="22"/>
          <w:szCs w:val="22"/>
        </w:rPr>
        <w:t>Halosauropsis macrochir</w:t>
      </w:r>
      <w:r w:rsidRPr="009978E3">
        <w:rPr>
          <w:sz w:val="22"/>
          <w:szCs w:val="22"/>
        </w:rPr>
        <w:t xml:space="preserve">, </w:t>
      </w:r>
      <w:r w:rsidRPr="009978E3">
        <w:rPr>
          <w:i/>
          <w:sz w:val="22"/>
          <w:szCs w:val="22"/>
        </w:rPr>
        <w:t>Aldrovandia</w:t>
      </w:r>
      <w:r w:rsidRPr="009978E3">
        <w:rPr>
          <w:sz w:val="22"/>
          <w:szCs w:val="22"/>
        </w:rPr>
        <w:t xml:space="preserve"> sp., </w:t>
      </w:r>
      <w:r w:rsidRPr="009978E3">
        <w:rPr>
          <w:i/>
          <w:sz w:val="22"/>
          <w:szCs w:val="22"/>
        </w:rPr>
        <w:t>Antimora rostrata</w:t>
      </w:r>
      <w:r w:rsidRPr="009978E3">
        <w:rPr>
          <w:sz w:val="22"/>
          <w:szCs w:val="22"/>
        </w:rPr>
        <w:t xml:space="preserve">, and alepocephalids </w:t>
      </w:r>
      <w:r w:rsidRPr="009978E3">
        <w:rPr>
          <w:rFonts w:eastAsia="MS Mincho"/>
          <w:sz w:val="22"/>
          <w:szCs w:val="22"/>
        </w:rPr>
        <w:t xml:space="preserve">(Felley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w:t>
      </w:r>
      <w:r w:rsidRPr="009978E3">
        <w:rPr>
          <w:sz w:val="22"/>
          <w:szCs w:val="22"/>
        </w:rPr>
        <w:t xml:space="preserve">. </w:t>
      </w:r>
    </w:p>
    <w:p w14:paraId="2B6E8513" w14:textId="77777777" w:rsidR="006B3F46" w:rsidRPr="009978E3" w:rsidRDefault="006B3F46" w:rsidP="002E4B39">
      <w:pPr>
        <w:suppressLineNumbers/>
        <w:spacing w:after="120"/>
        <w:jc w:val="both"/>
        <w:rPr>
          <w:sz w:val="22"/>
          <w:szCs w:val="22"/>
        </w:rPr>
      </w:pPr>
      <w:r w:rsidRPr="009978E3">
        <w:rPr>
          <w:sz w:val="22"/>
          <w:szCs w:val="22"/>
        </w:rPr>
        <w:t xml:space="preserve">Glass </w:t>
      </w:r>
      <w:r w:rsidRPr="002E4B39">
        <w:rPr>
          <w:rFonts w:eastAsia="MS Mincho"/>
          <w:sz w:val="22"/>
          <w:szCs w:val="22"/>
          <w:lang w:val="en-US"/>
        </w:rPr>
        <w:t>sponges</w:t>
      </w:r>
      <w:r w:rsidRPr="009978E3">
        <w:rPr>
          <w:sz w:val="22"/>
          <w:szCs w:val="22"/>
        </w:rPr>
        <w:t xml:space="preserve"> were common between 1700 and 2500 m while the deeper parts of the fracture wall and the sea floor were dominated by isidid corals, other anthozoans, squat lobsters and echinoderms, especially holothurians. The elpidiid holothurian, </w:t>
      </w:r>
      <w:r w:rsidRPr="009978E3">
        <w:rPr>
          <w:i/>
          <w:sz w:val="22"/>
          <w:szCs w:val="22"/>
        </w:rPr>
        <w:t>Kolga nana</w:t>
      </w:r>
      <w:r w:rsidRPr="009978E3">
        <w:rPr>
          <w:sz w:val="22"/>
          <w:szCs w:val="22"/>
        </w:rPr>
        <w:t xml:space="preserve">, occurred at high density in the abyssal depression (Gebruk and Krylova 2013). Rogacheva </w:t>
      </w:r>
      <w:r w:rsidRPr="0006066A">
        <w:rPr>
          <w:i/>
          <w:sz w:val="22"/>
          <w:szCs w:val="22"/>
        </w:rPr>
        <w:t>et al</w:t>
      </w:r>
      <w:r w:rsidRPr="009978E3">
        <w:rPr>
          <w:i/>
          <w:sz w:val="22"/>
          <w:szCs w:val="22"/>
        </w:rPr>
        <w:t>.</w:t>
      </w:r>
      <w:r w:rsidRPr="009978E3">
        <w:rPr>
          <w:sz w:val="22"/>
          <w:szCs w:val="22"/>
        </w:rPr>
        <w:t xml:space="preserve"> (2013) recorded 32 holothurian species from the CGFZ area through the ECOMAR project (http://www.oceanlab.abdn.ac.uk/ecomar/), including three elasipodid holothurian species new to science.</w:t>
      </w:r>
    </w:p>
    <w:p w14:paraId="6ADAEE27" w14:textId="05C80D67" w:rsidR="006B3F46" w:rsidRPr="009978E3" w:rsidRDefault="006B3F46" w:rsidP="002E4B39">
      <w:pPr>
        <w:suppressLineNumbers/>
        <w:spacing w:after="120"/>
        <w:jc w:val="both"/>
        <w:rPr>
          <w:sz w:val="22"/>
          <w:szCs w:val="22"/>
        </w:rPr>
      </w:pPr>
      <w:r w:rsidRPr="009978E3">
        <w:rPr>
          <w:sz w:val="22"/>
          <w:szCs w:val="22"/>
        </w:rPr>
        <w:t xml:space="preserve">In general, </w:t>
      </w:r>
      <w:r w:rsidRPr="002E4B39">
        <w:rPr>
          <w:rFonts w:eastAsia="MS Mincho"/>
          <w:sz w:val="22"/>
          <w:szCs w:val="22"/>
          <w:lang w:val="en-US"/>
        </w:rPr>
        <w:t>none</w:t>
      </w:r>
      <w:r w:rsidRPr="009978E3">
        <w:rPr>
          <w:sz w:val="22"/>
          <w:szCs w:val="22"/>
        </w:rPr>
        <w:t xml:space="preserve"> of the fauna documented from the CGFZ showed distributions atypical of similar habitats in the broader North Atlantic, although Gebruk and Krylova (2013) </w:t>
      </w:r>
      <w:r w:rsidRPr="009978E3">
        <w:rPr>
          <w:rFonts w:eastAsia="MS Mincho"/>
          <w:sz w:val="22"/>
          <w:szCs w:val="22"/>
        </w:rPr>
        <w:t xml:space="preserve">discuss the known distribution of the holothurian </w:t>
      </w:r>
      <w:r w:rsidRPr="009978E3">
        <w:rPr>
          <w:i/>
          <w:color w:val="231F20"/>
          <w:sz w:val="22"/>
          <w:szCs w:val="22"/>
        </w:rPr>
        <w:t>Peniagone longipaillata</w:t>
      </w:r>
      <w:r w:rsidRPr="009978E3">
        <w:rPr>
          <w:color w:val="231F20"/>
          <w:sz w:val="22"/>
          <w:szCs w:val="22"/>
        </w:rPr>
        <w:t xml:space="preserve"> and remark on the differences in relative abundance observed between the occurrence of this species, where it is common in the lower bathyal of the CGFZ, and the continental slopes in the Porcupine Seabight and Abyssal Plain areas and Whittard Canyon</w:t>
      </w:r>
      <w:r>
        <w:rPr>
          <w:color w:val="231F20"/>
          <w:sz w:val="22"/>
          <w:szCs w:val="22"/>
        </w:rPr>
        <w:t>,</w:t>
      </w:r>
      <w:r w:rsidRPr="009978E3">
        <w:rPr>
          <w:color w:val="231F20"/>
          <w:sz w:val="22"/>
          <w:szCs w:val="22"/>
        </w:rPr>
        <w:t xml:space="preserve"> where it </w:t>
      </w:r>
      <w:r>
        <w:rPr>
          <w:color w:val="231F20"/>
          <w:sz w:val="22"/>
          <w:szCs w:val="22"/>
        </w:rPr>
        <w:t>is less common</w:t>
      </w:r>
      <w:r w:rsidRPr="009978E3">
        <w:rPr>
          <w:sz w:val="22"/>
          <w:szCs w:val="22"/>
        </w:rPr>
        <w:t xml:space="preserve">. There is weak evidence that the CGFZ may be important for juvenile zoarcids based on a high percentage of those observed with baited cameras being &lt;100 mm in length (Kemp </w:t>
      </w:r>
      <w:r w:rsidRPr="0006066A">
        <w:rPr>
          <w:i/>
          <w:sz w:val="22"/>
          <w:szCs w:val="22"/>
        </w:rPr>
        <w:t>et al</w:t>
      </w:r>
      <w:r w:rsidRPr="009978E3">
        <w:rPr>
          <w:i/>
          <w:sz w:val="22"/>
          <w:szCs w:val="22"/>
        </w:rPr>
        <w:t>.</w:t>
      </w:r>
      <w:r w:rsidRPr="009978E3">
        <w:rPr>
          <w:sz w:val="22"/>
          <w:szCs w:val="22"/>
        </w:rPr>
        <w:t xml:space="preserve"> 2013).  </w:t>
      </w:r>
    </w:p>
    <w:p w14:paraId="558A70AC" w14:textId="220AFBF9" w:rsidR="006B3F46" w:rsidRPr="009978E3" w:rsidRDefault="006B3F46" w:rsidP="002E4B39">
      <w:pPr>
        <w:suppressLineNumbers/>
        <w:spacing w:after="120"/>
        <w:jc w:val="both"/>
        <w:rPr>
          <w:rFonts w:eastAsia="MS Mincho"/>
          <w:sz w:val="22"/>
          <w:szCs w:val="22"/>
          <w:lang w:val="en-US"/>
        </w:rPr>
      </w:pPr>
      <w:r w:rsidRPr="009978E3">
        <w:rPr>
          <w:sz w:val="22"/>
          <w:szCs w:val="22"/>
        </w:rPr>
        <w:t xml:space="preserve">General </w:t>
      </w:r>
      <w:r w:rsidRPr="002E4B39">
        <w:rPr>
          <w:rFonts w:eastAsia="MS Mincho"/>
          <w:sz w:val="22"/>
          <w:szCs w:val="22"/>
          <w:lang w:val="en-US"/>
        </w:rPr>
        <w:t>knowledge</w:t>
      </w:r>
      <w:r w:rsidRPr="009978E3">
        <w:rPr>
          <w:sz w:val="22"/>
          <w:szCs w:val="22"/>
        </w:rPr>
        <w:t xml:space="preserve"> of seafloor benthos suggests that where the geo-morphological processes of the fracture zone have created steep walls along the fractures, the greater three-dimensional topographic complexity, combined with the strong water flows through the fractures, creates habitat that is likely to be more productive and support greater concentrations of fragile taxa such as deep-water corals and sponges than adjacent habitats (Miller </w:t>
      </w:r>
      <w:r w:rsidRPr="0006066A">
        <w:rPr>
          <w:i/>
          <w:sz w:val="22"/>
          <w:szCs w:val="22"/>
        </w:rPr>
        <w:t>et al</w:t>
      </w:r>
      <w:r w:rsidRPr="009978E3">
        <w:rPr>
          <w:i/>
          <w:sz w:val="22"/>
          <w:szCs w:val="22"/>
        </w:rPr>
        <w:t>.</w:t>
      </w:r>
      <w:r w:rsidRPr="009978E3">
        <w:rPr>
          <w:sz w:val="22"/>
          <w:szCs w:val="22"/>
        </w:rPr>
        <w:t xml:space="preserve"> 2012).   The sampling done along the fracture zone supports these inferences but the differences from other habitats in similar depths and latitudes have not been quantified yet. </w:t>
      </w:r>
      <w:r w:rsidRPr="009978E3">
        <w:rPr>
          <w:color w:val="000000"/>
          <w:sz w:val="22"/>
          <w:szCs w:val="22"/>
          <w:shd w:val="clear" w:color="auto" w:fill="FFFFFF"/>
        </w:rPr>
        <w:t xml:space="preserve">The </w:t>
      </w:r>
      <w:r w:rsidRPr="009978E3">
        <w:rPr>
          <w:color w:val="231F20"/>
          <w:sz w:val="22"/>
          <w:szCs w:val="22"/>
        </w:rPr>
        <w:t>CGFZ</w:t>
      </w:r>
      <w:r w:rsidRPr="009978E3">
        <w:rPr>
          <w:color w:val="000000"/>
          <w:sz w:val="22"/>
          <w:szCs w:val="22"/>
          <w:shd w:val="clear" w:color="auto" w:fill="FFFFFF"/>
        </w:rPr>
        <w:t xml:space="preserve"> was mapped for the first time in 2015 on the RV Celtic Explorer as one of the key projects launched by the Atlantic Ocean Research Alliance, following the signing of the Galway Statement on Atlantic Ocean Cooperation between Canada, the EU and the US in May 2013, discovering sponge gardens and a skate nursery at 2000m.</w:t>
      </w:r>
    </w:p>
    <w:p w14:paraId="3B1162E8" w14:textId="77777777" w:rsidR="006B3F46" w:rsidRPr="009978E3" w:rsidRDefault="006B3F46" w:rsidP="002E4B39">
      <w:pPr>
        <w:suppressLineNumbers/>
        <w:spacing w:after="120"/>
        <w:jc w:val="both"/>
        <w:rPr>
          <w:sz w:val="22"/>
          <w:szCs w:val="22"/>
          <w:lang w:val="en-US"/>
        </w:rPr>
      </w:pPr>
      <w:r w:rsidRPr="009978E3">
        <w:rPr>
          <w:sz w:val="22"/>
          <w:szCs w:val="22"/>
          <w:lang w:val="en-US"/>
        </w:rPr>
        <w:t xml:space="preserve">For the </w:t>
      </w:r>
      <w:r w:rsidRPr="002E4B39">
        <w:rPr>
          <w:rFonts w:eastAsia="MS Mincho"/>
          <w:sz w:val="22"/>
          <w:szCs w:val="22"/>
          <w:lang w:val="en-US"/>
        </w:rPr>
        <w:t>benthic</w:t>
      </w:r>
      <w:r w:rsidRPr="009978E3">
        <w:rPr>
          <w:sz w:val="22"/>
          <w:szCs w:val="22"/>
          <w:lang w:val="en-US"/>
        </w:rPr>
        <w:t xml:space="preserve"> fauna, the Mid-Atlantic Ridge can serve as a barrier for east-west dispersal (see </w:t>
      </w:r>
      <w:r>
        <w:rPr>
          <w:sz w:val="22"/>
          <w:szCs w:val="22"/>
          <w:lang w:val="en-US"/>
        </w:rPr>
        <w:t>e.g.,</w:t>
      </w:r>
      <w:r w:rsidRPr="009978E3">
        <w:rPr>
          <w:sz w:val="22"/>
          <w:szCs w:val="22"/>
          <w:lang w:val="en-US"/>
        </w:rPr>
        <w:t xml:space="preserve"> Mironov &amp; Gebruk 2002, 2006) although</w:t>
      </w:r>
      <w:r w:rsidRPr="009978E3">
        <w:rPr>
          <w:sz w:val="22"/>
          <w:szCs w:val="22"/>
        </w:rPr>
        <w:t xml:space="preserve"> the degree to which east and west communities differ varies along the ridge (Alt </w:t>
      </w:r>
      <w:r w:rsidRPr="0006066A">
        <w:rPr>
          <w:i/>
          <w:sz w:val="22"/>
          <w:szCs w:val="22"/>
        </w:rPr>
        <w:t>et al</w:t>
      </w:r>
      <w:r w:rsidRPr="009978E3">
        <w:rPr>
          <w:sz w:val="22"/>
          <w:szCs w:val="22"/>
        </w:rPr>
        <w:t>., 2019)</w:t>
      </w:r>
      <w:r w:rsidRPr="009978E3">
        <w:rPr>
          <w:sz w:val="22"/>
          <w:szCs w:val="22"/>
          <w:lang w:val="en-US"/>
        </w:rPr>
        <w:t xml:space="preserve">. Gebruk </w:t>
      </w:r>
      <w:r w:rsidRPr="0006066A">
        <w:rPr>
          <w:i/>
          <w:sz w:val="22"/>
          <w:szCs w:val="22"/>
          <w:lang w:val="en-US"/>
        </w:rPr>
        <w:t>et al</w:t>
      </w:r>
      <w:r w:rsidRPr="009978E3">
        <w:rPr>
          <w:sz w:val="22"/>
          <w:szCs w:val="22"/>
          <w:lang w:val="en-US"/>
        </w:rPr>
        <w:t xml:space="preserve">. (2006) noted that </w:t>
      </w:r>
      <w:r>
        <w:rPr>
          <w:sz w:val="22"/>
          <w:szCs w:val="22"/>
          <w:lang w:val="en-US"/>
        </w:rPr>
        <w:t xml:space="preserve">particularly </w:t>
      </w:r>
      <w:r w:rsidRPr="009978E3">
        <w:rPr>
          <w:sz w:val="22"/>
          <w:szCs w:val="22"/>
          <w:lang w:val="en-US"/>
        </w:rPr>
        <w:t xml:space="preserve">in the area south of the </w:t>
      </w:r>
      <w:r w:rsidRPr="009978E3">
        <w:rPr>
          <w:color w:val="231F20"/>
          <w:sz w:val="22"/>
          <w:szCs w:val="22"/>
        </w:rPr>
        <w:t>CGFZ</w:t>
      </w:r>
      <w:r>
        <w:rPr>
          <w:color w:val="231F20"/>
          <w:sz w:val="22"/>
          <w:szCs w:val="22"/>
        </w:rPr>
        <w:t>,</w:t>
      </w:r>
      <w:r w:rsidRPr="009978E3">
        <w:rPr>
          <w:sz w:val="22"/>
          <w:szCs w:val="22"/>
          <w:lang w:val="en-US"/>
        </w:rPr>
        <w:t xml:space="preserve"> 48</w:t>
      </w:r>
      <w:r>
        <w:rPr>
          <w:sz w:val="22"/>
          <w:szCs w:val="22"/>
          <w:lang w:val="en-US"/>
        </w:rPr>
        <w:t xml:space="preserve"> per cent</w:t>
      </w:r>
      <w:r w:rsidRPr="009978E3">
        <w:rPr>
          <w:sz w:val="22"/>
          <w:szCs w:val="22"/>
          <w:lang w:val="en-US"/>
        </w:rPr>
        <w:t xml:space="preserve"> of the 150 identified species occurred only to the west of the ridge, whereas 19</w:t>
      </w:r>
      <w:r>
        <w:rPr>
          <w:sz w:val="22"/>
          <w:szCs w:val="22"/>
          <w:lang w:val="en-US"/>
        </w:rPr>
        <w:t xml:space="preserve"> per cent</w:t>
      </w:r>
      <w:r w:rsidRPr="009978E3">
        <w:rPr>
          <w:sz w:val="22"/>
          <w:szCs w:val="22"/>
          <w:lang w:val="en-US"/>
        </w:rPr>
        <w:t xml:space="preserve"> of the species were restricted to the eastern Atlantic. Likewise, the </w:t>
      </w:r>
      <w:r w:rsidRPr="009978E3">
        <w:rPr>
          <w:color w:val="231F20"/>
          <w:sz w:val="22"/>
          <w:szCs w:val="22"/>
        </w:rPr>
        <w:t>CGFZ</w:t>
      </w:r>
      <w:r w:rsidRPr="009978E3">
        <w:rPr>
          <w:sz w:val="22"/>
          <w:szCs w:val="22"/>
          <w:lang w:val="en-US"/>
        </w:rPr>
        <w:t xml:space="preserve"> acts as a barrier in north-south direction: </w:t>
      </w:r>
      <w:r>
        <w:rPr>
          <w:sz w:val="22"/>
          <w:szCs w:val="22"/>
          <w:lang w:val="en-US"/>
        </w:rPr>
        <w:t>t</w:t>
      </w:r>
      <w:r w:rsidRPr="009978E3">
        <w:rPr>
          <w:sz w:val="22"/>
          <w:szCs w:val="22"/>
          <w:lang w:val="en-US"/>
        </w:rPr>
        <w:t xml:space="preserve">he areas south and north of the </w:t>
      </w:r>
      <w:r w:rsidRPr="009978E3">
        <w:rPr>
          <w:color w:val="231F20"/>
          <w:sz w:val="22"/>
          <w:szCs w:val="22"/>
        </w:rPr>
        <w:t>CGFZ</w:t>
      </w:r>
      <w:r w:rsidRPr="009978E3">
        <w:rPr>
          <w:sz w:val="22"/>
          <w:szCs w:val="22"/>
          <w:lang w:val="en-US"/>
        </w:rPr>
        <w:t xml:space="preserve"> share only 27</w:t>
      </w:r>
      <w:r>
        <w:rPr>
          <w:sz w:val="22"/>
          <w:szCs w:val="22"/>
          <w:lang w:val="en-US"/>
        </w:rPr>
        <w:t xml:space="preserve"> per cent</w:t>
      </w:r>
      <w:r w:rsidRPr="009978E3">
        <w:rPr>
          <w:sz w:val="22"/>
          <w:szCs w:val="22"/>
          <w:lang w:val="en-US"/>
        </w:rPr>
        <w:t xml:space="preserve"> of the species (of the groups used as indicators), and recent studies suggest that</w:t>
      </w:r>
      <w:r w:rsidRPr="009978E3">
        <w:rPr>
          <w:sz w:val="22"/>
          <w:szCs w:val="22"/>
        </w:rPr>
        <w:t xml:space="preserve"> </w:t>
      </w:r>
      <w:r>
        <w:rPr>
          <w:sz w:val="22"/>
          <w:szCs w:val="22"/>
        </w:rPr>
        <w:t xml:space="preserve">the </w:t>
      </w:r>
      <w:r w:rsidRPr="009978E3">
        <w:rPr>
          <w:sz w:val="22"/>
          <w:szCs w:val="22"/>
          <w:lang w:val="en-US"/>
        </w:rPr>
        <w:t>CGFZ may serve as a major biogeographic barrier for deep-sea demosponges (Cárdenas and Rapp, 2015). Due to the transition of water masses at 800-1000 m depth there is also a vertical zonation of the bathyal fauna.</w:t>
      </w:r>
    </w:p>
    <w:p w14:paraId="5FDD79ED" w14:textId="77777777" w:rsidR="006B3F46" w:rsidRPr="009978E3" w:rsidRDefault="006B3F46" w:rsidP="002E4B39">
      <w:pPr>
        <w:suppressLineNumbers/>
        <w:spacing w:after="120"/>
        <w:jc w:val="both"/>
        <w:rPr>
          <w:sz w:val="22"/>
          <w:szCs w:val="22"/>
          <w:lang w:val="en-US"/>
        </w:rPr>
      </w:pPr>
      <w:r w:rsidRPr="009978E3">
        <w:rPr>
          <w:sz w:val="22"/>
          <w:szCs w:val="22"/>
          <w:lang w:val="en-US"/>
        </w:rPr>
        <w:t xml:space="preserve">Video </w:t>
      </w:r>
      <w:r w:rsidRPr="002E4B39">
        <w:rPr>
          <w:rFonts w:eastAsia="MS Mincho"/>
          <w:sz w:val="22"/>
          <w:szCs w:val="22"/>
          <w:lang w:val="en-US"/>
        </w:rPr>
        <w:t>inspections</w:t>
      </w:r>
      <w:r w:rsidRPr="009978E3">
        <w:rPr>
          <w:sz w:val="22"/>
          <w:szCs w:val="22"/>
          <w:lang w:val="en-US"/>
        </w:rPr>
        <w:t xml:space="preserve"> in the areas south and north of the </w:t>
      </w:r>
      <w:r w:rsidRPr="009978E3">
        <w:rPr>
          <w:color w:val="231F20"/>
          <w:sz w:val="22"/>
          <w:szCs w:val="22"/>
        </w:rPr>
        <w:t>CGFZ</w:t>
      </w:r>
      <w:r w:rsidRPr="009978E3">
        <w:rPr>
          <w:sz w:val="22"/>
          <w:szCs w:val="22"/>
          <w:lang w:val="en-US"/>
        </w:rPr>
        <w:t xml:space="preserve"> found cold water corals at all sites, at depths of 772-2355m, most commonly between 800 and 1400 m. </w:t>
      </w:r>
      <w:r>
        <w:rPr>
          <w:sz w:val="22"/>
          <w:szCs w:val="22"/>
          <w:lang w:val="en-US"/>
        </w:rPr>
        <w:t>Twenty-seven</w:t>
      </w:r>
      <w:r w:rsidRPr="009978E3">
        <w:rPr>
          <w:sz w:val="22"/>
          <w:szCs w:val="22"/>
          <w:lang w:val="en-US"/>
        </w:rPr>
        <w:t xml:space="preserve"> of the 40 coral taxa were octocorals</w:t>
      </w:r>
      <w:r>
        <w:rPr>
          <w:sz w:val="22"/>
          <w:szCs w:val="22"/>
          <w:lang w:val="en-US"/>
        </w:rPr>
        <w:t>,</w:t>
      </w:r>
      <w:r w:rsidRPr="009978E3">
        <w:rPr>
          <w:sz w:val="22"/>
          <w:szCs w:val="22"/>
          <w:lang w:val="en-US"/>
        </w:rPr>
        <w:t xml:space="preserve"> among which the Gorgonacea were the most diverse (Mortensen </w:t>
      </w:r>
      <w:r w:rsidRPr="0006066A">
        <w:rPr>
          <w:i/>
          <w:sz w:val="22"/>
          <w:szCs w:val="22"/>
          <w:lang w:val="en-US"/>
        </w:rPr>
        <w:t>et al</w:t>
      </w:r>
      <w:r w:rsidRPr="009978E3">
        <w:rPr>
          <w:sz w:val="22"/>
          <w:szCs w:val="22"/>
          <w:lang w:val="en-US"/>
        </w:rPr>
        <w:t xml:space="preserve">., 2008). Molodtsova </w:t>
      </w:r>
      <w:r w:rsidRPr="0006066A">
        <w:rPr>
          <w:i/>
          <w:sz w:val="22"/>
          <w:szCs w:val="22"/>
          <w:lang w:val="en-US"/>
        </w:rPr>
        <w:t>et al</w:t>
      </w:r>
      <w:r w:rsidRPr="009978E3">
        <w:rPr>
          <w:sz w:val="22"/>
          <w:szCs w:val="22"/>
          <w:lang w:val="en-US"/>
        </w:rPr>
        <w:t>.</w:t>
      </w:r>
      <w:r>
        <w:rPr>
          <w:sz w:val="22"/>
          <w:szCs w:val="22"/>
          <w:lang w:val="en-US"/>
        </w:rPr>
        <w:t xml:space="preserve"> </w:t>
      </w:r>
      <w:r w:rsidRPr="009978E3">
        <w:rPr>
          <w:sz w:val="22"/>
          <w:szCs w:val="22"/>
          <w:lang w:val="en-US"/>
        </w:rPr>
        <w:t>(2008) found very little overlap in species composition of the coral fauna in the sampling areas north, near and south of the CGFZ. The number of megafaunal species was higher in areas where corals dominated</w:t>
      </w:r>
      <w:r>
        <w:rPr>
          <w:sz w:val="22"/>
          <w:szCs w:val="22"/>
          <w:lang w:val="en-US"/>
        </w:rPr>
        <w:t>,</w:t>
      </w:r>
      <w:r w:rsidRPr="009978E3">
        <w:rPr>
          <w:sz w:val="22"/>
          <w:szCs w:val="22"/>
          <w:lang w:val="en-US"/>
        </w:rPr>
        <w:t xml:space="preserve"> compared to areas without coral. Typical taxa that co-occurred with </w:t>
      </w:r>
      <w:r w:rsidRPr="009978E3">
        <w:rPr>
          <w:i/>
          <w:iCs/>
          <w:sz w:val="22"/>
          <w:szCs w:val="22"/>
          <w:lang w:val="en-US"/>
        </w:rPr>
        <w:t>Lophelia</w:t>
      </w:r>
      <w:r w:rsidRPr="009978E3">
        <w:rPr>
          <w:sz w:val="22"/>
          <w:szCs w:val="22"/>
          <w:lang w:val="en-US"/>
        </w:rPr>
        <w:t xml:space="preserve"> were crinoids, certain sponges, the bivalve </w:t>
      </w:r>
      <w:r w:rsidRPr="009978E3">
        <w:rPr>
          <w:i/>
          <w:iCs/>
          <w:sz w:val="22"/>
          <w:szCs w:val="22"/>
          <w:lang w:val="en-US"/>
        </w:rPr>
        <w:t>Acesta excavata</w:t>
      </w:r>
      <w:r w:rsidRPr="009978E3">
        <w:rPr>
          <w:sz w:val="22"/>
          <w:szCs w:val="22"/>
          <w:lang w:val="en-US"/>
        </w:rPr>
        <w:t xml:space="preserve">, and squat lobster (Mortensen </w:t>
      </w:r>
      <w:r w:rsidRPr="0006066A">
        <w:rPr>
          <w:i/>
          <w:sz w:val="22"/>
          <w:szCs w:val="22"/>
          <w:lang w:val="en-US"/>
        </w:rPr>
        <w:t>et al</w:t>
      </w:r>
      <w:r w:rsidRPr="009978E3">
        <w:rPr>
          <w:sz w:val="22"/>
          <w:szCs w:val="22"/>
          <w:lang w:val="en-US"/>
        </w:rPr>
        <w:t>. 2008). In addition</w:t>
      </w:r>
      <w:r>
        <w:rPr>
          <w:sz w:val="22"/>
          <w:szCs w:val="22"/>
          <w:lang w:val="en-US"/>
        </w:rPr>
        <w:t>,</w:t>
      </w:r>
      <w:r w:rsidRPr="009978E3">
        <w:rPr>
          <w:sz w:val="22"/>
          <w:szCs w:val="22"/>
          <w:lang w:val="en-US"/>
        </w:rPr>
        <w:t xml:space="preserve"> further surveys have also observed sponge aggregations. Bell </w:t>
      </w:r>
      <w:r w:rsidRPr="0006066A">
        <w:rPr>
          <w:i/>
          <w:sz w:val="22"/>
          <w:szCs w:val="22"/>
          <w:lang w:val="en-US"/>
        </w:rPr>
        <w:t>et al</w:t>
      </w:r>
      <w:r w:rsidRPr="009978E3">
        <w:rPr>
          <w:sz w:val="22"/>
          <w:szCs w:val="22"/>
          <w:lang w:val="en-US"/>
        </w:rPr>
        <w:t xml:space="preserve">., (2016) observed areas dominated by both demosponges and glass sponges on steep slopes between 2095 and 2601 m depth. Alt </w:t>
      </w:r>
      <w:r w:rsidRPr="0006066A">
        <w:rPr>
          <w:i/>
          <w:sz w:val="22"/>
          <w:szCs w:val="22"/>
          <w:lang w:val="en-US"/>
        </w:rPr>
        <w:t>et al</w:t>
      </w:r>
      <w:r w:rsidRPr="009978E3">
        <w:rPr>
          <w:sz w:val="22"/>
          <w:szCs w:val="22"/>
          <w:lang w:val="en-US"/>
        </w:rPr>
        <w:t xml:space="preserve">. (2019) also reported sponge aggregations on flat areas and sedimented slopes at around 2500m depth.  </w:t>
      </w:r>
    </w:p>
    <w:p w14:paraId="3878EAF9" w14:textId="77777777" w:rsidR="006B3F46" w:rsidRPr="009978E3" w:rsidRDefault="006B3F46" w:rsidP="002E4B39">
      <w:pPr>
        <w:suppressLineNumbers/>
        <w:spacing w:after="120"/>
        <w:jc w:val="both"/>
        <w:rPr>
          <w:sz w:val="22"/>
          <w:szCs w:val="22"/>
          <w:lang w:val="en-US"/>
        </w:rPr>
      </w:pPr>
      <w:r w:rsidRPr="009978E3">
        <w:rPr>
          <w:sz w:val="22"/>
          <w:szCs w:val="22"/>
          <w:lang w:val="en-US"/>
        </w:rPr>
        <w:t xml:space="preserve">The biogeography </w:t>
      </w:r>
      <w:r w:rsidRPr="002E4B39">
        <w:rPr>
          <w:rFonts w:eastAsia="MS Mincho"/>
          <w:sz w:val="22"/>
          <w:szCs w:val="22"/>
          <w:lang w:val="en-US"/>
        </w:rPr>
        <w:t>of</w:t>
      </w:r>
      <w:r w:rsidRPr="009978E3">
        <w:rPr>
          <w:sz w:val="22"/>
          <w:szCs w:val="22"/>
          <w:lang w:val="en-US"/>
        </w:rPr>
        <w:t xml:space="preserve"> the seamount-related fish fauna of the North Atlantic, caught mainly as bycatch in roundnose grenadier (</w:t>
      </w:r>
      <w:r w:rsidRPr="009978E3">
        <w:rPr>
          <w:i/>
          <w:iCs/>
          <w:sz w:val="22"/>
          <w:szCs w:val="22"/>
          <w:lang w:val="en-US"/>
        </w:rPr>
        <w:t>Coryphaenoides rupestris</w:t>
      </w:r>
      <w:r w:rsidRPr="009978E3">
        <w:rPr>
          <w:sz w:val="22"/>
          <w:szCs w:val="22"/>
          <w:lang w:val="en-US"/>
        </w:rPr>
        <w:t>) and alfonsino (</w:t>
      </w:r>
      <w:r w:rsidRPr="009978E3">
        <w:rPr>
          <w:i/>
          <w:iCs/>
          <w:sz w:val="22"/>
          <w:szCs w:val="22"/>
          <w:lang w:val="en-US"/>
        </w:rPr>
        <w:t>Beryx splendens</w:t>
      </w:r>
      <w:r w:rsidRPr="009978E3">
        <w:rPr>
          <w:sz w:val="22"/>
          <w:szCs w:val="22"/>
          <w:lang w:val="en-US"/>
        </w:rPr>
        <w:t xml:space="preserve">) trawls down to 1500 m depth in over 20 years of commercial exploitation by Russian fisheries, is described by Kukuev (2004). He accounts for 68 species of mainly mesobenthopelagic bathyal fishes associated </w:t>
      </w:r>
      <w:r>
        <w:rPr>
          <w:sz w:val="22"/>
          <w:szCs w:val="22"/>
          <w:lang w:val="en-US"/>
        </w:rPr>
        <w:t>with</w:t>
      </w:r>
      <w:r w:rsidRPr="009978E3">
        <w:rPr>
          <w:sz w:val="22"/>
          <w:szCs w:val="22"/>
          <w:lang w:val="en-US"/>
        </w:rPr>
        <w:t xml:space="preserve"> the seamounts of the northern MAR (45-55°N, i.e. within the </w:t>
      </w:r>
      <w:r>
        <w:rPr>
          <w:sz w:val="22"/>
          <w:szCs w:val="22"/>
          <w:lang w:val="en-US"/>
        </w:rPr>
        <w:t>described</w:t>
      </w:r>
      <w:r w:rsidRPr="009978E3">
        <w:rPr>
          <w:sz w:val="22"/>
          <w:szCs w:val="22"/>
          <w:lang w:val="en-US"/>
        </w:rPr>
        <w:t xml:space="preserve"> area), including 44 species of deepwater sharks</w:t>
      </w:r>
      <w:r>
        <w:rPr>
          <w:sz w:val="22"/>
          <w:szCs w:val="22"/>
          <w:lang w:val="en-US"/>
        </w:rPr>
        <w:t>,</w:t>
      </w:r>
      <w:r w:rsidRPr="009978E3">
        <w:rPr>
          <w:sz w:val="22"/>
          <w:szCs w:val="22"/>
          <w:lang w:val="en-US"/>
        </w:rPr>
        <w:t xml:space="preserve"> such as Chlamydoselachidae, Pseudotriakidae, Scyliorinidae and Squalidae, including </w:t>
      </w:r>
      <w:r>
        <w:rPr>
          <w:sz w:val="22"/>
          <w:szCs w:val="22"/>
          <w:lang w:val="en-US"/>
        </w:rPr>
        <w:t>l</w:t>
      </w:r>
      <w:r w:rsidRPr="009978E3">
        <w:rPr>
          <w:sz w:val="22"/>
          <w:szCs w:val="22"/>
          <w:lang w:val="en-US"/>
        </w:rPr>
        <w:t>eafscale gulper shark (</w:t>
      </w:r>
      <w:r w:rsidRPr="009978E3">
        <w:rPr>
          <w:i/>
          <w:iCs/>
          <w:sz w:val="22"/>
          <w:szCs w:val="22"/>
          <w:lang w:val="en-US"/>
        </w:rPr>
        <w:t>Centrophorus squamosus</w:t>
      </w:r>
      <w:r w:rsidRPr="009978E3">
        <w:rPr>
          <w:sz w:val="22"/>
          <w:szCs w:val="22"/>
          <w:lang w:val="en-US"/>
        </w:rPr>
        <w:t xml:space="preserve">), </w:t>
      </w:r>
      <w:r>
        <w:rPr>
          <w:sz w:val="22"/>
          <w:szCs w:val="22"/>
          <w:lang w:val="en-US"/>
        </w:rPr>
        <w:t>g</w:t>
      </w:r>
      <w:r w:rsidRPr="009978E3">
        <w:rPr>
          <w:sz w:val="22"/>
          <w:szCs w:val="22"/>
          <w:lang w:val="en-US"/>
        </w:rPr>
        <w:t>ulper shark (</w:t>
      </w:r>
      <w:r w:rsidRPr="009978E3">
        <w:rPr>
          <w:i/>
          <w:iCs/>
          <w:sz w:val="22"/>
          <w:szCs w:val="22"/>
          <w:lang w:val="en-US"/>
        </w:rPr>
        <w:t>C. granulosus</w:t>
      </w:r>
      <w:r w:rsidRPr="009978E3">
        <w:rPr>
          <w:sz w:val="22"/>
          <w:szCs w:val="22"/>
          <w:lang w:val="en-US"/>
        </w:rPr>
        <w:t>) and Portuguese dogfish (</w:t>
      </w:r>
      <w:r w:rsidRPr="009978E3">
        <w:rPr>
          <w:i/>
          <w:iCs/>
          <w:sz w:val="22"/>
          <w:szCs w:val="22"/>
          <w:lang w:val="en-US"/>
        </w:rPr>
        <w:t>Centroscymnus coelepis</w:t>
      </w:r>
      <w:r w:rsidRPr="009978E3">
        <w:rPr>
          <w:sz w:val="22"/>
          <w:szCs w:val="22"/>
          <w:lang w:val="en-US"/>
        </w:rPr>
        <w:t>).</w:t>
      </w:r>
    </w:p>
    <w:p w14:paraId="1D0076A9" w14:textId="77777777" w:rsidR="006B3F46" w:rsidRPr="009978E3" w:rsidRDefault="006B3F46" w:rsidP="002E4B39">
      <w:pPr>
        <w:suppressLineNumbers/>
        <w:spacing w:after="120"/>
        <w:jc w:val="both"/>
        <w:rPr>
          <w:sz w:val="22"/>
          <w:szCs w:val="22"/>
          <w:lang w:val="en-US"/>
        </w:rPr>
      </w:pPr>
      <w:r w:rsidRPr="002E4B39">
        <w:rPr>
          <w:rFonts w:eastAsia="MS Mincho"/>
          <w:sz w:val="22"/>
          <w:szCs w:val="22"/>
          <w:lang w:val="en-US"/>
        </w:rPr>
        <w:t>The</w:t>
      </w:r>
      <w:r w:rsidRPr="009978E3">
        <w:rPr>
          <w:sz w:val="22"/>
          <w:szCs w:val="22"/>
          <w:lang w:val="en-US"/>
        </w:rPr>
        <w:t xml:space="preserve"> ecosystem associated with the </w:t>
      </w:r>
      <w:r>
        <w:rPr>
          <w:sz w:val="22"/>
          <w:szCs w:val="22"/>
          <w:lang w:val="en-US"/>
        </w:rPr>
        <w:t>MAR</w:t>
      </w:r>
      <w:r w:rsidRPr="009978E3">
        <w:rPr>
          <w:sz w:val="22"/>
          <w:szCs w:val="22"/>
          <w:lang w:val="en-US"/>
        </w:rPr>
        <w:t xml:space="preserve"> seems to be of particular importance to sei (</w:t>
      </w:r>
      <w:r w:rsidRPr="009978E3">
        <w:rPr>
          <w:i/>
          <w:iCs/>
          <w:sz w:val="22"/>
          <w:szCs w:val="22"/>
          <w:lang w:val="en-US"/>
        </w:rPr>
        <w:t>Balaenoptera borealis</w:t>
      </w:r>
      <w:r w:rsidRPr="009978E3">
        <w:rPr>
          <w:sz w:val="22"/>
          <w:szCs w:val="22"/>
          <w:lang w:val="en-US"/>
        </w:rPr>
        <w:t>) and sperm whales (</w:t>
      </w:r>
      <w:r w:rsidRPr="009978E3">
        <w:rPr>
          <w:i/>
          <w:iCs/>
          <w:sz w:val="22"/>
          <w:szCs w:val="22"/>
          <w:lang w:val="en-US"/>
        </w:rPr>
        <w:t>Physeter macrocephalus</w:t>
      </w:r>
      <w:r w:rsidRPr="009978E3">
        <w:rPr>
          <w:sz w:val="22"/>
          <w:szCs w:val="22"/>
          <w:lang w:val="en-US"/>
        </w:rPr>
        <w:t xml:space="preserve">). The highest aggregations of baleen whales and especially sei whales were observed north of and in relation to the CGFZ, which overlaps with earlier observations of Sigurjónsson </w:t>
      </w:r>
      <w:r w:rsidRPr="0006066A">
        <w:rPr>
          <w:i/>
          <w:sz w:val="22"/>
          <w:szCs w:val="22"/>
          <w:lang w:val="en-US"/>
        </w:rPr>
        <w:t>et al</w:t>
      </w:r>
      <w:r w:rsidRPr="009978E3">
        <w:rPr>
          <w:sz w:val="22"/>
          <w:szCs w:val="22"/>
          <w:lang w:val="en-US"/>
        </w:rPr>
        <w:t>.</w:t>
      </w:r>
      <w:r>
        <w:rPr>
          <w:sz w:val="22"/>
          <w:szCs w:val="22"/>
          <w:lang w:val="en-US"/>
        </w:rPr>
        <w:t xml:space="preserve"> </w:t>
      </w:r>
      <w:r w:rsidRPr="009978E3">
        <w:rPr>
          <w:sz w:val="22"/>
          <w:szCs w:val="22"/>
          <w:lang w:val="en-US"/>
        </w:rPr>
        <w:t xml:space="preserve">(1991) (in Skov </w:t>
      </w:r>
      <w:r w:rsidRPr="0006066A">
        <w:rPr>
          <w:i/>
          <w:sz w:val="22"/>
          <w:szCs w:val="22"/>
          <w:lang w:val="en-US"/>
        </w:rPr>
        <w:t>et al</w:t>
      </w:r>
      <w:r w:rsidRPr="009978E3">
        <w:rPr>
          <w:sz w:val="22"/>
          <w:szCs w:val="22"/>
          <w:lang w:val="en-US"/>
        </w:rPr>
        <w:t xml:space="preserve">. 2008). </w:t>
      </w:r>
      <w:r w:rsidRPr="009978E3">
        <w:rPr>
          <w:i/>
          <w:iCs/>
          <w:sz w:val="22"/>
          <w:szCs w:val="22"/>
          <w:lang w:val="en-US"/>
        </w:rPr>
        <w:t>Balaenoptera</w:t>
      </w:r>
      <w:r w:rsidRPr="009978E3">
        <w:rPr>
          <w:sz w:val="22"/>
          <w:szCs w:val="22"/>
          <w:lang w:val="en-US"/>
        </w:rPr>
        <w:t xml:space="preserve"> </w:t>
      </w:r>
      <w:r w:rsidRPr="009978E3">
        <w:rPr>
          <w:i/>
          <w:iCs/>
          <w:sz w:val="22"/>
          <w:szCs w:val="22"/>
          <w:lang w:val="en-US"/>
        </w:rPr>
        <w:t>borealis</w:t>
      </w:r>
      <w:r w:rsidRPr="009978E3">
        <w:rPr>
          <w:sz w:val="22"/>
          <w:szCs w:val="22"/>
          <w:lang w:val="en-US"/>
        </w:rPr>
        <w:t xml:space="preserve"> in particular w</w:t>
      </w:r>
      <w:r>
        <w:rPr>
          <w:sz w:val="22"/>
          <w:szCs w:val="22"/>
          <w:lang w:val="en-US"/>
        </w:rPr>
        <w:t>as</w:t>
      </w:r>
      <w:r w:rsidRPr="009978E3">
        <w:rPr>
          <w:sz w:val="22"/>
          <w:szCs w:val="22"/>
          <w:lang w:val="en-US"/>
        </w:rPr>
        <w:t xml:space="preserve"> most abundant over the slopes of steep seamounts and water depths between 1500 and 3000 m, whereas </w:t>
      </w:r>
      <w:r w:rsidRPr="009978E3">
        <w:rPr>
          <w:i/>
          <w:iCs/>
          <w:sz w:val="22"/>
          <w:szCs w:val="22"/>
          <w:lang w:val="en-US"/>
        </w:rPr>
        <w:t>P. macrocephalus</w:t>
      </w:r>
      <w:r w:rsidRPr="009978E3">
        <w:rPr>
          <w:sz w:val="22"/>
          <w:szCs w:val="22"/>
          <w:lang w:val="en-US"/>
        </w:rPr>
        <w:t xml:space="preserve"> were most common in waters shallower than 2000 m and often seen above high rising seamounts where they presumably found the best feeding conditions, i.e. the highest squid density (Nøttestad </w:t>
      </w:r>
      <w:r w:rsidRPr="0006066A">
        <w:rPr>
          <w:i/>
          <w:sz w:val="22"/>
          <w:szCs w:val="22"/>
          <w:lang w:val="en-US"/>
        </w:rPr>
        <w:t>et al</w:t>
      </w:r>
      <w:r w:rsidRPr="009978E3">
        <w:rPr>
          <w:sz w:val="22"/>
          <w:szCs w:val="22"/>
          <w:lang w:val="en-US"/>
        </w:rPr>
        <w:t xml:space="preserve">. 2005). Tracking studies </w:t>
      </w:r>
      <w:r>
        <w:rPr>
          <w:sz w:val="22"/>
          <w:szCs w:val="22"/>
          <w:lang w:val="en-US"/>
        </w:rPr>
        <w:t>of s</w:t>
      </w:r>
      <w:r w:rsidRPr="009978E3">
        <w:rPr>
          <w:sz w:val="22"/>
          <w:szCs w:val="22"/>
          <w:lang w:val="en-US"/>
        </w:rPr>
        <w:t xml:space="preserve">ei, fin and blue whale have described the migration of these species through the area from the Azores to foraging areas in the Labrador Sea as well as Greenlandic and Icelandic waters (Olsen </w:t>
      </w:r>
      <w:r w:rsidRPr="0006066A">
        <w:rPr>
          <w:i/>
          <w:sz w:val="22"/>
          <w:szCs w:val="22"/>
          <w:lang w:val="en-US"/>
        </w:rPr>
        <w:t>et al</w:t>
      </w:r>
      <w:r w:rsidRPr="009978E3">
        <w:rPr>
          <w:sz w:val="22"/>
          <w:szCs w:val="22"/>
          <w:lang w:val="en-US"/>
        </w:rPr>
        <w:t xml:space="preserve">. 2009, Silva </w:t>
      </w:r>
      <w:r w:rsidRPr="0006066A">
        <w:rPr>
          <w:i/>
          <w:sz w:val="22"/>
          <w:szCs w:val="22"/>
          <w:lang w:val="en-US"/>
        </w:rPr>
        <w:t>et al</w:t>
      </w:r>
      <w:r w:rsidRPr="009978E3">
        <w:rPr>
          <w:sz w:val="22"/>
          <w:szCs w:val="22"/>
          <w:lang w:val="en-US"/>
        </w:rPr>
        <w:t xml:space="preserve">., 2013; Prieto </w:t>
      </w:r>
      <w:r w:rsidRPr="0006066A">
        <w:rPr>
          <w:i/>
          <w:sz w:val="22"/>
          <w:szCs w:val="22"/>
          <w:lang w:val="en-US"/>
        </w:rPr>
        <w:t>et al</w:t>
      </w:r>
      <w:r w:rsidRPr="009978E3">
        <w:rPr>
          <w:sz w:val="22"/>
          <w:szCs w:val="22"/>
          <w:lang w:val="en-US"/>
        </w:rPr>
        <w:t xml:space="preserve">., 2014), Furthermore, fin and blue whales remained at middle latitudes along their migration in the area for prolonged periods in the areas of the </w:t>
      </w:r>
      <w:r w:rsidRPr="009978E3">
        <w:rPr>
          <w:color w:val="231F20"/>
          <w:sz w:val="22"/>
          <w:szCs w:val="22"/>
        </w:rPr>
        <w:t>CGFZ</w:t>
      </w:r>
      <w:r w:rsidRPr="009978E3">
        <w:rPr>
          <w:sz w:val="22"/>
          <w:szCs w:val="22"/>
          <w:lang w:val="en-US"/>
        </w:rPr>
        <w:t xml:space="preserve"> and Reykjanes Ridge, exhibiting area-restricted search (ARS) behavio</w:t>
      </w:r>
      <w:r>
        <w:rPr>
          <w:sz w:val="22"/>
          <w:szCs w:val="22"/>
          <w:lang w:val="en-US"/>
        </w:rPr>
        <w:t>u</w:t>
      </w:r>
      <w:r w:rsidRPr="009978E3">
        <w:rPr>
          <w:sz w:val="22"/>
          <w:szCs w:val="22"/>
          <w:lang w:val="en-US"/>
        </w:rPr>
        <w:t>r, indicative of foraging activity. The 2004 MAR-ECO expedition</w:t>
      </w:r>
      <w:r>
        <w:rPr>
          <w:sz w:val="22"/>
          <w:szCs w:val="22"/>
          <w:lang w:val="en-US"/>
        </w:rPr>
        <w:t>, which</w:t>
      </w:r>
      <w:r w:rsidRPr="009978E3">
        <w:rPr>
          <w:sz w:val="22"/>
          <w:szCs w:val="22"/>
          <w:lang w:val="en-US"/>
        </w:rPr>
        <w:t xml:space="preserve"> provided the opportunity to model the oceanic distributions of cetaceans across the CGFZ and Reykjanes Ridge for sperm whales, suggest</w:t>
      </w:r>
      <w:r>
        <w:rPr>
          <w:sz w:val="22"/>
          <w:szCs w:val="22"/>
          <w:lang w:val="en-US"/>
        </w:rPr>
        <w:t>s</w:t>
      </w:r>
      <w:r w:rsidRPr="009978E3">
        <w:rPr>
          <w:sz w:val="22"/>
          <w:szCs w:val="22"/>
          <w:lang w:val="en-US"/>
        </w:rPr>
        <w:t xml:space="preserve"> that these species are associated with fine-scale frontal processes interacting with the topography in the upper 100m of the water column just north of the Sub-</w:t>
      </w:r>
      <w:r w:rsidRPr="002E4B39">
        <w:rPr>
          <w:rFonts w:eastAsia="MS Mincho"/>
          <w:sz w:val="22"/>
          <w:szCs w:val="22"/>
          <w:lang w:val="en-US"/>
        </w:rPr>
        <w:t>Polar</w:t>
      </w:r>
      <w:r w:rsidRPr="009978E3">
        <w:rPr>
          <w:sz w:val="22"/>
          <w:szCs w:val="22"/>
          <w:lang w:val="en-US"/>
        </w:rPr>
        <w:t xml:space="preserve"> Front (SPF)</w:t>
      </w:r>
      <w:r>
        <w:rPr>
          <w:sz w:val="22"/>
          <w:szCs w:val="22"/>
          <w:lang w:val="en-US"/>
        </w:rPr>
        <w:t>,</w:t>
      </w:r>
      <w:r w:rsidRPr="009978E3">
        <w:rPr>
          <w:sz w:val="22"/>
          <w:szCs w:val="22"/>
          <w:lang w:val="en-US"/>
        </w:rPr>
        <w:t xml:space="preserve"> CGFZ and Faraday Seamount (Skov </w:t>
      </w:r>
      <w:r w:rsidRPr="0006066A">
        <w:rPr>
          <w:i/>
          <w:sz w:val="22"/>
          <w:szCs w:val="22"/>
          <w:lang w:val="en-US"/>
        </w:rPr>
        <w:t>et al</w:t>
      </w:r>
      <w:r w:rsidRPr="009978E3">
        <w:rPr>
          <w:sz w:val="22"/>
          <w:szCs w:val="22"/>
          <w:lang w:val="en-US"/>
        </w:rPr>
        <w:t xml:space="preserve">., 2008). </w:t>
      </w:r>
    </w:p>
    <w:p w14:paraId="438DEE7C" w14:textId="77777777" w:rsidR="006B3F46" w:rsidRPr="009978E3" w:rsidRDefault="006B3F46" w:rsidP="002E4B39">
      <w:pPr>
        <w:suppressLineNumbers/>
        <w:spacing w:after="120"/>
        <w:jc w:val="both"/>
        <w:rPr>
          <w:sz w:val="22"/>
          <w:szCs w:val="22"/>
          <w:lang w:val="en-US"/>
        </w:rPr>
      </w:pPr>
      <w:r w:rsidRPr="009978E3">
        <w:rPr>
          <w:sz w:val="22"/>
          <w:szCs w:val="22"/>
          <w:lang w:val="en-US"/>
        </w:rPr>
        <w:t xml:space="preserve">The MAR-ECO cruise provided a snapshot of seabird distribution along the </w:t>
      </w:r>
      <w:r>
        <w:rPr>
          <w:sz w:val="22"/>
          <w:szCs w:val="22"/>
          <w:lang w:val="en-US"/>
        </w:rPr>
        <w:t>MAR</w:t>
      </w:r>
      <w:r w:rsidRPr="009978E3">
        <w:rPr>
          <w:sz w:val="22"/>
          <w:szCs w:val="22"/>
          <w:lang w:val="en-US"/>
        </w:rPr>
        <w:t xml:space="preserve"> in summer 2004: 22 species </w:t>
      </w:r>
      <w:r w:rsidRPr="002E4B39">
        <w:rPr>
          <w:rFonts w:eastAsia="MS Mincho"/>
          <w:sz w:val="22"/>
          <w:szCs w:val="22"/>
          <w:lang w:val="en-US"/>
        </w:rPr>
        <w:t>of</w:t>
      </w:r>
      <w:r w:rsidRPr="009978E3">
        <w:rPr>
          <w:sz w:val="22"/>
          <w:szCs w:val="22"/>
          <w:lang w:val="en-US"/>
        </w:rPr>
        <w:t xml:space="preserve"> seabirds were identified, however only the northern fulmar (</w:t>
      </w:r>
      <w:r w:rsidRPr="0021277B">
        <w:rPr>
          <w:i/>
          <w:sz w:val="22"/>
          <w:szCs w:val="22"/>
          <w:lang w:val="en-US"/>
        </w:rPr>
        <w:t>Fulmarus glacialis</w:t>
      </w:r>
      <w:r w:rsidRPr="009978E3">
        <w:rPr>
          <w:sz w:val="22"/>
          <w:szCs w:val="22"/>
          <w:lang w:val="en-US"/>
        </w:rPr>
        <w:t>), great shearwater (</w:t>
      </w:r>
      <w:r w:rsidRPr="009978E3">
        <w:rPr>
          <w:i/>
          <w:iCs/>
          <w:sz w:val="22"/>
          <w:szCs w:val="22"/>
          <w:lang w:val="en-US"/>
        </w:rPr>
        <w:t>Puffinus gravis</w:t>
      </w:r>
      <w:r w:rsidRPr="009978E3">
        <w:rPr>
          <w:sz w:val="22"/>
          <w:szCs w:val="22"/>
          <w:lang w:val="en-US"/>
        </w:rPr>
        <w:t>) and Cory´s shearwater (</w:t>
      </w:r>
      <w:r w:rsidRPr="009978E3">
        <w:rPr>
          <w:i/>
          <w:iCs/>
          <w:sz w:val="22"/>
          <w:szCs w:val="22"/>
          <w:lang w:val="en-US"/>
        </w:rPr>
        <w:t>Calonectris diomedea</w:t>
      </w:r>
      <w:r w:rsidRPr="009978E3">
        <w:rPr>
          <w:sz w:val="22"/>
          <w:szCs w:val="22"/>
          <w:lang w:val="en-US"/>
        </w:rPr>
        <w:t>) were observed by the hundreds. The distribution of these species reflects the broad characters of water masses in the area (from Mar-Eco cruise report</w:t>
      </w:r>
      <w:r>
        <w:rPr>
          <w:sz w:val="22"/>
          <w:szCs w:val="22"/>
          <w:lang w:val="en-US"/>
        </w:rPr>
        <w:t>,</w:t>
      </w:r>
      <w:r w:rsidRPr="009978E3">
        <w:rPr>
          <w:sz w:val="22"/>
          <w:szCs w:val="22"/>
          <w:lang w:val="en-US"/>
        </w:rPr>
        <w:t xml:space="preserve"> Nøttestad </w:t>
      </w:r>
      <w:r w:rsidRPr="0006066A">
        <w:rPr>
          <w:i/>
          <w:sz w:val="22"/>
          <w:szCs w:val="22"/>
          <w:lang w:val="en-US"/>
        </w:rPr>
        <w:t>et al</w:t>
      </w:r>
      <w:r w:rsidRPr="009978E3">
        <w:rPr>
          <w:sz w:val="22"/>
          <w:szCs w:val="22"/>
          <w:lang w:val="en-US"/>
        </w:rPr>
        <w:t>.</w:t>
      </w:r>
      <w:r>
        <w:rPr>
          <w:sz w:val="22"/>
          <w:szCs w:val="22"/>
          <w:lang w:val="en-US"/>
        </w:rPr>
        <w:t xml:space="preserve">, </w:t>
      </w:r>
      <w:r w:rsidRPr="009978E3">
        <w:rPr>
          <w:sz w:val="22"/>
          <w:szCs w:val="22"/>
          <w:lang w:val="en-US"/>
        </w:rPr>
        <w:t xml:space="preserve">2004) and in particular the boundary effect of the frontal zone and the limited nesting sites available only on the Azores and Iceland (Skov </w:t>
      </w:r>
      <w:r w:rsidRPr="0006066A">
        <w:rPr>
          <w:i/>
          <w:sz w:val="22"/>
          <w:szCs w:val="22"/>
          <w:lang w:val="en-US"/>
        </w:rPr>
        <w:t>et al</w:t>
      </w:r>
      <w:r w:rsidRPr="009978E3">
        <w:rPr>
          <w:sz w:val="22"/>
          <w:szCs w:val="22"/>
          <w:lang w:val="en-US"/>
        </w:rPr>
        <w:t xml:space="preserve">. 1994). </w:t>
      </w:r>
      <w:r w:rsidRPr="009978E3">
        <w:rPr>
          <w:i/>
          <w:iCs/>
          <w:sz w:val="22"/>
          <w:szCs w:val="22"/>
          <w:lang w:val="en-US"/>
        </w:rPr>
        <w:t>F. glacialis</w:t>
      </w:r>
      <w:r w:rsidRPr="009978E3">
        <w:rPr>
          <w:sz w:val="22"/>
          <w:szCs w:val="22"/>
          <w:lang w:val="en-US"/>
        </w:rPr>
        <w:t xml:space="preserve"> were distributed along most of the study transect north of 47° N, and they were by far the most common species of seabird along the central and northern parts of the </w:t>
      </w:r>
      <w:r>
        <w:rPr>
          <w:sz w:val="22"/>
          <w:szCs w:val="22"/>
          <w:lang w:val="en-US"/>
        </w:rPr>
        <w:t>MAR</w:t>
      </w:r>
      <w:r w:rsidRPr="009978E3">
        <w:rPr>
          <w:sz w:val="22"/>
          <w:szCs w:val="22"/>
          <w:lang w:val="en-US"/>
        </w:rPr>
        <w:t>. Densities were generally below 1 bird per km</w:t>
      </w:r>
      <w:r w:rsidRPr="009978E3">
        <w:rPr>
          <w:sz w:val="22"/>
          <w:szCs w:val="22"/>
          <w:vertAlign w:val="superscript"/>
          <w:lang w:val="en-US"/>
        </w:rPr>
        <w:t>2</w:t>
      </w:r>
      <w:r w:rsidRPr="009978E3">
        <w:rPr>
          <w:sz w:val="22"/>
          <w:szCs w:val="22"/>
          <w:lang w:val="en-US"/>
        </w:rPr>
        <w:t xml:space="preserve">, and no large-scale concentrations were noted. However, discrete elevations in densities were recorded both in the Reykjanes and the </w:t>
      </w:r>
      <w:r w:rsidRPr="009978E3">
        <w:rPr>
          <w:color w:val="231F20"/>
          <w:sz w:val="22"/>
          <w:szCs w:val="22"/>
        </w:rPr>
        <w:t>CGFZ</w:t>
      </w:r>
      <w:r w:rsidRPr="009978E3">
        <w:rPr>
          <w:sz w:val="22"/>
          <w:szCs w:val="22"/>
          <w:lang w:val="en-US"/>
        </w:rPr>
        <w:t xml:space="preserve"> regions. </w:t>
      </w:r>
      <w:r w:rsidRPr="009978E3">
        <w:rPr>
          <w:i/>
          <w:iCs/>
          <w:sz w:val="22"/>
          <w:szCs w:val="22"/>
          <w:lang w:val="en-US"/>
        </w:rPr>
        <w:t>P. gravis</w:t>
      </w:r>
      <w:r w:rsidRPr="009978E3">
        <w:rPr>
          <w:sz w:val="22"/>
          <w:szCs w:val="22"/>
          <w:lang w:val="en-US"/>
        </w:rPr>
        <w:t xml:space="preserve"> were observed only in the vicinity of the Subpolar front just north of the </w:t>
      </w:r>
      <w:r w:rsidRPr="009978E3">
        <w:rPr>
          <w:color w:val="231F20"/>
          <w:sz w:val="22"/>
          <w:szCs w:val="22"/>
        </w:rPr>
        <w:t>CGFZ</w:t>
      </w:r>
      <w:r w:rsidRPr="009978E3">
        <w:rPr>
          <w:sz w:val="22"/>
          <w:szCs w:val="22"/>
          <w:lang w:val="en-US"/>
        </w:rPr>
        <w:t xml:space="preserve">. Most of the birds recorded were found in the area of the Subpolar front, where concentrations of both sitting and flying birds were observed. The largest flock seen was of 160 birds, but flock sizes were generally between </w:t>
      </w:r>
      <w:r>
        <w:rPr>
          <w:sz w:val="22"/>
          <w:szCs w:val="22"/>
          <w:lang w:val="en-US"/>
        </w:rPr>
        <w:t>three</w:t>
      </w:r>
      <w:r w:rsidRPr="009978E3">
        <w:rPr>
          <w:sz w:val="22"/>
          <w:szCs w:val="22"/>
          <w:lang w:val="en-US"/>
        </w:rPr>
        <w:t xml:space="preserve"> and 10 birds. Outside the frontal area </w:t>
      </w:r>
      <w:r w:rsidRPr="009978E3">
        <w:rPr>
          <w:i/>
          <w:iCs/>
          <w:sz w:val="22"/>
          <w:szCs w:val="22"/>
          <w:lang w:val="en-US"/>
        </w:rPr>
        <w:t>P. gravis</w:t>
      </w:r>
      <w:r w:rsidRPr="009978E3">
        <w:rPr>
          <w:sz w:val="22"/>
          <w:szCs w:val="22"/>
          <w:lang w:val="en-US"/>
        </w:rPr>
        <w:t xml:space="preserve"> were mainly seen in singles. </w:t>
      </w:r>
      <w:r w:rsidRPr="009978E3">
        <w:rPr>
          <w:i/>
          <w:iCs/>
          <w:sz w:val="22"/>
          <w:szCs w:val="22"/>
          <w:lang w:val="en-US"/>
        </w:rPr>
        <w:t>C. diomedea</w:t>
      </w:r>
      <w:r w:rsidRPr="009978E3">
        <w:rPr>
          <w:sz w:val="22"/>
          <w:szCs w:val="22"/>
          <w:lang w:val="en-US"/>
        </w:rPr>
        <w:t xml:space="preserve"> on the other hand is found only south of the </w:t>
      </w:r>
      <w:r w:rsidRPr="009978E3">
        <w:rPr>
          <w:i/>
          <w:iCs/>
          <w:sz w:val="22"/>
          <w:szCs w:val="22"/>
          <w:lang w:val="en-US"/>
        </w:rPr>
        <w:t>P. gravis</w:t>
      </w:r>
      <w:r w:rsidRPr="009978E3">
        <w:rPr>
          <w:sz w:val="22"/>
          <w:szCs w:val="22"/>
          <w:lang w:val="en-US"/>
        </w:rPr>
        <w:t xml:space="preserve"> distribution area – usually not in flocks except for an area where warm Gulf Stream water surfaced. </w:t>
      </w:r>
      <w:r w:rsidRPr="009978E3">
        <w:rPr>
          <w:i/>
          <w:iCs/>
          <w:sz w:val="22"/>
          <w:szCs w:val="22"/>
          <w:lang w:val="en-US"/>
        </w:rPr>
        <w:t>C. diomedea</w:t>
      </w:r>
      <w:r w:rsidRPr="009978E3">
        <w:rPr>
          <w:sz w:val="22"/>
          <w:szCs w:val="22"/>
          <w:lang w:val="en-US"/>
        </w:rPr>
        <w:t xml:space="preserve"> were commonly observed with cetaceans, most notably dolphins, but also with other species, </w:t>
      </w:r>
      <w:r>
        <w:rPr>
          <w:sz w:val="22"/>
          <w:szCs w:val="22"/>
          <w:lang w:val="en-US"/>
        </w:rPr>
        <w:t>e.g.,</w:t>
      </w:r>
      <w:r w:rsidRPr="009978E3">
        <w:rPr>
          <w:sz w:val="22"/>
          <w:szCs w:val="22"/>
          <w:lang w:val="en-US"/>
        </w:rPr>
        <w:t xml:space="preserve"> sperm whales. More recent at-sea surveys confirm the importance of the area for species richness, abundance and over-wintering aggregations (Bennison and Jessopp, 2015; Boertmann, 2011) as well as for breeding birds from the Azores (i.e.</w:t>
      </w:r>
      <w:r>
        <w:rPr>
          <w:sz w:val="22"/>
          <w:szCs w:val="22"/>
          <w:lang w:val="en-US"/>
        </w:rPr>
        <w:t>,</w:t>
      </w:r>
      <w:r w:rsidRPr="009978E3">
        <w:rPr>
          <w:sz w:val="22"/>
          <w:szCs w:val="22"/>
          <w:lang w:val="en-US"/>
        </w:rPr>
        <w:t xml:space="preserve"> birds travelling there during the incubation period) (Magalhaes </w:t>
      </w:r>
      <w:r w:rsidRPr="0006066A">
        <w:rPr>
          <w:i/>
          <w:sz w:val="22"/>
          <w:szCs w:val="22"/>
          <w:lang w:val="en-US"/>
        </w:rPr>
        <w:t>et al</w:t>
      </w:r>
      <w:r w:rsidRPr="009978E3">
        <w:rPr>
          <w:sz w:val="22"/>
          <w:szCs w:val="22"/>
          <w:lang w:val="en-US"/>
        </w:rPr>
        <w:t>., 2008).</w:t>
      </w:r>
    </w:p>
    <w:p w14:paraId="06023F68" w14:textId="77777777" w:rsidR="006B3F46" w:rsidRPr="009978E3" w:rsidRDefault="006B3F46" w:rsidP="002E4B39">
      <w:pPr>
        <w:suppressLineNumbers/>
        <w:spacing w:after="120"/>
        <w:jc w:val="both"/>
        <w:rPr>
          <w:sz w:val="22"/>
          <w:szCs w:val="22"/>
          <w:lang w:val="en-US"/>
        </w:rPr>
      </w:pPr>
      <w:r w:rsidRPr="009978E3">
        <w:rPr>
          <w:sz w:val="22"/>
          <w:szCs w:val="22"/>
          <w:lang w:val="en-US"/>
        </w:rPr>
        <w:t xml:space="preserve">There is only anecdotal evidence on the observation of sea turtles over the </w:t>
      </w:r>
      <w:r>
        <w:rPr>
          <w:sz w:val="22"/>
          <w:szCs w:val="22"/>
          <w:lang w:val="en-US"/>
        </w:rPr>
        <w:t>MAR</w:t>
      </w:r>
      <w:r w:rsidRPr="009978E3">
        <w:rPr>
          <w:sz w:val="22"/>
          <w:szCs w:val="22"/>
          <w:lang w:val="en-US"/>
        </w:rPr>
        <w:t>, in particular</w:t>
      </w:r>
      <w:r>
        <w:rPr>
          <w:sz w:val="22"/>
          <w:szCs w:val="22"/>
          <w:lang w:val="en-US"/>
        </w:rPr>
        <w:t>,</w:t>
      </w:r>
      <w:r w:rsidRPr="009978E3">
        <w:rPr>
          <w:sz w:val="22"/>
          <w:szCs w:val="22"/>
          <w:lang w:val="en-US"/>
        </w:rPr>
        <w:t xml:space="preserve"> enhanced abundances over the </w:t>
      </w:r>
      <w:r w:rsidRPr="009978E3">
        <w:rPr>
          <w:color w:val="231F20"/>
          <w:sz w:val="22"/>
          <w:szCs w:val="22"/>
        </w:rPr>
        <w:t>CGFZ</w:t>
      </w:r>
      <w:r w:rsidRPr="009978E3">
        <w:rPr>
          <w:sz w:val="22"/>
          <w:szCs w:val="22"/>
          <w:lang w:val="en-US"/>
        </w:rPr>
        <w:t xml:space="preserve"> and </w:t>
      </w:r>
      <w:r>
        <w:rPr>
          <w:sz w:val="22"/>
          <w:szCs w:val="22"/>
          <w:lang w:val="en-US"/>
        </w:rPr>
        <w:t>SPF</w:t>
      </w:r>
      <w:r w:rsidRPr="009978E3">
        <w:rPr>
          <w:sz w:val="22"/>
          <w:szCs w:val="22"/>
          <w:lang w:val="en-US"/>
        </w:rPr>
        <w:t xml:space="preserve"> regions. The </w:t>
      </w:r>
      <w:r>
        <w:rPr>
          <w:sz w:val="22"/>
          <w:szCs w:val="22"/>
          <w:lang w:val="en-US"/>
        </w:rPr>
        <w:t>l</w:t>
      </w:r>
      <w:r w:rsidRPr="009978E3">
        <w:rPr>
          <w:sz w:val="22"/>
          <w:szCs w:val="22"/>
          <w:lang w:val="en-US"/>
        </w:rPr>
        <w:t>eatherback turtle (</w:t>
      </w:r>
      <w:r w:rsidRPr="009978E3">
        <w:rPr>
          <w:i/>
          <w:iCs/>
          <w:sz w:val="22"/>
          <w:szCs w:val="22"/>
          <w:lang w:val="en-US"/>
        </w:rPr>
        <w:t>Dermochelys coriacea</w:t>
      </w:r>
      <w:r w:rsidRPr="009978E3">
        <w:rPr>
          <w:sz w:val="22"/>
          <w:szCs w:val="22"/>
          <w:lang w:val="en-US"/>
        </w:rPr>
        <w:t xml:space="preserve">) can be found foraging at oceanic fronts during their long trans-Atlantic migrations (Eckert, 2006). It occurs within the </w:t>
      </w:r>
      <w:r>
        <w:rPr>
          <w:sz w:val="22"/>
          <w:szCs w:val="22"/>
          <w:lang w:val="en-US"/>
        </w:rPr>
        <w:t>described</w:t>
      </w:r>
      <w:r w:rsidRPr="009978E3">
        <w:rPr>
          <w:sz w:val="22"/>
          <w:szCs w:val="22"/>
          <w:lang w:val="en-US"/>
        </w:rPr>
        <w:t xml:space="preserve"> region and feeds primarily on gelatinous zooplankton (Hays </w:t>
      </w:r>
      <w:r w:rsidRPr="0006066A">
        <w:rPr>
          <w:i/>
          <w:sz w:val="22"/>
          <w:szCs w:val="22"/>
          <w:lang w:val="en-US"/>
        </w:rPr>
        <w:t>et al</w:t>
      </w:r>
      <w:r w:rsidRPr="009978E3">
        <w:rPr>
          <w:sz w:val="22"/>
          <w:szCs w:val="22"/>
          <w:lang w:val="en-US"/>
        </w:rPr>
        <w:t xml:space="preserve">., 2006; Doyle, 2007, Doyle </w:t>
      </w:r>
      <w:r w:rsidRPr="0006066A">
        <w:rPr>
          <w:i/>
          <w:sz w:val="22"/>
          <w:szCs w:val="22"/>
          <w:lang w:val="en-US"/>
        </w:rPr>
        <w:t>et al</w:t>
      </w:r>
      <w:r w:rsidRPr="009978E3">
        <w:rPr>
          <w:sz w:val="22"/>
          <w:szCs w:val="22"/>
          <w:lang w:val="en-US"/>
        </w:rPr>
        <w:t xml:space="preserve">, 2008), high concentrations of which have been recorded several times around the </w:t>
      </w:r>
      <w:r w:rsidRPr="009978E3">
        <w:rPr>
          <w:color w:val="231F20"/>
          <w:sz w:val="22"/>
          <w:szCs w:val="22"/>
        </w:rPr>
        <w:t>CGFZ</w:t>
      </w:r>
      <w:r w:rsidRPr="009978E3">
        <w:rPr>
          <w:sz w:val="22"/>
          <w:szCs w:val="22"/>
          <w:lang w:val="en-US"/>
        </w:rPr>
        <w:t xml:space="preserve">  and </w:t>
      </w:r>
      <w:r>
        <w:rPr>
          <w:sz w:val="22"/>
          <w:szCs w:val="22"/>
          <w:lang w:val="en-US"/>
        </w:rPr>
        <w:t>SPF</w:t>
      </w:r>
      <w:r w:rsidRPr="009978E3">
        <w:rPr>
          <w:sz w:val="22"/>
          <w:szCs w:val="22"/>
          <w:lang w:val="en-US"/>
        </w:rPr>
        <w:t xml:space="preserve"> (Fock </w:t>
      </w:r>
      <w:r w:rsidRPr="0006066A">
        <w:rPr>
          <w:i/>
          <w:sz w:val="22"/>
          <w:szCs w:val="22"/>
          <w:lang w:val="en-US"/>
        </w:rPr>
        <w:t>et al</w:t>
      </w:r>
      <w:r w:rsidRPr="009978E3">
        <w:rPr>
          <w:sz w:val="22"/>
          <w:szCs w:val="22"/>
          <w:lang w:val="en-US"/>
        </w:rPr>
        <w:t xml:space="preserve">., 2004; Youngbluth </w:t>
      </w:r>
      <w:r w:rsidRPr="0006066A">
        <w:rPr>
          <w:i/>
          <w:sz w:val="22"/>
          <w:szCs w:val="22"/>
          <w:lang w:val="en-US"/>
        </w:rPr>
        <w:t>et al</w:t>
      </w:r>
      <w:r w:rsidRPr="009978E3">
        <w:rPr>
          <w:sz w:val="22"/>
          <w:szCs w:val="22"/>
          <w:lang w:val="en-US"/>
        </w:rPr>
        <w:t xml:space="preserve">., 2008). One study has tracked individuals to the </w:t>
      </w:r>
      <w:r>
        <w:rPr>
          <w:sz w:val="22"/>
          <w:szCs w:val="22"/>
          <w:lang w:val="en-US"/>
        </w:rPr>
        <w:t>SPF</w:t>
      </w:r>
      <w:r w:rsidRPr="009978E3">
        <w:rPr>
          <w:sz w:val="22"/>
          <w:szCs w:val="22"/>
          <w:lang w:val="en-US"/>
        </w:rPr>
        <w:t xml:space="preserve"> area of the North</w:t>
      </w:r>
      <w:r>
        <w:rPr>
          <w:sz w:val="22"/>
          <w:szCs w:val="22"/>
          <w:lang w:val="en-US"/>
        </w:rPr>
        <w:t>-</w:t>
      </w:r>
      <w:r w:rsidRPr="009978E3">
        <w:rPr>
          <w:sz w:val="22"/>
          <w:szCs w:val="22"/>
          <w:lang w:val="en-US"/>
        </w:rPr>
        <w:t xml:space="preserve">East Atlantic, presumably to feed in this plankton rich environment (Ferraroli </w:t>
      </w:r>
      <w:r w:rsidRPr="0006066A">
        <w:rPr>
          <w:i/>
          <w:sz w:val="22"/>
          <w:szCs w:val="22"/>
          <w:lang w:val="en-US"/>
        </w:rPr>
        <w:t>et al</w:t>
      </w:r>
      <w:r w:rsidRPr="009978E3">
        <w:rPr>
          <w:sz w:val="22"/>
          <w:szCs w:val="22"/>
          <w:lang w:val="en-US"/>
        </w:rPr>
        <w:t xml:space="preserve">., 2004; Hays </w:t>
      </w:r>
      <w:r w:rsidRPr="0006066A">
        <w:rPr>
          <w:i/>
          <w:sz w:val="22"/>
          <w:szCs w:val="22"/>
          <w:lang w:val="en-US"/>
        </w:rPr>
        <w:t>et al</w:t>
      </w:r>
      <w:r w:rsidRPr="009978E3">
        <w:rPr>
          <w:sz w:val="22"/>
          <w:szCs w:val="22"/>
          <w:lang w:val="en-US"/>
        </w:rPr>
        <w:t xml:space="preserve">., 2004). It is probable therefore, that this species of turtle visits the </w:t>
      </w:r>
      <w:r>
        <w:rPr>
          <w:sz w:val="22"/>
          <w:szCs w:val="22"/>
          <w:lang w:val="en-US"/>
        </w:rPr>
        <w:t>described</w:t>
      </w:r>
      <w:r w:rsidRPr="009978E3">
        <w:rPr>
          <w:sz w:val="22"/>
          <w:szCs w:val="22"/>
          <w:lang w:val="en-US"/>
        </w:rPr>
        <w:t xml:space="preserve"> area to feed. Loggerhead turtle</w:t>
      </w:r>
      <w:r w:rsidRPr="009978E3">
        <w:rPr>
          <w:i/>
          <w:iCs/>
          <w:sz w:val="22"/>
          <w:szCs w:val="22"/>
          <w:lang w:val="en-US"/>
        </w:rPr>
        <w:t xml:space="preserve"> </w:t>
      </w:r>
      <w:r>
        <w:rPr>
          <w:i/>
          <w:iCs/>
          <w:sz w:val="22"/>
          <w:szCs w:val="22"/>
          <w:lang w:val="en-US"/>
        </w:rPr>
        <w:t>(</w:t>
      </w:r>
      <w:r w:rsidRPr="009978E3">
        <w:rPr>
          <w:i/>
          <w:iCs/>
          <w:sz w:val="22"/>
          <w:szCs w:val="22"/>
          <w:lang w:val="en-US"/>
        </w:rPr>
        <w:t>Caretta caretta</w:t>
      </w:r>
      <w:r w:rsidRPr="009978E3">
        <w:rPr>
          <w:sz w:val="22"/>
          <w:szCs w:val="22"/>
          <w:lang w:val="en-US"/>
        </w:rPr>
        <w:t xml:space="preserve">) is the most common sea turtle in the North-East Atlantic (Revelles </w:t>
      </w:r>
      <w:r w:rsidRPr="0006066A">
        <w:rPr>
          <w:i/>
          <w:sz w:val="22"/>
          <w:szCs w:val="22"/>
          <w:lang w:val="en-US"/>
        </w:rPr>
        <w:t>et al</w:t>
      </w:r>
      <w:r w:rsidRPr="009978E3">
        <w:rPr>
          <w:sz w:val="22"/>
          <w:szCs w:val="22"/>
          <w:lang w:val="en-US"/>
        </w:rPr>
        <w:t xml:space="preserve">., 2007). No direct observations of this species have been made near the </w:t>
      </w:r>
      <w:r w:rsidRPr="009978E3">
        <w:rPr>
          <w:color w:val="231F20"/>
          <w:sz w:val="22"/>
          <w:szCs w:val="22"/>
        </w:rPr>
        <w:t>CGFZ</w:t>
      </w:r>
      <w:r w:rsidRPr="009978E3">
        <w:rPr>
          <w:sz w:val="22"/>
          <w:szCs w:val="22"/>
          <w:lang w:val="en-US"/>
        </w:rPr>
        <w:t xml:space="preserve"> . However, it is known to make trans-Atlantic migrations between nesting and foraging sites (Encalada </w:t>
      </w:r>
      <w:r w:rsidRPr="0006066A">
        <w:rPr>
          <w:i/>
          <w:sz w:val="22"/>
          <w:szCs w:val="22"/>
          <w:lang w:val="en-US"/>
        </w:rPr>
        <w:t>et al</w:t>
      </w:r>
      <w:r w:rsidRPr="009978E3">
        <w:rPr>
          <w:sz w:val="22"/>
          <w:szCs w:val="22"/>
          <w:lang w:val="en-US"/>
        </w:rPr>
        <w:t xml:space="preserve">., 1998). It is possible that animals may stop to </w:t>
      </w:r>
      <w:r w:rsidRPr="002E4B39">
        <w:rPr>
          <w:rFonts w:eastAsia="MS Mincho"/>
          <w:sz w:val="22"/>
          <w:szCs w:val="22"/>
          <w:lang w:val="en-US"/>
        </w:rPr>
        <w:t>feed</w:t>
      </w:r>
      <w:r w:rsidRPr="009978E3">
        <w:rPr>
          <w:sz w:val="22"/>
          <w:szCs w:val="22"/>
          <w:lang w:val="en-US"/>
        </w:rPr>
        <w:t xml:space="preserve"> in the </w:t>
      </w:r>
      <w:r w:rsidRPr="009978E3">
        <w:rPr>
          <w:color w:val="231F20"/>
          <w:sz w:val="22"/>
          <w:szCs w:val="22"/>
        </w:rPr>
        <w:t>CGFZ</w:t>
      </w:r>
      <w:r w:rsidRPr="009978E3">
        <w:rPr>
          <w:sz w:val="22"/>
          <w:szCs w:val="22"/>
          <w:lang w:val="en-US"/>
        </w:rPr>
        <w:t xml:space="preserve"> during these migrations as noted for individual </w:t>
      </w:r>
      <w:r w:rsidRPr="009978E3">
        <w:rPr>
          <w:i/>
          <w:iCs/>
          <w:sz w:val="22"/>
          <w:szCs w:val="22"/>
          <w:lang w:val="en-US"/>
        </w:rPr>
        <w:t>D. coriacea</w:t>
      </w:r>
      <w:r w:rsidRPr="009978E3">
        <w:rPr>
          <w:sz w:val="22"/>
          <w:szCs w:val="22"/>
          <w:lang w:val="en-US"/>
        </w:rPr>
        <w:t>.</w:t>
      </w:r>
    </w:p>
    <w:p w14:paraId="08E40CDE"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2FCE54A6"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lang w:val="en-US"/>
        </w:rPr>
        <w:t>Given the geophysical nature, location and size of the CGFZ</w:t>
      </w:r>
      <w:r>
        <w:rPr>
          <w:rFonts w:eastAsia="MS Mincho"/>
          <w:sz w:val="22"/>
          <w:szCs w:val="22"/>
          <w:lang w:val="en-US"/>
        </w:rPr>
        <w:t>,</w:t>
      </w:r>
      <w:r w:rsidRPr="009978E3">
        <w:rPr>
          <w:rFonts w:eastAsia="MS Mincho"/>
          <w:sz w:val="22"/>
          <w:szCs w:val="22"/>
          <w:lang w:val="en-US"/>
        </w:rPr>
        <w:t xml:space="preserve"> it is unlikely that it will be affected by human activities, although there is potential for mining of the rare minerals associated with the transform faults. </w:t>
      </w:r>
      <w:r w:rsidRPr="009978E3">
        <w:rPr>
          <w:rFonts w:eastAsia="MS Mincho"/>
          <w:sz w:val="22"/>
          <w:szCs w:val="22"/>
        </w:rPr>
        <w:t xml:space="preserve">In 2010 the </w:t>
      </w:r>
      <w:r w:rsidRPr="009978E3">
        <w:rPr>
          <w:rFonts w:eastAsia="MS Mincho"/>
          <w:sz w:val="22"/>
          <w:szCs w:val="22"/>
          <w:lang w:val="en"/>
        </w:rPr>
        <w:t xml:space="preserve">Environmental Ministers of the OSPAR countries officially designated </w:t>
      </w:r>
      <w:r w:rsidRPr="009978E3">
        <w:rPr>
          <w:rFonts w:eastAsia="MS Mincho"/>
          <w:sz w:val="22"/>
          <w:szCs w:val="22"/>
          <w:lang w:val="en-US"/>
        </w:rPr>
        <w:t>a marine protected area of 145,420 km</w:t>
      </w:r>
      <w:r w:rsidRPr="009978E3">
        <w:rPr>
          <w:rFonts w:eastAsia="MS Mincho"/>
          <w:sz w:val="22"/>
          <w:szCs w:val="22"/>
          <w:vertAlign w:val="superscript"/>
          <w:lang w:val="en-US"/>
        </w:rPr>
        <w:t>2</w:t>
      </w:r>
      <w:r w:rsidRPr="009978E3">
        <w:rPr>
          <w:rFonts w:eastAsia="MS Mincho"/>
          <w:sz w:val="22"/>
          <w:szCs w:val="22"/>
          <w:lang w:val="en-US"/>
        </w:rPr>
        <w:t xml:space="preserve"> in the southern part of the CGFZ </w:t>
      </w:r>
      <w:r w:rsidRPr="009978E3">
        <w:rPr>
          <w:rFonts w:eastAsia="MS Mincho"/>
          <w:sz w:val="22"/>
          <w:szCs w:val="22"/>
          <w:lang w:val="en"/>
        </w:rPr>
        <w:t xml:space="preserve">(Figure 3) </w:t>
      </w:r>
      <w:r w:rsidRPr="009978E3">
        <w:rPr>
          <w:rFonts w:eastAsia="MS Mincho"/>
          <w:sz w:val="22"/>
          <w:szCs w:val="22"/>
        </w:rPr>
        <w:t xml:space="preserve">and adopted “significant and innovative measures to establish and manage the southern part of the originally proposed Charlie-Gibbs Fracture Zone MPA – </w:t>
      </w:r>
      <w:r>
        <w:rPr>
          <w:rFonts w:eastAsia="MS Mincho"/>
          <w:sz w:val="22"/>
          <w:szCs w:val="22"/>
        </w:rPr>
        <w:t>‘</w:t>
      </w:r>
      <w:r w:rsidRPr="009978E3">
        <w:rPr>
          <w:rFonts w:eastAsia="MS Mincho"/>
          <w:sz w:val="22"/>
          <w:szCs w:val="22"/>
        </w:rPr>
        <w:t>Charlie-Gibbs South MPA</w:t>
      </w:r>
      <w:r>
        <w:rPr>
          <w:rFonts w:eastAsia="MS Mincho"/>
          <w:sz w:val="22"/>
          <w:szCs w:val="22"/>
        </w:rPr>
        <w:t>’</w:t>
      </w:r>
      <w:r w:rsidRPr="009978E3">
        <w:rPr>
          <w:rFonts w:eastAsia="MS Mincho"/>
          <w:sz w:val="22"/>
          <w:szCs w:val="22"/>
        </w:rPr>
        <w:t>-, for which the seabed and super adjacent waters are situated in areas beyond national jurisdiction”</w:t>
      </w:r>
      <w:r w:rsidRPr="009978E3">
        <w:rPr>
          <w:rFonts w:eastAsia="MS Mincho"/>
          <w:sz w:val="22"/>
          <w:szCs w:val="22"/>
          <w:lang w:val="en"/>
        </w:rPr>
        <w:t xml:space="preserve"> (OSPAR Commission 2010)</w:t>
      </w:r>
      <w:r w:rsidRPr="009978E3">
        <w:rPr>
          <w:rFonts w:eastAsia="MS Mincho"/>
          <w:sz w:val="22"/>
          <w:szCs w:val="22"/>
        </w:rPr>
        <w:t xml:space="preserve">. That same year (2010) the OSPAR Commission and the International Seabed Authority signed a memorandum of understanding in order to conciliate the development of mineral resources with comprehensive protection of the marine environment. In this MOU, the </w:t>
      </w:r>
      <w:r>
        <w:rPr>
          <w:rFonts w:eastAsia="MS Mincho"/>
          <w:sz w:val="22"/>
          <w:szCs w:val="22"/>
        </w:rPr>
        <w:t>CGFZ</w:t>
      </w:r>
      <w:r w:rsidRPr="009978E3">
        <w:rPr>
          <w:rFonts w:eastAsia="MS Mincho"/>
          <w:sz w:val="22"/>
          <w:szCs w:val="22"/>
        </w:rPr>
        <w:t xml:space="preserve"> is highlighted as an area where consultation between the two had been initiated. In 2012 OSPAR countries </w:t>
      </w:r>
      <w:r w:rsidRPr="002E4B39">
        <w:rPr>
          <w:rFonts w:eastAsia="MS Mincho"/>
          <w:sz w:val="22"/>
          <w:szCs w:val="22"/>
          <w:lang w:val="en-US"/>
        </w:rPr>
        <w:t>designated</w:t>
      </w:r>
      <w:r w:rsidRPr="009978E3">
        <w:rPr>
          <w:rFonts w:eastAsia="MS Mincho"/>
          <w:sz w:val="22"/>
          <w:szCs w:val="22"/>
        </w:rPr>
        <w:t xml:space="preserve"> </w:t>
      </w:r>
      <w:r w:rsidRPr="009978E3">
        <w:rPr>
          <w:rFonts w:eastAsia="MS Mincho"/>
          <w:sz w:val="22"/>
          <w:szCs w:val="22"/>
          <w:lang w:val="en-US"/>
        </w:rPr>
        <w:t>“Charlie-Gibbs North High Seas Marine Protected Area”, an area of high seas of approximately 177,700 km</w:t>
      </w:r>
      <w:r w:rsidRPr="009978E3">
        <w:rPr>
          <w:rFonts w:eastAsia="MS Mincho"/>
          <w:sz w:val="22"/>
          <w:szCs w:val="22"/>
          <w:vertAlign w:val="superscript"/>
          <w:lang w:val="en-US"/>
        </w:rPr>
        <w:t>2</w:t>
      </w:r>
      <w:r w:rsidRPr="009978E3">
        <w:rPr>
          <w:rFonts w:eastAsia="MS Mincho"/>
          <w:sz w:val="22"/>
          <w:szCs w:val="22"/>
          <w:lang w:val="en-US"/>
        </w:rPr>
        <w:t xml:space="preserve"> (OSPAR Commission 2012), complementing the </w:t>
      </w:r>
      <w:r w:rsidRPr="009978E3">
        <w:rPr>
          <w:rFonts w:eastAsia="MS Mincho"/>
          <w:sz w:val="22"/>
          <w:szCs w:val="22"/>
        </w:rPr>
        <w:t>Charlie-Gibbs South MPA established previously (Figure 3).</w:t>
      </w:r>
    </w:p>
    <w:p w14:paraId="1ABD1F3C" w14:textId="77777777" w:rsidR="006B3F46" w:rsidRPr="009978E3" w:rsidRDefault="006B3F46" w:rsidP="002E4B39">
      <w:pPr>
        <w:suppressLineNumbers/>
        <w:spacing w:after="120"/>
        <w:jc w:val="both"/>
        <w:rPr>
          <w:rFonts w:eastAsia="MS Mincho"/>
          <w:sz w:val="22"/>
          <w:szCs w:val="22"/>
          <w:lang w:val="en-US"/>
        </w:rPr>
      </w:pPr>
      <w:r w:rsidRPr="002E4B39">
        <w:rPr>
          <w:rFonts w:eastAsia="MS Mincho"/>
          <w:sz w:val="22"/>
          <w:szCs w:val="22"/>
          <w:lang w:val="en-US"/>
        </w:rPr>
        <w:t>The</w:t>
      </w:r>
      <w:r w:rsidRPr="009978E3">
        <w:rPr>
          <w:rFonts w:eastAsia="MS Mincho"/>
          <w:sz w:val="22"/>
          <w:szCs w:val="22"/>
          <w:lang w:val="en-US"/>
        </w:rPr>
        <w:t xml:space="preserve"> scale of the impact that fishing and other human activities have had on the fauna of the CGFZ is at present unquantified and likely to be minor, although fishing has been reported on the Hectate Seamount (ICES 2007). In 2009 NEAFC closed more than 330,000 km</w:t>
      </w:r>
      <w:r w:rsidRPr="009978E3">
        <w:rPr>
          <w:rFonts w:eastAsia="MS Mincho"/>
          <w:sz w:val="22"/>
          <w:szCs w:val="22"/>
          <w:vertAlign w:val="superscript"/>
          <w:lang w:val="en-US"/>
        </w:rPr>
        <w:t>2</w:t>
      </w:r>
      <w:r w:rsidRPr="009978E3">
        <w:rPr>
          <w:rFonts w:eastAsia="MS Mincho"/>
          <w:sz w:val="22"/>
          <w:szCs w:val="22"/>
          <w:lang w:val="en-US"/>
        </w:rPr>
        <w:t xml:space="preserve"> to bottom fisheries on the </w:t>
      </w:r>
      <w:r>
        <w:rPr>
          <w:rFonts w:eastAsia="MS Mincho"/>
          <w:sz w:val="22"/>
          <w:szCs w:val="22"/>
          <w:lang w:val="en-US"/>
        </w:rPr>
        <w:t>MAR</w:t>
      </w:r>
      <w:r w:rsidRPr="009978E3">
        <w:rPr>
          <w:rFonts w:eastAsia="MS Mincho"/>
          <w:sz w:val="22"/>
          <w:szCs w:val="22"/>
          <w:lang w:val="en-US"/>
        </w:rPr>
        <w:t>, including a large section of the CGFZ</w:t>
      </w:r>
      <w:r>
        <w:rPr>
          <w:rFonts w:eastAsia="MS Mincho"/>
          <w:sz w:val="22"/>
          <w:szCs w:val="22"/>
          <w:lang w:val="en-US"/>
        </w:rPr>
        <w:t>,</w:t>
      </w:r>
      <w:r w:rsidRPr="009978E3">
        <w:rPr>
          <w:rFonts w:eastAsia="MS Mincho"/>
          <w:sz w:val="22"/>
          <w:szCs w:val="22"/>
          <w:lang w:val="en-US"/>
        </w:rPr>
        <w:t xml:space="preserve"> which includes the transform faults and median transverse ridge (</w:t>
      </w:r>
      <w:hyperlink r:id="rId291" w:history="1">
        <w:r w:rsidRPr="009978E3">
          <w:rPr>
            <w:rFonts w:eastAsia="MS Mincho"/>
            <w:color w:val="0000FF"/>
            <w:sz w:val="22"/>
            <w:szCs w:val="22"/>
            <w:u w:val="single"/>
            <w:lang w:val="en-US"/>
          </w:rPr>
          <w:t>http://www.neafc.org/page/closures</w:t>
        </w:r>
      </w:hyperlink>
      <w:r w:rsidRPr="00F66EF7">
        <w:rPr>
          <w:rFonts w:eastAsia="MS Mincho"/>
          <w:sz w:val="22"/>
          <w:szCs w:val="22"/>
          <w:lang w:val="en-US"/>
        </w:rPr>
        <w:t xml:space="preserve">) (Figure 3). </w:t>
      </w:r>
    </w:p>
    <w:p w14:paraId="6DB32AF9"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area no. 15: </w:t>
      </w:r>
      <w:r w:rsidRPr="009978E3">
        <w:rPr>
          <w:rFonts w:eastAsia="MS Mincho"/>
          <w:b/>
          <w:bCs/>
          <w:sz w:val="22"/>
          <w:szCs w:val="22"/>
          <w:lang w:val="en-US"/>
        </w:rPr>
        <w:t xml:space="preserve">Charlie-Gibbs </w:t>
      </w:r>
      <w:r w:rsidRPr="00F66EF7">
        <w:rPr>
          <w:rFonts w:eastAsia="MS Mincho"/>
          <w:b/>
          <w:bCs/>
          <w:sz w:val="22"/>
          <w:szCs w:val="22"/>
          <w:lang w:val="en-US"/>
        </w:rPr>
        <w:t>Fracture Zone</w:t>
      </w:r>
      <w:r>
        <w:rPr>
          <w:rFonts w:eastAsia="MS Mincho"/>
          <w:b/>
          <w:bCs/>
          <w:sz w:val="22"/>
          <w:szCs w:val="22"/>
          <w:lang w:val="en-US"/>
        </w:rPr>
        <w:t>,</w:t>
      </w:r>
      <w:r w:rsidRPr="009978E3">
        <w:rPr>
          <w:rFonts w:eastAsia="MS Mincho"/>
          <w:b/>
          <w:sz w:val="22"/>
          <w:szCs w:val="22"/>
          <w:lang w:val="en-US"/>
        </w:rPr>
        <w:t xml:space="preserve"> against CBD EBSA Criteria </w:t>
      </w:r>
    </w:p>
    <w:p w14:paraId="0D848088"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21277B" w14:paraId="4AD5A508" w14:textId="77777777" w:rsidTr="002E4B39">
        <w:tc>
          <w:tcPr>
            <w:tcW w:w="832" w:type="pct"/>
            <w:vMerge w:val="restart"/>
            <w:shd w:val="clear" w:color="auto" w:fill="auto"/>
          </w:tcPr>
          <w:p w14:paraId="2F438E71"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CBD EBSA Criteria</w:t>
            </w:r>
          </w:p>
          <w:p w14:paraId="4DBC3EE5" w14:textId="77777777" w:rsidR="006B3F46" w:rsidRPr="0021277B" w:rsidRDefault="006B3F46" w:rsidP="00907941">
            <w:pPr>
              <w:widowControl w:val="0"/>
              <w:autoSpaceDE w:val="0"/>
              <w:autoSpaceDN w:val="0"/>
              <w:adjustRightInd w:val="0"/>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32" w:type="pct"/>
            <w:vMerge w:val="restart"/>
            <w:shd w:val="clear" w:color="auto" w:fill="auto"/>
          </w:tcPr>
          <w:p w14:paraId="49C5B9B9"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Description</w:t>
            </w:r>
          </w:p>
          <w:p w14:paraId="4172C294"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6A9F6F78"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01844848"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1E533941" w14:textId="77777777" w:rsidTr="002E4B39">
        <w:tc>
          <w:tcPr>
            <w:tcW w:w="832" w:type="pct"/>
            <w:vMerge/>
            <w:shd w:val="clear" w:color="auto" w:fill="auto"/>
          </w:tcPr>
          <w:p w14:paraId="01290A9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2232" w:type="pct"/>
            <w:vMerge/>
            <w:shd w:val="clear" w:color="auto" w:fill="auto"/>
          </w:tcPr>
          <w:p w14:paraId="1E86EF69"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547" w:type="pct"/>
            <w:gridSpan w:val="2"/>
            <w:shd w:val="clear" w:color="auto" w:fill="auto"/>
          </w:tcPr>
          <w:p w14:paraId="399B525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16B34FC8"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780857D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731F9991"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510FBF05" w14:textId="77777777" w:rsidTr="002E4B39">
        <w:tc>
          <w:tcPr>
            <w:tcW w:w="832" w:type="pct"/>
            <w:shd w:val="clear" w:color="auto" w:fill="auto"/>
          </w:tcPr>
          <w:p w14:paraId="79C8238A"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32" w:type="pct"/>
            <w:shd w:val="clear" w:color="auto" w:fill="auto"/>
          </w:tcPr>
          <w:p w14:paraId="0E08566E"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70E85FA6"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547" w:type="pct"/>
            <w:gridSpan w:val="3"/>
            <w:shd w:val="clear" w:color="auto" w:fill="auto"/>
          </w:tcPr>
          <w:p w14:paraId="1DAA4B2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9120E1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34B2F93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1BE26D5F" w14:textId="77777777" w:rsidTr="00907941">
        <w:tc>
          <w:tcPr>
            <w:tcW w:w="5000" w:type="pct"/>
            <w:gridSpan w:val="11"/>
            <w:shd w:val="clear" w:color="auto" w:fill="auto"/>
          </w:tcPr>
          <w:p w14:paraId="64200F50"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1C4EF38F" w14:textId="1A7151A8" w:rsidR="006B3F46" w:rsidRPr="0021277B" w:rsidRDefault="006B3F46" w:rsidP="002E4B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r w:rsidRPr="0021277B">
              <w:rPr>
                <w:rFonts w:eastAsia="MS Mincho"/>
                <w:bCs/>
                <w:color w:val="000000"/>
                <w:sz w:val="22"/>
                <w:szCs w:val="22"/>
                <w:lang w:val="en-US"/>
              </w:rPr>
              <w:t xml:space="preserve">The Charlie-Gibbs Fracture Zone (CGFZ) is a unique geomorphological feature in the high-sea between the Azores and Iceland. </w:t>
            </w:r>
            <w:r w:rsidRPr="0021277B">
              <w:rPr>
                <w:rFonts w:eastAsia="MS Mincho"/>
                <w:bCs/>
                <w:color w:val="000000"/>
                <w:sz w:val="22"/>
                <w:szCs w:val="22"/>
              </w:rPr>
              <w:t xml:space="preserve">It is </w:t>
            </w:r>
            <w:r w:rsidRPr="0021277B">
              <w:rPr>
                <w:rFonts w:eastAsia="MS Mincho"/>
                <w:sz w:val="22"/>
                <w:szCs w:val="22"/>
                <w:lang w:val="en"/>
              </w:rPr>
              <w:t xml:space="preserve">the </w:t>
            </w:r>
            <w:r w:rsidRPr="0021277B">
              <w:rPr>
                <w:rFonts w:eastAsia="MS Mincho"/>
                <w:bCs/>
                <w:iCs/>
                <w:color w:val="000000"/>
                <w:sz w:val="22"/>
                <w:szCs w:val="22"/>
              </w:rPr>
              <w:t>only</w:t>
            </w:r>
            <w:r w:rsidRPr="0021277B">
              <w:rPr>
                <w:rFonts w:eastAsia="MS Mincho"/>
                <w:bCs/>
                <w:color w:val="000000"/>
                <w:sz w:val="22"/>
                <w:szCs w:val="22"/>
              </w:rPr>
              <w:t xml:space="preserve"> fracture zone with an offset of its size (350 km) between Europe and North America and </w:t>
            </w:r>
            <w:r w:rsidRPr="0021277B">
              <w:rPr>
                <w:rFonts w:eastAsia="MS Mincho"/>
                <w:sz w:val="22"/>
                <w:szCs w:val="22"/>
                <w:lang w:eastAsia="en-GB"/>
              </w:rPr>
              <w:t>opens the deepest connection between the northwest and northeast Atlantic</w:t>
            </w:r>
            <w:r w:rsidRPr="0021277B">
              <w:rPr>
                <w:rFonts w:eastAsia="MS Mincho"/>
                <w:bCs/>
                <w:color w:val="000000"/>
                <w:sz w:val="22"/>
                <w:szCs w:val="22"/>
              </w:rPr>
              <w:t>. The fact that it is a double transform fault is an unusual feature</w:t>
            </w:r>
            <w:r w:rsidRPr="0021277B">
              <w:rPr>
                <w:rFonts w:eastAsia="MS Mincho"/>
                <w:sz w:val="22"/>
                <w:szCs w:val="22"/>
                <w:lang w:eastAsia="en-GB"/>
              </w:rPr>
              <w:t xml:space="preserve"> (Fleming </w:t>
            </w:r>
            <w:r w:rsidRPr="0006066A">
              <w:rPr>
                <w:rFonts w:eastAsia="MS Mincho"/>
                <w:i/>
                <w:sz w:val="22"/>
                <w:szCs w:val="22"/>
                <w:lang w:eastAsia="en-GB"/>
              </w:rPr>
              <w:t>et al</w:t>
            </w:r>
            <w:r w:rsidRPr="0021277B">
              <w:rPr>
                <w:rFonts w:eastAsia="MS Mincho"/>
                <w:i/>
                <w:sz w:val="22"/>
                <w:szCs w:val="22"/>
                <w:lang w:eastAsia="en-GB"/>
              </w:rPr>
              <w:t>.</w:t>
            </w:r>
            <w:r w:rsidRPr="0021277B">
              <w:rPr>
                <w:rFonts w:eastAsia="MS Mincho"/>
                <w:sz w:val="22"/>
                <w:szCs w:val="22"/>
                <w:lang w:eastAsia="en-GB"/>
              </w:rPr>
              <w:t xml:space="preserve"> 1970).</w:t>
            </w:r>
          </w:p>
        </w:tc>
      </w:tr>
      <w:tr w:rsidR="006B3F46" w:rsidRPr="0021277B" w14:paraId="0746F647" w14:textId="77777777" w:rsidTr="002E4B39">
        <w:tc>
          <w:tcPr>
            <w:tcW w:w="832" w:type="pct"/>
            <w:shd w:val="clear" w:color="auto" w:fill="auto"/>
          </w:tcPr>
          <w:p w14:paraId="588AA6B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32" w:type="pct"/>
            <w:shd w:val="clear" w:color="auto" w:fill="auto"/>
          </w:tcPr>
          <w:p w14:paraId="5A2B503D"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tcPr>
          <w:p w14:paraId="4AB21B1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10" w:type="pct"/>
            <w:gridSpan w:val="2"/>
            <w:shd w:val="clear" w:color="auto" w:fill="auto"/>
          </w:tcPr>
          <w:p w14:paraId="2DC6F10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419EDB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31C2551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2956A90C" w14:textId="77777777" w:rsidTr="00907941">
        <w:tc>
          <w:tcPr>
            <w:tcW w:w="5000" w:type="pct"/>
            <w:gridSpan w:val="11"/>
            <w:shd w:val="clear" w:color="auto" w:fill="auto"/>
          </w:tcPr>
          <w:p w14:paraId="4862A7A2"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3C9488F3" w14:textId="0856577A" w:rsidR="006B3F46" w:rsidRPr="0021277B" w:rsidRDefault="006B3F46" w:rsidP="002E4B39">
            <w:pPr>
              <w:widowControl w:val="0"/>
              <w:autoSpaceDE w:val="0"/>
              <w:autoSpaceDN w:val="0"/>
              <w:adjustRightInd w:val="0"/>
              <w:jc w:val="both"/>
              <w:rPr>
                <w:rFonts w:eastAsia="MS Mincho"/>
                <w:b/>
                <w:bCs/>
                <w:color w:val="000000"/>
                <w:sz w:val="22"/>
                <w:szCs w:val="22"/>
                <w:lang w:val="en-US"/>
              </w:rPr>
            </w:pPr>
            <w:r w:rsidRPr="0021277B">
              <w:rPr>
                <w:rFonts w:eastAsia="MS Mincho"/>
                <w:bCs/>
                <w:color w:val="000000"/>
                <w:sz w:val="22"/>
                <w:szCs w:val="22"/>
                <w:lang w:val="en-US"/>
              </w:rPr>
              <w:t>Data deficient</w:t>
            </w:r>
            <w:r w:rsidRPr="0021277B">
              <w:rPr>
                <w:sz w:val="22"/>
                <w:szCs w:val="22"/>
                <w:lang w:val="en-US"/>
              </w:rPr>
              <w:t>. Not enough information is known about this area to rank this criterion. Although the northern MAR is considered to be a major reproduction area of roundnose grenadier (</w:t>
            </w:r>
            <w:r w:rsidRPr="0021277B">
              <w:rPr>
                <w:i/>
                <w:iCs/>
                <w:sz w:val="22"/>
                <w:szCs w:val="22"/>
                <w:lang w:val="en-US"/>
              </w:rPr>
              <w:t>Coryphaenoides rupestris</w:t>
            </w:r>
            <w:r w:rsidRPr="0021277B">
              <w:rPr>
                <w:sz w:val="22"/>
                <w:szCs w:val="22"/>
                <w:lang w:val="en-US"/>
              </w:rPr>
              <w:t xml:space="preserve">, see </w:t>
            </w:r>
            <w:r>
              <w:rPr>
                <w:sz w:val="22"/>
                <w:szCs w:val="22"/>
                <w:lang w:val="en-US"/>
              </w:rPr>
              <w:t xml:space="preserve">e.g., </w:t>
            </w:r>
            <w:r w:rsidRPr="0021277B">
              <w:rPr>
                <w:sz w:val="22"/>
                <w:szCs w:val="22"/>
                <w:lang w:val="en-US"/>
              </w:rPr>
              <w:t xml:space="preserve">Vinnichenco &amp; Khlivnoy 2004), and may be crucial for the reproduction of bathypelagic fish (Sutton </w:t>
            </w:r>
            <w:r w:rsidRPr="0006066A">
              <w:rPr>
                <w:i/>
                <w:sz w:val="22"/>
                <w:szCs w:val="22"/>
                <w:lang w:val="en-US"/>
              </w:rPr>
              <w:t>et al</w:t>
            </w:r>
            <w:r w:rsidRPr="0021277B">
              <w:rPr>
                <w:sz w:val="22"/>
                <w:szCs w:val="22"/>
                <w:lang w:val="en-US"/>
              </w:rPr>
              <w:t>. 2008). In addition</w:t>
            </w:r>
            <w:r>
              <w:rPr>
                <w:sz w:val="22"/>
                <w:szCs w:val="22"/>
                <w:lang w:val="en-US"/>
              </w:rPr>
              <w:t>,</w:t>
            </w:r>
            <w:r w:rsidRPr="0021277B">
              <w:rPr>
                <w:sz w:val="22"/>
                <w:szCs w:val="22"/>
                <w:lang w:val="en-US"/>
              </w:rPr>
              <w:t xml:space="preserve"> recent unpublished observations have been made of a possible a skate nursery at 2000m.</w:t>
            </w:r>
          </w:p>
        </w:tc>
      </w:tr>
      <w:tr w:rsidR="006B3F46" w:rsidRPr="0021277B" w14:paraId="54A6DC05" w14:textId="77777777" w:rsidTr="002E4B39">
        <w:tc>
          <w:tcPr>
            <w:tcW w:w="832" w:type="pct"/>
            <w:shd w:val="clear" w:color="auto" w:fill="auto"/>
          </w:tcPr>
          <w:p w14:paraId="7C9FF1DF"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32" w:type="pct"/>
            <w:shd w:val="clear" w:color="auto" w:fill="auto"/>
          </w:tcPr>
          <w:p w14:paraId="1F0EE0EA"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18D72FE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1254671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B029D9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3E6570D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3E65C7AE" w14:textId="77777777" w:rsidTr="00907941">
        <w:tc>
          <w:tcPr>
            <w:tcW w:w="5000" w:type="pct"/>
            <w:gridSpan w:val="11"/>
            <w:shd w:val="clear" w:color="auto" w:fill="auto"/>
          </w:tcPr>
          <w:p w14:paraId="20538595"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3F386FD5" w14:textId="77777777" w:rsidR="006B3F46" w:rsidRPr="0021277B"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color w:val="000000"/>
                <w:sz w:val="22"/>
                <w:szCs w:val="22"/>
                <w:lang w:val="en-US"/>
              </w:rPr>
            </w:pPr>
            <w:r w:rsidRPr="0021277B">
              <w:rPr>
                <w:sz w:val="22"/>
                <w:szCs w:val="22"/>
                <w:lang w:val="en-US"/>
              </w:rPr>
              <w:t>There is evidence for the presence of several species/habitats that are considered to</w:t>
            </w:r>
            <w:r>
              <w:rPr>
                <w:sz w:val="22"/>
                <w:szCs w:val="22"/>
                <w:lang w:val="en-US"/>
              </w:rPr>
              <w:t xml:space="preserve"> be</w:t>
            </w:r>
            <w:r w:rsidRPr="0021277B">
              <w:rPr>
                <w:sz w:val="22"/>
                <w:szCs w:val="22"/>
                <w:lang w:val="en-US"/>
              </w:rPr>
              <w:t xml:space="preserve"> ‘Threatened and/or declining’ by OSPAR. These include: Orange roughy (</w:t>
            </w:r>
            <w:r w:rsidRPr="0021277B">
              <w:rPr>
                <w:i/>
                <w:iCs/>
                <w:sz w:val="22"/>
                <w:szCs w:val="22"/>
                <w:lang w:val="en-US"/>
              </w:rPr>
              <w:t>H. atlanticus</w:t>
            </w:r>
            <w:r w:rsidRPr="0021277B">
              <w:rPr>
                <w:sz w:val="22"/>
                <w:szCs w:val="22"/>
                <w:lang w:val="en-US"/>
              </w:rPr>
              <w:t xml:space="preserve">); </w:t>
            </w:r>
            <w:r>
              <w:rPr>
                <w:sz w:val="22"/>
                <w:szCs w:val="22"/>
                <w:lang w:val="en-US"/>
              </w:rPr>
              <w:t>d</w:t>
            </w:r>
            <w:r w:rsidRPr="0021277B">
              <w:rPr>
                <w:sz w:val="22"/>
                <w:szCs w:val="22"/>
                <w:lang w:val="en-US"/>
              </w:rPr>
              <w:t xml:space="preserve">eep sea sponge aggregations (Alt </w:t>
            </w:r>
            <w:r w:rsidRPr="0006066A">
              <w:rPr>
                <w:i/>
                <w:sz w:val="22"/>
                <w:szCs w:val="22"/>
                <w:lang w:val="en-US"/>
              </w:rPr>
              <w:t>et al</w:t>
            </w:r>
            <w:r w:rsidRPr="0021277B">
              <w:rPr>
                <w:sz w:val="22"/>
                <w:szCs w:val="22"/>
                <w:lang w:val="en-US"/>
              </w:rPr>
              <w:t xml:space="preserve">., 2019); </w:t>
            </w:r>
            <w:r w:rsidRPr="0021277B">
              <w:rPr>
                <w:i/>
                <w:iCs/>
                <w:sz w:val="22"/>
                <w:szCs w:val="22"/>
                <w:lang w:val="en-US"/>
              </w:rPr>
              <w:t>Lophelia pertusa</w:t>
            </w:r>
            <w:r w:rsidRPr="0021277B">
              <w:rPr>
                <w:sz w:val="22"/>
                <w:szCs w:val="22"/>
                <w:lang w:val="en-US"/>
              </w:rPr>
              <w:t xml:space="preserve"> reefs (Mortensen </w:t>
            </w:r>
            <w:r w:rsidRPr="0006066A">
              <w:rPr>
                <w:i/>
                <w:sz w:val="22"/>
                <w:szCs w:val="22"/>
                <w:lang w:val="en-US"/>
              </w:rPr>
              <w:t>et al</w:t>
            </w:r>
            <w:r w:rsidRPr="0021277B">
              <w:rPr>
                <w:sz w:val="22"/>
                <w:szCs w:val="22"/>
                <w:lang w:val="en-US"/>
              </w:rPr>
              <w:t xml:space="preserve">., 2008); </w:t>
            </w:r>
            <w:r>
              <w:rPr>
                <w:sz w:val="22"/>
                <w:szCs w:val="22"/>
                <w:lang w:val="en-US"/>
              </w:rPr>
              <w:t>s</w:t>
            </w:r>
            <w:r w:rsidRPr="0021277B">
              <w:rPr>
                <w:sz w:val="22"/>
                <w:szCs w:val="22"/>
                <w:lang w:val="en-US"/>
              </w:rPr>
              <w:t>eamount communities, although more specific data is needed for the Fracture Zone proper. The area is also very important for combined aggregations of seabirds (Boertmann, 2011).</w:t>
            </w:r>
          </w:p>
          <w:p w14:paraId="73271BE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2E64FC0B" w14:textId="77777777" w:rsidTr="002E4B39">
        <w:tc>
          <w:tcPr>
            <w:tcW w:w="832" w:type="pct"/>
            <w:shd w:val="clear" w:color="auto" w:fill="auto"/>
          </w:tcPr>
          <w:p w14:paraId="61AA2D8F"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32" w:type="pct"/>
            <w:shd w:val="clear" w:color="auto" w:fill="auto"/>
          </w:tcPr>
          <w:p w14:paraId="58A2AE80"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740D3F6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3B459F7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790384A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1704CE24"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5B2B201E" w14:textId="77777777" w:rsidTr="00907941">
        <w:tc>
          <w:tcPr>
            <w:tcW w:w="5000" w:type="pct"/>
            <w:gridSpan w:val="11"/>
            <w:shd w:val="clear" w:color="auto" w:fill="auto"/>
          </w:tcPr>
          <w:p w14:paraId="7325F7FA"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12A724B0" w14:textId="77777777" w:rsidR="006B3F46" w:rsidRPr="0021277B" w:rsidRDefault="006B3F46" w:rsidP="002E4B39">
            <w:pPr>
              <w:suppressLineNumbers/>
              <w:spacing w:after="120"/>
              <w:jc w:val="both"/>
              <w:rPr>
                <w:rFonts w:eastAsia="MS Mincho"/>
                <w:b/>
                <w:bCs/>
                <w:color w:val="000000"/>
                <w:sz w:val="22"/>
                <w:szCs w:val="22"/>
                <w:lang w:val="en-US"/>
              </w:rPr>
            </w:pPr>
            <w:r w:rsidRPr="0021277B">
              <w:rPr>
                <w:sz w:val="22"/>
                <w:szCs w:val="22"/>
                <w:lang w:val="en-US"/>
              </w:rPr>
              <w:t xml:space="preserve">This section of the </w:t>
            </w:r>
            <w:r>
              <w:rPr>
                <w:sz w:val="22"/>
                <w:szCs w:val="22"/>
                <w:lang w:val="en-US"/>
              </w:rPr>
              <w:t>MAR,</w:t>
            </w:r>
            <w:r w:rsidRPr="0021277B">
              <w:rPr>
                <w:sz w:val="22"/>
                <w:szCs w:val="22"/>
                <w:lang w:val="en-US"/>
              </w:rPr>
              <w:t xml:space="preserve"> through its associated substrate, current and feeding conditions, provides habitat to </w:t>
            </w:r>
            <w:r>
              <w:rPr>
                <w:sz w:val="22"/>
                <w:szCs w:val="22"/>
                <w:lang w:val="en-US"/>
              </w:rPr>
              <w:t>some</w:t>
            </w:r>
            <w:r w:rsidRPr="0021277B">
              <w:rPr>
                <w:sz w:val="22"/>
                <w:szCs w:val="22"/>
                <w:lang w:val="en-US"/>
              </w:rPr>
              <w:t xml:space="preserve"> particularly sensitive/vulnerable species and communities both on soft and hard substrate and in the water column. In particular</w:t>
            </w:r>
            <w:r>
              <w:rPr>
                <w:sz w:val="22"/>
                <w:szCs w:val="22"/>
                <w:lang w:val="en-US"/>
              </w:rPr>
              <w:t>,</w:t>
            </w:r>
            <w:r w:rsidRPr="0021277B">
              <w:rPr>
                <w:sz w:val="22"/>
                <w:szCs w:val="22"/>
                <w:lang w:val="en-US"/>
              </w:rPr>
              <w:t xml:space="preserve"> deep-water species such as orange roughy (</w:t>
            </w:r>
            <w:r w:rsidRPr="0021277B">
              <w:rPr>
                <w:i/>
                <w:iCs/>
                <w:sz w:val="22"/>
                <w:szCs w:val="22"/>
                <w:lang w:val="en-US"/>
              </w:rPr>
              <w:t>H. atlanticus</w:t>
            </w:r>
            <w:r w:rsidRPr="0021277B">
              <w:rPr>
                <w:sz w:val="22"/>
                <w:szCs w:val="22"/>
                <w:lang w:val="en-US"/>
              </w:rPr>
              <w:t xml:space="preserve">), and biogenic habitats such as formed by cold-water corals and sponges are considered vulnerable, as often fragile, and slow (if at all) to recover due to slow growth, </w:t>
            </w:r>
            <w:r>
              <w:rPr>
                <w:sz w:val="22"/>
                <w:szCs w:val="22"/>
                <w:lang w:val="en-US"/>
              </w:rPr>
              <w:t>delayed</w:t>
            </w:r>
            <w:r w:rsidRPr="0021277B">
              <w:rPr>
                <w:sz w:val="22"/>
                <w:szCs w:val="22"/>
                <w:lang w:val="en-US"/>
              </w:rPr>
              <w:t xml:space="preserve"> maturity, irregular reproduction and high generation length, as well as community characteristics of high diversity at low biomass. This is an adaptation to stable, low food environments. Propagation and dispersal of larvae </w:t>
            </w:r>
            <w:r>
              <w:rPr>
                <w:sz w:val="22"/>
                <w:szCs w:val="22"/>
                <w:lang w:val="en-US"/>
              </w:rPr>
              <w:t xml:space="preserve">are </w:t>
            </w:r>
            <w:r w:rsidRPr="0021277B">
              <w:rPr>
                <w:sz w:val="22"/>
                <w:szCs w:val="22"/>
                <w:lang w:val="en-US"/>
              </w:rPr>
              <w:t>largely unknown and therefore little can be said about a possible recovery of neither invertebrates nor fishes.</w:t>
            </w:r>
          </w:p>
          <w:p w14:paraId="78AE8B83" w14:textId="736694B2" w:rsidR="006B3F46" w:rsidRPr="0021277B" w:rsidRDefault="006B3F46" w:rsidP="002E4B39">
            <w:pPr>
              <w:suppressLineNumbers/>
              <w:spacing w:after="120"/>
              <w:jc w:val="both"/>
              <w:rPr>
                <w:rFonts w:eastAsia="MS Mincho"/>
                <w:b/>
                <w:bCs/>
                <w:color w:val="000000"/>
                <w:sz w:val="22"/>
                <w:szCs w:val="22"/>
                <w:lang w:val="en-US"/>
              </w:rPr>
            </w:pPr>
            <w:r w:rsidRPr="0021277B">
              <w:rPr>
                <w:rFonts w:eastAsia="MS Mincho"/>
                <w:sz w:val="22"/>
                <w:szCs w:val="22"/>
                <w:lang w:val="en-US"/>
              </w:rPr>
              <w:t xml:space="preserve">Glass sponges were observed on hard substrates on the fault wall at depths between </w:t>
            </w:r>
            <w:r w:rsidRPr="0021277B">
              <w:rPr>
                <w:sz w:val="22"/>
                <w:szCs w:val="22"/>
              </w:rPr>
              <w:t>1700 and 2500 m (Gebruk and Krylova 2013)</w:t>
            </w:r>
            <w:r w:rsidRPr="0021277B">
              <w:rPr>
                <w:rFonts w:eastAsia="MS Mincho"/>
                <w:sz w:val="22"/>
                <w:szCs w:val="22"/>
                <w:lang w:val="en-US"/>
              </w:rPr>
              <w:t>. These taxa are fragile</w:t>
            </w:r>
            <w:r>
              <w:rPr>
                <w:rFonts w:eastAsia="MS Mincho"/>
                <w:sz w:val="22"/>
                <w:szCs w:val="22"/>
                <w:lang w:val="en-US"/>
              </w:rPr>
              <w:t xml:space="preserve"> and</w:t>
            </w:r>
            <w:r w:rsidRPr="0021277B">
              <w:rPr>
                <w:rFonts w:eastAsia="MS Mincho"/>
                <w:sz w:val="22"/>
                <w:szCs w:val="22"/>
                <w:lang w:val="en-US"/>
              </w:rPr>
              <w:t xml:space="preserve"> slow </w:t>
            </w:r>
            <w:r>
              <w:rPr>
                <w:rFonts w:eastAsia="MS Mincho"/>
                <w:sz w:val="22"/>
                <w:szCs w:val="22"/>
                <w:lang w:val="en-US"/>
              </w:rPr>
              <w:t xml:space="preserve">to </w:t>
            </w:r>
            <w:r w:rsidRPr="0021277B">
              <w:rPr>
                <w:rFonts w:eastAsia="MS Mincho"/>
                <w:sz w:val="22"/>
                <w:szCs w:val="22"/>
                <w:lang w:val="en-US"/>
              </w:rPr>
              <w:t>recover and highly susceptible to degradation or depletion by human activities</w:t>
            </w:r>
            <w:r>
              <w:rPr>
                <w:rFonts w:eastAsia="MS Mincho"/>
                <w:sz w:val="22"/>
                <w:szCs w:val="22"/>
                <w:lang w:val="en-US"/>
              </w:rPr>
              <w:t>,</w:t>
            </w:r>
            <w:r w:rsidRPr="0021277B">
              <w:rPr>
                <w:rFonts w:eastAsia="MS Mincho"/>
                <w:sz w:val="22"/>
                <w:szCs w:val="22"/>
                <w:lang w:val="en-US"/>
              </w:rPr>
              <w:t xml:space="preserve"> including contact with bottom</w:t>
            </w:r>
            <w:r>
              <w:rPr>
                <w:rFonts w:eastAsia="MS Mincho"/>
                <w:sz w:val="22"/>
                <w:szCs w:val="22"/>
                <w:lang w:val="en-US"/>
              </w:rPr>
              <w:t>-</w:t>
            </w:r>
            <w:r w:rsidRPr="0021277B">
              <w:rPr>
                <w:rFonts w:eastAsia="MS Mincho"/>
                <w:sz w:val="22"/>
                <w:szCs w:val="22"/>
                <w:lang w:val="en-US"/>
              </w:rPr>
              <w:t>fishing gear (longlines, pots, trawls). Inferring from the frequently documented presence of such species and communities in structurally complex deep-sea habitats elsewhere, further sampling is likely to document additional presence of sensitive habitats, biotopes, or species in the CGFZ fractures.</w:t>
            </w:r>
          </w:p>
        </w:tc>
      </w:tr>
      <w:tr w:rsidR="006B3F46" w:rsidRPr="0021277B" w14:paraId="5EB4EF0F" w14:textId="77777777" w:rsidTr="002E4B39">
        <w:tc>
          <w:tcPr>
            <w:tcW w:w="832" w:type="pct"/>
            <w:shd w:val="clear" w:color="auto" w:fill="auto"/>
          </w:tcPr>
          <w:p w14:paraId="207BFEB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32" w:type="pct"/>
            <w:shd w:val="clear" w:color="auto" w:fill="auto"/>
          </w:tcPr>
          <w:p w14:paraId="4FE831FC" w14:textId="77777777" w:rsidR="006B3F46" w:rsidRPr="0021277B" w:rsidRDefault="006B3F46" w:rsidP="00907941">
            <w:pPr>
              <w:widowControl w:val="0"/>
              <w:autoSpaceDE w:val="0"/>
              <w:autoSpaceDN w:val="0"/>
              <w:adjustRightInd w:val="0"/>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19D27986"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10" w:type="pct"/>
            <w:gridSpan w:val="2"/>
            <w:shd w:val="clear" w:color="auto" w:fill="auto"/>
          </w:tcPr>
          <w:p w14:paraId="3A8CCF8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701B98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2836F07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67DB87FF" w14:textId="77777777" w:rsidTr="00907941">
        <w:tc>
          <w:tcPr>
            <w:tcW w:w="5000" w:type="pct"/>
            <w:gridSpan w:val="11"/>
            <w:shd w:val="clear" w:color="auto" w:fill="auto"/>
          </w:tcPr>
          <w:p w14:paraId="5E43F1C2"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2DE5E6FF" w14:textId="41636567" w:rsidR="006B3F46" w:rsidRPr="0021277B" w:rsidRDefault="006B3F46" w:rsidP="002E4B39">
            <w:pPr>
              <w:suppressLineNumbers/>
              <w:spacing w:after="120"/>
              <w:jc w:val="both"/>
              <w:rPr>
                <w:rFonts w:eastAsia="MS Mincho"/>
                <w:b/>
                <w:bCs/>
                <w:color w:val="000000"/>
                <w:sz w:val="22"/>
                <w:szCs w:val="22"/>
                <w:lang w:val="en-US"/>
              </w:rPr>
            </w:pPr>
            <w:r w:rsidRPr="0021277B">
              <w:rPr>
                <w:rFonts w:eastAsia="MS Mincho"/>
                <w:bCs/>
                <w:color w:val="000000"/>
                <w:sz w:val="22"/>
                <w:szCs w:val="22"/>
                <w:lang w:val="en-US"/>
              </w:rPr>
              <w:t xml:space="preserve">There is no evidence that the CGFZ contains comparatively higher natural productivity. The strong current flows through the fractures and complex three-dimensional habitats create conditions that may enhance productivity, but at present there are insufficient data to rank this criterion. </w:t>
            </w:r>
            <w:r w:rsidRPr="0021277B">
              <w:rPr>
                <w:sz w:val="22"/>
                <w:szCs w:val="22"/>
                <w:lang w:val="en-US"/>
              </w:rPr>
              <w:t xml:space="preserve">The deep-pelagic ecosystem over the MAR is different from </w:t>
            </w:r>
            <w:r>
              <w:rPr>
                <w:sz w:val="22"/>
                <w:szCs w:val="22"/>
                <w:lang w:val="en-US"/>
              </w:rPr>
              <w:t>“</w:t>
            </w:r>
            <w:r w:rsidRPr="0021277B">
              <w:rPr>
                <w:sz w:val="22"/>
                <w:szCs w:val="22"/>
                <w:lang w:val="en-US"/>
              </w:rPr>
              <w:t>typical</w:t>
            </w:r>
            <w:r>
              <w:rPr>
                <w:sz w:val="22"/>
                <w:szCs w:val="22"/>
                <w:lang w:val="en-US"/>
              </w:rPr>
              <w:t>”</w:t>
            </w:r>
            <w:r w:rsidRPr="0021277B">
              <w:rPr>
                <w:sz w:val="22"/>
                <w:szCs w:val="22"/>
                <w:lang w:val="en-US"/>
              </w:rPr>
              <w:t xml:space="preserve"> open ocean regimes, at least in respect to fishes, in that there is a dramatic increase in fish biomass in the benthic boundary layer (0-200 m above the seafloor) not seen in other areas (Sutton </w:t>
            </w:r>
            <w:r w:rsidRPr="0006066A">
              <w:rPr>
                <w:i/>
                <w:sz w:val="22"/>
                <w:szCs w:val="22"/>
                <w:lang w:val="en-US"/>
              </w:rPr>
              <w:t>et al</w:t>
            </w:r>
            <w:r w:rsidRPr="0021277B">
              <w:rPr>
                <w:sz w:val="22"/>
                <w:szCs w:val="22"/>
                <w:lang w:val="en-US"/>
              </w:rPr>
              <w:t xml:space="preserve">., 2008). The reason for this difference is thought to be the enlarged bathypelagic food sources that are available in the shallower depths of the Ridge as compared to </w:t>
            </w:r>
            <w:r w:rsidRPr="002E4B39">
              <w:rPr>
                <w:rFonts w:eastAsia="MS Mincho"/>
                <w:sz w:val="22"/>
                <w:szCs w:val="22"/>
                <w:lang w:val="en-US"/>
              </w:rPr>
              <w:t>the</w:t>
            </w:r>
            <w:r w:rsidRPr="0021277B">
              <w:rPr>
                <w:sz w:val="22"/>
                <w:szCs w:val="22"/>
                <w:lang w:val="en-US"/>
              </w:rPr>
              <w:t xml:space="preserve"> abyssal plains (Sutton </w:t>
            </w:r>
            <w:r w:rsidRPr="0006066A">
              <w:rPr>
                <w:i/>
                <w:sz w:val="22"/>
                <w:szCs w:val="22"/>
                <w:lang w:val="en-US"/>
              </w:rPr>
              <w:t>et al</w:t>
            </w:r>
            <w:r w:rsidRPr="0021277B">
              <w:rPr>
                <w:sz w:val="22"/>
                <w:szCs w:val="22"/>
                <w:lang w:val="en-US"/>
              </w:rPr>
              <w:t>., 2008).</w:t>
            </w:r>
          </w:p>
        </w:tc>
      </w:tr>
      <w:tr w:rsidR="006B3F46" w:rsidRPr="0021277B" w14:paraId="7C20E5B8" w14:textId="77777777" w:rsidTr="002E4B39">
        <w:tc>
          <w:tcPr>
            <w:tcW w:w="832" w:type="pct"/>
            <w:shd w:val="clear" w:color="auto" w:fill="auto"/>
          </w:tcPr>
          <w:p w14:paraId="6BFD26CA"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32" w:type="pct"/>
            <w:shd w:val="clear" w:color="auto" w:fill="auto"/>
          </w:tcPr>
          <w:p w14:paraId="69C5F576"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6A66A73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7F2A437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136B45E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1565C41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107C569E" w14:textId="77777777" w:rsidTr="00907941">
        <w:tc>
          <w:tcPr>
            <w:tcW w:w="5000" w:type="pct"/>
            <w:gridSpan w:val="11"/>
            <w:shd w:val="clear" w:color="auto" w:fill="auto"/>
          </w:tcPr>
          <w:p w14:paraId="1519C09A"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17FE980F" w14:textId="77777777" w:rsidR="006B3F46" w:rsidRPr="0021277B" w:rsidRDefault="006B3F46" w:rsidP="002E4B39">
            <w:pPr>
              <w:suppressLineNumbers/>
              <w:spacing w:after="120"/>
              <w:jc w:val="both"/>
              <w:rPr>
                <w:sz w:val="22"/>
                <w:szCs w:val="22"/>
                <w:lang w:val="en-US"/>
              </w:rPr>
            </w:pPr>
            <w:r w:rsidRPr="0021277B">
              <w:rPr>
                <w:sz w:val="22"/>
                <w:szCs w:val="22"/>
                <w:lang w:val="en-US"/>
              </w:rPr>
              <w:t xml:space="preserve">The MAR-ECO and ECOMAR expeditions have reported a diverse and extensive range of taxonomic information regarding the benthos of the </w:t>
            </w:r>
            <w:r>
              <w:rPr>
                <w:sz w:val="22"/>
                <w:szCs w:val="22"/>
                <w:lang w:val="en-US"/>
              </w:rPr>
              <w:t>MAR</w:t>
            </w:r>
            <w:r w:rsidRPr="0021277B">
              <w:rPr>
                <w:sz w:val="22"/>
                <w:szCs w:val="22"/>
                <w:lang w:val="en-US"/>
              </w:rPr>
              <w:t xml:space="preserve"> in general (Bergstad &amp; Gebruk, 2008; Bell </w:t>
            </w:r>
            <w:r w:rsidRPr="0006066A">
              <w:rPr>
                <w:i/>
                <w:sz w:val="22"/>
                <w:szCs w:val="22"/>
                <w:lang w:val="en-US"/>
              </w:rPr>
              <w:t>et al</w:t>
            </w:r>
            <w:r w:rsidRPr="0021277B">
              <w:rPr>
                <w:sz w:val="22"/>
                <w:szCs w:val="22"/>
                <w:lang w:val="en-US"/>
              </w:rPr>
              <w:t xml:space="preserve">., 2016; Alt </w:t>
            </w:r>
            <w:r w:rsidRPr="0006066A">
              <w:rPr>
                <w:i/>
                <w:sz w:val="22"/>
                <w:szCs w:val="22"/>
                <w:lang w:val="en-US"/>
              </w:rPr>
              <w:t>et al</w:t>
            </w:r>
            <w:r w:rsidRPr="0021277B">
              <w:rPr>
                <w:sz w:val="22"/>
                <w:szCs w:val="22"/>
                <w:lang w:val="en-US"/>
              </w:rPr>
              <w:t>., 2019). In these expeditions</w:t>
            </w:r>
            <w:r>
              <w:rPr>
                <w:sz w:val="22"/>
                <w:szCs w:val="22"/>
                <w:lang w:val="en-US"/>
              </w:rPr>
              <w:t>,</w:t>
            </w:r>
            <w:r w:rsidRPr="0021277B">
              <w:rPr>
                <w:sz w:val="22"/>
                <w:szCs w:val="22"/>
                <w:lang w:val="en-US"/>
              </w:rPr>
              <w:t xml:space="preserve"> taxa have been found that are new to science</w:t>
            </w:r>
            <w:r>
              <w:rPr>
                <w:sz w:val="22"/>
                <w:szCs w:val="22"/>
                <w:lang w:val="en-US"/>
              </w:rPr>
              <w:t xml:space="preserve"> and</w:t>
            </w:r>
            <w:r w:rsidRPr="0021277B">
              <w:rPr>
                <w:sz w:val="22"/>
                <w:szCs w:val="22"/>
                <w:lang w:val="en-US"/>
              </w:rPr>
              <w:t xml:space="preserve"> new to the geographic region and others that have contributed to taxonomic re-descriptions and revisions of known species (Gebruk </w:t>
            </w:r>
            <w:r w:rsidRPr="0006066A">
              <w:rPr>
                <w:i/>
                <w:sz w:val="22"/>
                <w:szCs w:val="22"/>
                <w:lang w:val="en-US"/>
              </w:rPr>
              <w:t>et al</w:t>
            </w:r>
            <w:r w:rsidRPr="0021277B">
              <w:rPr>
                <w:sz w:val="22"/>
                <w:szCs w:val="22"/>
                <w:lang w:val="en-US"/>
              </w:rPr>
              <w:t xml:space="preserve">., 2008). For example, the hexactinellid fauna of the northern </w:t>
            </w:r>
            <w:r>
              <w:rPr>
                <w:sz w:val="22"/>
                <w:szCs w:val="22"/>
                <w:lang w:val="en-US"/>
              </w:rPr>
              <w:t>MAR</w:t>
            </w:r>
            <w:r w:rsidRPr="0021277B">
              <w:rPr>
                <w:sz w:val="22"/>
                <w:szCs w:val="22"/>
                <w:lang w:val="en-US"/>
              </w:rPr>
              <w:t xml:space="preserve"> has been poorly investigated in the past. Recent work has shown that it is relatively rich, with </w:t>
            </w:r>
            <w:r>
              <w:rPr>
                <w:sz w:val="22"/>
                <w:szCs w:val="22"/>
                <w:lang w:val="en-US"/>
              </w:rPr>
              <w:t>14</w:t>
            </w:r>
            <w:r w:rsidRPr="0021277B">
              <w:rPr>
                <w:sz w:val="22"/>
                <w:szCs w:val="22"/>
                <w:lang w:val="en-US"/>
              </w:rPr>
              <w:t xml:space="preserve"> new species described in one report and similarities being found between the fauna in the </w:t>
            </w:r>
            <w:r>
              <w:rPr>
                <w:sz w:val="22"/>
                <w:szCs w:val="22"/>
                <w:lang w:val="en-US"/>
              </w:rPr>
              <w:t>CGFZ</w:t>
            </w:r>
            <w:r w:rsidRPr="0021277B">
              <w:rPr>
                <w:sz w:val="22"/>
                <w:szCs w:val="22"/>
                <w:lang w:val="en-US"/>
              </w:rPr>
              <w:t xml:space="preserve"> and the fauna of the Indian Ocean and Indo-Pacific (Tabachnick &amp; Collins, 2008).</w:t>
            </w:r>
          </w:p>
          <w:p w14:paraId="5D4B7065" w14:textId="77777777" w:rsidR="006B3F46" w:rsidRPr="0021277B" w:rsidRDefault="006B3F46" w:rsidP="002E4B39">
            <w:pPr>
              <w:suppressLineNumbers/>
              <w:spacing w:after="120"/>
              <w:jc w:val="both"/>
              <w:rPr>
                <w:sz w:val="22"/>
                <w:szCs w:val="22"/>
                <w:lang w:val="en-US"/>
              </w:rPr>
            </w:pPr>
            <w:r w:rsidRPr="0021277B">
              <w:rPr>
                <w:sz w:val="22"/>
                <w:szCs w:val="22"/>
                <w:lang w:val="en-US"/>
              </w:rPr>
              <w:t xml:space="preserve">Increased diversity was also seen in the gelatinous zooplankton of the </w:t>
            </w:r>
            <w:r>
              <w:rPr>
                <w:sz w:val="22"/>
                <w:szCs w:val="22"/>
                <w:lang w:val="en-US"/>
              </w:rPr>
              <w:t>MAR</w:t>
            </w:r>
            <w:r w:rsidRPr="0021277B">
              <w:rPr>
                <w:sz w:val="22"/>
                <w:szCs w:val="22"/>
                <w:lang w:val="en-US"/>
              </w:rPr>
              <w:t xml:space="preserve">. Visual observations of what appeared to be undescribed species were made in submersible dives along </w:t>
            </w:r>
            <w:r>
              <w:rPr>
                <w:sz w:val="22"/>
                <w:szCs w:val="22"/>
                <w:lang w:val="en-US"/>
              </w:rPr>
              <w:t>its</w:t>
            </w:r>
            <w:r w:rsidRPr="0021277B">
              <w:rPr>
                <w:sz w:val="22"/>
                <w:szCs w:val="22"/>
                <w:lang w:val="en-US"/>
              </w:rPr>
              <w:t xml:space="preserve"> entire length (Youngbluth </w:t>
            </w:r>
            <w:r w:rsidRPr="0006066A">
              <w:rPr>
                <w:i/>
                <w:sz w:val="22"/>
                <w:szCs w:val="22"/>
                <w:lang w:val="en-US"/>
              </w:rPr>
              <w:t>et al</w:t>
            </w:r>
            <w:r w:rsidRPr="0021277B">
              <w:rPr>
                <w:sz w:val="22"/>
                <w:szCs w:val="22"/>
                <w:lang w:val="en-US"/>
              </w:rPr>
              <w:t>., 2008).</w:t>
            </w:r>
          </w:p>
          <w:p w14:paraId="229815CA" w14:textId="77777777" w:rsidR="006B3F46" w:rsidRPr="0021277B" w:rsidRDefault="006B3F46" w:rsidP="002E4B39">
            <w:pPr>
              <w:suppressLineNumbers/>
              <w:spacing w:after="120"/>
              <w:jc w:val="both"/>
              <w:rPr>
                <w:sz w:val="22"/>
                <w:szCs w:val="22"/>
                <w:lang w:val="en-US"/>
              </w:rPr>
            </w:pPr>
            <w:r w:rsidRPr="0021277B">
              <w:rPr>
                <w:sz w:val="22"/>
                <w:szCs w:val="22"/>
                <w:lang w:val="en-US"/>
              </w:rPr>
              <w:t xml:space="preserve">In comparison to adjacent abyssal plains and other studies from the North Atlantic, Sutton </w:t>
            </w:r>
            <w:r w:rsidRPr="0006066A">
              <w:rPr>
                <w:i/>
                <w:sz w:val="22"/>
                <w:szCs w:val="22"/>
                <w:lang w:val="en-US"/>
              </w:rPr>
              <w:t>et al</w:t>
            </w:r>
            <w:r w:rsidRPr="0021277B">
              <w:rPr>
                <w:sz w:val="22"/>
                <w:szCs w:val="22"/>
                <w:lang w:val="en-US"/>
              </w:rPr>
              <w:t xml:space="preserve">. (2008) found that the deep-pelagic fish assemblage along the entire </w:t>
            </w:r>
            <w:r>
              <w:rPr>
                <w:sz w:val="22"/>
                <w:szCs w:val="22"/>
                <w:lang w:val="en-US"/>
              </w:rPr>
              <w:t>MAR</w:t>
            </w:r>
            <w:r w:rsidRPr="0021277B">
              <w:rPr>
                <w:sz w:val="22"/>
                <w:szCs w:val="22"/>
                <w:lang w:val="en-US"/>
              </w:rPr>
              <w:t xml:space="preserve"> is taxonomically diverse, with 205 species from 52 families. Between 70 and 80 deep-water benthopelagic fish species were caught by Bergstad </w:t>
            </w:r>
            <w:r w:rsidRPr="0006066A">
              <w:rPr>
                <w:i/>
                <w:sz w:val="22"/>
                <w:szCs w:val="22"/>
                <w:lang w:val="en-US"/>
              </w:rPr>
              <w:t>et al</w:t>
            </w:r>
            <w:r w:rsidRPr="0021277B">
              <w:rPr>
                <w:sz w:val="22"/>
                <w:szCs w:val="22"/>
                <w:lang w:val="en-US"/>
              </w:rPr>
              <w:t xml:space="preserve">. (2008) during experimental trawls over the </w:t>
            </w:r>
            <w:r>
              <w:rPr>
                <w:sz w:val="22"/>
                <w:szCs w:val="22"/>
                <w:lang w:val="en-US"/>
              </w:rPr>
              <w:t>MAR</w:t>
            </w:r>
            <w:r w:rsidRPr="0021277B">
              <w:rPr>
                <w:sz w:val="22"/>
                <w:szCs w:val="22"/>
                <w:lang w:val="en-US"/>
              </w:rPr>
              <w:t xml:space="preserve">. This sample was described by the authors as being a substantial subset of the demersal fish species listed by both Haedrich &amp; Merrett (1988) and Kukuev (2004) for the North Atlantic deep sea. Bergstad </w:t>
            </w:r>
            <w:r w:rsidRPr="0006066A">
              <w:rPr>
                <w:i/>
                <w:sz w:val="22"/>
                <w:szCs w:val="22"/>
                <w:lang w:val="en-US"/>
              </w:rPr>
              <w:t>et al</w:t>
            </w:r>
            <w:r w:rsidRPr="0021277B">
              <w:rPr>
                <w:sz w:val="22"/>
                <w:szCs w:val="22"/>
                <w:lang w:val="en-US"/>
              </w:rPr>
              <w:t>.</w:t>
            </w:r>
            <w:r>
              <w:rPr>
                <w:sz w:val="22"/>
                <w:szCs w:val="22"/>
                <w:lang w:val="en-US"/>
              </w:rPr>
              <w:t xml:space="preserve"> </w:t>
            </w:r>
            <w:r w:rsidRPr="0021277B">
              <w:rPr>
                <w:sz w:val="22"/>
                <w:szCs w:val="22"/>
                <w:lang w:val="en-US"/>
              </w:rPr>
              <w:t xml:space="preserve">(2008) were unable to statistically compare the sites </w:t>
            </w:r>
            <w:r w:rsidRPr="00B822C7">
              <w:rPr>
                <w:sz w:val="22"/>
                <w:szCs w:val="22"/>
                <w:lang w:val="en-US"/>
              </w:rPr>
              <w:t xml:space="preserve">that they sampled </w:t>
            </w:r>
            <w:r w:rsidRPr="0021277B">
              <w:rPr>
                <w:sz w:val="22"/>
                <w:szCs w:val="22"/>
                <w:lang w:val="en-US"/>
              </w:rPr>
              <w:t xml:space="preserve">along the </w:t>
            </w:r>
            <w:r>
              <w:rPr>
                <w:sz w:val="22"/>
                <w:szCs w:val="22"/>
                <w:lang w:val="en-US"/>
              </w:rPr>
              <w:t>MAR</w:t>
            </w:r>
            <w:r w:rsidRPr="0021277B">
              <w:rPr>
                <w:sz w:val="22"/>
                <w:szCs w:val="22"/>
                <w:lang w:val="en-US"/>
              </w:rPr>
              <w:t xml:space="preserve"> </w:t>
            </w:r>
            <w:r>
              <w:rPr>
                <w:sz w:val="22"/>
                <w:szCs w:val="22"/>
                <w:lang w:val="en-US"/>
              </w:rPr>
              <w:t xml:space="preserve"> </w:t>
            </w:r>
            <w:r w:rsidRPr="0021277B">
              <w:rPr>
                <w:sz w:val="22"/>
                <w:szCs w:val="22"/>
                <w:lang w:val="en-US"/>
              </w:rPr>
              <w:t xml:space="preserve">due to a lack of replication. The diversity is extensive within the </w:t>
            </w:r>
            <w:r>
              <w:rPr>
                <w:sz w:val="22"/>
                <w:szCs w:val="22"/>
                <w:lang w:val="en-US"/>
              </w:rPr>
              <w:t>area</w:t>
            </w:r>
            <w:r w:rsidRPr="0021277B">
              <w:rPr>
                <w:sz w:val="22"/>
                <w:szCs w:val="22"/>
                <w:lang w:val="en-US"/>
              </w:rPr>
              <w:t xml:space="preserve">, but a full account is not yet available. Whether the area has particularly high diversity is unclear. The diversity of the </w:t>
            </w:r>
            <w:r>
              <w:rPr>
                <w:sz w:val="22"/>
                <w:szCs w:val="22"/>
                <w:lang w:val="en-US"/>
              </w:rPr>
              <w:t>MAR</w:t>
            </w:r>
            <w:r w:rsidRPr="0021277B">
              <w:rPr>
                <w:sz w:val="22"/>
                <w:szCs w:val="22"/>
                <w:lang w:val="en-US"/>
              </w:rPr>
              <w:t xml:space="preserve">e in general has been understudied, both in terms of the pelagic ecosystem (Youngbluth </w:t>
            </w:r>
            <w:r w:rsidRPr="0006066A">
              <w:rPr>
                <w:i/>
                <w:sz w:val="22"/>
                <w:szCs w:val="22"/>
                <w:lang w:val="en-US"/>
              </w:rPr>
              <w:t>et al</w:t>
            </w:r>
            <w:r w:rsidRPr="0021277B">
              <w:rPr>
                <w:sz w:val="22"/>
                <w:szCs w:val="22"/>
                <w:lang w:val="en-US"/>
              </w:rPr>
              <w:t xml:space="preserve">., 2008) and the benthos (Tabachnick &amp; Collins, 2008). The findings of the MAR-ECO expedition have allowed glimpses into the structure and patterns of fauna there (Mortensen </w:t>
            </w:r>
            <w:r w:rsidRPr="0006066A">
              <w:rPr>
                <w:i/>
                <w:sz w:val="22"/>
                <w:szCs w:val="22"/>
                <w:lang w:val="en-US"/>
              </w:rPr>
              <w:t>et al</w:t>
            </w:r>
            <w:r w:rsidRPr="0021277B">
              <w:rPr>
                <w:sz w:val="22"/>
                <w:szCs w:val="22"/>
                <w:lang w:val="en-US"/>
              </w:rPr>
              <w:t xml:space="preserve">., 2008; Opdal </w:t>
            </w:r>
            <w:r w:rsidRPr="0006066A">
              <w:rPr>
                <w:i/>
                <w:sz w:val="22"/>
                <w:szCs w:val="22"/>
                <w:lang w:val="en-US"/>
              </w:rPr>
              <w:t>et al</w:t>
            </w:r>
            <w:r w:rsidRPr="0021277B">
              <w:rPr>
                <w:sz w:val="22"/>
                <w:szCs w:val="22"/>
                <w:lang w:val="en-US"/>
              </w:rPr>
              <w:t xml:space="preserve">., 2008) and </w:t>
            </w:r>
            <w:r w:rsidRPr="002E4B39">
              <w:rPr>
                <w:rFonts w:eastAsia="MS Mincho"/>
                <w:sz w:val="22"/>
                <w:szCs w:val="22"/>
                <w:lang w:val="en-US"/>
              </w:rPr>
              <w:t>have</w:t>
            </w:r>
            <w:r w:rsidRPr="0021277B">
              <w:rPr>
                <w:sz w:val="22"/>
                <w:szCs w:val="22"/>
                <w:lang w:val="en-US"/>
              </w:rPr>
              <w:t xml:space="preserve"> furthered our understanding of this important region (Gebruk </w:t>
            </w:r>
            <w:r w:rsidRPr="0006066A">
              <w:rPr>
                <w:i/>
                <w:sz w:val="22"/>
                <w:szCs w:val="22"/>
                <w:lang w:val="en-US"/>
              </w:rPr>
              <w:t>et al</w:t>
            </w:r>
            <w:r w:rsidRPr="0021277B">
              <w:rPr>
                <w:sz w:val="22"/>
                <w:szCs w:val="22"/>
                <w:lang w:val="en-US"/>
              </w:rPr>
              <w:t>., 2008).</w:t>
            </w:r>
          </w:p>
          <w:p w14:paraId="77339231" w14:textId="1D35FA42" w:rsidR="006B3F46" w:rsidRPr="0021277B" w:rsidRDefault="006B3F46" w:rsidP="002E4B39">
            <w:pPr>
              <w:suppressLineNumbers/>
              <w:spacing w:after="120"/>
              <w:jc w:val="both"/>
              <w:rPr>
                <w:rFonts w:eastAsia="MS Mincho"/>
                <w:b/>
                <w:bCs/>
                <w:color w:val="000000"/>
                <w:sz w:val="22"/>
                <w:szCs w:val="22"/>
                <w:lang w:val="en-US"/>
              </w:rPr>
            </w:pPr>
            <w:r w:rsidRPr="0021277B">
              <w:rPr>
                <w:rFonts w:eastAsia="MS Mincho"/>
                <w:color w:val="000000"/>
                <w:sz w:val="22"/>
                <w:szCs w:val="22"/>
                <w:lang w:val="en-US"/>
              </w:rPr>
              <w:t xml:space="preserve">There is </w:t>
            </w:r>
            <w:r w:rsidRPr="002E4B39">
              <w:rPr>
                <w:rFonts w:eastAsia="MS Mincho"/>
                <w:sz w:val="22"/>
                <w:szCs w:val="22"/>
                <w:lang w:val="en-US"/>
              </w:rPr>
              <w:t>evidence</w:t>
            </w:r>
            <w:r w:rsidRPr="0021277B">
              <w:rPr>
                <w:rFonts w:eastAsia="MS Mincho"/>
                <w:color w:val="000000"/>
                <w:sz w:val="22"/>
                <w:szCs w:val="22"/>
                <w:lang w:val="en-US"/>
              </w:rPr>
              <w:t xml:space="preserve"> that the CGFZ may form a biogeographic barrier for some species</w:t>
            </w:r>
            <w:r>
              <w:rPr>
                <w:rFonts w:eastAsia="MS Mincho"/>
                <w:color w:val="000000"/>
                <w:sz w:val="22"/>
                <w:szCs w:val="22"/>
                <w:lang w:val="en-US"/>
              </w:rPr>
              <w:t>,</w:t>
            </w:r>
            <w:r w:rsidRPr="0021277B">
              <w:rPr>
                <w:rFonts w:eastAsia="MS Mincho"/>
                <w:color w:val="000000"/>
                <w:sz w:val="22"/>
                <w:szCs w:val="22"/>
                <w:lang w:val="en-US"/>
              </w:rPr>
              <w:t xml:space="preserve"> including planktonic, pelagic or benthic organisms, (Mironov &amp; Gebruk, 2006; Gebruk </w:t>
            </w:r>
            <w:r w:rsidRPr="0006066A">
              <w:rPr>
                <w:rFonts w:eastAsia="MS Mincho"/>
                <w:i/>
                <w:color w:val="000000"/>
                <w:sz w:val="22"/>
                <w:szCs w:val="22"/>
                <w:lang w:val="en-US"/>
              </w:rPr>
              <w:t>et al</w:t>
            </w:r>
            <w:r w:rsidRPr="0021277B">
              <w:rPr>
                <w:rFonts w:eastAsia="MS Mincho"/>
                <w:color w:val="000000"/>
                <w:sz w:val="22"/>
                <w:szCs w:val="22"/>
                <w:lang w:val="en-US"/>
              </w:rPr>
              <w:t xml:space="preserve">., 2010; Vecchione </w:t>
            </w:r>
            <w:r w:rsidRPr="0006066A">
              <w:rPr>
                <w:rFonts w:eastAsia="MS Mincho"/>
                <w:i/>
                <w:color w:val="000000"/>
                <w:sz w:val="22"/>
                <w:szCs w:val="22"/>
                <w:lang w:val="en-US"/>
              </w:rPr>
              <w:t>et al</w:t>
            </w:r>
            <w:r w:rsidRPr="0021277B">
              <w:rPr>
                <w:rFonts w:eastAsia="MS Mincho"/>
                <w:color w:val="000000"/>
                <w:sz w:val="22"/>
                <w:szCs w:val="22"/>
                <w:lang w:val="en-US"/>
              </w:rPr>
              <w:t xml:space="preserve">., 2010; Alt </w:t>
            </w:r>
            <w:r w:rsidRPr="0006066A">
              <w:rPr>
                <w:rFonts w:eastAsia="MS Mincho"/>
                <w:i/>
                <w:color w:val="000000"/>
                <w:sz w:val="22"/>
                <w:szCs w:val="22"/>
                <w:lang w:val="en-US"/>
              </w:rPr>
              <w:t>et al</w:t>
            </w:r>
            <w:r w:rsidRPr="0021277B">
              <w:rPr>
                <w:rFonts w:eastAsia="MS Mincho"/>
                <w:color w:val="000000"/>
                <w:sz w:val="22"/>
                <w:szCs w:val="22"/>
                <w:lang w:val="en-US"/>
              </w:rPr>
              <w:t xml:space="preserve">., 2013). Recently the CGFZ area has been suggested as a major biogeographic barrier for deep-sea demosponges (Cárdenas and Rapp, 2015). There are differences in fauna north and south of the CGFZ (Bell </w:t>
            </w:r>
            <w:r w:rsidRPr="0006066A">
              <w:rPr>
                <w:rFonts w:eastAsia="MS Mincho"/>
                <w:i/>
                <w:color w:val="000000"/>
                <w:sz w:val="22"/>
                <w:szCs w:val="22"/>
                <w:lang w:val="en-US"/>
              </w:rPr>
              <w:t>et al</w:t>
            </w:r>
            <w:r w:rsidRPr="0021277B">
              <w:rPr>
                <w:rFonts w:eastAsia="MS Mincho"/>
                <w:color w:val="000000"/>
                <w:sz w:val="22"/>
                <w:szCs w:val="22"/>
                <w:lang w:val="en-US"/>
              </w:rPr>
              <w:t>., 2016).</w:t>
            </w:r>
          </w:p>
        </w:tc>
      </w:tr>
      <w:tr w:rsidR="006B3F46" w:rsidRPr="0021277B" w14:paraId="29A89A55" w14:textId="77777777" w:rsidTr="002E4B39">
        <w:tc>
          <w:tcPr>
            <w:tcW w:w="832" w:type="pct"/>
            <w:shd w:val="clear" w:color="auto" w:fill="auto"/>
          </w:tcPr>
          <w:p w14:paraId="0D13A5C5"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47" w:type="pct"/>
            <w:gridSpan w:val="2"/>
            <w:shd w:val="clear" w:color="auto" w:fill="auto"/>
          </w:tcPr>
          <w:p w14:paraId="45CB3D26"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20F5B8B1"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53" w:type="pct"/>
            <w:gridSpan w:val="2"/>
            <w:shd w:val="clear" w:color="auto" w:fill="auto"/>
          </w:tcPr>
          <w:p w14:paraId="0DBB28A2"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tcPr>
          <w:p w14:paraId="60128985"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sidRPr="0021277B">
              <w:rPr>
                <w:rFonts w:eastAsia="MS Mincho"/>
                <w:color w:val="000000"/>
                <w:sz w:val="22"/>
                <w:szCs w:val="22"/>
                <w:lang w:val="en-US"/>
              </w:rPr>
              <w:t>X</w:t>
            </w:r>
          </w:p>
        </w:tc>
        <w:tc>
          <w:tcPr>
            <w:tcW w:w="385" w:type="pct"/>
            <w:shd w:val="clear" w:color="auto" w:fill="auto"/>
          </w:tcPr>
          <w:p w14:paraId="423295C6"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64F21146" w14:textId="77777777" w:rsidTr="00907941">
        <w:tc>
          <w:tcPr>
            <w:tcW w:w="5000" w:type="pct"/>
            <w:gridSpan w:val="11"/>
            <w:shd w:val="clear" w:color="auto" w:fill="auto"/>
          </w:tcPr>
          <w:p w14:paraId="44357AB5"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75A563C9" w14:textId="3ACE87A6" w:rsidR="006B3F46" w:rsidRPr="0021277B" w:rsidRDefault="006B3F46" w:rsidP="002E4B39">
            <w:pPr>
              <w:suppressLineNumbers/>
              <w:spacing w:after="120"/>
              <w:jc w:val="both"/>
              <w:rPr>
                <w:rFonts w:eastAsia="MS Mincho"/>
                <w:color w:val="000000"/>
                <w:sz w:val="22"/>
                <w:szCs w:val="22"/>
                <w:lang w:val="en-US"/>
              </w:rPr>
            </w:pPr>
            <w:r w:rsidRPr="0021277B">
              <w:rPr>
                <w:rFonts w:eastAsia="MS Mincho"/>
                <w:color w:val="000000"/>
                <w:sz w:val="22"/>
                <w:szCs w:val="22"/>
                <w:lang w:val="en-US"/>
              </w:rPr>
              <w:t xml:space="preserve">There is only limited information available on the extent of human activities in the </w:t>
            </w:r>
            <w:r>
              <w:rPr>
                <w:rFonts w:eastAsia="MS Mincho"/>
                <w:color w:val="000000"/>
                <w:sz w:val="22"/>
                <w:szCs w:val="22"/>
                <w:lang w:val="en-US"/>
              </w:rPr>
              <w:t>CGFZ</w:t>
            </w:r>
            <w:r w:rsidRPr="0021277B">
              <w:rPr>
                <w:rFonts w:eastAsia="MS Mincho"/>
                <w:color w:val="000000"/>
                <w:sz w:val="22"/>
                <w:szCs w:val="22"/>
                <w:lang w:val="en-US"/>
              </w:rPr>
              <w:t xml:space="preserve">. In nearby areas of the </w:t>
            </w:r>
            <w:r>
              <w:rPr>
                <w:rFonts w:eastAsia="MS Mincho"/>
                <w:color w:val="000000"/>
                <w:sz w:val="22"/>
                <w:szCs w:val="22"/>
                <w:lang w:val="en-US"/>
              </w:rPr>
              <w:t>MAR</w:t>
            </w:r>
            <w:r w:rsidRPr="0021277B">
              <w:rPr>
                <w:rFonts w:eastAsia="MS Mincho"/>
                <w:color w:val="000000"/>
                <w:sz w:val="22"/>
                <w:szCs w:val="22"/>
                <w:lang w:val="en-US"/>
              </w:rPr>
              <w:t xml:space="preserve"> the physical impact of fishing activities has been reported (reviewed by OSPAR 2010) including visual evidence of damage to cold-water corals and the presence of lost nets. In addition</w:t>
            </w:r>
            <w:r>
              <w:rPr>
                <w:rFonts w:eastAsia="MS Mincho"/>
                <w:color w:val="000000"/>
                <w:sz w:val="22"/>
                <w:szCs w:val="22"/>
                <w:lang w:val="en-US"/>
              </w:rPr>
              <w:t>,</w:t>
            </w:r>
            <w:r w:rsidRPr="0021277B">
              <w:rPr>
                <w:rFonts w:eastAsia="MS Mincho"/>
                <w:color w:val="000000"/>
                <w:sz w:val="22"/>
                <w:szCs w:val="22"/>
                <w:lang w:val="en-US"/>
              </w:rPr>
              <w:t xml:space="preserve"> there is evidence of litter in this region, but litter levels are low compared with banks, seamounts and the </w:t>
            </w:r>
            <w:r w:rsidRPr="002E4B39">
              <w:rPr>
                <w:rFonts w:eastAsia="MS Mincho"/>
                <w:sz w:val="22"/>
                <w:szCs w:val="22"/>
                <w:lang w:val="en-US"/>
              </w:rPr>
              <w:t>continental</w:t>
            </w:r>
            <w:r w:rsidRPr="0021277B">
              <w:rPr>
                <w:rFonts w:eastAsia="MS Mincho"/>
                <w:color w:val="000000"/>
                <w:sz w:val="22"/>
                <w:szCs w:val="22"/>
                <w:lang w:val="en-US"/>
              </w:rPr>
              <w:t xml:space="preserve"> slope (Pham </w:t>
            </w:r>
            <w:r w:rsidRPr="0006066A">
              <w:rPr>
                <w:rFonts w:eastAsia="MS Mincho"/>
                <w:i/>
                <w:color w:val="000000"/>
                <w:sz w:val="22"/>
                <w:szCs w:val="22"/>
                <w:lang w:val="en-US"/>
              </w:rPr>
              <w:t>et al</w:t>
            </w:r>
            <w:r w:rsidRPr="0021277B">
              <w:rPr>
                <w:rFonts w:eastAsia="MS Mincho"/>
                <w:color w:val="000000"/>
                <w:sz w:val="22"/>
                <w:szCs w:val="22"/>
                <w:lang w:val="en-US"/>
              </w:rPr>
              <w:t>., 2015)</w:t>
            </w:r>
          </w:p>
        </w:tc>
      </w:tr>
    </w:tbl>
    <w:p w14:paraId="358DA2FE" w14:textId="77777777" w:rsidR="006B3F46" w:rsidRPr="0021277B"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01D8EF3A" w14:textId="77777777" w:rsidR="006B3F46" w:rsidRPr="009978E3" w:rsidRDefault="006B3F46" w:rsidP="00907941">
      <w:pPr>
        <w:rPr>
          <w:rFonts w:eastAsia="MS Mincho"/>
          <w:b/>
          <w:sz w:val="22"/>
          <w:szCs w:val="22"/>
          <w:lang w:val="en-US"/>
        </w:rPr>
      </w:pPr>
      <w:r w:rsidRPr="00F66EF7">
        <w:rPr>
          <w:rFonts w:eastAsia="MS Mincho"/>
          <w:b/>
          <w:sz w:val="22"/>
          <w:szCs w:val="22"/>
          <w:lang w:val="en-US"/>
        </w:rPr>
        <w:t>References</w:t>
      </w:r>
    </w:p>
    <w:p w14:paraId="7A5E2C14" w14:textId="77777777" w:rsidR="006B3F46" w:rsidRPr="0021277B" w:rsidRDefault="006B3F46" w:rsidP="00907941">
      <w:pPr>
        <w:ind w:left="567" w:hanging="567"/>
        <w:jc w:val="both"/>
        <w:rPr>
          <w:sz w:val="22"/>
          <w:szCs w:val="22"/>
        </w:rPr>
      </w:pPr>
      <w:r w:rsidRPr="0021277B">
        <w:rPr>
          <w:sz w:val="22"/>
          <w:szCs w:val="22"/>
        </w:rPr>
        <w:t xml:space="preserve">ATLAS (2019) Deliverable 3.3 Biodiversity, biogeography and GOODS classification system under current climate conditions and future IPCC scenarios. </w:t>
      </w:r>
    </w:p>
    <w:p w14:paraId="09CDFB53" w14:textId="77777777" w:rsidR="006B3F46" w:rsidRPr="0021277B" w:rsidRDefault="006B3F46" w:rsidP="00907941">
      <w:pPr>
        <w:ind w:left="540" w:hanging="540"/>
        <w:jc w:val="both"/>
        <w:rPr>
          <w:sz w:val="22"/>
          <w:szCs w:val="22"/>
        </w:rPr>
      </w:pPr>
      <w:r w:rsidRPr="0021277B">
        <w:rPr>
          <w:sz w:val="22"/>
          <w:szCs w:val="22"/>
        </w:rPr>
        <w:t>Bennison A &amp; Jessopp M (2015) At-sea surveys confirm a North Atlantic biodiversity hotspot, Bird Study, 62:2, 262-266, DOI: 10.1080/00063657.2015.1011601</w:t>
      </w:r>
    </w:p>
    <w:p w14:paraId="3E2F5387" w14:textId="77777777" w:rsidR="006B3F46" w:rsidRPr="0021277B" w:rsidRDefault="006B3F46" w:rsidP="00907941">
      <w:pPr>
        <w:ind w:left="540" w:hanging="540"/>
        <w:jc w:val="both"/>
        <w:rPr>
          <w:sz w:val="22"/>
          <w:szCs w:val="22"/>
        </w:rPr>
      </w:pPr>
      <w:r w:rsidRPr="0021277B">
        <w:rPr>
          <w:sz w:val="22"/>
          <w:szCs w:val="22"/>
        </w:rPr>
        <w:t>Bergman, E.A. and S.C. Solomon. 1988. Transform fault earthquakes in the North Atlantic: Source mechanisms and depth of faulting. Journal of Geophysical Research 93:9027-9057.</w:t>
      </w:r>
    </w:p>
    <w:p w14:paraId="38A43A9C" w14:textId="77777777" w:rsidR="006B3F46" w:rsidRPr="0021277B" w:rsidRDefault="006B3F46" w:rsidP="00907941">
      <w:pPr>
        <w:ind w:left="540" w:hanging="540"/>
        <w:jc w:val="both"/>
        <w:rPr>
          <w:sz w:val="22"/>
          <w:szCs w:val="22"/>
        </w:rPr>
      </w:pPr>
      <w:r w:rsidRPr="0021277B">
        <w:rPr>
          <w:sz w:val="22"/>
          <w:szCs w:val="22"/>
        </w:rPr>
        <w:t>Bergstad, O.A. &amp; Gebruk, A.V. (2008) Approach and methods for sampling of benthic fauna on the 2004 MAR-ECO expedition to the Mid-Atlantic Ridge. Marine Biology Research 4: 160 – 163.</w:t>
      </w:r>
    </w:p>
    <w:p w14:paraId="0F6940FA" w14:textId="77777777" w:rsidR="006B3F46" w:rsidRPr="0021277B" w:rsidRDefault="006B3F46" w:rsidP="00907941">
      <w:pPr>
        <w:ind w:left="540" w:hanging="540"/>
        <w:jc w:val="both"/>
        <w:rPr>
          <w:sz w:val="22"/>
          <w:szCs w:val="22"/>
        </w:rPr>
      </w:pPr>
      <w:r w:rsidRPr="0021277B">
        <w:rPr>
          <w:sz w:val="22"/>
          <w:szCs w:val="22"/>
        </w:rPr>
        <w:t>Boertmann D.  2011.  Seabirds in the central North Atlantic, September 2006: Further evidence for an oceanic seabird aggregation area. Marine Ornithology 39(2):183-188</w:t>
      </w:r>
    </w:p>
    <w:p w14:paraId="53EE632D" w14:textId="77777777" w:rsidR="006B3F46" w:rsidRPr="0021277B" w:rsidRDefault="006B3F46" w:rsidP="00907941">
      <w:pPr>
        <w:ind w:left="540" w:hanging="540"/>
        <w:jc w:val="both"/>
        <w:rPr>
          <w:rFonts w:eastAsia="MS Mincho"/>
          <w:iCs/>
          <w:sz w:val="22"/>
          <w:szCs w:val="22"/>
          <w:lang w:val="en-US"/>
        </w:rPr>
      </w:pPr>
      <w:r w:rsidRPr="0021277B">
        <w:rPr>
          <w:rFonts w:eastAsia="MS Mincho"/>
          <w:iCs/>
          <w:sz w:val="22"/>
          <w:szCs w:val="22"/>
          <w:lang w:val="en-US"/>
        </w:rPr>
        <w:t>Bower, A.S., Le Cann, B., Rossby, T., Zenk, W., Gould, J., Speer, K., Richardson, P.L., Prater, M.D. and H.-M. Zhang. 2002. Directly measured mid-depth circulation in the northeastern North Atlantic Ocean. Nature 419: 603- 607</w:t>
      </w:r>
    </w:p>
    <w:p w14:paraId="7B5FA390" w14:textId="77777777" w:rsidR="006B3F46" w:rsidRPr="0021277B" w:rsidRDefault="006B3F46" w:rsidP="00907941">
      <w:pPr>
        <w:ind w:left="540" w:hanging="540"/>
        <w:jc w:val="both"/>
        <w:rPr>
          <w:sz w:val="22"/>
          <w:szCs w:val="22"/>
        </w:rPr>
      </w:pPr>
      <w:r w:rsidRPr="0021277B">
        <w:rPr>
          <w:sz w:val="22"/>
          <w:szCs w:val="22"/>
        </w:rPr>
        <w:t>Calvert, A.J. and R.B. Whitmarsh. 1986. The structure of the Charlie-Gibbs Fracture Zone. Journal of the Geological Society 1433: 819-821.</w:t>
      </w:r>
    </w:p>
    <w:p w14:paraId="1F12D2EF" w14:textId="77777777" w:rsidR="006B3F46" w:rsidRPr="0021277B" w:rsidRDefault="006B3F46" w:rsidP="00907941">
      <w:pPr>
        <w:ind w:left="540" w:hanging="540"/>
        <w:jc w:val="both"/>
        <w:rPr>
          <w:sz w:val="22"/>
          <w:szCs w:val="22"/>
        </w:rPr>
      </w:pPr>
      <w:r w:rsidRPr="0021277B">
        <w:rPr>
          <w:sz w:val="22"/>
          <w:szCs w:val="22"/>
        </w:rPr>
        <w:t xml:space="preserve">Cormier, M.-H., Detrick, R. S. and G. M. Purdy. 1984. Anomalously thin crust in oceanic fracture zones: New seismic constraints from the Kane Fracture Zone. </w:t>
      </w:r>
      <w:r w:rsidRPr="0021277B">
        <w:rPr>
          <w:iCs/>
          <w:sz w:val="22"/>
          <w:szCs w:val="22"/>
        </w:rPr>
        <w:t>Journal of Geophysical Research</w:t>
      </w:r>
      <w:r w:rsidRPr="0021277B">
        <w:rPr>
          <w:i/>
          <w:iCs/>
          <w:sz w:val="22"/>
          <w:szCs w:val="22"/>
        </w:rPr>
        <w:t xml:space="preserve"> </w:t>
      </w:r>
      <w:r w:rsidRPr="0021277B">
        <w:rPr>
          <w:sz w:val="22"/>
          <w:szCs w:val="22"/>
        </w:rPr>
        <w:t>89:249–266.</w:t>
      </w:r>
    </w:p>
    <w:p w14:paraId="3032EBF9" w14:textId="77777777" w:rsidR="006B3F46" w:rsidRPr="0021277B" w:rsidRDefault="006B3F46" w:rsidP="00907941">
      <w:pPr>
        <w:ind w:left="540" w:hanging="540"/>
        <w:jc w:val="both"/>
        <w:rPr>
          <w:sz w:val="22"/>
          <w:szCs w:val="22"/>
        </w:rPr>
      </w:pPr>
      <w:r w:rsidRPr="0021277B">
        <w:rPr>
          <w:sz w:val="22"/>
          <w:szCs w:val="22"/>
        </w:rPr>
        <w:t>Doyle, T.K. (2007) Leatherback sea turtles (Dermochelys coriacea) in Irish waters. Irish Wildlife Manuals, No. 32. National Parks and Wildlife Service, Department of the Environment, Heritage and Local Government, Dublin, Ireland.</w:t>
      </w:r>
    </w:p>
    <w:p w14:paraId="2C937E6F" w14:textId="77777777" w:rsidR="006B3F46" w:rsidRPr="0021277B" w:rsidRDefault="006B3F46" w:rsidP="00907941">
      <w:pPr>
        <w:ind w:left="540" w:hanging="540"/>
        <w:jc w:val="both"/>
        <w:rPr>
          <w:sz w:val="22"/>
          <w:szCs w:val="22"/>
        </w:rPr>
      </w:pPr>
      <w:r w:rsidRPr="0021277B">
        <w:rPr>
          <w:sz w:val="22"/>
          <w:szCs w:val="22"/>
        </w:rPr>
        <w:t>Doyle, T.K., Houghton, J.D.R., O’Súilleabháin, P.F., Hobson, V.J., Marnell, F., Davenport, J. &amp; Hays, G.C. (2008) Leatherback turtles satellite-tagged in European waters. Endangered Species Research 4: 23 – 31</w:t>
      </w:r>
    </w:p>
    <w:p w14:paraId="31662D09" w14:textId="77777777" w:rsidR="006B3F46" w:rsidRPr="0021277B" w:rsidRDefault="006B3F46" w:rsidP="00907941">
      <w:pPr>
        <w:ind w:left="540" w:hanging="540"/>
        <w:jc w:val="both"/>
        <w:rPr>
          <w:sz w:val="22"/>
          <w:szCs w:val="22"/>
        </w:rPr>
      </w:pPr>
      <w:r w:rsidRPr="0021277B">
        <w:rPr>
          <w:sz w:val="22"/>
          <w:szCs w:val="22"/>
        </w:rPr>
        <w:t>Encalada, S.E., Bjorndal, K.A., Bolten, A.B., Zurita, J.C., Schroeder, B., Possardt, E., Sears, C.J. &amp; Bowen, B.W. (1998) Population structure of loggerhead turtle (Caretta caretta) nesting colonies in the Atlantic and Mediterranean as inferred from mitochondrial DNA control region sequences. Marine Biology 130: 567 – 575.</w:t>
      </w:r>
    </w:p>
    <w:p w14:paraId="37DA7B66" w14:textId="77777777" w:rsidR="006B3F46" w:rsidRPr="0021277B" w:rsidRDefault="006B3F46" w:rsidP="00907941">
      <w:pPr>
        <w:ind w:left="540" w:hanging="540"/>
        <w:jc w:val="both"/>
        <w:rPr>
          <w:sz w:val="22"/>
          <w:szCs w:val="22"/>
        </w:rPr>
      </w:pPr>
      <w:r w:rsidRPr="0021277B">
        <w:rPr>
          <w:sz w:val="22"/>
          <w:szCs w:val="22"/>
        </w:rPr>
        <w:t xml:space="preserve">Felley, J.D., Vecchione, M. And R.R. Wilson Jr. 2008. Small-scale distribution of deep-sea demersal nekton and other megafauna in the Charlie-Gibbs Fracture Zone of the Mid-Atlantic Ridge. Deep Sea Research II 55: 153-160. </w:t>
      </w:r>
    </w:p>
    <w:p w14:paraId="53BCDCAF" w14:textId="77777777" w:rsidR="006B3F46" w:rsidRPr="0021277B" w:rsidRDefault="006B3F46" w:rsidP="00907941">
      <w:pPr>
        <w:ind w:left="540" w:hanging="540"/>
        <w:jc w:val="both"/>
        <w:rPr>
          <w:sz w:val="22"/>
          <w:szCs w:val="22"/>
        </w:rPr>
      </w:pPr>
      <w:r w:rsidRPr="0021277B">
        <w:rPr>
          <w:sz w:val="22"/>
          <w:szCs w:val="22"/>
        </w:rPr>
        <w:t>Ferraroli, S., Georges, J-Y., Gasparll, P. &amp; Le Maho, Y. (2004) Where leatherback turtles meet fisheries: conservation efforts should focus on hotspots frequented by these ancient reptiles. Nature 429: 521.</w:t>
      </w:r>
    </w:p>
    <w:p w14:paraId="0F6AFD3E" w14:textId="77777777" w:rsidR="006B3F46" w:rsidRPr="0021277B" w:rsidRDefault="006B3F46" w:rsidP="00907941">
      <w:pPr>
        <w:ind w:left="540" w:hanging="540"/>
        <w:jc w:val="both"/>
        <w:rPr>
          <w:sz w:val="22"/>
          <w:szCs w:val="22"/>
        </w:rPr>
      </w:pPr>
      <w:r w:rsidRPr="0021277B">
        <w:rPr>
          <w:sz w:val="22"/>
          <w:szCs w:val="22"/>
        </w:rPr>
        <w:t xml:space="preserve">Fleming, H.S., Cherkis, N.Z. and J.R. Heirtzler. 1970. The Gibbs Fracture Zone: A double fracture zone at 52°30′N in the Atlantic Ocean. </w:t>
      </w:r>
      <w:r w:rsidRPr="0021277B">
        <w:rPr>
          <w:iCs/>
          <w:sz w:val="22"/>
          <w:szCs w:val="22"/>
        </w:rPr>
        <w:t>Marine Geophysical Researches</w:t>
      </w:r>
      <w:r w:rsidRPr="0021277B">
        <w:rPr>
          <w:i/>
          <w:iCs/>
          <w:sz w:val="22"/>
          <w:szCs w:val="22"/>
        </w:rPr>
        <w:t xml:space="preserve"> </w:t>
      </w:r>
      <w:r w:rsidRPr="0021277B">
        <w:rPr>
          <w:sz w:val="22"/>
          <w:szCs w:val="22"/>
        </w:rPr>
        <w:t>1:37-45.</w:t>
      </w:r>
    </w:p>
    <w:p w14:paraId="1681FAEF" w14:textId="77777777" w:rsidR="006B3F46" w:rsidRPr="0021277B" w:rsidRDefault="006B3F46" w:rsidP="00907941">
      <w:pPr>
        <w:ind w:left="540" w:hanging="540"/>
        <w:jc w:val="both"/>
        <w:rPr>
          <w:sz w:val="22"/>
          <w:szCs w:val="22"/>
        </w:rPr>
      </w:pPr>
      <w:r w:rsidRPr="0021277B">
        <w:rPr>
          <w:sz w:val="22"/>
          <w:szCs w:val="22"/>
        </w:rPr>
        <w:t>Fock, H., Pusch, C. &amp; Ehrich, S. (2004) Structure of deep-pelagic fish assemblages in relation to the Mid Atlantic Ridge (45o – 50oN). Deep-Sea Research I 51: 953</w:t>
      </w:r>
    </w:p>
    <w:p w14:paraId="13845A46" w14:textId="77777777" w:rsidR="006B3F46" w:rsidRPr="0021277B" w:rsidRDefault="006B3F46" w:rsidP="00907941">
      <w:pPr>
        <w:ind w:left="540" w:hanging="540"/>
        <w:jc w:val="both"/>
        <w:rPr>
          <w:sz w:val="22"/>
          <w:szCs w:val="22"/>
        </w:rPr>
      </w:pPr>
      <w:r w:rsidRPr="0021277B">
        <w:rPr>
          <w:sz w:val="22"/>
          <w:szCs w:val="22"/>
        </w:rPr>
        <w:t>Garner, D.M. 1972. Flow through the Charlie-Gibbs Fracture Zone, Mid-Atlantic Ridge. Canadian Journal of Earth Sciences 9: 116-121.</w:t>
      </w:r>
    </w:p>
    <w:p w14:paraId="5787F2CA" w14:textId="77777777" w:rsidR="006B3F46" w:rsidRPr="0021277B" w:rsidRDefault="006B3F46" w:rsidP="00907941">
      <w:pPr>
        <w:ind w:left="540" w:hanging="540"/>
        <w:jc w:val="both"/>
        <w:rPr>
          <w:sz w:val="22"/>
          <w:szCs w:val="22"/>
        </w:rPr>
      </w:pPr>
      <w:r w:rsidRPr="0021277B">
        <w:rPr>
          <w:sz w:val="22"/>
          <w:szCs w:val="22"/>
        </w:rPr>
        <w:t>Gebruk A.V. 2008. Holothurians (Holothuroidea, Echinodermata) of the northern Mid-Atlantic Ridge collected by the G.O. Sars MAR-ECO expedition with descriptions of four new species. Marine Biology Research 4, 48–60.</w:t>
      </w:r>
    </w:p>
    <w:p w14:paraId="157A148A" w14:textId="77777777" w:rsidR="006B3F46" w:rsidRPr="0021277B" w:rsidRDefault="006B3F46" w:rsidP="00907941">
      <w:pPr>
        <w:ind w:left="540" w:hanging="540"/>
        <w:jc w:val="both"/>
        <w:rPr>
          <w:sz w:val="22"/>
          <w:szCs w:val="22"/>
        </w:rPr>
      </w:pPr>
      <w:r w:rsidRPr="0021277B">
        <w:rPr>
          <w:sz w:val="22"/>
          <w:szCs w:val="22"/>
        </w:rPr>
        <w:t>Gebruk, A.V. and E.M. Krylova. 2013. Megafauna of the Charlie–Gibbs Fracture Zone (northern Mid-Atlantic Ridge) based on video observations. Journal of the Marine Biological Association of the United Kingdom 93: 1143-1150. doi:10.1017/S0025315412001890.</w:t>
      </w:r>
    </w:p>
    <w:p w14:paraId="0772ADDB" w14:textId="77777777" w:rsidR="006B3F46" w:rsidRPr="0021277B" w:rsidRDefault="006B3F46" w:rsidP="00907941">
      <w:pPr>
        <w:ind w:left="540" w:hanging="540"/>
        <w:jc w:val="both"/>
        <w:rPr>
          <w:sz w:val="22"/>
          <w:szCs w:val="22"/>
        </w:rPr>
      </w:pPr>
      <w:r w:rsidRPr="0021277B">
        <w:rPr>
          <w:sz w:val="22"/>
          <w:szCs w:val="22"/>
        </w:rPr>
        <w:t>Haedrich, R.L. &amp; Merrett, N.R. (1988) Summary atlas of deep-living fishes in the North Atlantic. Journal of Natural History 22: 1325 – 1362.</w:t>
      </w:r>
    </w:p>
    <w:p w14:paraId="5584551E" w14:textId="77777777" w:rsidR="006B3F46" w:rsidRPr="0021277B" w:rsidRDefault="006B3F46" w:rsidP="00907941">
      <w:pPr>
        <w:ind w:left="540" w:hanging="540"/>
        <w:jc w:val="both"/>
        <w:rPr>
          <w:sz w:val="22"/>
          <w:szCs w:val="22"/>
        </w:rPr>
      </w:pPr>
      <w:r w:rsidRPr="0021277B">
        <w:rPr>
          <w:sz w:val="22"/>
          <w:szCs w:val="22"/>
        </w:rPr>
        <w:t>Harvey, J.G. and A. Theodorou. 1986. The circulation of Norwegian Sea overflow water in the eastern North Atlantic. Oceanologica Acta 9: 393-402.</w:t>
      </w:r>
    </w:p>
    <w:p w14:paraId="50C24055" w14:textId="77777777" w:rsidR="006B3F46" w:rsidRPr="0021277B" w:rsidRDefault="006B3F46" w:rsidP="00907941">
      <w:pPr>
        <w:ind w:left="540" w:hanging="540"/>
        <w:jc w:val="both"/>
        <w:rPr>
          <w:sz w:val="22"/>
          <w:szCs w:val="22"/>
        </w:rPr>
      </w:pPr>
      <w:r w:rsidRPr="0021277B">
        <w:rPr>
          <w:sz w:val="22"/>
          <w:szCs w:val="22"/>
        </w:rPr>
        <w:t>Hays, G.C., Hobson, V.J., Metcalfe, J.D., Righton, D. &amp; Sims, D.W. (2006) Flexible foraging movements of leatherback turtles across the north Atlantic Ocean. Ecology 87(10): 2647 – 2656.</w:t>
      </w:r>
    </w:p>
    <w:p w14:paraId="472ACDF4" w14:textId="77777777" w:rsidR="006B3F46" w:rsidRPr="0021277B" w:rsidRDefault="006B3F46" w:rsidP="00907941">
      <w:pPr>
        <w:ind w:left="540" w:hanging="540"/>
        <w:jc w:val="both"/>
        <w:rPr>
          <w:sz w:val="22"/>
          <w:szCs w:val="22"/>
        </w:rPr>
      </w:pPr>
      <w:r w:rsidRPr="0021277B">
        <w:rPr>
          <w:sz w:val="22"/>
          <w:szCs w:val="22"/>
        </w:rPr>
        <w:t>Hays, G.C., Houghton, J.D.R. &amp; Myers, A.E. (2004) Pan-Atlantic leatherback turtle movements. Nature 429: 522.</w:t>
      </w:r>
    </w:p>
    <w:p w14:paraId="502BD1A5" w14:textId="77777777" w:rsidR="006B3F46" w:rsidRPr="0021277B" w:rsidRDefault="006B3F46" w:rsidP="00907941">
      <w:pPr>
        <w:ind w:left="540" w:hanging="540"/>
        <w:jc w:val="both"/>
        <w:rPr>
          <w:sz w:val="22"/>
          <w:szCs w:val="22"/>
        </w:rPr>
      </w:pPr>
      <w:r w:rsidRPr="0021277B">
        <w:rPr>
          <w:sz w:val="22"/>
          <w:szCs w:val="22"/>
        </w:rPr>
        <w:t>Heger, A., Ieno, E.N., King, N.J., Morris, K.J., Bagley, P.M. &amp; Priede, I.G. (2008) Deep-sea pelagic bioluminescence over the Mid-Atlantic Ridge. Deep-Sea Research II 55: 126 – 136.</w:t>
      </w:r>
    </w:p>
    <w:p w14:paraId="3C169623" w14:textId="77777777" w:rsidR="006B3F46" w:rsidRPr="0021277B" w:rsidRDefault="006B3F46" w:rsidP="00907941">
      <w:pPr>
        <w:ind w:left="540" w:hanging="540"/>
        <w:jc w:val="both"/>
        <w:rPr>
          <w:sz w:val="22"/>
          <w:szCs w:val="22"/>
        </w:rPr>
      </w:pPr>
      <w:r w:rsidRPr="0021277B">
        <w:rPr>
          <w:sz w:val="22"/>
          <w:szCs w:val="22"/>
        </w:rPr>
        <w:t xml:space="preserve">Hekinian, R. and F. Aumento. 1973. Rocks from the Gibbs Fracture Zone and the Minia Seamount near 53°N in the Atlantic Ocean. Marine Geology 14: 47-72. </w:t>
      </w:r>
    </w:p>
    <w:p w14:paraId="498A8578"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ICES. 2007. Report of the Working Group on Deep-water Ecology (WGDEC), 26 – 28th February. ICES CM 2007/ACE:01 Ref. LRC. 61pp.</w:t>
      </w:r>
    </w:p>
    <w:p w14:paraId="622F34BE" w14:textId="77777777" w:rsidR="006B3F46" w:rsidRPr="0021277B" w:rsidRDefault="006B3F46" w:rsidP="00907941">
      <w:pPr>
        <w:ind w:left="540" w:hanging="540"/>
        <w:jc w:val="both"/>
        <w:rPr>
          <w:sz w:val="22"/>
          <w:szCs w:val="22"/>
        </w:rPr>
      </w:pPr>
      <w:r w:rsidRPr="0021277B">
        <w:rPr>
          <w:sz w:val="22"/>
          <w:szCs w:val="22"/>
        </w:rPr>
        <w:t xml:space="preserve">Kanamori, H. and G.S. Stewart. 1976. Mode of the strain release along the Gibbs Fracture Zone, Mid-Atlantic Ridge. Physcis of the Earth and Planetary Interiors 11: 312-332. </w:t>
      </w:r>
    </w:p>
    <w:p w14:paraId="4807494B" w14:textId="77777777" w:rsidR="006B3F46" w:rsidRPr="0021277B" w:rsidRDefault="006B3F46" w:rsidP="00907941">
      <w:pPr>
        <w:ind w:left="540" w:hanging="540"/>
        <w:jc w:val="both"/>
        <w:rPr>
          <w:sz w:val="22"/>
          <w:szCs w:val="22"/>
        </w:rPr>
      </w:pPr>
      <w:r w:rsidRPr="0021277B">
        <w:rPr>
          <w:sz w:val="22"/>
          <w:szCs w:val="22"/>
        </w:rPr>
        <w:t>Kukuev, E.I. (2004) 20 years of ichthyofauna research on seamounts of the North Atlantic Ridge and adjacent areas. A review. Archive of Fishery Marine Research 51(1-3): 215 -232.</w:t>
      </w:r>
    </w:p>
    <w:p w14:paraId="5A93AE24" w14:textId="77777777" w:rsidR="006B3F46" w:rsidRPr="0021277B" w:rsidRDefault="006B3F46" w:rsidP="00907941">
      <w:pPr>
        <w:ind w:left="540" w:hanging="540"/>
        <w:jc w:val="both"/>
        <w:rPr>
          <w:sz w:val="22"/>
          <w:szCs w:val="22"/>
        </w:rPr>
      </w:pPr>
      <w:r w:rsidRPr="0021277B">
        <w:rPr>
          <w:sz w:val="22"/>
          <w:szCs w:val="22"/>
        </w:rPr>
        <w:t>Lilwall, R.C. and R.E. Kirk. 1985. Ocean-bottom seismograph observations on the Charlie-Gibbs fracture zone. Geophysical Journal of the Royal Astronomical Society 80: 195-208.</w:t>
      </w:r>
    </w:p>
    <w:p w14:paraId="6E8C8A7E" w14:textId="77777777" w:rsidR="006B3F46" w:rsidRPr="0021277B" w:rsidRDefault="006B3F46" w:rsidP="00907941">
      <w:pPr>
        <w:ind w:left="540" w:hanging="540"/>
        <w:jc w:val="both"/>
        <w:rPr>
          <w:sz w:val="22"/>
          <w:szCs w:val="22"/>
        </w:rPr>
      </w:pPr>
      <w:r w:rsidRPr="0021277B">
        <w:rPr>
          <w:sz w:val="22"/>
          <w:szCs w:val="22"/>
        </w:rPr>
        <w:t>Magalhães, M., Santos, R. &amp; Hamer, K. 2008. Dual-foraging of Cory’s shearwaters in the Azores: feeding locations, behaviour at sea and implications for food provisioning of chicks. Mar. Ecol. Prog. Ser. 359: 283–293.</w:t>
      </w:r>
    </w:p>
    <w:p w14:paraId="20AA07CD" w14:textId="77777777" w:rsidR="006B3F46" w:rsidRPr="0021277B" w:rsidRDefault="006B3F46" w:rsidP="00907941">
      <w:pPr>
        <w:ind w:left="540" w:hanging="540"/>
        <w:jc w:val="both"/>
        <w:rPr>
          <w:sz w:val="22"/>
          <w:szCs w:val="22"/>
        </w:rPr>
      </w:pPr>
      <w:r w:rsidRPr="0021277B">
        <w:rPr>
          <w:sz w:val="22"/>
          <w:szCs w:val="22"/>
        </w:rPr>
        <w:t>Masson, D.G. 2009. The Geobiology of Whittard Submarine Canyon. RRS James Cook Cruise 36, 19 June–28 July 2009. National Oceanography Centre, Southampton, 53 pp.   http://</w:t>
      </w:r>
      <w:hyperlink r:id="rId292" w:history="1">
        <w:r w:rsidRPr="0021277B">
          <w:rPr>
            <w:sz w:val="22"/>
            <w:szCs w:val="22"/>
            <w:u w:val="single"/>
          </w:rPr>
          <w:t>www.eprints.soton.ac.uk/69504/1/nocscr041.pdf</w:t>
        </w:r>
      </w:hyperlink>
      <w:r w:rsidRPr="0021277B">
        <w:rPr>
          <w:sz w:val="22"/>
          <w:szCs w:val="22"/>
        </w:rPr>
        <w:t xml:space="preserve">. </w:t>
      </w:r>
    </w:p>
    <w:p w14:paraId="35F9F90C" w14:textId="77777777" w:rsidR="006B3F46" w:rsidRPr="0021277B" w:rsidRDefault="006B3F46" w:rsidP="00907941">
      <w:pPr>
        <w:ind w:left="540" w:hanging="540"/>
        <w:jc w:val="both"/>
        <w:rPr>
          <w:sz w:val="22"/>
          <w:szCs w:val="22"/>
        </w:rPr>
      </w:pPr>
      <w:r w:rsidRPr="0021277B">
        <w:rPr>
          <w:sz w:val="22"/>
          <w:szCs w:val="22"/>
        </w:rPr>
        <w:t>Miller, R.J., Hocevar, J., Stone, R.P. and D.V. Fedorov. 2012. Structure-forming corals and sponges and their use as fish habitat in Bering Sea submarine canyons. PLoS ONE 7(3): e33885. doi:10.1371/journal.pone.0033885</w:t>
      </w:r>
    </w:p>
    <w:p w14:paraId="51D41654" w14:textId="77777777" w:rsidR="006B3F46" w:rsidRPr="0021277B" w:rsidRDefault="006B3F46" w:rsidP="00907941">
      <w:pPr>
        <w:ind w:left="540" w:hanging="540"/>
        <w:jc w:val="both"/>
        <w:rPr>
          <w:sz w:val="22"/>
          <w:szCs w:val="22"/>
        </w:rPr>
      </w:pPr>
      <w:r w:rsidRPr="0021277B">
        <w:rPr>
          <w:sz w:val="22"/>
          <w:szCs w:val="22"/>
        </w:rPr>
        <w:t>Molodtsova, T.N., Sanamyan, N.P.&amp; Keller, N.B.(2008) Anthozoa from the northern Mid-Atlantic Ridge and the Charlie-Gibbs Fracture Zone. Marine Biology Research 4: 112 -130.</w:t>
      </w:r>
    </w:p>
    <w:p w14:paraId="50696D9B" w14:textId="77777777" w:rsidR="006B3F46" w:rsidRPr="0021277B" w:rsidRDefault="006B3F46" w:rsidP="00907941">
      <w:pPr>
        <w:ind w:left="540" w:hanging="540"/>
        <w:jc w:val="both"/>
        <w:rPr>
          <w:sz w:val="22"/>
          <w:szCs w:val="22"/>
        </w:rPr>
      </w:pPr>
      <w:r w:rsidRPr="0021277B">
        <w:rPr>
          <w:sz w:val="22"/>
          <w:szCs w:val="22"/>
        </w:rPr>
        <w:t>Mortensen, P.B., Buhl-Mortensen, L., Gebruk., A.V. and Krylova, E.M. (2008) Occurrence of deep-water corals on the Mid-Atlantic Ridge based on MAR-ECO data. Deep-Sea Research II 55:142-152.</w:t>
      </w:r>
    </w:p>
    <w:p w14:paraId="779EAC05" w14:textId="77777777" w:rsidR="006B3F46" w:rsidRPr="0021277B" w:rsidRDefault="006B3F46" w:rsidP="00907941">
      <w:pPr>
        <w:ind w:left="540" w:hanging="540"/>
        <w:jc w:val="both"/>
        <w:rPr>
          <w:sz w:val="22"/>
          <w:szCs w:val="22"/>
        </w:rPr>
      </w:pPr>
      <w:r w:rsidRPr="0021277B">
        <w:rPr>
          <w:sz w:val="22"/>
          <w:szCs w:val="22"/>
        </w:rPr>
        <w:t>Müller, R.D. and W.R. Roest. 1992. Fracture zones in the North Atlantic from combined Geosat and Seasta data. Journal of Geophysical Research 97: 3337-3350.</w:t>
      </w:r>
    </w:p>
    <w:p w14:paraId="1D3A3E6B" w14:textId="77777777" w:rsidR="006B3F46" w:rsidRPr="0021277B" w:rsidRDefault="006B3F46" w:rsidP="00907941">
      <w:pPr>
        <w:ind w:left="540" w:hanging="540"/>
        <w:jc w:val="both"/>
        <w:rPr>
          <w:sz w:val="22"/>
          <w:szCs w:val="22"/>
        </w:rPr>
      </w:pPr>
      <w:r w:rsidRPr="0021277B">
        <w:rPr>
          <w:sz w:val="22"/>
          <w:szCs w:val="22"/>
        </w:rPr>
        <w:t>Mutter, J.C., Detrick, R.S. and North Atlantic Transect Study Group. 1984. Multichannel seismic evidence for anomalously thin crust at Blake Spur fracture zone. Geology 12: 534-537.</w:t>
      </w:r>
    </w:p>
    <w:p w14:paraId="5E79596C" w14:textId="77777777" w:rsidR="006B3F46" w:rsidRPr="0021277B" w:rsidRDefault="006B3F46" w:rsidP="00907941">
      <w:pPr>
        <w:ind w:left="540" w:hanging="540"/>
        <w:jc w:val="both"/>
        <w:rPr>
          <w:sz w:val="22"/>
          <w:szCs w:val="22"/>
        </w:rPr>
      </w:pPr>
      <w:r w:rsidRPr="0021277B">
        <w:rPr>
          <w:sz w:val="22"/>
          <w:szCs w:val="22"/>
        </w:rPr>
        <w:t>Nøttestad, L., Olsen, E., 2004. Whales and seals: top predators in the ecosystem. In: The Norwegian Sea Ecosystem. Skjoldal, H.R. (Ed.)Tapir Academic Press, Trondheim, Norway pp. 395-434.</w:t>
      </w:r>
    </w:p>
    <w:p w14:paraId="70687A2B" w14:textId="77777777" w:rsidR="006B3F46" w:rsidRPr="0021277B" w:rsidRDefault="006B3F46" w:rsidP="00907941">
      <w:pPr>
        <w:ind w:left="540" w:hanging="540"/>
        <w:jc w:val="both"/>
        <w:rPr>
          <w:sz w:val="22"/>
          <w:szCs w:val="22"/>
        </w:rPr>
      </w:pPr>
      <w:r w:rsidRPr="0021277B">
        <w:rPr>
          <w:sz w:val="22"/>
          <w:szCs w:val="22"/>
        </w:rPr>
        <w:t>Olivet, J.-L., Le Pichon, Xl, Monti, S. and B. Sichler. 1974. Charlie-Gibbs Fracture Zone. Journal of Geophysical Research 79: 2059-2072.</w:t>
      </w:r>
    </w:p>
    <w:p w14:paraId="7323C013" w14:textId="77777777" w:rsidR="006B3F46" w:rsidRPr="0021277B" w:rsidRDefault="006B3F46" w:rsidP="00907941">
      <w:pPr>
        <w:ind w:left="540" w:hanging="540"/>
        <w:jc w:val="both"/>
        <w:rPr>
          <w:sz w:val="22"/>
          <w:szCs w:val="22"/>
        </w:rPr>
      </w:pPr>
      <w:r w:rsidRPr="0021277B">
        <w:rPr>
          <w:sz w:val="22"/>
          <w:szCs w:val="22"/>
        </w:rPr>
        <w:t>Olsen, E., Budgell P., Head E., Kleivane L., Nottestad L., Prieto R., Silva M., Skov H., Vikingsson G., Waring G., Oien N. 2009. First satellite-tracked long-distance movement of a Sei Whale (Balaenoptera borealis) in the North Atlantic. Aquatic Mammals, 35(3): 313-318</w:t>
      </w:r>
    </w:p>
    <w:p w14:paraId="3D8C8DDE" w14:textId="77777777" w:rsidR="006B3F46" w:rsidRPr="0021277B" w:rsidRDefault="006B3F46" w:rsidP="00907941">
      <w:pPr>
        <w:ind w:left="540" w:hanging="540"/>
        <w:jc w:val="both"/>
        <w:rPr>
          <w:sz w:val="22"/>
          <w:szCs w:val="22"/>
        </w:rPr>
      </w:pPr>
      <w:r w:rsidRPr="0021277B">
        <w:rPr>
          <w:sz w:val="22"/>
          <w:szCs w:val="22"/>
        </w:rPr>
        <w:t>Opdal, A.F., Godø, O.R., Bergstad, O.A. &amp; Fiksen, Ø. (2008) Distribution, identity, and possible processes sustaining meso-bathypelagic scattering layers on the northern Mid-Atlantic Ridge. Deep-Sea Research II 55: 45 – 58.</w:t>
      </w:r>
    </w:p>
    <w:p w14:paraId="542B45F4" w14:textId="77777777" w:rsidR="006B3F46" w:rsidRPr="0021277B" w:rsidRDefault="006B3F46" w:rsidP="00907941">
      <w:pPr>
        <w:ind w:left="540" w:hanging="540"/>
        <w:jc w:val="both"/>
        <w:rPr>
          <w:sz w:val="22"/>
          <w:szCs w:val="22"/>
          <w:lang w:val="fr-CA"/>
        </w:rPr>
      </w:pPr>
      <w:r w:rsidRPr="0021277B">
        <w:rPr>
          <w:sz w:val="22"/>
          <w:szCs w:val="22"/>
        </w:rPr>
        <w:t xml:space="preserve">OSPAR Commission. 2010. </w:t>
      </w:r>
      <w:r w:rsidRPr="0021277B">
        <w:rPr>
          <w:sz w:val="22"/>
          <w:szCs w:val="22"/>
          <w:lang w:val="en-US"/>
        </w:rPr>
        <w:t xml:space="preserve">OSPAR Convention for the Protection of the Marine Environment of the North-East Atlantic. Meeting </w:t>
      </w:r>
      <w:r w:rsidRPr="0021277B">
        <w:rPr>
          <w:sz w:val="22"/>
          <w:szCs w:val="22"/>
        </w:rPr>
        <w:t xml:space="preserve">of the OSPAR Commission </w:t>
      </w:r>
      <w:r w:rsidRPr="0021277B">
        <w:rPr>
          <w:sz w:val="22"/>
          <w:szCs w:val="22"/>
          <w:lang w:val="en-US"/>
        </w:rPr>
        <w:t xml:space="preserve">Bergen: 20-24 September 2010. Annex 49 (Ref. M6.2). </w:t>
      </w:r>
      <w:hyperlink r:id="rId293" w:history="1">
        <w:r w:rsidRPr="0021277B">
          <w:rPr>
            <w:sz w:val="22"/>
            <w:szCs w:val="22"/>
            <w:u w:val="single"/>
            <w:lang w:val="fr-CA"/>
          </w:rPr>
          <w:t>http://www.ospar.org/content/content.asp?menu=01441000000000_000000_000000</w:t>
        </w:r>
      </w:hyperlink>
      <w:r w:rsidRPr="0021277B">
        <w:rPr>
          <w:sz w:val="22"/>
          <w:szCs w:val="22"/>
          <w:lang w:val="fr-CA"/>
        </w:rPr>
        <w:t xml:space="preserve"> </w:t>
      </w:r>
    </w:p>
    <w:p w14:paraId="1B278659" w14:textId="77777777" w:rsidR="006B3F46" w:rsidRPr="0021277B" w:rsidRDefault="006B3F46" w:rsidP="00907941">
      <w:pPr>
        <w:ind w:left="540" w:hanging="540"/>
        <w:jc w:val="both"/>
        <w:rPr>
          <w:sz w:val="22"/>
          <w:szCs w:val="22"/>
          <w:lang w:val="en-US"/>
        </w:rPr>
      </w:pPr>
      <w:r w:rsidRPr="0021277B">
        <w:rPr>
          <w:sz w:val="22"/>
          <w:szCs w:val="22"/>
          <w:lang w:val="fr-CA"/>
        </w:rPr>
        <w:t xml:space="preserve">OSPAR Commission. </w:t>
      </w:r>
      <w:r w:rsidRPr="0021277B">
        <w:rPr>
          <w:sz w:val="22"/>
          <w:szCs w:val="22"/>
        </w:rPr>
        <w:t xml:space="preserve">2012. </w:t>
      </w:r>
      <w:r w:rsidRPr="0021277B">
        <w:rPr>
          <w:sz w:val="22"/>
          <w:szCs w:val="22"/>
          <w:lang w:val="en-US"/>
        </w:rPr>
        <w:t xml:space="preserve">OSPAR Convention for the Protection of the Marine Environment of the North-East Atlantic. Meeting </w:t>
      </w:r>
      <w:r w:rsidRPr="0021277B">
        <w:rPr>
          <w:sz w:val="22"/>
          <w:szCs w:val="22"/>
        </w:rPr>
        <w:t xml:space="preserve">of the OSPAR Commission </w:t>
      </w:r>
      <w:r w:rsidRPr="0021277B">
        <w:rPr>
          <w:sz w:val="22"/>
          <w:szCs w:val="22"/>
          <w:lang w:val="en-US"/>
        </w:rPr>
        <w:t xml:space="preserve">Bonn: 25-29 June 2012. Annex 6 (Ref. §5.19a). OSPAR Decision 2012/01. </w:t>
      </w:r>
    </w:p>
    <w:p w14:paraId="5659BC9A" w14:textId="77777777" w:rsidR="006B3F46" w:rsidRPr="0021277B" w:rsidRDefault="006B3F46" w:rsidP="00907941">
      <w:pPr>
        <w:ind w:left="540" w:hanging="540"/>
        <w:jc w:val="both"/>
        <w:rPr>
          <w:rFonts w:eastAsia="MS Mincho"/>
          <w:bCs/>
          <w:iCs/>
          <w:sz w:val="22"/>
          <w:szCs w:val="22"/>
        </w:rPr>
      </w:pPr>
      <w:r w:rsidRPr="0021277B">
        <w:rPr>
          <w:rFonts w:eastAsia="MS Mincho"/>
          <w:bCs/>
          <w:iCs/>
          <w:sz w:val="22"/>
          <w:szCs w:val="22"/>
          <w:lang w:val="en-US"/>
        </w:rPr>
        <w:t xml:space="preserve">Priede, I.G., Billett, D.S.M., Brierley, A.S., Hoelzel, A.R., Inall, M., Miller, P.I., Cousins, N.J., Shields, M.A. and T. Fujii. 2013. The ecosystem of the Mid-Atlantic Ridge at the sub-polar front and Charlie-Gibbs Fracture Zone; ECO-MAR project strategy and description of the sampling programme 2007-2010. Deep-Sea Research II </w:t>
      </w:r>
      <w:hyperlink r:id="rId294" w:history="1">
        <w:r w:rsidRPr="0021277B">
          <w:rPr>
            <w:rFonts w:eastAsia="MS Mincho"/>
            <w:bCs/>
            <w:iCs/>
            <w:sz w:val="22"/>
            <w:szCs w:val="22"/>
            <w:u w:val="single"/>
          </w:rPr>
          <w:t>http://dx.doi.org/10.1016/j.dsr2.2013.06.012i</w:t>
        </w:r>
      </w:hyperlink>
      <w:r w:rsidRPr="0021277B">
        <w:rPr>
          <w:rFonts w:eastAsia="MS Mincho"/>
          <w:bCs/>
          <w:iCs/>
          <w:sz w:val="22"/>
          <w:szCs w:val="22"/>
        </w:rPr>
        <w:t>.</w:t>
      </w:r>
    </w:p>
    <w:p w14:paraId="4BA54998" w14:textId="77777777" w:rsidR="006B3F46" w:rsidRPr="0021277B" w:rsidRDefault="006B3F46" w:rsidP="00907941">
      <w:pPr>
        <w:ind w:left="540" w:hanging="540"/>
        <w:jc w:val="both"/>
        <w:rPr>
          <w:rFonts w:eastAsia="MS Mincho"/>
          <w:bCs/>
          <w:iCs/>
          <w:sz w:val="22"/>
          <w:szCs w:val="22"/>
        </w:rPr>
      </w:pPr>
      <w:r w:rsidRPr="0021277B">
        <w:rPr>
          <w:rFonts w:eastAsia="MS Mincho"/>
          <w:bCs/>
          <w:iCs/>
          <w:sz w:val="22"/>
          <w:szCs w:val="22"/>
        </w:rPr>
        <w:t xml:space="preserve">Prieto, R., Silva, M.A., Waring, G. &amp; Gonçalves, J. 2014. Sei whale movements and behavior in the North Atlantic inferred from satellite telemetry. Endangered Species Research. 26. 103-113. DOI: </w:t>
      </w:r>
      <w:hyperlink r:id="rId295" w:history="1">
        <w:r w:rsidRPr="0021277B">
          <w:rPr>
            <w:rFonts w:eastAsia="MS Mincho"/>
            <w:bCs/>
            <w:iCs/>
            <w:sz w:val="22"/>
            <w:szCs w:val="22"/>
            <w:u w:val="single"/>
          </w:rPr>
          <w:t>https://doi.org/10.3354/esr00630</w:t>
        </w:r>
      </w:hyperlink>
    </w:p>
    <w:p w14:paraId="1F052A68" w14:textId="77777777" w:rsidR="006B3F46" w:rsidRPr="0021277B" w:rsidRDefault="006B3F46" w:rsidP="00907941">
      <w:pPr>
        <w:ind w:left="540" w:hanging="540"/>
        <w:jc w:val="both"/>
        <w:rPr>
          <w:rFonts w:eastAsia="MS Mincho"/>
          <w:bCs/>
          <w:iCs/>
          <w:sz w:val="22"/>
          <w:szCs w:val="22"/>
        </w:rPr>
      </w:pPr>
      <w:r w:rsidRPr="0021277B">
        <w:rPr>
          <w:rFonts w:eastAsia="MS Mincho"/>
          <w:bCs/>
          <w:iCs/>
          <w:sz w:val="22"/>
          <w:szCs w:val="22"/>
        </w:rPr>
        <w:t>Revelles, M., Cardona, L., Aguilar, A. &amp; Fernández, G. (2007) The diet of pelagic loggerhead sea turtles (Caretta caretta) off the Balearic archipelago (western Mediterranean): relevance of long-line baits. Journal of the Marine Biological Associationn of the United Kingdom 87: 805 – 813.</w:t>
      </w:r>
    </w:p>
    <w:p w14:paraId="2438979F" w14:textId="77777777" w:rsidR="006B3F46" w:rsidRPr="0021277B" w:rsidRDefault="006B3F46" w:rsidP="00907941">
      <w:pPr>
        <w:ind w:left="540" w:hanging="540"/>
        <w:jc w:val="both"/>
        <w:rPr>
          <w:rFonts w:eastAsia="MS Mincho"/>
          <w:bCs/>
          <w:iCs/>
          <w:sz w:val="22"/>
          <w:szCs w:val="22"/>
        </w:rPr>
      </w:pPr>
      <w:r w:rsidRPr="0021277B">
        <w:rPr>
          <w:rFonts w:eastAsia="MS Mincho"/>
          <w:bCs/>
          <w:iCs/>
          <w:sz w:val="22"/>
          <w:szCs w:val="22"/>
        </w:rPr>
        <w:t>Rogacheva A, Gebruk A. and C.Alt. 2013. Deep-sea holothurians of the Charlie Gibbs Fracture Zone area, northern Mid-Atlantic Ridge. Marine Biology Research 9:587_623.</w:t>
      </w:r>
    </w:p>
    <w:p w14:paraId="2A1D7F50"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Rossby, T. 1999. On gyre interactions. Deep-Sea Research II 46: 139-164.</w:t>
      </w:r>
    </w:p>
    <w:p w14:paraId="48A9DDA7" w14:textId="77777777" w:rsidR="006B3F46" w:rsidRPr="0021277B" w:rsidRDefault="006B3F46" w:rsidP="00907941">
      <w:pPr>
        <w:ind w:left="540" w:hanging="540"/>
        <w:jc w:val="both"/>
        <w:rPr>
          <w:rFonts w:eastAsia="MS Mincho"/>
          <w:bCs/>
          <w:iCs/>
          <w:sz w:val="22"/>
          <w:szCs w:val="22"/>
        </w:rPr>
      </w:pPr>
      <w:r w:rsidRPr="0021277B">
        <w:rPr>
          <w:rFonts w:eastAsia="MS Mincho"/>
          <w:bCs/>
          <w:iCs/>
          <w:sz w:val="22"/>
          <w:szCs w:val="22"/>
        </w:rPr>
        <w:t xml:space="preserve">Saunders, P.M. 1994.The flux of overflow water through the Charlie–Gibbs Fracture Zone. </w:t>
      </w:r>
      <w:r w:rsidRPr="0021277B">
        <w:rPr>
          <w:sz w:val="22"/>
          <w:szCs w:val="22"/>
        </w:rPr>
        <w:t xml:space="preserve">Journal of Geophysical Research </w:t>
      </w:r>
      <w:r w:rsidRPr="0021277B">
        <w:rPr>
          <w:rFonts w:eastAsia="MS Mincho"/>
          <w:bCs/>
          <w:iCs/>
          <w:sz w:val="22"/>
          <w:szCs w:val="22"/>
        </w:rPr>
        <w:t xml:space="preserve">99:12343–12355. </w:t>
      </w:r>
    </w:p>
    <w:p w14:paraId="37A93559"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Searle, R. 1981. The active part of the Charlie-Gibbs Fracture Zone: A study using sonar and other geophysical techniques. Journal of Geophysical Research 86: 243-262.</w:t>
      </w:r>
    </w:p>
    <w:p w14:paraId="71705D76"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Shor, A., Lonsdale, P., Hollister, C.D. and D. Spencer. 1980. Charlie-Gibbs fracture zone: bottom-water transport and its geological effects. Deep-Sea Research 27A: 325-245.</w:t>
      </w:r>
    </w:p>
    <w:p w14:paraId="7EBE78AA"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 xml:space="preserve">Silva, M.A., Prieto, R., Jonsen, I., Baumgartner, M.F., Santos, R.S. 2013. North Atlantic Blue and Fin Whales Suspend Their Spring Migration to Forage in Middle Latitudes: Building up Energy Reserves for the Journey? PLoS ONE 8(10): e76507. </w:t>
      </w:r>
      <w:hyperlink r:id="rId296" w:history="1">
        <w:r w:rsidRPr="0021277B">
          <w:rPr>
            <w:rFonts w:eastAsia="MS Mincho"/>
            <w:bCs/>
            <w:iCs/>
            <w:sz w:val="22"/>
            <w:szCs w:val="22"/>
            <w:u w:val="single"/>
            <w:lang w:val="en-US"/>
          </w:rPr>
          <w:t>https://doi.org/10.1371/journal.pone.0076507</w:t>
        </w:r>
      </w:hyperlink>
    </w:p>
    <w:p w14:paraId="6C281B40"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Skov, H., Gunnlaugsson, T., Budgell, W.P., Horne, J., Nøttestad, L., Olsen, E., Søiland, H., Víkingsson, G. &amp; Waring, G. (2008) Small-scale spatial variability of sperm and sei whales in relation to oceanographic and topographic features along the Mid-Atlantic Ridge. Deep-Sea Research II 55: 254 – 268.</w:t>
      </w:r>
    </w:p>
    <w:p w14:paraId="59AA4C14"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Søiland, H., Budgell, W.P. and Ø Knutsen. 2008. The physical oceanographic conditions along the Mid-Atlantic Ridge north of the Azores in June-July 2004. Deep-Sea Research II 55: 29- 44.</w:t>
      </w:r>
    </w:p>
    <w:p w14:paraId="75356F68"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Sutton, T., Porteiro, F.M., Heino, M., Byrkjedal, I., Langhelle, G., Anderson, C.I.H., Horne, J.P., Søiland, H., Falkenhaug, T., Godø, O.R. &amp; Bergstad, O.A. (2008) Vertical structure, biomass and topographic association of deep-pelagic fishes in relation to a mid-ocean ridge system. Deep-Sea Research II 55: 161 – 184.</w:t>
      </w:r>
    </w:p>
    <w:p w14:paraId="1DFFE850"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Tabachnick, K.R. &amp; Collins, A.G. (2008) Glass sponges (Porifera, Hexactinellidae) of the northern Mid-Atlantic Ridge. Marine Biology Research 4: 25 – 47.</w:t>
      </w:r>
    </w:p>
    <w:p w14:paraId="7D7FFE87"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Vinnichenko, V. I. &amp; Khlivnoy V. N. (2004) Distribution and biological characteristics of young roundnose grenadier (Coryphaenoides rupestris) in the northeast Atlantic (by data of Russian investigations in 2003). ICES Working Group on the Biology and Assessment of Deep-Sea Fisheries Resources Working Document, 2004</w:t>
      </w:r>
    </w:p>
    <w:p w14:paraId="32548D76"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Vinogradov, G.M. 2005. Vertical distribution of macroplankton at the Charlie-Gibbs Fracture Zone (North Atlantic), as observed from the manned submersible “Mir-1”. Marine Biology 146: 325-331.</w:t>
      </w:r>
    </w:p>
    <w:p w14:paraId="70C3AAA0" w14:textId="77777777" w:rsidR="006B3F46" w:rsidRPr="0021277B" w:rsidRDefault="006B3F46" w:rsidP="00907941">
      <w:pPr>
        <w:ind w:left="540" w:hanging="540"/>
        <w:jc w:val="both"/>
        <w:rPr>
          <w:rFonts w:eastAsia="MS Mincho"/>
          <w:bCs/>
          <w:iCs/>
          <w:sz w:val="22"/>
          <w:szCs w:val="22"/>
          <w:lang w:val="en-US"/>
        </w:rPr>
      </w:pPr>
      <w:r w:rsidRPr="0021277B">
        <w:rPr>
          <w:rFonts w:eastAsia="MS Mincho"/>
          <w:bCs/>
          <w:iCs/>
          <w:sz w:val="22"/>
          <w:szCs w:val="22"/>
          <w:lang w:val="en-US"/>
        </w:rPr>
        <w:t>Youngbluth, M., Sørnes, T., Hosia, A. &amp; Stemmann, L. (2008) Vertical distribution and relative abundance of gelatinous zooplankton, in situ observations near the Mid-Atlantic Ridge. Deep-Sea Research II 55: 119 – 125.</w:t>
      </w:r>
    </w:p>
    <w:p w14:paraId="1D75B643" w14:textId="77777777" w:rsidR="006B3F46" w:rsidRPr="0021277B" w:rsidRDefault="006B3F46" w:rsidP="00907941">
      <w:pPr>
        <w:ind w:left="540" w:hanging="540"/>
        <w:jc w:val="both"/>
        <w:rPr>
          <w:rFonts w:eastAsia="MS Mincho"/>
          <w:b/>
          <w:sz w:val="22"/>
          <w:szCs w:val="22"/>
          <w:lang w:val="en-US"/>
        </w:rPr>
      </w:pPr>
    </w:p>
    <w:p w14:paraId="47DDDED0" w14:textId="77777777" w:rsidR="006B3F46" w:rsidRPr="0021277B" w:rsidRDefault="006B3F46" w:rsidP="00907941">
      <w:pPr>
        <w:jc w:val="both"/>
        <w:rPr>
          <w:rFonts w:eastAsia="MS Mincho"/>
          <w:b/>
          <w:sz w:val="22"/>
          <w:szCs w:val="22"/>
          <w:lang w:val="en-US"/>
        </w:rPr>
      </w:pPr>
    </w:p>
    <w:p w14:paraId="25B9AD6D" w14:textId="77777777" w:rsidR="006B3F46" w:rsidRPr="0021277B" w:rsidRDefault="006B3F46" w:rsidP="00907941">
      <w:pPr>
        <w:jc w:val="both"/>
        <w:rPr>
          <w:rFonts w:eastAsia="MS Mincho"/>
          <w:b/>
          <w:sz w:val="22"/>
          <w:szCs w:val="22"/>
          <w:lang w:val="en-US"/>
        </w:rPr>
      </w:pPr>
    </w:p>
    <w:p w14:paraId="0E6D56CC" w14:textId="2036C4B2" w:rsidR="006B3F46" w:rsidRDefault="006B3F46" w:rsidP="002E4B39">
      <w:pPr>
        <w:keepNext/>
        <w:rPr>
          <w:rFonts w:eastAsia="MS Mincho"/>
          <w:b/>
          <w:sz w:val="22"/>
          <w:szCs w:val="22"/>
          <w:lang w:val="en-US"/>
        </w:rPr>
      </w:pPr>
      <w:r w:rsidRPr="00F66EF7">
        <w:rPr>
          <w:rFonts w:eastAsia="MS Mincho"/>
          <w:b/>
          <w:sz w:val="22"/>
          <w:szCs w:val="22"/>
          <w:lang w:val="en-US"/>
        </w:rPr>
        <w:t>Maps and Figures</w:t>
      </w:r>
    </w:p>
    <w:p w14:paraId="13A78217" w14:textId="77777777" w:rsidR="006B3F46" w:rsidRDefault="009E53BE" w:rsidP="00907941">
      <w:pPr>
        <w:jc w:val="both"/>
        <w:rPr>
          <w:rFonts w:eastAsia="MS Mincho"/>
          <w:b/>
          <w:sz w:val="22"/>
          <w:szCs w:val="22"/>
          <w:lang w:val="en-US"/>
        </w:rPr>
      </w:pPr>
      <w:r>
        <w:pict w14:anchorId="3DD5A87B">
          <v:shape id="_x0000_i1137" type="#_x0000_t75" style="width:6in;height:6in">
            <v:imagedata r:id="rId297" o:title=""/>
          </v:shape>
        </w:pict>
      </w:r>
    </w:p>
    <w:p w14:paraId="1C3665C1" w14:textId="77777777" w:rsidR="006B3F46" w:rsidRDefault="006B3F46" w:rsidP="00907941">
      <w:pPr>
        <w:jc w:val="center"/>
        <w:rPr>
          <w:rFonts w:eastAsia="MS Mincho"/>
          <w:b/>
          <w:sz w:val="22"/>
          <w:szCs w:val="22"/>
          <w:lang w:val="en-US"/>
        </w:rPr>
      </w:pPr>
    </w:p>
    <w:p w14:paraId="6DEA55D5" w14:textId="77777777" w:rsidR="006B3F46" w:rsidRPr="0021277B" w:rsidRDefault="006B3F46" w:rsidP="00907941">
      <w:pPr>
        <w:jc w:val="center"/>
        <w:rPr>
          <w:rFonts w:eastAsia="MS Mincho"/>
          <w:b/>
          <w:bCs/>
          <w:sz w:val="22"/>
          <w:szCs w:val="22"/>
          <w:lang w:val="en-US"/>
        </w:rPr>
      </w:pPr>
      <w:r w:rsidRPr="0021277B">
        <w:rPr>
          <w:rFonts w:eastAsia="MS Mincho"/>
          <w:b/>
          <w:bCs/>
          <w:sz w:val="22"/>
          <w:szCs w:val="22"/>
          <w:lang w:val="en-US"/>
        </w:rPr>
        <w:t xml:space="preserve">Location of area no. 15: </w:t>
      </w:r>
      <w:r w:rsidRPr="00EC5399">
        <w:rPr>
          <w:rFonts w:eastAsia="MS Mincho"/>
          <w:b/>
          <w:bCs/>
          <w:sz w:val="22"/>
          <w:szCs w:val="22"/>
          <w:lang w:val="en-US"/>
        </w:rPr>
        <w:t>Charlie-Gibbs Fracture Zone</w:t>
      </w:r>
    </w:p>
    <w:p w14:paraId="51EBB979" w14:textId="77777777" w:rsidR="006B3F46" w:rsidRPr="0021277B" w:rsidRDefault="006B3F46" w:rsidP="00907941">
      <w:pPr>
        <w:jc w:val="both"/>
        <w:rPr>
          <w:rFonts w:eastAsia="MS Mincho"/>
          <w:b/>
          <w:iCs/>
          <w:sz w:val="22"/>
          <w:szCs w:val="22"/>
          <w:lang w:val="en-US"/>
        </w:rPr>
      </w:pPr>
    </w:p>
    <w:p w14:paraId="5B3742C7" w14:textId="77777777" w:rsidR="006B3F46" w:rsidRPr="0021277B" w:rsidRDefault="006B3F46" w:rsidP="00907941">
      <w:pPr>
        <w:jc w:val="both"/>
        <w:rPr>
          <w:rFonts w:eastAsia="MS Mincho"/>
          <w:b/>
          <w:iCs/>
          <w:sz w:val="22"/>
          <w:szCs w:val="22"/>
          <w:lang w:val="en-US"/>
        </w:rPr>
      </w:pPr>
    </w:p>
    <w:p w14:paraId="7209B4BE" w14:textId="77777777" w:rsidR="006B3F46" w:rsidRPr="0021277B" w:rsidRDefault="009E53BE" w:rsidP="00907941">
      <w:pPr>
        <w:jc w:val="both"/>
        <w:rPr>
          <w:rFonts w:eastAsia="MS Mincho"/>
          <w:bCs/>
          <w:color w:val="000000"/>
          <w:sz w:val="22"/>
          <w:szCs w:val="22"/>
          <w:lang w:val="en-US"/>
        </w:rPr>
      </w:pPr>
      <w:r>
        <w:rPr>
          <w:rFonts w:eastAsia="MS Mincho"/>
          <w:noProof/>
          <w:color w:val="000000"/>
          <w:sz w:val="22"/>
          <w:szCs w:val="22"/>
          <w:lang w:eastAsia="en-GB"/>
        </w:rPr>
        <w:pict w14:anchorId="48AD3E8A">
          <v:shape id="_x0000_i1138" type="#_x0000_t75" alt="Charlie-gibbs-full-extent" style="width:480.75pt;height:295.5pt;visibility:visible">
            <v:imagedata r:id="rId298" o:title="Charlie-gibbs-full-extent"/>
          </v:shape>
        </w:pict>
      </w:r>
    </w:p>
    <w:p w14:paraId="7967BECD" w14:textId="77777777" w:rsidR="006B3F46" w:rsidRPr="0021277B" w:rsidRDefault="006B3F46" w:rsidP="00907941">
      <w:pPr>
        <w:jc w:val="both"/>
        <w:rPr>
          <w:rFonts w:eastAsia="MS Mincho"/>
          <w:b/>
          <w:sz w:val="22"/>
          <w:szCs w:val="22"/>
          <w:lang w:val="en-US"/>
        </w:rPr>
      </w:pPr>
    </w:p>
    <w:p w14:paraId="1C0FC053" w14:textId="77777777" w:rsidR="006B3F46" w:rsidRDefault="006B3F46" w:rsidP="00907941">
      <w:pPr>
        <w:tabs>
          <w:tab w:val="left" w:pos="1134"/>
        </w:tabs>
        <w:ind w:left="1134" w:hanging="1134"/>
        <w:jc w:val="both"/>
        <w:rPr>
          <w:rFonts w:eastAsia="MS Mincho"/>
          <w:sz w:val="22"/>
          <w:szCs w:val="22"/>
          <w:lang w:val="en-US"/>
        </w:rPr>
      </w:pPr>
      <w:r w:rsidRPr="0021277B">
        <w:rPr>
          <w:rFonts w:eastAsia="MS Mincho"/>
          <w:b/>
          <w:sz w:val="22"/>
          <w:szCs w:val="22"/>
          <w:lang w:val="en-US"/>
        </w:rPr>
        <w:t>Figure 1</w:t>
      </w:r>
      <w:r w:rsidRPr="0021277B">
        <w:rPr>
          <w:rFonts w:eastAsia="MS Mincho"/>
          <w:b/>
          <w:sz w:val="22"/>
          <w:szCs w:val="22"/>
          <w:lang w:val="en-US"/>
        </w:rPr>
        <w:tab/>
      </w:r>
      <w:r w:rsidRPr="0021277B">
        <w:rPr>
          <w:rFonts w:eastAsia="MS Mincho"/>
          <w:sz w:val="22"/>
          <w:szCs w:val="22"/>
          <w:lang w:val="en-US"/>
        </w:rPr>
        <w:t>Location of the Charlie-Gibbs Fracture Zone (black lines) in the North Atlantic. The Mid-Atlantic Ridge runs through the centre of the Atlantic Ocean</w:t>
      </w:r>
      <w:r>
        <w:rPr>
          <w:rFonts w:eastAsia="MS Mincho"/>
          <w:sz w:val="22"/>
          <w:szCs w:val="22"/>
          <w:lang w:val="en-US"/>
        </w:rPr>
        <w:t>,</w:t>
      </w:r>
      <w:r w:rsidRPr="0021277B">
        <w:rPr>
          <w:rFonts w:eastAsia="MS Mincho"/>
          <w:sz w:val="22"/>
          <w:szCs w:val="22"/>
          <w:lang w:val="en-US"/>
        </w:rPr>
        <w:t xml:space="preserve"> and its left lateral displacement can be clearly seen. </w:t>
      </w:r>
      <w:r w:rsidRPr="0021277B">
        <w:rPr>
          <w:rFonts w:eastAsia="MS Mincho"/>
          <w:sz w:val="22"/>
          <w:szCs w:val="22"/>
          <w:lang w:val="en"/>
        </w:rPr>
        <w:t xml:space="preserve">Image downloaded from:  </w:t>
      </w:r>
      <w:r w:rsidRPr="0021277B">
        <w:rPr>
          <w:rFonts w:eastAsia="MS Mincho"/>
          <w:sz w:val="22"/>
          <w:szCs w:val="22"/>
          <w:lang w:val="en-US"/>
        </w:rPr>
        <w:t>commons.wikimedia.org   File:Charlie-gibbs-full-extent.png - Wikimedia Commons.</w:t>
      </w:r>
    </w:p>
    <w:p w14:paraId="235201C0" w14:textId="77777777" w:rsidR="006B3F46" w:rsidRDefault="006B3F46" w:rsidP="00907941">
      <w:pPr>
        <w:tabs>
          <w:tab w:val="left" w:pos="1134"/>
        </w:tabs>
        <w:ind w:left="1134" w:hanging="1134"/>
        <w:jc w:val="both"/>
        <w:rPr>
          <w:rFonts w:eastAsia="MS Mincho"/>
          <w:sz w:val="22"/>
          <w:szCs w:val="22"/>
          <w:lang w:val="en-US"/>
        </w:rPr>
      </w:pPr>
    </w:p>
    <w:p w14:paraId="1C19F52C" w14:textId="77777777" w:rsidR="006B3F46" w:rsidRPr="0021277B" w:rsidRDefault="006B3F46" w:rsidP="00907941">
      <w:pPr>
        <w:tabs>
          <w:tab w:val="left" w:pos="1134"/>
        </w:tabs>
        <w:ind w:left="1134" w:hanging="1134"/>
        <w:jc w:val="both"/>
        <w:rPr>
          <w:rFonts w:eastAsia="MS Mincho"/>
          <w:sz w:val="22"/>
          <w:szCs w:val="22"/>
          <w:lang w:val="en-US"/>
        </w:rPr>
      </w:pPr>
    </w:p>
    <w:p w14:paraId="2ADF6B55" w14:textId="77777777" w:rsidR="006B3F46" w:rsidRPr="0021277B" w:rsidRDefault="006B3F46" w:rsidP="00907941">
      <w:pPr>
        <w:jc w:val="both"/>
        <w:rPr>
          <w:rFonts w:eastAsia="MS Mincho"/>
          <w:sz w:val="22"/>
          <w:szCs w:val="22"/>
          <w:lang w:val="en-US"/>
        </w:rPr>
      </w:pPr>
    </w:p>
    <w:p w14:paraId="58256741" w14:textId="77777777" w:rsidR="006B3F46" w:rsidRPr="0021277B" w:rsidRDefault="006B3F46" w:rsidP="00907941">
      <w:pPr>
        <w:jc w:val="both"/>
        <w:rPr>
          <w:rFonts w:eastAsia="MS Mincho"/>
          <w:sz w:val="22"/>
          <w:szCs w:val="22"/>
          <w:lang w:val="en-US"/>
        </w:rPr>
      </w:pPr>
    </w:p>
    <w:p w14:paraId="2DF71E7A" w14:textId="77777777" w:rsidR="006B3F46" w:rsidRPr="0021277B" w:rsidRDefault="009E53BE" w:rsidP="00907941">
      <w:pPr>
        <w:jc w:val="both"/>
        <w:rPr>
          <w:rFonts w:eastAsia="MS Mincho"/>
          <w:sz w:val="22"/>
          <w:szCs w:val="22"/>
          <w:lang w:val="en-US"/>
        </w:rPr>
      </w:pPr>
      <w:r>
        <w:rPr>
          <w:rFonts w:eastAsia="MS Mincho"/>
          <w:noProof/>
          <w:sz w:val="22"/>
          <w:szCs w:val="22"/>
          <w:lang w:eastAsia="en-GB"/>
        </w:rPr>
        <w:pict w14:anchorId="39451564">
          <v:shape id="_x0000_i1139" type="#_x0000_t75" alt="CGFZ schematic" style="width:459.75pt;height:323.25pt;visibility:visible">
            <v:imagedata r:id="rId299" o:title="CGFZ schematic"/>
          </v:shape>
        </w:pict>
      </w:r>
    </w:p>
    <w:p w14:paraId="7C58FD71" w14:textId="77777777" w:rsidR="006B3F46" w:rsidRPr="0021277B" w:rsidRDefault="006B3F46" w:rsidP="00907941">
      <w:pPr>
        <w:ind w:firstLine="9"/>
        <w:jc w:val="both"/>
        <w:rPr>
          <w:rFonts w:eastAsia="MS Mincho"/>
          <w:sz w:val="22"/>
          <w:szCs w:val="22"/>
          <w:lang w:val="en-US"/>
        </w:rPr>
      </w:pPr>
      <w:r w:rsidRPr="0021277B">
        <w:rPr>
          <w:rFonts w:eastAsia="MS Mincho"/>
          <w:bCs/>
          <w:sz w:val="22"/>
          <w:szCs w:val="22"/>
          <w:lang w:val="en-US"/>
        </w:rPr>
        <w:t>Figure 2</w:t>
      </w:r>
      <w:r>
        <w:rPr>
          <w:rFonts w:eastAsia="MS Mincho"/>
          <w:bCs/>
          <w:sz w:val="22"/>
          <w:szCs w:val="22"/>
          <w:lang w:val="en-US"/>
        </w:rPr>
        <w:t xml:space="preserve">. </w:t>
      </w:r>
      <w:r w:rsidRPr="0021277B">
        <w:rPr>
          <w:rFonts w:eastAsia="MS Mincho"/>
          <w:sz w:val="22"/>
          <w:szCs w:val="22"/>
          <w:lang w:val="en-US"/>
        </w:rPr>
        <w:t>Schematic of the Charlie-Gibbs Fracture Zone and the Mid-Atlantic Ridge (MAR) indicating</w:t>
      </w:r>
      <w:r>
        <w:rPr>
          <w:rFonts w:eastAsia="MS Mincho"/>
          <w:sz w:val="22"/>
          <w:szCs w:val="22"/>
          <w:lang w:val="en-US"/>
        </w:rPr>
        <w:t xml:space="preserve"> </w:t>
      </w:r>
      <w:r w:rsidRPr="0021277B">
        <w:rPr>
          <w:rFonts w:eastAsia="MS Mincho"/>
          <w:sz w:val="22"/>
          <w:szCs w:val="22"/>
          <w:lang w:val="en-US"/>
        </w:rPr>
        <w:t>the left lateral displacement of the MAR, the North and South transform faults and the central spreading axis. The relative location of two seamounts, Hecate and Minia</w:t>
      </w:r>
      <w:r>
        <w:rPr>
          <w:rFonts w:eastAsia="MS Mincho"/>
          <w:sz w:val="22"/>
          <w:szCs w:val="22"/>
          <w:lang w:val="en-US"/>
        </w:rPr>
        <w:t>,</w:t>
      </w:r>
      <w:r w:rsidRPr="0021277B">
        <w:rPr>
          <w:rFonts w:eastAsia="MS Mincho"/>
          <w:sz w:val="22"/>
          <w:szCs w:val="22"/>
          <w:lang w:val="en-US"/>
        </w:rPr>
        <w:t xml:space="preserve"> are illustrated. </w:t>
      </w:r>
      <w:r w:rsidRPr="0021277B">
        <w:rPr>
          <w:rFonts w:eastAsia="MS Mincho"/>
          <w:sz w:val="22"/>
          <w:szCs w:val="22"/>
          <w:lang w:val="en"/>
        </w:rPr>
        <w:t xml:space="preserve">Image downloaded from:  </w:t>
      </w:r>
      <w:r w:rsidRPr="0021277B">
        <w:rPr>
          <w:rFonts w:eastAsia="MS Mincho"/>
          <w:sz w:val="22"/>
          <w:szCs w:val="22"/>
          <w:lang w:val="en-US"/>
        </w:rPr>
        <w:t>commons.wikimedia.org   File:</w:t>
      </w:r>
      <w:r>
        <w:rPr>
          <w:rFonts w:eastAsia="MS Mincho"/>
          <w:sz w:val="22"/>
          <w:szCs w:val="22"/>
          <w:lang w:val="en-US"/>
        </w:rPr>
        <w:t xml:space="preserve"> </w:t>
      </w:r>
      <w:r w:rsidRPr="0021277B">
        <w:rPr>
          <w:rFonts w:eastAsia="MS Mincho"/>
          <w:sz w:val="22"/>
          <w:szCs w:val="22"/>
          <w:lang w:val="en-US"/>
        </w:rPr>
        <w:t>Charliegibbsschema-en.svg- Wikimedia Commons.</w:t>
      </w:r>
    </w:p>
    <w:p w14:paraId="7CFFD10E" w14:textId="77777777" w:rsidR="006B3F46" w:rsidRPr="0021277B" w:rsidRDefault="006B3F46" w:rsidP="00907941">
      <w:pPr>
        <w:jc w:val="both"/>
        <w:rPr>
          <w:rFonts w:eastAsia="MS Mincho"/>
          <w:sz w:val="22"/>
          <w:szCs w:val="22"/>
          <w:lang w:val="en-US"/>
        </w:rPr>
      </w:pPr>
    </w:p>
    <w:p w14:paraId="7D0413C6" w14:textId="77777777" w:rsidR="006B3F46" w:rsidRPr="0021277B" w:rsidRDefault="006B3F46" w:rsidP="00907941">
      <w:pPr>
        <w:jc w:val="both"/>
        <w:rPr>
          <w:rFonts w:eastAsia="MS Mincho"/>
          <w:sz w:val="22"/>
          <w:szCs w:val="22"/>
          <w:lang w:val="en-US"/>
        </w:rPr>
      </w:pPr>
    </w:p>
    <w:p w14:paraId="20777F5A" w14:textId="77777777" w:rsidR="006B3F46" w:rsidRPr="0021277B" w:rsidRDefault="006B3F46" w:rsidP="00907941">
      <w:pPr>
        <w:jc w:val="both"/>
        <w:rPr>
          <w:rFonts w:eastAsia="MS Mincho"/>
          <w:noProof/>
          <w:sz w:val="22"/>
          <w:szCs w:val="22"/>
          <w:lang w:eastAsia="en-GB"/>
        </w:rPr>
      </w:pPr>
    </w:p>
    <w:p w14:paraId="235D733E" w14:textId="77777777" w:rsidR="006B3F46" w:rsidRPr="0021277B" w:rsidRDefault="009E53BE" w:rsidP="00907941">
      <w:pPr>
        <w:jc w:val="both"/>
        <w:rPr>
          <w:rFonts w:eastAsia="MS Mincho"/>
          <w:sz w:val="22"/>
          <w:szCs w:val="22"/>
          <w:lang w:val="en-US"/>
        </w:rPr>
      </w:pPr>
      <w:r>
        <w:rPr>
          <w:rFonts w:eastAsia="MS Mincho"/>
          <w:noProof/>
          <w:sz w:val="22"/>
          <w:szCs w:val="22"/>
          <w:lang w:eastAsia="en-GB"/>
        </w:rPr>
        <w:pict w14:anchorId="2A526E54">
          <v:shape id="_x0000_i1140" type="#_x0000_t75" alt="OSPAR-Meeresschutzgebiete" style="width:481.5pt;height:383.25pt;visibility:visible">
            <v:imagedata r:id="rId300" o:title="OSPAR-Meeresschutzgebiete"/>
          </v:shape>
        </w:pict>
      </w:r>
    </w:p>
    <w:p w14:paraId="531AD94E" w14:textId="77777777" w:rsidR="006B3F46" w:rsidRPr="0021277B" w:rsidRDefault="006B3F46" w:rsidP="00907941">
      <w:pPr>
        <w:jc w:val="both"/>
        <w:rPr>
          <w:rFonts w:eastAsia="MS Mincho"/>
          <w:sz w:val="22"/>
          <w:szCs w:val="22"/>
          <w:lang w:val="en-US"/>
        </w:rPr>
      </w:pPr>
    </w:p>
    <w:p w14:paraId="480F5FA0" w14:textId="77777777" w:rsidR="006B3F46" w:rsidRPr="0021277B" w:rsidRDefault="006B3F46" w:rsidP="00907941">
      <w:pPr>
        <w:ind w:hanging="54"/>
        <w:jc w:val="both"/>
        <w:rPr>
          <w:rFonts w:eastAsia="MS Mincho"/>
          <w:i/>
          <w:sz w:val="22"/>
          <w:szCs w:val="22"/>
          <w:lang w:val="en-US"/>
        </w:rPr>
      </w:pPr>
      <w:r w:rsidRPr="0021277B">
        <w:rPr>
          <w:rFonts w:eastAsia="MS Mincho"/>
          <w:bCs/>
          <w:sz w:val="22"/>
          <w:szCs w:val="22"/>
          <w:lang w:val="en-US"/>
        </w:rPr>
        <w:t>Figure 3.</w:t>
      </w:r>
      <w:r>
        <w:rPr>
          <w:rFonts w:eastAsia="MS Mincho"/>
          <w:bCs/>
          <w:sz w:val="22"/>
          <w:szCs w:val="22"/>
          <w:lang w:val="en-US"/>
        </w:rPr>
        <w:t xml:space="preserve"> </w:t>
      </w:r>
      <w:r w:rsidRPr="0021277B">
        <w:rPr>
          <w:rFonts w:eastAsia="MS Mincho"/>
          <w:bCs/>
          <w:sz w:val="22"/>
          <w:szCs w:val="22"/>
          <w:lang w:val="en-US"/>
        </w:rPr>
        <w:t>Location of the OSPAR MPAs in the North-East Atlantic, including the large Charlie-Gibbs</w:t>
      </w:r>
      <w:r w:rsidRPr="0021277B">
        <w:rPr>
          <w:rFonts w:eastAsia="MS Mincho"/>
          <w:sz w:val="22"/>
          <w:szCs w:val="22"/>
          <w:lang w:val="en-US"/>
        </w:rPr>
        <w:t xml:space="preserve"> South and Charlie-Gibbs North MPAs in the central area. The areas closed to bottom fishing by NEAFC are indicated by the yellow boundaries. Downloaded 10 Sep 2013 from:  http://charlie-gibbs.org/charlie/node/70 </w:t>
      </w:r>
    </w:p>
    <w:p w14:paraId="10D4523F" w14:textId="77777777" w:rsidR="006B3F46" w:rsidRPr="0021277B" w:rsidRDefault="006B3F46" w:rsidP="00907941">
      <w:pPr>
        <w:jc w:val="both"/>
        <w:rPr>
          <w:sz w:val="22"/>
          <w:szCs w:val="22"/>
        </w:rPr>
      </w:pPr>
    </w:p>
    <w:p w14:paraId="3C63FB8D" w14:textId="77777777" w:rsidR="006B3F46" w:rsidRPr="009978E3" w:rsidRDefault="006B3F46" w:rsidP="00907941">
      <w:pPr>
        <w:jc w:val="center"/>
        <w:rPr>
          <w:rFonts w:eastAsia="MS Mincho"/>
          <w:b/>
          <w:color w:val="000000"/>
          <w:sz w:val="22"/>
          <w:szCs w:val="22"/>
          <w:lang w:val="en-US"/>
        </w:rPr>
      </w:pPr>
      <w:r w:rsidRPr="009978E3">
        <w:rPr>
          <w:rFonts w:eastAsia="MS Mincho"/>
          <w:bCs/>
          <w:color w:val="000000"/>
          <w:sz w:val="22"/>
          <w:szCs w:val="22"/>
          <w:lang w:val="en-US"/>
        </w:rPr>
        <w:br w:type="page"/>
      </w:r>
      <w:r w:rsidRPr="009978E3">
        <w:rPr>
          <w:rFonts w:eastAsia="MS Mincho"/>
          <w:b/>
          <w:color w:val="000000"/>
          <w:sz w:val="22"/>
          <w:szCs w:val="22"/>
          <w:lang w:val="en-US"/>
        </w:rPr>
        <w:t xml:space="preserve">Area no. 16: </w:t>
      </w:r>
      <w:bookmarkStart w:id="37" w:name="_Hlk23780318"/>
      <w:r w:rsidRPr="009978E3">
        <w:rPr>
          <w:rFonts w:eastAsia="MS Mincho"/>
          <w:b/>
          <w:color w:val="000000"/>
          <w:sz w:val="22"/>
          <w:szCs w:val="22"/>
          <w:lang w:val="en-US"/>
        </w:rPr>
        <w:t>Southern Reykjanes Ridge</w:t>
      </w:r>
      <w:r>
        <w:rPr>
          <w:rStyle w:val="FootnoteReference"/>
          <w:rFonts w:eastAsia="MS Mincho"/>
          <w:b/>
          <w:color w:val="000000"/>
          <w:sz w:val="22"/>
          <w:szCs w:val="22"/>
          <w:lang w:val="en-US"/>
        </w:rPr>
        <w:footnoteReference w:id="19"/>
      </w:r>
    </w:p>
    <w:bookmarkEnd w:id="37"/>
    <w:p w14:paraId="001129A8" w14:textId="77777777" w:rsidR="006B3F46" w:rsidRPr="009978E3" w:rsidRDefault="006B3F46" w:rsidP="00907941">
      <w:pPr>
        <w:jc w:val="both"/>
        <w:rPr>
          <w:rFonts w:eastAsia="MS Mincho"/>
          <w:color w:val="000000"/>
          <w:sz w:val="22"/>
          <w:szCs w:val="22"/>
          <w:lang w:val="en-US"/>
        </w:rPr>
      </w:pPr>
      <w:r w:rsidRPr="009978E3">
        <w:rPr>
          <w:rFonts w:eastAsia="MS Mincho"/>
          <w:b/>
          <w:color w:val="000000"/>
          <w:sz w:val="22"/>
          <w:szCs w:val="22"/>
          <w:lang w:val="en-US"/>
        </w:rPr>
        <w:t>Abstract</w:t>
      </w:r>
    </w:p>
    <w:p w14:paraId="2D77AF1B" w14:textId="77777777" w:rsidR="006B3F46" w:rsidRPr="009978E3" w:rsidRDefault="006B3F46" w:rsidP="002E4B39">
      <w:pPr>
        <w:suppressLineNumbers/>
        <w:spacing w:after="120"/>
        <w:jc w:val="both"/>
        <w:rPr>
          <w:color w:val="000000"/>
          <w:sz w:val="22"/>
          <w:szCs w:val="22"/>
          <w:lang w:val="en-US"/>
        </w:rPr>
      </w:pPr>
      <w:r w:rsidRPr="009978E3">
        <w:rPr>
          <w:rFonts w:eastAsia="MS Mincho"/>
          <w:color w:val="000000"/>
          <w:sz w:val="22"/>
          <w:szCs w:val="22"/>
          <w:lang w:val="en-US"/>
        </w:rPr>
        <w:t>Reykjanes Ridge is part of the major topographic feature of the Atlantic Ocean, the Mid-Atlantic Ridge. The Mid-Atlantic Ridge separates the Newfoundland and Labrador Basins from the West-European Basin and the Irminger Sea from the Iceland Basin, influencing hydrography and circulation. The ridge crest is generally cut by a deep rift valley along its length, bordered by high rift mountains, which are bordered by high fractured plateaus. This region is largely composed of volcanic rock, which is the foundation of the area and provides a hard-bottom substrate for the colonization of benthic communities, including vulnerable and habitat</w:t>
      </w:r>
      <w:r>
        <w:rPr>
          <w:rFonts w:eastAsia="MS Mincho"/>
          <w:color w:val="000000"/>
          <w:sz w:val="22"/>
          <w:szCs w:val="22"/>
          <w:lang w:val="en-US"/>
        </w:rPr>
        <w:t>-</w:t>
      </w:r>
      <w:r w:rsidRPr="009978E3">
        <w:rPr>
          <w:rFonts w:eastAsia="MS Mincho"/>
          <w:color w:val="000000"/>
          <w:sz w:val="22"/>
          <w:szCs w:val="22"/>
          <w:lang w:val="en-US"/>
        </w:rPr>
        <w:t>forming species.</w:t>
      </w:r>
      <w:r w:rsidRPr="009978E3">
        <w:rPr>
          <w:rFonts w:eastAsia="MS Mincho"/>
          <w:color w:val="000000"/>
          <w:sz w:val="22"/>
          <w:szCs w:val="22"/>
          <w:lang w:val="en"/>
        </w:rPr>
        <w:t xml:space="preserve"> </w:t>
      </w:r>
      <w:r w:rsidRPr="009978E3">
        <w:rPr>
          <w:rFonts w:eastAsia="MS Mincho"/>
          <w:color w:val="000000"/>
          <w:sz w:val="22"/>
          <w:szCs w:val="22"/>
          <w:lang w:val="en-US"/>
        </w:rPr>
        <w:t>The area supports several endangered and threatened shark and ray species.</w:t>
      </w:r>
      <w:r w:rsidRPr="009978E3">
        <w:rPr>
          <w:color w:val="000000"/>
          <w:sz w:val="22"/>
          <w:szCs w:val="22"/>
          <w:lang w:val="en-US"/>
        </w:rPr>
        <w:t xml:space="preserve"> The Ridge itself and its complex hydrographic setting contribute to enhanced vertical mixing and turbulence, resulting in areas of increased productivity </w:t>
      </w:r>
      <w:r>
        <w:rPr>
          <w:color w:val="000000"/>
          <w:sz w:val="22"/>
          <w:szCs w:val="22"/>
          <w:lang w:val="en-US"/>
        </w:rPr>
        <w:t xml:space="preserve">above </w:t>
      </w:r>
      <w:r w:rsidRPr="009978E3">
        <w:rPr>
          <w:color w:val="000000"/>
          <w:sz w:val="22"/>
          <w:szCs w:val="22"/>
          <w:lang w:val="en-US"/>
        </w:rPr>
        <w:t xml:space="preserve"> the Ridge.</w:t>
      </w:r>
      <w:r w:rsidRPr="009978E3">
        <w:rPr>
          <w:rFonts w:eastAsia="MS Mincho"/>
          <w:color w:val="000000"/>
          <w:sz w:val="22"/>
          <w:szCs w:val="22"/>
          <w:lang w:val="en"/>
        </w:rPr>
        <w:t xml:space="preserve"> The 2,500 m depth contour is used to inform the </w:t>
      </w:r>
      <w:r w:rsidRPr="002E4B39">
        <w:rPr>
          <w:rFonts w:eastAsia="MS Mincho"/>
          <w:sz w:val="22"/>
          <w:szCs w:val="22"/>
          <w:lang w:val="en-US"/>
        </w:rPr>
        <w:t>boundary</w:t>
      </w:r>
      <w:r w:rsidRPr="009978E3">
        <w:rPr>
          <w:rFonts w:eastAsia="MS Mincho"/>
          <w:color w:val="000000"/>
          <w:sz w:val="22"/>
          <w:szCs w:val="22"/>
          <w:lang w:val="en"/>
        </w:rPr>
        <w:t xml:space="preserve"> of the area, capturing </w:t>
      </w:r>
      <w:r>
        <w:rPr>
          <w:rFonts w:eastAsia="MS Mincho"/>
          <w:color w:val="000000"/>
          <w:sz w:val="22"/>
          <w:szCs w:val="22"/>
          <w:lang w:val="en"/>
        </w:rPr>
        <w:t>most</w:t>
      </w:r>
      <w:r w:rsidRPr="009978E3">
        <w:rPr>
          <w:rFonts w:eastAsia="MS Mincho"/>
          <w:color w:val="000000"/>
          <w:sz w:val="22"/>
          <w:szCs w:val="22"/>
          <w:lang w:val="en"/>
        </w:rPr>
        <w:t xml:space="preserve"> of the ridge crest and known distribution of deep-water corals. </w:t>
      </w:r>
    </w:p>
    <w:p w14:paraId="0F6FFA47" w14:textId="77777777" w:rsidR="006B3F46" w:rsidRPr="009978E3" w:rsidRDefault="006B3F46" w:rsidP="00907941">
      <w:pPr>
        <w:jc w:val="both"/>
        <w:rPr>
          <w:rFonts w:eastAsia="MS Mincho"/>
          <w:color w:val="000000"/>
          <w:sz w:val="22"/>
          <w:szCs w:val="22"/>
          <w:lang w:val="en-US"/>
        </w:rPr>
      </w:pPr>
      <w:r w:rsidRPr="009978E3">
        <w:rPr>
          <w:rFonts w:eastAsia="MS Mincho"/>
          <w:b/>
          <w:color w:val="000000"/>
          <w:sz w:val="22"/>
          <w:szCs w:val="22"/>
          <w:lang w:val="en-US"/>
        </w:rPr>
        <w:t>Introduction</w:t>
      </w:r>
    </w:p>
    <w:p w14:paraId="55E122F9" w14:textId="77777777" w:rsidR="006B3F46" w:rsidRPr="009978E3" w:rsidRDefault="006B3F46" w:rsidP="002E4B39">
      <w:pPr>
        <w:suppressLineNumbers/>
        <w:spacing w:after="120"/>
        <w:jc w:val="both"/>
        <w:rPr>
          <w:color w:val="000000"/>
          <w:sz w:val="22"/>
          <w:szCs w:val="22"/>
          <w:lang w:val="en-US"/>
        </w:rPr>
      </w:pPr>
      <w:r w:rsidRPr="009978E3">
        <w:rPr>
          <w:rFonts w:eastAsia="MS Mincho"/>
          <w:color w:val="000000"/>
          <w:sz w:val="22"/>
          <w:szCs w:val="22"/>
          <w:lang w:val="en-US"/>
        </w:rPr>
        <w:t>Mid-ocean ridge systems occupy a third of the ocean floor and are the site</w:t>
      </w:r>
      <w:r>
        <w:rPr>
          <w:rFonts w:eastAsia="MS Mincho"/>
          <w:color w:val="000000"/>
          <w:sz w:val="22"/>
          <w:szCs w:val="22"/>
          <w:lang w:val="en-US"/>
        </w:rPr>
        <w:t>s</w:t>
      </w:r>
      <w:r w:rsidRPr="009978E3">
        <w:rPr>
          <w:rFonts w:eastAsia="MS Mincho"/>
          <w:color w:val="000000"/>
          <w:sz w:val="22"/>
          <w:szCs w:val="22"/>
          <w:lang w:val="en-US"/>
        </w:rPr>
        <w:t xml:space="preserve"> </w:t>
      </w:r>
      <w:r>
        <w:rPr>
          <w:rFonts w:eastAsia="MS Mincho"/>
          <w:color w:val="000000"/>
          <w:sz w:val="22"/>
          <w:szCs w:val="22"/>
          <w:lang w:val="en-US"/>
        </w:rPr>
        <w:t xml:space="preserve">where </w:t>
      </w:r>
      <w:r w:rsidRPr="009978E3">
        <w:rPr>
          <w:rFonts w:eastAsia="MS Mincho"/>
          <w:color w:val="000000"/>
          <w:sz w:val="22"/>
          <w:szCs w:val="22"/>
          <w:lang w:val="en-US"/>
        </w:rPr>
        <w:t xml:space="preserve"> new </w:t>
      </w:r>
      <w:r>
        <w:rPr>
          <w:rFonts w:eastAsia="MS Mincho"/>
          <w:color w:val="000000"/>
          <w:sz w:val="22"/>
          <w:szCs w:val="22"/>
          <w:lang w:val="en-US"/>
        </w:rPr>
        <w:t xml:space="preserve">portions of the </w:t>
      </w:r>
      <w:r w:rsidRPr="009978E3">
        <w:rPr>
          <w:rFonts w:eastAsia="MS Mincho"/>
          <w:color w:val="000000"/>
          <w:sz w:val="22"/>
          <w:szCs w:val="22"/>
          <w:lang w:val="en-US"/>
        </w:rPr>
        <w:t>Earth’s crust</w:t>
      </w:r>
      <w:r>
        <w:rPr>
          <w:rFonts w:eastAsia="MS Mincho"/>
          <w:color w:val="000000"/>
          <w:sz w:val="22"/>
          <w:szCs w:val="22"/>
          <w:lang w:val="en-US"/>
        </w:rPr>
        <w:t xml:space="preserve"> form</w:t>
      </w:r>
      <w:r w:rsidRPr="009978E3">
        <w:rPr>
          <w:rFonts w:eastAsia="MS Mincho"/>
          <w:color w:val="000000"/>
          <w:sz w:val="22"/>
          <w:szCs w:val="22"/>
          <w:lang w:val="en-US"/>
        </w:rPr>
        <w:t xml:space="preserve"> (Heezen 1969). The Mid-Atlantic Ridge (MAR), a tectonic continental plate boundary, is the major topographic feature of the Atlantic Ocean, extending over 12,000 km from Iceland to the Bouvet Triple Junction in the South </w:t>
      </w:r>
      <w:r w:rsidRPr="009978E3">
        <w:rPr>
          <w:rFonts w:eastAsia="MS Mincho"/>
          <w:bCs/>
          <w:color w:val="000000"/>
          <w:sz w:val="22"/>
          <w:szCs w:val="22"/>
          <w:lang w:val="en-US"/>
        </w:rPr>
        <w:t>Atlantic (Figure 1).</w:t>
      </w:r>
      <w:r w:rsidRPr="009978E3">
        <w:rPr>
          <w:rFonts w:eastAsia="MS Mincho"/>
          <w:color w:val="000000"/>
          <w:sz w:val="22"/>
          <w:szCs w:val="22"/>
          <w:lang w:val="en-US"/>
        </w:rPr>
        <w:t xml:space="preserve"> It divides the ocean longitudinally into two halves, each cut by secondary transverse ridges and interrupted by strike-slip transform faults that offset the ridge in opposing directions on either side of the axis of seafloor spreadin</w:t>
      </w:r>
      <w:r w:rsidRPr="009978E3">
        <w:rPr>
          <w:rFonts w:eastAsia="MS Mincho"/>
          <w:color w:val="000000"/>
          <w:sz w:val="22"/>
          <w:szCs w:val="22"/>
          <w:lang w:eastAsia="en-GB"/>
        </w:rPr>
        <w:t xml:space="preserve">g. </w:t>
      </w:r>
      <w:r w:rsidRPr="009978E3">
        <w:rPr>
          <w:color w:val="000000"/>
          <w:sz w:val="22"/>
          <w:szCs w:val="22"/>
          <w:lang w:val="en-US"/>
        </w:rPr>
        <w:t xml:space="preserve">It has a profound role in the circulation of the water masses in the North Atlantic (Rossby, 1999; Bower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2002; Heger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2008; Søiland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2008). The complex hydrographic setting and the presence of the Ridge lead to enhanced vertical mixing and turbulence</w:t>
      </w:r>
      <w:r>
        <w:rPr>
          <w:color w:val="000000"/>
          <w:sz w:val="22"/>
          <w:szCs w:val="22"/>
          <w:lang w:val="en-US"/>
        </w:rPr>
        <w:t>,</w:t>
      </w:r>
      <w:r w:rsidRPr="009978E3">
        <w:rPr>
          <w:color w:val="000000"/>
          <w:sz w:val="22"/>
          <w:szCs w:val="22"/>
          <w:lang w:val="en-US"/>
        </w:rPr>
        <w:t xml:space="preserve"> resulting in areas of increased productivity over the Ridge (Falkowski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1998; Heger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2008). </w:t>
      </w:r>
    </w:p>
    <w:p w14:paraId="7376263B" w14:textId="77777777" w:rsidR="006B3F46" w:rsidRPr="009978E3" w:rsidRDefault="006B3F46" w:rsidP="002E4B39">
      <w:pPr>
        <w:suppressLineNumbers/>
        <w:spacing w:after="120"/>
        <w:jc w:val="both"/>
        <w:rPr>
          <w:color w:val="000000"/>
          <w:sz w:val="22"/>
          <w:szCs w:val="22"/>
          <w:lang w:val="en-US"/>
        </w:rPr>
      </w:pPr>
      <w:r w:rsidRPr="009978E3">
        <w:rPr>
          <w:color w:val="000000"/>
          <w:sz w:val="22"/>
          <w:szCs w:val="22"/>
          <w:lang w:val="en-US"/>
        </w:rPr>
        <w:t xml:space="preserve">Reykjanes Ridge is tectonically active, with a relatively low spreading rate of a few centimetres a year (Mironov &amp; Gebruk, 2006). Volcanic activity is thought to be high, shown by the growth of lava domes, the development of extended volcanic chains and regular infilling of cracks with basaltic material (Sbortshikov &amp;Rudenko, 1990; Mironov &amp; Gebruk, 2006). </w:t>
      </w:r>
      <w:r w:rsidRPr="009978E3">
        <w:rPr>
          <w:rFonts w:eastAsia="MS Mincho"/>
          <w:color w:val="000000"/>
          <w:sz w:val="22"/>
          <w:szCs w:val="22"/>
          <w:lang w:val="en"/>
        </w:rPr>
        <w:t xml:space="preserve">Studies of volcanic rocks from the submerged MAR suggest that it consists largely of tholeiitic basalt with low values of K, Ti, and P. In contrast, the volcanic islands </w:t>
      </w:r>
      <w:r>
        <w:rPr>
          <w:rFonts w:eastAsia="MS Mincho"/>
          <w:color w:val="000000"/>
          <w:sz w:val="22"/>
          <w:szCs w:val="22"/>
          <w:lang w:val="en"/>
        </w:rPr>
        <w:t>that</w:t>
      </w:r>
      <w:r w:rsidRPr="009978E3">
        <w:rPr>
          <w:rFonts w:eastAsia="MS Mincho"/>
          <w:color w:val="000000"/>
          <w:sz w:val="22"/>
          <w:szCs w:val="22"/>
          <w:lang w:val="en"/>
        </w:rPr>
        <w:t xml:space="preserve"> form the elevated caps on the Ridge are built of alkali basalt with high values of Ti, Fe</w:t>
      </w:r>
      <w:r w:rsidRPr="009978E3">
        <w:rPr>
          <w:rFonts w:eastAsia="MS Mincho"/>
          <w:color w:val="000000"/>
          <w:sz w:val="22"/>
          <w:szCs w:val="22"/>
          <w:vertAlign w:val="superscript"/>
          <w:lang w:val="en"/>
        </w:rPr>
        <w:t>3+</w:t>
      </w:r>
      <w:r w:rsidRPr="009978E3">
        <w:rPr>
          <w:rFonts w:eastAsia="MS Mincho"/>
          <w:color w:val="000000"/>
          <w:sz w:val="22"/>
          <w:szCs w:val="22"/>
          <w:lang w:val="en"/>
        </w:rPr>
        <w:t xml:space="preserve">, P, Na, and K (Engel and Engel 1964). </w:t>
      </w:r>
      <w:r w:rsidRPr="009978E3">
        <w:rPr>
          <w:rFonts w:eastAsia="MS Mincho"/>
          <w:color w:val="000000"/>
          <w:sz w:val="22"/>
          <w:szCs w:val="22"/>
          <w:lang w:val="en-US"/>
        </w:rPr>
        <w:t xml:space="preserve">Variations in mineral content result from chemical and isotopic heterogeneity in the mantle (White and Schilling 1978). </w:t>
      </w:r>
      <w:r w:rsidRPr="009978E3">
        <w:rPr>
          <w:color w:val="000000"/>
          <w:sz w:val="22"/>
          <w:szCs w:val="22"/>
          <w:lang w:val="en-US"/>
        </w:rPr>
        <w:t>There is one site north of the area that has been shown to have hydrothermal activity</w:t>
      </w:r>
      <w:r>
        <w:rPr>
          <w:color w:val="000000"/>
          <w:sz w:val="22"/>
          <w:szCs w:val="22"/>
          <w:lang w:val="en-US"/>
        </w:rPr>
        <w:t>:</w:t>
      </w:r>
      <w:r w:rsidRPr="009978E3">
        <w:rPr>
          <w:color w:val="000000"/>
          <w:sz w:val="22"/>
          <w:szCs w:val="22"/>
          <w:lang w:val="en-US"/>
        </w:rPr>
        <w:t xml:space="preserve"> Steinaholl vent field at 63°06’N (Olaffson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1991; German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1994; Mironov &amp; Gebruk, 2006). No other hydrothermal activity has so far been detected along the Reykjanes Ridge, despite intensive sampling (German </w:t>
      </w:r>
      <w:r w:rsidRPr="0006066A">
        <w:rPr>
          <w:i/>
          <w:color w:val="000000"/>
          <w:sz w:val="22"/>
          <w:szCs w:val="22"/>
          <w:lang w:val="en-US"/>
        </w:rPr>
        <w:t>et al</w:t>
      </w:r>
      <w:r w:rsidRPr="009978E3">
        <w:rPr>
          <w:color w:val="000000"/>
          <w:sz w:val="22"/>
          <w:szCs w:val="22"/>
          <w:lang w:val="en-US"/>
        </w:rPr>
        <w:t xml:space="preserve">, 1994; German &amp; Parsons, 1998). The crests of the </w:t>
      </w:r>
      <w:r>
        <w:rPr>
          <w:color w:val="000000"/>
          <w:sz w:val="22"/>
          <w:szCs w:val="22"/>
          <w:lang w:val="en-US"/>
        </w:rPr>
        <w:t>MAR</w:t>
      </w:r>
      <w:r w:rsidRPr="009978E3">
        <w:rPr>
          <w:color w:val="000000"/>
          <w:sz w:val="22"/>
          <w:szCs w:val="22"/>
          <w:lang w:val="en-US"/>
        </w:rPr>
        <w:t xml:space="preserve"> consist mostly of hard volcanic rock</w:t>
      </w:r>
      <w:r>
        <w:rPr>
          <w:color w:val="000000"/>
          <w:sz w:val="22"/>
          <w:szCs w:val="22"/>
          <w:lang w:val="en-US"/>
        </w:rPr>
        <w:t>,</w:t>
      </w:r>
      <w:r w:rsidRPr="009978E3">
        <w:rPr>
          <w:color w:val="000000"/>
          <w:sz w:val="22"/>
          <w:szCs w:val="22"/>
          <w:lang w:val="en-US"/>
        </w:rPr>
        <w:t xml:space="preserve"> whereas the flanks are covered with expanding thicknesses of soft sediments with increasing distance from the crests (Dinter, 2001). The Reykjanes Ridge is characterized by high sedimentation rates, which are related to the high biological productivity in the </w:t>
      </w:r>
      <w:r w:rsidRPr="002E4B39">
        <w:rPr>
          <w:rFonts w:eastAsia="MS Mincho"/>
          <w:sz w:val="22"/>
          <w:szCs w:val="22"/>
          <w:lang w:val="en-US"/>
        </w:rPr>
        <w:t>mixing</w:t>
      </w:r>
      <w:r w:rsidRPr="009978E3">
        <w:rPr>
          <w:color w:val="000000"/>
          <w:sz w:val="22"/>
          <w:szCs w:val="22"/>
          <w:lang w:val="en-US"/>
        </w:rPr>
        <w:t xml:space="preserve"> zone of different water masses (Mironov &amp; Gebruk, 2006).</w:t>
      </w:r>
    </w:p>
    <w:p w14:paraId="6B1B1808" w14:textId="77777777" w:rsidR="006B3F46" w:rsidRPr="009978E3" w:rsidRDefault="006B3F46" w:rsidP="002E4B39">
      <w:pPr>
        <w:suppressLineNumbers/>
        <w:spacing w:after="120"/>
        <w:jc w:val="both"/>
        <w:rPr>
          <w:rFonts w:eastAsia="MS Mincho"/>
          <w:color w:val="000000"/>
          <w:sz w:val="22"/>
          <w:szCs w:val="22"/>
          <w:lang w:val="en-US"/>
        </w:rPr>
      </w:pPr>
      <w:r w:rsidRPr="009978E3">
        <w:rPr>
          <w:rFonts w:eastAsia="MS Mincho"/>
          <w:color w:val="000000"/>
          <w:sz w:val="22"/>
          <w:szCs w:val="22"/>
          <w:lang w:val="en-US"/>
        </w:rPr>
        <w:t xml:space="preserve">The </w:t>
      </w:r>
      <w:r w:rsidRPr="002E4B39">
        <w:rPr>
          <w:rFonts w:eastAsia="MS Mincho"/>
          <w:sz w:val="22"/>
          <w:szCs w:val="22"/>
          <w:lang w:val="en-US"/>
        </w:rPr>
        <w:t>general</w:t>
      </w:r>
      <w:r w:rsidRPr="009978E3">
        <w:rPr>
          <w:rFonts w:eastAsia="MS Mincho"/>
          <w:color w:val="000000"/>
          <w:sz w:val="22"/>
          <w:szCs w:val="22"/>
          <w:lang w:val="en-US"/>
        </w:rPr>
        <w:t xml:space="preserve"> physiography of the MAR was documented some time ago (Heezen el al. 1959). The ridge crest is generally notched by a deep rift valley along its length, bordered by high rift mountains, which in turn are bordered by high fractured plateaus (Heezen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1959). These crest zones are generally well defined and present along the full length of the MAR (Malinverno 1990). At approximately 50 -75 km from the axis of the ridge, the crest merges with sediment covered flanks</w:t>
      </w:r>
      <w:r>
        <w:rPr>
          <w:rFonts w:eastAsia="MS Mincho"/>
          <w:color w:val="000000"/>
          <w:sz w:val="22"/>
          <w:szCs w:val="22"/>
          <w:lang w:val="en-US"/>
        </w:rPr>
        <w:t>,</w:t>
      </w:r>
      <w:r w:rsidRPr="009978E3">
        <w:rPr>
          <w:rFonts w:eastAsia="MS Mincho"/>
          <w:color w:val="000000"/>
          <w:sz w:val="22"/>
          <w:szCs w:val="22"/>
          <w:lang w:val="en-US"/>
        </w:rPr>
        <w:t xml:space="preserve"> which extend down to the abyssal plain (van Andel and Bowin 1968). The flanks are composed of </w:t>
      </w:r>
      <w:r w:rsidRPr="009978E3">
        <w:rPr>
          <w:rFonts w:eastAsia="MS Mincho"/>
          <w:color w:val="000000"/>
          <w:sz w:val="22"/>
          <w:szCs w:val="22"/>
          <w:lang w:val="en"/>
        </w:rPr>
        <w:t>a succession of smooth shelves, each from 2 to 100 km from the central axis and</w:t>
      </w:r>
      <w:r w:rsidRPr="009978E3">
        <w:rPr>
          <w:rFonts w:eastAsia="MS Mincho"/>
          <w:color w:val="000000"/>
          <w:sz w:val="22"/>
          <w:szCs w:val="22"/>
          <w:lang w:val="en-US"/>
        </w:rPr>
        <w:t xml:space="preserve"> subdivided into upper, middle, and lower steps (Heezen el al. 1959) extending in some areas to depths of 4,572 m (Tolstoy and Ewing 1949). The flanks are generally covered with soft sediments. </w:t>
      </w:r>
    </w:p>
    <w:p w14:paraId="0A62132A" w14:textId="77777777" w:rsidR="006B3F46" w:rsidRPr="009978E3" w:rsidRDefault="006B3F46" w:rsidP="002E4B39">
      <w:pPr>
        <w:suppressLineNumbers/>
        <w:spacing w:after="120"/>
        <w:jc w:val="both"/>
        <w:rPr>
          <w:rFonts w:eastAsia="MS Mincho"/>
          <w:color w:val="000000"/>
          <w:sz w:val="22"/>
          <w:szCs w:val="22"/>
          <w:lang w:val="en-US"/>
        </w:rPr>
      </w:pPr>
      <w:r w:rsidRPr="002E4B39">
        <w:rPr>
          <w:rFonts w:eastAsia="MS Mincho"/>
          <w:sz w:val="22"/>
          <w:szCs w:val="22"/>
          <w:lang w:val="en-US"/>
        </w:rPr>
        <w:t>Within</w:t>
      </w:r>
      <w:r w:rsidRPr="009978E3">
        <w:rPr>
          <w:rFonts w:eastAsia="MS Mincho"/>
          <w:color w:val="000000"/>
          <w:sz w:val="22"/>
          <w:szCs w:val="22"/>
          <w:lang w:val="en-US"/>
        </w:rPr>
        <w:t xml:space="preserve"> the OSPAR area, the Northern MAR separates the Newfoundland and Labrador Basins from the West-European Basin and the Irminger from the Iceland Basin. It </w:t>
      </w:r>
      <w:r>
        <w:rPr>
          <w:rFonts w:eastAsia="MS Mincho"/>
          <w:color w:val="000000"/>
          <w:sz w:val="22"/>
          <w:szCs w:val="22"/>
          <w:lang w:val="en-US"/>
        </w:rPr>
        <w:t>plays</w:t>
      </w:r>
      <w:r w:rsidRPr="009978E3">
        <w:rPr>
          <w:rFonts w:eastAsia="MS Mincho"/>
          <w:color w:val="000000"/>
          <w:sz w:val="22"/>
          <w:szCs w:val="22"/>
          <w:lang w:val="en-US"/>
        </w:rPr>
        <w:t xml:space="preserve"> a</w:t>
      </w:r>
      <w:r>
        <w:rPr>
          <w:rFonts w:eastAsia="MS Mincho"/>
          <w:color w:val="000000"/>
          <w:sz w:val="22"/>
          <w:szCs w:val="22"/>
          <w:lang w:val="en-US"/>
        </w:rPr>
        <w:t>n important</w:t>
      </w:r>
      <w:r w:rsidRPr="009978E3">
        <w:rPr>
          <w:rFonts w:eastAsia="MS Mincho"/>
          <w:color w:val="000000"/>
          <w:sz w:val="22"/>
          <w:szCs w:val="22"/>
          <w:lang w:val="en-US"/>
        </w:rPr>
        <w:t xml:space="preserve"> role in the circulation of the water masses in the North Atlantic (Rossby 1999, Bower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2002, Søiland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2008) with </w:t>
      </w:r>
      <w:r w:rsidRPr="009978E3">
        <w:rPr>
          <w:rFonts w:eastAsia="MS Mincho"/>
          <w:color w:val="000000"/>
          <w:sz w:val="22"/>
          <w:szCs w:val="22"/>
          <w:lang w:val="en"/>
        </w:rPr>
        <w:t>currents crossing the MAR over deep gaps in the ridge and influencing upper-ocean circulation patterns (</w:t>
      </w:r>
      <w:r w:rsidRPr="009978E3">
        <w:rPr>
          <w:rFonts w:eastAsia="MS Mincho"/>
          <w:color w:val="000000"/>
          <w:sz w:val="22"/>
          <w:szCs w:val="22"/>
          <w:lang w:val="en-US"/>
        </w:rPr>
        <w:t xml:space="preserve">Bower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2002). Canyons cut into the flanks may influence upward fluxes of water and abyssal mixing (Speer and Thurnherr 2005). </w:t>
      </w:r>
    </w:p>
    <w:p w14:paraId="7D865D94" w14:textId="77777777" w:rsidR="006B3F46" w:rsidRPr="009978E3" w:rsidRDefault="006B3F46" w:rsidP="002E4B39">
      <w:pPr>
        <w:suppressLineNumbers/>
        <w:spacing w:after="120"/>
        <w:jc w:val="both"/>
        <w:rPr>
          <w:color w:val="000000"/>
          <w:sz w:val="22"/>
          <w:szCs w:val="22"/>
          <w:lang w:val="en-US"/>
        </w:rPr>
      </w:pPr>
      <w:r w:rsidRPr="009978E3">
        <w:rPr>
          <w:color w:val="000000"/>
          <w:sz w:val="22"/>
          <w:szCs w:val="22"/>
          <w:lang w:val="en-US"/>
        </w:rPr>
        <w:t xml:space="preserve">Over </w:t>
      </w:r>
      <w:r w:rsidRPr="002E4B39">
        <w:rPr>
          <w:rFonts w:eastAsia="MS Mincho"/>
          <w:sz w:val="22"/>
          <w:szCs w:val="22"/>
          <w:lang w:val="en-US"/>
        </w:rPr>
        <w:t>the</w:t>
      </w:r>
      <w:r w:rsidRPr="009978E3">
        <w:rPr>
          <w:color w:val="000000"/>
          <w:sz w:val="22"/>
          <w:szCs w:val="22"/>
          <w:lang w:val="en-US"/>
        </w:rPr>
        <w:t xml:space="preserve"> </w:t>
      </w:r>
      <w:r>
        <w:rPr>
          <w:color w:val="000000"/>
          <w:sz w:val="22"/>
          <w:szCs w:val="22"/>
          <w:lang w:val="en-US"/>
        </w:rPr>
        <w:t>MAR</w:t>
      </w:r>
      <w:r w:rsidRPr="009978E3">
        <w:rPr>
          <w:color w:val="000000"/>
          <w:sz w:val="22"/>
          <w:szCs w:val="22"/>
          <w:lang w:val="en-US"/>
        </w:rPr>
        <w:t xml:space="preserve"> within the OSPAR area there are three main water masses in the upper ocean</w:t>
      </w:r>
      <w:r>
        <w:rPr>
          <w:color w:val="000000"/>
          <w:sz w:val="22"/>
          <w:szCs w:val="22"/>
          <w:lang w:val="en-US"/>
        </w:rPr>
        <w:t>;</w:t>
      </w:r>
      <w:r w:rsidRPr="009978E3">
        <w:rPr>
          <w:color w:val="000000"/>
          <w:sz w:val="22"/>
          <w:szCs w:val="22"/>
          <w:lang w:val="en-US"/>
        </w:rPr>
        <w:t xml:space="preserve"> the one found within the area is often termed Modified North Atlantic Water (Søiland </w:t>
      </w:r>
      <w:r w:rsidRPr="0006066A">
        <w:rPr>
          <w:i/>
          <w:color w:val="000000"/>
          <w:sz w:val="22"/>
          <w:szCs w:val="22"/>
          <w:lang w:val="en-US"/>
        </w:rPr>
        <w:t>et al</w:t>
      </w:r>
      <w:r w:rsidRPr="009978E3">
        <w:rPr>
          <w:color w:val="000000"/>
          <w:sz w:val="22"/>
          <w:szCs w:val="22"/>
          <w:lang w:val="en-US"/>
        </w:rPr>
        <w:t>, 2008).</w:t>
      </w:r>
      <w:r>
        <w:rPr>
          <w:color w:val="000000"/>
          <w:sz w:val="22"/>
          <w:szCs w:val="22"/>
          <w:lang w:val="en-US"/>
        </w:rPr>
        <w:t xml:space="preserve"> </w:t>
      </w:r>
      <w:r w:rsidRPr="009978E3">
        <w:rPr>
          <w:color w:val="000000"/>
          <w:sz w:val="22"/>
          <w:szCs w:val="22"/>
          <w:lang w:val="en-US"/>
        </w:rPr>
        <w:t>The surface current system of the North Atlantic is dominated by the warm North Atlantic Drift, which is a continuation of the Gulf Stream (Mironov &amp; Gebruk, 2006). The northern boundary of this forms the characteristic Sub-Polar Front, which acts to separate the warm and cold</w:t>
      </w:r>
      <w:r>
        <w:rPr>
          <w:color w:val="000000"/>
          <w:sz w:val="22"/>
          <w:szCs w:val="22"/>
          <w:lang w:val="en-US"/>
        </w:rPr>
        <w:t>-</w:t>
      </w:r>
      <w:r w:rsidRPr="009978E3">
        <w:rPr>
          <w:color w:val="000000"/>
          <w:sz w:val="22"/>
          <w:szCs w:val="22"/>
          <w:lang w:val="en-US"/>
        </w:rPr>
        <w:t xml:space="preserve">water masses and is usually found between 52 </w:t>
      </w:r>
      <w:r>
        <w:rPr>
          <w:color w:val="000000"/>
          <w:sz w:val="22"/>
          <w:szCs w:val="22"/>
          <w:lang w:val="en-US"/>
        </w:rPr>
        <w:t>and</w:t>
      </w:r>
      <w:r w:rsidRPr="009978E3">
        <w:rPr>
          <w:color w:val="000000"/>
          <w:sz w:val="22"/>
          <w:szCs w:val="22"/>
          <w:lang w:val="en-US"/>
        </w:rPr>
        <w:t xml:space="preserve"> 53°N (Mironov &amp; Gerbuk, 2006; Søiland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2008). After the North Atlantic Drift crosses the Mid-Atlantic Ridge at approximately 50 </w:t>
      </w:r>
      <w:r>
        <w:rPr>
          <w:color w:val="000000"/>
          <w:sz w:val="22"/>
          <w:szCs w:val="22"/>
          <w:lang w:val="en-US"/>
        </w:rPr>
        <w:t>to</w:t>
      </w:r>
      <w:r w:rsidRPr="009978E3">
        <w:rPr>
          <w:color w:val="000000"/>
          <w:sz w:val="22"/>
          <w:szCs w:val="22"/>
          <w:lang w:val="en-US"/>
        </w:rPr>
        <w:t xml:space="preserve"> 52°N</w:t>
      </w:r>
      <w:r>
        <w:rPr>
          <w:color w:val="000000"/>
          <w:sz w:val="22"/>
          <w:szCs w:val="22"/>
          <w:lang w:val="en-US"/>
        </w:rPr>
        <w:t>,</w:t>
      </w:r>
      <w:r w:rsidRPr="009978E3">
        <w:rPr>
          <w:color w:val="000000"/>
          <w:sz w:val="22"/>
          <w:szCs w:val="22"/>
          <w:lang w:val="en-US"/>
        </w:rPr>
        <w:t xml:space="preserve"> it flows north (Mironov &amp; Gebruk, 2006). Some of this current enters the Norwegian Sea east of Iceland</w:t>
      </w:r>
      <w:r>
        <w:rPr>
          <w:color w:val="000000"/>
          <w:sz w:val="22"/>
          <w:szCs w:val="22"/>
          <w:lang w:val="en-US"/>
        </w:rPr>
        <w:t>,</w:t>
      </w:r>
      <w:r w:rsidRPr="009978E3">
        <w:rPr>
          <w:color w:val="000000"/>
          <w:sz w:val="22"/>
          <w:szCs w:val="22"/>
          <w:lang w:val="en-US"/>
        </w:rPr>
        <w:t xml:space="preserve"> and some turns and flows westward (called the Irminger Current) over the Reykjanes Ridge at between 53°N and 60°N, into the Irminger Basin (Mironov &amp; Gebruk, 2006).</w:t>
      </w:r>
      <w:r>
        <w:rPr>
          <w:color w:val="000000"/>
          <w:sz w:val="22"/>
          <w:szCs w:val="22"/>
          <w:lang w:val="en-US"/>
        </w:rPr>
        <w:t xml:space="preserve"> </w:t>
      </w:r>
      <w:r w:rsidRPr="009978E3">
        <w:rPr>
          <w:color w:val="000000"/>
          <w:sz w:val="22"/>
          <w:szCs w:val="22"/>
          <w:lang w:val="en-US"/>
        </w:rPr>
        <w:t xml:space="preserve">This is the major current within the area. </w:t>
      </w:r>
    </w:p>
    <w:p w14:paraId="548D114E" w14:textId="77777777" w:rsidR="006B3F46" w:rsidRPr="009978E3" w:rsidRDefault="006B3F46" w:rsidP="002E4B39">
      <w:pPr>
        <w:suppressLineNumbers/>
        <w:spacing w:after="120"/>
        <w:jc w:val="both"/>
        <w:rPr>
          <w:color w:val="000000"/>
          <w:sz w:val="22"/>
          <w:szCs w:val="22"/>
          <w:lang w:val="en-US"/>
        </w:rPr>
      </w:pPr>
      <w:r w:rsidRPr="002E4B39">
        <w:rPr>
          <w:sz w:val="22"/>
          <w:szCs w:val="22"/>
          <w:lang w:val="en-US"/>
        </w:rPr>
        <w:t>Reykjanes</w:t>
      </w:r>
      <w:r w:rsidRPr="009978E3">
        <w:rPr>
          <w:color w:val="000000"/>
          <w:sz w:val="22"/>
          <w:szCs w:val="22"/>
          <w:lang w:val="en-US"/>
        </w:rPr>
        <w:t xml:space="preserve"> Ridge is characterized by sharp gradients in environmental conditions, which ha</w:t>
      </w:r>
      <w:r>
        <w:rPr>
          <w:color w:val="000000"/>
          <w:sz w:val="22"/>
          <w:szCs w:val="22"/>
          <w:lang w:val="en-US"/>
        </w:rPr>
        <w:t>ve</w:t>
      </w:r>
      <w:r w:rsidRPr="009978E3">
        <w:rPr>
          <w:color w:val="000000"/>
          <w:sz w:val="22"/>
          <w:szCs w:val="22"/>
          <w:lang w:val="en-US"/>
        </w:rPr>
        <w:t xml:space="preserve"> allowed the area to be colonized by benthic fauna from very remote regions (Mironov &amp; Gebruk, 2006). For example, species have been found whose distributions extend to the Antarctic, North Pacific and the Indo-West Pacific (Mironov &amp; Gebruk, 2006). Within the area of the Icelandic Shelf and the Reykjanes Ridge the Arctic fauna is replaced by a boreal one, the European fauna by American and the autochthonous deep-sea fauna is replaced by an allochthonous one (Mironov &amp; Gebruk, 2006). The composition of deep-sea benthic fauna on the Reykjanes Ridge south of Iceland</w:t>
      </w:r>
      <w:r>
        <w:rPr>
          <w:color w:val="000000"/>
          <w:sz w:val="22"/>
          <w:szCs w:val="22"/>
          <w:lang w:val="en-US"/>
        </w:rPr>
        <w:t>’s</w:t>
      </w:r>
      <w:r w:rsidRPr="009978E3">
        <w:rPr>
          <w:color w:val="000000"/>
          <w:sz w:val="22"/>
          <w:szCs w:val="22"/>
          <w:lang w:val="en-US"/>
        </w:rPr>
        <w:t xml:space="preserve"> EEZ is not very well known in comparison to adjacent areas (Mironov &amp; Gebruk, 2006). As Mironov &amp; Gebruk (2006) state, this is well illustrated by the fact that the </w:t>
      </w:r>
      <w:r>
        <w:rPr>
          <w:color w:val="000000"/>
          <w:sz w:val="22"/>
          <w:szCs w:val="22"/>
          <w:lang w:val="en-US"/>
        </w:rPr>
        <w:t>four</w:t>
      </w:r>
      <w:r w:rsidRPr="009978E3">
        <w:rPr>
          <w:color w:val="000000"/>
          <w:sz w:val="22"/>
          <w:szCs w:val="22"/>
          <w:lang w:val="en-US"/>
        </w:rPr>
        <w:t xml:space="preserve">th cruise of the “Akademik Mstislav Keldysh” (1982) sampled many species </w:t>
      </w:r>
      <w:r>
        <w:rPr>
          <w:color w:val="000000"/>
          <w:sz w:val="22"/>
          <w:szCs w:val="22"/>
          <w:lang w:val="en-US"/>
        </w:rPr>
        <w:t>that</w:t>
      </w:r>
      <w:r w:rsidRPr="009978E3">
        <w:rPr>
          <w:color w:val="000000"/>
          <w:sz w:val="22"/>
          <w:szCs w:val="22"/>
          <w:lang w:val="en-US"/>
        </w:rPr>
        <w:t xml:space="preserve"> were recorded on the Ridge for the first time. This cruise yielded an extensive collection of deep-sea fauna</w:t>
      </w:r>
      <w:r>
        <w:rPr>
          <w:color w:val="000000"/>
          <w:sz w:val="22"/>
          <w:szCs w:val="22"/>
          <w:lang w:val="en-US"/>
        </w:rPr>
        <w:t>,</w:t>
      </w:r>
      <w:r w:rsidRPr="009978E3">
        <w:rPr>
          <w:color w:val="000000"/>
          <w:sz w:val="22"/>
          <w:szCs w:val="22"/>
          <w:lang w:val="en-US"/>
        </w:rPr>
        <w:t xml:space="preserve"> and since then other research cruises have focused on the Reykjanes Ridge (Mironov &amp; Gebruk, 2006).</w:t>
      </w:r>
    </w:p>
    <w:p w14:paraId="4F3EE5B7" w14:textId="77777777" w:rsidR="006B3F46" w:rsidRPr="009978E3" w:rsidRDefault="006B3F46" w:rsidP="002E4B39">
      <w:pPr>
        <w:suppressLineNumbers/>
        <w:spacing w:after="120"/>
        <w:jc w:val="both"/>
        <w:rPr>
          <w:color w:val="000000"/>
          <w:sz w:val="22"/>
          <w:szCs w:val="22"/>
          <w:lang w:val="en-US"/>
        </w:rPr>
      </w:pPr>
      <w:r w:rsidRPr="002E4B39">
        <w:rPr>
          <w:rFonts w:eastAsia="MS Mincho"/>
          <w:sz w:val="22"/>
          <w:szCs w:val="22"/>
          <w:lang w:val="en-US"/>
        </w:rPr>
        <w:t>The</w:t>
      </w:r>
      <w:r w:rsidRPr="009978E3">
        <w:rPr>
          <w:color w:val="000000"/>
          <w:sz w:val="22"/>
          <w:szCs w:val="22"/>
          <w:lang w:val="en-US"/>
        </w:rPr>
        <w:t xml:space="preserve"> northern part of the </w:t>
      </w:r>
      <w:r>
        <w:rPr>
          <w:color w:val="000000"/>
          <w:sz w:val="22"/>
          <w:szCs w:val="22"/>
          <w:lang w:val="en-US"/>
        </w:rPr>
        <w:t>MAR</w:t>
      </w:r>
      <w:r w:rsidRPr="009978E3">
        <w:rPr>
          <w:color w:val="000000"/>
          <w:sz w:val="22"/>
          <w:szCs w:val="22"/>
          <w:lang w:val="en-US"/>
        </w:rPr>
        <w:t xml:space="preserve"> has been subject to recent scientific investigations as part of the Census of Marine Life (MAR-ECO project) (Bergstad </w:t>
      </w:r>
      <w:r w:rsidRPr="0006066A">
        <w:rPr>
          <w:i/>
          <w:color w:val="000000"/>
          <w:sz w:val="22"/>
          <w:szCs w:val="22"/>
          <w:lang w:val="en-US"/>
        </w:rPr>
        <w:t>et al</w:t>
      </w:r>
      <w:r w:rsidRPr="009978E3">
        <w:rPr>
          <w:color w:val="000000"/>
          <w:sz w:val="22"/>
          <w:szCs w:val="22"/>
          <w:lang w:val="en-US"/>
        </w:rPr>
        <w:t xml:space="preserve">, 2008) and ECOMAR project (Preide </w:t>
      </w:r>
      <w:r w:rsidRPr="0006066A">
        <w:rPr>
          <w:i/>
          <w:color w:val="000000"/>
          <w:sz w:val="22"/>
          <w:szCs w:val="22"/>
          <w:lang w:val="en-US"/>
        </w:rPr>
        <w:t>et al</w:t>
      </w:r>
      <w:r w:rsidRPr="009978E3">
        <w:rPr>
          <w:i/>
          <w:color w:val="000000"/>
          <w:sz w:val="22"/>
          <w:szCs w:val="22"/>
          <w:lang w:val="en-US"/>
        </w:rPr>
        <w:t>.</w:t>
      </w:r>
      <w:r w:rsidRPr="009978E3">
        <w:rPr>
          <w:color w:val="000000"/>
          <w:sz w:val="22"/>
          <w:szCs w:val="22"/>
          <w:lang w:val="en-US"/>
        </w:rPr>
        <w:t xml:space="preserve"> 2013a). Numerous new species have been discovered, </w:t>
      </w:r>
      <w:r>
        <w:rPr>
          <w:color w:val="000000"/>
          <w:sz w:val="22"/>
          <w:szCs w:val="22"/>
          <w:lang w:val="en-US"/>
        </w:rPr>
        <w:t xml:space="preserve">and </w:t>
      </w:r>
      <w:r w:rsidRPr="009978E3">
        <w:rPr>
          <w:color w:val="000000"/>
          <w:sz w:val="22"/>
          <w:szCs w:val="22"/>
          <w:lang w:val="en-US"/>
        </w:rPr>
        <w:t xml:space="preserve">data has been derived that has </w:t>
      </w:r>
      <w:r>
        <w:rPr>
          <w:color w:val="000000"/>
          <w:sz w:val="22"/>
          <w:szCs w:val="22"/>
          <w:lang w:val="en-US"/>
        </w:rPr>
        <w:t>led to</w:t>
      </w:r>
      <w:r w:rsidRPr="009978E3">
        <w:rPr>
          <w:color w:val="000000"/>
          <w:sz w:val="22"/>
          <w:szCs w:val="22"/>
          <w:lang w:val="en-US"/>
        </w:rPr>
        <w:t xml:space="preserve"> taxonomic revisions and </w:t>
      </w:r>
      <w:r>
        <w:rPr>
          <w:color w:val="000000"/>
          <w:sz w:val="22"/>
          <w:szCs w:val="22"/>
          <w:lang w:val="en-US"/>
        </w:rPr>
        <w:t xml:space="preserve">the discovery of </w:t>
      </w:r>
      <w:r w:rsidRPr="009978E3">
        <w:rPr>
          <w:color w:val="000000"/>
          <w:sz w:val="22"/>
          <w:szCs w:val="22"/>
          <w:lang w:val="en-US"/>
        </w:rPr>
        <w:t xml:space="preserve">species that were not </w:t>
      </w:r>
      <w:r>
        <w:rPr>
          <w:color w:val="000000"/>
          <w:sz w:val="22"/>
          <w:szCs w:val="22"/>
          <w:lang w:val="en-US"/>
        </w:rPr>
        <w:t xml:space="preserve">previously </w:t>
      </w:r>
      <w:r w:rsidRPr="009978E3">
        <w:rPr>
          <w:color w:val="000000"/>
          <w:sz w:val="22"/>
          <w:szCs w:val="22"/>
          <w:lang w:val="en-US"/>
        </w:rPr>
        <w:t xml:space="preserve">known to exist in this region (Gebruk </w:t>
      </w:r>
      <w:r w:rsidRPr="0006066A">
        <w:rPr>
          <w:i/>
          <w:color w:val="000000"/>
          <w:sz w:val="22"/>
          <w:szCs w:val="22"/>
          <w:lang w:val="en-US"/>
        </w:rPr>
        <w:t>et al</w:t>
      </w:r>
      <w:r w:rsidRPr="009978E3">
        <w:rPr>
          <w:color w:val="000000"/>
          <w:sz w:val="22"/>
          <w:szCs w:val="22"/>
          <w:lang w:val="en-US"/>
        </w:rPr>
        <w:t>, 2008). The published findings of the MAR</w:t>
      </w:r>
      <w:r>
        <w:rPr>
          <w:color w:val="000000"/>
          <w:sz w:val="22"/>
          <w:szCs w:val="22"/>
          <w:lang w:val="en-US"/>
        </w:rPr>
        <w:t>-</w:t>
      </w:r>
      <w:r w:rsidRPr="009978E3">
        <w:rPr>
          <w:color w:val="000000"/>
          <w:sz w:val="22"/>
          <w:szCs w:val="22"/>
          <w:lang w:val="en-US"/>
        </w:rPr>
        <w:t xml:space="preserve">ECO and ECOMAR projects represent most of the modern information and data about the Reykjanes Ridge in this </w:t>
      </w:r>
      <w:r>
        <w:rPr>
          <w:color w:val="000000"/>
          <w:sz w:val="22"/>
          <w:szCs w:val="22"/>
          <w:lang w:val="en-US"/>
        </w:rPr>
        <w:t>description</w:t>
      </w:r>
      <w:r w:rsidRPr="009978E3">
        <w:rPr>
          <w:color w:val="000000"/>
          <w:sz w:val="22"/>
          <w:szCs w:val="22"/>
          <w:lang w:val="en-US"/>
        </w:rPr>
        <w:t>. Information has also been gathered from historical fishing accounts found in ICES reports and older published scientific research.</w:t>
      </w:r>
    </w:p>
    <w:p w14:paraId="78ECCFCA" w14:textId="77777777" w:rsidR="006B3F46" w:rsidRPr="009978E3" w:rsidRDefault="006B3F46" w:rsidP="00907941">
      <w:pPr>
        <w:jc w:val="both"/>
        <w:rPr>
          <w:rFonts w:eastAsia="MS Mincho"/>
          <w:color w:val="000000"/>
          <w:sz w:val="22"/>
          <w:szCs w:val="22"/>
          <w:lang w:val="en-US"/>
        </w:rPr>
      </w:pPr>
      <w:r w:rsidRPr="009978E3">
        <w:rPr>
          <w:rFonts w:eastAsia="MS Mincho"/>
          <w:b/>
          <w:color w:val="000000"/>
          <w:sz w:val="22"/>
          <w:szCs w:val="22"/>
          <w:lang w:val="en-US"/>
        </w:rPr>
        <w:t>Location</w:t>
      </w:r>
    </w:p>
    <w:p w14:paraId="2FEC7391" w14:textId="77777777" w:rsidR="006B3F46" w:rsidRPr="009978E3" w:rsidRDefault="006B3F46" w:rsidP="002E4B39">
      <w:pPr>
        <w:suppressLineNumbers/>
        <w:spacing w:after="120"/>
        <w:jc w:val="both"/>
        <w:rPr>
          <w:color w:val="000000"/>
          <w:sz w:val="22"/>
          <w:szCs w:val="22"/>
          <w:lang w:val="en-US"/>
        </w:rPr>
      </w:pPr>
      <w:r w:rsidRPr="009978E3">
        <w:rPr>
          <w:color w:val="000000"/>
          <w:sz w:val="22"/>
          <w:szCs w:val="22"/>
          <w:lang w:val="en-US"/>
        </w:rPr>
        <w:t xml:space="preserve">The </w:t>
      </w:r>
      <w:r w:rsidRPr="002E4B39">
        <w:rPr>
          <w:rFonts w:eastAsia="MS Mincho"/>
          <w:sz w:val="22"/>
          <w:szCs w:val="22"/>
          <w:lang w:val="en-US"/>
        </w:rPr>
        <w:t>northern</w:t>
      </w:r>
      <w:r w:rsidRPr="009978E3">
        <w:rPr>
          <w:color w:val="000000"/>
          <w:sz w:val="22"/>
          <w:szCs w:val="22"/>
          <w:lang w:val="en-US"/>
        </w:rPr>
        <w:t xml:space="preserve"> boundary of the area is Iceland’s </w:t>
      </w:r>
      <w:r>
        <w:rPr>
          <w:color w:val="000000"/>
          <w:sz w:val="22"/>
          <w:szCs w:val="22"/>
          <w:lang w:val="en-US"/>
        </w:rPr>
        <w:t>Exclusive Economic Zone</w:t>
      </w:r>
      <w:r w:rsidRPr="009978E3">
        <w:rPr>
          <w:color w:val="000000"/>
          <w:sz w:val="22"/>
          <w:szCs w:val="22"/>
          <w:lang w:val="en-US"/>
        </w:rPr>
        <w:t xml:space="preserve">. The southern boundary of this area is </w:t>
      </w:r>
      <w:r w:rsidRPr="009978E3">
        <w:rPr>
          <w:rFonts w:eastAsia="MS Mincho"/>
          <w:bCs/>
          <w:color w:val="000000"/>
          <w:sz w:val="22"/>
          <w:szCs w:val="22"/>
          <w:lang w:val="en-US"/>
        </w:rPr>
        <w:t>55°</w:t>
      </w:r>
      <w:r w:rsidRPr="009978E3">
        <w:rPr>
          <w:rFonts w:eastAsia="MS Mincho"/>
          <w:bCs/>
          <w:color w:val="000000"/>
          <w:sz w:val="22"/>
          <w:szCs w:val="22"/>
        </w:rPr>
        <w:t>188′N</w:t>
      </w:r>
      <w:r w:rsidRPr="009978E3">
        <w:rPr>
          <w:color w:val="000000"/>
          <w:sz w:val="22"/>
          <w:szCs w:val="22"/>
          <w:lang w:val="en-US"/>
        </w:rPr>
        <w:t>, well north the Sub-Polar Front, which separates the warm</w:t>
      </w:r>
      <w:r>
        <w:rPr>
          <w:color w:val="000000"/>
          <w:sz w:val="22"/>
          <w:szCs w:val="22"/>
          <w:lang w:val="en-US"/>
        </w:rPr>
        <w:t>-</w:t>
      </w:r>
      <w:r w:rsidRPr="009978E3">
        <w:rPr>
          <w:color w:val="000000"/>
          <w:sz w:val="22"/>
          <w:szCs w:val="22"/>
          <w:lang w:val="en-US"/>
        </w:rPr>
        <w:t xml:space="preserve"> and cold-water masses and is usually found between 52</w:t>
      </w:r>
      <w:r w:rsidRPr="009978E3">
        <w:rPr>
          <w:rFonts w:eastAsia="MS Mincho"/>
          <w:bCs/>
          <w:color w:val="000000"/>
          <w:sz w:val="22"/>
          <w:szCs w:val="22"/>
          <w:lang w:val="en-US"/>
        </w:rPr>
        <w:t>°</w:t>
      </w:r>
      <w:r w:rsidRPr="009978E3">
        <w:rPr>
          <w:color w:val="000000"/>
          <w:sz w:val="22"/>
          <w:szCs w:val="22"/>
          <w:lang w:val="en-US"/>
        </w:rPr>
        <w:t xml:space="preserve">N </w:t>
      </w:r>
      <w:r>
        <w:rPr>
          <w:color w:val="000000"/>
          <w:sz w:val="22"/>
          <w:szCs w:val="22"/>
          <w:lang w:val="en-US"/>
        </w:rPr>
        <w:t>and</w:t>
      </w:r>
      <w:r w:rsidRPr="009978E3">
        <w:rPr>
          <w:color w:val="000000"/>
          <w:sz w:val="22"/>
          <w:szCs w:val="22"/>
          <w:lang w:val="en-US"/>
        </w:rPr>
        <w:t xml:space="preserve"> </w:t>
      </w:r>
      <w:r w:rsidRPr="009978E3">
        <w:rPr>
          <w:rFonts w:eastAsia="MS Mincho"/>
          <w:bCs/>
          <w:color w:val="000000"/>
          <w:sz w:val="22"/>
          <w:szCs w:val="22"/>
          <w:lang w:val="en-US"/>
        </w:rPr>
        <w:t>53°</w:t>
      </w:r>
      <w:r w:rsidRPr="009978E3">
        <w:rPr>
          <w:color w:val="000000"/>
          <w:sz w:val="22"/>
          <w:szCs w:val="22"/>
          <w:lang w:val="en-US"/>
        </w:rPr>
        <w:t xml:space="preserve">N (Mironov &amp; Gerbuk, 2006; Søiland </w:t>
      </w:r>
      <w:r w:rsidRPr="0006066A">
        <w:rPr>
          <w:i/>
          <w:color w:val="000000"/>
          <w:sz w:val="22"/>
          <w:szCs w:val="22"/>
          <w:lang w:val="en-US"/>
        </w:rPr>
        <w:t>et al</w:t>
      </w:r>
      <w:r w:rsidRPr="009978E3">
        <w:rPr>
          <w:color w:val="000000"/>
          <w:sz w:val="22"/>
          <w:szCs w:val="22"/>
          <w:lang w:val="en-US"/>
        </w:rPr>
        <w:t>, 2008).</w:t>
      </w:r>
      <w:r w:rsidRPr="009978E3">
        <w:rPr>
          <w:rFonts w:eastAsia="MS Mincho"/>
          <w:color w:val="000000"/>
          <w:sz w:val="22"/>
          <w:szCs w:val="22"/>
          <w:lang w:val="en-US"/>
        </w:rPr>
        <w:t xml:space="preserve"> The</w:t>
      </w:r>
      <w:r w:rsidRPr="009978E3">
        <w:rPr>
          <w:rFonts w:eastAsia="MS Mincho"/>
          <w:color w:val="000000"/>
          <w:sz w:val="22"/>
          <w:szCs w:val="22"/>
          <w:lang w:val="en"/>
        </w:rPr>
        <w:t xml:space="preserve"> 2,500 m depth contour was used to define the boundaries of the area, as this captures </w:t>
      </w:r>
      <w:r>
        <w:rPr>
          <w:rFonts w:eastAsia="MS Mincho"/>
          <w:color w:val="000000"/>
          <w:sz w:val="22"/>
          <w:szCs w:val="22"/>
          <w:lang w:val="en"/>
        </w:rPr>
        <w:t>most</w:t>
      </w:r>
      <w:r w:rsidRPr="009978E3">
        <w:rPr>
          <w:rFonts w:eastAsia="MS Mincho"/>
          <w:color w:val="000000"/>
          <w:sz w:val="22"/>
          <w:szCs w:val="22"/>
          <w:lang w:val="en"/>
        </w:rPr>
        <w:t xml:space="preserve"> of the ridge crest and known distribution of deep-water corals (maximum 2,400 m).</w:t>
      </w:r>
    </w:p>
    <w:p w14:paraId="150241FA"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Feature description of the area</w:t>
      </w:r>
    </w:p>
    <w:p w14:paraId="12A9C8F3" w14:textId="77777777" w:rsidR="006B3F46" w:rsidRPr="009978E3" w:rsidRDefault="006B3F46" w:rsidP="002E4B39">
      <w:pPr>
        <w:suppressLineNumbers/>
        <w:spacing w:after="120"/>
        <w:jc w:val="both"/>
        <w:rPr>
          <w:rFonts w:eastAsia="MS Mincho"/>
          <w:bCs/>
          <w:color w:val="000000"/>
          <w:sz w:val="22"/>
          <w:szCs w:val="22"/>
          <w:lang w:val="en-US"/>
        </w:rPr>
      </w:pPr>
      <w:r w:rsidRPr="009978E3">
        <w:rPr>
          <w:color w:val="000000"/>
          <w:sz w:val="22"/>
          <w:szCs w:val="22"/>
          <w:lang w:val="en-US"/>
        </w:rPr>
        <w:t>The entire Reykjanes Ridge forms a hard-bottomed substrate, rising from the abyssal plain, which acts to provide a wide range of benthic habitats and is coloni</w:t>
      </w:r>
      <w:r>
        <w:rPr>
          <w:color w:val="000000"/>
          <w:sz w:val="22"/>
          <w:szCs w:val="22"/>
          <w:lang w:val="en-US"/>
        </w:rPr>
        <w:t>z</w:t>
      </w:r>
      <w:r w:rsidRPr="009978E3">
        <w:rPr>
          <w:color w:val="000000"/>
          <w:sz w:val="22"/>
          <w:szCs w:val="22"/>
          <w:lang w:val="en-US"/>
        </w:rPr>
        <w:t>ed by a variety of erect megafauna (</w:t>
      </w:r>
      <w:r>
        <w:rPr>
          <w:color w:val="000000"/>
          <w:sz w:val="22"/>
          <w:szCs w:val="22"/>
          <w:lang w:val="en-US"/>
        </w:rPr>
        <w:t>e.g.,</w:t>
      </w:r>
      <w:r w:rsidRPr="009978E3">
        <w:rPr>
          <w:color w:val="000000"/>
          <w:sz w:val="22"/>
          <w:szCs w:val="22"/>
          <w:lang w:val="en-US"/>
        </w:rPr>
        <w:t xml:space="preserve"> gorgonians, sponges and cold</w:t>
      </w:r>
      <w:r>
        <w:rPr>
          <w:color w:val="000000"/>
          <w:sz w:val="22"/>
          <w:szCs w:val="22"/>
          <w:lang w:val="en-US"/>
        </w:rPr>
        <w:t>-</w:t>
      </w:r>
      <w:r w:rsidRPr="009978E3">
        <w:rPr>
          <w:color w:val="000000"/>
          <w:sz w:val="22"/>
          <w:szCs w:val="22"/>
          <w:lang w:val="en-US"/>
        </w:rPr>
        <w:t xml:space="preserve">water corals) (Copley </w:t>
      </w:r>
      <w:r w:rsidRPr="0006066A">
        <w:rPr>
          <w:i/>
          <w:color w:val="000000"/>
          <w:sz w:val="22"/>
          <w:szCs w:val="22"/>
          <w:lang w:val="en-US"/>
        </w:rPr>
        <w:t>et al</w:t>
      </w:r>
      <w:r w:rsidRPr="009978E3">
        <w:rPr>
          <w:color w:val="000000"/>
          <w:sz w:val="22"/>
          <w:szCs w:val="22"/>
          <w:lang w:val="en-US"/>
        </w:rPr>
        <w:t>. 1996). In addition</w:t>
      </w:r>
      <w:r>
        <w:rPr>
          <w:color w:val="000000"/>
          <w:sz w:val="22"/>
          <w:szCs w:val="22"/>
          <w:lang w:val="en-US"/>
        </w:rPr>
        <w:t>,</w:t>
      </w:r>
      <w:r w:rsidRPr="009978E3">
        <w:rPr>
          <w:color w:val="000000"/>
          <w:sz w:val="22"/>
          <w:szCs w:val="22"/>
          <w:lang w:val="en-US"/>
        </w:rPr>
        <w:t xml:space="preserve"> Reykjanes Ridge acts to separate the warmer waters of the Iceland Basin from the cooler waters of the Irminger Basin</w:t>
      </w:r>
      <w:r>
        <w:rPr>
          <w:color w:val="000000"/>
          <w:sz w:val="22"/>
          <w:szCs w:val="22"/>
          <w:lang w:val="en-US"/>
        </w:rPr>
        <w:t>,</w:t>
      </w:r>
      <w:r w:rsidRPr="009978E3">
        <w:rPr>
          <w:color w:val="000000"/>
          <w:sz w:val="22"/>
          <w:szCs w:val="22"/>
          <w:lang w:val="en-US"/>
        </w:rPr>
        <w:t xml:space="preserve"> forming a hydrographic boundary in the mesopelagic realm (Fock and John 2006; Gislason </w:t>
      </w:r>
      <w:r w:rsidRPr="0006066A">
        <w:rPr>
          <w:i/>
          <w:color w:val="000000"/>
          <w:sz w:val="22"/>
          <w:szCs w:val="22"/>
          <w:lang w:val="en-US"/>
        </w:rPr>
        <w:t>et al</w:t>
      </w:r>
      <w:r w:rsidRPr="009978E3">
        <w:rPr>
          <w:color w:val="000000"/>
          <w:sz w:val="22"/>
          <w:szCs w:val="22"/>
          <w:lang w:val="en-US"/>
        </w:rPr>
        <w:t>. 2007). There is a strong relationship between larval fish communities and hydrography and topography, which is largely determined by the Reykjanes Ridge (Fock and John 2006). Larvae are retained above the Ridge by a branching current from the North Atlantic</w:t>
      </w:r>
      <w:r w:rsidRPr="009978E3">
        <w:rPr>
          <w:rFonts w:eastAsia="MS Mincho"/>
          <w:bCs/>
          <w:color w:val="000000"/>
          <w:sz w:val="22"/>
          <w:szCs w:val="22"/>
          <w:lang w:val="en-US"/>
        </w:rPr>
        <w:t xml:space="preserve"> </w:t>
      </w:r>
      <w:r w:rsidRPr="009978E3">
        <w:rPr>
          <w:color w:val="000000"/>
          <w:sz w:val="22"/>
          <w:szCs w:val="22"/>
          <w:lang w:val="en-US"/>
        </w:rPr>
        <w:t>Current due to the Coriolis effect (Fock and John 2006). Therefore</w:t>
      </w:r>
      <w:r>
        <w:rPr>
          <w:color w:val="000000"/>
          <w:sz w:val="22"/>
          <w:szCs w:val="22"/>
          <w:lang w:val="en-US"/>
        </w:rPr>
        <w:t>,</w:t>
      </w:r>
      <w:r w:rsidRPr="009978E3">
        <w:rPr>
          <w:color w:val="000000"/>
          <w:sz w:val="22"/>
          <w:szCs w:val="22"/>
          <w:lang w:val="en-US"/>
        </w:rPr>
        <w:t xml:space="preserve"> this area should be considered important for both its benthic and surrounding water column features. </w:t>
      </w:r>
      <w:r w:rsidRPr="009978E3">
        <w:rPr>
          <w:rFonts w:eastAsia="MS Mincho"/>
          <w:color w:val="000000"/>
          <w:sz w:val="22"/>
          <w:szCs w:val="22"/>
          <w:lang w:val="en-US"/>
        </w:rPr>
        <w:t>The fauna of the Reykjanes Ridge have not been fully described</w:t>
      </w:r>
      <w:r>
        <w:rPr>
          <w:rFonts w:eastAsia="MS Mincho"/>
          <w:color w:val="000000"/>
          <w:sz w:val="22"/>
          <w:szCs w:val="22"/>
          <w:lang w:val="en-US"/>
        </w:rPr>
        <w:t>,</w:t>
      </w:r>
      <w:r w:rsidRPr="009978E3">
        <w:rPr>
          <w:rFonts w:eastAsia="MS Mincho"/>
          <w:color w:val="000000"/>
          <w:sz w:val="22"/>
          <w:szCs w:val="22"/>
          <w:lang w:val="en-US"/>
        </w:rPr>
        <w:t xml:space="preserve"> and it is premature to speculate on whether any species are endemic</w:t>
      </w:r>
      <w:r w:rsidRPr="009978E3">
        <w:rPr>
          <w:rFonts w:eastAsia="MS Mincho"/>
          <w:iCs/>
          <w:color w:val="000000"/>
          <w:sz w:val="22"/>
          <w:szCs w:val="22"/>
          <w:lang w:val="en-US"/>
        </w:rPr>
        <w:t xml:space="preserve">. </w:t>
      </w:r>
      <w:r w:rsidRPr="009978E3">
        <w:rPr>
          <w:rFonts w:eastAsia="MS Mincho"/>
          <w:color w:val="000000"/>
          <w:sz w:val="22"/>
          <w:szCs w:val="22"/>
          <w:lang w:val="en-US"/>
        </w:rPr>
        <w:t>Some new species have been described</w:t>
      </w:r>
      <w:r>
        <w:rPr>
          <w:rFonts w:eastAsia="MS Mincho"/>
          <w:color w:val="000000"/>
          <w:sz w:val="22"/>
          <w:szCs w:val="22"/>
          <w:lang w:val="en-US"/>
        </w:rPr>
        <w:t>, which</w:t>
      </w:r>
      <w:r w:rsidRPr="009978E3">
        <w:rPr>
          <w:rFonts w:eastAsia="MS Mincho"/>
          <w:color w:val="000000"/>
          <w:sz w:val="22"/>
          <w:szCs w:val="22"/>
          <w:lang w:val="en-US"/>
        </w:rPr>
        <w:t xml:space="preserve"> may prove to be endemic to the area with further sampling. However, there are strong indications that the benthic fauna at the Reykjanes ridge has certain distinct components </w:t>
      </w:r>
      <w:r>
        <w:rPr>
          <w:rFonts w:eastAsia="MS Mincho"/>
          <w:color w:val="000000"/>
          <w:sz w:val="22"/>
          <w:szCs w:val="22"/>
          <w:lang w:val="en-US"/>
        </w:rPr>
        <w:t>that</w:t>
      </w:r>
      <w:r w:rsidRPr="009978E3">
        <w:rPr>
          <w:rFonts w:eastAsia="MS Mincho"/>
          <w:color w:val="000000"/>
          <w:sz w:val="22"/>
          <w:szCs w:val="22"/>
          <w:lang w:val="en-US"/>
        </w:rPr>
        <w:t xml:space="preserve"> are distinct from the benthic fauna south of the Charlie Gibbs fracture zone (Alt </w:t>
      </w:r>
      <w:r w:rsidRPr="0006066A">
        <w:rPr>
          <w:rFonts w:eastAsia="MS Mincho"/>
          <w:i/>
          <w:color w:val="000000"/>
          <w:sz w:val="22"/>
          <w:szCs w:val="22"/>
          <w:lang w:val="en-US"/>
        </w:rPr>
        <w:t>et al</w:t>
      </w:r>
      <w:r w:rsidRPr="009978E3">
        <w:rPr>
          <w:rFonts w:eastAsia="MS Mincho"/>
          <w:color w:val="000000"/>
          <w:sz w:val="22"/>
          <w:szCs w:val="22"/>
          <w:lang w:val="en-US"/>
        </w:rPr>
        <w:t>.</w:t>
      </w:r>
      <w:r>
        <w:rPr>
          <w:rFonts w:eastAsia="MS Mincho"/>
          <w:color w:val="000000"/>
          <w:sz w:val="22"/>
          <w:szCs w:val="22"/>
          <w:lang w:val="en-US"/>
        </w:rPr>
        <w:t>,</w:t>
      </w:r>
      <w:r w:rsidRPr="009978E3">
        <w:rPr>
          <w:rFonts w:eastAsia="MS Mincho"/>
          <w:color w:val="000000"/>
          <w:sz w:val="22"/>
          <w:szCs w:val="22"/>
          <w:lang w:val="en-US"/>
        </w:rPr>
        <w:t xml:space="preserve"> 2019).</w:t>
      </w:r>
    </w:p>
    <w:p w14:paraId="7D063D23" w14:textId="77777777" w:rsidR="006B3F46" w:rsidRPr="009978E3" w:rsidRDefault="006B3F46" w:rsidP="002E4B39">
      <w:pPr>
        <w:suppressLineNumbers/>
        <w:spacing w:after="120"/>
        <w:jc w:val="both"/>
        <w:rPr>
          <w:rFonts w:eastAsia="MS Mincho"/>
          <w:color w:val="000000"/>
          <w:sz w:val="22"/>
          <w:szCs w:val="22"/>
        </w:rPr>
      </w:pPr>
      <w:r w:rsidRPr="002E4B39">
        <w:rPr>
          <w:rFonts w:eastAsia="MS Mincho"/>
          <w:sz w:val="22"/>
          <w:szCs w:val="22"/>
          <w:lang w:val="en-US"/>
        </w:rPr>
        <w:t>The</w:t>
      </w:r>
      <w:r w:rsidRPr="009978E3">
        <w:rPr>
          <w:rFonts w:eastAsia="MS Mincho"/>
          <w:color w:val="000000"/>
          <w:sz w:val="22"/>
          <w:szCs w:val="22"/>
          <w:lang w:val="en-US"/>
        </w:rPr>
        <w:t xml:space="preserve"> benthic fauna associated with </w:t>
      </w:r>
      <w:r w:rsidRPr="009978E3">
        <w:rPr>
          <w:color w:val="000000"/>
          <w:sz w:val="22"/>
          <w:szCs w:val="22"/>
          <w:lang w:val="en-US"/>
        </w:rPr>
        <w:t>Reykjanes Ridge</w:t>
      </w:r>
      <w:r w:rsidRPr="009978E3">
        <w:rPr>
          <w:rFonts w:eastAsia="MS Mincho"/>
          <w:color w:val="000000"/>
          <w:sz w:val="22"/>
          <w:szCs w:val="22"/>
          <w:lang w:val="en-US"/>
        </w:rPr>
        <w:t xml:space="preserve"> and the Northern MAR are known from detailed observations at a few locations. Priede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(2013) used a variety of sampling gears to survey habitat, biomass and biodiversity in a segment of the Northern MAR as part of a multinational and multidisciplinary project (ECOMAR). </w:t>
      </w:r>
      <w:r w:rsidRPr="009978E3">
        <w:rPr>
          <w:rFonts w:eastAsia="MS Mincho"/>
          <w:color w:val="000000"/>
          <w:sz w:val="22"/>
          <w:szCs w:val="22"/>
        </w:rPr>
        <w:t>They found that primary production and export flux over the MAR were not enhanced compared with a nearby reference station over the Porcupine Abyssal Plain and biomass of benthic macrofauna and megafauna were similar to global averages at the same depths. Also</w:t>
      </w:r>
      <w:r>
        <w:rPr>
          <w:rFonts w:eastAsia="MS Mincho"/>
          <w:color w:val="000000"/>
          <w:sz w:val="22"/>
          <w:szCs w:val="22"/>
        </w:rPr>
        <w:t>,</w:t>
      </w:r>
      <w:r w:rsidRPr="009978E3">
        <w:rPr>
          <w:rFonts w:eastAsia="MS Mincho"/>
          <w:color w:val="000000"/>
          <w:sz w:val="22"/>
          <w:szCs w:val="22"/>
        </w:rPr>
        <w:t xml:space="preserve"> as part of MAR-ECO, </w:t>
      </w:r>
      <w:r w:rsidRPr="009978E3">
        <w:rPr>
          <w:rFonts w:eastAsia="MS Mincho"/>
          <w:color w:val="000000"/>
          <w:sz w:val="22"/>
          <w:szCs w:val="22"/>
          <w:lang w:val="en-US"/>
        </w:rPr>
        <w:t xml:space="preserve">Mortensen </w:t>
      </w:r>
      <w:r w:rsidRPr="0006066A">
        <w:rPr>
          <w:rFonts w:eastAsia="MS Mincho"/>
          <w:i/>
          <w:color w:val="000000"/>
          <w:sz w:val="22"/>
          <w:szCs w:val="22"/>
          <w:lang w:val="en-US"/>
        </w:rPr>
        <w:t>et al</w:t>
      </w:r>
      <w:r w:rsidRPr="009978E3">
        <w:rPr>
          <w:rFonts w:eastAsia="MS Mincho"/>
          <w:i/>
          <w:color w:val="000000"/>
          <w:sz w:val="22"/>
          <w:szCs w:val="22"/>
          <w:lang w:val="en-US"/>
        </w:rPr>
        <w:t>.</w:t>
      </w:r>
      <w:r w:rsidRPr="009978E3">
        <w:rPr>
          <w:rFonts w:eastAsia="MS Mincho"/>
          <w:color w:val="000000"/>
          <w:sz w:val="22"/>
          <w:szCs w:val="22"/>
          <w:lang w:val="en-US"/>
        </w:rPr>
        <w:t xml:space="preserve"> (2008) used an ROV to conduct video surveys along the MAR at </w:t>
      </w:r>
      <w:r>
        <w:rPr>
          <w:rFonts w:eastAsia="MS Mincho"/>
          <w:color w:val="000000"/>
          <w:sz w:val="22"/>
          <w:szCs w:val="22"/>
          <w:lang w:val="en-US"/>
        </w:rPr>
        <w:t>eight</w:t>
      </w:r>
      <w:r w:rsidRPr="009978E3">
        <w:rPr>
          <w:rFonts w:eastAsia="MS Mincho"/>
          <w:color w:val="000000"/>
          <w:sz w:val="22"/>
          <w:szCs w:val="22"/>
          <w:lang w:val="en-US"/>
        </w:rPr>
        <w:t xml:space="preserve"> sites between the Reykjanes Ridge and the Azores</w:t>
      </w:r>
      <w:r>
        <w:rPr>
          <w:rFonts w:eastAsia="MS Mincho"/>
          <w:color w:val="000000"/>
          <w:sz w:val="22"/>
          <w:szCs w:val="22"/>
          <w:lang w:val="en-US"/>
        </w:rPr>
        <w:t>,</w:t>
      </w:r>
      <w:r w:rsidRPr="009978E3">
        <w:rPr>
          <w:rFonts w:eastAsia="MS Mincho"/>
          <w:color w:val="000000"/>
          <w:sz w:val="22"/>
          <w:szCs w:val="22"/>
          <w:lang w:val="en-US"/>
        </w:rPr>
        <w:t xml:space="preserve"> including two sites north of CGFZ. At Reykjanes Ridge</w:t>
      </w:r>
      <w:r>
        <w:rPr>
          <w:rFonts w:eastAsia="MS Mincho"/>
          <w:color w:val="000000"/>
          <w:sz w:val="22"/>
          <w:szCs w:val="22"/>
          <w:lang w:val="en-US"/>
        </w:rPr>
        <w:t>,</w:t>
      </w:r>
      <w:r w:rsidRPr="009978E3">
        <w:rPr>
          <w:rFonts w:eastAsia="MS Mincho"/>
          <w:color w:val="000000"/>
          <w:sz w:val="22"/>
          <w:szCs w:val="22"/>
          <w:lang w:val="en-US"/>
        </w:rPr>
        <w:t xml:space="preserve"> 20 taxa of deep-water corals were observed, including patches of </w:t>
      </w:r>
      <w:r w:rsidRPr="009978E3">
        <w:rPr>
          <w:rFonts w:eastAsia="MS Mincho"/>
          <w:i/>
          <w:color w:val="000000"/>
          <w:sz w:val="22"/>
          <w:szCs w:val="22"/>
          <w:lang w:val="en-US"/>
        </w:rPr>
        <w:t>Solenosmillia variabilis</w:t>
      </w:r>
      <w:r w:rsidRPr="009978E3">
        <w:rPr>
          <w:rFonts w:eastAsia="MS Mincho"/>
          <w:color w:val="000000"/>
          <w:sz w:val="22"/>
          <w:szCs w:val="22"/>
          <w:lang w:val="en-US"/>
        </w:rPr>
        <w:t xml:space="preserve">. </w:t>
      </w:r>
      <w:r w:rsidRPr="009978E3">
        <w:rPr>
          <w:rFonts w:eastAsia="MS Mincho"/>
          <w:color w:val="000000"/>
          <w:sz w:val="22"/>
          <w:szCs w:val="22"/>
        </w:rPr>
        <w:t xml:space="preserve">Crinoids, sponges, the bivalve </w:t>
      </w:r>
      <w:r w:rsidRPr="009978E3">
        <w:rPr>
          <w:rFonts w:eastAsia="MS Mincho"/>
          <w:i/>
          <w:color w:val="000000"/>
          <w:sz w:val="22"/>
          <w:szCs w:val="22"/>
        </w:rPr>
        <w:t>Acesta excavata</w:t>
      </w:r>
      <w:r w:rsidRPr="009978E3">
        <w:rPr>
          <w:rFonts w:eastAsia="MS Mincho"/>
          <w:color w:val="000000"/>
          <w:sz w:val="22"/>
          <w:szCs w:val="22"/>
        </w:rPr>
        <w:t xml:space="preserve">, and squat lobsters were associated with cold-water corals. None of those corals were recognized as new species to science and all likely have broader distributions extending along the continental slopes and seamounts at similar latitudes in the North Atlantic. </w:t>
      </w:r>
      <w:r w:rsidRPr="009978E3">
        <w:rPr>
          <w:rFonts w:eastAsia="Arial Unicode MS"/>
          <w:color w:val="000000"/>
          <w:sz w:val="22"/>
          <w:szCs w:val="22"/>
          <w:lang w:val="en-US"/>
        </w:rPr>
        <w:t>In the northern part of the Ridge (north of 52°N) relatively common sub-Arctic demersal fish species</w:t>
      </w:r>
      <w:r>
        <w:rPr>
          <w:rFonts w:eastAsia="Arial Unicode MS"/>
          <w:color w:val="000000"/>
          <w:sz w:val="22"/>
          <w:szCs w:val="22"/>
          <w:lang w:val="en-US"/>
        </w:rPr>
        <w:t>,</w:t>
      </w:r>
      <w:r w:rsidRPr="009978E3">
        <w:rPr>
          <w:rFonts w:eastAsia="Arial Unicode MS"/>
          <w:color w:val="000000"/>
          <w:sz w:val="22"/>
          <w:szCs w:val="22"/>
          <w:lang w:val="en-US"/>
        </w:rPr>
        <w:t xml:space="preserve"> such as </w:t>
      </w:r>
      <w:r w:rsidRPr="009978E3">
        <w:rPr>
          <w:rFonts w:eastAsia="Arial Unicode MS"/>
          <w:i/>
          <w:iCs/>
          <w:color w:val="000000"/>
          <w:sz w:val="22"/>
          <w:szCs w:val="22"/>
          <w:bdr w:val="none" w:sz="0" w:space="0" w:color="auto" w:frame="1"/>
          <w:lang w:val="en-US"/>
        </w:rPr>
        <w:t>Sebastes</w:t>
      </w:r>
      <w:r w:rsidRPr="009978E3">
        <w:rPr>
          <w:rFonts w:eastAsia="Arial Unicode MS"/>
          <w:color w:val="000000"/>
          <w:sz w:val="22"/>
          <w:szCs w:val="22"/>
          <w:lang w:val="en-US"/>
        </w:rPr>
        <w:t xml:space="preserve"> spp., tusk (</w:t>
      </w:r>
      <w:r w:rsidRPr="009978E3">
        <w:rPr>
          <w:rFonts w:eastAsia="Arial Unicode MS"/>
          <w:i/>
          <w:iCs/>
          <w:color w:val="000000"/>
          <w:sz w:val="22"/>
          <w:szCs w:val="22"/>
          <w:bdr w:val="none" w:sz="0" w:space="0" w:color="auto" w:frame="1"/>
          <w:lang w:val="en-US"/>
        </w:rPr>
        <w:t>Brosme brosme</w:t>
      </w:r>
      <w:r w:rsidRPr="009978E3">
        <w:rPr>
          <w:rFonts w:eastAsia="Arial Unicode MS"/>
          <w:color w:val="000000"/>
          <w:sz w:val="22"/>
          <w:szCs w:val="22"/>
          <w:lang w:val="en-US"/>
        </w:rPr>
        <w:t>) and Greenland halibut (</w:t>
      </w:r>
      <w:r w:rsidRPr="009978E3">
        <w:rPr>
          <w:rFonts w:eastAsia="Arial Unicode MS"/>
          <w:i/>
          <w:iCs/>
          <w:color w:val="000000"/>
          <w:sz w:val="22"/>
          <w:szCs w:val="22"/>
          <w:bdr w:val="none" w:sz="0" w:space="0" w:color="auto" w:frame="1"/>
          <w:lang w:val="en-US"/>
        </w:rPr>
        <w:t>Reinhardtius hippoglossoides</w:t>
      </w:r>
      <w:r w:rsidRPr="009978E3">
        <w:rPr>
          <w:rFonts w:eastAsia="Arial Unicode MS"/>
          <w:color w:val="000000"/>
          <w:sz w:val="22"/>
          <w:szCs w:val="22"/>
          <w:lang w:val="en-US"/>
        </w:rPr>
        <w:t xml:space="preserve">) were dominant. </w:t>
      </w:r>
    </w:p>
    <w:p w14:paraId="6D721A03" w14:textId="77777777" w:rsidR="006B3F46" w:rsidRPr="009978E3" w:rsidRDefault="006B3F46" w:rsidP="002E4B39">
      <w:pPr>
        <w:suppressLineNumbers/>
        <w:spacing w:after="120"/>
        <w:jc w:val="both"/>
        <w:rPr>
          <w:rFonts w:eastAsia="Arial Unicode MS"/>
          <w:color w:val="000000"/>
          <w:sz w:val="22"/>
          <w:szCs w:val="22"/>
          <w:lang w:val="en-US"/>
        </w:rPr>
      </w:pPr>
      <w:r w:rsidRPr="009978E3">
        <w:rPr>
          <w:color w:val="000000"/>
          <w:sz w:val="22"/>
          <w:szCs w:val="22"/>
          <w:lang w:val="en-US"/>
        </w:rPr>
        <w:t xml:space="preserve">The </w:t>
      </w:r>
      <w:r w:rsidRPr="002E4B39">
        <w:rPr>
          <w:rFonts w:eastAsia="MS Mincho"/>
          <w:sz w:val="22"/>
          <w:szCs w:val="22"/>
          <w:lang w:val="en-US"/>
        </w:rPr>
        <w:t>Reykjanes</w:t>
      </w:r>
      <w:r w:rsidRPr="009978E3">
        <w:rPr>
          <w:color w:val="000000"/>
          <w:sz w:val="22"/>
          <w:szCs w:val="22"/>
          <w:lang w:val="en-US"/>
        </w:rPr>
        <w:t xml:space="preserve"> Ridge acts to retain two populations of the planktonic copepod </w:t>
      </w:r>
      <w:r w:rsidRPr="009978E3">
        <w:rPr>
          <w:i/>
          <w:color w:val="000000"/>
          <w:sz w:val="22"/>
          <w:szCs w:val="22"/>
          <w:lang w:val="en-US"/>
        </w:rPr>
        <w:t>Calanus finmarchicus</w:t>
      </w:r>
      <w:r>
        <w:rPr>
          <w:i/>
          <w:color w:val="000000"/>
          <w:sz w:val="22"/>
          <w:szCs w:val="22"/>
          <w:lang w:val="en-US"/>
        </w:rPr>
        <w:t>,</w:t>
      </w:r>
      <w:r w:rsidRPr="009978E3">
        <w:rPr>
          <w:color w:val="000000"/>
          <w:sz w:val="22"/>
          <w:szCs w:val="22"/>
          <w:lang w:val="en-US"/>
        </w:rPr>
        <w:t xml:space="preserve"> which is thought to form the basis of many food webs within the North-East Atlantic (Gislason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2007; Gislason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2008). </w:t>
      </w:r>
      <w:r w:rsidRPr="009978E3">
        <w:rPr>
          <w:i/>
          <w:color w:val="000000"/>
          <w:sz w:val="22"/>
          <w:szCs w:val="22"/>
          <w:lang w:val="en-US"/>
        </w:rPr>
        <w:t>C. finmarchicus</w:t>
      </w:r>
      <w:r w:rsidRPr="009978E3">
        <w:rPr>
          <w:color w:val="000000"/>
          <w:sz w:val="22"/>
          <w:szCs w:val="22"/>
          <w:lang w:val="en-US"/>
        </w:rPr>
        <w:t xml:space="preserve"> is considered to be one of the most important components of the zooplankton in the waters around Iceland, where it is usually by far the most abundant in terms of biomass (Speirs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xml:space="preserve">, 2005; Gislason </w:t>
      </w:r>
      <w:r w:rsidRPr="0006066A">
        <w:rPr>
          <w:i/>
          <w:color w:val="000000"/>
          <w:sz w:val="22"/>
          <w:szCs w:val="22"/>
          <w:lang w:val="en-US"/>
        </w:rPr>
        <w:t>et a</w:t>
      </w:r>
      <w:r>
        <w:rPr>
          <w:i/>
          <w:color w:val="000000"/>
          <w:sz w:val="22"/>
          <w:szCs w:val="22"/>
          <w:lang w:val="en-US"/>
        </w:rPr>
        <w:t>.</w:t>
      </w:r>
      <w:r w:rsidRPr="0006066A">
        <w:rPr>
          <w:i/>
          <w:color w:val="000000"/>
          <w:sz w:val="22"/>
          <w:szCs w:val="22"/>
          <w:lang w:val="en-US"/>
        </w:rPr>
        <w:t>l</w:t>
      </w:r>
      <w:r w:rsidRPr="009978E3">
        <w:rPr>
          <w:color w:val="000000"/>
          <w:sz w:val="22"/>
          <w:szCs w:val="22"/>
          <w:lang w:val="en-US"/>
        </w:rPr>
        <w:t>, 2007). It has a widespread distribution over the North Atlantic</w:t>
      </w:r>
      <w:r>
        <w:rPr>
          <w:color w:val="000000"/>
          <w:sz w:val="22"/>
          <w:szCs w:val="22"/>
          <w:lang w:val="en-US"/>
        </w:rPr>
        <w:t>m</w:t>
      </w:r>
      <w:r w:rsidRPr="009978E3">
        <w:rPr>
          <w:color w:val="000000"/>
          <w:sz w:val="22"/>
          <w:szCs w:val="22"/>
          <w:lang w:val="en-US"/>
        </w:rPr>
        <w:t xml:space="preserve"> and its highest population densities occur in the Norwegian Sea gyre and the Labrador/Irminger Sea gyre (Speirs </w:t>
      </w:r>
      <w:r w:rsidRPr="0006066A">
        <w:rPr>
          <w:i/>
          <w:color w:val="000000"/>
          <w:sz w:val="22"/>
          <w:szCs w:val="22"/>
          <w:lang w:val="en-US"/>
        </w:rPr>
        <w:t>et al</w:t>
      </w:r>
      <w:r w:rsidRPr="009978E3">
        <w:rPr>
          <w:color w:val="000000"/>
          <w:sz w:val="22"/>
          <w:szCs w:val="22"/>
          <w:lang w:val="en-US"/>
        </w:rPr>
        <w:t>, 2005). As such</w:t>
      </w:r>
      <w:r>
        <w:rPr>
          <w:color w:val="000000"/>
          <w:sz w:val="22"/>
          <w:szCs w:val="22"/>
          <w:lang w:val="en-US"/>
        </w:rPr>
        <w:t>,</w:t>
      </w:r>
      <w:r w:rsidRPr="009978E3">
        <w:rPr>
          <w:color w:val="000000"/>
          <w:sz w:val="22"/>
          <w:szCs w:val="22"/>
          <w:lang w:val="en-US"/>
        </w:rPr>
        <w:t xml:space="preserve"> this copepod forms a critical part of the diet of the larval stages of many important commercial fish stocks in these areas (Speirs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2005).</w:t>
      </w:r>
    </w:p>
    <w:p w14:paraId="7B2975CA" w14:textId="77777777" w:rsidR="006B3F46" w:rsidRPr="009978E3" w:rsidRDefault="006B3F46" w:rsidP="002E4B39">
      <w:pPr>
        <w:suppressLineNumbers/>
        <w:spacing w:after="120"/>
        <w:jc w:val="both"/>
        <w:rPr>
          <w:color w:val="000000"/>
          <w:sz w:val="22"/>
          <w:szCs w:val="22"/>
          <w:lang w:val="en-US"/>
        </w:rPr>
      </w:pPr>
      <w:r w:rsidRPr="002E4B39">
        <w:rPr>
          <w:rFonts w:eastAsia="MS Mincho"/>
          <w:sz w:val="22"/>
          <w:szCs w:val="22"/>
          <w:lang w:val="en-US"/>
        </w:rPr>
        <w:t>The</w:t>
      </w:r>
      <w:r w:rsidRPr="009978E3">
        <w:rPr>
          <w:color w:val="000000"/>
          <w:sz w:val="22"/>
          <w:szCs w:val="22"/>
          <w:lang w:val="en-US"/>
        </w:rPr>
        <w:t xml:space="preserve"> seamounts of the northern M</w:t>
      </w:r>
      <w:r>
        <w:rPr>
          <w:color w:val="000000"/>
          <w:sz w:val="22"/>
          <w:szCs w:val="22"/>
          <w:lang w:val="en-US"/>
        </w:rPr>
        <w:t>AR</w:t>
      </w:r>
      <w:r w:rsidRPr="009978E3">
        <w:rPr>
          <w:color w:val="000000"/>
          <w:sz w:val="22"/>
          <w:szCs w:val="22"/>
          <w:lang w:val="en-US"/>
        </w:rPr>
        <w:t xml:space="preserve"> were surveyed between 43</w:t>
      </w:r>
      <w:r>
        <w:rPr>
          <w:color w:val="000000"/>
          <w:sz w:val="22"/>
          <w:szCs w:val="22"/>
          <w:lang w:val="en-US"/>
        </w:rPr>
        <w:t>º</w:t>
      </w:r>
      <w:r w:rsidRPr="009978E3">
        <w:rPr>
          <w:color w:val="000000"/>
          <w:sz w:val="22"/>
          <w:szCs w:val="22"/>
          <w:lang w:val="en-US"/>
        </w:rPr>
        <w:t xml:space="preserve"> and 57</w:t>
      </w:r>
      <w:r>
        <w:rPr>
          <w:color w:val="000000"/>
          <w:sz w:val="22"/>
          <w:szCs w:val="22"/>
          <w:lang w:val="en-US"/>
        </w:rPr>
        <w:t>º</w:t>
      </w:r>
      <w:r w:rsidRPr="009978E3">
        <w:rPr>
          <w:color w:val="000000"/>
          <w:sz w:val="22"/>
          <w:szCs w:val="22"/>
          <w:lang w:val="en-US"/>
        </w:rPr>
        <w:t xml:space="preserve">N, which is just outside the </w:t>
      </w:r>
      <w:r>
        <w:rPr>
          <w:color w:val="000000"/>
          <w:sz w:val="22"/>
          <w:szCs w:val="22"/>
          <w:lang w:val="en-US"/>
        </w:rPr>
        <w:t xml:space="preserve">workshop </w:t>
      </w:r>
      <w:r w:rsidRPr="009978E3">
        <w:rPr>
          <w:color w:val="000000"/>
          <w:sz w:val="22"/>
          <w:szCs w:val="22"/>
          <w:lang w:val="en-US"/>
        </w:rPr>
        <w:t>boundaries. The species that were sampled by Kukuev (2004) consisted of approximately 20 elasmobranch species. Hareide &amp; Garnes</w:t>
      </w:r>
      <w:r>
        <w:rPr>
          <w:color w:val="000000"/>
          <w:sz w:val="22"/>
          <w:szCs w:val="22"/>
          <w:lang w:val="en-US"/>
        </w:rPr>
        <w:t xml:space="preserve"> </w:t>
      </w:r>
      <w:r w:rsidRPr="009978E3">
        <w:rPr>
          <w:color w:val="000000"/>
          <w:sz w:val="22"/>
          <w:szCs w:val="22"/>
          <w:lang w:val="en-US"/>
        </w:rPr>
        <w:t xml:space="preserve">(2001) reported catching the </w:t>
      </w:r>
      <w:r>
        <w:rPr>
          <w:color w:val="000000"/>
          <w:sz w:val="22"/>
          <w:szCs w:val="22"/>
          <w:lang w:val="en-US"/>
        </w:rPr>
        <w:t>p</w:t>
      </w:r>
      <w:r w:rsidRPr="009978E3">
        <w:rPr>
          <w:color w:val="000000"/>
          <w:sz w:val="22"/>
          <w:szCs w:val="22"/>
          <w:lang w:val="en-US"/>
        </w:rPr>
        <w:t>ale ray (</w:t>
      </w:r>
      <w:r w:rsidRPr="009978E3">
        <w:rPr>
          <w:i/>
          <w:color w:val="000000"/>
          <w:sz w:val="22"/>
          <w:szCs w:val="22"/>
          <w:lang w:val="en-US"/>
        </w:rPr>
        <w:t>Bathyraja pallida</w:t>
      </w:r>
      <w:r w:rsidRPr="009978E3">
        <w:rPr>
          <w:color w:val="000000"/>
          <w:sz w:val="22"/>
          <w:szCs w:val="22"/>
          <w:lang w:val="en-US"/>
        </w:rPr>
        <w:t xml:space="preserve">) and Richardson’s </w:t>
      </w:r>
      <w:r>
        <w:rPr>
          <w:color w:val="000000"/>
          <w:sz w:val="22"/>
          <w:szCs w:val="22"/>
          <w:lang w:val="en-US"/>
        </w:rPr>
        <w:t>r</w:t>
      </w:r>
      <w:r w:rsidRPr="009978E3">
        <w:rPr>
          <w:color w:val="000000"/>
          <w:sz w:val="22"/>
          <w:szCs w:val="22"/>
          <w:lang w:val="en-US"/>
        </w:rPr>
        <w:t>ay (</w:t>
      </w:r>
      <w:r w:rsidRPr="009978E3">
        <w:rPr>
          <w:i/>
          <w:color w:val="000000"/>
          <w:sz w:val="22"/>
          <w:szCs w:val="22"/>
          <w:lang w:val="en-US"/>
        </w:rPr>
        <w:t>Bathyraja richardsoni</w:t>
      </w:r>
      <w:r w:rsidRPr="009978E3">
        <w:rPr>
          <w:color w:val="000000"/>
          <w:sz w:val="22"/>
          <w:szCs w:val="22"/>
          <w:lang w:val="en-US"/>
        </w:rPr>
        <w:t xml:space="preserve">), </w:t>
      </w:r>
      <w:r w:rsidRPr="009978E3">
        <w:rPr>
          <w:i/>
          <w:color w:val="000000"/>
          <w:sz w:val="22"/>
          <w:szCs w:val="22"/>
          <w:lang w:val="en-US"/>
        </w:rPr>
        <w:t>C. coelolepis</w:t>
      </w:r>
      <w:r>
        <w:rPr>
          <w:i/>
          <w:color w:val="000000"/>
          <w:sz w:val="22"/>
          <w:szCs w:val="22"/>
          <w:lang w:val="en-US"/>
        </w:rPr>
        <w:t>,</w:t>
      </w:r>
      <w:r w:rsidRPr="009978E3">
        <w:rPr>
          <w:color w:val="000000"/>
          <w:sz w:val="22"/>
          <w:szCs w:val="22"/>
          <w:lang w:val="en-US"/>
        </w:rPr>
        <w:t xml:space="preserve"> </w:t>
      </w:r>
      <w:r>
        <w:rPr>
          <w:color w:val="000000"/>
          <w:sz w:val="22"/>
          <w:szCs w:val="22"/>
          <w:lang w:val="en-US"/>
        </w:rPr>
        <w:t>included</w:t>
      </w:r>
      <w:r w:rsidRPr="009978E3">
        <w:rPr>
          <w:color w:val="000000"/>
          <w:sz w:val="22"/>
          <w:szCs w:val="22"/>
          <w:lang w:val="en-US"/>
        </w:rPr>
        <w:t xml:space="preserve"> on the OSPAR </w:t>
      </w:r>
      <w:r>
        <w:rPr>
          <w:color w:val="000000"/>
          <w:sz w:val="22"/>
          <w:szCs w:val="22"/>
          <w:lang w:val="en-US"/>
        </w:rPr>
        <w:t>L</w:t>
      </w:r>
      <w:r w:rsidRPr="009978E3">
        <w:rPr>
          <w:color w:val="000000"/>
          <w:sz w:val="22"/>
          <w:szCs w:val="22"/>
          <w:lang w:val="en-US"/>
        </w:rPr>
        <w:t xml:space="preserve">ist of Threatened and/or Declining Species and Habitats </w:t>
      </w:r>
      <w:r>
        <w:rPr>
          <w:color w:val="000000"/>
          <w:sz w:val="22"/>
          <w:szCs w:val="22"/>
          <w:lang w:val="en-US"/>
        </w:rPr>
        <w:t>(</w:t>
      </w:r>
      <w:r w:rsidRPr="009978E3">
        <w:rPr>
          <w:color w:val="000000"/>
          <w:sz w:val="22"/>
          <w:szCs w:val="22"/>
          <w:lang w:val="en-US"/>
        </w:rPr>
        <w:t>BDC/MASH 2007</w:t>
      </w:r>
      <w:r>
        <w:rPr>
          <w:color w:val="000000"/>
          <w:sz w:val="22"/>
          <w:szCs w:val="22"/>
          <w:lang w:val="en-US"/>
        </w:rPr>
        <w:t>)</w:t>
      </w:r>
      <w:r w:rsidRPr="009978E3">
        <w:rPr>
          <w:color w:val="000000"/>
          <w:sz w:val="22"/>
          <w:szCs w:val="22"/>
          <w:lang w:val="en-US"/>
        </w:rPr>
        <w:t xml:space="preserve"> and </w:t>
      </w:r>
      <w:r w:rsidRPr="009978E3">
        <w:rPr>
          <w:i/>
          <w:color w:val="000000"/>
          <w:sz w:val="22"/>
          <w:szCs w:val="22"/>
          <w:lang w:val="en-US"/>
        </w:rPr>
        <w:t>S. microcephalus</w:t>
      </w:r>
      <w:r>
        <w:rPr>
          <w:i/>
          <w:color w:val="000000"/>
          <w:sz w:val="22"/>
          <w:szCs w:val="22"/>
          <w:lang w:val="en-US"/>
        </w:rPr>
        <w:t>,</w:t>
      </w:r>
      <w:r w:rsidRPr="009978E3">
        <w:rPr>
          <w:color w:val="000000"/>
          <w:sz w:val="22"/>
          <w:szCs w:val="22"/>
          <w:lang w:val="en-US"/>
        </w:rPr>
        <w:t xml:space="preserve"> an extremely long-lived and slow-growing deep water species of shark that was historically targeted for its liver oil by Norway, Iceland and Greenland, listed as near threatened on the IUCN Red List (Paul &amp; Fowler, 2003; Kyne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2006; Stevens &amp; Correla, 2003). In the 1910s</w:t>
      </w:r>
      <w:r>
        <w:rPr>
          <w:color w:val="000000"/>
          <w:sz w:val="22"/>
          <w:szCs w:val="22"/>
          <w:lang w:val="en-US"/>
        </w:rPr>
        <w:t>,</w:t>
      </w:r>
      <w:r w:rsidRPr="009978E3">
        <w:rPr>
          <w:color w:val="000000"/>
          <w:sz w:val="22"/>
          <w:szCs w:val="22"/>
          <w:lang w:val="en-US"/>
        </w:rPr>
        <w:t xml:space="preserve"> catches for this species reached 32,000 sharks per year by Greenland alone</w:t>
      </w:r>
      <w:r>
        <w:rPr>
          <w:color w:val="000000"/>
          <w:sz w:val="22"/>
          <w:szCs w:val="22"/>
          <w:lang w:val="en-US"/>
        </w:rPr>
        <w:t>,</w:t>
      </w:r>
      <w:r w:rsidRPr="009978E3">
        <w:rPr>
          <w:color w:val="000000"/>
          <w:sz w:val="22"/>
          <w:szCs w:val="22"/>
          <w:lang w:val="en-US"/>
        </w:rPr>
        <w:t xml:space="preserve"> and these fisheries are thought to have had a significant impact on this species (Kyne </w:t>
      </w:r>
      <w:r w:rsidRPr="0006066A">
        <w:rPr>
          <w:i/>
          <w:color w:val="000000"/>
          <w:sz w:val="22"/>
          <w:szCs w:val="22"/>
          <w:lang w:val="en-US"/>
        </w:rPr>
        <w:t>et al</w:t>
      </w:r>
      <w:r>
        <w:rPr>
          <w:i/>
          <w:color w:val="000000"/>
          <w:sz w:val="22"/>
          <w:szCs w:val="22"/>
          <w:lang w:val="en-US"/>
        </w:rPr>
        <w:t>.</w:t>
      </w:r>
      <w:r w:rsidRPr="009978E3">
        <w:rPr>
          <w:color w:val="000000"/>
          <w:sz w:val="22"/>
          <w:szCs w:val="22"/>
          <w:lang w:val="en-US"/>
        </w:rPr>
        <w:t>, 2006).</w:t>
      </w:r>
    </w:p>
    <w:p w14:paraId="7F3563C0" w14:textId="77777777" w:rsidR="006B3F46" w:rsidRPr="009978E3" w:rsidRDefault="006B3F46" w:rsidP="002E4B39">
      <w:pPr>
        <w:suppressLineNumbers/>
        <w:spacing w:after="120"/>
        <w:jc w:val="both"/>
        <w:rPr>
          <w:color w:val="000000"/>
          <w:sz w:val="22"/>
          <w:szCs w:val="22"/>
          <w:lang w:val="en-US"/>
        </w:rPr>
      </w:pPr>
      <w:r w:rsidRPr="009978E3">
        <w:rPr>
          <w:color w:val="000000"/>
          <w:sz w:val="22"/>
          <w:szCs w:val="22"/>
          <w:lang w:val="en-US"/>
        </w:rPr>
        <w:t>The three rare ray species that have been reported for the northern M</w:t>
      </w:r>
      <w:r>
        <w:rPr>
          <w:color w:val="000000"/>
          <w:sz w:val="22"/>
          <w:szCs w:val="22"/>
          <w:lang w:val="en-US"/>
        </w:rPr>
        <w:t>AR</w:t>
      </w:r>
      <w:r w:rsidRPr="009978E3">
        <w:rPr>
          <w:color w:val="000000"/>
          <w:sz w:val="22"/>
          <w:szCs w:val="22"/>
          <w:lang w:val="en-US"/>
        </w:rPr>
        <w:t xml:space="preserve"> (Hareide &amp; Garnes, 2001) come from two families. </w:t>
      </w:r>
      <w:r w:rsidRPr="009978E3">
        <w:rPr>
          <w:i/>
          <w:color w:val="000000"/>
          <w:sz w:val="22"/>
          <w:szCs w:val="22"/>
          <w:lang w:val="en-US"/>
        </w:rPr>
        <w:t>B. richardsoni</w:t>
      </w:r>
      <w:r w:rsidRPr="009978E3">
        <w:rPr>
          <w:color w:val="000000"/>
          <w:sz w:val="22"/>
          <w:szCs w:val="22"/>
          <w:lang w:val="en-US"/>
        </w:rPr>
        <w:t xml:space="preserve"> and </w:t>
      </w:r>
      <w:r w:rsidRPr="009978E3">
        <w:rPr>
          <w:i/>
          <w:color w:val="000000"/>
          <w:sz w:val="22"/>
          <w:szCs w:val="22"/>
          <w:lang w:val="en-US"/>
        </w:rPr>
        <w:t>B. pallida</w:t>
      </w:r>
      <w:r w:rsidRPr="009978E3">
        <w:rPr>
          <w:color w:val="000000"/>
          <w:sz w:val="22"/>
          <w:szCs w:val="22"/>
          <w:lang w:val="en-US"/>
        </w:rPr>
        <w:t xml:space="preserve"> belong to the </w:t>
      </w:r>
      <w:r>
        <w:rPr>
          <w:color w:val="000000"/>
          <w:sz w:val="22"/>
          <w:szCs w:val="22"/>
          <w:lang w:val="en-US"/>
        </w:rPr>
        <w:t>f</w:t>
      </w:r>
      <w:r w:rsidRPr="009978E3">
        <w:rPr>
          <w:color w:val="000000"/>
          <w:sz w:val="22"/>
          <w:szCs w:val="22"/>
          <w:lang w:val="en-US"/>
        </w:rPr>
        <w:t xml:space="preserve">amily Arhynchobatidae (Softnose Skates) and </w:t>
      </w:r>
      <w:r w:rsidRPr="009978E3">
        <w:rPr>
          <w:i/>
          <w:color w:val="000000"/>
          <w:sz w:val="22"/>
          <w:szCs w:val="22"/>
          <w:lang w:val="en-US"/>
        </w:rPr>
        <w:t>R. kukujevi</w:t>
      </w:r>
      <w:r w:rsidRPr="009978E3">
        <w:rPr>
          <w:color w:val="000000"/>
          <w:sz w:val="22"/>
          <w:szCs w:val="22"/>
          <w:lang w:val="en-US"/>
        </w:rPr>
        <w:t xml:space="preserve"> and belongs to the </w:t>
      </w:r>
      <w:r>
        <w:rPr>
          <w:color w:val="000000"/>
          <w:sz w:val="22"/>
          <w:szCs w:val="22"/>
          <w:lang w:val="en-US"/>
        </w:rPr>
        <w:t>f</w:t>
      </w:r>
      <w:r w:rsidRPr="009978E3">
        <w:rPr>
          <w:color w:val="000000"/>
          <w:sz w:val="22"/>
          <w:szCs w:val="22"/>
          <w:lang w:val="en-US"/>
        </w:rPr>
        <w:t>amily Rajidae (Hardnose Skates) (Kyne &amp; Simpfendorfer, 2007). There is a high species diversity within the Arhynchobatidae Family.</w:t>
      </w:r>
    </w:p>
    <w:p w14:paraId="55BA4D0C" w14:textId="77777777" w:rsidR="006B3F46" w:rsidRPr="009978E3" w:rsidRDefault="006B3F46" w:rsidP="002E4B39">
      <w:pPr>
        <w:suppressLineNumbers/>
        <w:spacing w:after="120"/>
        <w:jc w:val="both"/>
        <w:rPr>
          <w:color w:val="000000"/>
          <w:sz w:val="22"/>
          <w:szCs w:val="22"/>
          <w:lang w:val="en-US"/>
        </w:rPr>
      </w:pPr>
      <w:r w:rsidRPr="002E4B39">
        <w:rPr>
          <w:rFonts w:eastAsia="MS Mincho"/>
          <w:sz w:val="22"/>
          <w:szCs w:val="22"/>
          <w:lang w:val="en-US"/>
        </w:rPr>
        <w:t>However</w:t>
      </w:r>
      <w:r w:rsidRPr="009978E3">
        <w:rPr>
          <w:color w:val="000000"/>
          <w:sz w:val="22"/>
          <w:szCs w:val="22"/>
          <w:lang w:val="en-US"/>
        </w:rPr>
        <w:t xml:space="preserve">, relatively little is known about their biology mainly due to their scattered distributions, deep occurrences (this family includes some of the deepest occurring chondrichthyans), taxonomic uncertainty and limited material, meaning some species, such as those found in and near to the area, are virtually unknown (Kyne &amp; Simpfendorfer, 2007). Estimates from the limited information about </w:t>
      </w:r>
      <w:r>
        <w:rPr>
          <w:color w:val="000000"/>
          <w:sz w:val="22"/>
          <w:szCs w:val="22"/>
          <w:lang w:val="en-US"/>
        </w:rPr>
        <w:t>s</w:t>
      </w:r>
      <w:r w:rsidRPr="009978E3">
        <w:rPr>
          <w:color w:val="000000"/>
          <w:sz w:val="22"/>
          <w:szCs w:val="22"/>
          <w:lang w:val="en-US"/>
        </w:rPr>
        <w:t>oftnose skates suggests they can live up to 29 years and reach maturity at about 10 years (Kyne &amp; Simpfendorfer, 2007), making them highly vulnerable to any human</w:t>
      </w:r>
      <w:r>
        <w:rPr>
          <w:color w:val="000000"/>
          <w:sz w:val="22"/>
          <w:szCs w:val="22"/>
          <w:lang w:val="en-US"/>
        </w:rPr>
        <w:t>-</w:t>
      </w:r>
      <w:r w:rsidRPr="009978E3">
        <w:rPr>
          <w:color w:val="000000"/>
          <w:sz w:val="22"/>
          <w:szCs w:val="22"/>
          <w:lang w:val="en-US"/>
        </w:rPr>
        <w:t xml:space="preserve">induced exploitation. There is considerably more information available about the Rajidae family than the Arhynchobatidae family, which is the most speciose of chondrichthyans, and contains the deepest occurring chondrichthyan species. However, the overall knowledge about this family is poor (Kyne &amp; Simpfendorfer, 2007). The family on the whole conforms to the general life history traits of chondrichthyan species and therefore will also be highly vulnerable to </w:t>
      </w:r>
      <w:r w:rsidRPr="002E4B39">
        <w:rPr>
          <w:rFonts w:eastAsia="MS Mincho"/>
          <w:sz w:val="22"/>
          <w:szCs w:val="22"/>
          <w:lang w:val="en-US"/>
        </w:rPr>
        <w:t>exploitation</w:t>
      </w:r>
      <w:r w:rsidRPr="009978E3">
        <w:rPr>
          <w:color w:val="000000"/>
          <w:sz w:val="22"/>
          <w:szCs w:val="22"/>
          <w:lang w:val="en-US"/>
        </w:rPr>
        <w:t xml:space="preserve">. Both </w:t>
      </w:r>
      <w:r w:rsidRPr="009978E3">
        <w:rPr>
          <w:i/>
          <w:color w:val="000000"/>
          <w:sz w:val="22"/>
          <w:szCs w:val="22"/>
          <w:lang w:val="en-US"/>
        </w:rPr>
        <w:t>B. pallida</w:t>
      </w:r>
      <w:r w:rsidRPr="009978E3">
        <w:rPr>
          <w:color w:val="000000"/>
          <w:sz w:val="22"/>
          <w:szCs w:val="22"/>
          <w:lang w:val="en-US"/>
        </w:rPr>
        <w:t xml:space="preserve"> and </w:t>
      </w:r>
      <w:r w:rsidRPr="009978E3">
        <w:rPr>
          <w:i/>
          <w:color w:val="000000"/>
          <w:sz w:val="22"/>
          <w:szCs w:val="22"/>
          <w:lang w:val="en-US"/>
        </w:rPr>
        <w:t>B. richardsoni</w:t>
      </w:r>
      <w:r w:rsidRPr="009978E3">
        <w:rPr>
          <w:color w:val="000000"/>
          <w:sz w:val="22"/>
          <w:szCs w:val="22"/>
          <w:lang w:val="en-US"/>
        </w:rPr>
        <w:t xml:space="preserve"> are listed on the IUCN Red List of Threatened Species as being of least concern, due to their very deep depth ranges, which remain out of the range of most deepwater fishing activity (Kulka </w:t>
      </w:r>
      <w:r w:rsidRPr="0006066A">
        <w:rPr>
          <w:i/>
          <w:color w:val="000000"/>
          <w:sz w:val="22"/>
          <w:szCs w:val="22"/>
          <w:lang w:val="en-US"/>
        </w:rPr>
        <w:t>et al</w:t>
      </w:r>
      <w:r w:rsidRPr="009978E3">
        <w:rPr>
          <w:color w:val="000000"/>
          <w:sz w:val="22"/>
          <w:szCs w:val="22"/>
          <w:lang w:val="en-US"/>
        </w:rPr>
        <w:t>, 2007; Orlov, 2007). However, both were caught during experimental fishing along the M</w:t>
      </w:r>
      <w:r>
        <w:rPr>
          <w:color w:val="000000"/>
          <w:sz w:val="22"/>
          <w:szCs w:val="22"/>
          <w:lang w:val="en-US"/>
        </w:rPr>
        <w:t>AR</w:t>
      </w:r>
      <w:r w:rsidRPr="009978E3">
        <w:rPr>
          <w:color w:val="000000"/>
          <w:sz w:val="22"/>
          <w:szCs w:val="22"/>
          <w:lang w:val="en-US"/>
        </w:rPr>
        <w:t xml:space="preserve"> and therefore they can be considered vulnerable to deep-water fishing in the area. Indeed</w:t>
      </w:r>
      <w:r>
        <w:rPr>
          <w:color w:val="000000"/>
          <w:sz w:val="22"/>
          <w:szCs w:val="22"/>
          <w:lang w:val="en-US"/>
        </w:rPr>
        <w:t>,</w:t>
      </w:r>
      <w:r w:rsidRPr="009978E3">
        <w:rPr>
          <w:color w:val="000000"/>
          <w:sz w:val="22"/>
          <w:szCs w:val="22"/>
          <w:lang w:val="en-US"/>
        </w:rPr>
        <w:t xml:space="preserve"> the whole of their depth range is now reachable with longline gear. </w:t>
      </w:r>
      <w:r w:rsidRPr="009978E3">
        <w:rPr>
          <w:i/>
          <w:color w:val="000000"/>
          <w:sz w:val="22"/>
          <w:szCs w:val="22"/>
          <w:lang w:val="en-US"/>
        </w:rPr>
        <w:t>R. kukujevi</w:t>
      </w:r>
      <w:r w:rsidRPr="009978E3">
        <w:rPr>
          <w:color w:val="000000"/>
          <w:sz w:val="22"/>
          <w:szCs w:val="22"/>
          <w:lang w:val="en-US"/>
        </w:rPr>
        <w:t xml:space="preserve"> is not listed on the IUCN Red List</w:t>
      </w:r>
    </w:p>
    <w:p w14:paraId="6B0A4399" w14:textId="77777777" w:rsidR="006B3F46" w:rsidRPr="009978E3" w:rsidRDefault="006B3F46" w:rsidP="002E4B39">
      <w:pPr>
        <w:suppressLineNumbers/>
        <w:spacing w:after="120"/>
        <w:jc w:val="both"/>
        <w:rPr>
          <w:color w:val="000000"/>
          <w:sz w:val="22"/>
          <w:szCs w:val="22"/>
        </w:rPr>
      </w:pPr>
      <w:r w:rsidRPr="009978E3">
        <w:rPr>
          <w:color w:val="000000"/>
          <w:sz w:val="22"/>
          <w:szCs w:val="22"/>
        </w:rPr>
        <w:t xml:space="preserve">For </w:t>
      </w:r>
      <w:r w:rsidRPr="002E4B39">
        <w:rPr>
          <w:rFonts w:eastAsia="MS Mincho"/>
          <w:sz w:val="22"/>
          <w:szCs w:val="22"/>
          <w:lang w:val="en-US"/>
        </w:rPr>
        <w:t>the</w:t>
      </w:r>
      <w:r w:rsidRPr="009978E3">
        <w:rPr>
          <w:color w:val="000000"/>
          <w:sz w:val="22"/>
          <w:szCs w:val="22"/>
        </w:rPr>
        <w:t xml:space="preserve"> northern section of the MAR region, covering the Reykjanes Ridge, the dedicated North Atlantic Sightings Surveys (NASS) and Trans-NASS Surveys (T-NASS) were internationally coordinated cetacean surveys that have been conducted in 1987, 1989, 1995, 2001, 2007 and 2015. The main purpose of the surveys was and is to get quantitative information on the distribution and abundance of all cetacean species in the survey area, which encompasses much of the northern North Atlantic between Norway and North America. Since 1995, the NASS have been planned and coordinated by the NAMMCO Scientific Committee and have observed a diversity of cetacean species along the Reykjanes Ridge.</w:t>
      </w:r>
    </w:p>
    <w:p w14:paraId="68338175"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Feature condition and future outlook of the area</w:t>
      </w:r>
    </w:p>
    <w:p w14:paraId="1AFA4AF6" w14:textId="77777777" w:rsidR="006B3F46" w:rsidRPr="009978E3" w:rsidRDefault="006B3F46" w:rsidP="002E4B39">
      <w:pPr>
        <w:suppressLineNumbers/>
        <w:spacing w:after="120"/>
        <w:jc w:val="both"/>
        <w:rPr>
          <w:rFonts w:eastAsia="MS Mincho"/>
          <w:color w:val="000000"/>
          <w:sz w:val="22"/>
          <w:szCs w:val="22"/>
          <w:lang w:val="en-US"/>
        </w:rPr>
      </w:pPr>
      <w:r w:rsidRPr="009978E3">
        <w:rPr>
          <w:rFonts w:eastAsia="MS Mincho"/>
          <w:color w:val="000000"/>
          <w:sz w:val="22"/>
          <w:szCs w:val="22"/>
          <w:lang w:val="en-US"/>
        </w:rPr>
        <w:t xml:space="preserve">Given </w:t>
      </w:r>
      <w:r w:rsidRPr="002E4B39">
        <w:rPr>
          <w:rFonts w:eastAsia="MS Mincho"/>
          <w:sz w:val="22"/>
          <w:szCs w:val="22"/>
          <w:lang w:val="en-US"/>
        </w:rPr>
        <w:t>the</w:t>
      </w:r>
      <w:r w:rsidRPr="009978E3">
        <w:rPr>
          <w:rFonts w:eastAsia="MS Mincho"/>
          <w:color w:val="000000"/>
          <w:sz w:val="22"/>
          <w:szCs w:val="22"/>
          <w:lang w:val="en-US"/>
        </w:rPr>
        <w:t xml:space="preserve"> geophysical nature, location and size of the Reykjanes Ridge</w:t>
      </w:r>
      <w:r>
        <w:rPr>
          <w:rFonts w:eastAsia="MS Mincho"/>
          <w:color w:val="000000"/>
          <w:sz w:val="22"/>
          <w:szCs w:val="22"/>
          <w:lang w:val="en-US"/>
        </w:rPr>
        <w:t>,</w:t>
      </w:r>
      <w:r w:rsidRPr="009978E3">
        <w:rPr>
          <w:rFonts w:eastAsia="MS Mincho"/>
          <w:color w:val="000000"/>
          <w:sz w:val="22"/>
          <w:szCs w:val="22"/>
          <w:lang w:val="en-US"/>
        </w:rPr>
        <w:t xml:space="preserve"> it is unlikely that it will be adversely affected by human activities. </w:t>
      </w:r>
    </w:p>
    <w:p w14:paraId="045E5E06" w14:textId="77777777" w:rsidR="006B3F46" w:rsidRPr="009978E3" w:rsidRDefault="006B3F46" w:rsidP="00907941">
      <w:pPr>
        <w:jc w:val="both"/>
        <w:rPr>
          <w:rFonts w:eastAsia="MS Mincho"/>
          <w:b/>
          <w:color w:val="000000"/>
          <w:sz w:val="22"/>
          <w:szCs w:val="22"/>
          <w:lang w:val="en-US"/>
        </w:rPr>
      </w:pPr>
      <w:r w:rsidRPr="009978E3">
        <w:rPr>
          <w:rFonts w:eastAsia="MS Mincho"/>
          <w:b/>
          <w:color w:val="000000"/>
          <w:sz w:val="22"/>
          <w:szCs w:val="22"/>
          <w:lang w:val="en-US"/>
        </w:rPr>
        <w:t xml:space="preserve">Assessment of </w:t>
      </w:r>
      <w:r>
        <w:rPr>
          <w:rFonts w:eastAsia="MS Mincho"/>
          <w:b/>
          <w:color w:val="000000"/>
          <w:sz w:val="22"/>
          <w:szCs w:val="22"/>
          <w:lang w:val="en-US"/>
        </w:rPr>
        <w:t>a</w:t>
      </w:r>
      <w:r w:rsidRPr="008E1AA2">
        <w:rPr>
          <w:rFonts w:eastAsia="MS Mincho"/>
          <w:b/>
          <w:color w:val="000000"/>
          <w:sz w:val="22"/>
          <w:szCs w:val="22"/>
          <w:lang w:val="en-US"/>
        </w:rPr>
        <w:t>rea no. 16</w:t>
      </w:r>
      <w:r>
        <w:rPr>
          <w:rFonts w:eastAsia="MS Mincho"/>
          <w:b/>
          <w:color w:val="000000"/>
          <w:sz w:val="22"/>
          <w:szCs w:val="22"/>
          <w:lang w:val="en-US"/>
        </w:rPr>
        <w:t>,</w:t>
      </w:r>
      <w:r w:rsidRPr="008E1AA2">
        <w:rPr>
          <w:rFonts w:eastAsia="MS Mincho"/>
          <w:b/>
          <w:color w:val="000000"/>
          <w:sz w:val="22"/>
          <w:szCs w:val="22"/>
          <w:lang w:val="en-US"/>
        </w:rPr>
        <w:t xml:space="preserve"> Southern Reykjanes Ridge</w:t>
      </w:r>
      <w:r>
        <w:rPr>
          <w:rFonts w:eastAsia="MS Mincho"/>
          <w:b/>
          <w:color w:val="000000"/>
          <w:sz w:val="22"/>
          <w:szCs w:val="22"/>
          <w:lang w:val="en-US"/>
        </w:rPr>
        <w:t>,</w:t>
      </w:r>
      <w:r w:rsidRPr="009978E3">
        <w:rPr>
          <w:rFonts w:eastAsia="MS Mincho"/>
          <w:b/>
          <w:color w:val="000000"/>
          <w:sz w:val="22"/>
          <w:szCs w:val="22"/>
          <w:lang w:val="en-US"/>
        </w:rPr>
        <w:t xml:space="preserve"> against CBD EBSA Criteria </w:t>
      </w:r>
    </w:p>
    <w:p w14:paraId="3349C7C0"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21277B" w14:paraId="37BEBD7F" w14:textId="77777777" w:rsidTr="002E4B39">
        <w:tc>
          <w:tcPr>
            <w:tcW w:w="832" w:type="pct"/>
            <w:vMerge w:val="restart"/>
            <w:shd w:val="clear" w:color="auto" w:fill="auto"/>
          </w:tcPr>
          <w:p w14:paraId="3080D3BD"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CBD EBSA Criteria</w:t>
            </w:r>
          </w:p>
          <w:p w14:paraId="5947BBF8" w14:textId="77777777" w:rsidR="006B3F46" w:rsidRPr="0021277B" w:rsidRDefault="006B3F46" w:rsidP="00907941">
            <w:pPr>
              <w:widowControl w:val="0"/>
              <w:autoSpaceDE w:val="0"/>
              <w:autoSpaceDN w:val="0"/>
              <w:adjustRightInd w:val="0"/>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32" w:type="pct"/>
            <w:vMerge w:val="restart"/>
            <w:shd w:val="clear" w:color="auto" w:fill="auto"/>
          </w:tcPr>
          <w:p w14:paraId="30030FC8"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Description</w:t>
            </w:r>
          </w:p>
          <w:p w14:paraId="00813AB6"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78B5FD6E"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78C8505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33B8BB47" w14:textId="77777777" w:rsidTr="002E4B39">
        <w:tc>
          <w:tcPr>
            <w:tcW w:w="832" w:type="pct"/>
            <w:vMerge/>
            <w:shd w:val="clear" w:color="auto" w:fill="auto"/>
          </w:tcPr>
          <w:p w14:paraId="2B788B47"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2232" w:type="pct"/>
            <w:vMerge/>
            <w:shd w:val="clear" w:color="auto" w:fill="auto"/>
          </w:tcPr>
          <w:p w14:paraId="4A83E9F9"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547" w:type="pct"/>
            <w:gridSpan w:val="2"/>
            <w:shd w:val="clear" w:color="auto" w:fill="auto"/>
          </w:tcPr>
          <w:p w14:paraId="41B3E4BA"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2D5A834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046BB848"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3389421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4AE46638" w14:textId="77777777" w:rsidTr="002E4B39">
        <w:tc>
          <w:tcPr>
            <w:tcW w:w="832" w:type="pct"/>
            <w:shd w:val="clear" w:color="auto" w:fill="auto"/>
          </w:tcPr>
          <w:p w14:paraId="50F56D9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32" w:type="pct"/>
            <w:shd w:val="clear" w:color="auto" w:fill="auto"/>
          </w:tcPr>
          <w:p w14:paraId="727AB2D7"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682BD2A5"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547" w:type="pct"/>
            <w:gridSpan w:val="3"/>
            <w:shd w:val="clear" w:color="auto" w:fill="auto"/>
          </w:tcPr>
          <w:p w14:paraId="743CFD8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62D7DC7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0E32B8B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7A220404" w14:textId="77777777" w:rsidTr="00907941">
        <w:tc>
          <w:tcPr>
            <w:tcW w:w="5000" w:type="pct"/>
            <w:gridSpan w:val="11"/>
            <w:shd w:val="clear" w:color="auto" w:fill="auto"/>
          </w:tcPr>
          <w:p w14:paraId="37325F37"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7A7F2100" w14:textId="7024AEE3" w:rsidR="006B3F46" w:rsidRPr="0021277B" w:rsidRDefault="006B3F46" w:rsidP="002E4B39">
            <w:pPr>
              <w:suppressLineNumbers/>
              <w:spacing w:after="120"/>
              <w:jc w:val="both"/>
              <w:rPr>
                <w:rFonts w:eastAsia="MS Mincho"/>
                <w:b/>
                <w:bCs/>
                <w:color w:val="000000"/>
                <w:sz w:val="22"/>
                <w:szCs w:val="22"/>
                <w:lang w:val="en-US"/>
              </w:rPr>
            </w:pPr>
            <w:r w:rsidRPr="0021277B">
              <w:rPr>
                <w:color w:val="000000"/>
                <w:sz w:val="22"/>
                <w:szCs w:val="22"/>
                <w:lang w:val="en-US"/>
              </w:rPr>
              <w:t>Reykjanes Ridge and its biological communities are biogeographically distinct from other parts of the M</w:t>
            </w:r>
            <w:r>
              <w:rPr>
                <w:color w:val="000000"/>
                <w:sz w:val="22"/>
                <w:szCs w:val="22"/>
                <w:lang w:val="en-US"/>
              </w:rPr>
              <w:t>AR</w:t>
            </w:r>
            <w:r w:rsidRPr="0021277B">
              <w:rPr>
                <w:color w:val="000000"/>
                <w:sz w:val="22"/>
                <w:szCs w:val="22"/>
                <w:lang w:val="en-US"/>
              </w:rPr>
              <w:t xml:space="preserve"> (Mironov &amp; Gebruk 2006, Gebruk </w:t>
            </w:r>
            <w:r w:rsidRPr="0006066A">
              <w:rPr>
                <w:i/>
                <w:color w:val="000000"/>
                <w:sz w:val="22"/>
                <w:szCs w:val="22"/>
                <w:lang w:val="en-US"/>
              </w:rPr>
              <w:t>et al</w:t>
            </w:r>
            <w:r w:rsidRPr="0021277B">
              <w:rPr>
                <w:color w:val="000000"/>
                <w:sz w:val="22"/>
                <w:szCs w:val="22"/>
                <w:lang w:val="en-US"/>
              </w:rPr>
              <w:t xml:space="preserve">. 2010, Dilman 2013, Alt </w:t>
            </w:r>
            <w:r w:rsidRPr="0006066A">
              <w:rPr>
                <w:i/>
                <w:color w:val="000000"/>
                <w:sz w:val="22"/>
                <w:szCs w:val="22"/>
                <w:lang w:val="en-US"/>
              </w:rPr>
              <w:t>et al</w:t>
            </w:r>
            <w:r>
              <w:rPr>
                <w:i/>
                <w:color w:val="000000"/>
                <w:sz w:val="22"/>
                <w:szCs w:val="22"/>
                <w:lang w:val="en-US"/>
              </w:rPr>
              <w:t>.</w:t>
            </w:r>
            <w:r w:rsidRPr="0021277B">
              <w:rPr>
                <w:color w:val="000000"/>
                <w:sz w:val="22"/>
                <w:szCs w:val="22"/>
                <w:lang w:val="en-US"/>
              </w:rPr>
              <w:t xml:space="preserve"> 2019) bounded by a permanent coldwater current (Iceland-Scotland Overflow Water (Shor </w:t>
            </w:r>
            <w:r w:rsidRPr="0006066A">
              <w:rPr>
                <w:i/>
                <w:color w:val="000000"/>
                <w:sz w:val="22"/>
                <w:szCs w:val="22"/>
                <w:lang w:val="en-US"/>
              </w:rPr>
              <w:t>et al</w:t>
            </w:r>
            <w:r w:rsidRPr="0021277B">
              <w:rPr>
                <w:color w:val="000000"/>
                <w:sz w:val="22"/>
                <w:szCs w:val="22"/>
                <w:lang w:val="en-US"/>
              </w:rPr>
              <w:t>., 1980,).</w:t>
            </w:r>
            <w:r w:rsidRPr="0021277B">
              <w:rPr>
                <w:rFonts w:eastAsia="MS Mincho"/>
                <w:color w:val="000000"/>
                <w:sz w:val="22"/>
                <w:szCs w:val="22"/>
                <w:lang w:val="en-US"/>
              </w:rPr>
              <w:t xml:space="preserve"> In this sense</w:t>
            </w:r>
            <w:r>
              <w:rPr>
                <w:rFonts w:eastAsia="MS Mincho"/>
                <w:color w:val="000000"/>
                <w:sz w:val="22"/>
                <w:szCs w:val="22"/>
                <w:lang w:val="en-US"/>
              </w:rPr>
              <w:t>,</w:t>
            </w:r>
            <w:r w:rsidRPr="0021277B">
              <w:rPr>
                <w:rFonts w:eastAsia="MS Mincho"/>
                <w:bCs/>
                <w:color w:val="000000"/>
                <w:sz w:val="22"/>
                <w:szCs w:val="22"/>
                <w:lang w:val="en-US"/>
              </w:rPr>
              <w:t xml:space="preserve"> Reykjanes Ridge qualifies as a unique geomorphological feature in the North Atlantic</w:t>
            </w:r>
            <w:r>
              <w:rPr>
                <w:rFonts w:eastAsia="MS Mincho"/>
                <w:bCs/>
                <w:color w:val="000000"/>
                <w:sz w:val="22"/>
                <w:szCs w:val="22"/>
                <w:lang w:val="en-US"/>
              </w:rPr>
              <w:t>,</w:t>
            </w:r>
            <w:r w:rsidRPr="0021277B">
              <w:rPr>
                <w:rFonts w:eastAsia="MS Mincho"/>
                <w:bCs/>
                <w:color w:val="000000"/>
                <w:sz w:val="22"/>
                <w:szCs w:val="22"/>
                <w:lang w:val="en-US"/>
              </w:rPr>
              <w:t xml:space="preserve"> and it is most likely that in future</w:t>
            </w:r>
            <w:r>
              <w:rPr>
                <w:rFonts w:eastAsia="MS Mincho"/>
                <w:bCs/>
                <w:color w:val="000000"/>
                <w:sz w:val="22"/>
                <w:szCs w:val="22"/>
                <w:lang w:val="en-US"/>
              </w:rPr>
              <w:t>,</w:t>
            </w:r>
            <w:r w:rsidRPr="0021277B">
              <w:rPr>
                <w:rFonts w:eastAsia="MS Mincho"/>
                <w:bCs/>
                <w:color w:val="000000"/>
                <w:sz w:val="22"/>
                <w:szCs w:val="22"/>
                <w:lang w:val="en-US"/>
              </w:rPr>
              <w:t xml:space="preserve"> hydrothermal vent fields will be discovered</w:t>
            </w:r>
            <w:r>
              <w:rPr>
                <w:rFonts w:eastAsia="MS Mincho"/>
                <w:bCs/>
                <w:color w:val="000000"/>
                <w:sz w:val="22"/>
                <w:szCs w:val="22"/>
                <w:lang w:val="en-US"/>
              </w:rPr>
              <w:t xml:space="preserve"> in this area</w:t>
            </w:r>
            <w:r w:rsidRPr="0021277B">
              <w:rPr>
                <w:rFonts w:eastAsia="MS Mincho"/>
                <w:bCs/>
                <w:color w:val="000000"/>
                <w:sz w:val="22"/>
                <w:szCs w:val="22"/>
                <w:lang w:val="en-US"/>
              </w:rPr>
              <w:t xml:space="preserve">. </w:t>
            </w:r>
            <w:r w:rsidRPr="0021277B">
              <w:rPr>
                <w:color w:val="000000"/>
                <w:sz w:val="22"/>
                <w:szCs w:val="22"/>
                <w:lang w:val="en-US"/>
              </w:rPr>
              <w:t xml:space="preserve">There is some evidence (explained above) to suggest the presence of several unique and rare species, like elasmobranchs </w:t>
            </w:r>
            <w:r w:rsidRPr="0021277B">
              <w:rPr>
                <w:i/>
                <w:color w:val="000000"/>
                <w:sz w:val="22"/>
                <w:szCs w:val="22"/>
                <w:lang w:val="en-US"/>
              </w:rPr>
              <w:t>Bathyraja pallida</w:t>
            </w:r>
            <w:r w:rsidRPr="0021277B">
              <w:rPr>
                <w:color w:val="000000"/>
                <w:sz w:val="22"/>
                <w:szCs w:val="22"/>
                <w:lang w:val="en-US"/>
              </w:rPr>
              <w:t xml:space="preserve"> and </w:t>
            </w:r>
            <w:r w:rsidRPr="0021277B">
              <w:rPr>
                <w:i/>
                <w:color w:val="000000"/>
                <w:sz w:val="22"/>
                <w:szCs w:val="22"/>
                <w:lang w:val="en-US"/>
              </w:rPr>
              <w:t xml:space="preserve">B. richardsoni </w:t>
            </w:r>
            <w:r w:rsidRPr="0021277B">
              <w:rPr>
                <w:color w:val="000000"/>
                <w:sz w:val="22"/>
                <w:szCs w:val="22"/>
                <w:lang w:val="en-US"/>
              </w:rPr>
              <w:t xml:space="preserve">and Greenland shark </w:t>
            </w:r>
            <w:r w:rsidRPr="0021277B">
              <w:rPr>
                <w:i/>
                <w:color w:val="000000"/>
                <w:sz w:val="22"/>
                <w:szCs w:val="22"/>
                <w:lang w:val="en-US"/>
              </w:rPr>
              <w:t xml:space="preserve">Solmiosus microcephalus </w:t>
            </w:r>
            <w:r w:rsidRPr="0021277B">
              <w:rPr>
                <w:iCs/>
                <w:color w:val="000000"/>
                <w:sz w:val="22"/>
                <w:szCs w:val="22"/>
                <w:lang w:val="en-US"/>
              </w:rPr>
              <w:t xml:space="preserve">(Hareide </w:t>
            </w:r>
            <w:r w:rsidRPr="0021277B">
              <w:rPr>
                <w:color w:val="000000"/>
                <w:sz w:val="22"/>
                <w:szCs w:val="22"/>
                <w:lang w:val="en-US"/>
              </w:rPr>
              <w:t xml:space="preserve">&amp; Garnes 2001), although detailed investigations have only been conducted relatively recently, so it is possible that many other </w:t>
            </w:r>
            <w:r w:rsidRPr="002E4B39">
              <w:rPr>
                <w:rFonts w:eastAsia="MS Mincho"/>
                <w:sz w:val="22"/>
                <w:szCs w:val="22"/>
                <w:lang w:val="en-US"/>
              </w:rPr>
              <w:t>rare</w:t>
            </w:r>
            <w:r w:rsidRPr="0021277B">
              <w:rPr>
                <w:color w:val="000000"/>
                <w:sz w:val="22"/>
                <w:szCs w:val="22"/>
                <w:lang w:val="en-US"/>
              </w:rPr>
              <w:t xml:space="preserve"> species exist in this area.</w:t>
            </w:r>
          </w:p>
        </w:tc>
      </w:tr>
      <w:tr w:rsidR="006B3F46" w:rsidRPr="0021277B" w14:paraId="2BE12422" w14:textId="77777777" w:rsidTr="002E4B39">
        <w:tc>
          <w:tcPr>
            <w:tcW w:w="832" w:type="pct"/>
            <w:shd w:val="clear" w:color="auto" w:fill="auto"/>
          </w:tcPr>
          <w:p w14:paraId="060119F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32" w:type="pct"/>
            <w:shd w:val="clear" w:color="auto" w:fill="auto"/>
          </w:tcPr>
          <w:p w14:paraId="734D2291"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tcPr>
          <w:p w14:paraId="713403B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737F8B2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7F0B156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2" w:type="pct"/>
            <w:gridSpan w:val="2"/>
            <w:shd w:val="clear" w:color="auto" w:fill="auto"/>
          </w:tcPr>
          <w:p w14:paraId="6740614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27C74260" w14:textId="77777777" w:rsidTr="00907941">
        <w:tc>
          <w:tcPr>
            <w:tcW w:w="5000" w:type="pct"/>
            <w:gridSpan w:val="11"/>
            <w:shd w:val="clear" w:color="auto" w:fill="auto"/>
          </w:tcPr>
          <w:p w14:paraId="7733F46E"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1F351620" w14:textId="77777777" w:rsidR="006B3F46" w:rsidRPr="0021277B" w:rsidRDefault="006B3F46" w:rsidP="00907941">
            <w:pPr>
              <w:widowControl w:val="0"/>
              <w:autoSpaceDE w:val="0"/>
              <w:autoSpaceDN w:val="0"/>
              <w:adjustRightInd w:val="0"/>
              <w:jc w:val="both"/>
              <w:rPr>
                <w:color w:val="000000"/>
                <w:sz w:val="22"/>
                <w:szCs w:val="22"/>
                <w:lang w:val="en-US"/>
              </w:rPr>
            </w:pPr>
            <w:r w:rsidRPr="0021277B">
              <w:rPr>
                <w:rFonts w:eastAsia="MS Mincho"/>
                <w:color w:val="000000"/>
                <w:sz w:val="22"/>
                <w:szCs w:val="22"/>
                <w:lang w:val="en-US"/>
              </w:rPr>
              <w:t>Cold-water corals, habitat-forming scleractinians and areas of natural coral rubble, and sponge aggregations provide shelter, nursery and feeding grounds for a variety of species (</w:t>
            </w:r>
            <w:r>
              <w:rPr>
                <w:rFonts w:eastAsia="MS Mincho"/>
                <w:color w:val="000000"/>
                <w:sz w:val="22"/>
                <w:szCs w:val="22"/>
                <w:lang w:val="en-US"/>
              </w:rPr>
              <w:t>e.g.,</w:t>
            </w:r>
            <w:r w:rsidRPr="0021277B">
              <w:rPr>
                <w:rFonts w:eastAsia="MS Mincho"/>
                <w:color w:val="000000"/>
                <w:sz w:val="22"/>
                <w:szCs w:val="22"/>
                <w:lang w:val="en-US"/>
              </w:rPr>
              <w:t xml:space="preserve"> Mortensen </w:t>
            </w:r>
            <w:r w:rsidRPr="0006066A">
              <w:rPr>
                <w:rFonts w:eastAsia="MS Mincho"/>
                <w:i/>
                <w:color w:val="000000"/>
                <w:sz w:val="22"/>
                <w:szCs w:val="22"/>
                <w:lang w:val="en-US"/>
              </w:rPr>
              <w:t>et al</w:t>
            </w:r>
            <w:r w:rsidRPr="0021277B">
              <w:rPr>
                <w:rFonts w:eastAsia="MS Mincho"/>
                <w:color w:val="000000"/>
                <w:sz w:val="22"/>
                <w:szCs w:val="22"/>
                <w:lang w:val="en-US"/>
              </w:rPr>
              <w:t xml:space="preserve">. 2008;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2009; Maldonado </w:t>
            </w:r>
            <w:r w:rsidRPr="0006066A">
              <w:rPr>
                <w:rFonts w:eastAsia="MS Mincho"/>
                <w:i/>
                <w:color w:val="000000"/>
                <w:sz w:val="22"/>
                <w:szCs w:val="22"/>
                <w:lang w:val="en-US"/>
              </w:rPr>
              <w:t>et al</w:t>
            </w:r>
            <w:r w:rsidRPr="0021277B">
              <w:rPr>
                <w:rFonts w:eastAsia="MS Mincho"/>
                <w:color w:val="000000"/>
                <w:sz w:val="22"/>
                <w:szCs w:val="22"/>
                <w:lang w:val="en-US"/>
              </w:rPr>
              <w:t xml:space="preserve">., 2016). Furthermore, </w:t>
            </w:r>
            <w:r w:rsidRPr="0021277B">
              <w:rPr>
                <w:color w:val="000000"/>
                <w:sz w:val="22"/>
                <w:szCs w:val="22"/>
                <w:lang w:val="en-US"/>
              </w:rPr>
              <w:t xml:space="preserve">Reykjanes Ridge is important in the life history of the calanoid copepod </w:t>
            </w:r>
            <w:r w:rsidRPr="0021277B">
              <w:rPr>
                <w:i/>
                <w:iCs/>
                <w:color w:val="000000"/>
                <w:sz w:val="22"/>
                <w:szCs w:val="22"/>
                <w:lang w:val="en-US"/>
              </w:rPr>
              <w:t>Calanus finmarchicus</w:t>
            </w:r>
            <w:r w:rsidRPr="0021277B">
              <w:rPr>
                <w:color w:val="000000"/>
                <w:sz w:val="22"/>
                <w:szCs w:val="22"/>
                <w:lang w:val="en-US"/>
              </w:rPr>
              <w:t>, which has an important role as a prey species in the wider food web.</w:t>
            </w:r>
          </w:p>
          <w:p w14:paraId="529E8E5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24C8B726" w14:textId="77777777" w:rsidTr="002E4B39">
        <w:tc>
          <w:tcPr>
            <w:tcW w:w="832" w:type="pct"/>
            <w:shd w:val="clear" w:color="auto" w:fill="auto"/>
          </w:tcPr>
          <w:p w14:paraId="224A1B2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32" w:type="pct"/>
            <w:shd w:val="clear" w:color="auto" w:fill="auto"/>
          </w:tcPr>
          <w:p w14:paraId="10000BBF"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6CCF65C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6B80FA8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E19034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30A0D2EE"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1B41C18B" w14:textId="77777777" w:rsidTr="00907941">
        <w:tc>
          <w:tcPr>
            <w:tcW w:w="5000" w:type="pct"/>
            <w:gridSpan w:val="11"/>
            <w:shd w:val="clear" w:color="auto" w:fill="auto"/>
          </w:tcPr>
          <w:p w14:paraId="4326F99B"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199F9C74" w14:textId="4A562C95" w:rsidR="006B3F46" w:rsidRPr="0021277B" w:rsidRDefault="006B3F46" w:rsidP="002E4B39">
            <w:pPr>
              <w:suppressLineNumbers/>
              <w:spacing w:after="120"/>
              <w:jc w:val="both"/>
              <w:rPr>
                <w:rFonts w:eastAsia="MS Mincho"/>
                <w:b/>
                <w:bCs/>
                <w:color w:val="000000"/>
                <w:sz w:val="22"/>
                <w:szCs w:val="22"/>
                <w:lang w:val="en-US"/>
              </w:rPr>
            </w:pPr>
            <w:r w:rsidRPr="0021277B">
              <w:rPr>
                <w:color w:val="000000"/>
                <w:sz w:val="22"/>
                <w:szCs w:val="22"/>
                <w:lang w:val="en-US"/>
              </w:rPr>
              <w:t>Several endangered and threatened shark and ray species have been found in the area. Orange rou</w:t>
            </w:r>
            <w:r>
              <w:rPr>
                <w:color w:val="000000"/>
                <w:sz w:val="22"/>
                <w:szCs w:val="22"/>
                <w:lang w:val="en-US"/>
              </w:rPr>
              <w:t>g</w:t>
            </w:r>
            <w:r w:rsidRPr="0021277B">
              <w:rPr>
                <w:color w:val="000000"/>
                <w:sz w:val="22"/>
                <w:szCs w:val="22"/>
                <w:lang w:val="en-US"/>
              </w:rPr>
              <w:t xml:space="preserve">hy </w:t>
            </w:r>
            <w:r>
              <w:rPr>
                <w:color w:val="000000"/>
                <w:sz w:val="22"/>
                <w:szCs w:val="22"/>
                <w:lang w:val="en-US"/>
              </w:rPr>
              <w:t>(</w:t>
            </w:r>
            <w:r w:rsidRPr="0021277B">
              <w:rPr>
                <w:i/>
                <w:color w:val="000000"/>
                <w:sz w:val="22"/>
                <w:szCs w:val="22"/>
                <w:lang w:val="en-US"/>
              </w:rPr>
              <w:t>Hoplostethus atlanticus</w:t>
            </w:r>
            <w:r>
              <w:rPr>
                <w:i/>
                <w:color w:val="000000"/>
                <w:sz w:val="22"/>
                <w:szCs w:val="22"/>
                <w:lang w:val="en-US"/>
              </w:rPr>
              <w:t>)</w:t>
            </w:r>
            <w:r w:rsidRPr="0021277B">
              <w:rPr>
                <w:color w:val="000000"/>
                <w:sz w:val="22"/>
                <w:szCs w:val="22"/>
                <w:lang w:val="en-US"/>
              </w:rPr>
              <w:t xml:space="preserve"> form aggregations at Reykjanes Ridge at depth</w:t>
            </w:r>
            <w:r>
              <w:rPr>
                <w:color w:val="000000"/>
                <w:sz w:val="22"/>
                <w:szCs w:val="22"/>
                <w:lang w:val="en-US"/>
              </w:rPr>
              <w:t xml:space="preserve">s exceeding </w:t>
            </w:r>
            <w:r w:rsidRPr="0021277B">
              <w:rPr>
                <w:color w:val="000000"/>
                <w:sz w:val="22"/>
                <w:szCs w:val="22"/>
                <w:lang w:val="en-US"/>
              </w:rPr>
              <w:t xml:space="preserve">600 m (Magnússon &amp; Magnússon 1995a, Hareide &amp;Garnes 2001). There is also evidence for deep-water coral and sponge communities (Mortensen </w:t>
            </w:r>
            <w:r w:rsidRPr="0006066A">
              <w:rPr>
                <w:i/>
                <w:color w:val="000000"/>
                <w:sz w:val="22"/>
                <w:szCs w:val="22"/>
                <w:lang w:val="en-US"/>
              </w:rPr>
              <w:t>et al</w:t>
            </w:r>
            <w:r w:rsidRPr="0021277B">
              <w:rPr>
                <w:color w:val="000000"/>
                <w:sz w:val="22"/>
                <w:szCs w:val="22"/>
                <w:lang w:val="en-US"/>
              </w:rPr>
              <w:t>. 2008; Cárdenas &amp; Rapp 2015), both of which have been described as threatened. The area supports species of cold-water corals</w:t>
            </w:r>
            <w:r>
              <w:rPr>
                <w:color w:val="000000"/>
                <w:sz w:val="22"/>
                <w:szCs w:val="22"/>
                <w:lang w:val="en-US"/>
              </w:rPr>
              <w:t>,</w:t>
            </w:r>
            <w:r w:rsidRPr="0021277B">
              <w:rPr>
                <w:color w:val="000000"/>
                <w:sz w:val="22"/>
                <w:szCs w:val="22"/>
                <w:lang w:val="en-US"/>
              </w:rPr>
              <w:t xml:space="preserve"> including black corals, bamboo corals, hard and soft corals. These form localized reef and coral garden habitats that are listed under OSPAR as threatened and declining habitats (Roberts </w:t>
            </w:r>
            <w:r w:rsidRPr="0006066A">
              <w:rPr>
                <w:i/>
                <w:color w:val="000000"/>
                <w:sz w:val="22"/>
                <w:szCs w:val="22"/>
                <w:lang w:val="en-US"/>
              </w:rPr>
              <w:t>et al</w:t>
            </w:r>
            <w:r w:rsidRPr="0021277B">
              <w:rPr>
                <w:color w:val="000000"/>
                <w:sz w:val="22"/>
                <w:szCs w:val="22"/>
                <w:lang w:val="en-US"/>
              </w:rPr>
              <w:t>. 2006, 2009). In addition, deep-sea sponge aggregations are also known to be present and these are also listed under OSPAR (</w:t>
            </w:r>
            <w:r w:rsidRPr="0021277B">
              <w:rPr>
                <w:color w:val="000000"/>
                <w:sz w:val="22"/>
                <w:szCs w:val="22"/>
              </w:rPr>
              <w:t>Klitgaard and Tendal, 2004; </w:t>
            </w:r>
            <w:r w:rsidRPr="0021277B">
              <w:rPr>
                <w:color w:val="000000"/>
                <w:sz w:val="22"/>
                <w:szCs w:val="22"/>
                <w:lang w:val="en-US"/>
              </w:rPr>
              <w:t xml:space="preserve">Howell </w:t>
            </w:r>
            <w:r w:rsidRPr="0006066A">
              <w:rPr>
                <w:i/>
                <w:color w:val="000000"/>
                <w:sz w:val="22"/>
                <w:szCs w:val="22"/>
                <w:lang w:val="en-US"/>
              </w:rPr>
              <w:t>et al</w:t>
            </w:r>
            <w:r w:rsidRPr="0021277B">
              <w:rPr>
                <w:color w:val="000000"/>
                <w:sz w:val="22"/>
                <w:szCs w:val="22"/>
                <w:lang w:val="en-US"/>
              </w:rPr>
              <w:t xml:space="preserve">., </w:t>
            </w:r>
            <w:r w:rsidRPr="002E4B39">
              <w:rPr>
                <w:rFonts w:eastAsia="MS Mincho"/>
                <w:sz w:val="22"/>
                <w:szCs w:val="22"/>
                <w:lang w:val="en-US"/>
              </w:rPr>
              <w:t>2016</w:t>
            </w:r>
            <w:r w:rsidRPr="0021277B">
              <w:rPr>
                <w:color w:val="000000"/>
                <w:sz w:val="22"/>
                <w:szCs w:val="22"/>
                <w:lang w:val="en-US"/>
              </w:rPr>
              <w:t xml:space="preserve">). </w:t>
            </w:r>
          </w:p>
        </w:tc>
      </w:tr>
      <w:tr w:rsidR="006B3F46" w:rsidRPr="0021277B" w14:paraId="33052472" w14:textId="77777777" w:rsidTr="002E4B39">
        <w:tc>
          <w:tcPr>
            <w:tcW w:w="832" w:type="pct"/>
            <w:shd w:val="clear" w:color="auto" w:fill="auto"/>
          </w:tcPr>
          <w:p w14:paraId="44AABC3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32" w:type="pct"/>
            <w:shd w:val="clear" w:color="auto" w:fill="auto"/>
          </w:tcPr>
          <w:p w14:paraId="6502CE09"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37A7237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22091B5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5269F95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4690908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1105FDA3" w14:textId="77777777" w:rsidTr="00907941">
        <w:tc>
          <w:tcPr>
            <w:tcW w:w="5000" w:type="pct"/>
            <w:gridSpan w:val="11"/>
            <w:shd w:val="clear" w:color="auto" w:fill="auto"/>
          </w:tcPr>
          <w:p w14:paraId="6753F2FE"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1A9DE25A" w14:textId="77777777" w:rsidR="006B3F46" w:rsidRPr="0021277B" w:rsidRDefault="006B3F46" w:rsidP="002E4B39">
            <w:pPr>
              <w:suppressLineNumbers/>
              <w:spacing w:after="120"/>
              <w:jc w:val="both"/>
              <w:rPr>
                <w:color w:val="000000"/>
                <w:sz w:val="22"/>
                <w:szCs w:val="22"/>
                <w:lang w:eastAsia="en-GB"/>
              </w:rPr>
            </w:pPr>
            <w:r w:rsidRPr="0021277B">
              <w:rPr>
                <w:color w:val="000000"/>
                <w:sz w:val="22"/>
                <w:szCs w:val="22"/>
                <w:lang w:val="en-US"/>
              </w:rPr>
              <w:t xml:space="preserve">This Ridge rises from the abyssal plain and provides a wide range of benthic habitats and is </w:t>
            </w:r>
            <w:r w:rsidRPr="00F35512">
              <w:rPr>
                <w:color w:val="000000"/>
                <w:sz w:val="22"/>
                <w:szCs w:val="22"/>
                <w:lang w:val="en-US"/>
              </w:rPr>
              <w:t>colonized</w:t>
            </w:r>
            <w:r w:rsidRPr="0021277B">
              <w:rPr>
                <w:color w:val="000000"/>
                <w:sz w:val="22"/>
                <w:szCs w:val="22"/>
                <w:lang w:val="en-US"/>
              </w:rPr>
              <w:t xml:space="preserve"> by a variety of erect megafauna (</w:t>
            </w:r>
            <w:r>
              <w:rPr>
                <w:color w:val="000000"/>
                <w:sz w:val="22"/>
                <w:szCs w:val="22"/>
                <w:lang w:val="en-US"/>
              </w:rPr>
              <w:t>e.g.,</w:t>
            </w:r>
            <w:r w:rsidRPr="0021277B">
              <w:rPr>
                <w:color w:val="000000"/>
                <w:sz w:val="22"/>
                <w:szCs w:val="22"/>
                <w:lang w:val="en-US"/>
              </w:rPr>
              <w:t xml:space="preserve"> gorgonians, sponges and cold-water corals) (Copley </w:t>
            </w:r>
            <w:r w:rsidRPr="0006066A">
              <w:rPr>
                <w:i/>
                <w:color w:val="000000"/>
                <w:sz w:val="22"/>
                <w:szCs w:val="22"/>
                <w:lang w:val="en-US"/>
              </w:rPr>
              <w:t>et al</w:t>
            </w:r>
            <w:r w:rsidRPr="0021277B">
              <w:rPr>
                <w:color w:val="000000"/>
                <w:sz w:val="22"/>
                <w:szCs w:val="22"/>
                <w:lang w:val="en-US"/>
              </w:rPr>
              <w:t xml:space="preserve">. 1996). At least 20 species of cold-water corals were reported at Reykjanes Ridge during </w:t>
            </w:r>
            <w:r>
              <w:rPr>
                <w:color w:val="000000"/>
                <w:sz w:val="22"/>
                <w:szCs w:val="22"/>
                <w:lang w:val="en-US"/>
              </w:rPr>
              <w:t xml:space="preserve">the </w:t>
            </w:r>
            <w:r w:rsidRPr="0021277B">
              <w:rPr>
                <w:color w:val="000000"/>
                <w:sz w:val="22"/>
                <w:szCs w:val="22"/>
                <w:lang w:val="en-US"/>
              </w:rPr>
              <w:t xml:space="preserve">MAR-ECO project cruise (Mortensen </w:t>
            </w:r>
            <w:r w:rsidRPr="0006066A">
              <w:rPr>
                <w:i/>
                <w:color w:val="000000"/>
                <w:sz w:val="22"/>
                <w:szCs w:val="22"/>
                <w:lang w:val="en-US"/>
              </w:rPr>
              <w:t>et al</w:t>
            </w:r>
            <w:r w:rsidRPr="0021277B">
              <w:rPr>
                <w:color w:val="000000"/>
                <w:sz w:val="22"/>
                <w:szCs w:val="22"/>
                <w:lang w:val="en-US"/>
              </w:rPr>
              <w:t>. 2008). Further study of benthic communities in the shallow portions of the Reykjanes Ridge (ATLAS, 2019; Anonymous, 2004) has also revealed new occurences of scleractinian (</w:t>
            </w:r>
            <w:r w:rsidRPr="0021277B">
              <w:rPr>
                <w:i/>
                <w:color w:val="000000"/>
                <w:sz w:val="22"/>
                <w:szCs w:val="22"/>
                <w:lang w:val="en-US"/>
              </w:rPr>
              <w:t>Lophelia pertusa</w:t>
            </w:r>
            <w:r w:rsidRPr="0021277B">
              <w:rPr>
                <w:color w:val="000000"/>
                <w:sz w:val="22"/>
                <w:szCs w:val="22"/>
                <w:lang w:val="en-US"/>
              </w:rPr>
              <w:t xml:space="preserve">, </w:t>
            </w:r>
            <w:r w:rsidRPr="0021277B">
              <w:rPr>
                <w:i/>
                <w:color w:val="000000"/>
                <w:sz w:val="22"/>
                <w:szCs w:val="22"/>
                <w:lang w:val="en-US"/>
              </w:rPr>
              <w:t>Madrepora oculata</w:t>
            </w:r>
            <w:r w:rsidRPr="0021277B">
              <w:rPr>
                <w:color w:val="000000"/>
                <w:sz w:val="22"/>
                <w:szCs w:val="22"/>
                <w:lang w:val="en-US"/>
              </w:rPr>
              <w:t>) and octocoral (</w:t>
            </w:r>
            <w:r w:rsidRPr="0021277B">
              <w:rPr>
                <w:i/>
                <w:color w:val="000000"/>
                <w:sz w:val="22"/>
                <w:szCs w:val="22"/>
                <w:lang w:val="en-US"/>
              </w:rPr>
              <w:t>Paragorgia arborea</w:t>
            </w:r>
            <w:r w:rsidRPr="0021277B">
              <w:rPr>
                <w:color w:val="000000"/>
                <w:sz w:val="22"/>
                <w:szCs w:val="22"/>
                <w:lang w:val="en-US"/>
              </w:rPr>
              <w:t xml:space="preserve">, </w:t>
            </w:r>
            <w:r w:rsidRPr="0021277B">
              <w:rPr>
                <w:i/>
                <w:color w:val="000000"/>
                <w:sz w:val="22"/>
                <w:szCs w:val="22"/>
                <w:lang w:val="en-US"/>
              </w:rPr>
              <w:t>Primnoa resedaeformis</w:t>
            </w:r>
            <w:r w:rsidRPr="0021277B">
              <w:rPr>
                <w:color w:val="000000"/>
                <w:sz w:val="22"/>
                <w:szCs w:val="22"/>
                <w:lang w:val="en-US"/>
              </w:rPr>
              <w:t xml:space="preserve"> and species in the families Anthothelidae and Nephtheidae) cold-water corals and diverse sponge communities. It can therefore be inferred that cold-water corals occur along the Reykjanes Ridge</w:t>
            </w:r>
            <w:r>
              <w:rPr>
                <w:color w:val="000000"/>
                <w:sz w:val="22"/>
                <w:szCs w:val="22"/>
                <w:lang w:val="en-US"/>
              </w:rPr>
              <w:t>,</w:t>
            </w:r>
            <w:r w:rsidRPr="0021277B">
              <w:rPr>
                <w:color w:val="000000"/>
                <w:sz w:val="22"/>
                <w:szCs w:val="22"/>
                <w:lang w:val="en-US"/>
              </w:rPr>
              <w:t xml:space="preserve"> providing further support to past studies (</w:t>
            </w:r>
            <w:r>
              <w:rPr>
                <w:color w:val="000000"/>
                <w:sz w:val="22"/>
                <w:szCs w:val="22"/>
                <w:lang w:val="en-US"/>
              </w:rPr>
              <w:t>e.g.,</w:t>
            </w:r>
            <w:r w:rsidRPr="0021277B">
              <w:rPr>
                <w:color w:val="000000"/>
                <w:sz w:val="22"/>
                <w:szCs w:val="22"/>
                <w:lang w:val="en-US"/>
              </w:rPr>
              <w:t xml:space="preserve"> Copley </w:t>
            </w:r>
            <w:r w:rsidRPr="0006066A">
              <w:rPr>
                <w:i/>
                <w:color w:val="000000"/>
                <w:sz w:val="22"/>
                <w:szCs w:val="22"/>
                <w:lang w:val="en-US"/>
              </w:rPr>
              <w:t>et al</w:t>
            </w:r>
            <w:r w:rsidRPr="0021277B">
              <w:rPr>
                <w:color w:val="000000"/>
                <w:sz w:val="22"/>
                <w:szCs w:val="22"/>
                <w:lang w:val="en-US"/>
              </w:rPr>
              <w:t xml:space="preserve">. 1996). There is also evidence from experimental trawling of the Reykjanes Ridge that sponge communities inhabit the flanks and summits of the Ridge (Magnússon &amp; Magnússon, 1995). Many of the fauna present in this area are deep-sea fauna that have life history characteristics that make them particularly vulnerable to the effects of fishing. Many of the cold-water coral species have slow growth rates, and long generation times (Roark </w:t>
            </w:r>
            <w:r w:rsidRPr="0006066A">
              <w:rPr>
                <w:i/>
                <w:color w:val="000000"/>
                <w:sz w:val="22"/>
                <w:szCs w:val="22"/>
                <w:lang w:val="en-US"/>
              </w:rPr>
              <w:t>et al</w:t>
            </w:r>
            <w:r w:rsidRPr="0021277B">
              <w:rPr>
                <w:color w:val="000000"/>
                <w:sz w:val="22"/>
                <w:szCs w:val="22"/>
                <w:lang w:val="en-US"/>
              </w:rPr>
              <w:t>., 2006) leading to very slow and episodic recoveries following human impact. Seamount fish species have been shown in the past to be slow to recover from the impacts of fishing.</w:t>
            </w:r>
            <w:r w:rsidRPr="0021277B">
              <w:rPr>
                <w:color w:val="000000"/>
                <w:sz w:val="22"/>
                <w:szCs w:val="22"/>
                <w:lang w:eastAsia="en-GB"/>
              </w:rPr>
              <w:t xml:space="preserve"> </w:t>
            </w:r>
          </w:p>
          <w:p w14:paraId="4B838EB1" w14:textId="66F91C2E" w:rsidR="006B3F46" w:rsidRPr="0021277B" w:rsidRDefault="006B3F46" w:rsidP="002E4B39">
            <w:pPr>
              <w:suppressLineNumbers/>
              <w:spacing w:after="120"/>
              <w:jc w:val="both"/>
              <w:rPr>
                <w:rFonts w:eastAsia="MS Mincho"/>
                <w:b/>
                <w:bCs/>
                <w:color w:val="000000"/>
                <w:sz w:val="22"/>
                <w:szCs w:val="22"/>
                <w:lang w:val="en-US"/>
              </w:rPr>
            </w:pPr>
            <w:r w:rsidRPr="0021277B">
              <w:rPr>
                <w:color w:val="000000"/>
                <w:sz w:val="22"/>
                <w:szCs w:val="22"/>
                <w:lang w:eastAsia="en-GB"/>
              </w:rPr>
              <w:t>There is clear evidence of aggregations of both demosponges and glass sponges on the Reykjanes Ridge, which are identified as Vulnerable Marine Ecosystems (UNGA, 2006) under the FAO's guidelines for the management of deep-sea fisheries (FAO, 2009).</w:t>
            </w:r>
          </w:p>
        </w:tc>
      </w:tr>
      <w:tr w:rsidR="006B3F46" w:rsidRPr="0021277B" w14:paraId="3E8206AB" w14:textId="77777777" w:rsidTr="002E4B39">
        <w:tc>
          <w:tcPr>
            <w:tcW w:w="832" w:type="pct"/>
            <w:shd w:val="clear" w:color="auto" w:fill="auto"/>
          </w:tcPr>
          <w:p w14:paraId="2DE007D2"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32" w:type="pct"/>
            <w:shd w:val="clear" w:color="auto" w:fill="auto"/>
          </w:tcPr>
          <w:p w14:paraId="0698C036" w14:textId="77777777" w:rsidR="006B3F46" w:rsidRPr="0021277B" w:rsidRDefault="006B3F46" w:rsidP="00907941">
            <w:pPr>
              <w:widowControl w:val="0"/>
              <w:autoSpaceDE w:val="0"/>
              <w:autoSpaceDN w:val="0"/>
              <w:adjustRightInd w:val="0"/>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2D127E9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398EDEF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90D66F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2" w:type="pct"/>
            <w:gridSpan w:val="2"/>
            <w:shd w:val="clear" w:color="auto" w:fill="auto"/>
          </w:tcPr>
          <w:p w14:paraId="5234613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1F070FA8" w14:textId="77777777" w:rsidTr="00907941">
        <w:tc>
          <w:tcPr>
            <w:tcW w:w="5000" w:type="pct"/>
            <w:gridSpan w:val="11"/>
            <w:shd w:val="clear" w:color="auto" w:fill="auto"/>
          </w:tcPr>
          <w:p w14:paraId="1D46B4DA"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3C94C3CC" w14:textId="77777777" w:rsidR="006B3F46" w:rsidRPr="0021277B" w:rsidRDefault="006B3F46" w:rsidP="002E4B39">
            <w:pPr>
              <w:suppressLineNumbers/>
              <w:spacing w:after="120"/>
              <w:jc w:val="both"/>
              <w:rPr>
                <w:color w:val="000000"/>
                <w:sz w:val="22"/>
                <w:szCs w:val="22"/>
                <w:lang w:val="en-US"/>
              </w:rPr>
            </w:pPr>
            <w:r w:rsidRPr="0021277B">
              <w:rPr>
                <w:color w:val="000000"/>
                <w:sz w:val="22"/>
                <w:szCs w:val="22"/>
                <w:lang w:val="en-US"/>
              </w:rPr>
              <w:t>Reykjanes Ridge plays an important role within the open ocean ecosystem. The lack of terrigenous nutrient input to the open ocean means that productivity is generally low</w:t>
            </w:r>
            <w:r>
              <w:rPr>
                <w:color w:val="000000"/>
                <w:sz w:val="22"/>
                <w:szCs w:val="22"/>
                <w:lang w:val="en-US"/>
              </w:rPr>
              <w:t>,</w:t>
            </w:r>
            <w:r w:rsidRPr="0021277B">
              <w:rPr>
                <w:color w:val="000000"/>
                <w:sz w:val="22"/>
                <w:szCs w:val="22"/>
                <w:lang w:val="en-US"/>
              </w:rPr>
              <w:t xml:space="preserve"> and the deep-sea fauna found there are reliant on the limited local surface water primary production (Fossen </w:t>
            </w:r>
            <w:r w:rsidRPr="0006066A">
              <w:rPr>
                <w:i/>
                <w:color w:val="000000"/>
                <w:sz w:val="22"/>
                <w:szCs w:val="22"/>
                <w:lang w:val="en-US"/>
              </w:rPr>
              <w:t>et al</w:t>
            </w:r>
            <w:r w:rsidRPr="0021277B">
              <w:rPr>
                <w:color w:val="000000"/>
                <w:sz w:val="22"/>
                <w:szCs w:val="22"/>
                <w:lang w:val="en-US"/>
              </w:rPr>
              <w:t xml:space="preserve">, 2008). The complex hydrographic setting and the presence of Reykjanes Ridge itself leads to enhanced vertical mixing and turbulence, resulting in areas of increased productivity over the Ridge (Falkowski </w:t>
            </w:r>
            <w:r w:rsidRPr="0006066A">
              <w:rPr>
                <w:i/>
                <w:color w:val="000000"/>
                <w:sz w:val="22"/>
                <w:szCs w:val="22"/>
                <w:lang w:val="en-US"/>
              </w:rPr>
              <w:t>et al</w:t>
            </w:r>
            <w:r>
              <w:rPr>
                <w:i/>
                <w:color w:val="000000"/>
                <w:sz w:val="22"/>
                <w:szCs w:val="22"/>
                <w:lang w:val="en-US"/>
              </w:rPr>
              <w:t>.</w:t>
            </w:r>
            <w:r w:rsidRPr="0021277B">
              <w:rPr>
                <w:color w:val="000000"/>
                <w:sz w:val="22"/>
                <w:szCs w:val="22"/>
                <w:lang w:val="en-US"/>
              </w:rPr>
              <w:t xml:space="preserve">, 1998; Fossen </w:t>
            </w:r>
            <w:r w:rsidRPr="0006066A">
              <w:rPr>
                <w:i/>
                <w:color w:val="000000"/>
                <w:sz w:val="22"/>
                <w:szCs w:val="22"/>
                <w:lang w:val="en-US"/>
              </w:rPr>
              <w:t>et al</w:t>
            </w:r>
            <w:r>
              <w:rPr>
                <w:i/>
                <w:color w:val="000000"/>
                <w:sz w:val="22"/>
                <w:szCs w:val="22"/>
                <w:lang w:val="en-US"/>
              </w:rPr>
              <w:t>.</w:t>
            </w:r>
            <w:r w:rsidRPr="0021277B">
              <w:rPr>
                <w:color w:val="000000"/>
                <w:sz w:val="22"/>
                <w:szCs w:val="22"/>
                <w:lang w:val="en-US"/>
              </w:rPr>
              <w:t xml:space="preserve">, 2008; Heger </w:t>
            </w:r>
            <w:r w:rsidRPr="0006066A">
              <w:rPr>
                <w:i/>
                <w:color w:val="000000"/>
                <w:sz w:val="22"/>
                <w:szCs w:val="22"/>
                <w:lang w:val="en-US"/>
              </w:rPr>
              <w:t>et al</w:t>
            </w:r>
            <w:r>
              <w:rPr>
                <w:i/>
                <w:color w:val="000000"/>
                <w:sz w:val="22"/>
                <w:szCs w:val="22"/>
                <w:lang w:val="en-US"/>
              </w:rPr>
              <w:t>.</w:t>
            </w:r>
            <w:r w:rsidRPr="0021277B">
              <w:rPr>
                <w:color w:val="000000"/>
                <w:sz w:val="22"/>
                <w:szCs w:val="22"/>
                <w:lang w:val="en-US"/>
              </w:rPr>
              <w:t>, 2008). This increased biological productivity means that Reykjanes Ridge is likely to have a greater abundance and diversity of fauna than the surrounding open ocean and abyssal plains (</w:t>
            </w:r>
            <w:r w:rsidRPr="002E4B39">
              <w:rPr>
                <w:rFonts w:eastAsia="MS Mincho"/>
                <w:sz w:val="22"/>
                <w:szCs w:val="22"/>
                <w:lang w:val="en-US"/>
              </w:rPr>
              <w:t>Sutton</w:t>
            </w:r>
            <w:r w:rsidRPr="0021277B">
              <w:rPr>
                <w:color w:val="000000"/>
                <w:sz w:val="22"/>
                <w:szCs w:val="22"/>
                <w:lang w:val="en-US"/>
              </w:rPr>
              <w:t xml:space="preserve"> </w:t>
            </w:r>
            <w:r w:rsidRPr="0006066A">
              <w:rPr>
                <w:i/>
                <w:color w:val="000000"/>
                <w:sz w:val="22"/>
                <w:szCs w:val="22"/>
                <w:lang w:val="en-US"/>
              </w:rPr>
              <w:t>et al</w:t>
            </w:r>
            <w:r w:rsidRPr="0021277B">
              <w:rPr>
                <w:color w:val="000000"/>
                <w:sz w:val="22"/>
                <w:szCs w:val="22"/>
                <w:lang w:val="en-US"/>
              </w:rPr>
              <w:t>, 2008).</w:t>
            </w:r>
          </w:p>
          <w:p w14:paraId="72681C00" w14:textId="7DBAF88F" w:rsidR="006B3F46" w:rsidRPr="0021277B" w:rsidRDefault="006B3F46" w:rsidP="002E4B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r w:rsidRPr="0021277B">
              <w:rPr>
                <w:rFonts w:eastAsia="MS Mincho"/>
                <w:color w:val="000000"/>
                <w:sz w:val="22"/>
                <w:szCs w:val="22"/>
              </w:rPr>
              <w:t>However, the research conducted through the MAR-ECO project found that primary production and export flux over the MAR were not enhanced compared with a nearby reference station over the Porcupine Abyssal Plain</w:t>
            </w:r>
            <w:r>
              <w:rPr>
                <w:rFonts w:eastAsia="MS Mincho"/>
                <w:color w:val="000000"/>
                <w:sz w:val="22"/>
                <w:szCs w:val="22"/>
              </w:rPr>
              <w:t>,</w:t>
            </w:r>
            <w:r w:rsidRPr="0021277B">
              <w:rPr>
                <w:rFonts w:eastAsia="MS Mincho"/>
                <w:color w:val="000000"/>
                <w:sz w:val="22"/>
                <w:szCs w:val="22"/>
              </w:rPr>
              <w:t xml:space="preserve"> and biomass of benthic macrofauna and megafauna were similar to global averages at the same depths. There is some evidence for pelagic fish concentrating in the benthic boundary layer (to 200 m above the seafloor) over the MAR in </w:t>
            </w:r>
            <w:r w:rsidRPr="002E4B39">
              <w:rPr>
                <w:rFonts w:eastAsia="MS Mincho"/>
                <w:sz w:val="22"/>
                <w:szCs w:val="22"/>
                <w:lang w:val="en-US"/>
              </w:rPr>
              <w:t>association</w:t>
            </w:r>
            <w:r w:rsidRPr="0021277B">
              <w:rPr>
                <w:rFonts w:eastAsia="MS Mincho"/>
                <w:color w:val="000000"/>
                <w:sz w:val="22"/>
                <w:szCs w:val="22"/>
              </w:rPr>
              <w:t xml:space="preserve"> with topographic features.</w:t>
            </w:r>
          </w:p>
        </w:tc>
      </w:tr>
      <w:tr w:rsidR="006B3F46" w:rsidRPr="0021277B" w14:paraId="5741C405" w14:textId="77777777" w:rsidTr="002E4B39">
        <w:tc>
          <w:tcPr>
            <w:tcW w:w="832" w:type="pct"/>
            <w:shd w:val="clear" w:color="auto" w:fill="auto"/>
          </w:tcPr>
          <w:p w14:paraId="6CF069F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32" w:type="pct"/>
            <w:shd w:val="clear" w:color="auto" w:fill="auto"/>
          </w:tcPr>
          <w:p w14:paraId="5E1ECD19"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5EAF2F4B"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01B629B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46B0050"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57F7C4B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417250E0" w14:textId="77777777" w:rsidTr="00907941">
        <w:tc>
          <w:tcPr>
            <w:tcW w:w="5000" w:type="pct"/>
            <w:gridSpan w:val="11"/>
            <w:shd w:val="clear" w:color="auto" w:fill="auto"/>
          </w:tcPr>
          <w:p w14:paraId="1109C81D"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4B5971DF" w14:textId="08DE7CB7" w:rsidR="006B3F46" w:rsidRPr="0021277B" w:rsidRDefault="006B3F46" w:rsidP="002E4B39">
            <w:pPr>
              <w:suppressLineNumbers/>
              <w:spacing w:after="120"/>
              <w:jc w:val="both"/>
              <w:rPr>
                <w:rFonts w:eastAsia="MS Mincho"/>
                <w:b/>
                <w:bCs/>
                <w:color w:val="000000"/>
                <w:sz w:val="22"/>
                <w:szCs w:val="22"/>
                <w:lang w:val="en-US"/>
              </w:rPr>
            </w:pPr>
            <w:r w:rsidRPr="0021277B">
              <w:rPr>
                <w:color w:val="000000"/>
                <w:sz w:val="22"/>
                <w:szCs w:val="22"/>
                <w:lang w:eastAsia="en-GB"/>
              </w:rPr>
              <w:t>There is clear evidence of aggregations of both demosponges and glass sponges on the Reykjanes Ridge. Sponge aggregations create complex habitats supporting high biodiversity (Bett and Rice, 1992)</w:t>
            </w:r>
            <w:r>
              <w:rPr>
                <w:color w:val="000000"/>
                <w:sz w:val="22"/>
                <w:szCs w:val="22"/>
                <w:lang w:eastAsia="en-GB"/>
              </w:rPr>
              <w:t>; they</w:t>
            </w:r>
            <w:r w:rsidRPr="0021277B">
              <w:rPr>
                <w:color w:val="000000"/>
                <w:sz w:val="22"/>
                <w:szCs w:val="22"/>
                <w:lang w:eastAsia="en-GB"/>
              </w:rPr>
              <w:t> provid</w:t>
            </w:r>
            <w:r>
              <w:rPr>
                <w:color w:val="000000"/>
                <w:sz w:val="22"/>
                <w:szCs w:val="22"/>
                <w:lang w:eastAsia="en-GB"/>
              </w:rPr>
              <w:t xml:space="preserve">e </w:t>
            </w:r>
            <w:r w:rsidRPr="0021277B">
              <w:rPr>
                <w:color w:val="000000"/>
                <w:sz w:val="22"/>
                <w:szCs w:val="22"/>
                <w:lang w:eastAsia="en-GB"/>
              </w:rPr>
              <w:t xml:space="preserve">a refuge for fish, are a source of novel chemical compounds (Bell, 2008; Maldonado </w:t>
            </w:r>
            <w:r w:rsidRPr="0006066A">
              <w:rPr>
                <w:i/>
                <w:color w:val="000000"/>
                <w:sz w:val="22"/>
                <w:szCs w:val="22"/>
                <w:lang w:eastAsia="en-GB"/>
              </w:rPr>
              <w:t>et al</w:t>
            </w:r>
            <w:r w:rsidRPr="0021277B">
              <w:rPr>
                <w:color w:val="000000"/>
                <w:sz w:val="22"/>
                <w:szCs w:val="22"/>
                <w:lang w:eastAsia="en-GB"/>
              </w:rPr>
              <w:t>., 2016), and may also play an important role as a sink in the marine silicon cycle</w:t>
            </w:r>
            <w:r>
              <w:rPr>
                <w:color w:val="000000"/>
                <w:sz w:val="22"/>
                <w:szCs w:val="22"/>
                <w:lang w:eastAsia="en-GB"/>
              </w:rPr>
              <w:t>m</w:t>
            </w:r>
            <w:r w:rsidRPr="0021277B">
              <w:rPr>
                <w:color w:val="000000"/>
                <w:sz w:val="22"/>
                <w:szCs w:val="22"/>
                <w:lang w:eastAsia="en-GB"/>
              </w:rPr>
              <w:t xml:space="preserve"> which is thought to </w:t>
            </w:r>
            <w:r w:rsidRPr="002E4B39">
              <w:rPr>
                <w:rFonts w:eastAsia="MS Mincho"/>
                <w:sz w:val="22"/>
                <w:szCs w:val="22"/>
                <w:lang w:val="en-US"/>
              </w:rPr>
              <w:t>influence</w:t>
            </w:r>
            <w:r w:rsidRPr="0021277B">
              <w:rPr>
                <w:color w:val="000000"/>
                <w:sz w:val="22"/>
                <w:szCs w:val="22"/>
                <w:lang w:eastAsia="en-GB"/>
              </w:rPr>
              <w:t xml:space="preserve"> primary productivity and the carbon cycle (Hendry </w:t>
            </w:r>
            <w:r w:rsidRPr="0006066A">
              <w:rPr>
                <w:i/>
                <w:color w:val="000000"/>
                <w:sz w:val="22"/>
                <w:szCs w:val="22"/>
                <w:lang w:eastAsia="en-GB"/>
              </w:rPr>
              <w:t>et al</w:t>
            </w:r>
            <w:r w:rsidRPr="0021277B">
              <w:rPr>
                <w:color w:val="000000"/>
                <w:sz w:val="22"/>
                <w:szCs w:val="22"/>
                <w:lang w:eastAsia="en-GB"/>
              </w:rPr>
              <w:t xml:space="preserve">., 2019). </w:t>
            </w:r>
          </w:p>
        </w:tc>
      </w:tr>
      <w:tr w:rsidR="006B3F46" w:rsidRPr="0021277B" w14:paraId="63543611" w14:textId="77777777" w:rsidTr="002E4B39">
        <w:tc>
          <w:tcPr>
            <w:tcW w:w="832" w:type="pct"/>
            <w:shd w:val="clear" w:color="auto" w:fill="auto"/>
          </w:tcPr>
          <w:p w14:paraId="59958B8C"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47" w:type="pct"/>
            <w:gridSpan w:val="2"/>
            <w:shd w:val="clear" w:color="auto" w:fill="auto"/>
          </w:tcPr>
          <w:p w14:paraId="59176275"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71291238"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sidRPr="0021277B">
              <w:rPr>
                <w:rFonts w:eastAsia="MS Mincho"/>
                <w:color w:val="000000"/>
                <w:sz w:val="22"/>
                <w:szCs w:val="22"/>
                <w:lang w:val="en-US"/>
              </w:rPr>
              <w:t>X</w:t>
            </w:r>
          </w:p>
        </w:tc>
        <w:tc>
          <w:tcPr>
            <w:tcW w:w="453" w:type="pct"/>
            <w:gridSpan w:val="2"/>
            <w:shd w:val="clear" w:color="auto" w:fill="auto"/>
          </w:tcPr>
          <w:p w14:paraId="4FACE7E0"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tcPr>
          <w:p w14:paraId="37486E31"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385" w:type="pct"/>
            <w:shd w:val="clear" w:color="auto" w:fill="auto"/>
          </w:tcPr>
          <w:p w14:paraId="70B82444"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53BFA53F" w14:textId="77777777" w:rsidTr="00907941">
        <w:tc>
          <w:tcPr>
            <w:tcW w:w="5000" w:type="pct"/>
            <w:gridSpan w:val="11"/>
            <w:shd w:val="clear" w:color="auto" w:fill="auto"/>
          </w:tcPr>
          <w:p w14:paraId="30AB23A3"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292035E0" w14:textId="5A632835" w:rsidR="006B3F46" w:rsidRPr="0021277B" w:rsidRDefault="006B3F46" w:rsidP="002E4B39">
            <w:pPr>
              <w:suppressLineNumbers/>
              <w:spacing w:after="120"/>
              <w:jc w:val="both"/>
              <w:rPr>
                <w:rFonts w:eastAsia="MS Mincho"/>
                <w:color w:val="000000"/>
                <w:sz w:val="22"/>
                <w:szCs w:val="22"/>
                <w:lang w:val="en-US"/>
              </w:rPr>
            </w:pPr>
            <w:r w:rsidRPr="0021277B">
              <w:rPr>
                <w:color w:val="000000"/>
                <w:sz w:val="22"/>
                <w:szCs w:val="22"/>
                <w:lang w:val="en-US"/>
              </w:rPr>
              <w:t xml:space="preserve">The actual extent and severity of the impact that fishing and other human activities have had on </w:t>
            </w:r>
            <w:r>
              <w:rPr>
                <w:color w:val="000000"/>
                <w:sz w:val="22"/>
                <w:szCs w:val="22"/>
                <w:lang w:val="en-US"/>
              </w:rPr>
              <w:t>MAR</w:t>
            </w:r>
            <w:r w:rsidRPr="0021277B">
              <w:rPr>
                <w:color w:val="000000"/>
                <w:sz w:val="22"/>
                <w:szCs w:val="22"/>
                <w:lang w:val="en-US"/>
              </w:rPr>
              <w:t xml:space="preserve"> ecosystems is largely unquantified. Although Magnússon &amp; Magnússon (1995a) reported that the Reykjanes Ridge is in general a very difficult area for bottom trawling because of its extremely irregular bottom topography, </w:t>
            </w:r>
            <w:r w:rsidRPr="002E4B39">
              <w:rPr>
                <w:rFonts w:eastAsia="MS Mincho"/>
                <w:sz w:val="22"/>
                <w:szCs w:val="22"/>
                <w:lang w:val="en-US"/>
              </w:rPr>
              <w:t>more</w:t>
            </w:r>
            <w:r w:rsidRPr="0021277B">
              <w:rPr>
                <w:color w:val="000000"/>
                <w:sz w:val="22"/>
                <w:szCs w:val="22"/>
                <w:lang w:val="en-US"/>
              </w:rPr>
              <w:t xml:space="preserve"> detailed and accurate mapping of the seafloor may change this.</w:t>
            </w:r>
          </w:p>
        </w:tc>
      </w:tr>
    </w:tbl>
    <w:p w14:paraId="7A3337AD" w14:textId="77777777" w:rsidR="006B3F46" w:rsidRPr="00F66EF7" w:rsidRDefault="006B3F46" w:rsidP="00907941">
      <w:pPr>
        <w:rPr>
          <w:rFonts w:eastAsia="MS Mincho"/>
          <w:b/>
          <w:color w:val="000000"/>
          <w:sz w:val="22"/>
          <w:szCs w:val="22"/>
          <w:lang w:val="en-US"/>
        </w:rPr>
      </w:pPr>
    </w:p>
    <w:p w14:paraId="0A126DD2" w14:textId="77777777" w:rsidR="006B3F46" w:rsidRPr="009978E3" w:rsidRDefault="006B3F46" w:rsidP="00907941">
      <w:pPr>
        <w:rPr>
          <w:rFonts w:eastAsia="MS Mincho"/>
          <w:b/>
          <w:color w:val="000000"/>
          <w:sz w:val="22"/>
          <w:szCs w:val="22"/>
          <w:lang w:val="en-US"/>
        </w:rPr>
      </w:pPr>
      <w:r w:rsidRPr="009978E3">
        <w:rPr>
          <w:rFonts w:eastAsia="MS Mincho"/>
          <w:b/>
          <w:color w:val="000000"/>
          <w:sz w:val="22"/>
          <w:szCs w:val="22"/>
          <w:lang w:val="en-US"/>
        </w:rPr>
        <w:t>References</w:t>
      </w:r>
    </w:p>
    <w:p w14:paraId="000BCB4A" w14:textId="77777777" w:rsidR="006B3F46" w:rsidRPr="0021277B" w:rsidRDefault="006B3F46" w:rsidP="00907941">
      <w:pPr>
        <w:ind w:left="709" w:hanging="709"/>
        <w:jc w:val="both"/>
        <w:rPr>
          <w:color w:val="000000"/>
          <w:sz w:val="22"/>
          <w:szCs w:val="22"/>
        </w:rPr>
      </w:pPr>
      <w:r w:rsidRPr="0021277B">
        <w:rPr>
          <w:color w:val="000000"/>
          <w:sz w:val="22"/>
          <w:szCs w:val="22"/>
        </w:rPr>
        <w:t xml:space="preserve">Alt, C. H., Kremenetskaia, A., Gebruk, A. V., Gooday, A. J., &amp; Jones, D. O. (2019). Bathyal benthic megafauna </w:t>
      </w:r>
    </w:p>
    <w:p w14:paraId="5F82799F" w14:textId="77777777" w:rsidR="006B3F46" w:rsidRPr="0021277B" w:rsidRDefault="006B3F46" w:rsidP="00907941">
      <w:pPr>
        <w:ind w:left="709" w:hanging="709"/>
        <w:jc w:val="both"/>
        <w:rPr>
          <w:color w:val="000000"/>
          <w:sz w:val="22"/>
          <w:szCs w:val="22"/>
        </w:rPr>
      </w:pPr>
      <w:r w:rsidRPr="0021277B">
        <w:rPr>
          <w:color w:val="000000"/>
          <w:sz w:val="22"/>
          <w:szCs w:val="22"/>
        </w:rPr>
        <w:t>from the Mid</w:t>
      </w:r>
      <w:r w:rsidRPr="0021277B">
        <w:rPr>
          <w:rFonts w:ascii="Cambria Math" w:hAnsi="Cambria Math" w:cs="Cambria Math"/>
          <w:color w:val="000000"/>
          <w:sz w:val="22"/>
          <w:szCs w:val="22"/>
        </w:rPr>
        <w:t>‐</w:t>
      </w:r>
      <w:r w:rsidRPr="0021277B">
        <w:rPr>
          <w:color w:val="000000"/>
          <w:sz w:val="22"/>
          <w:szCs w:val="22"/>
        </w:rPr>
        <w:t>Atlantic Ridge in the region of the Charlie-Gibbs fracture zone based on remotely operated vehicle observations. Deep Sea Research Part I: Oceanographic Research Papers, 145, 1-12.</w:t>
      </w:r>
    </w:p>
    <w:p w14:paraId="2B80BB41" w14:textId="77777777" w:rsidR="006B3F46" w:rsidRPr="0021277B" w:rsidRDefault="006B3F46" w:rsidP="00907941">
      <w:pPr>
        <w:ind w:left="709" w:hanging="709"/>
        <w:jc w:val="both"/>
        <w:rPr>
          <w:color w:val="000000"/>
          <w:sz w:val="22"/>
          <w:szCs w:val="22"/>
        </w:rPr>
      </w:pPr>
      <w:r w:rsidRPr="0021277B">
        <w:rPr>
          <w:color w:val="000000"/>
          <w:sz w:val="22"/>
          <w:szCs w:val="22"/>
        </w:rPr>
        <w:t xml:space="preserve">Anonymous (2004). Protection of vulnerable marine areas in Icelandic waters. </w:t>
      </w:r>
      <w:r w:rsidRPr="0021277B">
        <w:rPr>
          <w:color w:val="000000"/>
          <w:sz w:val="22"/>
          <w:szCs w:val="22"/>
          <w:lang w:val="en-US"/>
        </w:rPr>
        <w:t>Conclusions and proposition of a Committee appointed by the Minister of Fisheries</w:t>
      </w:r>
      <w:r w:rsidRPr="0021277B">
        <w:rPr>
          <w:color w:val="000000"/>
          <w:sz w:val="22"/>
          <w:szCs w:val="22"/>
        </w:rPr>
        <w:t xml:space="preserve"> </w:t>
      </w:r>
      <w:hyperlink r:id="rId301" w:history="1">
        <w:r w:rsidRPr="0021277B">
          <w:rPr>
            <w:rStyle w:val="Hyperlink"/>
            <w:color w:val="000000"/>
            <w:sz w:val="22"/>
            <w:szCs w:val="22"/>
          </w:rPr>
          <w:t>https://www.stjornarradid.is/media/atvinnuvegaraduneytimedia/media/skyrslur/fridunskyrsla_2005.pdf</w:t>
        </w:r>
      </w:hyperlink>
    </w:p>
    <w:p w14:paraId="049C82B6" w14:textId="290A6E25" w:rsidR="006B3F46" w:rsidRPr="0021277B" w:rsidRDefault="006B3F46" w:rsidP="00907941">
      <w:pPr>
        <w:ind w:left="709" w:hanging="709"/>
        <w:jc w:val="both"/>
        <w:rPr>
          <w:color w:val="000000"/>
          <w:sz w:val="22"/>
          <w:szCs w:val="22"/>
        </w:rPr>
      </w:pPr>
      <w:r w:rsidRPr="0021277B">
        <w:rPr>
          <w:color w:val="000000"/>
          <w:sz w:val="22"/>
          <w:szCs w:val="22"/>
        </w:rPr>
        <w:t xml:space="preserve">ATLAS (2019) Deliverable 3.3 Biodiversity, biogeography and GOODS classification system under current climate conditions and future IPCC scenarios. </w:t>
      </w:r>
    </w:p>
    <w:p w14:paraId="034F2848" w14:textId="77777777" w:rsidR="006B3F46" w:rsidRPr="0021277B" w:rsidRDefault="006B3F46" w:rsidP="00907941">
      <w:pPr>
        <w:ind w:left="709" w:hanging="720"/>
        <w:jc w:val="both"/>
        <w:rPr>
          <w:rFonts w:eastAsia="MS Mincho"/>
          <w:iCs/>
          <w:color w:val="000000"/>
          <w:sz w:val="22"/>
          <w:szCs w:val="22"/>
          <w:lang w:val="en-US"/>
        </w:rPr>
      </w:pPr>
      <w:r w:rsidRPr="0021277B">
        <w:rPr>
          <w:rFonts w:eastAsia="MS Mincho"/>
          <w:iCs/>
          <w:color w:val="000000"/>
          <w:sz w:val="22"/>
          <w:szCs w:val="22"/>
        </w:rPr>
        <w:t>Bell, J.J., 2008. The functional roles of marine sponges. Estuarine, coastal and shelf science, 79(3), pp.341-353</w:t>
      </w:r>
    </w:p>
    <w:p w14:paraId="0EC9136C" w14:textId="77777777" w:rsidR="006B3F46" w:rsidRPr="0021277B" w:rsidRDefault="006B3F46" w:rsidP="00907941">
      <w:pPr>
        <w:ind w:left="709" w:hanging="720"/>
        <w:jc w:val="both"/>
        <w:rPr>
          <w:rFonts w:eastAsia="MS Mincho"/>
          <w:iCs/>
          <w:color w:val="000000"/>
          <w:sz w:val="22"/>
          <w:szCs w:val="22"/>
          <w:lang w:val="en-US"/>
        </w:rPr>
      </w:pPr>
      <w:r w:rsidRPr="0021277B">
        <w:rPr>
          <w:rFonts w:eastAsia="MS Mincho"/>
          <w:iCs/>
          <w:color w:val="000000"/>
          <w:sz w:val="22"/>
          <w:szCs w:val="22"/>
          <w:lang w:val="en-US"/>
        </w:rPr>
        <w:t>Bergstad, O.A., Menezes,G. and Å.S. Høines. 2008. Demersal fish on a mid-ocean ridge: Distribution patterns and structuring factors. Deep Sea Research Part II: Topical Studies in Oceanography 55(1–2): 185-202.</w:t>
      </w:r>
    </w:p>
    <w:p w14:paraId="52FAD1BB" w14:textId="77777777" w:rsidR="006B3F46" w:rsidRPr="0021277B" w:rsidRDefault="006B3F46" w:rsidP="00907941">
      <w:pPr>
        <w:ind w:left="709" w:hanging="720"/>
        <w:jc w:val="both"/>
        <w:rPr>
          <w:rFonts w:eastAsia="MS Mincho"/>
          <w:iCs/>
          <w:color w:val="000000"/>
          <w:sz w:val="22"/>
          <w:szCs w:val="22"/>
          <w:lang w:val="en-US"/>
        </w:rPr>
      </w:pPr>
      <w:r w:rsidRPr="0021277B">
        <w:rPr>
          <w:rFonts w:eastAsia="MS Mincho"/>
          <w:iCs/>
          <w:color w:val="000000"/>
          <w:sz w:val="22"/>
          <w:szCs w:val="22"/>
        </w:rPr>
        <w:t>Bett, B.J. and Rice, A.L., 1992. The influence of hexactinellid sponge (Pheronema carpenteri) spicules on the patchy distribution of macrobenthos in the porcupine seabight (bathyal NE Atlantic). Ophelia, 36(3), pp.217-226</w:t>
      </w:r>
    </w:p>
    <w:p w14:paraId="7B4CC5F3" w14:textId="77777777" w:rsidR="006B3F46" w:rsidRPr="0021277B" w:rsidRDefault="006B3F46" w:rsidP="00907941">
      <w:pPr>
        <w:ind w:left="709" w:hanging="720"/>
        <w:jc w:val="both"/>
        <w:rPr>
          <w:rFonts w:eastAsia="MS Mincho"/>
          <w:iCs/>
          <w:color w:val="000000"/>
          <w:sz w:val="22"/>
          <w:szCs w:val="22"/>
          <w:lang w:val="en-US"/>
        </w:rPr>
      </w:pPr>
      <w:r w:rsidRPr="0021277B">
        <w:rPr>
          <w:rFonts w:eastAsia="MS Mincho"/>
          <w:iCs/>
          <w:color w:val="000000"/>
          <w:sz w:val="22"/>
          <w:szCs w:val="22"/>
          <w:lang w:val="en-US"/>
        </w:rPr>
        <w:t>Bower, A.S., Le Cann, B., Rossby, T., Zenk, W., Gould, J., Speer, K., Richardson, P.L., Prater, M.D. and H.-M. Zhang. 2002. Directly measured mid-depth circulation in the northeastern North Atlantic Ocean. Nature 419: 603- 607.</w:t>
      </w:r>
    </w:p>
    <w:p w14:paraId="4B53055F" w14:textId="77777777" w:rsidR="006B3F46" w:rsidRPr="0021277B" w:rsidRDefault="006B3F46" w:rsidP="00907941">
      <w:pPr>
        <w:ind w:left="709" w:hanging="720"/>
        <w:jc w:val="both"/>
        <w:rPr>
          <w:rFonts w:eastAsia="MS Mincho"/>
          <w:iCs/>
          <w:color w:val="000000"/>
          <w:sz w:val="22"/>
          <w:szCs w:val="22"/>
          <w:lang w:val="en-US"/>
        </w:rPr>
      </w:pPr>
      <w:r w:rsidRPr="0021277B">
        <w:rPr>
          <w:rFonts w:eastAsia="MS Mincho"/>
          <w:iCs/>
          <w:color w:val="000000"/>
          <w:sz w:val="22"/>
          <w:szCs w:val="22"/>
          <w:lang w:val="en-US"/>
        </w:rPr>
        <w:t>Cárdenas, P., &amp; Rapp, H. T. (2015). Demosponges from the Northern Mid-Atlantic Ridge shed more light on the diversity and biogeography of North Atlantic deep-sea sponges. Journal of the Marine Biological Association of the United Kingdom, 95(7), 1475-1516.</w:t>
      </w:r>
    </w:p>
    <w:p w14:paraId="4B01DE5C" w14:textId="77777777" w:rsidR="006B3F46" w:rsidRPr="0021277B" w:rsidRDefault="006B3F46" w:rsidP="00907941">
      <w:pPr>
        <w:ind w:left="709" w:hanging="720"/>
        <w:jc w:val="both"/>
        <w:rPr>
          <w:rFonts w:eastAsia="MS Mincho"/>
          <w:color w:val="000000"/>
          <w:sz w:val="22"/>
          <w:szCs w:val="22"/>
          <w:lang w:val="en-US"/>
        </w:rPr>
      </w:pPr>
      <w:r w:rsidRPr="0021277B">
        <w:rPr>
          <w:rFonts w:eastAsia="MS Mincho"/>
          <w:color w:val="000000"/>
          <w:sz w:val="22"/>
          <w:szCs w:val="22"/>
          <w:lang w:val="en-US"/>
        </w:rPr>
        <w:t>Copley JTP, Tyler PA, Sheader M, Murton BJ &amp; German CR (1996). Megafauna from sublittoral to abyssal depths along the Mid-Atlantic Ridge south of Iceland. Oceanologica Acta, 19: 549-559.</w:t>
      </w:r>
    </w:p>
    <w:p w14:paraId="21BC48E3" w14:textId="77777777" w:rsidR="006B3F46" w:rsidRPr="0021277B" w:rsidRDefault="006B3F46" w:rsidP="00907941">
      <w:pPr>
        <w:ind w:left="709" w:hanging="720"/>
        <w:jc w:val="both"/>
        <w:rPr>
          <w:rFonts w:eastAsia="MS Mincho"/>
          <w:color w:val="000000"/>
          <w:sz w:val="22"/>
          <w:szCs w:val="22"/>
          <w:lang w:val="en-US"/>
        </w:rPr>
      </w:pPr>
      <w:r w:rsidRPr="0021277B">
        <w:rPr>
          <w:rFonts w:eastAsia="MS Mincho"/>
          <w:color w:val="000000"/>
          <w:sz w:val="22"/>
          <w:szCs w:val="22"/>
          <w:lang w:val="en-US"/>
        </w:rPr>
        <w:t>Dilman, A. B. (2013). Changes in deep-sea asteroid fauna along the northern Mid-Atlantic Ridge. Cahiers de biologie marine, 54(4), 505-509.</w:t>
      </w:r>
    </w:p>
    <w:p w14:paraId="4F4501A8" w14:textId="77777777" w:rsidR="006B3F46" w:rsidRPr="0021277B" w:rsidRDefault="006B3F46" w:rsidP="00907941">
      <w:pPr>
        <w:ind w:left="709" w:hanging="720"/>
        <w:jc w:val="both"/>
        <w:rPr>
          <w:rFonts w:eastAsia="MS Mincho"/>
          <w:color w:val="000000"/>
          <w:sz w:val="22"/>
          <w:szCs w:val="22"/>
          <w:lang w:val="en-US"/>
        </w:rPr>
      </w:pPr>
      <w:r w:rsidRPr="0021277B">
        <w:rPr>
          <w:rFonts w:eastAsia="MS Mincho"/>
          <w:color w:val="000000"/>
          <w:sz w:val="22"/>
          <w:szCs w:val="22"/>
          <w:lang w:val="en-US"/>
        </w:rPr>
        <w:t>Dinter, W.P. (2001) Biogeography of the OSPAR Maritime Area – A Synopsis and Synthesis of Biogeographical Distribution Patterns described for the North-East Atlantic. Bundesamt für Naturschutz, Bonn, Germany pp 167.</w:t>
      </w:r>
    </w:p>
    <w:p w14:paraId="255D7807" w14:textId="77777777" w:rsidR="006B3F46" w:rsidRPr="0021277B" w:rsidRDefault="006B3F46" w:rsidP="00907941">
      <w:pPr>
        <w:ind w:left="709" w:hanging="720"/>
        <w:jc w:val="both"/>
        <w:rPr>
          <w:rFonts w:eastAsia="MS Mincho"/>
          <w:bCs/>
          <w:color w:val="000000"/>
          <w:sz w:val="22"/>
          <w:szCs w:val="22"/>
          <w:lang w:val="en"/>
        </w:rPr>
      </w:pPr>
      <w:r w:rsidRPr="0021277B">
        <w:rPr>
          <w:rFonts w:eastAsia="MS Mincho"/>
          <w:color w:val="000000"/>
          <w:sz w:val="22"/>
          <w:szCs w:val="22"/>
          <w:lang w:val="da-DK"/>
        </w:rPr>
        <w:t xml:space="preserve">Engel, A.E.J. and C.G. Engel. </w:t>
      </w:r>
      <w:r w:rsidRPr="0021277B">
        <w:rPr>
          <w:rFonts w:eastAsia="MS Mincho"/>
          <w:color w:val="000000"/>
          <w:sz w:val="22"/>
          <w:szCs w:val="22"/>
          <w:lang w:val="en-US"/>
        </w:rPr>
        <w:t xml:space="preserve">1964. </w:t>
      </w:r>
      <w:r w:rsidRPr="0021277B">
        <w:rPr>
          <w:rFonts w:eastAsia="MS Mincho"/>
          <w:bCs/>
          <w:color w:val="000000"/>
          <w:sz w:val="22"/>
          <w:szCs w:val="22"/>
          <w:lang w:val="en"/>
        </w:rPr>
        <w:t xml:space="preserve">Composition of basalts from the Mid-Atlantic Ridge. </w:t>
      </w:r>
      <w:r w:rsidRPr="0021277B">
        <w:rPr>
          <w:rFonts w:eastAsia="MS Mincho"/>
          <w:bCs/>
          <w:i/>
          <w:color w:val="000000"/>
          <w:sz w:val="22"/>
          <w:szCs w:val="22"/>
          <w:lang w:val="en"/>
        </w:rPr>
        <w:t>Science</w:t>
      </w:r>
      <w:r w:rsidRPr="0021277B">
        <w:rPr>
          <w:rFonts w:eastAsia="MS Mincho"/>
          <w:bCs/>
          <w:color w:val="000000"/>
          <w:sz w:val="22"/>
          <w:szCs w:val="22"/>
          <w:lang w:val="en"/>
        </w:rPr>
        <w:t xml:space="preserve"> 144 (3624):</w:t>
      </w:r>
      <w:r w:rsidRPr="0021277B">
        <w:rPr>
          <w:rFonts w:eastAsia="MS Mincho"/>
          <w:color w:val="000000"/>
          <w:sz w:val="22"/>
          <w:szCs w:val="22"/>
          <w:lang w:val="en"/>
        </w:rPr>
        <w:t xml:space="preserve"> </w:t>
      </w:r>
      <w:r w:rsidRPr="0021277B">
        <w:rPr>
          <w:rFonts w:eastAsia="MS Mincho"/>
          <w:bCs/>
          <w:color w:val="000000"/>
          <w:sz w:val="22"/>
          <w:szCs w:val="22"/>
          <w:lang w:val="en"/>
        </w:rPr>
        <w:t>1330-1333.</w:t>
      </w:r>
    </w:p>
    <w:p w14:paraId="0DD270E6" w14:textId="77777777" w:rsidR="006B3F46" w:rsidRPr="0021277B" w:rsidRDefault="006B3F46" w:rsidP="00907941">
      <w:pPr>
        <w:ind w:left="709" w:hanging="720"/>
        <w:jc w:val="both"/>
        <w:rPr>
          <w:rFonts w:eastAsia="MS Mincho"/>
          <w:bCs/>
          <w:color w:val="000000"/>
          <w:sz w:val="22"/>
          <w:szCs w:val="22"/>
          <w:lang w:val="en"/>
        </w:rPr>
      </w:pPr>
      <w:r w:rsidRPr="0021277B">
        <w:rPr>
          <w:rFonts w:eastAsia="MS Mincho"/>
          <w:bCs/>
          <w:color w:val="000000"/>
          <w:sz w:val="22"/>
          <w:szCs w:val="22"/>
          <w:lang w:val="en"/>
        </w:rPr>
        <w:t>Falkowski, P.G., Barber, R.T. &amp; Smetacek, V. (1998) Biogeochemical controls and feedbacks on ocean primary production. Science 281: 200 – 206.</w:t>
      </w:r>
    </w:p>
    <w:p w14:paraId="5D41DE8D" w14:textId="77777777" w:rsidR="006B3F46" w:rsidRPr="0021277B" w:rsidRDefault="006B3F46" w:rsidP="00907941">
      <w:pPr>
        <w:ind w:left="709" w:hanging="720"/>
        <w:jc w:val="both"/>
        <w:rPr>
          <w:rFonts w:eastAsia="MS Mincho"/>
          <w:bCs/>
          <w:color w:val="000000"/>
          <w:sz w:val="22"/>
          <w:szCs w:val="22"/>
          <w:lang w:val="en"/>
        </w:rPr>
      </w:pPr>
      <w:r w:rsidRPr="0021277B">
        <w:rPr>
          <w:rFonts w:eastAsia="MS Mincho"/>
          <w:bCs/>
          <w:color w:val="000000"/>
          <w:sz w:val="22"/>
          <w:szCs w:val="22"/>
          <w:lang w:val="en"/>
        </w:rPr>
        <w:t>Fock, H. and John, H-C. (2006) Fish larval patterns across the Reykjanes Ridge. Marine Biology Research 2:191-199.</w:t>
      </w:r>
    </w:p>
    <w:p w14:paraId="4303AD80"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lang w:val="en-US"/>
        </w:rPr>
        <w:t>Fossen, I., Cotton, C.F., Bergstad, O.A. and J.E. Dyb. 2008. Species composition and distribution patterns of fishes captured by longlines on the Mid-Atlantic Ridge. Deep Sea Research Part II: Topical Studies in Oceanography 55(1–2): 203-217.</w:t>
      </w:r>
      <w:r w:rsidRPr="0021277B">
        <w:rPr>
          <w:rFonts w:eastAsia="MS Mincho"/>
          <w:bCs/>
          <w:color w:val="000000"/>
          <w:sz w:val="22"/>
          <w:szCs w:val="22"/>
        </w:rPr>
        <w:t xml:space="preserve"> </w:t>
      </w:r>
    </w:p>
    <w:p w14:paraId="7F23DF03"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Gebruk , A.V., Priede, I.G., Fenchel T. and F. Uiblein. 2013. Benthos of the sub-polar front area on the Mid-Atlantic Ridge: Results of the ECOMAR project. Marine Biology Research 9(5-6): 443-446.</w:t>
      </w:r>
    </w:p>
    <w:p w14:paraId="1E2F7C4A"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Gebruk, A. V., Budaeva, N. E., &amp; King, N. J. (2010). Bathyal benthic fauna of the Mid-Atlantic Ridge between the Azores and the Reykjanes Ridge. Journal of the Marine Biological Association of the United Kingdom, 90(1), 1-14</w:t>
      </w:r>
    </w:p>
    <w:p w14:paraId="1EBFE2A6"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Gebruk, A.V. (2008) Holothurians (Holothuroidea, Echinodermata) of the northern Mid-Atlantic Ridge collected by the G.O. Sars MAR-ECO expedition with descriptions of four new species. Marine Biology Research 4: 48 – 60.</w:t>
      </w:r>
    </w:p>
    <w:p w14:paraId="4266C3E2"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German, C.R. &amp; Parsons, L.M. (1998) Distributions of hydrothermal activity along the Mid-Atlantic Ridge: interplay of magmatic and tectonic controls. Earth and Planetary Science Letters 160: 327 – 341</w:t>
      </w:r>
    </w:p>
    <w:p w14:paraId="7B759D2C"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German, C.R., Briem, J., Chin, C., Danielsen, M., Holland, S., James, R., Jónsdottir, A., Ludford, E., Moser, C., Ólafsson, J., Palmer, M.R. &amp; Rudnicki, M.D. (1994) Hydrothermal activity on the Reykjanes Ridge: the Steinahóll vent-field at 63o06’N. Earth and Planetary Science Letters 121: 647 – 654.</w:t>
      </w:r>
    </w:p>
    <w:p w14:paraId="6A1BACA6"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Gislason, A., Eiane, K. and Reynisson, P. (2007) Vertical distribution and mortality of Calanus finmarchicus during overwintering in oceanic waters southwest of Iceland. Marine Biology 150:1253-1263.</w:t>
      </w:r>
    </w:p>
    <w:p w14:paraId="42BB4C53"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Gislasson, A., Gaard, E., Debes, H. &amp; Faulkenhaug, T. (2008) Abundance, feeding and reproduction of Calanus finmarchicus in the Irminger Sea and on the northern Mid-Atlantic Ridge in June. Deep-Sea Research II 55: 72 – 82.</w:t>
      </w:r>
    </w:p>
    <w:p w14:paraId="266BD4D6" w14:textId="103042B5"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lang w:val="en-US"/>
        </w:rPr>
        <w:t>Hareide, N.-R. and G. Garnes. 2001. The distribution and catch rates of deep</w:t>
      </w:r>
      <w:r w:rsidR="00B53DBA">
        <w:rPr>
          <w:rFonts w:eastAsia="MS Mincho"/>
          <w:bCs/>
          <w:color w:val="000000"/>
          <w:sz w:val="22"/>
          <w:szCs w:val="22"/>
          <w:lang w:val="en-US"/>
        </w:rPr>
        <w:t>-</w:t>
      </w:r>
      <w:r w:rsidRPr="0021277B">
        <w:rPr>
          <w:rFonts w:eastAsia="MS Mincho"/>
          <w:bCs/>
          <w:color w:val="000000"/>
          <w:sz w:val="22"/>
          <w:szCs w:val="22"/>
          <w:lang w:val="en-US"/>
        </w:rPr>
        <w:t>water fish along the Mid-Atlantic Ridge from 43 to 61°N. Fisheries Research 51(2–3): 297-310.</w:t>
      </w:r>
    </w:p>
    <w:p w14:paraId="11D0D090"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lang w:val="en-US"/>
        </w:rPr>
        <w:t>Heezen, B.C.,Tharp, M. and M. Ewing. 1959. The Floors of the Oceans: I. The North Atlantic. The Geological Society of America Special Paper 65, 122 pp.</w:t>
      </w:r>
    </w:p>
    <w:p w14:paraId="12DDEE58"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Heezen, BC. 1969. The world rift system: An introduction to the symposium. Tectonophysics 8:269-279.</w:t>
      </w:r>
    </w:p>
    <w:p w14:paraId="670D6B20"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Heger, A., Ieno, E.N., King, N.J., Morris, K.J., Bagley, P.M. &amp; Priede, I.G. (2008) Deep-sea pelagic bioluminescence over the Mid-Atlantic Ridge. Deep-Sea Research II 55: 126-136.</w:t>
      </w:r>
    </w:p>
    <w:p w14:paraId="08D39D92"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Hendry, K.R., Cassarino, L., Bates, S.L., Culwick, T., Frost, M., Goodwin, C. and Howell, K.L., 2019. Silicon isotopic systematics of deep-sea sponge grounds in the North Atlantic. Quaternary Science Reviews, 210, pp.1-14</w:t>
      </w:r>
    </w:p>
    <w:p w14:paraId="39508F94" w14:textId="77777777" w:rsidR="006B3F46" w:rsidRPr="0021277B" w:rsidRDefault="006B3F46" w:rsidP="00907941">
      <w:pPr>
        <w:pStyle w:val="NormalWeb"/>
        <w:shd w:val="clear" w:color="auto" w:fill="FFFFFF"/>
        <w:spacing w:before="0" w:beforeAutospacing="0" w:after="0" w:afterAutospacing="0"/>
        <w:ind w:left="709"/>
        <w:jc w:val="both"/>
        <w:textAlignment w:val="baseline"/>
        <w:rPr>
          <w:rFonts w:eastAsia="MS Mincho"/>
          <w:bCs/>
          <w:color w:val="000000"/>
          <w:sz w:val="22"/>
          <w:szCs w:val="22"/>
          <w:lang w:val="en-GB" w:eastAsia="en-CA"/>
        </w:rPr>
      </w:pPr>
      <w:r w:rsidRPr="0021277B">
        <w:rPr>
          <w:rFonts w:eastAsia="MS Mincho"/>
          <w:bCs/>
          <w:color w:val="000000"/>
          <w:sz w:val="22"/>
          <w:szCs w:val="22"/>
          <w:lang w:val="en-GB" w:eastAsia="en-CA"/>
        </w:rPr>
        <w:t>Herndon, A.P. &amp; Burgess, G.H. 2006. Etmopterus princeps. The IUCN Red List of Threatened Species 2006: e.T60242A12332917. </w:t>
      </w:r>
      <w:hyperlink r:id="rId302" w:history="1">
        <w:r w:rsidRPr="0021277B">
          <w:rPr>
            <w:rFonts w:eastAsia="MS Mincho"/>
            <w:bCs/>
            <w:color w:val="000000"/>
            <w:sz w:val="22"/>
            <w:szCs w:val="22"/>
            <w:lang w:val="en-GB" w:eastAsia="en-CA"/>
          </w:rPr>
          <w:t>http://dx.doi.org/10.2305/IUCN.UK.2006.RLTS.T60242A12332917.en</w:t>
        </w:r>
      </w:hyperlink>
      <w:r w:rsidRPr="0021277B">
        <w:rPr>
          <w:rFonts w:eastAsia="MS Mincho"/>
          <w:bCs/>
          <w:color w:val="000000"/>
          <w:sz w:val="22"/>
          <w:szCs w:val="22"/>
          <w:lang w:val="en-GB" w:eastAsia="en-CA"/>
        </w:rPr>
        <w:t>. Downloaded on 26 September 2019.</w:t>
      </w:r>
    </w:p>
    <w:p w14:paraId="62A0FAAE"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Howell, K.L., Piechaud, N., Downie, A.L. and Kenny, A., 2016. The distribution of deep-sea sponge aggregations in the North Atlantic and implications for their effective spatial management. Deep Sea Research Part I: Oceanographic Research Papers, 115, pp.309-320</w:t>
      </w:r>
    </w:p>
    <w:p w14:paraId="54BDBDDA"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E.I. 2004. Twenty years of ichthyofauna research on seamounts of the North Atlantic Ridge and adjacent areas. A review. Archives of Fisheries and Marine Research 51(1-3): 215-232</w:t>
      </w:r>
    </w:p>
    <w:p w14:paraId="0E292978"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Kyne, P.M. and C.A. Simpfendorfer, 2007. A collation and summarization of available data on deepwater chondrichthyans: biodiversity, life history and fisheries. Report prepared by the IUCN SSC Shark Specialist Group for the Marine Conservation Biology Institute, 137 pp.</w:t>
      </w:r>
    </w:p>
    <w:p w14:paraId="5C2888D4"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Klitgaard, A.B. and Tendal, O.S., 2004. Distribution and species composition of mass occurrences of large-sized sponges in the northeast Atlantic. Progress in oceanography, 61(1), pp.57-98</w:t>
      </w:r>
    </w:p>
    <w:p w14:paraId="1A161B9D"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Kulka, D.W., Orlov, A. &amp; Barker, A. 2007. Bathyraja richardsoni. In: IUCN 2007. 2007 IUCN Red List of Threatened Species. &lt;www.iucnredlist.org&gt;. Downloaded on 11 March 2008.</w:t>
      </w:r>
    </w:p>
    <w:p w14:paraId="5D2E0D68"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Maldonado, M., Aguilar,R., Bannister,R.J., Bell,D., Conway,K.W., Dayton,P.K., Díaz, C., Gutt,J., Kenchington,E.L.R., Leys,D. and Pomponi,S.A., 2016. Sponge grounds as key marine habitats: a synthetic review of types, structure, functional roles, and conservation concerns. In: Marine Animal Forests. Springer, Berlin._24–1</w:t>
      </w:r>
    </w:p>
    <w:p w14:paraId="4AC53189"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Magnússon, J. V., &amp; Magnússon, J. (1995a). The distribution, relative abundance, and biology of the deep-sea fishes of the Icelandic slope and Reykjanes Ridge. In Deep-Water Fisheries of the North Atlantic Oceanic Slope (pp. 161-199). Springer, Dordrecht.</w:t>
      </w:r>
    </w:p>
    <w:p w14:paraId="0A0A3E0C"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Magnússon, J. and Magnússon, J.V. (1995) Oceanic redfish (Sebastes mentella) in the Irminger Sea and adjacent waters. Scientia Marina 59(3-4):241-254.</w:t>
      </w:r>
    </w:p>
    <w:p w14:paraId="45FB0DB4" w14:textId="77777777" w:rsidR="006B3F46" w:rsidRPr="0021277B" w:rsidRDefault="006B3F46" w:rsidP="00907941">
      <w:pPr>
        <w:ind w:left="709" w:hanging="720"/>
        <w:jc w:val="both"/>
        <w:rPr>
          <w:rFonts w:eastAsia="MS Mincho"/>
          <w:bCs/>
          <w:color w:val="000000"/>
          <w:sz w:val="22"/>
          <w:szCs w:val="22"/>
          <w:lang w:val="en-US"/>
        </w:rPr>
      </w:pPr>
      <w:r w:rsidRPr="0021277B">
        <w:rPr>
          <w:rFonts w:eastAsia="MS Mincho"/>
          <w:bCs/>
          <w:color w:val="000000"/>
          <w:sz w:val="22"/>
          <w:szCs w:val="22"/>
          <w:lang w:val="en-US"/>
        </w:rPr>
        <w:t>Malinverno, A. 1990. A quantitative study of axial topography of the Mid-Atlantic Ridge. Journal of Geophysical Research 95: 2645-2660.</w:t>
      </w:r>
    </w:p>
    <w:p w14:paraId="4B4986D6" w14:textId="77777777" w:rsidR="006B3F46" w:rsidRPr="0021277B" w:rsidRDefault="006B3F46" w:rsidP="00907941">
      <w:pPr>
        <w:ind w:left="709" w:hanging="720"/>
        <w:jc w:val="both"/>
        <w:rPr>
          <w:rFonts w:eastAsia="MS Mincho"/>
          <w:bCs/>
          <w:color w:val="000000"/>
          <w:sz w:val="22"/>
          <w:szCs w:val="22"/>
          <w:lang w:val="en-US"/>
        </w:rPr>
      </w:pPr>
      <w:r w:rsidRPr="0021277B">
        <w:rPr>
          <w:rFonts w:eastAsia="MS Mincho"/>
          <w:bCs/>
          <w:color w:val="000000"/>
          <w:sz w:val="22"/>
          <w:szCs w:val="22"/>
          <w:lang w:val="en-US"/>
        </w:rPr>
        <w:t>Mironov, A.N. &amp; Gebruk, A.V. (2006) Biogeography of the Reykjanes Ridge, the northern Atlantic. In: Mironov, A.N., Gebruk, A.V., Southward, A.J. (eds.) Biogeography of the North Atlantic Seamounts. KMK Scientific Press, Moscow, 2006. pp 6 - 21</w:t>
      </w:r>
    </w:p>
    <w:p w14:paraId="5EC68E6A" w14:textId="77777777" w:rsidR="006B3F46" w:rsidRPr="0021277B" w:rsidRDefault="006B3F46" w:rsidP="00907941">
      <w:pPr>
        <w:ind w:left="709" w:hanging="720"/>
        <w:jc w:val="both"/>
        <w:rPr>
          <w:rFonts w:eastAsia="MS Mincho"/>
          <w:bCs/>
          <w:iCs/>
          <w:color w:val="000000"/>
          <w:sz w:val="22"/>
          <w:szCs w:val="22"/>
          <w:lang w:val="en-US"/>
        </w:rPr>
      </w:pPr>
      <w:r w:rsidRPr="0021277B">
        <w:rPr>
          <w:rFonts w:eastAsia="MS Mincho"/>
          <w:bCs/>
          <w:color w:val="000000"/>
          <w:sz w:val="22"/>
          <w:szCs w:val="22"/>
          <w:lang w:val="en-US"/>
        </w:rPr>
        <w:t xml:space="preserve">Mortensen, P.B., Buhl-Mortensen, L., Gebruk, A.V. and E. M. Krylova. 2008. Occurrence of deep-water corals on the Mid-Atlantic Ridge based on MAR-ECO data. </w:t>
      </w:r>
      <w:r w:rsidRPr="0021277B">
        <w:rPr>
          <w:rFonts w:eastAsia="MS Mincho"/>
          <w:bCs/>
          <w:iCs/>
          <w:color w:val="000000"/>
          <w:sz w:val="22"/>
          <w:szCs w:val="22"/>
          <w:lang w:val="en-US"/>
        </w:rPr>
        <w:t>Deep-Sea Research II 55:142-152.</w:t>
      </w:r>
    </w:p>
    <w:p w14:paraId="02526E13" w14:textId="77777777" w:rsidR="006B3F46" w:rsidRPr="0021277B" w:rsidRDefault="006B3F46" w:rsidP="00907941">
      <w:pPr>
        <w:shd w:val="clear" w:color="auto" w:fill="FFFFFF"/>
        <w:ind w:left="709" w:hanging="709"/>
        <w:jc w:val="both"/>
        <w:rPr>
          <w:rFonts w:eastAsia="MS Mincho"/>
          <w:bCs/>
          <w:color w:val="000000"/>
          <w:sz w:val="22"/>
          <w:szCs w:val="22"/>
          <w:lang w:val="en-US"/>
        </w:rPr>
      </w:pPr>
      <w:r w:rsidRPr="0021277B">
        <w:rPr>
          <w:rFonts w:eastAsia="MS Mincho"/>
          <w:bCs/>
          <w:color w:val="000000"/>
          <w:sz w:val="22"/>
          <w:szCs w:val="22"/>
          <w:lang w:val="en-US"/>
        </w:rPr>
        <w:t xml:space="preserve">Olafsson </w:t>
      </w:r>
      <w:r w:rsidRPr="0006066A">
        <w:rPr>
          <w:rFonts w:eastAsia="MS Mincho"/>
          <w:bCs/>
          <w:i/>
          <w:color w:val="000000"/>
          <w:sz w:val="22"/>
          <w:szCs w:val="22"/>
          <w:lang w:val="en-US"/>
        </w:rPr>
        <w:t>et al</w:t>
      </w:r>
      <w:r w:rsidRPr="0021277B">
        <w:rPr>
          <w:rFonts w:eastAsia="MS Mincho"/>
          <w:bCs/>
          <w:color w:val="000000"/>
          <w:sz w:val="22"/>
          <w:szCs w:val="22"/>
          <w:lang w:val="en-US"/>
        </w:rPr>
        <w:t>., A sudden cruise off Iceland, RIDGE Events Newsletter, 2(2), 35-38, 1991.</w:t>
      </w:r>
    </w:p>
    <w:p w14:paraId="2F558228" w14:textId="77777777" w:rsidR="006B3F46" w:rsidRPr="0021277B" w:rsidRDefault="006B3F46" w:rsidP="00907941">
      <w:pPr>
        <w:shd w:val="clear" w:color="auto" w:fill="FFFFFF"/>
        <w:ind w:left="709"/>
        <w:jc w:val="both"/>
        <w:rPr>
          <w:rFonts w:eastAsia="MS Mincho"/>
          <w:bCs/>
          <w:color w:val="000000"/>
          <w:sz w:val="22"/>
          <w:szCs w:val="22"/>
          <w:lang w:val="en-US"/>
        </w:rPr>
      </w:pPr>
      <w:r w:rsidRPr="0021277B">
        <w:rPr>
          <w:rFonts w:eastAsia="MS Mincho"/>
          <w:bCs/>
          <w:color w:val="000000"/>
          <w:sz w:val="22"/>
          <w:szCs w:val="22"/>
          <w:lang w:val="en-US"/>
        </w:rPr>
        <w:t xml:space="preserve">(plume only) German, C.R. </w:t>
      </w:r>
      <w:r w:rsidRPr="0006066A">
        <w:rPr>
          <w:rFonts w:eastAsia="MS Mincho"/>
          <w:bCs/>
          <w:i/>
          <w:color w:val="000000"/>
          <w:sz w:val="22"/>
          <w:szCs w:val="22"/>
          <w:lang w:val="en-US"/>
        </w:rPr>
        <w:t>et al</w:t>
      </w:r>
      <w:r w:rsidRPr="0021277B">
        <w:rPr>
          <w:rFonts w:eastAsia="MS Mincho"/>
          <w:bCs/>
          <w:color w:val="000000"/>
          <w:sz w:val="22"/>
          <w:szCs w:val="22"/>
          <w:lang w:val="en-US"/>
        </w:rPr>
        <w:t>., Hydrothermal activity on the Reykjanes Ridge: the Steinaholl vent field at 63°06′N. Earth Planet. Sci. Lett. 121 (1994), pp. 647–654.</w:t>
      </w:r>
    </w:p>
    <w:p w14:paraId="7E6EF54C" w14:textId="77777777" w:rsidR="006B3F46" w:rsidRPr="0021277B" w:rsidRDefault="006B3F46" w:rsidP="00907941">
      <w:pPr>
        <w:ind w:left="709" w:hanging="720"/>
        <w:jc w:val="both"/>
        <w:rPr>
          <w:rFonts w:eastAsia="MS Mincho"/>
          <w:bCs/>
          <w:color w:val="000000"/>
          <w:sz w:val="22"/>
          <w:szCs w:val="22"/>
          <w:lang w:val="en-US"/>
        </w:rPr>
      </w:pPr>
      <w:r w:rsidRPr="0021277B">
        <w:rPr>
          <w:rFonts w:eastAsia="MS Mincho"/>
          <w:bCs/>
          <w:color w:val="000000"/>
          <w:sz w:val="22"/>
          <w:szCs w:val="22"/>
          <w:lang w:val="en-US"/>
        </w:rPr>
        <w:t>Orlov, A. 2007. Bathyraja pallida. In: IUCN 2007. 2007 IUCN Red List of Threatened Species. &lt;www.iucnredlist.org&gt;. Downloaded on 11 March 2008.</w:t>
      </w:r>
    </w:p>
    <w:p w14:paraId="01C5615E"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 xml:space="preserve">Priede, I.G., Bergstad, O.A., Miller, P.I., Vecchione, M., Gebruk, A., </w:t>
      </w:r>
      <w:r w:rsidRPr="0006066A">
        <w:rPr>
          <w:rFonts w:eastAsia="MS Mincho"/>
          <w:bCs/>
          <w:i/>
          <w:color w:val="000000"/>
          <w:sz w:val="22"/>
          <w:szCs w:val="22"/>
        </w:rPr>
        <w:t>et al</w:t>
      </w:r>
      <w:r w:rsidRPr="0021277B">
        <w:rPr>
          <w:rFonts w:eastAsia="MS Mincho"/>
          <w:bCs/>
          <w:i/>
          <w:color w:val="000000"/>
          <w:sz w:val="22"/>
          <w:szCs w:val="22"/>
        </w:rPr>
        <w:t>.</w:t>
      </w:r>
      <w:r w:rsidRPr="0021277B">
        <w:rPr>
          <w:rFonts w:eastAsia="MS Mincho"/>
          <w:bCs/>
          <w:color w:val="000000"/>
          <w:sz w:val="22"/>
          <w:szCs w:val="22"/>
        </w:rPr>
        <w:t xml:space="preserve"> 2013. Does Presence of a Mid-Ocean Ridge Enhance Biomass and Biodiversity? PLoSONE 8(5): e61550. doi:10.1371/journal.pone.0061550</w:t>
      </w:r>
    </w:p>
    <w:p w14:paraId="0C351743"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rPr>
        <w:t>Priede, I. G., Billett, D. S., Brierley, A. S., Hoelzel, A. R., Inall, M., &amp; Miller, P. I. (2013a). The ECO-MAR (Ecosystem of the Mid-Atlantic Ridge at the Sub-Polar Front and Charlie Gibbs Fracture Zone) project: description of the benthic sampling programme 2007–2010. Marine Biology Research, 9(5-6), 624-628.</w:t>
      </w:r>
    </w:p>
    <w:p w14:paraId="6BCA1D16" w14:textId="77777777" w:rsidR="006B3F46" w:rsidRPr="0021277B" w:rsidRDefault="006B3F46" w:rsidP="00907941">
      <w:pPr>
        <w:ind w:left="709" w:hanging="720"/>
        <w:jc w:val="both"/>
        <w:rPr>
          <w:rFonts w:eastAsia="MS Mincho"/>
          <w:bCs/>
          <w:iCs/>
          <w:color w:val="000000"/>
          <w:sz w:val="22"/>
          <w:szCs w:val="22"/>
        </w:rPr>
      </w:pPr>
      <w:r w:rsidRPr="0021277B">
        <w:rPr>
          <w:rFonts w:eastAsia="MS Mincho"/>
          <w:bCs/>
          <w:iCs/>
          <w:color w:val="000000"/>
          <w:sz w:val="22"/>
          <w:szCs w:val="22"/>
        </w:rPr>
        <w:t>Roark, E. B., Guilderson, T. P., Dunbar, R. B. and Ingram, B. L. (2006). Radiocarbon based ages and growth rates: Hawaiian deep sea corals. Marine Ecology Progress Series, 327, 1-14</w:t>
      </w:r>
    </w:p>
    <w:p w14:paraId="43CACB38" w14:textId="77777777" w:rsidR="006B3F46" w:rsidRPr="0021277B" w:rsidRDefault="006B3F46" w:rsidP="00907941">
      <w:pPr>
        <w:ind w:left="709" w:hanging="720"/>
        <w:jc w:val="both"/>
        <w:rPr>
          <w:rFonts w:eastAsia="MS Mincho"/>
          <w:bCs/>
          <w:iCs/>
          <w:color w:val="000000"/>
          <w:sz w:val="22"/>
          <w:szCs w:val="22"/>
        </w:rPr>
      </w:pPr>
      <w:r w:rsidRPr="0021277B">
        <w:rPr>
          <w:rFonts w:eastAsia="MS Mincho"/>
          <w:bCs/>
          <w:iCs/>
          <w:color w:val="000000"/>
          <w:sz w:val="22"/>
          <w:szCs w:val="22"/>
        </w:rPr>
        <w:t>Roberts JM, Wheeler AJ, Freiwald A (2006) Reefs of the deep: the biology and geology of cold-water coral ecosystems. Science 312: 543-547</w:t>
      </w:r>
    </w:p>
    <w:p w14:paraId="55E3062C" w14:textId="77777777" w:rsidR="006B3F46" w:rsidRPr="0021277B" w:rsidRDefault="006B3F46" w:rsidP="00907941">
      <w:pPr>
        <w:ind w:left="709" w:hanging="720"/>
        <w:jc w:val="both"/>
        <w:rPr>
          <w:rFonts w:eastAsia="MS Mincho"/>
          <w:bCs/>
          <w:iCs/>
          <w:color w:val="000000"/>
          <w:sz w:val="22"/>
          <w:szCs w:val="22"/>
          <w:lang w:val="en-US"/>
        </w:rPr>
      </w:pPr>
      <w:r w:rsidRPr="0021277B">
        <w:rPr>
          <w:rFonts w:eastAsia="MS Mincho"/>
          <w:bCs/>
          <w:iCs/>
          <w:color w:val="000000"/>
          <w:sz w:val="22"/>
          <w:szCs w:val="22"/>
        </w:rPr>
        <w:t>Roberts JM, Wheeler AJ, Freiwald A, Cairns SD (2009) Cold-water Corals: The Biology and Geology of Deep-sea Coral Habitats. Cambridge University Press, 334 pp</w:t>
      </w:r>
    </w:p>
    <w:p w14:paraId="0170B63B" w14:textId="77777777" w:rsidR="006B3F46" w:rsidRPr="0021277B" w:rsidRDefault="006B3F46" w:rsidP="00907941">
      <w:pPr>
        <w:ind w:left="709" w:hanging="720"/>
        <w:jc w:val="both"/>
        <w:rPr>
          <w:rFonts w:eastAsia="MS Mincho"/>
          <w:bCs/>
          <w:iCs/>
          <w:color w:val="000000"/>
          <w:sz w:val="22"/>
          <w:szCs w:val="22"/>
          <w:lang w:val="en-US"/>
        </w:rPr>
      </w:pPr>
      <w:r w:rsidRPr="0021277B">
        <w:rPr>
          <w:rFonts w:eastAsia="MS Mincho"/>
          <w:bCs/>
          <w:iCs/>
          <w:color w:val="000000"/>
          <w:sz w:val="22"/>
          <w:szCs w:val="22"/>
          <w:lang w:val="en-US"/>
        </w:rPr>
        <w:t>Rossby, T. 1999. On gyre interactions. Deep-Sea Research II 46: 139-164.</w:t>
      </w:r>
    </w:p>
    <w:p w14:paraId="5C0BACA8" w14:textId="77777777" w:rsidR="006B3F46" w:rsidRPr="0021277B" w:rsidRDefault="006B3F46" w:rsidP="00907941">
      <w:pPr>
        <w:ind w:left="709" w:hanging="720"/>
        <w:jc w:val="both"/>
        <w:rPr>
          <w:rFonts w:eastAsia="MS Mincho"/>
          <w:bCs/>
          <w:iCs/>
          <w:color w:val="000000"/>
          <w:sz w:val="22"/>
          <w:szCs w:val="22"/>
          <w:lang w:val="en-US"/>
        </w:rPr>
      </w:pPr>
      <w:r w:rsidRPr="0021277B">
        <w:rPr>
          <w:rFonts w:eastAsia="MS Mincho"/>
          <w:bCs/>
          <w:iCs/>
          <w:color w:val="000000"/>
          <w:sz w:val="22"/>
          <w:szCs w:val="22"/>
          <w:lang w:val="en-US"/>
        </w:rPr>
        <w:t xml:space="preserve">Sbortshikov, I.M. &amp; Rudenko, M.V. (1990) Relief and tectonic structures of the Reykjanes Ridge axis zone. In: Almukhamedov, A.I., Bogdanov, Yu.A., Kuzmin, M.I. </w:t>
      </w:r>
      <w:r w:rsidRPr="0006066A">
        <w:rPr>
          <w:rFonts w:eastAsia="MS Mincho"/>
          <w:bCs/>
          <w:i/>
          <w:iCs/>
          <w:color w:val="000000"/>
          <w:sz w:val="22"/>
          <w:szCs w:val="22"/>
          <w:lang w:val="en-US"/>
        </w:rPr>
        <w:t>et al</w:t>
      </w:r>
      <w:r w:rsidRPr="0021277B">
        <w:rPr>
          <w:rFonts w:eastAsia="MS Mincho"/>
          <w:bCs/>
          <w:iCs/>
          <w:color w:val="000000"/>
          <w:sz w:val="22"/>
          <w:szCs w:val="22"/>
          <w:lang w:val="en-US"/>
        </w:rPr>
        <w:t xml:space="preserve"> Reykjanes Ridge rift zone: tectonics, magmaism and conditions of sedimentology, pp 42 – 61. Moscow, Nauka.</w:t>
      </w:r>
    </w:p>
    <w:p w14:paraId="46EB7DDA" w14:textId="77777777" w:rsidR="006B3F46" w:rsidRPr="0021277B" w:rsidRDefault="006B3F46" w:rsidP="00907941">
      <w:pPr>
        <w:pStyle w:val="Heading2"/>
        <w:spacing w:before="0" w:after="0"/>
        <w:ind w:left="709"/>
        <w:jc w:val="both"/>
        <w:rPr>
          <w:rFonts w:eastAsia="MS Mincho"/>
          <w:b w:val="0"/>
          <w:iCs w:val="0"/>
          <w:color w:val="000000"/>
          <w:szCs w:val="22"/>
          <w:lang w:val="da-DK" w:eastAsia="en-CA"/>
        </w:rPr>
      </w:pPr>
      <w:r w:rsidRPr="0021277B">
        <w:rPr>
          <w:rFonts w:eastAsia="MS Mincho"/>
          <w:b w:val="0"/>
          <w:iCs w:val="0"/>
          <w:color w:val="000000"/>
          <w:szCs w:val="22"/>
          <w:lang w:val="da-DK" w:eastAsia="en-CA"/>
        </w:rPr>
        <w:t xml:space="preserve">Shor, A., P.Lonsdale, C.D.Hollister, D.Spencer (1980). Charlie-Gibbs fracture zone: bottom-water transport and its geological effects. </w:t>
      </w:r>
      <w:hyperlink r:id="rId303" w:tooltip="Go to Deep Sea Research Part A. Oceanographic Research Papers on ScienceDirect" w:history="1">
        <w:r w:rsidRPr="0021277B">
          <w:rPr>
            <w:rFonts w:eastAsia="MS Mincho"/>
            <w:b w:val="0"/>
            <w:iCs w:val="0"/>
            <w:color w:val="000000"/>
            <w:szCs w:val="22"/>
            <w:lang w:val="da-DK" w:eastAsia="en-CA"/>
          </w:rPr>
          <w:t>Deep Sea Research Part A. Oceanographic Research Papers</w:t>
        </w:r>
      </w:hyperlink>
    </w:p>
    <w:p w14:paraId="5347EAD0" w14:textId="77777777" w:rsidR="006B3F46" w:rsidRPr="0021277B" w:rsidRDefault="009E53BE" w:rsidP="00907941">
      <w:pPr>
        <w:ind w:left="709"/>
        <w:jc w:val="both"/>
        <w:rPr>
          <w:rFonts w:eastAsia="MS Mincho"/>
          <w:bCs/>
          <w:iCs/>
          <w:color w:val="000000"/>
          <w:sz w:val="22"/>
          <w:szCs w:val="22"/>
          <w:lang w:val="da-DK"/>
        </w:rPr>
      </w:pPr>
      <w:hyperlink r:id="rId304" w:tooltip="Go to table of contents for this volume/issue" w:history="1">
        <w:r w:rsidR="006B3F46" w:rsidRPr="0021277B">
          <w:rPr>
            <w:rFonts w:eastAsia="MS Mincho"/>
            <w:bCs/>
            <w:iCs/>
            <w:color w:val="000000"/>
            <w:sz w:val="22"/>
            <w:szCs w:val="22"/>
            <w:lang w:val="da-DK"/>
          </w:rPr>
          <w:t>Volume 27, Issue 5</w:t>
        </w:r>
      </w:hyperlink>
      <w:r w:rsidR="006B3F46" w:rsidRPr="0021277B">
        <w:rPr>
          <w:rFonts w:eastAsia="MS Mincho"/>
          <w:bCs/>
          <w:iCs/>
          <w:color w:val="000000"/>
          <w:sz w:val="22"/>
          <w:szCs w:val="22"/>
          <w:lang w:val="da-DK"/>
        </w:rPr>
        <w:t>, May 1980, Pages 325-338, IN1-IN2, 339-345 https://doi.org/10.1016/0198-0149(80)90030-8</w:t>
      </w:r>
    </w:p>
    <w:p w14:paraId="09080682" w14:textId="77777777" w:rsidR="006B3F46" w:rsidRPr="0021277B" w:rsidRDefault="006B3F46" w:rsidP="00907941">
      <w:pPr>
        <w:ind w:left="709" w:hanging="720"/>
        <w:jc w:val="both"/>
        <w:rPr>
          <w:rFonts w:eastAsia="MS Mincho"/>
          <w:bCs/>
          <w:iCs/>
          <w:color w:val="000000"/>
          <w:sz w:val="22"/>
          <w:szCs w:val="22"/>
          <w:lang w:val="en-US"/>
        </w:rPr>
      </w:pPr>
      <w:r w:rsidRPr="0021277B">
        <w:rPr>
          <w:rFonts w:eastAsia="MS Mincho"/>
          <w:bCs/>
          <w:iCs/>
          <w:color w:val="000000"/>
          <w:sz w:val="22"/>
          <w:szCs w:val="22"/>
          <w:lang w:val="en-US"/>
        </w:rPr>
        <w:t>Søiland, H., Budgell, W.P. and Ø Knutsen. 2008. The physical oceanographic conditions along the Mid-Atlantic Ridge north of the Azores in June-July 2004. Deep-Sea Research II 55: 29- 44.</w:t>
      </w:r>
    </w:p>
    <w:p w14:paraId="13EE4DA5" w14:textId="77777777" w:rsidR="006B3F46" w:rsidRPr="0021277B" w:rsidRDefault="006B3F46" w:rsidP="00907941">
      <w:pPr>
        <w:ind w:left="709" w:hanging="720"/>
        <w:jc w:val="both"/>
        <w:rPr>
          <w:rFonts w:eastAsia="MS Mincho"/>
          <w:color w:val="000000"/>
          <w:sz w:val="22"/>
          <w:szCs w:val="22"/>
          <w:lang w:val="en-US"/>
        </w:rPr>
      </w:pPr>
      <w:r w:rsidRPr="0021277B">
        <w:rPr>
          <w:rFonts w:eastAsia="MS Mincho"/>
          <w:color w:val="000000"/>
          <w:sz w:val="22"/>
          <w:szCs w:val="22"/>
          <w:lang w:val="en-US"/>
        </w:rPr>
        <w:t xml:space="preserve">Speer, K. G. and A. M. Thurnherr. 2005. Abyssal Canyons and Mixing by Low-Frequency Flow. In: P. Muller and D. Henderson (Editors), Near-Boundary Processes and Their Parameterization, topics in physical oceanography, 'Aha Huliko' a Winter Workshop, pp. 17-19. </w:t>
      </w:r>
    </w:p>
    <w:p w14:paraId="3825710F" w14:textId="77777777" w:rsidR="006B3F46" w:rsidRPr="0021277B" w:rsidRDefault="006B3F46" w:rsidP="00907941">
      <w:pPr>
        <w:ind w:left="709" w:hanging="720"/>
        <w:jc w:val="both"/>
        <w:rPr>
          <w:rFonts w:eastAsia="MS Mincho"/>
          <w:color w:val="000000"/>
          <w:sz w:val="22"/>
          <w:szCs w:val="22"/>
          <w:lang w:val="en-US"/>
        </w:rPr>
      </w:pPr>
      <w:r w:rsidRPr="0021277B">
        <w:rPr>
          <w:rFonts w:eastAsia="MS Mincho"/>
          <w:color w:val="000000"/>
          <w:sz w:val="22"/>
          <w:szCs w:val="22"/>
          <w:lang w:val="en-US"/>
        </w:rPr>
        <w:t>Speirs. D.C., Gurney, W.S.C., Heathm M.R., and Wood, S. (2005) Modelling the basin-scale demography of Calanus finmarchicus in the north-east Atlantic. Fisheries Oceanography 14(5):333-358.</w:t>
      </w:r>
    </w:p>
    <w:p w14:paraId="0F6F162F" w14:textId="77777777" w:rsidR="006B3F46" w:rsidRPr="0021277B" w:rsidRDefault="006B3F46" w:rsidP="00907941">
      <w:pPr>
        <w:ind w:left="709" w:hanging="720"/>
        <w:jc w:val="both"/>
        <w:rPr>
          <w:rFonts w:eastAsia="MS Mincho"/>
          <w:bCs/>
          <w:iCs/>
          <w:color w:val="000000"/>
          <w:sz w:val="22"/>
          <w:szCs w:val="22"/>
          <w:lang w:val="en-US"/>
        </w:rPr>
      </w:pPr>
      <w:r w:rsidRPr="0021277B">
        <w:rPr>
          <w:rFonts w:eastAsia="MS Mincho"/>
          <w:bCs/>
          <w:iCs/>
          <w:color w:val="000000"/>
          <w:sz w:val="22"/>
          <w:szCs w:val="22"/>
          <w:lang w:val="da-DK"/>
        </w:rPr>
        <w:t xml:space="preserve">Sutton, T.T., Porteiro, F.M., Heino, M., </w:t>
      </w:r>
      <w:r w:rsidRPr="0006066A">
        <w:rPr>
          <w:rFonts w:eastAsia="MS Mincho"/>
          <w:bCs/>
          <w:i/>
          <w:iCs/>
          <w:color w:val="000000"/>
          <w:sz w:val="22"/>
          <w:szCs w:val="22"/>
          <w:lang w:val="da-DK"/>
        </w:rPr>
        <w:t>et al</w:t>
      </w:r>
      <w:r w:rsidRPr="0021277B">
        <w:rPr>
          <w:rFonts w:eastAsia="MS Mincho"/>
          <w:bCs/>
          <w:i/>
          <w:iCs/>
          <w:color w:val="000000"/>
          <w:sz w:val="22"/>
          <w:szCs w:val="22"/>
          <w:lang w:val="da-DK"/>
        </w:rPr>
        <w:t>.</w:t>
      </w:r>
      <w:r w:rsidRPr="0021277B">
        <w:rPr>
          <w:rFonts w:eastAsia="MS Mincho"/>
          <w:bCs/>
          <w:iCs/>
          <w:color w:val="000000"/>
          <w:sz w:val="22"/>
          <w:szCs w:val="22"/>
          <w:lang w:val="da-DK"/>
        </w:rPr>
        <w:t xml:space="preserve"> 2008. </w:t>
      </w:r>
      <w:r w:rsidRPr="0021277B">
        <w:rPr>
          <w:rFonts w:eastAsia="MS Mincho"/>
          <w:bCs/>
          <w:iCs/>
          <w:color w:val="000000"/>
          <w:sz w:val="22"/>
          <w:szCs w:val="22"/>
          <w:lang w:val="en-US"/>
        </w:rPr>
        <w:t>Vertical structure, biomass and topographic association of deep-pelagic fishes in relation to a mid-ocean ridge system. Deep-Sea Research II 55 (1–2):161–184.</w:t>
      </w:r>
    </w:p>
    <w:p w14:paraId="33B2B25C" w14:textId="77777777" w:rsidR="006B3F46" w:rsidRPr="0021277B" w:rsidRDefault="006B3F46" w:rsidP="00907941">
      <w:pPr>
        <w:ind w:left="709" w:hanging="720"/>
        <w:jc w:val="both"/>
        <w:rPr>
          <w:rFonts w:eastAsia="MS Mincho"/>
          <w:bCs/>
          <w:color w:val="000000"/>
          <w:sz w:val="22"/>
          <w:szCs w:val="22"/>
          <w:lang w:val="en-US"/>
        </w:rPr>
      </w:pPr>
      <w:r w:rsidRPr="0021277B">
        <w:rPr>
          <w:rFonts w:eastAsia="MS Mincho"/>
          <w:bCs/>
          <w:color w:val="000000"/>
          <w:sz w:val="22"/>
          <w:szCs w:val="22"/>
          <w:lang w:val="en-US"/>
        </w:rPr>
        <w:t>Tolstoy, I. and M. Ewing. 1949. North Atlantic hydrography and the Mid-Atlantic Ridge. Bulletin of the Geological Society of America 60(10): 1527-1540.</w:t>
      </w:r>
    </w:p>
    <w:p w14:paraId="6971507B" w14:textId="77777777" w:rsidR="006B3F46" w:rsidRPr="0021277B" w:rsidRDefault="006B3F46" w:rsidP="00907941">
      <w:pPr>
        <w:ind w:left="709" w:hanging="720"/>
        <w:jc w:val="both"/>
        <w:rPr>
          <w:rFonts w:eastAsia="MS Mincho"/>
          <w:bCs/>
          <w:color w:val="000000"/>
          <w:sz w:val="22"/>
          <w:szCs w:val="22"/>
          <w:lang w:val="en-US"/>
        </w:rPr>
      </w:pPr>
      <w:r w:rsidRPr="0021277B">
        <w:rPr>
          <w:rFonts w:eastAsia="MS Mincho"/>
          <w:bCs/>
          <w:color w:val="000000"/>
          <w:sz w:val="22"/>
          <w:szCs w:val="22"/>
          <w:lang w:val="en-US"/>
        </w:rPr>
        <w:t xml:space="preserve">van Andel, Tj. H. and C. O. Bowin. 1968.  Mid-Atlantic Ridge between 22º and 23º north latitude and the tectonics of mid-ocean rises. </w:t>
      </w:r>
      <w:r w:rsidRPr="0021277B">
        <w:rPr>
          <w:rFonts w:eastAsia="MS Mincho"/>
          <w:bCs/>
          <w:iCs/>
          <w:color w:val="000000"/>
          <w:sz w:val="22"/>
          <w:szCs w:val="22"/>
          <w:lang w:val="en-US"/>
        </w:rPr>
        <w:t>Journal of Geophysical Research</w:t>
      </w:r>
      <w:r w:rsidRPr="0021277B">
        <w:rPr>
          <w:rFonts w:eastAsia="MS Mincho"/>
          <w:bCs/>
          <w:color w:val="000000"/>
          <w:sz w:val="22"/>
          <w:szCs w:val="22"/>
          <w:lang w:val="en-US"/>
        </w:rPr>
        <w:t xml:space="preserve"> 73: 1279-1298. </w:t>
      </w:r>
    </w:p>
    <w:p w14:paraId="3B296F74" w14:textId="77777777" w:rsidR="006B3F46" w:rsidRPr="0021277B" w:rsidRDefault="006B3F46" w:rsidP="00907941">
      <w:pPr>
        <w:ind w:left="709" w:hanging="720"/>
        <w:jc w:val="both"/>
        <w:rPr>
          <w:rFonts w:eastAsia="MS Mincho"/>
          <w:bCs/>
          <w:color w:val="000000"/>
          <w:sz w:val="22"/>
          <w:szCs w:val="22"/>
          <w:lang w:val="en-US"/>
        </w:rPr>
      </w:pPr>
      <w:r w:rsidRPr="0021277B">
        <w:rPr>
          <w:rFonts w:eastAsia="MS Mincho"/>
          <w:bCs/>
          <w:color w:val="000000"/>
          <w:sz w:val="22"/>
          <w:szCs w:val="22"/>
          <w:lang w:val="en-US"/>
        </w:rPr>
        <w:t>Vecchione, M., Young, R.E. and U. Piatkowski. 2010. Cephalopods of the northern Mid-Atlantic Ridge. Marine Biology Research 6: 25–52.</w:t>
      </w:r>
    </w:p>
    <w:p w14:paraId="3FA576C7" w14:textId="77777777" w:rsidR="006B3F46" w:rsidRPr="0021277B" w:rsidRDefault="006B3F46" w:rsidP="00907941">
      <w:pPr>
        <w:ind w:left="709" w:hanging="720"/>
        <w:jc w:val="both"/>
        <w:rPr>
          <w:rFonts w:eastAsia="MS Mincho"/>
          <w:bCs/>
          <w:color w:val="000000"/>
          <w:sz w:val="22"/>
          <w:szCs w:val="22"/>
        </w:rPr>
      </w:pPr>
      <w:r w:rsidRPr="0021277B">
        <w:rPr>
          <w:rFonts w:eastAsia="MS Mincho"/>
          <w:bCs/>
          <w:color w:val="000000"/>
          <w:sz w:val="22"/>
          <w:szCs w:val="22"/>
          <w:lang w:val="en"/>
        </w:rPr>
        <w:t xml:space="preserve">White, W.M. and J.-G. Schilling. 1978. </w:t>
      </w:r>
      <w:r w:rsidRPr="0021277B">
        <w:rPr>
          <w:rFonts w:eastAsia="MS Mincho"/>
          <w:bCs/>
          <w:color w:val="000000"/>
          <w:sz w:val="22"/>
          <w:szCs w:val="22"/>
        </w:rPr>
        <w:t xml:space="preserve">The nature and origin of geochemical variation in Mid-Atlantic Ridge basalts from the Central North Atlantic. </w:t>
      </w:r>
      <w:r w:rsidRPr="0021277B">
        <w:rPr>
          <w:rFonts w:eastAsia="MS Mincho"/>
          <w:bCs/>
          <w:i/>
          <w:color w:val="000000"/>
          <w:sz w:val="22"/>
          <w:szCs w:val="22"/>
        </w:rPr>
        <w:t>Geochimica et Cosmochimica Acta</w:t>
      </w:r>
      <w:r w:rsidRPr="0021277B">
        <w:rPr>
          <w:rFonts w:eastAsia="MS Mincho"/>
          <w:bCs/>
          <w:color w:val="000000"/>
          <w:sz w:val="22"/>
          <w:szCs w:val="22"/>
        </w:rPr>
        <w:t xml:space="preserve"> 42 (10): 1501-1516.</w:t>
      </w:r>
    </w:p>
    <w:p w14:paraId="49CA8EA1" w14:textId="77777777" w:rsidR="006B3F46" w:rsidRPr="00F66EF7" w:rsidRDefault="006B3F46" w:rsidP="00907941">
      <w:pPr>
        <w:jc w:val="both"/>
        <w:rPr>
          <w:rFonts w:eastAsia="MS Mincho"/>
          <w:b/>
          <w:color w:val="000000"/>
          <w:sz w:val="22"/>
          <w:szCs w:val="22"/>
          <w:lang w:val="en-US"/>
        </w:rPr>
      </w:pPr>
    </w:p>
    <w:p w14:paraId="7ACE8443" w14:textId="77777777" w:rsidR="006B3F46" w:rsidRPr="0021277B" w:rsidRDefault="006B3F46" w:rsidP="00907941">
      <w:pPr>
        <w:ind w:left="720" w:hanging="720"/>
        <w:jc w:val="both"/>
        <w:rPr>
          <w:rFonts w:eastAsia="MS Mincho"/>
          <w:color w:val="000000"/>
          <w:sz w:val="22"/>
          <w:szCs w:val="22"/>
          <w:highlight w:val="cyan"/>
          <w:lang w:val="en-US"/>
        </w:rPr>
      </w:pPr>
    </w:p>
    <w:p w14:paraId="5FB4ED02" w14:textId="77777777" w:rsidR="006B3F46" w:rsidRPr="0021277B" w:rsidRDefault="006B3F46" w:rsidP="00907941">
      <w:pPr>
        <w:ind w:left="720" w:hanging="720"/>
        <w:jc w:val="both"/>
        <w:rPr>
          <w:rFonts w:eastAsia="MS Mincho"/>
          <w:color w:val="000000"/>
          <w:sz w:val="22"/>
          <w:szCs w:val="22"/>
          <w:highlight w:val="cyan"/>
          <w:lang w:val="en-US"/>
        </w:rPr>
      </w:pPr>
      <w:r>
        <w:rPr>
          <w:rFonts w:eastAsia="MS Mincho"/>
          <w:color w:val="000000"/>
          <w:sz w:val="22"/>
          <w:szCs w:val="22"/>
          <w:highlight w:val="cyan"/>
          <w:lang w:val="en-US"/>
        </w:rPr>
        <w:br w:type="page"/>
      </w:r>
    </w:p>
    <w:p w14:paraId="3AF54A81" w14:textId="77777777" w:rsidR="006B3F46" w:rsidRDefault="006B3F46" w:rsidP="00907941">
      <w:pPr>
        <w:rPr>
          <w:rFonts w:eastAsia="MS Mincho"/>
          <w:b/>
          <w:color w:val="000000"/>
          <w:sz w:val="22"/>
          <w:szCs w:val="22"/>
          <w:lang w:val="en-US"/>
        </w:rPr>
      </w:pPr>
      <w:r w:rsidRPr="00F66EF7">
        <w:rPr>
          <w:rFonts w:eastAsia="MS Mincho"/>
          <w:b/>
          <w:color w:val="000000"/>
          <w:sz w:val="22"/>
          <w:szCs w:val="22"/>
          <w:lang w:val="en-US"/>
        </w:rPr>
        <w:t>Maps and Figures</w:t>
      </w:r>
    </w:p>
    <w:p w14:paraId="6F381C77" w14:textId="77777777" w:rsidR="006B3F46" w:rsidRDefault="006B3F46" w:rsidP="00907941">
      <w:pPr>
        <w:rPr>
          <w:rFonts w:eastAsia="MS Mincho"/>
          <w:b/>
          <w:color w:val="000000"/>
          <w:sz w:val="22"/>
          <w:szCs w:val="22"/>
          <w:lang w:val="en-US"/>
        </w:rPr>
      </w:pPr>
    </w:p>
    <w:p w14:paraId="56A8E6C2" w14:textId="77777777" w:rsidR="006B3F46" w:rsidRPr="009978E3" w:rsidRDefault="009E53BE" w:rsidP="00907941">
      <w:pPr>
        <w:rPr>
          <w:rFonts w:eastAsia="MS Mincho"/>
          <w:b/>
          <w:color w:val="000000"/>
          <w:sz w:val="22"/>
          <w:szCs w:val="22"/>
          <w:lang w:val="en-US"/>
        </w:rPr>
      </w:pPr>
      <w:r>
        <w:pict w14:anchorId="375F4D8E">
          <v:shape id="_x0000_i1141" type="#_x0000_t75" style="width:6in;height:6in">
            <v:imagedata r:id="rId305" o:title=""/>
          </v:shape>
        </w:pict>
      </w:r>
    </w:p>
    <w:p w14:paraId="28A97F1D" w14:textId="77777777" w:rsidR="006B3F46" w:rsidRPr="009978E3" w:rsidRDefault="006B3F46" w:rsidP="00907941">
      <w:pPr>
        <w:rPr>
          <w:rFonts w:eastAsia="MS Mincho"/>
          <w:b/>
          <w:color w:val="000000"/>
          <w:sz w:val="22"/>
          <w:szCs w:val="22"/>
          <w:lang w:val="en-US"/>
        </w:rPr>
      </w:pPr>
    </w:p>
    <w:p w14:paraId="097E3ED3" w14:textId="77777777" w:rsidR="006B3F46" w:rsidRPr="0021277B" w:rsidRDefault="006B3F46" w:rsidP="00907941">
      <w:pPr>
        <w:jc w:val="center"/>
        <w:rPr>
          <w:rFonts w:eastAsia="MS Mincho"/>
          <w:b/>
          <w:bCs/>
          <w:color w:val="000000"/>
          <w:sz w:val="22"/>
          <w:szCs w:val="22"/>
          <w:lang w:val="en-US"/>
        </w:rPr>
      </w:pPr>
      <w:r w:rsidRPr="0021277B">
        <w:rPr>
          <w:rFonts w:eastAsia="MS Mincho"/>
          <w:b/>
          <w:bCs/>
          <w:color w:val="000000"/>
          <w:sz w:val="22"/>
          <w:szCs w:val="22"/>
          <w:lang w:val="en-US"/>
        </w:rPr>
        <w:t>Location of area no. 16: Southern Reykjanes Ridge</w:t>
      </w:r>
    </w:p>
    <w:p w14:paraId="4B3CDC79" w14:textId="77777777" w:rsidR="006B3F46" w:rsidRPr="0021277B" w:rsidRDefault="009E53BE" w:rsidP="00907941">
      <w:pPr>
        <w:jc w:val="center"/>
        <w:rPr>
          <w:rFonts w:eastAsia="MS Mincho"/>
          <w:color w:val="000000"/>
          <w:sz w:val="22"/>
          <w:szCs w:val="22"/>
          <w:lang w:val="en"/>
        </w:rPr>
      </w:pPr>
      <w:hyperlink r:id="rId306" w:history="1">
        <w:hyperlink r:id="rId307" w:history="1">
          <w:hyperlink r:id="rId308" w:history="1">
            <w:hyperlink r:id="rId309" w:history="1">
              <w:hyperlink r:id="rId310" w:history="1">
                <w:hyperlink r:id="rId311" w:history="1">
                  <w:r>
                    <w:rPr>
                      <w:rFonts w:eastAsia="MS Mincho"/>
                      <w:noProof/>
                      <w:color w:val="000000"/>
                      <w:sz w:val="22"/>
                      <w:szCs w:val="22"/>
                      <w:lang w:val="en"/>
                    </w:rPr>
                    <w:pict w14:anchorId="5E2F0D89">
                      <v:shape id="_x0000_i1142" type="#_x0000_t75" style="width:393.75pt;height:666pt" o:button="t">
                        <v:imagedata r:id="rId312" o:title=""/>
                      </v:shape>
                    </w:pict>
                  </w:r>
                </w:hyperlink>
              </w:hyperlink>
            </w:hyperlink>
          </w:hyperlink>
        </w:hyperlink>
      </w:hyperlink>
    </w:p>
    <w:p w14:paraId="35BD9972" w14:textId="77777777" w:rsidR="006B3F46" w:rsidRPr="0021277B" w:rsidRDefault="006B3F46" w:rsidP="00907941">
      <w:pPr>
        <w:tabs>
          <w:tab w:val="left" w:pos="1134"/>
        </w:tabs>
        <w:ind w:left="1134" w:hanging="1134"/>
        <w:jc w:val="both"/>
        <w:rPr>
          <w:rFonts w:eastAsia="MS Mincho"/>
          <w:noProof/>
          <w:color w:val="000000"/>
          <w:sz w:val="22"/>
          <w:szCs w:val="22"/>
          <w:lang w:val="en"/>
        </w:rPr>
      </w:pPr>
      <w:r w:rsidRPr="0021277B">
        <w:rPr>
          <w:rFonts w:eastAsia="MS Mincho"/>
          <w:b/>
          <w:color w:val="000000"/>
          <w:sz w:val="22"/>
          <w:szCs w:val="22"/>
          <w:lang w:val="en"/>
        </w:rPr>
        <w:t>Figure 1</w:t>
      </w:r>
      <w:r w:rsidRPr="0021277B">
        <w:rPr>
          <w:rFonts w:eastAsia="MS Mincho"/>
          <w:b/>
          <w:color w:val="000000"/>
          <w:sz w:val="22"/>
          <w:szCs w:val="22"/>
          <w:lang w:val="en"/>
        </w:rPr>
        <w:tab/>
      </w:r>
      <w:r w:rsidRPr="0021277B">
        <w:rPr>
          <w:rFonts w:eastAsia="MS Mincho"/>
          <w:color w:val="000000"/>
          <w:sz w:val="22"/>
          <w:szCs w:val="22"/>
          <w:lang w:val="en"/>
        </w:rPr>
        <w:t xml:space="preserve">Location of the Mid-Atlantic Ridge (dashed lines). Image downloaded from:  </w:t>
      </w:r>
      <w:r w:rsidRPr="0021277B">
        <w:rPr>
          <w:rFonts w:eastAsia="MS Mincho"/>
          <w:color w:val="000000"/>
          <w:sz w:val="22"/>
          <w:szCs w:val="22"/>
          <w:lang w:val="en-US"/>
        </w:rPr>
        <w:t>commons.wikimedia.org   File:</w:t>
      </w:r>
      <w:r w:rsidRPr="0021277B">
        <w:rPr>
          <w:rFonts w:eastAsia="MS Mincho"/>
          <w:bCs/>
          <w:color w:val="000000"/>
          <w:sz w:val="22"/>
          <w:szCs w:val="22"/>
          <w:lang w:val="en-US"/>
        </w:rPr>
        <w:t>Mid</w:t>
      </w:r>
      <w:r w:rsidRPr="0021277B">
        <w:rPr>
          <w:rFonts w:eastAsia="MS Mincho"/>
          <w:color w:val="000000"/>
          <w:sz w:val="22"/>
          <w:szCs w:val="22"/>
          <w:lang w:val="en-US"/>
        </w:rPr>
        <w:t>-</w:t>
      </w:r>
      <w:r w:rsidRPr="0021277B">
        <w:rPr>
          <w:rFonts w:eastAsia="MS Mincho"/>
          <w:bCs/>
          <w:color w:val="000000"/>
          <w:sz w:val="22"/>
          <w:szCs w:val="22"/>
          <w:lang w:val="en-US"/>
        </w:rPr>
        <w:t>atlantic ridge</w:t>
      </w:r>
      <w:r w:rsidRPr="0021277B">
        <w:rPr>
          <w:rFonts w:eastAsia="MS Mincho"/>
          <w:color w:val="000000"/>
          <w:sz w:val="22"/>
          <w:szCs w:val="22"/>
          <w:lang w:val="en-US"/>
        </w:rPr>
        <w:t>.jpg - Wikimedia Commons.</w:t>
      </w:r>
    </w:p>
    <w:p w14:paraId="45B46814" w14:textId="77777777" w:rsidR="006B3F46" w:rsidRPr="00F66EF7" w:rsidRDefault="006B3F46" w:rsidP="00907941">
      <w:pPr>
        <w:tabs>
          <w:tab w:val="left" w:pos="1134"/>
        </w:tabs>
        <w:ind w:left="1134" w:hanging="1134"/>
        <w:jc w:val="both"/>
        <w:rPr>
          <w:rFonts w:eastAsia="MS Mincho"/>
          <w:bCs/>
          <w:color w:val="000000"/>
          <w:sz w:val="22"/>
          <w:szCs w:val="22"/>
          <w:lang w:val="en-US"/>
        </w:rPr>
      </w:pPr>
    </w:p>
    <w:p w14:paraId="3509B3EA" w14:textId="77777777" w:rsidR="006B3F46" w:rsidRPr="009978E3" w:rsidRDefault="006B3F46" w:rsidP="00907941">
      <w:pPr>
        <w:jc w:val="center"/>
        <w:rPr>
          <w:rFonts w:eastAsia="MS Mincho"/>
          <w:b/>
          <w:sz w:val="22"/>
          <w:szCs w:val="22"/>
          <w:lang w:val="en-US"/>
        </w:rPr>
      </w:pPr>
      <w:r w:rsidRPr="009978E3">
        <w:rPr>
          <w:rFonts w:eastAsia="MS Mincho"/>
          <w:bCs/>
          <w:color w:val="000000"/>
          <w:sz w:val="22"/>
          <w:szCs w:val="22"/>
          <w:lang w:val="en-US"/>
        </w:rPr>
        <w:br w:type="page"/>
      </w:r>
      <w:r w:rsidRPr="009978E3">
        <w:rPr>
          <w:rFonts w:eastAsia="MS Mincho"/>
          <w:b/>
          <w:sz w:val="22"/>
          <w:szCs w:val="22"/>
          <w:lang w:val="en-US"/>
        </w:rPr>
        <w:t>Area no. 17: Hatton and Rockall Banks and Basin</w:t>
      </w:r>
    </w:p>
    <w:p w14:paraId="6F83CCA0"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 xml:space="preserve">Abstract </w:t>
      </w:r>
    </w:p>
    <w:p w14:paraId="2E4E1C06"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The Hatton and Rockall Banks, as well as their associated slopes and connecting basin, represent offshore pelagic and bathyal habitats from the surface to 3000m deep that collectively constitute a unique and prominent feature of the North-East Atlantic. The area has high habitat heterogeneity and supports a wide range of benthic and pelagic species and associated ecosystems. Its comparatively remote oceanic location several hundred kilometres from the continental shelf afford it a level of protection and isolation from many human activities that are known to degrade the natural marine environment.</w:t>
      </w:r>
    </w:p>
    <w:p w14:paraId="61366863"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Introduction</w:t>
      </w:r>
    </w:p>
    <w:p w14:paraId="7F4F848A"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The Hatton and Rockall Banks are large isolated geomorphological features in the NE Atlantic. Formed from continental crust, they span depths from c. 200m to 3000m. The banks are linked by the Hatton-Rockall Basin at a depth of approximately 1300 m which has particular geomorphological features and habitats. The gently sloping banks and the basin provide a contrasting geological and sedimentary setting to the tectonically active Mid-Atlantic Ridge to the west and the generally steeper slopes of the European continental margin to East. The banks encompass a large depth range with strong environmental gradients (</w:t>
      </w:r>
      <w:r>
        <w:rPr>
          <w:rFonts w:eastAsia="MS Mincho"/>
          <w:sz w:val="22"/>
          <w:szCs w:val="22"/>
        </w:rPr>
        <w:t>e.g.,</w:t>
      </w:r>
      <w:r w:rsidRPr="009978E3">
        <w:rPr>
          <w:rFonts w:eastAsia="MS Mincho"/>
          <w:sz w:val="22"/>
          <w:szCs w:val="22"/>
        </w:rPr>
        <w:t xml:space="preserve"> temperature, pressure, and food availability) that give rise to a high diversity of species and habitats (Billett, 1991; Bett, 2001;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2002; Davies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2006;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Environmental heterogeneity is positively correlated with biological diversity at a variety of scales (Menot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as indicated by significantly elevated levels of species change across space in areas such as Hatton </w:t>
      </w:r>
      <w:r w:rsidRPr="002E4B39">
        <w:rPr>
          <w:rFonts w:eastAsia="MS Mincho"/>
          <w:sz w:val="22"/>
          <w:szCs w:val="22"/>
          <w:lang w:val="en-US"/>
        </w:rPr>
        <w:t>Bank</w:t>
      </w:r>
      <w:r w:rsidRPr="009978E3">
        <w:rPr>
          <w:rFonts w:eastAsia="MS Mincho"/>
          <w:sz w:val="22"/>
          <w:szCs w:val="22"/>
        </w:rPr>
        <w:t xml:space="preserve">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w:t>
      </w:r>
    </w:p>
    <w:p w14:paraId="1A210508"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Changes in pressure and temperature have significant effects on the biochemistry of species, influencing cell membrane structure and enzyme characteristics (Gage and Tyler, 1991). In general, each species is adapted to a particular range of environmental conditions. Each may occur over a depth range of about 500 m, but the depths where any particular species is abundant, and therefore able to form viable populations, is generally limited to a much more restricted depth range of 100 to 200 m (Billett, 1991;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2002). There is evidence that such depth-related effects promote speciation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2004). In addition, the progressive decrease in organic matter availability with increasing depth (with some patchiness depending on geomorphology) leads to a reduction of predatory species and an increase in detritus feeders (Billett, 1991). Taken together such environmental changes lead to a continuous sequential change in species composition with depth, and biological community characteristics that are radically different to those known in shallow shelf seas.</w:t>
      </w:r>
    </w:p>
    <w:p w14:paraId="20F8049C"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The area is influenced by a number of different water masses and circulation systems, including the North Atlantic Current (i.e. Gulf Stream system) which draws warm water from the Gulf of Mexico far into the NE Atlantic., There is considerable interaction between the topography and physical oceanographic processes, in some areas focusing internal wave and tidal energy (Ellett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1986) which results in strong currents and greater mixing. This may give rise to highly localized and specialised biological communities such as sponge aggregations and coral gardens. The mixing of Arctic and Atlantic water in the north of the Hatton-Rockall area means that species from both ecosystems are represented causing enhanced species diversity across a wide range of animal groups.</w:t>
      </w:r>
    </w:p>
    <w:p w14:paraId="4DBD957E"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The </w:t>
      </w:r>
      <w:r w:rsidRPr="002E4B39">
        <w:rPr>
          <w:rFonts w:eastAsia="MS Mincho"/>
          <w:sz w:val="22"/>
          <w:szCs w:val="22"/>
          <w:lang w:val="en-US"/>
        </w:rPr>
        <w:t>Rockall</w:t>
      </w:r>
      <w:r w:rsidRPr="009978E3">
        <w:rPr>
          <w:rFonts w:eastAsia="MS Mincho"/>
          <w:sz w:val="22"/>
          <w:szCs w:val="22"/>
        </w:rPr>
        <w:t xml:space="preserve"> Bank supports shallow demersal fisheries targeting haddock, megrim, gurnard and monkfish (Neat &amp; Campbell 2010; Nolan </w:t>
      </w:r>
      <w:r w:rsidRPr="0006066A">
        <w:rPr>
          <w:rFonts w:eastAsia="MS Mincho"/>
          <w:i/>
          <w:sz w:val="22"/>
          <w:szCs w:val="22"/>
        </w:rPr>
        <w:t>et al</w:t>
      </w:r>
      <w:r w:rsidRPr="009978E3">
        <w:rPr>
          <w:rFonts w:eastAsia="MS Mincho"/>
          <w:sz w:val="22"/>
          <w:szCs w:val="22"/>
        </w:rPr>
        <w:t>., 2011). The slopes and the Hatton Bank are target areas for deep-water bottom fisheries for Ling (</w:t>
      </w:r>
      <w:r w:rsidRPr="009978E3">
        <w:rPr>
          <w:rFonts w:eastAsia="MS Mincho"/>
          <w:i/>
          <w:iCs/>
          <w:sz w:val="22"/>
          <w:szCs w:val="22"/>
        </w:rPr>
        <w:t>Molva molva</w:t>
      </w:r>
      <w:r w:rsidRPr="009978E3">
        <w:rPr>
          <w:rFonts w:eastAsia="MS Mincho"/>
          <w:sz w:val="22"/>
          <w:szCs w:val="22"/>
        </w:rPr>
        <w:t>), Blue Ling (</w:t>
      </w:r>
      <w:r w:rsidRPr="009978E3">
        <w:rPr>
          <w:rFonts w:eastAsia="MS Mincho"/>
          <w:i/>
          <w:iCs/>
          <w:sz w:val="22"/>
          <w:szCs w:val="22"/>
        </w:rPr>
        <w:t>Molva dypterygia</w:t>
      </w:r>
      <w:r w:rsidRPr="009978E3">
        <w:rPr>
          <w:rFonts w:eastAsia="MS Mincho"/>
          <w:sz w:val="22"/>
          <w:szCs w:val="22"/>
        </w:rPr>
        <w:t>), Tusk (</w:t>
      </w:r>
      <w:r w:rsidRPr="009978E3">
        <w:rPr>
          <w:rFonts w:eastAsia="MS Mincho"/>
          <w:i/>
          <w:iCs/>
          <w:sz w:val="22"/>
          <w:szCs w:val="22"/>
        </w:rPr>
        <w:t>Brosme brosme</w:t>
      </w:r>
      <w:r w:rsidRPr="009978E3">
        <w:rPr>
          <w:rFonts w:eastAsia="MS Mincho"/>
          <w:sz w:val="22"/>
          <w:szCs w:val="22"/>
        </w:rPr>
        <w:t>), Roundnose Grenadier (</w:t>
      </w:r>
      <w:r w:rsidRPr="009978E3">
        <w:rPr>
          <w:rFonts w:eastAsia="MS Mincho"/>
          <w:i/>
          <w:iCs/>
          <w:sz w:val="22"/>
          <w:szCs w:val="22"/>
        </w:rPr>
        <w:t>Coryphaenoides rupestris</w:t>
      </w:r>
      <w:r w:rsidRPr="009978E3">
        <w:rPr>
          <w:rFonts w:eastAsia="MS Mincho"/>
          <w:sz w:val="22"/>
          <w:szCs w:val="22"/>
        </w:rPr>
        <w:t>) and Black Scabbardfish (</w:t>
      </w:r>
      <w:r w:rsidRPr="009978E3">
        <w:rPr>
          <w:rFonts w:eastAsia="MS Mincho"/>
          <w:i/>
          <w:iCs/>
          <w:sz w:val="22"/>
          <w:szCs w:val="22"/>
        </w:rPr>
        <w:t>Aphanopus carbo</w:t>
      </w:r>
      <w:r w:rsidRPr="009978E3">
        <w:rPr>
          <w:rFonts w:eastAsia="MS Mincho"/>
          <w:sz w:val="22"/>
          <w:szCs w:val="22"/>
        </w:rPr>
        <w:t xml:space="preserve">). In the past deepwater sharks were also caught in the area, but this is now prohibited. A wide variety of other non-target fish species are also taken as incidental by-catch (Gordon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2003; Large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2003; ICES 2010). </w:t>
      </w:r>
    </w:p>
    <w:p w14:paraId="55B5D6D0"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Some of the </w:t>
      </w:r>
      <w:r w:rsidRPr="002E4B39">
        <w:rPr>
          <w:rFonts w:eastAsia="MS Mincho"/>
          <w:sz w:val="22"/>
          <w:szCs w:val="22"/>
          <w:lang w:val="en-US"/>
        </w:rPr>
        <w:t>deep</w:t>
      </w:r>
      <w:r w:rsidRPr="009978E3">
        <w:rPr>
          <w:rFonts w:eastAsia="MS Mincho"/>
          <w:sz w:val="22"/>
          <w:szCs w:val="22"/>
        </w:rPr>
        <w:t xml:space="preserve">-water target species have characteristic low productivity and extended generation times. In this regard deep-water fisheries have significant effects not only on target fish species, but also on the benthic fauna (Le Guilloux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Clark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Some invertebrate species, such as cold-water corals and sponges, provide important structural habitat heterogeneity.  These habitats are highly susceptible to physical damage and may take hundreds, if not thousands, of years to reform (Hall-Spencer </w:t>
      </w:r>
      <w:r w:rsidRPr="0006066A">
        <w:rPr>
          <w:rFonts w:eastAsia="MS Mincho"/>
          <w:i/>
          <w:sz w:val="22"/>
          <w:szCs w:val="22"/>
        </w:rPr>
        <w:t>et al</w:t>
      </w:r>
      <w:r w:rsidRPr="009978E3">
        <w:rPr>
          <w:rFonts w:eastAsia="MS Mincho"/>
          <w:sz w:val="22"/>
          <w:szCs w:val="22"/>
        </w:rPr>
        <w:t xml:space="preserve">. 2002; </w:t>
      </w:r>
      <w:r w:rsidRPr="002E4B39">
        <w:rPr>
          <w:rFonts w:eastAsia="MS Mincho"/>
          <w:sz w:val="22"/>
          <w:szCs w:val="22"/>
          <w:lang w:val="en-US"/>
        </w:rPr>
        <w:t>Roberts</w:t>
      </w:r>
      <w:r w:rsidRPr="009978E3">
        <w:rPr>
          <w:rFonts w:eastAsia="MS Mincho"/>
          <w:sz w:val="22"/>
          <w:szCs w:val="22"/>
        </w:rPr>
        <w:t xml:space="preserve"> </w:t>
      </w:r>
      <w:r w:rsidRPr="0006066A">
        <w:rPr>
          <w:rFonts w:eastAsia="MS Mincho"/>
          <w:i/>
          <w:sz w:val="22"/>
          <w:szCs w:val="22"/>
        </w:rPr>
        <w:t>et al</w:t>
      </w:r>
      <w:r w:rsidRPr="009978E3">
        <w:rPr>
          <w:rFonts w:eastAsia="MS Mincho"/>
          <w:sz w:val="22"/>
          <w:szCs w:val="22"/>
        </w:rPr>
        <w:t xml:space="preserve">. 2009; Söffker </w:t>
      </w:r>
      <w:r w:rsidRPr="0006066A">
        <w:rPr>
          <w:rFonts w:eastAsia="MS Mincho"/>
          <w:i/>
          <w:sz w:val="22"/>
          <w:szCs w:val="22"/>
        </w:rPr>
        <w:t>et al</w:t>
      </w:r>
      <w:r w:rsidRPr="009978E3">
        <w:rPr>
          <w:rFonts w:eastAsia="MS Mincho"/>
          <w:sz w:val="22"/>
          <w:szCs w:val="22"/>
        </w:rPr>
        <w:t>., 2011).</w:t>
      </w:r>
    </w:p>
    <w:p w14:paraId="37C91605"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Major wide-ranging Northeast Atlantic epipelagic fish stocks, </w:t>
      </w:r>
      <w:r>
        <w:rPr>
          <w:rFonts w:eastAsia="MS Mincho"/>
          <w:sz w:val="22"/>
          <w:szCs w:val="22"/>
        </w:rPr>
        <w:t>e.g.,</w:t>
      </w:r>
      <w:r w:rsidRPr="009978E3">
        <w:rPr>
          <w:rFonts w:eastAsia="MS Mincho"/>
          <w:sz w:val="22"/>
          <w:szCs w:val="22"/>
        </w:rPr>
        <w:t xml:space="preserve"> mackerel, horse mackerel and blue whiting, use and inhabit the Hatton-Rockall area for parts of their life cycle and are targeted by international fisheries. The slopes of the banks and channels between the banks have a diverse bathypelagic and mesopelagic fish community sustained by the zooplankton production in the epipelagic zone. Such pelagic fish communities are similar to, and probably extensions of, those in adjacent oceanic waters along the European continental margin.   </w:t>
      </w:r>
    </w:p>
    <w:p w14:paraId="217987DC"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Current </w:t>
      </w:r>
      <w:r w:rsidRPr="002E4B39">
        <w:rPr>
          <w:rFonts w:eastAsia="MS Mincho"/>
          <w:sz w:val="22"/>
          <w:szCs w:val="22"/>
          <w:lang w:val="en-US"/>
        </w:rPr>
        <w:t>fisheries</w:t>
      </w:r>
      <w:r w:rsidRPr="009978E3">
        <w:rPr>
          <w:rFonts w:eastAsia="MS Mincho"/>
          <w:sz w:val="22"/>
          <w:szCs w:val="22"/>
        </w:rPr>
        <w:t xml:space="preserve"> control measures on the Hatton and Rockall Banks have focused mainly on the protection of corals (Hall-Spencer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and sponges (ICES 2013). </w:t>
      </w:r>
    </w:p>
    <w:p w14:paraId="7D1CADDC" w14:textId="77777777" w:rsidR="006B3F46" w:rsidRPr="009978E3" w:rsidRDefault="006B3F46" w:rsidP="00907941">
      <w:pPr>
        <w:jc w:val="both"/>
        <w:rPr>
          <w:rFonts w:eastAsia="MS Mincho"/>
          <w:sz w:val="22"/>
          <w:szCs w:val="22"/>
          <w:lang w:val="en-US"/>
        </w:rPr>
      </w:pPr>
      <w:r w:rsidRPr="009978E3">
        <w:rPr>
          <w:rFonts w:eastAsia="MS Mincho"/>
          <w:b/>
          <w:sz w:val="22"/>
          <w:szCs w:val="22"/>
          <w:lang w:val="en-US"/>
        </w:rPr>
        <w:t>Location</w:t>
      </w:r>
    </w:p>
    <w:p w14:paraId="5046CFC6" w14:textId="77777777" w:rsidR="006B3F46" w:rsidRPr="009978E3" w:rsidRDefault="006B3F46" w:rsidP="002E4B39">
      <w:pPr>
        <w:suppressLineNumbers/>
        <w:spacing w:after="120"/>
        <w:jc w:val="both"/>
        <w:rPr>
          <w:rFonts w:eastAsia="MS Mincho"/>
          <w:b/>
          <w:sz w:val="22"/>
          <w:szCs w:val="22"/>
          <w:lang w:val="en-US"/>
        </w:rPr>
      </w:pPr>
      <w:r w:rsidRPr="009978E3">
        <w:rPr>
          <w:rFonts w:eastAsia="MS Mincho"/>
          <w:sz w:val="22"/>
          <w:szCs w:val="22"/>
        </w:rPr>
        <w:t>The area is situated in the North-East Atlantic approximately 400-500km west-northwest of the U</w:t>
      </w:r>
      <w:r>
        <w:rPr>
          <w:rFonts w:eastAsia="MS Mincho"/>
          <w:sz w:val="22"/>
          <w:szCs w:val="22"/>
        </w:rPr>
        <w:t xml:space="preserve">nited Kingdom of Great Britain and </w:t>
      </w:r>
      <w:r w:rsidRPr="009978E3">
        <w:rPr>
          <w:rFonts w:eastAsia="MS Mincho"/>
          <w:sz w:val="22"/>
          <w:szCs w:val="22"/>
        </w:rPr>
        <w:t>Ireland and 400-500km south-southeast of Iceland. It comprises the seabed and pelagic zones shallower than 3000m overlying the Rockall and Hatton Banks</w:t>
      </w:r>
      <w:r>
        <w:rPr>
          <w:rFonts w:eastAsia="MS Mincho"/>
          <w:sz w:val="22"/>
          <w:szCs w:val="22"/>
        </w:rPr>
        <w:t>,</w:t>
      </w:r>
      <w:r w:rsidRPr="009978E3">
        <w:rPr>
          <w:rFonts w:eastAsia="MS Mincho"/>
          <w:sz w:val="22"/>
          <w:szCs w:val="22"/>
        </w:rPr>
        <w:t xml:space="preserve"> together with the Rockall-Hatton Basin between them. The 3000m contour has been selected as delineating the boundary of this feature because: 1) it marks the accepted boundary between the bathyal and abyssal environments, 2) review of oceanographic data suggests the 3000m contour corresponds well with oceanographic influence of the feature and thus its likely influence on pelagic communities and 3) new bird and mammal data suggest species use the pelagic areas just off the bank</w:t>
      </w:r>
      <w:r>
        <w:rPr>
          <w:rFonts w:eastAsia="MS Mincho"/>
          <w:sz w:val="22"/>
          <w:szCs w:val="22"/>
        </w:rPr>
        <w:t>, which are</w:t>
      </w:r>
      <w:r w:rsidRPr="009978E3">
        <w:rPr>
          <w:rFonts w:eastAsia="MS Mincho"/>
          <w:sz w:val="22"/>
          <w:szCs w:val="22"/>
        </w:rPr>
        <w:t xml:space="preserve"> </w:t>
      </w:r>
      <w:r w:rsidRPr="002E4B39">
        <w:rPr>
          <w:rFonts w:eastAsia="MS Mincho"/>
          <w:sz w:val="22"/>
          <w:szCs w:val="22"/>
          <w:lang w:val="en-US"/>
        </w:rPr>
        <w:t>captured</w:t>
      </w:r>
      <w:r w:rsidRPr="009978E3">
        <w:rPr>
          <w:rFonts w:eastAsia="MS Mincho"/>
          <w:sz w:val="22"/>
          <w:szCs w:val="22"/>
        </w:rPr>
        <w:t xml:space="preserve"> by the boundary</w:t>
      </w:r>
      <w:r>
        <w:rPr>
          <w:rFonts w:eastAsia="MS Mincho"/>
          <w:sz w:val="22"/>
          <w:szCs w:val="22"/>
        </w:rPr>
        <w:t xml:space="preserve"> of this area</w:t>
      </w:r>
      <w:r w:rsidRPr="009978E3">
        <w:rPr>
          <w:rFonts w:eastAsia="MS Mincho"/>
          <w:sz w:val="22"/>
          <w:szCs w:val="22"/>
        </w:rPr>
        <w:t xml:space="preserve">.  </w:t>
      </w:r>
    </w:p>
    <w:p w14:paraId="0BC2CCD7"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description of the area</w:t>
      </w:r>
    </w:p>
    <w:p w14:paraId="4B391777"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The area covers benthic and pelagic faunal communities extending down to depths of 3000 m in and around the Hatton and Rockall Banks and Hatton-Rockall Basin. Seabed communities captured within the area include cold-water coral formations, sponge aggregations and potential seep communities (Oliver and Drewery, 2014; Neat </w:t>
      </w:r>
      <w:r w:rsidRPr="0006066A">
        <w:rPr>
          <w:rFonts w:eastAsia="MS Mincho"/>
          <w:i/>
          <w:sz w:val="22"/>
          <w:szCs w:val="22"/>
        </w:rPr>
        <w:t>et al</w:t>
      </w:r>
      <w:r w:rsidRPr="009978E3">
        <w:rPr>
          <w:rFonts w:eastAsia="MS Mincho"/>
          <w:sz w:val="22"/>
          <w:szCs w:val="22"/>
        </w:rPr>
        <w:t>., 2018). Geomorphologically complex seabed types include rocky reefs, carbonate mounds, polygonal fault systems and sedimentary slopes, slides and fans. Diverse pelagic communities inhabiting the area include those occupying bathy-, meso- and epipelagic zones, such as zooplankton, free-swimming cnidaria, elasmobranchs, teleost fish, squid, seabirds, cetaceans, and occasionally sea turtles.</w:t>
      </w:r>
    </w:p>
    <w:p w14:paraId="63AF32AE" w14:textId="77777777" w:rsidR="006B3F46" w:rsidRPr="009978E3" w:rsidRDefault="006B3F46" w:rsidP="00907941">
      <w:pPr>
        <w:jc w:val="both"/>
        <w:rPr>
          <w:rFonts w:eastAsia="MS Mincho"/>
          <w:b/>
          <w:sz w:val="22"/>
          <w:szCs w:val="22"/>
        </w:rPr>
      </w:pPr>
      <w:r w:rsidRPr="009978E3">
        <w:rPr>
          <w:rFonts w:eastAsia="MS Mincho"/>
          <w:b/>
          <w:sz w:val="22"/>
          <w:szCs w:val="22"/>
        </w:rPr>
        <w:t>1.  Benthic and benthopelagic communities</w:t>
      </w:r>
    </w:p>
    <w:p w14:paraId="5338347F" w14:textId="77777777" w:rsidR="006B3F46" w:rsidRPr="009978E3" w:rsidRDefault="006B3F46" w:rsidP="00907941">
      <w:pPr>
        <w:jc w:val="both"/>
        <w:rPr>
          <w:rFonts w:eastAsia="MS Mincho"/>
          <w:b/>
          <w:bCs/>
          <w:i/>
          <w:sz w:val="22"/>
          <w:szCs w:val="22"/>
        </w:rPr>
      </w:pPr>
    </w:p>
    <w:p w14:paraId="2E42CC92" w14:textId="77777777" w:rsidR="006B3F46" w:rsidRPr="009978E3" w:rsidRDefault="006B3F46" w:rsidP="00907941">
      <w:pPr>
        <w:jc w:val="both"/>
        <w:rPr>
          <w:rFonts w:eastAsia="MS Mincho"/>
          <w:b/>
          <w:bCs/>
          <w:i/>
          <w:sz w:val="22"/>
          <w:szCs w:val="22"/>
        </w:rPr>
      </w:pPr>
      <w:r w:rsidRPr="009978E3">
        <w:rPr>
          <w:rFonts w:eastAsia="MS Mincho"/>
          <w:b/>
          <w:bCs/>
          <w:i/>
          <w:sz w:val="22"/>
          <w:szCs w:val="22"/>
        </w:rPr>
        <w:t xml:space="preserve">1a. Cold-water corals </w:t>
      </w:r>
    </w:p>
    <w:p w14:paraId="7425F68A"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Observations in the early 1970s </w:t>
      </w:r>
      <w:r w:rsidRPr="002E4B39">
        <w:rPr>
          <w:rFonts w:eastAsia="MS Mincho"/>
          <w:sz w:val="22"/>
          <w:szCs w:val="22"/>
          <w:lang w:val="en-US"/>
        </w:rPr>
        <w:t>found</w:t>
      </w:r>
      <w:r w:rsidRPr="009978E3">
        <w:rPr>
          <w:rFonts w:eastAsia="MS Mincho"/>
          <w:sz w:val="22"/>
          <w:szCs w:val="22"/>
        </w:rPr>
        <w:t xml:space="preserve"> cold-water coral communities on the Rockall Bank down to a depth of 1,000 m (Wilson, 1979a). Thickets of </w:t>
      </w:r>
      <w:r w:rsidRPr="009978E3">
        <w:rPr>
          <w:rFonts w:eastAsia="MS Mincho"/>
          <w:i/>
          <w:iCs/>
          <w:sz w:val="22"/>
          <w:szCs w:val="22"/>
        </w:rPr>
        <w:t xml:space="preserve">Lophelia pertusa </w:t>
      </w:r>
      <w:r w:rsidRPr="009978E3">
        <w:rPr>
          <w:rFonts w:eastAsia="MS Mincho"/>
          <w:iCs/>
          <w:sz w:val="22"/>
          <w:szCs w:val="22"/>
        </w:rPr>
        <w:t>occurred</w:t>
      </w:r>
      <w:r w:rsidRPr="009978E3">
        <w:rPr>
          <w:rFonts w:eastAsia="MS Mincho"/>
          <w:i/>
          <w:iCs/>
          <w:sz w:val="22"/>
          <w:szCs w:val="22"/>
        </w:rPr>
        <w:t xml:space="preserve"> </w:t>
      </w:r>
      <w:r w:rsidRPr="009978E3">
        <w:rPr>
          <w:rFonts w:eastAsia="MS Mincho"/>
          <w:sz w:val="22"/>
          <w:szCs w:val="22"/>
        </w:rPr>
        <w:t>principally at depths between 150-400m</w:t>
      </w:r>
      <w:r w:rsidRPr="00F66EF7">
        <w:rPr>
          <w:rFonts w:eastAsia="MS Mincho"/>
          <w:sz w:val="22"/>
          <w:szCs w:val="22"/>
          <w:vertAlign w:val="superscript"/>
        </w:rPr>
        <w:footnoteReference w:id="20"/>
      </w:r>
      <w:r w:rsidRPr="00F66EF7">
        <w:rPr>
          <w:rFonts w:eastAsia="MS Mincho"/>
          <w:sz w:val="22"/>
          <w:szCs w:val="22"/>
        </w:rPr>
        <w:t xml:space="preserve">. Large coral growth features have recently (2011) been discovered to be still present on the northern Rockall Bank (Howell </w:t>
      </w:r>
      <w:r w:rsidRPr="0006066A">
        <w:rPr>
          <w:rFonts w:eastAsia="MS Mincho"/>
          <w:i/>
          <w:sz w:val="22"/>
          <w:szCs w:val="22"/>
        </w:rPr>
        <w:t>et al</w:t>
      </w:r>
      <w:r w:rsidRPr="00F66EF7">
        <w:rPr>
          <w:rFonts w:eastAsia="MS Mincho"/>
          <w:sz w:val="22"/>
          <w:szCs w:val="22"/>
        </w:rPr>
        <w:t xml:space="preserve">., 2009; Huvenne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2013). Bottom-contact fishing can result in significant adverse impacts to these habitats.</w:t>
      </w:r>
    </w:p>
    <w:p w14:paraId="36098E46"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Frederiksen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(1992) reported a high diversity of corals on the northern Hatton Bank, including </w:t>
      </w:r>
      <w:r w:rsidRPr="009978E3">
        <w:rPr>
          <w:rFonts w:eastAsia="MS Mincho"/>
          <w:i/>
          <w:iCs/>
          <w:sz w:val="22"/>
          <w:szCs w:val="22"/>
        </w:rPr>
        <w:t>Paragorgia</w:t>
      </w:r>
      <w:r w:rsidRPr="009978E3">
        <w:rPr>
          <w:rFonts w:eastAsia="MS Mincho"/>
          <w:sz w:val="22"/>
          <w:szCs w:val="22"/>
        </w:rPr>
        <w:t xml:space="preserve">, </w:t>
      </w:r>
      <w:r w:rsidRPr="009978E3">
        <w:rPr>
          <w:rFonts w:eastAsia="MS Mincho"/>
          <w:i/>
          <w:iCs/>
          <w:sz w:val="22"/>
          <w:szCs w:val="22"/>
        </w:rPr>
        <w:t>Paramuricea</w:t>
      </w:r>
      <w:r w:rsidRPr="009978E3">
        <w:rPr>
          <w:rFonts w:eastAsia="MS Mincho"/>
          <w:sz w:val="22"/>
          <w:szCs w:val="22"/>
        </w:rPr>
        <w:t xml:space="preserve">, Isididae and Antipatharia as well as the scleractinians </w:t>
      </w:r>
      <w:r w:rsidRPr="009978E3">
        <w:rPr>
          <w:rFonts w:eastAsia="MS Mincho"/>
          <w:i/>
          <w:iCs/>
          <w:sz w:val="22"/>
          <w:szCs w:val="22"/>
        </w:rPr>
        <w:t>L. pertus</w:t>
      </w:r>
      <w:r w:rsidRPr="009978E3">
        <w:rPr>
          <w:rFonts w:eastAsia="MS Mincho"/>
          <w:sz w:val="22"/>
          <w:szCs w:val="22"/>
        </w:rPr>
        <w:t xml:space="preserve">a and </w:t>
      </w:r>
      <w:r w:rsidRPr="009978E3">
        <w:rPr>
          <w:rFonts w:eastAsia="MS Mincho"/>
          <w:i/>
          <w:iCs/>
          <w:sz w:val="22"/>
          <w:szCs w:val="22"/>
        </w:rPr>
        <w:t>M.</w:t>
      </w:r>
      <w:r w:rsidRPr="009978E3">
        <w:rPr>
          <w:rFonts w:eastAsia="MS Mincho"/>
          <w:sz w:val="22"/>
          <w:szCs w:val="22"/>
        </w:rPr>
        <w:t xml:space="preserve"> </w:t>
      </w:r>
      <w:r w:rsidRPr="009978E3">
        <w:rPr>
          <w:rFonts w:eastAsia="MS Mincho"/>
          <w:i/>
          <w:iCs/>
          <w:sz w:val="22"/>
          <w:szCs w:val="22"/>
        </w:rPr>
        <w:t>oculata</w:t>
      </w:r>
      <w:r w:rsidRPr="009978E3">
        <w:rPr>
          <w:rFonts w:eastAsia="MS Mincho"/>
          <w:sz w:val="22"/>
          <w:szCs w:val="22"/>
        </w:rPr>
        <w:t xml:space="preserve">. Since these observations further records of coral gardens (Bullimore </w:t>
      </w:r>
      <w:r w:rsidRPr="0006066A">
        <w:rPr>
          <w:rFonts w:eastAsia="MS Mincho"/>
          <w:i/>
          <w:sz w:val="22"/>
          <w:szCs w:val="22"/>
        </w:rPr>
        <w:t>et al</w:t>
      </w:r>
      <w:r w:rsidRPr="009978E3">
        <w:rPr>
          <w:rFonts w:eastAsia="MS Mincho"/>
          <w:sz w:val="22"/>
          <w:szCs w:val="22"/>
        </w:rPr>
        <w:t xml:space="preserve">., 2013) and coral frameworks have been noted throughout the Rockall and Hatton area, including the Logachev Mounds and the Western Rockall Bank Mounds (Kenyon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2003; Roberts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2003; Narayanaswamy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2006;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2007; Durán Muñoz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Piechaud </w:t>
      </w:r>
      <w:r w:rsidRPr="0006066A">
        <w:rPr>
          <w:rFonts w:eastAsia="MS Mincho"/>
          <w:i/>
          <w:sz w:val="22"/>
          <w:szCs w:val="22"/>
        </w:rPr>
        <w:t>et al</w:t>
      </w:r>
      <w:r w:rsidRPr="009978E3">
        <w:rPr>
          <w:rFonts w:eastAsia="MS Mincho"/>
          <w:sz w:val="22"/>
          <w:szCs w:val="22"/>
        </w:rPr>
        <w:t xml:space="preserve">., 2015). </w:t>
      </w:r>
    </w:p>
    <w:p w14:paraId="533A6B1F"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Recent </w:t>
      </w:r>
      <w:r w:rsidRPr="002E4B39">
        <w:rPr>
          <w:rFonts w:eastAsia="MS Mincho"/>
          <w:sz w:val="22"/>
          <w:szCs w:val="22"/>
          <w:lang w:val="en-US"/>
        </w:rPr>
        <w:t>surveys</w:t>
      </w:r>
      <w:r w:rsidRPr="009978E3">
        <w:rPr>
          <w:rFonts w:eastAsia="MS Mincho"/>
          <w:sz w:val="22"/>
          <w:szCs w:val="22"/>
        </w:rPr>
        <w:t xml:space="preserve"> identified many areas that contained the cold-water coral </w:t>
      </w:r>
      <w:r w:rsidRPr="009978E3">
        <w:rPr>
          <w:rFonts w:eastAsia="MS Mincho"/>
          <w:i/>
          <w:iCs/>
          <w:sz w:val="22"/>
          <w:szCs w:val="22"/>
        </w:rPr>
        <w:t xml:space="preserve">L. pertusa </w:t>
      </w:r>
      <w:r w:rsidRPr="009978E3">
        <w:rPr>
          <w:rFonts w:eastAsia="MS Mincho"/>
          <w:sz w:val="22"/>
          <w:szCs w:val="22"/>
        </w:rPr>
        <w:t xml:space="preserve">throughout the Rockall and Hatton Banks (Narayanaswamy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2006; Howell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2007;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Durán Muñoz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Several areas on the Hatton Bank contained pinnacles and mounds with extensive biogenic structures including areas of coral rubble around the flanks of the coral mounds. Coral frameworks are known from the Hatton Bank (Durán Muñoz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and are predicted to occur over a wider region of both Hatton and Rockall Banks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Ross and Howell, 2013; Ross </w:t>
      </w:r>
      <w:r w:rsidRPr="0006066A">
        <w:rPr>
          <w:rFonts w:eastAsia="MS Mincho"/>
          <w:i/>
          <w:sz w:val="22"/>
          <w:szCs w:val="22"/>
        </w:rPr>
        <w:t>et al</w:t>
      </w:r>
      <w:r w:rsidRPr="009978E3">
        <w:rPr>
          <w:rFonts w:eastAsia="MS Mincho"/>
          <w:sz w:val="22"/>
          <w:szCs w:val="22"/>
        </w:rPr>
        <w:t xml:space="preserve">. 2015). Geophysical evidence suggests that these have formed by successive coral growth and sedimentation episodes, as in other regions (Roberts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2006), forming coral carbonate mounds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Single and clustered coral carbonate mounds have also been discovered on the southeast of Rockall Bank. These structures are comprised mostly of </w:t>
      </w:r>
      <w:r w:rsidRPr="009978E3">
        <w:rPr>
          <w:rFonts w:eastAsia="MS Mincho"/>
          <w:i/>
          <w:iCs/>
          <w:sz w:val="22"/>
          <w:szCs w:val="22"/>
        </w:rPr>
        <w:t xml:space="preserve">L. pertusa </w:t>
      </w:r>
      <w:r w:rsidRPr="009978E3">
        <w:rPr>
          <w:rFonts w:eastAsia="MS Mincho"/>
          <w:sz w:val="22"/>
          <w:szCs w:val="22"/>
        </w:rPr>
        <w:t>and can reach heights of 380 m in water depths of between 600-1000 m (</w:t>
      </w:r>
      <w:r w:rsidRPr="002E4B39">
        <w:rPr>
          <w:rFonts w:eastAsia="MS Mincho"/>
          <w:sz w:val="22"/>
          <w:szCs w:val="22"/>
          <w:lang w:val="en-US"/>
        </w:rPr>
        <w:t>Kenyon</w:t>
      </w:r>
      <w:r w:rsidRPr="009978E3">
        <w:rPr>
          <w:rFonts w:eastAsia="MS Mincho"/>
          <w:sz w:val="22"/>
          <w:szCs w:val="22"/>
        </w:rPr>
        <w:t xml:space="preserve">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2003; Mienis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2006; Mienis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2007). </w:t>
      </w:r>
    </w:p>
    <w:p w14:paraId="6BB290F4" w14:textId="51008180" w:rsidR="006B3F46" w:rsidRPr="009978E3" w:rsidRDefault="006B3F46" w:rsidP="002E4B39">
      <w:pPr>
        <w:suppressLineNumbers/>
        <w:spacing w:after="120"/>
        <w:jc w:val="both"/>
        <w:rPr>
          <w:rFonts w:eastAsia="MS Mincho"/>
          <w:sz w:val="22"/>
          <w:szCs w:val="22"/>
        </w:rPr>
      </w:pPr>
      <w:r w:rsidRPr="002E4B39">
        <w:rPr>
          <w:rFonts w:eastAsia="MS Mincho"/>
          <w:sz w:val="22"/>
          <w:szCs w:val="22"/>
          <w:lang w:val="en-US"/>
        </w:rPr>
        <w:t>Scleractinian</w:t>
      </w:r>
      <w:r w:rsidRPr="009978E3">
        <w:rPr>
          <w:rFonts w:eastAsia="MS Mincho"/>
          <w:sz w:val="22"/>
          <w:szCs w:val="22"/>
        </w:rPr>
        <w:t xml:space="preserve"> cold-water coral frameworks have been reported to support over 1,300 species in the Northeast Atlantic, some of which have yet to be described (Roberts </w:t>
      </w:r>
      <w:r w:rsidRPr="0006066A">
        <w:rPr>
          <w:rFonts w:eastAsia="MS Mincho"/>
          <w:i/>
          <w:iCs/>
          <w:sz w:val="22"/>
          <w:szCs w:val="22"/>
        </w:rPr>
        <w:t>et al</w:t>
      </w:r>
      <w:r w:rsidRPr="009978E3">
        <w:rPr>
          <w:rFonts w:eastAsia="MS Mincho"/>
          <w:i/>
          <w:iCs/>
          <w:sz w:val="22"/>
          <w:szCs w:val="22"/>
        </w:rPr>
        <w:t>.,</w:t>
      </w:r>
      <w:r w:rsidRPr="009978E3">
        <w:rPr>
          <w:rFonts w:eastAsia="MS Mincho"/>
          <w:sz w:val="22"/>
          <w:szCs w:val="22"/>
        </w:rPr>
        <w:t xml:space="preserve"> 2006). New species and associations have been reported recently (</w:t>
      </w:r>
      <w:r>
        <w:rPr>
          <w:rFonts w:eastAsia="MS Mincho"/>
          <w:sz w:val="22"/>
          <w:szCs w:val="22"/>
        </w:rPr>
        <w:t>e.g.,</w:t>
      </w:r>
      <w:r w:rsidRPr="009978E3">
        <w:rPr>
          <w:rFonts w:eastAsia="MS Mincho"/>
          <w:sz w:val="22"/>
          <w:szCs w:val="22"/>
        </w:rPr>
        <w:t xml:space="preserve"> Myers &amp; Hall-Spencer 2007; Le Guilloux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Söffker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The corals may provide an important habitat for certain fish species (Fosså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2002; Söffker </w:t>
      </w:r>
      <w:r w:rsidRPr="0006066A">
        <w:rPr>
          <w:rFonts w:eastAsia="MS Mincho"/>
          <w:i/>
          <w:sz w:val="22"/>
          <w:szCs w:val="22"/>
        </w:rPr>
        <w:t>et al</w:t>
      </w:r>
      <w:r w:rsidRPr="009978E3">
        <w:rPr>
          <w:rFonts w:eastAsia="MS Mincho"/>
          <w:i/>
          <w:sz w:val="22"/>
          <w:szCs w:val="22"/>
        </w:rPr>
        <w:t>.</w:t>
      </w:r>
      <w:r>
        <w:rPr>
          <w:rFonts w:eastAsia="MS Mincho"/>
          <w:i/>
          <w:sz w:val="22"/>
          <w:szCs w:val="22"/>
        </w:rPr>
        <w:t>,</w:t>
      </w:r>
      <w:r w:rsidRPr="009978E3">
        <w:rPr>
          <w:rFonts w:eastAsia="MS Mincho"/>
          <w:sz w:val="22"/>
          <w:szCs w:val="22"/>
        </w:rPr>
        <w:t xml:space="preserve"> 2011; Henry </w:t>
      </w:r>
      <w:r w:rsidRPr="0006066A">
        <w:rPr>
          <w:rFonts w:eastAsia="MS Mincho"/>
          <w:i/>
          <w:sz w:val="22"/>
          <w:szCs w:val="22"/>
        </w:rPr>
        <w:t>et al</w:t>
      </w:r>
      <w:r>
        <w:rPr>
          <w:rFonts w:eastAsia="MS Mincho"/>
          <w:i/>
          <w:sz w:val="22"/>
          <w:szCs w:val="22"/>
        </w:rPr>
        <w:t>.,</w:t>
      </w:r>
      <w:r w:rsidRPr="009978E3">
        <w:rPr>
          <w:rFonts w:eastAsia="MS Mincho"/>
          <w:sz w:val="22"/>
          <w:szCs w:val="22"/>
        </w:rPr>
        <w:t xml:space="preserve"> 2013), including commercial species </w:t>
      </w:r>
      <w:r w:rsidRPr="009978E3">
        <w:rPr>
          <w:rFonts w:eastAsia="MS Mincho"/>
          <w:i/>
          <w:sz w:val="22"/>
          <w:szCs w:val="22"/>
        </w:rPr>
        <w:t>Sebastes</w:t>
      </w:r>
      <w:r w:rsidRPr="009978E3">
        <w:rPr>
          <w:rFonts w:eastAsia="MS Mincho"/>
          <w:sz w:val="22"/>
          <w:szCs w:val="22"/>
        </w:rPr>
        <w:t xml:space="preserve"> sp., </w:t>
      </w:r>
      <w:r w:rsidRPr="009978E3">
        <w:rPr>
          <w:rFonts w:eastAsia="MS Mincho"/>
          <w:i/>
          <w:sz w:val="22"/>
          <w:szCs w:val="22"/>
        </w:rPr>
        <w:t>Molva molva</w:t>
      </w:r>
      <w:r w:rsidRPr="009978E3">
        <w:rPr>
          <w:rFonts w:eastAsia="MS Mincho"/>
          <w:sz w:val="22"/>
          <w:szCs w:val="22"/>
        </w:rPr>
        <w:t xml:space="preserve">, </w:t>
      </w:r>
      <w:r w:rsidRPr="009978E3">
        <w:rPr>
          <w:rFonts w:eastAsia="MS Mincho"/>
          <w:i/>
          <w:sz w:val="22"/>
          <w:szCs w:val="22"/>
        </w:rPr>
        <w:t>Brosme brosme</w:t>
      </w:r>
      <w:r w:rsidRPr="009978E3">
        <w:rPr>
          <w:rFonts w:eastAsia="MS Mincho"/>
          <w:sz w:val="22"/>
          <w:szCs w:val="22"/>
        </w:rPr>
        <w:t xml:space="preserve">, </w:t>
      </w:r>
      <w:r w:rsidRPr="009978E3">
        <w:rPr>
          <w:rFonts w:eastAsia="MS Mincho"/>
          <w:i/>
          <w:sz w:val="22"/>
          <w:szCs w:val="22"/>
        </w:rPr>
        <w:t>Anarhichas lupus</w:t>
      </w:r>
      <w:r w:rsidRPr="009978E3">
        <w:rPr>
          <w:rFonts w:eastAsia="MS Mincho"/>
          <w:sz w:val="22"/>
          <w:szCs w:val="22"/>
        </w:rPr>
        <w:t xml:space="preserve"> and </w:t>
      </w:r>
      <w:r w:rsidRPr="009978E3">
        <w:rPr>
          <w:rFonts w:eastAsia="MS Mincho"/>
          <w:i/>
          <w:sz w:val="22"/>
          <w:szCs w:val="22"/>
        </w:rPr>
        <w:t>Pollachius virens</w:t>
      </w:r>
      <w:r w:rsidRPr="009978E3">
        <w:rPr>
          <w:rFonts w:eastAsia="MS Mincho"/>
          <w:sz w:val="22"/>
          <w:szCs w:val="22"/>
        </w:rPr>
        <w:t xml:space="preserve"> (Mortensen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1995; Freiwald, 2002; Hall-Spencer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2002). Pregnant </w:t>
      </w:r>
      <w:r w:rsidRPr="009978E3">
        <w:rPr>
          <w:rFonts w:eastAsia="MS Mincho"/>
          <w:i/>
          <w:sz w:val="22"/>
          <w:szCs w:val="22"/>
        </w:rPr>
        <w:t>Sebastes viviparus</w:t>
      </w:r>
      <w:r w:rsidRPr="009978E3">
        <w:rPr>
          <w:rFonts w:eastAsia="MS Mincho"/>
          <w:sz w:val="22"/>
          <w:szCs w:val="22"/>
        </w:rPr>
        <w:t xml:space="preserve"> may use the reef as a refuge or as a nursery ground to raise their offspring (Fosså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2002) as recently observed on the northern Rockall Bank (Huvenne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2013). As well as living reefs, dead coral framework and coral rubble provide a structural habitat. Jensen and Frederiksen (1992) collected </w:t>
      </w:r>
      <w:r w:rsidRPr="009978E3">
        <w:rPr>
          <w:rFonts w:eastAsia="MS Mincho"/>
          <w:i/>
          <w:sz w:val="22"/>
          <w:szCs w:val="22"/>
        </w:rPr>
        <w:t>Lophelia</w:t>
      </w:r>
      <w:r w:rsidRPr="009978E3">
        <w:rPr>
          <w:rFonts w:eastAsia="MS Mincho"/>
          <w:sz w:val="22"/>
          <w:szCs w:val="22"/>
        </w:rPr>
        <w:t xml:space="preserve"> and found 256 species; a further 42 species were identified among coral rubble. Recent work has highlighted the significance and local abundance of long-lived non-scleractian coral on and around coral carbonate mounds (De Clippele </w:t>
      </w:r>
      <w:r w:rsidRPr="0006066A">
        <w:rPr>
          <w:rFonts w:eastAsia="MS Mincho"/>
          <w:i/>
          <w:sz w:val="22"/>
          <w:szCs w:val="22"/>
        </w:rPr>
        <w:t>et al</w:t>
      </w:r>
      <w:r w:rsidRPr="009978E3">
        <w:rPr>
          <w:rFonts w:eastAsia="MS Mincho"/>
          <w:sz w:val="22"/>
          <w:szCs w:val="22"/>
        </w:rPr>
        <w:t xml:space="preserve">. 2019). Cold water corals can be highly vulnerable as a result of their slow growth rates and longevity (Brendan Roark </w:t>
      </w:r>
      <w:r w:rsidRPr="0006066A">
        <w:rPr>
          <w:rFonts w:eastAsia="MS Mincho"/>
          <w:i/>
          <w:sz w:val="22"/>
          <w:szCs w:val="22"/>
        </w:rPr>
        <w:t>et al</w:t>
      </w:r>
      <w:r w:rsidRPr="009978E3">
        <w:rPr>
          <w:rFonts w:eastAsia="MS Mincho"/>
          <w:sz w:val="22"/>
          <w:szCs w:val="22"/>
        </w:rPr>
        <w:t xml:space="preserve">., 2006; Carreiro-Silva </w:t>
      </w:r>
      <w:r w:rsidRPr="0006066A">
        <w:rPr>
          <w:rFonts w:eastAsia="MS Mincho"/>
          <w:i/>
          <w:sz w:val="22"/>
          <w:szCs w:val="22"/>
        </w:rPr>
        <w:t>et al</w:t>
      </w:r>
      <w:r w:rsidRPr="009978E3">
        <w:rPr>
          <w:rFonts w:eastAsia="MS Mincho"/>
          <w:sz w:val="22"/>
          <w:szCs w:val="22"/>
        </w:rPr>
        <w:t>., 2013).</w:t>
      </w:r>
    </w:p>
    <w:p w14:paraId="3C6FBED3" w14:textId="6D139D59"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As </w:t>
      </w:r>
      <w:r w:rsidRPr="002E4B39">
        <w:rPr>
          <w:rFonts w:eastAsia="MS Mincho"/>
          <w:sz w:val="22"/>
          <w:szCs w:val="22"/>
          <w:lang w:val="en-US"/>
        </w:rPr>
        <w:t>well</w:t>
      </w:r>
      <w:r w:rsidRPr="009978E3">
        <w:rPr>
          <w:rFonts w:eastAsia="MS Mincho"/>
          <w:sz w:val="22"/>
          <w:szCs w:val="22"/>
        </w:rPr>
        <w:t xml:space="preserve"> as being highly diverse systems, cold water coral reefs are also highly productive regions. Recent research has shown that the Logachev mound province at Rockall Bank is a hotspot for reminerali</w:t>
      </w:r>
      <w:r w:rsidR="00653B1C">
        <w:rPr>
          <w:rFonts w:eastAsia="MS Mincho"/>
          <w:sz w:val="22"/>
          <w:szCs w:val="22"/>
        </w:rPr>
        <w:t>z</w:t>
      </w:r>
      <w:r w:rsidRPr="009978E3">
        <w:rPr>
          <w:rFonts w:eastAsia="MS Mincho"/>
          <w:sz w:val="22"/>
          <w:szCs w:val="22"/>
        </w:rPr>
        <w:t>ation of organic matter and specifically for deep water carbon and nitrogen cycling (ATALS deliverable 2.3). Benthic respiration rates in the vicinity of the cold</w:t>
      </w:r>
      <w:r>
        <w:rPr>
          <w:rFonts w:eastAsia="MS Mincho"/>
          <w:sz w:val="22"/>
          <w:szCs w:val="22"/>
        </w:rPr>
        <w:t>-</w:t>
      </w:r>
      <w:r w:rsidRPr="009978E3">
        <w:rPr>
          <w:rFonts w:eastAsia="MS Mincho"/>
          <w:sz w:val="22"/>
          <w:szCs w:val="22"/>
        </w:rPr>
        <w:t>water corals were ~</w:t>
      </w:r>
      <w:r>
        <w:rPr>
          <w:rFonts w:eastAsia="MS Mincho"/>
          <w:sz w:val="22"/>
          <w:szCs w:val="22"/>
        </w:rPr>
        <w:t>five</w:t>
      </w:r>
      <w:r w:rsidRPr="009978E3">
        <w:rPr>
          <w:rFonts w:eastAsia="MS Mincho"/>
          <w:sz w:val="22"/>
          <w:szCs w:val="22"/>
        </w:rPr>
        <w:t xml:space="preserve"> times higher than those of sediments at comparable depths, aligning with published studies from cold-water coral habitats from continental shelf settings off Scotland and Norway (Catholot </w:t>
      </w:r>
      <w:r w:rsidRPr="0006066A">
        <w:rPr>
          <w:rFonts w:eastAsia="MS Mincho"/>
          <w:i/>
          <w:sz w:val="22"/>
          <w:szCs w:val="22"/>
        </w:rPr>
        <w:t>et al</w:t>
      </w:r>
      <w:r w:rsidRPr="009978E3">
        <w:rPr>
          <w:rFonts w:eastAsia="MS Mincho"/>
          <w:sz w:val="22"/>
          <w:szCs w:val="22"/>
        </w:rPr>
        <w:t xml:space="preserve">. 2015, Rovelli </w:t>
      </w:r>
      <w:r w:rsidRPr="0006066A">
        <w:rPr>
          <w:rFonts w:eastAsia="MS Mincho"/>
          <w:i/>
          <w:sz w:val="22"/>
          <w:szCs w:val="22"/>
        </w:rPr>
        <w:t>et al</w:t>
      </w:r>
      <w:r w:rsidRPr="009978E3">
        <w:rPr>
          <w:rFonts w:eastAsia="MS Mincho"/>
          <w:sz w:val="22"/>
          <w:szCs w:val="22"/>
        </w:rPr>
        <w:t>. 2015). The corals are highly effective at trapping laterally and vertically advected particulate organic matter and its subsequent respiration. In addition the mound structures formed by cold-water coral reef growths interact with local oceanography resulting in a topographically-enhanced carbon pump. This pump draws carbon from the surface waters, and focuses organic matter transport onto the reef structure supporting the high minerali</w:t>
      </w:r>
      <w:r w:rsidR="00653B1C">
        <w:rPr>
          <w:rFonts w:eastAsia="MS Mincho"/>
          <w:sz w:val="22"/>
          <w:szCs w:val="22"/>
        </w:rPr>
        <w:t>z</w:t>
      </w:r>
      <w:r w:rsidRPr="009978E3">
        <w:rPr>
          <w:rFonts w:eastAsia="MS Mincho"/>
          <w:sz w:val="22"/>
          <w:szCs w:val="22"/>
        </w:rPr>
        <w:t xml:space="preserve">ation rates and affecting the surrounding ecosystem (Soetaert </w:t>
      </w:r>
      <w:r w:rsidRPr="0006066A">
        <w:rPr>
          <w:rFonts w:eastAsia="MS Mincho"/>
          <w:i/>
          <w:sz w:val="22"/>
          <w:szCs w:val="22"/>
        </w:rPr>
        <w:t>et al</w:t>
      </w:r>
      <w:r w:rsidRPr="009978E3">
        <w:rPr>
          <w:rFonts w:eastAsia="MS Mincho"/>
          <w:sz w:val="22"/>
          <w:szCs w:val="22"/>
        </w:rPr>
        <w:t>., 2016).</w:t>
      </w:r>
    </w:p>
    <w:p w14:paraId="4AF6A3FA" w14:textId="77777777" w:rsidR="006B3F46" w:rsidRPr="009978E3" w:rsidRDefault="006B3F46" w:rsidP="002E4B39">
      <w:pPr>
        <w:suppressLineNumbers/>
        <w:spacing w:after="120"/>
        <w:jc w:val="both"/>
        <w:rPr>
          <w:rFonts w:eastAsia="MS Mincho"/>
          <w:sz w:val="22"/>
          <w:szCs w:val="22"/>
        </w:rPr>
      </w:pPr>
      <w:r w:rsidRPr="002E4B39">
        <w:rPr>
          <w:rFonts w:eastAsia="MS Mincho"/>
          <w:sz w:val="22"/>
          <w:szCs w:val="22"/>
          <w:lang w:val="en-US"/>
        </w:rPr>
        <w:t>There</w:t>
      </w:r>
      <w:r w:rsidRPr="009978E3">
        <w:rPr>
          <w:rFonts w:eastAsia="MS Mincho"/>
          <w:sz w:val="22"/>
          <w:szCs w:val="22"/>
        </w:rPr>
        <w:t xml:space="preserve"> has been only limited research into connectivity between coral and other deep-water ecosystems. Compared to the south-eastern US and Gulf of Mexico, molecular research has shown that northeastern Atlantic populations of </w:t>
      </w:r>
      <w:r w:rsidRPr="009978E3">
        <w:rPr>
          <w:rFonts w:eastAsia="MS Mincho"/>
          <w:i/>
          <w:sz w:val="22"/>
          <w:szCs w:val="22"/>
        </w:rPr>
        <w:t>L. pertusa</w:t>
      </w:r>
      <w:r w:rsidRPr="009978E3">
        <w:rPr>
          <w:rFonts w:eastAsia="MS Mincho"/>
          <w:sz w:val="22"/>
          <w:szCs w:val="22"/>
        </w:rPr>
        <w:t xml:space="preserve"> are moderately differentiated (Morrison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and form distinct subpopulations, but also that Rockall Bank corals show some genetic similarity to those occurring on the New England Seamounts indicating some degree of connectivity (Morrison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w:t>
      </w:r>
      <w:r w:rsidRPr="009978E3">
        <w:rPr>
          <w:rFonts w:eastAsia="MS Mincho"/>
          <w:i/>
          <w:sz w:val="22"/>
          <w:szCs w:val="22"/>
        </w:rPr>
        <w:t>Lophelia pertusa</w:t>
      </w:r>
      <w:r w:rsidRPr="009978E3">
        <w:rPr>
          <w:rFonts w:eastAsia="MS Mincho"/>
          <w:sz w:val="22"/>
          <w:szCs w:val="22"/>
        </w:rPr>
        <w:t xml:space="preserve"> exhibits high levels of inbreeding through asexual reproduction at several sites in the NE Atlantic, suggesting a high incidence of self-recruitment in local populations (Le Goff-Vitry and Rogers, 2005). Further molecular studies are required in local areas to gauge the importance of the Rockall and Hatton Banks in the life history of regional coral populations, however larval dispersal models for the region have suggested that both Hatton and Rockall Banks provides an important larval supply to Rosemary Bank and Anton Dohrn seamounts as well as parts of the European continental slope (Ross </w:t>
      </w:r>
      <w:r w:rsidRPr="0006066A">
        <w:rPr>
          <w:rFonts w:eastAsia="MS Mincho"/>
          <w:i/>
          <w:sz w:val="22"/>
          <w:szCs w:val="22"/>
        </w:rPr>
        <w:t>et al</w:t>
      </w:r>
      <w:r w:rsidRPr="009978E3">
        <w:rPr>
          <w:rFonts w:eastAsia="MS Mincho"/>
          <w:sz w:val="22"/>
          <w:szCs w:val="22"/>
        </w:rPr>
        <w:t xml:space="preserve">., 2017). Such patterns are controlled and modulated by the dominant pattern of interannual atmospheric circulation variability over the northeast Atlantic, the North Atlantic Oscillation. Thus MPA network functioning in this region will vulnerable to atmospheric-driven changes in ocean circulation (Fox </w:t>
      </w:r>
      <w:r w:rsidRPr="0006066A">
        <w:rPr>
          <w:rFonts w:eastAsia="MS Mincho"/>
          <w:i/>
          <w:sz w:val="22"/>
          <w:szCs w:val="22"/>
        </w:rPr>
        <w:t>et al</w:t>
      </w:r>
      <w:r w:rsidRPr="009978E3">
        <w:rPr>
          <w:rFonts w:eastAsia="MS Mincho"/>
          <w:sz w:val="22"/>
          <w:szCs w:val="22"/>
        </w:rPr>
        <w:t>. 2016)</w:t>
      </w:r>
    </w:p>
    <w:p w14:paraId="043025B9" w14:textId="77777777" w:rsidR="006B3F46" w:rsidRPr="009978E3" w:rsidRDefault="006B3F46" w:rsidP="002E4B39">
      <w:pPr>
        <w:suppressLineNumbers/>
        <w:spacing w:after="120"/>
        <w:jc w:val="both"/>
        <w:rPr>
          <w:rFonts w:eastAsia="MS Mincho"/>
          <w:sz w:val="22"/>
          <w:szCs w:val="22"/>
        </w:rPr>
      </w:pPr>
      <w:r w:rsidRPr="002E4B39">
        <w:rPr>
          <w:rFonts w:eastAsia="MS Mincho"/>
          <w:sz w:val="22"/>
          <w:szCs w:val="22"/>
          <w:lang w:val="en-US"/>
        </w:rPr>
        <w:t>In</w:t>
      </w:r>
      <w:r w:rsidRPr="009978E3">
        <w:rPr>
          <w:rFonts w:eastAsia="MS Mincho"/>
          <w:sz w:val="22"/>
          <w:szCs w:val="22"/>
        </w:rPr>
        <w:t xml:space="preserve"> summary, the cold-water corals fit the following EBSA criteria: </w:t>
      </w:r>
    </w:p>
    <w:p w14:paraId="6B46B9DC" w14:textId="77777777" w:rsidR="006B3F46" w:rsidRPr="009978E3" w:rsidRDefault="006B3F46" w:rsidP="00907941">
      <w:pPr>
        <w:jc w:val="both"/>
        <w:rPr>
          <w:rFonts w:eastAsia="MS Mincho"/>
          <w:b/>
          <w:bCs/>
          <w:sz w:val="22"/>
          <w:szCs w:val="22"/>
        </w:rPr>
      </w:pPr>
      <w:r w:rsidRPr="009978E3">
        <w:rPr>
          <w:rFonts w:eastAsia="MS Mincho"/>
          <w:b/>
          <w:bCs/>
          <w:sz w:val="22"/>
          <w:szCs w:val="22"/>
        </w:rPr>
        <w:t>Special importance for life-history stages</w:t>
      </w:r>
    </w:p>
    <w:p w14:paraId="13552FF9"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Cold-water corals and areas of natural coral rubble provide shelter, nursery and feeding grounds for a variety of species.</w:t>
      </w:r>
    </w:p>
    <w:p w14:paraId="461E3175" w14:textId="77777777" w:rsidR="006B3F46" w:rsidRPr="009978E3" w:rsidRDefault="006B3F46" w:rsidP="00907941">
      <w:pPr>
        <w:jc w:val="both"/>
        <w:rPr>
          <w:rFonts w:eastAsia="MS Mincho"/>
          <w:b/>
          <w:bCs/>
          <w:sz w:val="22"/>
          <w:szCs w:val="22"/>
        </w:rPr>
      </w:pPr>
    </w:p>
    <w:p w14:paraId="0F5C32B8" w14:textId="77777777" w:rsidR="006B3F46" w:rsidRPr="009978E3" w:rsidRDefault="006B3F46" w:rsidP="00907941">
      <w:pPr>
        <w:jc w:val="both"/>
        <w:rPr>
          <w:rFonts w:eastAsia="MS Mincho"/>
          <w:b/>
          <w:bCs/>
          <w:sz w:val="22"/>
          <w:szCs w:val="22"/>
        </w:rPr>
      </w:pPr>
      <w:r w:rsidRPr="009978E3">
        <w:rPr>
          <w:rFonts w:eastAsia="MS Mincho"/>
          <w:b/>
          <w:bCs/>
          <w:sz w:val="22"/>
          <w:szCs w:val="22"/>
        </w:rPr>
        <w:t>Importance for threatened, endangered or declining species/habitats</w:t>
      </w:r>
    </w:p>
    <w:p w14:paraId="5F126ED2" w14:textId="77777777" w:rsidR="006B3F46" w:rsidRPr="009978E3" w:rsidRDefault="006B3F46" w:rsidP="006B3F46">
      <w:pPr>
        <w:numPr>
          <w:ilvl w:val="0"/>
          <w:numId w:val="47"/>
        </w:numPr>
        <w:ind w:left="426"/>
        <w:jc w:val="both"/>
        <w:rPr>
          <w:rFonts w:eastAsia="MS Mincho"/>
          <w:b/>
          <w:bCs/>
          <w:sz w:val="22"/>
          <w:szCs w:val="22"/>
        </w:rPr>
      </w:pPr>
      <w:r w:rsidRPr="009978E3">
        <w:rPr>
          <w:rFonts w:eastAsia="MS Mincho"/>
          <w:color w:val="000000"/>
          <w:sz w:val="22"/>
          <w:szCs w:val="22"/>
          <w:lang w:val="en-US"/>
        </w:rPr>
        <w:t xml:space="preserve">The area is known to support various species of cold-water corals including black corals, bamboo corals, hard and soft corals. These form coral reef, carbonate mound and coral garden habitats that are listed under OSPAR as threatened and declining habitats. </w:t>
      </w:r>
    </w:p>
    <w:p w14:paraId="61324E0C"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The distribution of cold-water coral has been severely reduced in the area over the last 30 years</w:t>
      </w:r>
    </w:p>
    <w:p w14:paraId="61E90171"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 xml:space="preserve">The reef which lies on the summit of Rockall Bank at 197 m depth may provide one of very few climate refugia for </w:t>
      </w:r>
      <w:r w:rsidRPr="009978E3">
        <w:rPr>
          <w:rFonts w:eastAsia="MS Mincho"/>
          <w:bCs/>
          <w:i/>
          <w:sz w:val="22"/>
          <w:szCs w:val="22"/>
        </w:rPr>
        <w:t>Lophelia pertusa</w:t>
      </w:r>
      <w:r w:rsidRPr="009978E3">
        <w:rPr>
          <w:rFonts w:eastAsia="MS Mincho"/>
          <w:bCs/>
          <w:sz w:val="22"/>
          <w:szCs w:val="22"/>
        </w:rPr>
        <w:t xml:space="preserve"> reefs as a result of ASH shoaling (Jackson </w:t>
      </w:r>
      <w:r w:rsidRPr="0006066A">
        <w:rPr>
          <w:rFonts w:eastAsia="MS Mincho"/>
          <w:bCs/>
          <w:i/>
          <w:sz w:val="22"/>
          <w:szCs w:val="22"/>
        </w:rPr>
        <w:t>et al</w:t>
      </w:r>
      <w:r w:rsidRPr="009978E3">
        <w:rPr>
          <w:rFonts w:eastAsia="MS Mincho"/>
          <w:bCs/>
          <w:sz w:val="22"/>
          <w:szCs w:val="22"/>
        </w:rPr>
        <w:t>., 2015).</w:t>
      </w:r>
    </w:p>
    <w:p w14:paraId="42E93926" w14:textId="77777777" w:rsidR="006B3F46" w:rsidRPr="009978E3" w:rsidRDefault="006B3F46" w:rsidP="00907941">
      <w:pPr>
        <w:jc w:val="both"/>
        <w:rPr>
          <w:rFonts w:eastAsia="MS Mincho"/>
          <w:b/>
          <w:bCs/>
          <w:sz w:val="22"/>
          <w:szCs w:val="22"/>
        </w:rPr>
      </w:pPr>
    </w:p>
    <w:p w14:paraId="08422C44" w14:textId="77777777" w:rsidR="006B3F46" w:rsidRPr="009978E3" w:rsidRDefault="006B3F46" w:rsidP="00907941">
      <w:pPr>
        <w:jc w:val="both"/>
        <w:rPr>
          <w:rFonts w:eastAsia="MS Mincho"/>
          <w:b/>
          <w:bCs/>
          <w:sz w:val="22"/>
          <w:szCs w:val="22"/>
        </w:rPr>
      </w:pPr>
      <w:r w:rsidRPr="009978E3">
        <w:rPr>
          <w:rFonts w:eastAsia="MS Mincho"/>
          <w:b/>
          <w:bCs/>
          <w:sz w:val="22"/>
          <w:szCs w:val="22"/>
        </w:rPr>
        <w:t>Vulnerability, fragility, sensitivity, or slow recovery</w:t>
      </w:r>
    </w:p>
    <w:p w14:paraId="6DA8EECA" w14:textId="77777777" w:rsidR="006B3F46" w:rsidRPr="009978E3" w:rsidRDefault="006B3F46" w:rsidP="006B3F46">
      <w:pPr>
        <w:numPr>
          <w:ilvl w:val="0"/>
          <w:numId w:val="47"/>
        </w:numPr>
        <w:ind w:left="426"/>
        <w:jc w:val="both"/>
        <w:rPr>
          <w:rFonts w:eastAsia="MS Mincho"/>
          <w:sz w:val="22"/>
          <w:szCs w:val="22"/>
        </w:rPr>
      </w:pPr>
      <w:r w:rsidRPr="009978E3">
        <w:rPr>
          <w:rFonts w:eastAsia="MS Mincho"/>
          <w:sz w:val="22"/>
          <w:szCs w:val="22"/>
        </w:rPr>
        <w:t xml:space="preserve">There is a high diversity of corals, including bamboo coral (Isididae), black coral (Antipatharia) as well as the reef forming stony corals (Scleractinia), though some of these may now be reduced in distribution occurring in patches. Many of the species have slow growth rates, and long generation times leading to very slow and episodic recoveries following human impact. </w:t>
      </w:r>
    </w:p>
    <w:p w14:paraId="04DD9D2B"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Cold-water coral habitats are easily impacted and recover very slowly, if at all.</w:t>
      </w:r>
    </w:p>
    <w:p w14:paraId="44E32FBF"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 xml:space="preserve">The cold water coral habitats of this feature are vulnerable to climate change through shoaling of the aragonite saturation horizon (Jackson </w:t>
      </w:r>
      <w:r w:rsidRPr="0006066A">
        <w:rPr>
          <w:rFonts w:eastAsia="MS Mincho"/>
          <w:bCs/>
          <w:i/>
          <w:sz w:val="22"/>
          <w:szCs w:val="22"/>
        </w:rPr>
        <w:t>et al</w:t>
      </w:r>
      <w:r w:rsidRPr="009978E3">
        <w:rPr>
          <w:rFonts w:eastAsia="MS Mincho"/>
          <w:bCs/>
          <w:sz w:val="22"/>
          <w:szCs w:val="22"/>
        </w:rPr>
        <w:t>., 2015).</w:t>
      </w:r>
    </w:p>
    <w:p w14:paraId="5AAB83E8" w14:textId="77777777" w:rsidR="006B3F46" w:rsidRPr="009978E3" w:rsidRDefault="006B3F46" w:rsidP="00907941">
      <w:pPr>
        <w:jc w:val="both"/>
        <w:rPr>
          <w:rFonts w:eastAsia="MS Mincho"/>
          <w:b/>
          <w:bCs/>
          <w:sz w:val="22"/>
          <w:szCs w:val="22"/>
        </w:rPr>
      </w:pPr>
    </w:p>
    <w:p w14:paraId="00F04D1A" w14:textId="77777777" w:rsidR="006B3F46" w:rsidRPr="009978E3" w:rsidRDefault="006B3F46" w:rsidP="00907941">
      <w:pPr>
        <w:jc w:val="both"/>
        <w:rPr>
          <w:rFonts w:eastAsia="MS Mincho"/>
          <w:b/>
          <w:bCs/>
          <w:sz w:val="22"/>
          <w:szCs w:val="22"/>
        </w:rPr>
      </w:pPr>
      <w:r w:rsidRPr="009978E3">
        <w:rPr>
          <w:rFonts w:eastAsia="MS Mincho"/>
          <w:b/>
          <w:bCs/>
          <w:sz w:val="22"/>
          <w:szCs w:val="22"/>
        </w:rPr>
        <w:t>Biological productivity</w:t>
      </w:r>
    </w:p>
    <w:p w14:paraId="1DCA8E8D" w14:textId="77777777" w:rsidR="006B3F46" w:rsidRPr="009978E3" w:rsidRDefault="006B3F46" w:rsidP="006B3F46">
      <w:pPr>
        <w:numPr>
          <w:ilvl w:val="0"/>
          <w:numId w:val="54"/>
        </w:numPr>
        <w:ind w:left="426"/>
        <w:jc w:val="both"/>
        <w:rPr>
          <w:rFonts w:eastAsia="MS Mincho"/>
          <w:bCs/>
          <w:sz w:val="22"/>
          <w:szCs w:val="22"/>
        </w:rPr>
      </w:pPr>
      <w:r w:rsidRPr="009978E3">
        <w:rPr>
          <w:rFonts w:eastAsia="MS Mincho"/>
          <w:bCs/>
          <w:sz w:val="22"/>
          <w:szCs w:val="22"/>
        </w:rPr>
        <w:t>The Logachev mound province on Rockall Bank is a highly productive system playing an important role in carbon and nitrogen cycling and supporting respiration rates 5 times higher than the surrounding sediment ecosystem.</w:t>
      </w:r>
    </w:p>
    <w:p w14:paraId="7ECB8239" w14:textId="77777777" w:rsidR="006B3F46" w:rsidRPr="009978E3" w:rsidRDefault="006B3F46" w:rsidP="00907941">
      <w:pPr>
        <w:jc w:val="both"/>
        <w:rPr>
          <w:rFonts w:eastAsia="MS Mincho"/>
          <w:b/>
          <w:bCs/>
          <w:sz w:val="22"/>
          <w:szCs w:val="22"/>
        </w:rPr>
      </w:pPr>
    </w:p>
    <w:p w14:paraId="604FC997" w14:textId="77777777" w:rsidR="006B3F46" w:rsidRPr="009978E3" w:rsidRDefault="006B3F46" w:rsidP="00907941">
      <w:pPr>
        <w:jc w:val="both"/>
        <w:rPr>
          <w:rFonts w:eastAsia="MS Mincho"/>
          <w:b/>
          <w:bCs/>
          <w:sz w:val="22"/>
          <w:szCs w:val="22"/>
        </w:rPr>
      </w:pPr>
      <w:r w:rsidRPr="009978E3">
        <w:rPr>
          <w:rFonts w:eastAsia="MS Mincho"/>
          <w:b/>
          <w:bCs/>
          <w:sz w:val="22"/>
          <w:szCs w:val="22"/>
        </w:rPr>
        <w:t>Biological diversity</w:t>
      </w:r>
    </w:p>
    <w:p w14:paraId="6FF59845"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Cold-water corals provide diverse habitats for other invertebrates and fish.</w:t>
      </w:r>
    </w:p>
    <w:p w14:paraId="3BDF76EB" w14:textId="77777777" w:rsidR="006B3F46" w:rsidRPr="009978E3" w:rsidRDefault="006B3F46" w:rsidP="00907941">
      <w:pPr>
        <w:jc w:val="both"/>
        <w:rPr>
          <w:rFonts w:eastAsia="MS Mincho"/>
          <w:bCs/>
          <w:sz w:val="22"/>
          <w:szCs w:val="22"/>
        </w:rPr>
      </w:pPr>
    </w:p>
    <w:p w14:paraId="06E1E5EC" w14:textId="77777777" w:rsidR="006B3F46" w:rsidRPr="009978E3" w:rsidRDefault="006B3F46" w:rsidP="00907941">
      <w:pPr>
        <w:jc w:val="both"/>
        <w:rPr>
          <w:rFonts w:eastAsia="MS Mincho"/>
          <w:b/>
          <w:bCs/>
          <w:sz w:val="22"/>
          <w:szCs w:val="22"/>
        </w:rPr>
      </w:pPr>
      <w:r w:rsidRPr="009978E3">
        <w:rPr>
          <w:rFonts w:eastAsia="MS Mincho"/>
          <w:b/>
          <w:bCs/>
          <w:sz w:val="22"/>
          <w:szCs w:val="22"/>
        </w:rPr>
        <w:t>1b. Sediment communities</w:t>
      </w:r>
    </w:p>
    <w:p w14:paraId="233E4C54"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The Hatton and Rockall Banks support many different habitats each with their own depth-related species assemblages (Narayanaswamy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2006;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2007;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Local seabed morphology in this region is ultimately controlled by hydrography and oceanography (Due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2006; Sayago-Gil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which creates heterogeneity in sediment types including mud, exposed bedrock, fine sediments, living coral framework and coral debris that – this habitat heterogeneity has a major influence on species diversity and turnover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A great variety of large invertebrate fauna (megafauna) occur in this region including giant protozoans (xenophyophores), vase shaped white sponges, actiniarians, antipatharian corals, hydroids, bryozoans, asteroids, ophiuroids, echinoids, holothurians and crustaceans (Narayanaswamy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2006;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2007;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Large mega-infauna such as echiuran worms are evident from observations of their feeding traces. Little is known, however, of the smaller fauna living within the sediment. The Hatton-Rockall Basin is known to host a particular geomorphology known as a polygonal fault system (Jacobs, 2006; Berndt </w:t>
      </w:r>
      <w:r w:rsidRPr="0006066A">
        <w:rPr>
          <w:rFonts w:eastAsia="MS Mincho"/>
          <w:i/>
          <w:sz w:val="22"/>
          <w:szCs w:val="22"/>
        </w:rPr>
        <w:t>et al</w:t>
      </w:r>
      <w:r w:rsidRPr="009978E3">
        <w:rPr>
          <w:rFonts w:eastAsia="MS Mincho"/>
          <w:sz w:val="22"/>
          <w:szCs w:val="22"/>
        </w:rPr>
        <w:t xml:space="preserve"> 2012). The faults in the Hatton-Rockall Basin have surface expression, i.e. a network of interlinked channels across the level seafloor. These fault structures were first visualised in 2005 (Jacobs, 2006), with image and video survey conducted in 2006 (Jacobs and Howell, 2007). The flanks of the gullies appear to support extensive, dense aggregations of mixed species sponge communities, including </w:t>
      </w:r>
      <w:r w:rsidRPr="009978E3">
        <w:rPr>
          <w:rFonts w:eastAsia="MS Mincho"/>
          <w:i/>
          <w:sz w:val="22"/>
          <w:szCs w:val="22"/>
        </w:rPr>
        <w:t>Pheronema carpenteri</w:t>
      </w:r>
      <w:r w:rsidRPr="009978E3">
        <w:rPr>
          <w:rFonts w:eastAsia="MS Mincho"/>
          <w:sz w:val="22"/>
          <w:szCs w:val="22"/>
        </w:rPr>
        <w:t xml:space="preserve"> aggregations (Howell </w:t>
      </w:r>
      <w:r w:rsidRPr="0006066A">
        <w:rPr>
          <w:rFonts w:eastAsia="MS Mincho"/>
          <w:i/>
          <w:sz w:val="22"/>
          <w:szCs w:val="22"/>
        </w:rPr>
        <w:t>et al</w:t>
      </w:r>
      <w:r w:rsidRPr="009978E3">
        <w:rPr>
          <w:rFonts w:eastAsia="MS Mincho"/>
          <w:sz w:val="22"/>
          <w:szCs w:val="22"/>
        </w:rPr>
        <w:t>., 2016). Sponge aggregations create complex habitats supporting high biodiversity (Bett and Rice, 1992)</w:t>
      </w:r>
      <w:r w:rsidRPr="009978E3">
        <w:rPr>
          <w:sz w:val="22"/>
          <w:szCs w:val="22"/>
        </w:rPr>
        <w:t>,</w:t>
      </w:r>
      <w:r w:rsidRPr="009978E3">
        <w:rPr>
          <w:rFonts w:eastAsia="MS Mincho"/>
          <w:sz w:val="22"/>
          <w:szCs w:val="22"/>
        </w:rPr>
        <w:t xml:space="preserve"> providing a refuge for fish, are a source of novel chemical compounds (Bell, 2008; Maldonado </w:t>
      </w:r>
      <w:r w:rsidRPr="0006066A">
        <w:rPr>
          <w:rFonts w:eastAsia="MS Mincho"/>
          <w:i/>
          <w:sz w:val="22"/>
          <w:szCs w:val="22"/>
        </w:rPr>
        <w:t>et al</w:t>
      </w:r>
      <w:r w:rsidRPr="009978E3">
        <w:rPr>
          <w:rFonts w:eastAsia="MS Mincho"/>
          <w:sz w:val="22"/>
          <w:szCs w:val="22"/>
        </w:rPr>
        <w:t xml:space="preserve">., 2016), and may also play an important role as a sink in the marine silicon cycle which is thought to influence primary productivity and the carbon cycle (Maldonado </w:t>
      </w:r>
      <w:r w:rsidRPr="0006066A">
        <w:rPr>
          <w:rFonts w:eastAsia="MS Mincho"/>
          <w:i/>
          <w:sz w:val="22"/>
          <w:szCs w:val="22"/>
        </w:rPr>
        <w:t>et al</w:t>
      </w:r>
      <w:r w:rsidRPr="009978E3">
        <w:rPr>
          <w:rFonts w:eastAsia="MS Mincho"/>
          <w:sz w:val="22"/>
          <w:szCs w:val="22"/>
        </w:rPr>
        <w:t xml:space="preserve">., 2005; Hendry </w:t>
      </w:r>
      <w:r w:rsidRPr="0006066A">
        <w:rPr>
          <w:rFonts w:eastAsia="MS Mincho"/>
          <w:i/>
          <w:sz w:val="22"/>
          <w:szCs w:val="22"/>
        </w:rPr>
        <w:t>et al</w:t>
      </w:r>
      <w:r w:rsidRPr="009978E3">
        <w:rPr>
          <w:rFonts w:eastAsia="MS Mincho"/>
          <w:sz w:val="22"/>
          <w:szCs w:val="22"/>
        </w:rPr>
        <w:t xml:space="preserve">., 2019). They are identified as Vulnerable Marine Ecosystems (UNGA, 2006) under the FAO's guidelines for the management of deep-sea fisheries (FAO, 2009). These sponge aggregations are predicted to occur across large sections of the basin (Howell </w:t>
      </w:r>
      <w:r w:rsidRPr="0006066A">
        <w:rPr>
          <w:rFonts w:eastAsia="MS Mincho"/>
          <w:i/>
          <w:sz w:val="22"/>
          <w:szCs w:val="22"/>
        </w:rPr>
        <w:t>et al</w:t>
      </w:r>
      <w:r w:rsidRPr="009978E3">
        <w:rPr>
          <w:rFonts w:eastAsia="MS Mincho"/>
          <w:sz w:val="22"/>
          <w:szCs w:val="22"/>
        </w:rPr>
        <w:t xml:space="preserve">., 2016). Recent modelling suggests these populations may be reproductively </w:t>
      </w:r>
      <w:r w:rsidRPr="002E4B39">
        <w:rPr>
          <w:rFonts w:eastAsia="MS Mincho"/>
          <w:sz w:val="22"/>
          <w:szCs w:val="22"/>
          <w:lang w:val="en-US"/>
        </w:rPr>
        <w:t>isolated</w:t>
      </w:r>
      <w:r w:rsidRPr="009978E3">
        <w:rPr>
          <w:rFonts w:eastAsia="MS Mincho"/>
          <w:sz w:val="22"/>
          <w:szCs w:val="22"/>
        </w:rPr>
        <w:t xml:space="preserve"> from known neighbouring populations (Ross </w:t>
      </w:r>
      <w:r w:rsidRPr="0006066A">
        <w:rPr>
          <w:rFonts w:eastAsia="MS Mincho"/>
          <w:i/>
          <w:sz w:val="22"/>
          <w:szCs w:val="22"/>
        </w:rPr>
        <w:t>et al</w:t>
      </w:r>
      <w:r w:rsidRPr="009978E3">
        <w:rPr>
          <w:rFonts w:eastAsia="MS Mincho"/>
          <w:sz w:val="22"/>
          <w:szCs w:val="22"/>
        </w:rPr>
        <w:t>., 2019)</w:t>
      </w:r>
    </w:p>
    <w:p w14:paraId="14043E84"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Another key concern in such a geological setting is the occurrence of cold-seep communities. Large carbonate blocks were encountered that were likely formed as a result of seafloor fluid escape. In 2012 the first evidence of an active cold-seep ecosystem in the area was suggested by the collection of chemosynthetic bivalves and polychaete worms (ICES 2013; Oliver and Drewery, 2014) and observations of reduced sediments and bacterial communities (Neat </w:t>
      </w:r>
      <w:r w:rsidRPr="0006066A">
        <w:rPr>
          <w:rFonts w:eastAsia="MS Mincho"/>
          <w:i/>
          <w:sz w:val="22"/>
          <w:szCs w:val="22"/>
        </w:rPr>
        <w:t>et al</w:t>
      </w:r>
      <w:r w:rsidRPr="009978E3">
        <w:rPr>
          <w:rFonts w:eastAsia="MS Mincho"/>
          <w:sz w:val="22"/>
          <w:szCs w:val="22"/>
        </w:rPr>
        <w:t>., 2018) on the eastern margin of Hatton-Rockall Basin at a depth of 1200 m. The species are new to science and suggest there is a lot still to learn of the seafloor and ecology of the Hatton and Rockall Banks.</w:t>
      </w:r>
    </w:p>
    <w:p w14:paraId="635DA999"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The megafauna on the Hatton and Rockall Banks are largely species known from the wider NE Atlantic continental margin (Gage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1983; Gage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1985; Mauchline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1986; Harvey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1988; Rice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1991). These studies focused on sedimented areas around the UK and Ireland and provide a lot of information on the life history characteristics of the species including information on growth and reproduction.  Apart from some species that produce small eggs (indicative of planktotrophic development) in a seasonal cycle, most species conform to the life history characteristics typical of the deep sea of larger egg size, lower fecundity and greater generation times (Gage and Tyler, 1991). This is an adaptation to the low food input to the deep sea, which leads to the rapid decrease in biomass with increasing depth (Lampitt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1986; Wei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Fauna adapt to lower food availability in the deep sea by a number of trade-offs, one of which is a reduction in reproductive effort and longer generation times. The majority of species, therefore, </w:t>
      </w:r>
      <w:r w:rsidRPr="002E4B39">
        <w:rPr>
          <w:rFonts w:eastAsia="MS Mincho"/>
          <w:sz w:val="22"/>
          <w:szCs w:val="22"/>
          <w:lang w:val="en-US"/>
        </w:rPr>
        <w:t>are</w:t>
      </w:r>
      <w:r w:rsidRPr="009978E3">
        <w:rPr>
          <w:rFonts w:eastAsia="MS Mincho"/>
          <w:sz w:val="22"/>
          <w:szCs w:val="22"/>
        </w:rPr>
        <w:t xml:space="preserve"> highly susceptible to repeated physical disturbance. </w:t>
      </w:r>
    </w:p>
    <w:p w14:paraId="08B2CB61"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In </w:t>
      </w:r>
      <w:r w:rsidRPr="002E4B39">
        <w:rPr>
          <w:rFonts w:eastAsia="MS Mincho"/>
          <w:sz w:val="22"/>
          <w:szCs w:val="22"/>
          <w:lang w:val="en-US"/>
        </w:rPr>
        <w:t>summary</w:t>
      </w:r>
      <w:r w:rsidRPr="009978E3">
        <w:rPr>
          <w:rFonts w:eastAsia="MS Mincho"/>
          <w:sz w:val="22"/>
          <w:szCs w:val="22"/>
        </w:rPr>
        <w:t>, the sediment communities fit the following EBSA criteria:</w:t>
      </w:r>
    </w:p>
    <w:p w14:paraId="46442387" w14:textId="77777777" w:rsidR="006B3F46" w:rsidRPr="009978E3" w:rsidRDefault="006B3F46" w:rsidP="00907941">
      <w:pPr>
        <w:jc w:val="both"/>
        <w:rPr>
          <w:rFonts w:eastAsia="MS Mincho"/>
          <w:b/>
          <w:bCs/>
          <w:sz w:val="22"/>
          <w:szCs w:val="22"/>
        </w:rPr>
      </w:pPr>
      <w:r w:rsidRPr="009978E3">
        <w:rPr>
          <w:rFonts w:eastAsia="MS Mincho"/>
          <w:b/>
          <w:bCs/>
          <w:sz w:val="22"/>
          <w:szCs w:val="22"/>
        </w:rPr>
        <w:t>Uniqueness or rarity</w:t>
      </w:r>
    </w:p>
    <w:p w14:paraId="3F13BB79" w14:textId="77777777" w:rsidR="006B3F46" w:rsidRPr="009978E3" w:rsidRDefault="006B3F46" w:rsidP="006B3F46">
      <w:pPr>
        <w:numPr>
          <w:ilvl w:val="0"/>
          <w:numId w:val="49"/>
        </w:numPr>
        <w:ind w:left="426"/>
        <w:rPr>
          <w:rFonts w:eastAsia="MS Mincho"/>
          <w:b/>
          <w:bCs/>
          <w:sz w:val="22"/>
          <w:szCs w:val="22"/>
        </w:rPr>
      </w:pPr>
      <w:r w:rsidRPr="009978E3">
        <w:rPr>
          <w:rFonts w:eastAsia="MS Mincho"/>
          <w:sz w:val="22"/>
          <w:szCs w:val="22"/>
        </w:rPr>
        <w:t xml:space="preserve">The area has considerable environmental heterogeneity, and is unique as a large offshore feature extending from above sea-level to 3000m. As species turnover with depth, it is rare as an offshore area that can be inhabited by shallow water species </w:t>
      </w:r>
    </w:p>
    <w:p w14:paraId="730BEB18"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The area of polygonal faults may be a unique seabed feature and the presence of newly described chemosynthetic bivalves and polychaete worms suggests the area may have unique communities.</w:t>
      </w:r>
    </w:p>
    <w:p w14:paraId="2B46E544" w14:textId="77777777" w:rsidR="006B3F46" w:rsidRPr="009978E3" w:rsidRDefault="006B3F46" w:rsidP="00907941">
      <w:pPr>
        <w:jc w:val="both"/>
        <w:rPr>
          <w:rFonts w:eastAsia="MS Mincho"/>
          <w:b/>
          <w:bCs/>
          <w:sz w:val="22"/>
          <w:szCs w:val="22"/>
        </w:rPr>
      </w:pPr>
    </w:p>
    <w:p w14:paraId="59D62AC2" w14:textId="77777777" w:rsidR="006B3F46" w:rsidRPr="009978E3" w:rsidRDefault="006B3F46" w:rsidP="00907941">
      <w:pPr>
        <w:jc w:val="both"/>
        <w:rPr>
          <w:rFonts w:eastAsia="MS Mincho"/>
          <w:b/>
          <w:bCs/>
          <w:sz w:val="22"/>
          <w:szCs w:val="22"/>
        </w:rPr>
      </w:pPr>
      <w:r w:rsidRPr="009978E3">
        <w:rPr>
          <w:rFonts w:eastAsia="MS Mincho"/>
          <w:b/>
          <w:bCs/>
          <w:sz w:val="22"/>
          <w:szCs w:val="22"/>
        </w:rPr>
        <w:t>Special importance for life-history stages</w:t>
      </w:r>
    </w:p>
    <w:p w14:paraId="08333224" w14:textId="77777777" w:rsidR="006B3F46" w:rsidRPr="009978E3" w:rsidRDefault="006B3F46" w:rsidP="006B3F46">
      <w:pPr>
        <w:numPr>
          <w:ilvl w:val="0"/>
          <w:numId w:val="47"/>
        </w:numPr>
        <w:ind w:left="426"/>
        <w:jc w:val="both"/>
        <w:rPr>
          <w:rFonts w:eastAsia="MS Mincho"/>
          <w:bCs/>
          <w:sz w:val="22"/>
          <w:szCs w:val="22"/>
        </w:rPr>
      </w:pPr>
      <w:r w:rsidRPr="009978E3">
        <w:rPr>
          <w:rFonts w:eastAsia="MS Mincho"/>
          <w:bCs/>
          <w:sz w:val="22"/>
          <w:szCs w:val="22"/>
        </w:rPr>
        <w:t>Sponge aggregations provide shelter, nursery and feeding grounds for a variety of species.</w:t>
      </w:r>
    </w:p>
    <w:p w14:paraId="2F174481" w14:textId="77777777" w:rsidR="006B3F46" w:rsidRPr="009978E3" w:rsidRDefault="006B3F46" w:rsidP="00907941">
      <w:pPr>
        <w:jc w:val="both"/>
        <w:rPr>
          <w:rFonts w:eastAsia="MS Mincho"/>
          <w:b/>
          <w:bCs/>
          <w:sz w:val="22"/>
          <w:szCs w:val="22"/>
        </w:rPr>
      </w:pPr>
    </w:p>
    <w:p w14:paraId="2AABCFE6" w14:textId="77777777" w:rsidR="006B3F46" w:rsidRPr="009978E3" w:rsidRDefault="006B3F46" w:rsidP="00907941">
      <w:pPr>
        <w:jc w:val="both"/>
        <w:rPr>
          <w:rFonts w:eastAsia="MS Mincho"/>
          <w:b/>
          <w:bCs/>
          <w:sz w:val="22"/>
          <w:szCs w:val="22"/>
        </w:rPr>
      </w:pPr>
      <w:r w:rsidRPr="009978E3">
        <w:rPr>
          <w:rFonts w:eastAsia="MS Mincho"/>
          <w:b/>
          <w:bCs/>
          <w:sz w:val="22"/>
          <w:szCs w:val="22"/>
        </w:rPr>
        <w:t>Importance for threatened, endangered or declining species/habitats</w:t>
      </w:r>
    </w:p>
    <w:p w14:paraId="1C536587" w14:textId="77777777" w:rsidR="006B3F46" w:rsidRPr="009978E3" w:rsidRDefault="006B3F46" w:rsidP="006B3F46">
      <w:pPr>
        <w:numPr>
          <w:ilvl w:val="0"/>
          <w:numId w:val="47"/>
        </w:numPr>
        <w:ind w:left="426"/>
        <w:jc w:val="both"/>
        <w:rPr>
          <w:rFonts w:eastAsia="MS Mincho"/>
          <w:sz w:val="22"/>
          <w:szCs w:val="22"/>
        </w:rPr>
      </w:pPr>
      <w:r w:rsidRPr="009978E3">
        <w:rPr>
          <w:rFonts w:eastAsia="MS Mincho"/>
          <w:sz w:val="22"/>
          <w:szCs w:val="22"/>
        </w:rPr>
        <w:t>Deep-sea sponge aggregations are present in the Hatton-Rockall Basin and these are defined as OSPAR threatened and declining species and habitats.</w:t>
      </w:r>
    </w:p>
    <w:p w14:paraId="466A9DA5" w14:textId="77777777" w:rsidR="006B3F46" w:rsidRPr="009978E3" w:rsidRDefault="006B3F46" w:rsidP="00907941">
      <w:pPr>
        <w:jc w:val="both"/>
        <w:rPr>
          <w:rFonts w:eastAsia="MS Mincho"/>
          <w:b/>
          <w:bCs/>
          <w:sz w:val="22"/>
          <w:szCs w:val="22"/>
        </w:rPr>
      </w:pPr>
    </w:p>
    <w:p w14:paraId="032EA63A" w14:textId="77777777" w:rsidR="006B3F46" w:rsidRPr="009978E3" w:rsidRDefault="006B3F46" w:rsidP="00907941">
      <w:pPr>
        <w:jc w:val="both"/>
        <w:rPr>
          <w:rFonts w:eastAsia="MS Mincho"/>
          <w:b/>
          <w:bCs/>
          <w:sz w:val="22"/>
          <w:szCs w:val="22"/>
        </w:rPr>
      </w:pPr>
      <w:r w:rsidRPr="009978E3">
        <w:rPr>
          <w:rFonts w:eastAsia="MS Mincho"/>
          <w:b/>
          <w:bCs/>
          <w:sz w:val="22"/>
          <w:szCs w:val="22"/>
        </w:rPr>
        <w:t>Vulnerability, fragility, sensitivity, or slow recovery</w:t>
      </w:r>
    </w:p>
    <w:p w14:paraId="2FABA609" w14:textId="77777777" w:rsidR="006B3F46" w:rsidRPr="009978E3" w:rsidRDefault="006B3F46" w:rsidP="006B3F46">
      <w:pPr>
        <w:numPr>
          <w:ilvl w:val="0"/>
          <w:numId w:val="47"/>
        </w:numPr>
        <w:ind w:left="426"/>
        <w:jc w:val="both"/>
        <w:rPr>
          <w:rFonts w:eastAsia="MS Mincho"/>
          <w:b/>
          <w:bCs/>
          <w:sz w:val="22"/>
          <w:szCs w:val="22"/>
        </w:rPr>
      </w:pPr>
      <w:r w:rsidRPr="009978E3">
        <w:rPr>
          <w:rFonts w:eastAsia="MS Mincho"/>
          <w:sz w:val="22"/>
          <w:szCs w:val="22"/>
        </w:rPr>
        <w:t xml:space="preserve">Many of the species have reproductive cycles with long generation times leading to very slow and episodic recoveries following human impact. Most deep-sea species are particularly susceptible to degradation and depletion by human activity. </w:t>
      </w:r>
    </w:p>
    <w:p w14:paraId="670D6C21" w14:textId="77777777" w:rsidR="006B3F46" w:rsidRPr="009978E3" w:rsidRDefault="006B3F46" w:rsidP="006B3F46">
      <w:pPr>
        <w:numPr>
          <w:ilvl w:val="0"/>
          <w:numId w:val="47"/>
        </w:numPr>
        <w:ind w:left="426"/>
        <w:jc w:val="both"/>
        <w:rPr>
          <w:rFonts w:eastAsia="MS Mincho"/>
          <w:b/>
          <w:bCs/>
          <w:sz w:val="22"/>
          <w:szCs w:val="22"/>
        </w:rPr>
      </w:pPr>
      <w:r w:rsidRPr="009978E3">
        <w:rPr>
          <w:rFonts w:eastAsia="MS Mincho"/>
          <w:sz w:val="22"/>
          <w:szCs w:val="22"/>
        </w:rPr>
        <w:t xml:space="preserve">Recent modelling suggests the deep-sea sponge aggregations in the Hatton-Rockall Basin may be isolated from neighbouring populations and thus highly vulnerable. </w:t>
      </w:r>
    </w:p>
    <w:p w14:paraId="08FA1C10" w14:textId="77777777" w:rsidR="006B3F46" w:rsidRPr="009978E3" w:rsidRDefault="006B3F46" w:rsidP="00907941">
      <w:pPr>
        <w:jc w:val="both"/>
        <w:rPr>
          <w:rFonts w:eastAsia="MS Mincho"/>
          <w:b/>
          <w:bCs/>
          <w:sz w:val="22"/>
          <w:szCs w:val="22"/>
        </w:rPr>
      </w:pPr>
    </w:p>
    <w:p w14:paraId="7E133EC4" w14:textId="77777777" w:rsidR="006B3F46" w:rsidRPr="009978E3" w:rsidRDefault="006B3F46" w:rsidP="00907941">
      <w:pPr>
        <w:jc w:val="both"/>
        <w:rPr>
          <w:rFonts w:eastAsia="MS Mincho"/>
          <w:b/>
          <w:bCs/>
          <w:sz w:val="22"/>
          <w:szCs w:val="22"/>
        </w:rPr>
      </w:pPr>
      <w:r w:rsidRPr="009978E3">
        <w:rPr>
          <w:rFonts w:eastAsia="MS Mincho"/>
          <w:b/>
          <w:bCs/>
          <w:sz w:val="22"/>
          <w:szCs w:val="22"/>
        </w:rPr>
        <w:t>Biological diversity</w:t>
      </w:r>
    </w:p>
    <w:p w14:paraId="435BE4CE" w14:textId="77777777" w:rsidR="006B3F46" w:rsidRPr="009978E3" w:rsidRDefault="006B3F46" w:rsidP="006B3F46">
      <w:pPr>
        <w:numPr>
          <w:ilvl w:val="0"/>
          <w:numId w:val="49"/>
        </w:numPr>
        <w:ind w:left="426"/>
        <w:jc w:val="both"/>
        <w:rPr>
          <w:rFonts w:eastAsia="MS Mincho"/>
          <w:sz w:val="22"/>
          <w:szCs w:val="22"/>
        </w:rPr>
      </w:pPr>
      <w:r w:rsidRPr="009978E3">
        <w:rPr>
          <w:rFonts w:eastAsia="MS Mincho"/>
          <w:sz w:val="22"/>
          <w:szCs w:val="22"/>
        </w:rPr>
        <w:t>Benthic sedimentary communities occupy all depths in and around the Hatton and Rockall Banks and Basin. Seabed communities include sponge aggregations. Seabed geomorphology is diverse with examples polygonal fault systems and potential cold seep habitat, and steep and gentle sedimentary slopes. This high habitat heterogeneity supports a high number of species and diverse communities.</w:t>
      </w:r>
    </w:p>
    <w:p w14:paraId="37659990" w14:textId="77777777" w:rsidR="006B3F46" w:rsidRPr="009978E3" w:rsidRDefault="006B3F46" w:rsidP="00907941">
      <w:pPr>
        <w:jc w:val="both"/>
        <w:rPr>
          <w:rFonts w:eastAsia="MS Mincho"/>
          <w:b/>
          <w:bCs/>
          <w:sz w:val="22"/>
          <w:szCs w:val="22"/>
        </w:rPr>
      </w:pPr>
    </w:p>
    <w:p w14:paraId="4FC10446" w14:textId="77777777" w:rsidR="006B3F46" w:rsidRPr="009978E3" w:rsidRDefault="006B3F46" w:rsidP="00907941">
      <w:pPr>
        <w:jc w:val="both"/>
        <w:rPr>
          <w:rFonts w:eastAsia="MS Mincho"/>
          <w:b/>
          <w:sz w:val="22"/>
          <w:szCs w:val="22"/>
        </w:rPr>
      </w:pPr>
      <w:r w:rsidRPr="009978E3">
        <w:rPr>
          <w:rFonts w:eastAsia="MS Mincho"/>
          <w:b/>
          <w:sz w:val="22"/>
          <w:szCs w:val="22"/>
        </w:rPr>
        <w:t>1c. Demersal fish</w:t>
      </w:r>
    </w:p>
    <w:p w14:paraId="3ACDDEE7"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The deep-water fish of the NE Atlantic continental margin are generally well-known following comprehensive and extensive surveys of the region (</w:t>
      </w:r>
      <w:r>
        <w:rPr>
          <w:rFonts w:eastAsia="MS Mincho"/>
          <w:sz w:val="22"/>
          <w:szCs w:val="22"/>
        </w:rPr>
        <w:t>e.g.,</w:t>
      </w:r>
      <w:r w:rsidRPr="009978E3">
        <w:rPr>
          <w:rFonts w:eastAsia="MS Mincho"/>
          <w:sz w:val="22"/>
          <w:szCs w:val="22"/>
        </w:rPr>
        <w:t xml:space="preserve"> Gordon &amp; Duncan, 1985; Merrett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1991; Mauchline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1986 and Rice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1991). Species of commercial importance are reviewed by Gordon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(2003) and Large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(2003) and for fish associated with cold-water corals by Söffker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Fish species diversity increases to depths of approx. 1500 m on the continental slopes and declines thereafter (Campbell </w:t>
      </w:r>
      <w:r w:rsidRPr="0006066A">
        <w:rPr>
          <w:rFonts w:eastAsia="MS Mincho"/>
          <w:i/>
          <w:sz w:val="22"/>
          <w:szCs w:val="22"/>
        </w:rPr>
        <w:t>et al</w:t>
      </w:r>
      <w:r w:rsidRPr="009978E3">
        <w:rPr>
          <w:rFonts w:eastAsia="MS Mincho"/>
          <w:sz w:val="22"/>
          <w:szCs w:val="22"/>
        </w:rPr>
        <w:t xml:space="preserve"> 2011). The shallow water fish assemblage on Rockall can be described as an impoverished sub-set of that found in adjacent continental shelf areas, but one that has a significantly different community composition (Neat &amp; Campbell 2010). Recent surveys have found that the western slope of the Rockall Bank has a slightly different fish assemblage than the adjacent European slope with several species of a more southern affinity present (F. Neat unpublished data). Blue ling is known to spawn in a few locations on Rockall bank and at Hatton bank (Large </w:t>
      </w:r>
      <w:r w:rsidRPr="0006066A">
        <w:rPr>
          <w:rFonts w:eastAsia="MS Mincho"/>
          <w:i/>
          <w:sz w:val="22"/>
          <w:szCs w:val="22"/>
        </w:rPr>
        <w:t>et al</w:t>
      </w:r>
      <w:r w:rsidRPr="009978E3">
        <w:rPr>
          <w:rFonts w:eastAsia="MS Mincho"/>
          <w:sz w:val="22"/>
          <w:szCs w:val="22"/>
        </w:rPr>
        <w:t xml:space="preserve"> 2008).</w:t>
      </w:r>
    </w:p>
    <w:p w14:paraId="4E067667"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The extensive sampling in the Porcupine Seabight in the 1970s and 1980s took place before the start of deep-</w:t>
      </w:r>
      <w:r w:rsidRPr="002E4B39">
        <w:rPr>
          <w:rFonts w:eastAsia="MS Mincho"/>
          <w:sz w:val="22"/>
          <w:szCs w:val="22"/>
          <w:lang w:val="en-US"/>
        </w:rPr>
        <w:t>water</w:t>
      </w:r>
      <w:r w:rsidRPr="009978E3">
        <w:rPr>
          <w:rFonts w:eastAsia="MS Mincho"/>
          <w:sz w:val="22"/>
          <w:szCs w:val="22"/>
        </w:rPr>
        <w:t xml:space="preserve"> commercial fishing.  More recent sampling of the same area in the 1990s and 2000s can be used to compare fish communities before and after bottom trawling (Bailey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These data show that over 70 fish species have been impacted by the fishing activity, of which only 4-5 are target commercial species.  The area impacted is up to 2.5 times larger than the area fished because the home range of many the fish extends into considerably deeper waters. In addition some deep sea demersal fish have very slow recovery times as a result of their slow reproductive rate compared to pelagic fish (Koslow </w:t>
      </w:r>
      <w:r w:rsidRPr="0006066A">
        <w:rPr>
          <w:rFonts w:eastAsia="MS Mincho"/>
          <w:i/>
          <w:sz w:val="22"/>
          <w:szCs w:val="22"/>
        </w:rPr>
        <w:t>et al</w:t>
      </w:r>
      <w:r w:rsidRPr="009978E3">
        <w:rPr>
          <w:rFonts w:eastAsia="MS Mincho"/>
          <w:sz w:val="22"/>
          <w:szCs w:val="22"/>
        </w:rPr>
        <w:t>., 2000). In the past decade, however, there is evidence that this initial steep decline in abundance has been halted, at least in one of the major groups of fishes, the grenadiers (Neat &amp; Burns 2010). At the northern limits of the area where Arctic water masses mix with Atlantic water cold-water species such as Greenland Halibut and Roughhead Grenadier are present adding to the diversity of species in the area.</w:t>
      </w:r>
    </w:p>
    <w:p w14:paraId="3ADC6FB5" w14:textId="77777777" w:rsidR="006B3F46" w:rsidRPr="009978E3" w:rsidRDefault="006B3F46" w:rsidP="00907941">
      <w:pPr>
        <w:jc w:val="both"/>
        <w:rPr>
          <w:rFonts w:eastAsia="MS Mincho"/>
          <w:sz w:val="22"/>
          <w:szCs w:val="22"/>
        </w:rPr>
      </w:pPr>
      <w:r w:rsidRPr="009978E3">
        <w:rPr>
          <w:rFonts w:eastAsia="MS Mincho"/>
          <w:sz w:val="22"/>
          <w:szCs w:val="22"/>
        </w:rPr>
        <w:t>In summary the demersal fish fit the following EBSA criteria:</w:t>
      </w:r>
    </w:p>
    <w:p w14:paraId="35B6495F" w14:textId="77777777" w:rsidR="006B3F46" w:rsidRPr="009978E3" w:rsidRDefault="006B3F46" w:rsidP="00907941">
      <w:pPr>
        <w:jc w:val="both"/>
        <w:rPr>
          <w:rFonts w:eastAsia="MS Mincho"/>
          <w:b/>
          <w:bCs/>
          <w:sz w:val="22"/>
          <w:szCs w:val="22"/>
        </w:rPr>
      </w:pPr>
    </w:p>
    <w:p w14:paraId="2D299A74" w14:textId="77777777" w:rsidR="006B3F46" w:rsidRPr="009978E3" w:rsidRDefault="006B3F46" w:rsidP="00907941">
      <w:pPr>
        <w:jc w:val="both"/>
        <w:rPr>
          <w:rFonts w:eastAsia="MS Mincho"/>
          <w:b/>
          <w:bCs/>
          <w:sz w:val="22"/>
          <w:szCs w:val="22"/>
        </w:rPr>
      </w:pPr>
      <w:r w:rsidRPr="009978E3">
        <w:rPr>
          <w:rFonts w:eastAsia="MS Mincho"/>
          <w:b/>
          <w:bCs/>
          <w:sz w:val="22"/>
          <w:szCs w:val="22"/>
        </w:rPr>
        <w:t>Vulnerability, fragility, sensitivity, or slow recovery</w:t>
      </w:r>
    </w:p>
    <w:p w14:paraId="30171EEC" w14:textId="77777777" w:rsidR="006B3F46" w:rsidRPr="009978E3" w:rsidRDefault="006B3F46" w:rsidP="006B3F46">
      <w:pPr>
        <w:numPr>
          <w:ilvl w:val="0"/>
          <w:numId w:val="48"/>
        </w:numPr>
        <w:ind w:left="426"/>
        <w:jc w:val="both"/>
        <w:rPr>
          <w:rFonts w:eastAsia="MS Mincho"/>
          <w:bCs/>
          <w:sz w:val="22"/>
          <w:szCs w:val="22"/>
        </w:rPr>
      </w:pPr>
      <w:r w:rsidRPr="009978E3">
        <w:rPr>
          <w:rFonts w:eastAsia="MS Mincho"/>
          <w:bCs/>
          <w:sz w:val="22"/>
          <w:szCs w:val="22"/>
        </w:rPr>
        <w:t xml:space="preserve">Many of the deep demersal fish have very slow recovery times as a result of their slow reproductive rate compared to pelagic fish.  </w:t>
      </w:r>
    </w:p>
    <w:p w14:paraId="020A01DB" w14:textId="77777777" w:rsidR="006B3F46" w:rsidRPr="009978E3" w:rsidRDefault="006B3F46" w:rsidP="00907941">
      <w:pPr>
        <w:jc w:val="both"/>
        <w:rPr>
          <w:rFonts w:eastAsia="MS Mincho"/>
          <w:bCs/>
          <w:sz w:val="22"/>
          <w:szCs w:val="22"/>
        </w:rPr>
      </w:pPr>
    </w:p>
    <w:p w14:paraId="54F5D1EC" w14:textId="77777777" w:rsidR="006B3F46" w:rsidRPr="009978E3" w:rsidRDefault="006B3F46" w:rsidP="00907941">
      <w:pPr>
        <w:jc w:val="both"/>
        <w:rPr>
          <w:rFonts w:eastAsia="MS Mincho"/>
          <w:b/>
          <w:sz w:val="22"/>
          <w:szCs w:val="22"/>
        </w:rPr>
      </w:pPr>
      <w:r w:rsidRPr="009978E3">
        <w:rPr>
          <w:rFonts w:eastAsia="MS Mincho"/>
          <w:b/>
          <w:sz w:val="22"/>
          <w:szCs w:val="22"/>
        </w:rPr>
        <w:t>2.  Pelagic communities and populations (plankton, nekton, birds, and mammals)</w:t>
      </w:r>
    </w:p>
    <w:p w14:paraId="758340BF" w14:textId="77777777" w:rsidR="006B3F46" w:rsidRPr="009978E3" w:rsidRDefault="006B3F46" w:rsidP="00907941">
      <w:pPr>
        <w:jc w:val="both"/>
        <w:rPr>
          <w:rFonts w:eastAsia="MS Mincho"/>
          <w:b/>
          <w:sz w:val="22"/>
          <w:szCs w:val="22"/>
        </w:rPr>
      </w:pPr>
      <w:r w:rsidRPr="009978E3">
        <w:rPr>
          <w:rFonts w:eastAsia="MS Mincho"/>
          <w:b/>
          <w:sz w:val="22"/>
          <w:szCs w:val="22"/>
        </w:rPr>
        <w:t xml:space="preserve">2a. Pelagic fish  </w:t>
      </w:r>
    </w:p>
    <w:p w14:paraId="4757D373"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Mackerel, horse mackerel, blue whiting and other wide-ranging pelagic fish such as epipelagic sharks (</w:t>
      </w:r>
      <w:r>
        <w:rPr>
          <w:rFonts w:eastAsia="MS Mincho"/>
          <w:sz w:val="22"/>
          <w:szCs w:val="22"/>
        </w:rPr>
        <w:t>e.g.,</w:t>
      </w:r>
      <w:r w:rsidRPr="009978E3">
        <w:rPr>
          <w:rFonts w:eastAsia="MS Mincho"/>
          <w:sz w:val="22"/>
          <w:szCs w:val="22"/>
        </w:rPr>
        <w:t xml:space="preserve"> blue shark), tuna, and other large predatory fish species inhabit the area during various parts of their life-cycle (</w:t>
      </w:r>
      <w:r>
        <w:rPr>
          <w:rFonts w:eastAsia="MS Mincho"/>
          <w:sz w:val="22"/>
          <w:szCs w:val="22"/>
        </w:rPr>
        <w:t>e.g.,</w:t>
      </w:r>
      <w:r w:rsidRPr="009978E3">
        <w:rPr>
          <w:rFonts w:eastAsia="MS Mincho"/>
          <w:sz w:val="22"/>
          <w:szCs w:val="22"/>
        </w:rPr>
        <w:t xml:space="preserve"> Nolan </w:t>
      </w:r>
      <w:r w:rsidRPr="0006066A">
        <w:rPr>
          <w:rFonts w:eastAsia="MS Mincho"/>
          <w:i/>
          <w:sz w:val="22"/>
          <w:szCs w:val="22"/>
        </w:rPr>
        <w:t>et al</w:t>
      </w:r>
      <w:r w:rsidRPr="009978E3">
        <w:rPr>
          <w:rFonts w:eastAsia="MS Mincho"/>
          <w:sz w:val="22"/>
          <w:szCs w:val="22"/>
        </w:rPr>
        <w:t xml:space="preserve">., 2011; Vandeperre </w:t>
      </w:r>
      <w:r w:rsidRPr="0006066A">
        <w:rPr>
          <w:rFonts w:eastAsia="MS Mincho"/>
          <w:i/>
          <w:sz w:val="22"/>
          <w:szCs w:val="22"/>
        </w:rPr>
        <w:t>et al</w:t>
      </w:r>
      <w:r w:rsidRPr="009978E3">
        <w:rPr>
          <w:rFonts w:eastAsia="MS Mincho"/>
          <w:sz w:val="22"/>
          <w:szCs w:val="22"/>
        </w:rPr>
        <w:t xml:space="preserve">., 2016), for example during larval or growth stages, for predatory feeding or as migration corridors. For blue whiting the slope area is used and well documented as an important spawning area. Mackerel and horse mackerel eggs and larvae originating from spawning areas </w:t>
      </w:r>
      <w:r w:rsidRPr="002E4B39">
        <w:rPr>
          <w:rFonts w:eastAsia="MS Mincho"/>
          <w:sz w:val="22"/>
          <w:szCs w:val="22"/>
          <w:lang w:val="en-US"/>
        </w:rPr>
        <w:t>further</w:t>
      </w:r>
      <w:r w:rsidRPr="009978E3">
        <w:rPr>
          <w:rFonts w:eastAsia="MS Mincho"/>
          <w:sz w:val="22"/>
          <w:szCs w:val="22"/>
        </w:rPr>
        <w:t xml:space="preserve"> south drift extensively through the area.</w:t>
      </w:r>
    </w:p>
    <w:p w14:paraId="36027304" w14:textId="77777777" w:rsidR="006B3F46" w:rsidRPr="009978E3" w:rsidRDefault="006B3F46" w:rsidP="00907941">
      <w:pPr>
        <w:jc w:val="both"/>
        <w:rPr>
          <w:rFonts w:eastAsia="MS Mincho"/>
          <w:b/>
          <w:sz w:val="22"/>
          <w:szCs w:val="22"/>
        </w:rPr>
      </w:pPr>
      <w:r w:rsidRPr="009978E3">
        <w:rPr>
          <w:rFonts w:eastAsia="MS Mincho"/>
          <w:b/>
          <w:sz w:val="22"/>
          <w:szCs w:val="22"/>
        </w:rPr>
        <w:t>2b. Seabirds</w:t>
      </w:r>
    </w:p>
    <w:p w14:paraId="17033A98"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Analyses of satellite tracking data hosted at </w:t>
      </w:r>
      <w:hyperlink r:id="rId313" w:history="1">
        <w:r w:rsidRPr="009978E3">
          <w:rPr>
            <w:rStyle w:val="Hyperlink"/>
            <w:rFonts w:eastAsia="MS Mincho"/>
            <w:sz w:val="22"/>
            <w:szCs w:val="22"/>
          </w:rPr>
          <w:t>www.seabirdtracking.org</w:t>
        </w:r>
      </w:hyperlink>
      <w:r w:rsidRPr="00F66EF7">
        <w:rPr>
          <w:rFonts w:eastAsia="MS Mincho"/>
          <w:sz w:val="22"/>
          <w:szCs w:val="22"/>
        </w:rPr>
        <w:t xml:space="preserve"> (Table 1) found the Hatton-Rockall area to be used by multiple seabird species through the year. For example the area is used by Manx Shearwaters (</w:t>
      </w:r>
      <w:r w:rsidRPr="009978E3">
        <w:rPr>
          <w:rFonts w:eastAsia="MS Mincho"/>
          <w:i/>
          <w:sz w:val="22"/>
          <w:szCs w:val="22"/>
        </w:rPr>
        <w:t>Puffinus puffinus</w:t>
      </w:r>
      <w:r w:rsidRPr="009978E3">
        <w:rPr>
          <w:rFonts w:eastAsia="MS Mincho"/>
          <w:sz w:val="22"/>
          <w:szCs w:val="22"/>
        </w:rPr>
        <w:t>) from Iceland and UK colonies during the breeding season (Apr-Sept). From September until November tracked individual Cory’s Shearwater (</w:t>
      </w:r>
      <w:r w:rsidRPr="009978E3">
        <w:rPr>
          <w:rFonts w:eastAsia="MS Mincho"/>
          <w:i/>
          <w:sz w:val="22"/>
          <w:szCs w:val="22"/>
        </w:rPr>
        <w:t>Calonectris diomedea</w:t>
      </w:r>
      <w:r w:rsidRPr="009978E3">
        <w:rPr>
          <w:rFonts w:eastAsia="MS Mincho"/>
          <w:sz w:val="22"/>
          <w:szCs w:val="22"/>
        </w:rPr>
        <w:t>) from three colonies, Sooty Shearwater (</w:t>
      </w:r>
      <w:r w:rsidRPr="009978E3">
        <w:rPr>
          <w:rFonts w:eastAsia="MS Mincho"/>
          <w:i/>
          <w:sz w:val="22"/>
          <w:szCs w:val="22"/>
        </w:rPr>
        <w:t>Puffinus griseus</w:t>
      </w:r>
      <w:r w:rsidRPr="009978E3">
        <w:rPr>
          <w:rFonts w:eastAsia="MS Mincho"/>
          <w:sz w:val="22"/>
          <w:szCs w:val="22"/>
        </w:rPr>
        <w:t>), Fea’s Petrel (</w:t>
      </w:r>
      <w:r w:rsidRPr="009978E3">
        <w:rPr>
          <w:rFonts w:eastAsia="MS Mincho"/>
          <w:i/>
          <w:sz w:val="22"/>
          <w:szCs w:val="22"/>
        </w:rPr>
        <w:t xml:space="preserve">Pterodroma </w:t>
      </w:r>
      <w:r w:rsidRPr="009978E3">
        <w:rPr>
          <w:rFonts w:eastAsia="MS Mincho"/>
          <w:sz w:val="22"/>
          <w:szCs w:val="22"/>
        </w:rPr>
        <w:t>feae) and Zino’s Petrel (</w:t>
      </w:r>
      <w:r w:rsidRPr="009978E3">
        <w:rPr>
          <w:rFonts w:eastAsia="MS Mincho"/>
          <w:i/>
          <w:sz w:val="22"/>
          <w:szCs w:val="22"/>
        </w:rPr>
        <w:t>Pterodroma madeira</w:t>
      </w:r>
      <w:r w:rsidRPr="009978E3">
        <w:rPr>
          <w:rFonts w:eastAsia="MS Mincho"/>
          <w:sz w:val="22"/>
          <w:szCs w:val="22"/>
        </w:rPr>
        <w:t>) used the area. Studies of tracked Atlantic Puffin (</w:t>
      </w:r>
      <w:r w:rsidRPr="009978E3">
        <w:rPr>
          <w:rFonts w:eastAsia="MS Mincho"/>
          <w:i/>
          <w:sz w:val="22"/>
          <w:szCs w:val="22"/>
        </w:rPr>
        <w:t>Fratercula arctica</w:t>
      </w:r>
      <w:r w:rsidRPr="009978E3">
        <w:rPr>
          <w:rFonts w:eastAsia="MS Mincho"/>
          <w:sz w:val="22"/>
          <w:szCs w:val="22"/>
        </w:rPr>
        <w:t xml:space="preserve">) from Skomer and Isle of May colonies also found the site to be important during the overwintering phase (Aug-Apr) (Harris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w:t>
      </w:r>
      <w:r w:rsidRPr="002E4B39">
        <w:rPr>
          <w:rFonts w:eastAsia="MS Mincho"/>
          <w:sz w:val="22"/>
          <w:szCs w:val="22"/>
          <w:lang w:val="en-US"/>
        </w:rPr>
        <w:t>Guilford</w:t>
      </w:r>
      <w:r w:rsidRPr="009978E3">
        <w:rPr>
          <w:rFonts w:eastAsia="MS Mincho"/>
          <w:sz w:val="22"/>
          <w:szCs w:val="22"/>
        </w:rPr>
        <w:t xml:space="preserv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w:t>
      </w:r>
    </w:p>
    <w:p w14:paraId="77755852" w14:textId="77777777" w:rsidR="006B3F46" w:rsidRPr="009978E3" w:rsidRDefault="006B3F46" w:rsidP="002E4B39">
      <w:pPr>
        <w:suppressLineNumbers/>
        <w:spacing w:after="120"/>
        <w:jc w:val="both"/>
        <w:rPr>
          <w:sz w:val="22"/>
          <w:szCs w:val="22"/>
        </w:rPr>
      </w:pPr>
      <w:r w:rsidRPr="009978E3">
        <w:rPr>
          <w:rFonts w:eastAsia="MS Mincho"/>
          <w:sz w:val="22"/>
          <w:szCs w:val="22"/>
        </w:rPr>
        <w:t>In addition to tracking data, ship-based survey data confirm many more seabird species occurring and foraging within the area including Great Shearwater, Black-legged Kittiwake, Northern Fulmar, Northern Gannet as well as various Storm Petrel and Skua species (</w:t>
      </w:r>
      <w:r>
        <w:rPr>
          <w:rFonts w:eastAsia="MS Mincho"/>
          <w:sz w:val="22"/>
          <w:szCs w:val="22"/>
        </w:rPr>
        <w:t>e.g.,</w:t>
      </w:r>
      <w:r w:rsidRPr="009978E3">
        <w:rPr>
          <w:rFonts w:eastAsia="MS Mincho"/>
          <w:sz w:val="22"/>
          <w:szCs w:val="22"/>
        </w:rPr>
        <w:t xml:space="preserve"> Cronin and Mackey, 2002; Mackey </w:t>
      </w:r>
      <w:r w:rsidRPr="0006066A">
        <w:rPr>
          <w:rFonts w:eastAsia="MS Mincho"/>
          <w:i/>
          <w:sz w:val="22"/>
          <w:szCs w:val="22"/>
        </w:rPr>
        <w:t>et al</w:t>
      </w:r>
      <w:r w:rsidRPr="009978E3">
        <w:rPr>
          <w:rFonts w:eastAsia="MS Mincho"/>
          <w:sz w:val="22"/>
          <w:szCs w:val="22"/>
        </w:rPr>
        <w:t xml:space="preserve">., 2004; Nolan </w:t>
      </w:r>
      <w:r w:rsidRPr="0006066A">
        <w:rPr>
          <w:rFonts w:eastAsia="MS Mincho"/>
          <w:i/>
          <w:sz w:val="22"/>
          <w:szCs w:val="22"/>
        </w:rPr>
        <w:t>et al</w:t>
      </w:r>
      <w:r w:rsidRPr="009978E3">
        <w:rPr>
          <w:rFonts w:eastAsia="MS Mincho"/>
          <w:sz w:val="22"/>
          <w:szCs w:val="22"/>
        </w:rPr>
        <w:t xml:space="preserve">., 2011). As indicated by telemetry tracking data, previous ship-based research also highlights </w:t>
      </w:r>
      <w:r w:rsidRPr="009978E3">
        <w:rPr>
          <w:bCs/>
          <w:sz w:val="22"/>
          <w:szCs w:val="22"/>
          <w:lang w:val="en-IE"/>
        </w:rPr>
        <w:t>the Hatton Bank and Hatton-Rockall Basin to be of potential importance to far-ranging migratory species (</w:t>
      </w:r>
      <w:r>
        <w:rPr>
          <w:bCs/>
          <w:sz w:val="22"/>
          <w:szCs w:val="22"/>
          <w:lang w:val="en-IE"/>
        </w:rPr>
        <w:t>e.g.,</w:t>
      </w:r>
      <w:r w:rsidRPr="009978E3">
        <w:rPr>
          <w:bCs/>
          <w:sz w:val="22"/>
          <w:szCs w:val="22"/>
          <w:lang w:val="en-IE"/>
        </w:rPr>
        <w:t xml:space="preserve"> Sooty Shearwater, Tern species), and together with the Rockall Bank to be of importance to those species that winter offshore such as the Atlantic Puffin </w:t>
      </w:r>
      <w:r w:rsidRPr="009978E3">
        <w:rPr>
          <w:iCs/>
          <w:sz w:val="22"/>
          <w:szCs w:val="22"/>
        </w:rPr>
        <w:t>and to non-breeding and juvenile birds during the breeding season</w:t>
      </w:r>
      <w:r w:rsidRPr="009978E3">
        <w:rPr>
          <w:bCs/>
          <w:sz w:val="22"/>
          <w:szCs w:val="22"/>
          <w:lang w:val="en-IE"/>
        </w:rPr>
        <w:t xml:space="preserve"> such as Manx Shearwater (Mackey </w:t>
      </w:r>
      <w:r w:rsidRPr="0006066A">
        <w:rPr>
          <w:bCs/>
          <w:i/>
          <w:sz w:val="22"/>
          <w:szCs w:val="22"/>
          <w:lang w:val="en-IE"/>
        </w:rPr>
        <w:t>et al</w:t>
      </w:r>
      <w:r w:rsidRPr="009978E3">
        <w:rPr>
          <w:bCs/>
          <w:sz w:val="22"/>
          <w:szCs w:val="22"/>
          <w:lang w:val="en-IE"/>
        </w:rPr>
        <w:t>., 2004</w:t>
      </w:r>
      <w:r w:rsidRPr="009978E3">
        <w:rPr>
          <w:sz w:val="22"/>
          <w:szCs w:val="22"/>
        </w:rPr>
        <w:t>). Species such as the Br</w:t>
      </w:r>
      <w:r w:rsidRPr="009978E3">
        <w:rPr>
          <w:bCs/>
          <w:sz w:val="22"/>
          <w:szCs w:val="22"/>
        </w:rPr>
        <w:t>ü</w:t>
      </w:r>
      <w:r w:rsidRPr="009978E3">
        <w:rPr>
          <w:sz w:val="22"/>
          <w:szCs w:val="22"/>
        </w:rPr>
        <w:t xml:space="preserve">nnich’s Guillemot, Little Auk and Sabine’s Gull were also found in the area in small numbers in May and June, </w:t>
      </w:r>
      <w:r w:rsidRPr="002E4B39">
        <w:rPr>
          <w:rFonts w:eastAsia="MS Mincho"/>
          <w:sz w:val="22"/>
          <w:szCs w:val="22"/>
          <w:lang w:val="en-US"/>
        </w:rPr>
        <w:t>considerably</w:t>
      </w:r>
      <w:r w:rsidRPr="009978E3">
        <w:rPr>
          <w:sz w:val="22"/>
          <w:szCs w:val="22"/>
        </w:rPr>
        <w:t xml:space="preserve"> further south than their known breeding grounds (Mackey </w:t>
      </w:r>
      <w:r w:rsidRPr="0006066A">
        <w:rPr>
          <w:i/>
          <w:sz w:val="22"/>
          <w:szCs w:val="22"/>
        </w:rPr>
        <w:t>et al</w:t>
      </w:r>
      <w:r w:rsidRPr="009978E3">
        <w:rPr>
          <w:sz w:val="22"/>
          <w:szCs w:val="22"/>
        </w:rPr>
        <w:t>., 2004).</w:t>
      </w:r>
    </w:p>
    <w:p w14:paraId="47D1505A" w14:textId="77777777" w:rsidR="006B3F46" w:rsidRPr="009978E3" w:rsidRDefault="006B3F46" w:rsidP="00907941">
      <w:pPr>
        <w:jc w:val="both"/>
        <w:rPr>
          <w:rFonts w:eastAsia="MS Mincho"/>
          <w:b/>
          <w:sz w:val="22"/>
          <w:szCs w:val="22"/>
        </w:rPr>
      </w:pPr>
      <w:r w:rsidRPr="009978E3">
        <w:rPr>
          <w:rFonts w:eastAsia="MS Mincho"/>
          <w:b/>
          <w:sz w:val="22"/>
          <w:szCs w:val="22"/>
        </w:rPr>
        <w:t>2c. Cetaceans</w:t>
      </w:r>
    </w:p>
    <w:p w14:paraId="440455E6"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The Hatton-Rockall area including its shallower banks and their perimeter slopes represent a region of considerable importance for an array of baleen whales (</w:t>
      </w:r>
      <w:r w:rsidRPr="009978E3">
        <w:rPr>
          <w:rFonts w:eastAsia="MS Mincho"/>
          <w:i/>
          <w:sz w:val="22"/>
          <w:szCs w:val="22"/>
        </w:rPr>
        <w:t>Mysticeti</w:t>
      </w:r>
      <w:r w:rsidRPr="009978E3">
        <w:rPr>
          <w:rFonts w:eastAsia="MS Mincho"/>
          <w:sz w:val="22"/>
          <w:szCs w:val="22"/>
        </w:rPr>
        <w:t>), toothed whales and dolphins (</w:t>
      </w:r>
      <w:r w:rsidRPr="009978E3">
        <w:rPr>
          <w:rFonts w:eastAsia="MS Mincho"/>
          <w:i/>
          <w:sz w:val="22"/>
          <w:szCs w:val="22"/>
        </w:rPr>
        <w:t>Odontoceti</w:t>
      </w:r>
      <w:r w:rsidRPr="009978E3">
        <w:rPr>
          <w:rFonts w:eastAsia="MS Mincho"/>
          <w:sz w:val="22"/>
          <w:szCs w:val="22"/>
        </w:rPr>
        <w:t>). Its position in the high seas area of the Northeast Atlantic, and centrally within the region of Gulf Stream influence as the North Atlantic Current flows north towards sub-polar regions, confer it with a distinctive set of oceanographic, ecological and interactive conditions (</w:t>
      </w:r>
      <w:r>
        <w:rPr>
          <w:rFonts w:eastAsia="MS Mincho"/>
          <w:sz w:val="22"/>
          <w:szCs w:val="22"/>
        </w:rPr>
        <w:t>e.g.,</w:t>
      </w:r>
      <w:r w:rsidRPr="009978E3">
        <w:rPr>
          <w:rFonts w:eastAsia="MS Mincho"/>
          <w:sz w:val="22"/>
          <w:szCs w:val="22"/>
        </w:rPr>
        <w:t xml:space="preserve"> Visser </w:t>
      </w:r>
      <w:r w:rsidRPr="0006066A">
        <w:rPr>
          <w:rFonts w:eastAsia="MS Mincho"/>
          <w:i/>
          <w:sz w:val="22"/>
          <w:szCs w:val="22"/>
        </w:rPr>
        <w:t>et al</w:t>
      </w:r>
      <w:r w:rsidRPr="009978E3">
        <w:rPr>
          <w:rFonts w:eastAsia="MS Mincho"/>
          <w:sz w:val="22"/>
          <w:szCs w:val="22"/>
        </w:rPr>
        <w:t>., 2011). This may help to explain the wide diversity of cetacean species that have been encountered in this specific region, encompassing endangered whale species, deep diving toothed whales, warm-water as well as sub-polar/polar species, apex predator species, several smaller dolphin species and also the harbour porpoise (</w:t>
      </w:r>
      <w:r w:rsidRPr="009978E3">
        <w:rPr>
          <w:rFonts w:eastAsia="MS Mincho"/>
          <w:i/>
          <w:sz w:val="22"/>
          <w:szCs w:val="22"/>
        </w:rPr>
        <w:t>Phocoena phocoena</w:t>
      </w:r>
      <w:r w:rsidRPr="009978E3">
        <w:rPr>
          <w:rFonts w:eastAsia="MS Mincho"/>
          <w:sz w:val="22"/>
          <w:szCs w:val="22"/>
        </w:rPr>
        <w:t xml:space="preserve">) that is more commonly </w:t>
      </w:r>
      <w:r w:rsidRPr="002E4B39">
        <w:rPr>
          <w:rFonts w:eastAsia="MS Mincho"/>
          <w:sz w:val="22"/>
          <w:szCs w:val="22"/>
          <w:lang w:val="en-US"/>
        </w:rPr>
        <w:t>known</w:t>
      </w:r>
      <w:r w:rsidRPr="009978E3">
        <w:rPr>
          <w:rFonts w:eastAsia="MS Mincho"/>
          <w:sz w:val="22"/>
          <w:szCs w:val="22"/>
        </w:rPr>
        <w:t xml:space="preserve"> as a shallow continental shelf species.</w:t>
      </w:r>
    </w:p>
    <w:p w14:paraId="09235FB7"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Among the six baleen whale species known to occur in the area (</w:t>
      </w:r>
      <w:r>
        <w:rPr>
          <w:rFonts w:eastAsia="MS Mincho"/>
          <w:sz w:val="22"/>
          <w:szCs w:val="22"/>
        </w:rPr>
        <w:t>e.g.,</w:t>
      </w:r>
      <w:r w:rsidRPr="009978E3">
        <w:rPr>
          <w:rFonts w:eastAsia="MS Mincho"/>
          <w:sz w:val="22"/>
          <w:szCs w:val="22"/>
        </w:rPr>
        <w:t xml:space="preserve"> Charif &amp; Clark, 2009; Kavanagh </w:t>
      </w:r>
      <w:r w:rsidRPr="0006066A">
        <w:rPr>
          <w:rFonts w:eastAsia="MS Mincho"/>
          <w:i/>
          <w:sz w:val="22"/>
          <w:szCs w:val="22"/>
        </w:rPr>
        <w:t>et al</w:t>
      </w:r>
      <w:r w:rsidRPr="009978E3">
        <w:rPr>
          <w:rFonts w:eastAsia="MS Mincho"/>
          <w:sz w:val="22"/>
          <w:szCs w:val="22"/>
        </w:rPr>
        <w:t xml:space="preserve">., 2017; Ó Cadhla </w:t>
      </w:r>
      <w:r w:rsidRPr="0006066A">
        <w:rPr>
          <w:rFonts w:eastAsia="MS Mincho"/>
          <w:i/>
          <w:sz w:val="22"/>
          <w:szCs w:val="22"/>
        </w:rPr>
        <w:t>et al</w:t>
      </w:r>
      <w:r w:rsidRPr="009978E3">
        <w:rPr>
          <w:rFonts w:eastAsia="MS Mincho"/>
          <w:sz w:val="22"/>
          <w:szCs w:val="22"/>
        </w:rPr>
        <w:t xml:space="preserve">., 2004; Reid </w:t>
      </w:r>
      <w:r w:rsidRPr="0006066A">
        <w:rPr>
          <w:rFonts w:eastAsia="MS Mincho"/>
          <w:i/>
          <w:sz w:val="22"/>
          <w:szCs w:val="22"/>
        </w:rPr>
        <w:t>et al</w:t>
      </w:r>
      <w:r w:rsidRPr="009978E3">
        <w:rPr>
          <w:rFonts w:eastAsia="MS Mincho"/>
          <w:sz w:val="22"/>
          <w:szCs w:val="22"/>
        </w:rPr>
        <w:t xml:space="preserve">., 2003; Wall </w:t>
      </w:r>
      <w:r w:rsidRPr="0006066A">
        <w:rPr>
          <w:rFonts w:eastAsia="MS Mincho"/>
          <w:i/>
          <w:sz w:val="22"/>
          <w:szCs w:val="22"/>
        </w:rPr>
        <w:t>et al</w:t>
      </w:r>
      <w:r w:rsidRPr="009978E3">
        <w:rPr>
          <w:rFonts w:eastAsia="MS Mincho"/>
          <w:sz w:val="22"/>
          <w:szCs w:val="22"/>
        </w:rPr>
        <w:t>., 2013) the migratory Sei Whale (</w:t>
      </w:r>
      <w:r w:rsidRPr="009978E3">
        <w:rPr>
          <w:rFonts w:eastAsia="MS Mincho"/>
          <w:i/>
          <w:sz w:val="22"/>
          <w:szCs w:val="22"/>
        </w:rPr>
        <w:t>Balaenoptera borealis</w:t>
      </w:r>
      <w:r w:rsidRPr="009978E3">
        <w:rPr>
          <w:rFonts w:eastAsia="MS Mincho"/>
          <w:sz w:val="22"/>
          <w:szCs w:val="22"/>
        </w:rPr>
        <w:t>) and Blue Whale (</w:t>
      </w:r>
      <w:r w:rsidRPr="009978E3">
        <w:rPr>
          <w:rFonts w:eastAsia="MS Mincho"/>
          <w:i/>
          <w:sz w:val="22"/>
          <w:szCs w:val="22"/>
        </w:rPr>
        <w:t>Balaenoptera musculus</w:t>
      </w:r>
      <w:r w:rsidRPr="009978E3">
        <w:rPr>
          <w:rFonts w:eastAsia="MS Mincho"/>
          <w:sz w:val="22"/>
          <w:szCs w:val="22"/>
        </w:rPr>
        <w:t>) are listed as Endangered by the IUCN while other large migratory whales such as Humpback Whale (</w:t>
      </w:r>
      <w:r w:rsidRPr="009978E3">
        <w:rPr>
          <w:rFonts w:eastAsia="MS Mincho"/>
          <w:i/>
          <w:sz w:val="22"/>
          <w:szCs w:val="22"/>
        </w:rPr>
        <w:t>Megaptera novaeangliae</w:t>
      </w:r>
      <w:r w:rsidRPr="009978E3">
        <w:rPr>
          <w:rFonts w:eastAsia="MS Mincho"/>
          <w:sz w:val="22"/>
          <w:szCs w:val="22"/>
        </w:rPr>
        <w:t>), Fin Whale (</w:t>
      </w:r>
      <w:r w:rsidRPr="009978E3">
        <w:rPr>
          <w:rFonts w:eastAsia="MS Mincho"/>
          <w:i/>
          <w:sz w:val="22"/>
          <w:szCs w:val="22"/>
        </w:rPr>
        <w:t>Balaenoptera physalus</w:t>
      </w:r>
      <w:r w:rsidRPr="009978E3">
        <w:rPr>
          <w:rFonts w:eastAsia="MS Mincho"/>
          <w:sz w:val="22"/>
          <w:szCs w:val="22"/>
        </w:rPr>
        <w:t>) also occur in the region. The critically endangered Northern Right Whale (</w:t>
      </w:r>
      <w:r w:rsidRPr="009978E3">
        <w:rPr>
          <w:rFonts w:eastAsia="MS Mincho"/>
          <w:i/>
          <w:sz w:val="22"/>
          <w:szCs w:val="22"/>
        </w:rPr>
        <w:t>Eubalaena glacialis</w:t>
      </w:r>
      <w:r w:rsidRPr="009978E3">
        <w:rPr>
          <w:rFonts w:eastAsia="MS Mincho"/>
          <w:sz w:val="22"/>
          <w:szCs w:val="22"/>
        </w:rPr>
        <w:t xml:space="preserve">), whose numbers in the Atlantic have been reduced by historical whaling and other human impacts to only a few hundred individuals, has also been observed in this region, representing a rare but significant </w:t>
      </w:r>
      <w:r w:rsidRPr="002E4B39">
        <w:rPr>
          <w:rFonts w:eastAsia="MS Mincho"/>
          <w:sz w:val="22"/>
          <w:szCs w:val="22"/>
          <w:lang w:val="en-US"/>
        </w:rPr>
        <w:t>occurrence</w:t>
      </w:r>
      <w:r w:rsidRPr="009978E3">
        <w:rPr>
          <w:rFonts w:eastAsia="MS Mincho"/>
          <w:sz w:val="22"/>
          <w:szCs w:val="22"/>
        </w:rPr>
        <w:t>.</w:t>
      </w:r>
    </w:p>
    <w:p w14:paraId="1B553F80"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In addition to the presence of numerous baleen whale species, more than 12 toothed cetacean species have been recorded within the area, comprising deep-diving and ecologically vulnerable beaked whales (Hammond </w:t>
      </w:r>
      <w:r w:rsidRPr="0006066A">
        <w:rPr>
          <w:rFonts w:eastAsia="MS Mincho"/>
          <w:i/>
          <w:sz w:val="22"/>
          <w:szCs w:val="22"/>
        </w:rPr>
        <w:t>et al</w:t>
      </w:r>
      <w:r w:rsidRPr="009978E3">
        <w:rPr>
          <w:rFonts w:eastAsia="MS Mincho"/>
          <w:sz w:val="22"/>
          <w:szCs w:val="22"/>
        </w:rPr>
        <w:t xml:space="preserve">., 2009; Kavanagh </w:t>
      </w:r>
      <w:r w:rsidRPr="0006066A">
        <w:rPr>
          <w:rFonts w:eastAsia="MS Mincho"/>
          <w:i/>
          <w:sz w:val="22"/>
          <w:szCs w:val="22"/>
        </w:rPr>
        <w:t>et al</w:t>
      </w:r>
      <w:r w:rsidRPr="009978E3">
        <w:rPr>
          <w:rFonts w:eastAsia="MS Mincho"/>
          <w:sz w:val="22"/>
          <w:szCs w:val="22"/>
        </w:rPr>
        <w:t xml:space="preserve">., 2017; Ó Cadhla </w:t>
      </w:r>
      <w:r w:rsidRPr="0006066A">
        <w:rPr>
          <w:rFonts w:eastAsia="MS Mincho"/>
          <w:i/>
          <w:sz w:val="22"/>
          <w:szCs w:val="22"/>
        </w:rPr>
        <w:t>et al</w:t>
      </w:r>
      <w:r w:rsidRPr="009978E3">
        <w:rPr>
          <w:rFonts w:eastAsia="MS Mincho"/>
          <w:sz w:val="22"/>
          <w:szCs w:val="22"/>
        </w:rPr>
        <w:t xml:space="preserve">., 2004; Rogan </w:t>
      </w:r>
      <w:r w:rsidRPr="0006066A">
        <w:rPr>
          <w:rFonts w:eastAsia="MS Mincho"/>
          <w:i/>
          <w:sz w:val="22"/>
          <w:szCs w:val="22"/>
        </w:rPr>
        <w:t>et al</w:t>
      </w:r>
      <w:r w:rsidRPr="009978E3">
        <w:rPr>
          <w:rFonts w:eastAsia="MS Mincho"/>
          <w:sz w:val="22"/>
          <w:szCs w:val="22"/>
        </w:rPr>
        <w:t xml:space="preserve">., 2017; Reid </w:t>
      </w:r>
      <w:r w:rsidRPr="0006066A">
        <w:rPr>
          <w:rFonts w:eastAsia="MS Mincho"/>
          <w:i/>
          <w:sz w:val="22"/>
          <w:szCs w:val="22"/>
        </w:rPr>
        <w:t>et al</w:t>
      </w:r>
      <w:r w:rsidRPr="009978E3">
        <w:rPr>
          <w:rFonts w:eastAsia="MS Mincho"/>
          <w:sz w:val="22"/>
          <w:szCs w:val="22"/>
        </w:rPr>
        <w:t>., 2003), Sperm Whales (</w:t>
      </w:r>
      <w:r w:rsidRPr="009978E3">
        <w:rPr>
          <w:rFonts w:eastAsia="MS Mincho"/>
          <w:i/>
          <w:sz w:val="22"/>
          <w:szCs w:val="22"/>
        </w:rPr>
        <w:t>Physeter microcephalus</w:t>
      </w:r>
      <w:r w:rsidRPr="009978E3">
        <w:rPr>
          <w:rFonts w:eastAsia="MS Mincho"/>
          <w:sz w:val="22"/>
          <w:szCs w:val="22"/>
        </w:rPr>
        <w:t>) and Long-finned Pilot Whales (</w:t>
      </w:r>
      <w:r w:rsidRPr="009978E3">
        <w:rPr>
          <w:rFonts w:eastAsia="MS Mincho"/>
          <w:i/>
          <w:sz w:val="22"/>
          <w:szCs w:val="22"/>
        </w:rPr>
        <w:t>Globicephala melas</w:t>
      </w:r>
      <w:r w:rsidRPr="009978E3">
        <w:rPr>
          <w:rFonts w:eastAsia="MS Mincho"/>
          <w:sz w:val="22"/>
          <w:szCs w:val="22"/>
        </w:rPr>
        <w:t xml:space="preserve">) (Kavanagh </w:t>
      </w:r>
      <w:r w:rsidRPr="0006066A">
        <w:rPr>
          <w:rFonts w:eastAsia="MS Mincho"/>
          <w:i/>
          <w:sz w:val="22"/>
          <w:szCs w:val="22"/>
        </w:rPr>
        <w:t>et al</w:t>
      </w:r>
      <w:r w:rsidRPr="009978E3">
        <w:rPr>
          <w:rFonts w:eastAsia="MS Mincho"/>
          <w:sz w:val="22"/>
          <w:szCs w:val="22"/>
        </w:rPr>
        <w:t xml:space="preserve">., 2017; Ó Cadhla </w:t>
      </w:r>
      <w:r w:rsidRPr="0006066A">
        <w:rPr>
          <w:rFonts w:eastAsia="MS Mincho"/>
          <w:i/>
          <w:sz w:val="22"/>
          <w:szCs w:val="22"/>
        </w:rPr>
        <w:t>et al</w:t>
      </w:r>
      <w:r w:rsidRPr="009978E3">
        <w:rPr>
          <w:rFonts w:eastAsia="MS Mincho"/>
          <w:sz w:val="22"/>
          <w:szCs w:val="22"/>
        </w:rPr>
        <w:t xml:space="preserve">., 2004; Rogan </w:t>
      </w:r>
      <w:r w:rsidRPr="0006066A">
        <w:rPr>
          <w:rFonts w:eastAsia="MS Mincho"/>
          <w:i/>
          <w:sz w:val="22"/>
          <w:szCs w:val="22"/>
        </w:rPr>
        <w:t>et al</w:t>
      </w:r>
      <w:r w:rsidRPr="009978E3">
        <w:rPr>
          <w:rFonts w:eastAsia="MS Mincho"/>
          <w:sz w:val="22"/>
          <w:szCs w:val="22"/>
        </w:rPr>
        <w:t xml:space="preserve">., 2017; Reid </w:t>
      </w:r>
      <w:r w:rsidRPr="0006066A">
        <w:rPr>
          <w:rFonts w:eastAsia="MS Mincho"/>
          <w:i/>
          <w:sz w:val="22"/>
          <w:szCs w:val="22"/>
        </w:rPr>
        <w:t>et al</w:t>
      </w:r>
      <w:r w:rsidRPr="009978E3">
        <w:rPr>
          <w:rFonts w:eastAsia="MS Mincho"/>
          <w:sz w:val="22"/>
          <w:szCs w:val="22"/>
        </w:rPr>
        <w:t xml:space="preserve">., 2003; Wall </w:t>
      </w:r>
      <w:r w:rsidRPr="0006066A">
        <w:rPr>
          <w:rFonts w:eastAsia="MS Mincho"/>
          <w:i/>
          <w:sz w:val="22"/>
          <w:szCs w:val="22"/>
        </w:rPr>
        <w:t>et al</w:t>
      </w:r>
      <w:r w:rsidRPr="009978E3">
        <w:rPr>
          <w:rFonts w:eastAsia="MS Mincho"/>
          <w:sz w:val="22"/>
          <w:szCs w:val="22"/>
        </w:rPr>
        <w:t>., 2013) plus higher predatory Killer Whale (</w:t>
      </w:r>
      <w:r w:rsidRPr="009978E3">
        <w:rPr>
          <w:rFonts w:eastAsia="MS Mincho"/>
          <w:i/>
          <w:sz w:val="22"/>
          <w:szCs w:val="22"/>
        </w:rPr>
        <w:t>Orcinus orca</w:t>
      </w:r>
      <w:r w:rsidRPr="009978E3">
        <w:rPr>
          <w:rFonts w:eastAsia="MS Mincho"/>
          <w:sz w:val="22"/>
          <w:szCs w:val="22"/>
        </w:rPr>
        <w:t>) and False Killer Whale (</w:t>
      </w:r>
      <w:r w:rsidRPr="009978E3">
        <w:rPr>
          <w:rFonts w:eastAsia="MS Mincho"/>
          <w:i/>
          <w:sz w:val="22"/>
          <w:szCs w:val="22"/>
        </w:rPr>
        <w:t>Pseudorca crassidens</w:t>
      </w:r>
      <w:r w:rsidRPr="009978E3">
        <w:rPr>
          <w:rFonts w:eastAsia="MS Mincho"/>
          <w:sz w:val="22"/>
          <w:szCs w:val="22"/>
        </w:rPr>
        <w:t xml:space="preserve">) (Ó Cadhla </w:t>
      </w:r>
      <w:r w:rsidRPr="0006066A">
        <w:rPr>
          <w:rFonts w:eastAsia="MS Mincho"/>
          <w:i/>
          <w:sz w:val="22"/>
          <w:szCs w:val="22"/>
        </w:rPr>
        <w:t>et al</w:t>
      </w:r>
      <w:r w:rsidRPr="009978E3">
        <w:rPr>
          <w:rFonts w:eastAsia="MS Mincho"/>
          <w:sz w:val="22"/>
          <w:szCs w:val="22"/>
        </w:rPr>
        <w:t xml:space="preserve">., 2004; Reid </w:t>
      </w:r>
      <w:r w:rsidRPr="0006066A">
        <w:rPr>
          <w:rFonts w:eastAsia="MS Mincho"/>
          <w:i/>
          <w:sz w:val="22"/>
          <w:szCs w:val="22"/>
        </w:rPr>
        <w:t>et al</w:t>
      </w:r>
      <w:r w:rsidRPr="009978E3">
        <w:rPr>
          <w:rFonts w:eastAsia="MS Mincho"/>
          <w:sz w:val="22"/>
          <w:szCs w:val="22"/>
        </w:rPr>
        <w:t>., 2003). The latter species is generally considered to be a subtropical or warm temperate species, as is the Striped Dolphin (</w:t>
      </w:r>
      <w:r w:rsidRPr="009978E3">
        <w:rPr>
          <w:rFonts w:eastAsia="MS Mincho"/>
          <w:i/>
          <w:sz w:val="22"/>
          <w:szCs w:val="22"/>
        </w:rPr>
        <w:t>Stenella coeruleoalba</w:t>
      </w:r>
      <w:r w:rsidRPr="009978E3">
        <w:rPr>
          <w:rFonts w:eastAsia="MS Mincho"/>
          <w:sz w:val="22"/>
          <w:szCs w:val="22"/>
        </w:rPr>
        <w:t xml:space="preserve">), which has also been recorded in this area (Kavanagh </w:t>
      </w:r>
      <w:r w:rsidRPr="0006066A">
        <w:rPr>
          <w:rFonts w:eastAsia="MS Mincho"/>
          <w:i/>
          <w:sz w:val="22"/>
          <w:szCs w:val="22"/>
        </w:rPr>
        <w:t>et al</w:t>
      </w:r>
      <w:r w:rsidRPr="009978E3">
        <w:rPr>
          <w:rFonts w:eastAsia="MS Mincho"/>
          <w:sz w:val="22"/>
          <w:szCs w:val="22"/>
        </w:rPr>
        <w:t xml:space="preserve">., 2017; Ó Cadhla </w:t>
      </w:r>
      <w:r w:rsidRPr="0006066A">
        <w:rPr>
          <w:rFonts w:eastAsia="MS Mincho"/>
          <w:i/>
          <w:sz w:val="22"/>
          <w:szCs w:val="22"/>
        </w:rPr>
        <w:t>et al</w:t>
      </w:r>
      <w:r w:rsidRPr="009978E3">
        <w:rPr>
          <w:rFonts w:eastAsia="MS Mincho"/>
          <w:sz w:val="22"/>
          <w:szCs w:val="22"/>
        </w:rPr>
        <w:t>., 2004). With regard to the deep diving species it is the margins of the area, where the slope and waters exceeding 1000m depth occur, that appear to be most significant. Of further interest is that the Hatton-Rockall area is also home to cetaceans more commonly thought of as primarily coastal and/or continental shelf dwelling such as Minke Whale (</w:t>
      </w:r>
      <w:r w:rsidRPr="009978E3">
        <w:rPr>
          <w:rFonts w:eastAsia="MS Mincho"/>
          <w:i/>
          <w:sz w:val="22"/>
          <w:szCs w:val="22"/>
        </w:rPr>
        <w:t>Balaenoptera acutorostrata</w:t>
      </w:r>
      <w:r w:rsidRPr="009978E3">
        <w:rPr>
          <w:rFonts w:eastAsia="MS Mincho"/>
          <w:sz w:val="22"/>
          <w:szCs w:val="22"/>
        </w:rPr>
        <w:t>), Atlantic White-</w:t>
      </w:r>
      <w:r w:rsidRPr="002E4B39">
        <w:rPr>
          <w:rFonts w:eastAsia="MS Mincho"/>
          <w:sz w:val="22"/>
          <w:szCs w:val="22"/>
          <w:lang w:val="en-US"/>
        </w:rPr>
        <w:t>sided</w:t>
      </w:r>
      <w:r w:rsidRPr="009978E3">
        <w:rPr>
          <w:rFonts w:eastAsia="MS Mincho"/>
          <w:sz w:val="22"/>
          <w:szCs w:val="22"/>
        </w:rPr>
        <w:t xml:space="preserve"> Dolphin (</w:t>
      </w:r>
      <w:r w:rsidRPr="009978E3">
        <w:rPr>
          <w:rFonts w:eastAsia="MS Mincho"/>
          <w:i/>
          <w:sz w:val="22"/>
          <w:szCs w:val="22"/>
        </w:rPr>
        <w:t>Lagenorhynchus acutus</w:t>
      </w:r>
      <w:r w:rsidRPr="009978E3">
        <w:rPr>
          <w:rFonts w:eastAsia="MS Mincho"/>
          <w:sz w:val="22"/>
          <w:szCs w:val="22"/>
        </w:rPr>
        <w:t>) and Common Bottlenose Dolphin (</w:t>
      </w:r>
      <w:r w:rsidRPr="009978E3">
        <w:rPr>
          <w:rFonts w:eastAsia="MS Mincho"/>
          <w:i/>
          <w:sz w:val="22"/>
          <w:szCs w:val="22"/>
        </w:rPr>
        <w:t>Tursiops truncatus</w:t>
      </w:r>
      <w:r w:rsidRPr="009978E3">
        <w:rPr>
          <w:rFonts w:eastAsia="MS Mincho"/>
          <w:sz w:val="22"/>
          <w:szCs w:val="22"/>
        </w:rPr>
        <w:t xml:space="preserve">). </w:t>
      </w:r>
    </w:p>
    <w:p w14:paraId="1C0B098A"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In summary, with respect to pelagic communities/populations, this site fits the following EBSA criteria:</w:t>
      </w:r>
    </w:p>
    <w:p w14:paraId="4FCAD45F" w14:textId="77777777" w:rsidR="006B3F46" w:rsidRPr="009978E3" w:rsidRDefault="006B3F46" w:rsidP="00907941">
      <w:pPr>
        <w:jc w:val="both"/>
        <w:rPr>
          <w:rFonts w:eastAsia="MS Mincho"/>
          <w:b/>
          <w:bCs/>
          <w:sz w:val="22"/>
          <w:szCs w:val="22"/>
        </w:rPr>
      </w:pPr>
      <w:r w:rsidRPr="009978E3">
        <w:rPr>
          <w:rFonts w:eastAsia="MS Mincho"/>
          <w:b/>
          <w:bCs/>
          <w:sz w:val="22"/>
          <w:szCs w:val="22"/>
        </w:rPr>
        <w:t>Uniqueness or rarity</w:t>
      </w:r>
    </w:p>
    <w:p w14:paraId="33422C56" w14:textId="77777777" w:rsidR="006B3F46" w:rsidRPr="009978E3" w:rsidRDefault="006B3F46" w:rsidP="006B3F46">
      <w:pPr>
        <w:numPr>
          <w:ilvl w:val="0"/>
          <w:numId w:val="49"/>
        </w:numPr>
        <w:ind w:left="426"/>
        <w:jc w:val="both"/>
        <w:rPr>
          <w:rFonts w:eastAsia="MS Mincho"/>
          <w:b/>
          <w:bCs/>
          <w:sz w:val="22"/>
          <w:szCs w:val="22"/>
        </w:rPr>
      </w:pPr>
      <w:r w:rsidRPr="009978E3">
        <w:rPr>
          <w:rFonts w:eastAsia="MS Mincho"/>
          <w:sz w:val="22"/>
          <w:szCs w:val="22"/>
        </w:rPr>
        <w:t>The area is considered rare in that it is an extensive, comparatively shallow offshore bank and basin system situated directly in the pathway of the broader Gulf Stream and North Atlantic Current, and within the known migratory routes of numerous vertebrate species.</w:t>
      </w:r>
    </w:p>
    <w:p w14:paraId="0CABA155" w14:textId="77777777" w:rsidR="006B3F46" w:rsidRPr="009978E3" w:rsidRDefault="006B3F46" w:rsidP="00907941">
      <w:pPr>
        <w:jc w:val="both"/>
        <w:rPr>
          <w:rFonts w:eastAsia="MS Mincho"/>
          <w:b/>
          <w:bCs/>
          <w:sz w:val="22"/>
          <w:szCs w:val="22"/>
        </w:rPr>
      </w:pPr>
    </w:p>
    <w:p w14:paraId="2F58F54C" w14:textId="77777777" w:rsidR="006B3F46" w:rsidRPr="009978E3" w:rsidRDefault="006B3F46" w:rsidP="00907941">
      <w:pPr>
        <w:jc w:val="both"/>
        <w:rPr>
          <w:rFonts w:eastAsia="MS Mincho"/>
          <w:b/>
          <w:bCs/>
          <w:sz w:val="22"/>
          <w:szCs w:val="22"/>
        </w:rPr>
      </w:pPr>
      <w:r w:rsidRPr="009978E3">
        <w:rPr>
          <w:rFonts w:eastAsia="MS Mincho"/>
          <w:b/>
          <w:bCs/>
          <w:sz w:val="22"/>
          <w:szCs w:val="22"/>
        </w:rPr>
        <w:t>Importance for threatened, endangered or declining species/habitats</w:t>
      </w:r>
    </w:p>
    <w:p w14:paraId="02C74007" w14:textId="77777777" w:rsidR="006B3F46" w:rsidRPr="009978E3" w:rsidRDefault="006B3F46" w:rsidP="006B3F46">
      <w:pPr>
        <w:numPr>
          <w:ilvl w:val="0"/>
          <w:numId w:val="47"/>
        </w:numPr>
        <w:ind w:left="426"/>
        <w:jc w:val="both"/>
        <w:rPr>
          <w:rFonts w:eastAsia="MS Mincho"/>
          <w:sz w:val="22"/>
          <w:szCs w:val="22"/>
        </w:rPr>
      </w:pPr>
      <w:r w:rsidRPr="009978E3">
        <w:rPr>
          <w:rFonts w:eastAsia="MS Mincho"/>
          <w:sz w:val="22"/>
          <w:szCs w:val="22"/>
        </w:rPr>
        <w:t>A number of endangered and significantly depleted whale species occur in this area.</w:t>
      </w:r>
    </w:p>
    <w:p w14:paraId="30EFF0BC" w14:textId="77777777" w:rsidR="006B3F46" w:rsidRPr="009978E3" w:rsidRDefault="006B3F46" w:rsidP="00907941">
      <w:pPr>
        <w:jc w:val="both"/>
        <w:rPr>
          <w:rFonts w:eastAsia="MS Mincho"/>
          <w:b/>
          <w:bCs/>
          <w:sz w:val="22"/>
          <w:szCs w:val="22"/>
        </w:rPr>
      </w:pPr>
    </w:p>
    <w:p w14:paraId="7FF32BDF" w14:textId="77777777" w:rsidR="006B3F46" w:rsidRPr="009978E3" w:rsidRDefault="006B3F46" w:rsidP="00907941">
      <w:pPr>
        <w:jc w:val="both"/>
        <w:rPr>
          <w:rFonts w:eastAsia="MS Mincho"/>
          <w:b/>
          <w:bCs/>
          <w:sz w:val="22"/>
          <w:szCs w:val="22"/>
        </w:rPr>
      </w:pPr>
      <w:r w:rsidRPr="009978E3">
        <w:rPr>
          <w:rFonts w:eastAsia="MS Mincho"/>
          <w:b/>
          <w:bCs/>
          <w:sz w:val="22"/>
          <w:szCs w:val="22"/>
        </w:rPr>
        <w:t>Vulnerability, fragility, sensitivity, or slow recovery</w:t>
      </w:r>
    </w:p>
    <w:p w14:paraId="2EE6F71C" w14:textId="77777777" w:rsidR="006B3F46" w:rsidRPr="009978E3" w:rsidRDefault="006B3F46" w:rsidP="006B3F46">
      <w:pPr>
        <w:numPr>
          <w:ilvl w:val="0"/>
          <w:numId w:val="47"/>
        </w:numPr>
        <w:ind w:left="426"/>
        <w:jc w:val="both"/>
        <w:rPr>
          <w:rFonts w:eastAsia="MS Mincho"/>
          <w:b/>
          <w:bCs/>
          <w:sz w:val="22"/>
          <w:szCs w:val="22"/>
        </w:rPr>
      </w:pPr>
      <w:r w:rsidRPr="009978E3">
        <w:rPr>
          <w:rFonts w:eastAsia="MS Mincho"/>
          <w:sz w:val="22"/>
          <w:szCs w:val="22"/>
        </w:rPr>
        <w:t>The baleen whale species recorded within the area have reproductive cycles with long generation times leading to very slow recoveries following significant human impact over many decades (</w:t>
      </w:r>
      <w:r>
        <w:rPr>
          <w:rFonts w:eastAsia="MS Mincho"/>
          <w:sz w:val="22"/>
          <w:szCs w:val="22"/>
        </w:rPr>
        <w:t>e.g.</w:t>
      </w:r>
      <w:r w:rsidRPr="009978E3">
        <w:rPr>
          <w:rFonts w:eastAsia="MS Mincho"/>
          <w:sz w:val="22"/>
          <w:szCs w:val="22"/>
        </w:rPr>
        <w:t xml:space="preserve">, historical whaling, natural resource exploitation). </w:t>
      </w:r>
    </w:p>
    <w:p w14:paraId="6DA2B2A1" w14:textId="77777777" w:rsidR="006B3F46" w:rsidRPr="009978E3" w:rsidRDefault="006B3F46" w:rsidP="00907941">
      <w:pPr>
        <w:jc w:val="both"/>
        <w:rPr>
          <w:rFonts w:eastAsia="MS Mincho"/>
          <w:b/>
          <w:bCs/>
          <w:sz w:val="22"/>
          <w:szCs w:val="22"/>
        </w:rPr>
      </w:pPr>
    </w:p>
    <w:p w14:paraId="15ABB2F1" w14:textId="77777777" w:rsidR="006B3F46" w:rsidRPr="009978E3" w:rsidRDefault="006B3F46" w:rsidP="00907941">
      <w:pPr>
        <w:jc w:val="both"/>
        <w:rPr>
          <w:rFonts w:eastAsia="MS Mincho"/>
          <w:b/>
          <w:bCs/>
          <w:color w:val="000000"/>
          <w:sz w:val="22"/>
          <w:szCs w:val="22"/>
          <w:lang w:val="en-US"/>
        </w:rPr>
      </w:pPr>
      <w:r w:rsidRPr="009978E3">
        <w:rPr>
          <w:rFonts w:eastAsia="MS Mincho"/>
          <w:b/>
          <w:bCs/>
          <w:color w:val="000000"/>
          <w:sz w:val="22"/>
          <w:szCs w:val="22"/>
          <w:lang w:val="en-US"/>
        </w:rPr>
        <w:t>Biological productivity</w:t>
      </w:r>
    </w:p>
    <w:p w14:paraId="76FC831E" w14:textId="77777777" w:rsidR="006B3F46" w:rsidRPr="009978E3" w:rsidRDefault="006B3F46" w:rsidP="006B3F46">
      <w:pPr>
        <w:numPr>
          <w:ilvl w:val="0"/>
          <w:numId w:val="56"/>
        </w:numPr>
        <w:ind w:left="426"/>
        <w:jc w:val="both"/>
        <w:rPr>
          <w:rFonts w:eastAsia="MS Mincho"/>
          <w:b/>
          <w:bCs/>
          <w:sz w:val="22"/>
          <w:szCs w:val="22"/>
        </w:rPr>
      </w:pPr>
      <w:r w:rsidRPr="009978E3">
        <w:rPr>
          <w:rFonts w:eastAsia="MS Mincho"/>
          <w:color w:val="000000"/>
          <w:sz w:val="22"/>
          <w:szCs w:val="22"/>
          <w:lang w:val="en-US"/>
        </w:rPr>
        <w:t xml:space="preserve">The occurrence of numerous long-distance migratory seabird species in this region is indicative of its potential primary and/or secondary productivity and its comparative importance outside of areas subject to more intensive maritime resource use and management. </w:t>
      </w:r>
    </w:p>
    <w:p w14:paraId="503EFF3F" w14:textId="77777777" w:rsidR="006B3F46" w:rsidRPr="009978E3" w:rsidRDefault="006B3F46" w:rsidP="00907941">
      <w:pPr>
        <w:ind w:left="720"/>
        <w:jc w:val="both"/>
        <w:rPr>
          <w:rFonts w:eastAsia="MS Mincho"/>
          <w:b/>
          <w:bCs/>
          <w:sz w:val="22"/>
          <w:szCs w:val="22"/>
        </w:rPr>
      </w:pPr>
    </w:p>
    <w:p w14:paraId="1BD2FCB7" w14:textId="77777777" w:rsidR="006B3F46" w:rsidRPr="009978E3" w:rsidRDefault="006B3F46" w:rsidP="00907941">
      <w:pPr>
        <w:jc w:val="both"/>
        <w:rPr>
          <w:rFonts w:eastAsia="MS Mincho"/>
          <w:b/>
          <w:bCs/>
          <w:sz w:val="22"/>
          <w:szCs w:val="22"/>
        </w:rPr>
      </w:pPr>
      <w:r w:rsidRPr="009978E3">
        <w:rPr>
          <w:rFonts w:eastAsia="MS Mincho"/>
          <w:b/>
          <w:bCs/>
          <w:sz w:val="22"/>
          <w:szCs w:val="22"/>
        </w:rPr>
        <w:t>Biological diversity</w:t>
      </w:r>
    </w:p>
    <w:p w14:paraId="0835B061" w14:textId="77777777" w:rsidR="006B3F46" w:rsidRPr="009978E3" w:rsidRDefault="006B3F46" w:rsidP="006B3F46">
      <w:pPr>
        <w:numPr>
          <w:ilvl w:val="0"/>
          <w:numId w:val="49"/>
        </w:numPr>
        <w:ind w:left="426"/>
        <w:jc w:val="both"/>
        <w:rPr>
          <w:rFonts w:eastAsia="MS Mincho"/>
          <w:sz w:val="22"/>
          <w:szCs w:val="22"/>
        </w:rPr>
      </w:pPr>
      <w:r w:rsidRPr="009978E3">
        <w:rPr>
          <w:rFonts w:eastAsia="MS Mincho"/>
          <w:sz w:val="22"/>
          <w:szCs w:val="22"/>
        </w:rPr>
        <w:t>Many pelagic communities/populations occupy the waters in and around the Hatton and Rockall Banks and Hatton-Rockall Basin, representing a highly biodiverse pelagic assemblage.</w:t>
      </w:r>
    </w:p>
    <w:p w14:paraId="0EBC400D" w14:textId="77777777" w:rsidR="006B3F46" w:rsidRPr="009978E3" w:rsidRDefault="006B3F46" w:rsidP="006B3F46">
      <w:pPr>
        <w:numPr>
          <w:ilvl w:val="0"/>
          <w:numId w:val="49"/>
        </w:numPr>
        <w:ind w:left="426"/>
        <w:jc w:val="both"/>
        <w:rPr>
          <w:rFonts w:eastAsia="MS Mincho"/>
          <w:sz w:val="22"/>
          <w:szCs w:val="22"/>
        </w:rPr>
      </w:pPr>
      <w:r w:rsidRPr="009978E3">
        <w:rPr>
          <w:rFonts w:eastAsia="MS Mincho"/>
          <w:sz w:val="22"/>
          <w:szCs w:val="22"/>
        </w:rPr>
        <w:t>Vertebrate species found in the site represent a diverse collection of functional ecological niches from surface-feeding and shallow-diving seabirds and baleen whales, to fast-swimming predatory fish and toothed cetaceans, to slower-moving and highly specialised deep-diving whales.</w:t>
      </w:r>
    </w:p>
    <w:p w14:paraId="66F1D8C9" w14:textId="77777777" w:rsidR="006B3F46" w:rsidRPr="009978E3" w:rsidRDefault="006B3F46" w:rsidP="00907941">
      <w:pPr>
        <w:jc w:val="both"/>
        <w:rPr>
          <w:rFonts w:eastAsia="MS Mincho"/>
          <w:sz w:val="22"/>
          <w:szCs w:val="22"/>
          <w:lang w:val="en-US"/>
        </w:rPr>
      </w:pPr>
    </w:p>
    <w:p w14:paraId="67167B59"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Feature condition and future outlook of the area</w:t>
      </w:r>
    </w:p>
    <w:p w14:paraId="6486E77C"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The Hatton-Rockall plateau</w:t>
      </w:r>
      <w:r w:rsidRPr="009978E3">
        <w:rPr>
          <w:sz w:val="22"/>
          <w:szCs w:val="22"/>
        </w:rPr>
        <w:t xml:space="preserve"> </w:t>
      </w:r>
      <w:r w:rsidRPr="009978E3">
        <w:rPr>
          <w:rFonts w:eastAsia="MS Mincho"/>
          <w:sz w:val="22"/>
          <w:szCs w:val="22"/>
        </w:rPr>
        <w:t>straddles national and international waters and as such it is subject to many different regulations arising from multiple regulatory bodies and both national and international policy (</w:t>
      </w:r>
      <w:r w:rsidRPr="002E4B39">
        <w:rPr>
          <w:rFonts w:eastAsia="MS Mincho"/>
          <w:sz w:val="22"/>
          <w:szCs w:val="22"/>
          <w:lang w:val="en-US"/>
        </w:rPr>
        <w:t>Johnson</w:t>
      </w:r>
      <w:r w:rsidRPr="009978E3">
        <w:rPr>
          <w:rFonts w:eastAsia="MS Mincho"/>
          <w:sz w:val="22"/>
          <w:szCs w:val="22"/>
        </w:rPr>
        <w:t xml:space="preserve"> </w:t>
      </w:r>
      <w:r w:rsidRPr="0006066A">
        <w:rPr>
          <w:rFonts w:eastAsia="MS Mincho"/>
          <w:i/>
          <w:sz w:val="22"/>
          <w:szCs w:val="22"/>
        </w:rPr>
        <w:t>et al</w:t>
      </w:r>
      <w:r w:rsidRPr="009978E3">
        <w:rPr>
          <w:rFonts w:eastAsia="MS Mincho"/>
          <w:sz w:val="22"/>
          <w:szCs w:val="22"/>
        </w:rPr>
        <w:t>., 2019).</w:t>
      </w:r>
    </w:p>
    <w:p w14:paraId="04D92C4A"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Demersal fish have been targets of extensive fisheries for decades, expanding primarily in the latter half of the 1980s. </w:t>
      </w:r>
      <w:r w:rsidRPr="002E4B39">
        <w:rPr>
          <w:rFonts w:eastAsia="MS Mincho"/>
          <w:sz w:val="22"/>
          <w:szCs w:val="22"/>
          <w:lang w:val="en-US"/>
        </w:rPr>
        <w:t>Although</w:t>
      </w:r>
      <w:r w:rsidRPr="009978E3">
        <w:rPr>
          <w:rFonts w:eastAsia="MS Mincho"/>
          <w:sz w:val="22"/>
          <w:szCs w:val="22"/>
        </w:rPr>
        <w:t xml:space="preserve"> satisfactory stock assessments were seldom achieved, the probable declines in abundance and increase in vulnerability of many of the target species have been reflected in advice from ICES for many years (ICES 1996 onwards, Large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2003). A range of management actions by NEAFC and relevant coastal states have been implemented to reduce fishing effort and facilitate recovery of target species and some associated by-catch species. A similar range of measures applies to species such as haddock inhabiting the shallowest areas.</w:t>
      </w:r>
    </w:p>
    <w:p w14:paraId="71789793"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Epipelagic species such as mackerel and blue whiting, and large pelagic sharks and tuna-like species occurring in the area are managed by relevant coastal states, NEAFC and ICCAT. Cetaceans are managed by the IWC. The management is based on recurrent stock assessments by ICES and other advisory bodies.</w:t>
      </w:r>
    </w:p>
    <w:p w14:paraId="722DE4C2"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 xml:space="preserve">Records of the physical impact of deep-water trawling west of Scotland extend back to the late 1980s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2000; Gage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2005) and studies using VMS data show that fishing activity potentially affects much of the Hatton-Rockall area (Hall-Spencer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Benn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Damage may occur to structural species such as corals and sponges, which may take hundreds to thousands of years to recover (Hall-Spencer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2002; Davies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2007; Roberts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 Hogg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w:t>
      </w:r>
    </w:p>
    <w:p w14:paraId="5C044C8B" w14:textId="77777777" w:rsidR="006B3F46" w:rsidRPr="009978E3" w:rsidRDefault="006B3F46" w:rsidP="002E4B39">
      <w:pPr>
        <w:suppressLineNumbers/>
        <w:spacing w:after="120"/>
        <w:jc w:val="both"/>
        <w:rPr>
          <w:rFonts w:eastAsia="MS Mincho"/>
          <w:sz w:val="22"/>
          <w:szCs w:val="22"/>
        </w:rPr>
      </w:pPr>
      <w:r w:rsidRPr="009978E3">
        <w:rPr>
          <w:rFonts w:eastAsia="MS Mincho"/>
          <w:sz w:val="22"/>
          <w:szCs w:val="22"/>
        </w:rPr>
        <w:t>A recent survey (</w:t>
      </w:r>
      <w:r w:rsidRPr="002E4B39">
        <w:rPr>
          <w:rFonts w:eastAsia="MS Mincho"/>
          <w:sz w:val="22"/>
          <w:szCs w:val="22"/>
          <w:lang w:val="en-US"/>
        </w:rPr>
        <w:t>2011</w:t>
      </w:r>
      <w:r w:rsidRPr="009978E3">
        <w:rPr>
          <w:rFonts w:eastAsia="MS Mincho"/>
          <w:sz w:val="22"/>
          <w:szCs w:val="22"/>
        </w:rPr>
        <w:t xml:space="preserve">) has documented extensive destruction of coral framework on the northern Rockall Bank (Huvenne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in waters adjacent to the area currently being described. This expedition also encountered evidence of trawling impact on the megafauna of open sedimented areas, with photographic surveys in the area of the 'Haddock Box' (Rockall Bank) showing frequent occurrence of physically damaged holothurians - thought to be net escapees or discarded by-catch.  </w:t>
      </w:r>
      <w:r w:rsidRPr="009978E3">
        <w:rPr>
          <w:rFonts w:eastAsia="MS Mincho"/>
          <w:i/>
          <w:sz w:val="22"/>
          <w:szCs w:val="22"/>
        </w:rPr>
        <w:t>Pheronema carpenteri</w:t>
      </w:r>
      <w:r w:rsidRPr="009978E3">
        <w:rPr>
          <w:rFonts w:eastAsia="MS Mincho"/>
          <w:sz w:val="22"/>
          <w:szCs w:val="22"/>
        </w:rPr>
        <w:t xml:space="preserve"> sponge aggregations and cold seep communities are vulnerable to trawling impacts; seep communities are typically highly localised and are of a relatively small scale such that they could be eliminated by a single trawl. Cold seeps are OSPAR priority habitats for which there are considerable concerns regarding the effects of bottom trawling (van Dover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2011a, b). </w:t>
      </w:r>
    </w:p>
    <w:p w14:paraId="19D006F0"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rPr>
        <w:t>Some of the benthic communities of the Hatton and Rockall Banks have already been significantly affected by deep-water fishing (ICES WGDEC, 2007).  Lost / discarded fishing gear makes up a significant percentage of observed</w:t>
      </w:r>
      <w:r w:rsidRPr="009978E3">
        <w:rPr>
          <w:rFonts w:eastAsia="MS Mincho"/>
          <w:sz w:val="22"/>
          <w:szCs w:val="22"/>
          <w:lang w:val="en-US"/>
        </w:rPr>
        <w:t xml:space="preserve"> seafloor litter on Hatton Bank, and a smaller percentage on Rockall Bank (Pham </w:t>
      </w:r>
      <w:r w:rsidRPr="0006066A">
        <w:rPr>
          <w:rFonts w:eastAsia="MS Mincho"/>
          <w:i/>
          <w:sz w:val="22"/>
          <w:szCs w:val="22"/>
          <w:lang w:val="en-US"/>
        </w:rPr>
        <w:t>et al</w:t>
      </w:r>
      <w:r w:rsidRPr="009978E3">
        <w:rPr>
          <w:rFonts w:eastAsia="MS Mincho"/>
          <w:sz w:val="22"/>
          <w:szCs w:val="22"/>
          <w:lang w:val="en-US"/>
        </w:rPr>
        <w:t xml:space="preserve">., 2015). </w:t>
      </w:r>
      <w:r w:rsidRPr="009978E3">
        <w:rPr>
          <w:rFonts w:eastAsia="MS Mincho"/>
          <w:sz w:val="22"/>
          <w:szCs w:val="22"/>
        </w:rPr>
        <w:t xml:space="preserve">The effects on deep-water fish may extend to waters deeper than those utilised by trawl fisheries (Bailey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2009).</w:t>
      </w:r>
      <w:r w:rsidRPr="009978E3">
        <w:rPr>
          <w:rFonts w:eastAsia="MS Mincho"/>
          <w:sz w:val="22"/>
          <w:szCs w:val="22"/>
          <w:lang w:val="en-US"/>
        </w:rPr>
        <w:t xml:space="preserve"> </w:t>
      </w:r>
      <w:r w:rsidRPr="009978E3">
        <w:rPr>
          <w:rFonts w:eastAsia="MS Mincho"/>
          <w:sz w:val="22"/>
          <w:szCs w:val="22"/>
        </w:rPr>
        <w:t xml:space="preserve">Broad-scale multibeam surveys have revealed a diverse range of geomophological features and sediment types on Hatton Bank (Jacobs and Howell, 2007; Stewart and Davies, 2007; MacLachlan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2008; Sayago-Gil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2010). These physical environment maps, coupled with targeted biological surveys have resulted in the production of biological habitat maps for the region (Howell </w:t>
      </w:r>
      <w:r w:rsidRPr="0006066A">
        <w:rPr>
          <w:rFonts w:eastAsia="MS Mincho"/>
          <w:i/>
          <w:sz w:val="22"/>
          <w:szCs w:val="22"/>
        </w:rPr>
        <w:t>et al</w:t>
      </w:r>
      <w:r w:rsidRPr="009978E3">
        <w:rPr>
          <w:rFonts w:eastAsia="MS Mincho"/>
          <w:i/>
          <w:sz w:val="22"/>
          <w:szCs w:val="22"/>
        </w:rPr>
        <w:t>.,</w:t>
      </w:r>
      <w:r w:rsidRPr="009978E3">
        <w:rPr>
          <w:rFonts w:eastAsia="MS Mincho"/>
          <w:sz w:val="22"/>
          <w:szCs w:val="22"/>
        </w:rPr>
        <w:t xml:space="preserve"> 2011) which highlight the range and diversity of non-coral seabed features present in the area. </w:t>
      </w:r>
    </w:p>
    <w:p w14:paraId="08991A83" w14:textId="77777777" w:rsidR="006B3F46" w:rsidRPr="009978E3" w:rsidRDefault="006B3F46" w:rsidP="002E4B39">
      <w:pPr>
        <w:suppressLineNumbers/>
        <w:spacing w:after="120"/>
        <w:jc w:val="both"/>
        <w:rPr>
          <w:rFonts w:eastAsia="MS Mincho"/>
          <w:sz w:val="22"/>
          <w:szCs w:val="22"/>
          <w:lang w:val="en-US"/>
        </w:rPr>
      </w:pPr>
      <w:r w:rsidRPr="009978E3">
        <w:rPr>
          <w:rFonts w:eastAsia="MS Mincho"/>
          <w:sz w:val="22"/>
          <w:szCs w:val="22"/>
          <w:lang w:val="en-US"/>
        </w:rPr>
        <w:t>It is considered important for the future that the underlying mechanisms and oceanic processes which support such an array of benthic and pelagic organisms within the Hatton-Rockall region, as part of the Northeast Atlantic, are studied further. Such future work could usefully explore and deliver an improved understanding of oceanographic and hydrological patterns in space and time, and their effect on benthic and pelagic community composition, structure, productivity, and ecosystem/trophic functioning within the region.</w:t>
      </w:r>
    </w:p>
    <w:p w14:paraId="6E63E4E9" w14:textId="77777777" w:rsidR="006B3F46" w:rsidRPr="009978E3" w:rsidRDefault="006B3F46" w:rsidP="00907941">
      <w:pPr>
        <w:jc w:val="both"/>
        <w:rPr>
          <w:rFonts w:eastAsia="MS Mincho"/>
          <w:b/>
          <w:sz w:val="22"/>
          <w:szCs w:val="22"/>
          <w:lang w:val="en-US"/>
        </w:rPr>
      </w:pPr>
      <w:r w:rsidRPr="009978E3">
        <w:rPr>
          <w:rFonts w:eastAsia="MS Mincho"/>
          <w:b/>
          <w:sz w:val="22"/>
          <w:szCs w:val="22"/>
          <w:lang w:val="en-US"/>
        </w:rPr>
        <w:t xml:space="preserve">Assessment of </w:t>
      </w:r>
      <w:r>
        <w:rPr>
          <w:rFonts w:eastAsia="MS Mincho"/>
          <w:b/>
          <w:sz w:val="22"/>
          <w:szCs w:val="22"/>
          <w:lang w:val="en-US"/>
        </w:rPr>
        <w:t>a</w:t>
      </w:r>
      <w:r w:rsidRPr="00AB64CF">
        <w:rPr>
          <w:rFonts w:eastAsia="MS Mincho"/>
          <w:b/>
          <w:sz w:val="22"/>
          <w:szCs w:val="22"/>
          <w:lang w:val="en-US"/>
        </w:rPr>
        <w:t>rea no. 17</w:t>
      </w:r>
      <w:r>
        <w:rPr>
          <w:rFonts w:eastAsia="MS Mincho"/>
          <w:b/>
          <w:sz w:val="22"/>
          <w:szCs w:val="22"/>
          <w:lang w:val="en-US"/>
        </w:rPr>
        <w:t>,</w:t>
      </w:r>
      <w:r w:rsidRPr="00AB64CF">
        <w:rPr>
          <w:rFonts w:eastAsia="MS Mincho"/>
          <w:b/>
          <w:sz w:val="22"/>
          <w:szCs w:val="22"/>
          <w:lang w:val="en-US"/>
        </w:rPr>
        <w:t xml:space="preserve"> Hatton and Rockall </w:t>
      </w:r>
      <w:r>
        <w:rPr>
          <w:rFonts w:eastAsia="MS Mincho"/>
          <w:b/>
          <w:sz w:val="22"/>
          <w:szCs w:val="22"/>
          <w:lang w:val="en-US"/>
        </w:rPr>
        <w:t xml:space="preserve">Banks and </w:t>
      </w:r>
      <w:r w:rsidRPr="00AB64CF">
        <w:rPr>
          <w:rFonts w:eastAsia="MS Mincho"/>
          <w:b/>
          <w:sz w:val="22"/>
          <w:szCs w:val="22"/>
          <w:lang w:val="en-US"/>
        </w:rPr>
        <w:t>Basin</w:t>
      </w:r>
      <w:r w:rsidRPr="009978E3">
        <w:rPr>
          <w:rFonts w:eastAsia="MS Mincho"/>
          <w:b/>
          <w:sz w:val="22"/>
          <w:szCs w:val="22"/>
          <w:lang w:val="en-US"/>
        </w:rPr>
        <w:t xml:space="preserve"> against CBD EBSA Criteria </w:t>
      </w:r>
    </w:p>
    <w:p w14:paraId="0951A407" w14:textId="77777777" w:rsidR="006B3F46" w:rsidRPr="009978E3"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4174"/>
        <w:gridCol w:w="28"/>
        <w:gridCol w:w="995"/>
        <w:gridCol w:w="256"/>
        <w:gridCol w:w="28"/>
        <w:gridCol w:w="739"/>
        <w:gridCol w:w="108"/>
        <w:gridCol w:w="660"/>
        <w:gridCol w:w="88"/>
        <w:gridCol w:w="718"/>
      </w:tblGrid>
      <w:tr w:rsidR="006B3F46" w:rsidRPr="0021277B" w14:paraId="0B84C9D6" w14:textId="77777777" w:rsidTr="002E4B39">
        <w:tc>
          <w:tcPr>
            <w:tcW w:w="832" w:type="pct"/>
            <w:vMerge w:val="restart"/>
            <w:shd w:val="clear" w:color="auto" w:fill="auto"/>
          </w:tcPr>
          <w:p w14:paraId="1C0E4AE1" w14:textId="77777777" w:rsidR="006B3F46" w:rsidRPr="0021277B" w:rsidRDefault="006B3F46" w:rsidP="00907941">
            <w:pPr>
              <w:widowControl w:val="0"/>
              <w:autoSpaceDE w:val="0"/>
              <w:autoSpaceDN w:val="0"/>
              <w:adjustRightInd w:val="0"/>
              <w:rPr>
                <w:rFonts w:eastAsia="MS Mincho"/>
                <w:b/>
                <w:bCs/>
                <w:color w:val="000000"/>
                <w:sz w:val="22"/>
                <w:szCs w:val="22"/>
                <w:lang w:val="it-IT"/>
              </w:rPr>
            </w:pPr>
            <w:r w:rsidRPr="0021277B">
              <w:rPr>
                <w:rFonts w:eastAsia="MS Mincho"/>
                <w:b/>
                <w:bCs/>
                <w:color w:val="000000"/>
                <w:sz w:val="22"/>
                <w:szCs w:val="22"/>
                <w:lang w:val="it-IT"/>
              </w:rPr>
              <w:t>CBD EBSA Criteria</w:t>
            </w:r>
          </w:p>
          <w:p w14:paraId="6B5B6544" w14:textId="77777777" w:rsidR="006B3F46" w:rsidRPr="0021277B" w:rsidRDefault="006B3F46" w:rsidP="00907941">
            <w:pPr>
              <w:widowControl w:val="0"/>
              <w:autoSpaceDE w:val="0"/>
              <w:autoSpaceDN w:val="0"/>
              <w:adjustRightInd w:val="0"/>
              <w:rPr>
                <w:rFonts w:eastAsia="MS Mincho"/>
                <w:bCs/>
                <w:color w:val="000000"/>
                <w:sz w:val="22"/>
                <w:szCs w:val="22"/>
                <w:lang w:val="it-IT"/>
              </w:rPr>
            </w:pPr>
            <w:r w:rsidRPr="0021277B">
              <w:rPr>
                <w:rFonts w:eastAsia="MS Mincho"/>
                <w:bCs/>
                <w:color w:val="000000"/>
                <w:sz w:val="22"/>
                <w:szCs w:val="22"/>
                <w:lang w:val="it-IT"/>
              </w:rPr>
              <w:t>(Annex I to decision IX/20)</w:t>
            </w:r>
          </w:p>
        </w:tc>
        <w:tc>
          <w:tcPr>
            <w:tcW w:w="2232" w:type="pct"/>
            <w:vMerge w:val="restart"/>
            <w:shd w:val="clear" w:color="auto" w:fill="auto"/>
          </w:tcPr>
          <w:p w14:paraId="2C48BF24" w14:textId="77777777" w:rsidR="006B3F46" w:rsidRPr="0021277B" w:rsidRDefault="006B3F46" w:rsidP="00907941">
            <w:pPr>
              <w:widowControl w:val="0"/>
              <w:autoSpaceDE w:val="0"/>
              <w:autoSpaceDN w:val="0"/>
              <w:adjustRightInd w:val="0"/>
              <w:rPr>
                <w:rFonts w:eastAsia="MS Mincho"/>
                <w:b/>
                <w:bCs/>
                <w:sz w:val="22"/>
                <w:szCs w:val="22"/>
                <w:lang w:val="en-US"/>
              </w:rPr>
            </w:pPr>
            <w:r w:rsidRPr="0021277B">
              <w:rPr>
                <w:rFonts w:eastAsia="MS Mincho"/>
                <w:b/>
                <w:bCs/>
                <w:sz w:val="22"/>
                <w:szCs w:val="22"/>
                <w:lang w:val="en-US"/>
              </w:rPr>
              <w:t>Description</w:t>
            </w:r>
          </w:p>
          <w:p w14:paraId="7DD98F08" w14:textId="77777777" w:rsidR="006B3F46" w:rsidRPr="0021277B" w:rsidRDefault="006B3F46" w:rsidP="00907941">
            <w:pPr>
              <w:widowControl w:val="0"/>
              <w:autoSpaceDE w:val="0"/>
              <w:autoSpaceDN w:val="0"/>
              <w:adjustRightInd w:val="0"/>
              <w:rPr>
                <w:rFonts w:eastAsia="MS Mincho"/>
                <w:bCs/>
                <w:sz w:val="22"/>
                <w:szCs w:val="22"/>
                <w:lang w:val="en-US"/>
              </w:rPr>
            </w:pPr>
            <w:r w:rsidRPr="0021277B">
              <w:rPr>
                <w:rFonts w:eastAsia="MS Mincho"/>
                <w:bCs/>
                <w:color w:val="000000"/>
                <w:sz w:val="22"/>
                <w:szCs w:val="22"/>
                <w:lang w:val="it-IT"/>
              </w:rPr>
              <w:t>(Annex I to decision IX/20)</w:t>
            </w:r>
          </w:p>
        </w:tc>
        <w:tc>
          <w:tcPr>
            <w:tcW w:w="1937" w:type="pct"/>
            <w:gridSpan w:val="9"/>
            <w:shd w:val="clear" w:color="auto" w:fill="auto"/>
          </w:tcPr>
          <w:p w14:paraId="1E5126A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 xml:space="preserve">Ranking of criterion relevance </w:t>
            </w:r>
          </w:p>
          <w:p w14:paraId="2A43F117"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Cs/>
                <w:color w:val="000000"/>
                <w:sz w:val="22"/>
                <w:szCs w:val="22"/>
                <w:lang w:val="en-US"/>
              </w:rPr>
              <w:t>(please mark one column with an X)</w:t>
            </w:r>
          </w:p>
        </w:tc>
      </w:tr>
      <w:tr w:rsidR="006B3F46" w:rsidRPr="0021277B" w14:paraId="438B1A34" w14:textId="77777777" w:rsidTr="002E4B39">
        <w:tc>
          <w:tcPr>
            <w:tcW w:w="832" w:type="pct"/>
            <w:vMerge/>
            <w:shd w:val="clear" w:color="auto" w:fill="auto"/>
          </w:tcPr>
          <w:p w14:paraId="003FDF5A"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c>
          <w:tcPr>
            <w:tcW w:w="2232" w:type="pct"/>
            <w:vMerge/>
            <w:shd w:val="clear" w:color="auto" w:fill="auto"/>
          </w:tcPr>
          <w:p w14:paraId="2D68338C" w14:textId="77777777" w:rsidR="006B3F46" w:rsidRPr="0021277B" w:rsidRDefault="006B3F46" w:rsidP="00907941">
            <w:pPr>
              <w:widowControl w:val="0"/>
              <w:autoSpaceDE w:val="0"/>
              <w:autoSpaceDN w:val="0"/>
              <w:adjustRightInd w:val="0"/>
              <w:rPr>
                <w:rFonts w:eastAsia="MS Mincho"/>
                <w:b/>
                <w:bCs/>
                <w:sz w:val="22"/>
                <w:szCs w:val="22"/>
                <w:lang w:val="en-US"/>
              </w:rPr>
            </w:pPr>
          </w:p>
        </w:tc>
        <w:tc>
          <w:tcPr>
            <w:tcW w:w="547" w:type="pct"/>
            <w:gridSpan w:val="2"/>
            <w:shd w:val="clear" w:color="auto" w:fill="auto"/>
          </w:tcPr>
          <w:p w14:paraId="118E500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No information</w:t>
            </w:r>
          </w:p>
        </w:tc>
        <w:tc>
          <w:tcPr>
            <w:tcW w:w="547" w:type="pct"/>
            <w:gridSpan w:val="3"/>
            <w:shd w:val="clear" w:color="auto" w:fill="auto"/>
          </w:tcPr>
          <w:p w14:paraId="1BA0564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Low</w:t>
            </w:r>
          </w:p>
        </w:tc>
        <w:tc>
          <w:tcPr>
            <w:tcW w:w="411" w:type="pct"/>
            <w:gridSpan w:val="2"/>
            <w:shd w:val="clear" w:color="auto" w:fill="auto"/>
          </w:tcPr>
          <w:p w14:paraId="711A13A4"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Medium</w:t>
            </w:r>
          </w:p>
        </w:tc>
        <w:tc>
          <w:tcPr>
            <w:tcW w:w="432" w:type="pct"/>
            <w:gridSpan w:val="2"/>
            <w:shd w:val="clear" w:color="auto" w:fill="auto"/>
          </w:tcPr>
          <w:p w14:paraId="1070697A"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High</w:t>
            </w:r>
          </w:p>
        </w:tc>
      </w:tr>
      <w:tr w:rsidR="006B3F46" w:rsidRPr="0021277B" w14:paraId="181560E9" w14:textId="77777777" w:rsidTr="002E4B39">
        <w:tc>
          <w:tcPr>
            <w:tcW w:w="832" w:type="pct"/>
            <w:shd w:val="clear" w:color="auto" w:fill="auto"/>
          </w:tcPr>
          <w:p w14:paraId="4A790F29"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Uniqueness or rarity</w:t>
            </w:r>
          </w:p>
        </w:tc>
        <w:tc>
          <w:tcPr>
            <w:tcW w:w="2232" w:type="pct"/>
            <w:shd w:val="clear" w:color="auto" w:fill="auto"/>
          </w:tcPr>
          <w:p w14:paraId="214782AB"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4F6CADBE" w14:textId="77777777" w:rsidR="006B3F46" w:rsidRPr="0021277B" w:rsidRDefault="006B3F46" w:rsidP="00907941">
            <w:pPr>
              <w:widowControl w:val="0"/>
              <w:autoSpaceDE w:val="0"/>
              <w:autoSpaceDN w:val="0"/>
              <w:adjustRightInd w:val="0"/>
              <w:rPr>
                <w:rFonts w:eastAsia="MS Mincho"/>
                <w:bCs/>
                <w:color w:val="000000"/>
                <w:sz w:val="22"/>
                <w:szCs w:val="22"/>
                <w:lang w:val="en-US"/>
              </w:rPr>
            </w:pPr>
          </w:p>
        </w:tc>
        <w:tc>
          <w:tcPr>
            <w:tcW w:w="547" w:type="pct"/>
            <w:gridSpan w:val="3"/>
            <w:shd w:val="clear" w:color="auto" w:fill="auto"/>
          </w:tcPr>
          <w:p w14:paraId="175220C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44C0221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19E8EE94"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1D75C13A" w14:textId="77777777" w:rsidTr="00907941">
        <w:tc>
          <w:tcPr>
            <w:tcW w:w="5000" w:type="pct"/>
            <w:gridSpan w:val="11"/>
            <w:shd w:val="clear" w:color="auto" w:fill="auto"/>
          </w:tcPr>
          <w:p w14:paraId="07338684"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5EBC2E73" w14:textId="77777777" w:rsidR="006B3F46" w:rsidRPr="0021277B" w:rsidRDefault="006B3F46" w:rsidP="006B3F46">
            <w:pPr>
              <w:widowControl w:val="0"/>
              <w:numPr>
                <w:ilvl w:val="0"/>
                <w:numId w:val="50"/>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 xml:space="preserve">The area has considerable environmental heterogeneity, and is unique as a large offshore feature extending from above sea-level to 3000m. As species turnover with depth, it is rare as an offshore area that can be inhabited by shallow water species (Billett, 1991; Bett, 2001;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2002;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2004; Davies </w:t>
            </w:r>
            <w:r w:rsidRPr="0006066A">
              <w:rPr>
                <w:rFonts w:eastAsia="MS Mincho"/>
                <w:i/>
                <w:color w:val="000000"/>
                <w:sz w:val="22"/>
                <w:szCs w:val="22"/>
                <w:lang w:val="en-US"/>
              </w:rPr>
              <w:t>et al</w:t>
            </w:r>
            <w:r w:rsidRPr="0021277B">
              <w:rPr>
                <w:rFonts w:eastAsia="MS Mincho"/>
                <w:color w:val="000000"/>
                <w:sz w:val="22"/>
                <w:szCs w:val="22"/>
                <w:lang w:val="en-US"/>
              </w:rPr>
              <w:t xml:space="preserve">. 2006;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2008;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2009;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2010)  </w:t>
            </w:r>
          </w:p>
          <w:p w14:paraId="744EC9F7" w14:textId="77777777" w:rsidR="006B3F46" w:rsidRPr="0021277B" w:rsidRDefault="006B3F46" w:rsidP="006B3F46">
            <w:pPr>
              <w:widowControl w:val="0"/>
              <w:numPr>
                <w:ilvl w:val="0"/>
                <w:numId w:val="50"/>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 xml:space="preserve">An area of polygonal faults may be a unique seabed feature and the recent discovery of cold-seep species that are new to science suggests the area is very likely to be unique (Jacobs, 2006; Jacobs and Howell, 2007; Berndt </w:t>
            </w:r>
            <w:r w:rsidRPr="0006066A">
              <w:rPr>
                <w:rFonts w:eastAsia="MS Mincho"/>
                <w:i/>
                <w:color w:val="000000"/>
                <w:sz w:val="22"/>
                <w:szCs w:val="22"/>
                <w:lang w:val="en-US"/>
              </w:rPr>
              <w:t>et al</w:t>
            </w:r>
            <w:r w:rsidRPr="0021277B">
              <w:rPr>
                <w:rFonts w:eastAsia="MS Mincho"/>
                <w:color w:val="000000"/>
                <w:sz w:val="22"/>
                <w:szCs w:val="22"/>
                <w:lang w:val="en-US"/>
              </w:rPr>
              <w:t xml:space="preserve"> 2012; ICES 2013; Oliver and Drewery, 2014; Neat </w:t>
            </w:r>
            <w:r w:rsidRPr="0006066A">
              <w:rPr>
                <w:rFonts w:eastAsia="MS Mincho"/>
                <w:i/>
                <w:color w:val="000000"/>
                <w:sz w:val="22"/>
                <w:szCs w:val="22"/>
                <w:lang w:val="en-US"/>
              </w:rPr>
              <w:t>et al</w:t>
            </w:r>
            <w:r w:rsidRPr="0021277B">
              <w:rPr>
                <w:rFonts w:eastAsia="MS Mincho"/>
                <w:color w:val="000000"/>
                <w:sz w:val="22"/>
                <w:szCs w:val="22"/>
                <w:lang w:val="en-US"/>
              </w:rPr>
              <w:t>., 2018)</w:t>
            </w:r>
          </w:p>
          <w:p w14:paraId="5ADAF855" w14:textId="24883F9E" w:rsidR="006B3F46" w:rsidRPr="002E4B39" w:rsidRDefault="006B3F46" w:rsidP="002E4B39">
            <w:pPr>
              <w:numPr>
                <w:ilvl w:val="0"/>
                <w:numId w:val="50"/>
              </w:numPr>
              <w:ind w:left="284"/>
              <w:jc w:val="both"/>
              <w:rPr>
                <w:rFonts w:eastAsia="MS Mincho"/>
                <w:b/>
                <w:bCs/>
                <w:color w:val="000000"/>
                <w:sz w:val="22"/>
                <w:szCs w:val="22"/>
                <w:lang w:val="en-US"/>
              </w:rPr>
            </w:pPr>
            <w:r w:rsidRPr="0021277B">
              <w:rPr>
                <w:rFonts w:eastAsia="MS Mincho"/>
                <w:color w:val="000000"/>
                <w:sz w:val="22"/>
                <w:szCs w:val="22"/>
                <w:lang w:val="en-US"/>
              </w:rPr>
              <w:t>The pelagic environment is considered rare in that it is an extensive, comparatively shallow offshore bank and basin system situated directly in the pathway of the broader Gulf Stream and North Atlantic Current, and within the known migratory routes of numerous vertebrate species (</w:t>
            </w:r>
            <w:r w:rsidRPr="0021277B">
              <w:rPr>
                <w:rFonts w:eastAsia="MS Mincho"/>
                <w:sz w:val="22"/>
                <w:szCs w:val="22"/>
              </w:rPr>
              <w:t xml:space="preserve">Ellett </w:t>
            </w:r>
            <w:r w:rsidRPr="0006066A">
              <w:rPr>
                <w:rFonts w:eastAsia="MS Mincho"/>
                <w:i/>
                <w:sz w:val="22"/>
                <w:szCs w:val="22"/>
              </w:rPr>
              <w:t>et al</w:t>
            </w:r>
            <w:r w:rsidRPr="0021277B">
              <w:rPr>
                <w:rFonts w:eastAsia="MS Mincho"/>
                <w:i/>
                <w:sz w:val="22"/>
                <w:szCs w:val="22"/>
              </w:rPr>
              <w:t>.</w:t>
            </w:r>
            <w:r w:rsidRPr="0021277B">
              <w:rPr>
                <w:rFonts w:eastAsia="MS Mincho"/>
                <w:sz w:val="22"/>
                <w:szCs w:val="22"/>
              </w:rPr>
              <w:t xml:space="preserve"> 1986; Reid </w:t>
            </w:r>
            <w:r w:rsidRPr="0006066A">
              <w:rPr>
                <w:rFonts w:eastAsia="MS Mincho"/>
                <w:i/>
                <w:sz w:val="22"/>
                <w:szCs w:val="22"/>
              </w:rPr>
              <w:t>et al</w:t>
            </w:r>
            <w:r w:rsidRPr="0021277B">
              <w:rPr>
                <w:rFonts w:eastAsia="MS Mincho"/>
                <w:sz w:val="22"/>
                <w:szCs w:val="22"/>
              </w:rPr>
              <w:t xml:space="preserve">., 2003; Ó Cadhla </w:t>
            </w:r>
            <w:r w:rsidRPr="0006066A">
              <w:rPr>
                <w:rFonts w:eastAsia="MS Mincho"/>
                <w:i/>
                <w:sz w:val="22"/>
                <w:szCs w:val="22"/>
              </w:rPr>
              <w:t>et al</w:t>
            </w:r>
            <w:r w:rsidRPr="0021277B">
              <w:rPr>
                <w:rFonts w:eastAsia="MS Mincho"/>
                <w:sz w:val="22"/>
                <w:szCs w:val="22"/>
              </w:rPr>
              <w:t xml:space="preserve">., 2004; Charif &amp; Clark, 2009; Hammond </w:t>
            </w:r>
            <w:r w:rsidRPr="0006066A">
              <w:rPr>
                <w:rFonts w:eastAsia="MS Mincho"/>
                <w:i/>
                <w:sz w:val="22"/>
                <w:szCs w:val="22"/>
              </w:rPr>
              <w:t>et al</w:t>
            </w:r>
            <w:r w:rsidRPr="0021277B">
              <w:rPr>
                <w:rFonts w:eastAsia="MS Mincho"/>
                <w:sz w:val="22"/>
                <w:szCs w:val="22"/>
              </w:rPr>
              <w:t xml:space="preserve">., 2009; Nolan </w:t>
            </w:r>
            <w:r w:rsidRPr="0006066A">
              <w:rPr>
                <w:rFonts w:eastAsia="MS Mincho"/>
                <w:i/>
                <w:sz w:val="22"/>
                <w:szCs w:val="22"/>
              </w:rPr>
              <w:t>et al</w:t>
            </w:r>
            <w:r w:rsidRPr="0021277B">
              <w:rPr>
                <w:rFonts w:eastAsia="MS Mincho"/>
                <w:sz w:val="22"/>
                <w:szCs w:val="22"/>
              </w:rPr>
              <w:t xml:space="preserve">., 2011; Visser </w:t>
            </w:r>
            <w:r w:rsidRPr="0006066A">
              <w:rPr>
                <w:rFonts w:eastAsia="MS Mincho"/>
                <w:i/>
                <w:sz w:val="22"/>
                <w:szCs w:val="22"/>
              </w:rPr>
              <w:t>et al</w:t>
            </w:r>
            <w:r w:rsidRPr="0021277B">
              <w:rPr>
                <w:rFonts w:eastAsia="MS Mincho"/>
                <w:sz w:val="22"/>
                <w:szCs w:val="22"/>
              </w:rPr>
              <w:t xml:space="preserve">., 2011; Wall </w:t>
            </w:r>
            <w:r w:rsidRPr="0006066A">
              <w:rPr>
                <w:rFonts w:eastAsia="MS Mincho"/>
                <w:i/>
                <w:sz w:val="22"/>
                <w:szCs w:val="22"/>
              </w:rPr>
              <w:t>et al</w:t>
            </w:r>
            <w:r w:rsidRPr="0021277B">
              <w:rPr>
                <w:rFonts w:eastAsia="MS Mincho"/>
                <w:sz w:val="22"/>
                <w:szCs w:val="22"/>
              </w:rPr>
              <w:t xml:space="preserve">., 2013; Vandeperre </w:t>
            </w:r>
            <w:r w:rsidRPr="0006066A">
              <w:rPr>
                <w:rFonts w:eastAsia="MS Mincho"/>
                <w:i/>
                <w:sz w:val="22"/>
                <w:szCs w:val="22"/>
              </w:rPr>
              <w:t>et al</w:t>
            </w:r>
            <w:r w:rsidRPr="0021277B">
              <w:rPr>
                <w:rFonts w:eastAsia="MS Mincho"/>
                <w:sz w:val="22"/>
                <w:szCs w:val="22"/>
              </w:rPr>
              <w:t xml:space="preserve">., 2016; Kavanagh </w:t>
            </w:r>
            <w:r w:rsidRPr="0006066A">
              <w:rPr>
                <w:rFonts w:eastAsia="MS Mincho"/>
                <w:i/>
                <w:sz w:val="22"/>
                <w:szCs w:val="22"/>
              </w:rPr>
              <w:t>et al</w:t>
            </w:r>
            <w:r w:rsidRPr="0021277B">
              <w:rPr>
                <w:rFonts w:eastAsia="MS Mincho"/>
                <w:sz w:val="22"/>
                <w:szCs w:val="22"/>
              </w:rPr>
              <w:t>., 2017)</w:t>
            </w:r>
          </w:p>
        </w:tc>
      </w:tr>
      <w:tr w:rsidR="006B3F46" w:rsidRPr="0021277B" w14:paraId="55A22281" w14:textId="77777777" w:rsidTr="002E4B39">
        <w:tc>
          <w:tcPr>
            <w:tcW w:w="832" w:type="pct"/>
            <w:shd w:val="clear" w:color="auto" w:fill="auto"/>
          </w:tcPr>
          <w:p w14:paraId="49829A92"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Special importance for life-history stages of species</w:t>
            </w:r>
          </w:p>
        </w:tc>
        <w:tc>
          <w:tcPr>
            <w:tcW w:w="2232" w:type="pct"/>
            <w:shd w:val="clear" w:color="auto" w:fill="auto"/>
          </w:tcPr>
          <w:p w14:paraId="3270BE56"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are required for a population to survive and thrive.</w:t>
            </w:r>
          </w:p>
        </w:tc>
        <w:tc>
          <w:tcPr>
            <w:tcW w:w="684" w:type="pct"/>
            <w:gridSpan w:val="3"/>
            <w:shd w:val="clear" w:color="auto" w:fill="auto"/>
          </w:tcPr>
          <w:p w14:paraId="2A42C74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5EE3C70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6358633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2" w:type="pct"/>
            <w:gridSpan w:val="2"/>
            <w:shd w:val="clear" w:color="auto" w:fill="auto"/>
          </w:tcPr>
          <w:p w14:paraId="50E3FE5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2B47C88E" w14:textId="77777777" w:rsidTr="00907941">
        <w:tc>
          <w:tcPr>
            <w:tcW w:w="5000" w:type="pct"/>
            <w:gridSpan w:val="11"/>
            <w:shd w:val="clear" w:color="auto" w:fill="auto"/>
          </w:tcPr>
          <w:p w14:paraId="48129E35"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0D4C2DF3" w14:textId="77777777" w:rsidR="006B3F46" w:rsidRPr="0021277B" w:rsidRDefault="006B3F46" w:rsidP="006B3F46">
            <w:pPr>
              <w:widowControl w:val="0"/>
              <w:numPr>
                <w:ilvl w:val="0"/>
                <w:numId w:val="51"/>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 xml:space="preserve">Cold-water corals, areas of natural coral rubble, and sponge aggregations provide shelter, nursery and feeding grounds for a variety of species (Mortensen </w:t>
            </w:r>
            <w:r w:rsidRPr="0006066A">
              <w:rPr>
                <w:rFonts w:eastAsia="MS Mincho"/>
                <w:i/>
                <w:color w:val="000000"/>
                <w:sz w:val="22"/>
                <w:szCs w:val="22"/>
                <w:lang w:val="en-US"/>
              </w:rPr>
              <w:t>et al</w:t>
            </w:r>
            <w:r w:rsidRPr="0021277B">
              <w:rPr>
                <w:rFonts w:eastAsia="MS Mincho"/>
                <w:color w:val="000000"/>
                <w:sz w:val="22"/>
                <w:szCs w:val="22"/>
                <w:lang w:val="en-US"/>
              </w:rPr>
              <w:t xml:space="preserve">., 1995; Fosså </w:t>
            </w:r>
            <w:r w:rsidRPr="0006066A">
              <w:rPr>
                <w:rFonts w:eastAsia="MS Mincho"/>
                <w:i/>
                <w:color w:val="000000"/>
                <w:sz w:val="22"/>
                <w:szCs w:val="22"/>
                <w:lang w:val="en-US"/>
              </w:rPr>
              <w:t>et al</w:t>
            </w:r>
            <w:r w:rsidRPr="0021277B">
              <w:rPr>
                <w:rFonts w:eastAsia="MS Mincho"/>
                <w:color w:val="000000"/>
                <w:sz w:val="22"/>
                <w:szCs w:val="22"/>
                <w:lang w:val="en-US"/>
              </w:rPr>
              <w:t xml:space="preserve">., 2002; Freiwald, 2002; Hall-Spencer </w:t>
            </w:r>
            <w:r w:rsidRPr="0006066A">
              <w:rPr>
                <w:rFonts w:eastAsia="MS Mincho"/>
                <w:i/>
                <w:color w:val="000000"/>
                <w:sz w:val="22"/>
                <w:szCs w:val="22"/>
                <w:lang w:val="en-US"/>
              </w:rPr>
              <w:t>et al</w:t>
            </w:r>
            <w:r w:rsidRPr="0021277B">
              <w:rPr>
                <w:rFonts w:eastAsia="MS Mincho"/>
                <w:color w:val="000000"/>
                <w:sz w:val="22"/>
                <w:szCs w:val="22"/>
                <w:lang w:val="en-US"/>
              </w:rPr>
              <w:t xml:space="preserve">., 2002; Bell, 2008; Huvenne </w:t>
            </w:r>
            <w:r w:rsidRPr="0006066A">
              <w:rPr>
                <w:rFonts w:eastAsia="MS Mincho"/>
                <w:i/>
                <w:color w:val="000000"/>
                <w:sz w:val="22"/>
                <w:szCs w:val="22"/>
                <w:lang w:val="en-US"/>
              </w:rPr>
              <w:t>et al</w:t>
            </w:r>
            <w:r w:rsidRPr="0021277B">
              <w:rPr>
                <w:rFonts w:eastAsia="MS Mincho"/>
                <w:color w:val="000000"/>
                <w:sz w:val="22"/>
                <w:szCs w:val="22"/>
                <w:lang w:val="en-US"/>
              </w:rPr>
              <w:t xml:space="preserve">., 2011; Söffker </w:t>
            </w:r>
            <w:r w:rsidRPr="0006066A">
              <w:rPr>
                <w:rFonts w:eastAsia="MS Mincho"/>
                <w:i/>
                <w:color w:val="000000"/>
                <w:sz w:val="22"/>
                <w:szCs w:val="22"/>
                <w:lang w:val="en-US"/>
              </w:rPr>
              <w:t>et al</w:t>
            </w:r>
            <w:r w:rsidRPr="0021277B">
              <w:rPr>
                <w:rFonts w:eastAsia="MS Mincho"/>
                <w:color w:val="000000"/>
                <w:sz w:val="22"/>
                <w:szCs w:val="22"/>
                <w:lang w:val="en-US"/>
              </w:rPr>
              <w:t xml:space="preserve">. 2011; Henry </w:t>
            </w:r>
            <w:r w:rsidRPr="0006066A">
              <w:rPr>
                <w:rFonts w:eastAsia="MS Mincho"/>
                <w:i/>
                <w:color w:val="000000"/>
                <w:sz w:val="22"/>
                <w:szCs w:val="22"/>
                <w:lang w:val="en-US"/>
              </w:rPr>
              <w:t>et al</w:t>
            </w:r>
            <w:r w:rsidRPr="0021277B">
              <w:rPr>
                <w:rFonts w:eastAsia="MS Mincho"/>
                <w:color w:val="000000"/>
                <w:sz w:val="22"/>
                <w:szCs w:val="22"/>
                <w:lang w:val="en-US"/>
              </w:rPr>
              <w:t xml:space="preserve"> 2013;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2013; Maldonado </w:t>
            </w:r>
            <w:r w:rsidRPr="0006066A">
              <w:rPr>
                <w:rFonts w:eastAsia="MS Mincho"/>
                <w:i/>
                <w:color w:val="000000"/>
                <w:sz w:val="22"/>
                <w:szCs w:val="22"/>
                <w:lang w:val="en-US"/>
              </w:rPr>
              <w:t>et al</w:t>
            </w:r>
            <w:r w:rsidRPr="0021277B">
              <w:rPr>
                <w:rFonts w:eastAsia="MS Mincho"/>
                <w:color w:val="000000"/>
                <w:sz w:val="22"/>
                <w:szCs w:val="22"/>
                <w:lang w:val="en-US"/>
              </w:rPr>
              <w:t xml:space="preserve">., 2016) </w:t>
            </w:r>
          </w:p>
          <w:p w14:paraId="3E8B7CD3" w14:textId="77777777" w:rsidR="006B3F46" w:rsidRPr="0021277B" w:rsidRDefault="006B3F46" w:rsidP="006B3F46">
            <w:pPr>
              <w:widowControl w:val="0"/>
              <w:numPr>
                <w:ilvl w:val="0"/>
                <w:numId w:val="51"/>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Parts of the Hatton-Rockall area are important as spawning areas for blue whiting, and the area is used as a corridor for a range of migrating species including turtles (</w:t>
            </w:r>
            <w:r w:rsidRPr="0021277B">
              <w:rPr>
                <w:rFonts w:eastAsia="MS Mincho"/>
                <w:sz w:val="22"/>
                <w:szCs w:val="22"/>
              </w:rPr>
              <w:t xml:space="preserve">Reid </w:t>
            </w:r>
            <w:r w:rsidRPr="0006066A">
              <w:rPr>
                <w:rFonts w:eastAsia="MS Mincho"/>
                <w:i/>
                <w:sz w:val="22"/>
                <w:szCs w:val="22"/>
              </w:rPr>
              <w:t>et al</w:t>
            </w:r>
            <w:r w:rsidRPr="0021277B">
              <w:rPr>
                <w:rFonts w:eastAsia="MS Mincho"/>
                <w:sz w:val="22"/>
                <w:szCs w:val="22"/>
              </w:rPr>
              <w:t xml:space="preserve">., 2003; Ó Cadhla </w:t>
            </w:r>
            <w:r w:rsidRPr="0006066A">
              <w:rPr>
                <w:rFonts w:eastAsia="MS Mincho"/>
                <w:i/>
                <w:sz w:val="22"/>
                <w:szCs w:val="22"/>
              </w:rPr>
              <w:t>et al</w:t>
            </w:r>
            <w:r w:rsidRPr="0021277B">
              <w:rPr>
                <w:rFonts w:eastAsia="MS Mincho"/>
                <w:sz w:val="22"/>
                <w:szCs w:val="22"/>
              </w:rPr>
              <w:t xml:space="preserve">., 2004; Charif &amp; Clark, 2009; Hammond </w:t>
            </w:r>
            <w:r w:rsidRPr="0006066A">
              <w:rPr>
                <w:rFonts w:eastAsia="MS Mincho"/>
                <w:i/>
                <w:sz w:val="22"/>
                <w:szCs w:val="22"/>
              </w:rPr>
              <w:t>et al</w:t>
            </w:r>
            <w:r w:rsidRPr="0021277B">
              <w:rPr>
                <w:rFonts w:eastAsia="MS Mincho"/>
                <w:sz w:val="22"/>
                <w:szCs w:val="22"/>
              </w:rPr>
              <w:t xml:space="preserve">., 2009; Nolan </w:t>
            </w:r>
            <w:r w:rsidRPr="0006066A">
              <w:rPr>
                <w:rFonts w:eastAsia="MS Mincho"/>
                <w:i/>
                <w:sz w:val="22"/>
                <w:szCs w:val="22"/>
              </w:rPr>
              <w:t>et al</w:t>
            </w:r>
            <w:r w:rsidRPr="0021277B">
              <w:rPr>
                <w:rFonts w:eastAsia="MS Mincho"/>
                <w:sz w:val="22"/>
                <w:szCs w:val="22"/>
              </w:rPr>
              <w:t xml:space="preserve">., 2011; Visser </w:t>
            </w:r>
            <w:r w:rsidRPr="0006066A">
              <w:rPr>
                <w:rFonts w:eastAsia="MS Mincho"/>
                <w:i/>
                <w:sz w:val="22"/>
                <w:szCs w:val="22"/>
              </w:rPr>
              <w:t>et al</w:t>
            </w:r>
            <w:r w:rsidRPr="0021277B">
              <w:rPr>
                <w:rFonts w:eastAsia="MS Mincho"/>
                <w:sz w:val="22"/>
                <w:szCs w:val="22"/>
              </w:rPr>
              <w:t xml:space="preserve">., 2011; Wall </w:t>
            </w:r>
            <w:r w:rsidRPr="0006066A">
              <w:rPr>
                <w:rFonts w:eastAsia="MS Mincho"/>
                <w:i/>
                <w:sz w:val="22"/>
                <w:szCs w:val="22"/>
              </w:rPr>
              <w:t>et al</w:t>
            </w:r>
            <w:r w:rsidRPr="0021277B">
              <w:rPr>
                <w:rFonts w:eastAsia="MS Mincho"/>
                <w:sz w:val="22"/>
                <w:szCs w:val="22"/>
              </w:rPr>
              <w:t xml:space="preserve">., 2013; Vandeperre </w:t>
            </w:r>
            <w:r w:rsidRPr="0006066A">
              <w:rPr>
                <w:rFonts w:eastAsia="MS Mincho"/>
                <w:i/>
                <w:sz w:val="22"/>
                <w:szCs w:val="22"/>
              </w:rPr>
              <w:t>et al</w:t>
            </w:r>
            <w:r w:rsidRPr="0021277B">
              <w:rPr>
                <w:rFonts w:eastAsia="MS Mincho"/>
                <w:sz w:val="22"/>
                <w:szCs w:val="22"/>
              </w:rPr>
              <w:t xml:space="preserve">., 2016; Kavanagh </w:t>
            </w:r>
            <w:r w:rsidRPr="0006066A">
              <w:rPr>
                <w:rFonts w:eastAsia="MS Mincho"/>
                <w:i/>
                <w:sz w:val="22"/>
                <w:szCs w:val="22"/>
              </w:rPr>
              <w:t>et al</w:t>
            </w:r>
            <w:r w:rsidRPr="0021277B">
              <w:rPr>
                <w:rFonts w:eastAsia="MS Mincho"/>
                <w:sz w:val="22"/>
                <w:szCs w:val="22"/>
              </w:rPr>
              <w:t>., 2017)</w:t>
            </w:r>
          </w:p>
          <w:p w14:paraId="0840715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03509B6D" w14:textId="77777777" w:rsidTr="002E4B39">
        <w:tc>
          <w:tcPr>
            <w:tcW w:w="832" w:type="pct"/>
            <w:shd w:val="clear" w:color="auto" w:fill="auto"/>
          </w:tcPr>
          <w:p w14:paraId="7BE5B5CA"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Importance for threatened, endangered or declining species and/or habitats</w:t>
            </w:r>
          </w:p>
        </w:tc>
        <w:tc>
          <w:tcPr>
            <w:tcW w:w="2232" w:type="pct"/>
            <w:shd w:val="clear" w:color="auto" w:fill="auto"/>
          </w:tcPr>
          <w:p w14:paraId="367C0E27"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containing habitat for the survival and recovery of endangered, threatened, declining species or area with significant assemblages of such species.</w:t>
            </w:r>
          </w:p>
        </w:tc>
        <w:tc>
          <w:tcPr>
            <w:tcW w:w="684" w:type="pct"/>
            <w:gridSpan w:val="3"/>
            <w:shd w:val="clear" w:color="auto" w:fill="auto"/>
          </w:tcPr>
          <w:p w14:paraId="5037CD1A"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07C43D9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0E7C310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4D71016D"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3A03A17F" w14:textId="77777777" w:rsidTr="00907941">
        <w:tc>
          <w:tcPr>
            <w:tcW w:w="5000" w:type="pct"/>
            <w:gridSpan w:val="11"/>
            <w:shd w:val="clear" w:color="auto" w:fill="auto"/>
          </w:tcPr>
          <w:p w14:paraId="46675C7E"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06543AF3" w14:textId="77777777" w:rsidR="006B3F46" w:rsidRPr="0021277B" w:rsidRDefault="006B3F46" w:rsidP="006B3F46">
            <w:pPr>
              <w:widowControl w:val="0"/>
              <w:numPr>
                <w:ilvl w:val="0"/>
                <w:numId w:val="52"/>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The area is known to support various species of cold-water corals including black corals, bamboo corals, hard and soft corals. These form coral reef, carbonate mound and coral garden habitats that are listed under OSPAR as threatened and declining habitats. The distribution of cold-water coral has been severely reduced in the area over the last 30 years</w:t>
            </w:r>
            <w:r w:rsidRPr="0021277B" w:rsidDel="00C74454">
              <w:rPr>
                <w:rFonts w:eastAsia="MS Mincho"/>
                <w:color w:val="000000"/>
                <w:sz w:val="22"/>
                <w:szCs w:val="22"/>
                <w:lang w:val="en-US"/>
              </w:rPr>
              <w:t xml:space="preserve"> </w:t>
            </w:r>
            <w:r w:rsidRPr="0021277B">
              <w:rPr>
                <w:rFonts w:eastAsia="MS Mincho"/>
                <w:color w:val="000000"/>
                <w:sz w:val="22"/>
                <w:szCs w:val="22"/>
                <w:lang w:val="en-US"/>
              </w:rPr>
              <w:t xml:space="preserve">(Wilson, 1979a; Frederiksen </w:t>
            </w:r>
            <w:r w:rsidRPr="0006066A">
              <w:rPr>
                <w:rFonts w:eastAsia="MS Mincho"/>
                <w:i/>
                <w:color w:val="000000"/>
                <w:sz w:val="22"/>
                <w:szCs w:val="22"/>
                <w:lang w:val="en-US"/>
              </w:rPr>
              <w:t>et al</w:t>
            </w:r>
            <w:r w:rsidRPr="0021277B">
              <w:rPr>
                <w:rFonts w:eastAsia="MS Mincho"/>
                <w:color w:val="000000"/>
                <w:sz w:val="22"/>
                <w:szCs w:val="22"/>
                <w:lang w:val="en-US"/>
              </w:rPr>
              <w:t xml:space="preserve">. 1992; Kenyon </w:t>
            </w:r>
            <w:r w:rsidRPr="0006066A">
              <w:rPr>
                <w:rFonts w:eastAsia="MS Mincho"/>
                <w:i/>
                <w:color w:val="000000"/>
                <w:sz w:val="22"/>
                <w:szCs w:val="22"/>
                <w:lang w:val="en-US"/>
              </w:rPr>
              <w:t>et al</w:t>
            </w:r>
            <w:r w:rsidRPr="0021277B">
              <w:rPr>
                <w:rFonts w:eastAsia="MS Mincho"/>
                <w:color w:val="000000"/>
                <w:sz w:val="22"/>
                <w:szCs w:val="22"/>
                <w:lang w:val="en-US"/>
              </w:rPr>
              <w:t xml:space="preserve">., 2003;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2003; Mienis </w:t>
            </w:r>
            <w:r w:rsidRPr="0006066A">
              <w:rPr>
                <w:rFonts w:eastAsia="MS Mincho"/>
                <w:i/>
                <w:color w:val="000000"/>
                <w:sz w:val="22"/>
                <w:szCs w:val="22"/>
                <w:lang w:val="en-US"/>
              </w:rPr>
              <w:t>et al</w:t>
            </w:r>
            <w:r w:rsidRPr="0021277B">
              <w:rPr>
                <w:rFonts w:eastAsia="MS Mincho"/>
                <w:color w:val="000000"/>
                <w:sz w:val="22"/>
                <w:szCs w:val="22"/>
                <w:lang w:val="en-US"/>
              </w:rPr>
              <w:t xml:space="preserve">., 2006; Narayanaswamy </w:t>
            </w:r>
            <w:r w:rsidRPr="0006066A">
              <w:rPr>
                <w:rFonts w:eastAsia="MS Mincho"/>
                <w:i/>
                <w:color w:val="000000"/>
                <w:sz w:val="22"/>
                <w:szCs w:val="22"/>
                <w:lang w:val="en-US"/>
              </w:rPr>
              <w:t>et al</w:t>
            </w:r>
            <w:r w:rsidRPr="0021277B">
              <w:rPr>
                <w:rFonts w:eastAsia="MS Mincho"/>
                <w:color w:val="000000"/>
                <w:sz w:val="22"/>
                <w:szCs w:val="22"/>
                <w:lang w:val="en-US"/>
              </w:rPr>
              <w:t xml:space="preserve">., 2006;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2007; Mienis </w:t>
            </w:r>
            <w:r w:rsidRPr="0006066A">
              <w:rPr>
                <w:rFonts w:eastAsia="MS Mincho"/>
                <w:i/>
                <w:color w:val="000000"/>
                <w:sz w:val="22"/>
                <w:szCs w:val="22"/>
                <w:lang w:val="en-US"/>
              </w:rPr>
              <w:t>et al</w:t>
            </w:r>
            <w:r w:rsidRPr="0021277B">
              <w:rPr>
                <w:rFonts w:eastAsia="MS Mincho"/>
                <w:color w:val="000000"/>
                <w:sz w:val="22"/>
                <w:szCs w:val="22"/>
                <w:lang w:val="en-US"/>
              </w:rPr>
              <w:t xml:space="preserve">., 2007;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2008; Durán Muñoz </w:t>
            </w:r>
            <w:r w:rsidRPr="0006066A">
              <w:rPr>
                <w:rFonts w:eastAsia="MS Mincho"/>
                <w:i/>
                <w:color w:val="000000"/>
                <w:sz w:val="22"/>
                <w:szCs w:val="22"/>
                <w:lang w:val="en-US"/>
              </w:rPr>
              <w:t>et al</w:t>
            </w:r>
            <w:r w:rsidRPr="0021277B">
              <w:rPr>
                <w:rFonts w:eastAsia="MS Mincho"/>
                <w:color w:val="000000"/>
                <w:sz w:val="22"/>
                <w:szCs w:val="22"/>
                <w:lang w:val="en-US"/>
              </w:rPr>
              <w:t xml:space="preserve">. 2009;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2009;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2011; Huvenne </w:t>
            </w:r>
            <w:r w:rsidRPr="0006066A">
              <w:rPr>
                <w:rFonts w:eastAsia="MS Mincho"/>
                <w:i/>
                <w:color w:val="000000"/>
                <w:sz w:val="22"/>
                <w:szCs w:val="22"/>
                <w:lang w:val="en-US"/>
              </w:rPr>
              <w:t>et al</w:t>
            </w:r>
            <w:r w:rsidRPr="0021277B">
              <w:rPr>
                <w:rFonts w:eastAsia="MS Mincho"/>
                <w:color w:val="000000"/>
                <w:sz w:val="22"/>
                <w:szCs w:val="22"/>
                <w:lang w:val="en-US"/>
              </w:rPr>
              <w:t xml:space="preserve">., 2011, Bullimore </w:t>
            </w:r>
            <w:r w:rsidRPr="0006066A">
              <w:rPr>
                <w:rFonts w:eastAsia="MS Mincho"/>
                <w:i/>
                <w:color w:val="000000"/>
                <w:sz w:val="22"/>
                <w:szCs w:val="22"/>
                <w:lang w:val="en-US"/>
              </w:rPr>
              <w:t>et al</w:t>
            </w:r>
            <w:r w:rsidRPr="0021277B">
              <w:rPr>
                <w:rFonts w:eastAsia="MS Mincho"/>
                <w:color w:val="000000"/>
                <w:sz w:val="22"/>
                <w:szCs w:val="22"/>
                <w:lang w:val="en-US"/>
              </w:rPr>
              <w:t xml:space="preserve">., 2013;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2013; Ross and Howell, 2013; Piechaud </w:t>
            </w:r>
            <w:r w:rsidRPr="0006066A">
              <w:rPr>
                <w:rFonts w:eastAsia="MS Mincho"/>
                <w:i/>
                <w:color w:val="000000"/>
                <w:sz w:val="22"/>
                <w:szCs w:val="22"/>
                <w:lang w:val="en-US"/>
              </w:rPr>
              <w:t>et al</w:t>
            </w:r>
            <w:r w:rsidRPr="0021277B">
              <w:rPr>
                <w:rFonts w:eastAsia="MS Mincho"/>
                <w:color w:val="000000"/>
                <w:sz w:val="22"/>
                <w:szCs w:val="22"/>
                <w:lang w:val="en-US"/>
              </w:rPr>
              <w:t xml:space="preserve">., 2015; Ross </w:t>
            </w:r>
            <w:r w:rsidRPr="0006066A">
              <w:rPr>
                <w:rFonts w:eastAsia="MS Mincho"/>
                <w:i/>
                <w:color w:val="000000"/>
                <w:sz w:val="22"/>
                <w:szCs w:val="22"/>
                <w:lang w:val="en-US"/>
              </w:rPr>
              <w:t>et al</w:t>
            </w:r>
            <w:r w:rsidRPr="0021277B">
              <w:rPr>
                <w:rFonts w:eastAsia="MS Mincho"/>
                <w:color w:val="000000"/>
                <w:sz w:val="22"/>
                <w:szCs w:val="22"/>
                <w:lang w:val="en-US"/>
              </w:rPr>
              <w:t>. 2015).</w:t>
            </w:r>
          </w:p>
          <w:p w14:paraId="68663957" w14:textId="77777777" w:rsidR="006B3F46" w:rsidRPr="0021277B" w:rsidRDefault="006B3F46" w:rsidP="006B3F46">
            <w:pPr>
              <w:widowControl w:val="0"/>
              <w:numPr>
                <w:ilvl w:val="0"/>
                <w:numId w:val="52"/>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In addition</w:t>
            </w:r>
            <w:r>
              <w:rPr>
                <w:rFonts w:eastAsia="MS Mincho"/>
                <w:color w:val="000000"/>
                <w:sz w:val="22"/>
                <w:szCs w:val="22"/>
                <w:lang w:val="en-US"/>
              </w:rPr>
              <w:t>,</w:t>
            </w:r>
            <w:r w:rsidRPr="0021277B">
              <w:rPr>
                <w:rFonts w:eastAsia="MS Mincho"/>
                <w:color w:val="000000"/>
                <w:sz w:val="22"/>
                <w:szCs w:val="22"/>
                <w:lang w:val="en-US"/>
              </w:rPr>
              <w:t xml:space="preserve"> deep-sea sponges aggregations are also known to be present and these are also listed under OSPAR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2016; Ross </w:t>
            </w:r>
            <w:r w:rsidRPr="0006066A">
              <w:rPr>
                <w:rFonts w:eastAsia="MS Mincho"/>
                <w:i/>
                <w:color w:val="000000"/>
                <w:sz w:val="22"/>
                <w:szCs w:val="22"/>
                <w:lang w:val="en-US"/>
              </w:rPr>
              <w:t>et al</w:t>
            </w:r>
            <w:r w:rsidRPr="0021277B">
              <w:rPr>
                <w:rFonts w:eastAsia="MS Mincho"/>
                <w:color w:val="000000"/>
                <w:sz w:val="22"/>
                <w:szCs w:val="22"/>
                <w:lang w:val="en-US"/>
              </w:rPr>
              <w:t xml:space="preserve">., 2019) </w:t>
            </w:r>
          </w:p>
          <w:p w14:paraId="34B2C03C" w14:textId="77777777" w:rsidR="006B3F46" w:rsidRPr="0021277B" w:rsidRDefault="006B3F46" w:rsidP="006B3F46">
            <w:pPr>
              <w:numPr>
                <w:ilvl w:val="0"/>
                <w:numId w:val="52"/>
              </w:numPr>
              <w:ind w:left="284"/>
              <w:jc w:val="both"/>
              <w:rPr>
                <w:rFonts w:eastAsia="MS Mincho"/>
                <w:color w:val="000000"/>
                <w:sz w:val="22"/>
                <w:szCs w:val="22"/>
                <w:lang w:val="en-US"/>
              </w:rPr>
            </w:pPr>
            <w:r w:rsidRPr="0021277B">
              <w:rPr>
                <w:rFonts w:eastAsia="MS Mincho"/>
                <w:color w:val="000000"/>
                <w:sz w:val="22"/>
                <w:szCs w:val="22"/>
                <w:lang w:val="en-US"/>
              </w:rPr>
              <w:t xml:space="preserve">A number of endangered and significantly depleted whale species have been shown to occur in this area (Reid </w:t>
            </w:r>
            <w:r w:rsidRPr="0006066A">
              <w:rPr>
                <w:rFonts w:eastAsia="MS Mincho"/>
                <w:i/>
                <w:color w:val="000000"/>
                <w:sz w:val="22"/>
                <w:szCs w:val="22"/>
                <w:lang w:val="en-US"/>
              </w:rPr>
              <w:t>et al</w:t>
            </w:r>
            <w:r w:rsidRPr="0021277B">
              <w:rPr>
                <w:rFonts w:eastAsia="MS Mincho"/>
                <w:color w:val="000000"/>
                <w:sz w:val="22"/>
                <w:szCs w:val="22"/>
                <w:lang w:val="en-US"/>
              </w:rPr>
              <w:t xml:space="preserve">., 2003; Ó Cadhla </w:t>
            </w:r>
            <w:r w:rsidRPr="0006066A">
              <w:rPr>
                <w:rFonts w:eastAsia="MS Mincho"/>
                <w:i/>
                <w:color w:val="000000"/>
                <w:sz w:val="22"/>
                <w:szCs w:val="22"/>
                <w:lang w:val="en-US"/>
              </w:rPr>
              <w:t>et al</w:t>
            </w:r>
            <w:r w:rsidRPr="0021277B">
              <w:rPr>
                <w:rFonts w:eastAsia="MS Mincho"/>
                <w:color w:val="000000"/>
                <w:sz w:val="22"/>
                <w:szCs w:val="22"/>
                <w:lang w:val="en-US"/>
              </w:rPr>
              <w:t xml:space="preserve">., 2004; Charif &amp; Clark, 2009; Hammond </w:t>
            </w:r>
            <w:r w:rsidRPr="0006066A">
              <w:rPr>
                <w:rFonts w:eastAsia="MS Mincho"/>
                <w:i/>
                <w:color w:val="000000"/>
                <w:sz w:val="22"/>
                <w:szCs w:val="22"/>
                <w:lang w:val="en-US"/>
              </w:rPr>
              <w:t>et al</w:t>
            </w:r>
            <w:r w:rsidRPr="0021277B">
              <w:rPr>
                <w:rFonts w:eastAsia="MS Mincho"/>
                <w:color w:val="000000"/>
                <w:sz w:val="22"/>
                <w:szCs w:val="22"/>
                <w:lang w:val="en-US"/>
              </w:rPr>
              <w:t xml:space="preserve">., 2009; Nolan </w:t>
            </w:r>
            <w:r w:rsidRPr="0006066A">
              <w:rPr>
                <w:rFonts w:eastAsia="MS Mincho"/>
                <w:i/>
                <w:color w:val="000000"/>
                <w:sz w:val="22"/>
                <w:szCs w:val="22"/>
                <w:lang w:val="en-US"/>
              </w:rPr>
              <w:t>et al</w:t>
            </w:r>
            <w:r w:rsidRPr="0021277B">
              <w:rPr>
                <w:rFonts w:eastAsia="MS Mincho"/>
                <w:color w:val="000000"/>
                <w:sz w:val="22"/>
                <w:szCs w:val="22"/>
                <w:lang w:val="en-US"/>
              </w:rPr>
              <w:t xml:space="preserve">., 2011; Visser </w:t>
            </w:r>
            <w:r w:rsidRPr="0006066A">
              <w:rPr>
                <w:rFonts w:eastAsia="MS Mincho"/>
                <w:i/>
                <w:color w:val="000000"/>
                <w:sz w:val="22"/>
                <w:szCs w:val="22"/>
                <w:lang w:val="en-US"/>
              </w:rPr>
              <w:t>et al</w:t>
            </w:r>
            <w:r w:rsidRPr="0021277B">
              <w:rPr>
                <w:rFonts w:eastAsia="MS Mincho"/>
                <w:color w:val="000000"/>
                <w:sz w:val="22"/>
                <w:szCs w:val="22"/>
                <w:lang w:val="en-US"/>
              </w:rPr>
              <w:t xml:space="preserve">., 2011; Wall </w:t>
            </w:r>
            <w:r w:rsidRPr="0006066A">
              <w:rPr>
                <w:rFonts w:eastAsia="MS Mincho"/>
                <w:i/>
                <w:color w:val="000000"/>
                <w:sz w:val="22"/>
                <w:szCs w:val="22"/>
                <w:lang w:val="en-US"/>
              </w:rPr>
              <w:t>et al</w:t>
            </w:r>
            <w:r w:rsidRPr="0021277B">
              <w:rPr>
                <w:rFonts w:eastAsia="MS Mincho"/>
                <w:color w:val="000000"/>
                <w:sz w:val="22"/>
                <w:szCs w:val="22"/>
                <w:lang w:val="en-US"/>
              </w:rPr>
              <w:t xml:space="preserve">., 2013; Vandeperre </w:t>
            </w:r>
            <w:r w:rsidRPr="0006066A">
              <w:rPr>
                <w:rFonts w:eastAsia="MS Mincho"/>
                <w:i/>
                <w:color w:val="000000"/>
                <w:sz w:val="22"/>
                <w:szCs w:val="22"/>
                <w:lang w:val="en-US"/>
              </w:rPr>
              <w:t>et al</w:t>
            </w:r>
            <w:r w:rsidRPr="0021277B">
              <w:rPr>
                <w:rFonts w:eastAsia="MS Mincho"/>
                <w:color w:val="000000"/>
                <w:sz w:val="22"/>
                <w:szCs w:val="22"/>
                <w:lang w:val="en-US"/>
              </w:rPr>
              <w:t xml:space="preserve">., 2016; Kavanagh </w:t>
            </w:r>
            <w:r w:rsidRPr="0006066A">
              <w:rPr>
                <w:rFonts w:eastAsia="MS Mincho"/>
                <w:i/>
                <w:color w:val="000000"/>
                <w:sz w:val="22"/>
                <w:szCs w:val="22"/>
                <w:lang w:val="en-US"/>
              </w:rPr>
              <w:t>et al</w:t>
            </w:r>
            <w:r w:rsidRPr="0021277B">
              <w:rPr>
                <w:rFonts w:eastAsia="MS Mincho"/>
                <w:color w:val="000000"/>
                <w:sz w:val="22"/>
                <w:szCs w:val="22"/>
                <w:lang w:val="en-US"/>
              </w:rPr>
              <w:t>., 2017)</w:t>
            </w:r>
          </w:p>
          <w:p w14:paraId="48857A6A" w14:textId="77777777" w:rsidR="006B3F46" w:rsidRPr="0021277B" w:rsidRDefault="006B3F46" w:rsidP="006B3F46">
            <w:pPr>
              <w:numPr>
                <w:ilvl w:val="0"/>
                <w:numId w:val="52"/>
              </w:numPr>
              <w:ind w:left="284"/>
              <w:jc w:val="both"/>
              <w:rPr>
                <w:rFonts w:eastAsia="MS Mincho"/>
                <w:color w:val="000000"/>
                <w:sz w:val="22"/>
                <w:szCs w:val="22"/>
                <w:lang w:val="en-US"/>
              </w:rPr>
            </w:pPr>
            <w:r w:rsidRPr="0021277B">
              <w:rPr>
                <w:rFonts w:eastAsia="MS Mincho"/>
                <w:color w:val="000000"/>
                <w:sz w:val="22"/>
                <w:szCs w:val="22"/>
                <w:lang w:val="en-US"/>
              </w:rPr>
              <w:t xml:space="preserve">The reef which lies on the summit of Rockall Bank at 197 m depth may provide one of very few climate refugia for Lophelia pertusa reefs as a result of ASH shoaling (Jackson </w:t>
            </w:r>
            <w:r w:rsidRPr="0006066A">
              <w:rPr>
                <w:rFonts w:eastAsia="MS Mincho"/>
                <w:i/>
                <w:color w:val="000000"/>
                <w:sz w:val="22"/>
                <w:szCs w:val="22"/>
                <w:lang w:val="en-US"/>
              </w:rPr>
              <w:t>et al</w:t>
            </w:r>
            <w:r w:rsidRPr="0021277B">
              <w:rPr>
                <w:rFonts w:eastAsia="MS Mincho"/>
                <w:color w:val="000000"/>
                <w:sz w:val="22"/>
                <w:szCs w:val="22"/>
                <w:lang w:val="en-US"/>
              </w:rPr>
              <w:t>., 2015).</w:t>
            </w:r>
          </w:p>
          <w:p w14:paraId="43B60C53"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51CF6599" w14:textId="77777777" w:rsidTr="002E4B39">
        <w:tc>
          <w:tcPr>
            <w:tcW w:w="832" w:type="pct"/>
            <w:shd w:val="clear" w:color="auto" w:fill="auto"/>
          </w:tcPr>
          <w:p w14:paraId="38575AB5"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Vulnerability, fragility, sensitivity, or slow recovery</w:t>
            </w:r>
          </w:p>
        </w:tc>
        <w:tc>
          <w:tcPr>
            <w:tcW w:w="2232" w:type="pct"/>
            <w:shd w:val="clear" w:color="auto" w:fill="auto"/>
          </w:tcPr>
          <w:p w14:paraId="0A3F95DE"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44651D6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76258AE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194F7AC5"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192594E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2AFE4BDC" w14:textId="77777777" w:rsidTr="00907941">
        <w:tc>
          <w:tcPr>
            <w:tcW w:w="5000" w:type="pct"/>
            <w:gridSpan w:val="11"/>
            <w:shd w:val="clear" w:color="auto" w:fill="auto"/>
          </w:tcPr>
          <w:p w14:paraId="1C797115" w14:textId="77777777" w:rsidR="006B3F46" w:rsidRPr="0021277B" w:rsidRDefault="006B3F46" w:rsidP="00907941">
            <w:pPr>
              <w:widowControl w:val="0"/>
              <w:autoSpaceDE w:val="0"/>
              <w:autoSpaceDN w:val="0"/>
              <w:adjustRightInd w:val="0"/>
              <w:rPr>
                <w:rFonts w:eastAsia="MS Mincho"/>
                <w:i/>
                <w:color w:val="000000"/>
                <w:sz w:val="22"/>
                <w:szCs w:val="22"/>
                <w:lang w:val="en-US"/>
              </w:rPr>
            </w:pPr>
            <w:r w:rsidRPr="0021277B">
              <w:rPr>
                <w:rFonts w:eastAsia="MS Mincho"/>
                <w:i/>
                <w:color w:val="000000"/>
                <w:sz w:val="22"/>
                <w:szCs w:val="22"/>
                <w:lang w:val="en-US"/>
              </w:rPr>
              <w:t>Explanation for ranking</w:t>
            </w:r>
          </w:p>
          <w:p w14:paraId="79F3E594" w14:textId="77777777" w:rsidR="006B3F46" w:rsidRPr="0021277B" w:rsidRDefault="006B3F46" w:rsidP="006B3F46">
            <w:pPr>
              <w:widowControl w:val="0"/>
              <w:numPr>
                <w:ilvl w:val="0"/>
                <w:numId w:val="55"/>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 xml:space="preserve">There is a high diversity of corals, including bamboo coral (Isididae), black coral (Antipatharia) as well as the reef forming stony corals (Scleractinia), though some of these may now be reduced in distribution occurring in patches (Wilson, 1979a; Frederiksen </w:t>
            </w:r>
            <w:r w:rsidRPr="0006066A">
              <w:rPr>
                <w:rFonts w:eastAsia="MS Mincho"/>
                <w:i/>
                <w:color w:val="000000"/>
                <w:sz w:val="22"/>
                <w:szCs w:val="22"/>
                <w:lang w:val="en-US"/>
              </w:rPr>
              <w:t>et al</w:t>
            </w:r>
            <w:r w:rsidRPr="0021277B">
              <w:rPr>
                <w:rFonts w:eastAsia="MS Mincho"/>
                <w:color w:val="000000"/>
                <w:sz w:val="22"/>
                <w:szCs w:val="22"/>
                <w:lang w:val="en-US"/>
              </w:rPr>
              <w:t xml:space="preserve">. 1992; Kenyon </w:t>
            </w:r>
            <w:r w:rsidRPr="0006066A">
              <w:rPr>
                <w:rFonts w:eastAsia="MS Mincho"/>
                <w:i/>
                <w:color w:val="000000"/>
                <w:sz w:val="22"/>
                <w:szCs w:val="22"/>
                <w:lang w:val="en-US"/>
              </w:rPr>
              <w:t>et al</w:t>
            </w:r>
            <w:r w:rsidRPr="0021277B">
              <w:rPr>
                <w:rFonts w:eastAsia="MS Mincho"/>
                <w:color w:val="000000"/>
                <w:sz w:val="22"/>
                <w:szCs w:val="22"/>
                <w:lang w:val="en-US"/>
              </w:rPr>
              <w:t xml:space="preserve">., 2003;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2003; Mienis </w:t>
            </w:r>
            <w:r w:rsidRPr="0006066A">
              <w:rPr>
                <w:rFonts w:eastAsia="MS Mincho"/>
                <w:i/>
                <w:color w:val="000000"/>
                <w:sz w:val="22"/>
                <w:szCs w:val="22"/>
                <w:lang w:val="en-US"/>
              </w:rPr>
              <w:t>et al</w:t>
            </w:r>
            <w:r w:rsidRPr="0021277B">
              <w:rPr>
                <w:rFonts w:eastAsia="MS Mincho"/>
                <w:color w:val="000000"/>
                <w:sz w:val="22"/>
                <w:szCs w:val="22"/>
                <w:lang w:val="en-US"/>
              </w:rPr>
              <w:t xml:space="preserve">., 2006; Narayanaswamy </w:t>
            </w:r>
            <w:r w:rsidRPr="0006066A">
              <w:rPr>
                <w:rFonts w:eastAsia="MS Mincho"/>
                <w:i/>
                <w:color w:val="000000"/>
                <w:sz w:val="22"/>
                <w:szCs w:val="22"/>
                <w:lang w:val="en-US"/>
              </w:rPr>
              <w:t>et al</w:t>
            </w:r>
            <w:r w:rsidRPr="0021277B">
              <w:rPr>
                <w:rFonts w:eastAsia="MS Mincho"/>
                <w:color w:val="000000"/>
                <w:sz w:val="22"/>
                <w:szCs w:val="22"/>
                <w:lang w:val="en-US"/>
              </w:rPr>
              <w:t xml:space="preserve">., 2006;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2007; Mienis </w:t>
            </w:r>
            <w:r w:rsidRPr="0006066A">
              <w:rPr>
                <w:rFonts w:eastAsia="MS Mincho"/>
                <w:i/>
                <w:color w:val="000000"/>
                <w:sz w:val="22"/>
                <w:szCs w:val="22"/>
                <w:lang w:val="en-US"/>
              </w:rPr>
              <w:t>et al</w:t>
            </w:r>
            <w:r w:rsidRPr="0021277B">
              <w:rPr>
                <w:rFonts w:eastAsia="MS Mincho"/>
                <w:color w:val="000000"/>
                <w:sz w:val="22"/>
                <w:szCs w:val="22"/>
                <w:lang w:val="en-US"/>
              </w:rPr>
              <w:t xml:space="preserve">., 2007; Roberts </w:t>
            </w:r>
            <w:r w:rsidRPr="0006066A">
              <w:rPr>
                <w:rFonts w:eastAsia="MS Mincho"/>
                <w:i/>
                <w:color w:val="000000"/>
                <w:sz w:val="22"/>
                <w:szCs w:val="22"/>
                <w:lang w:val="en-US"/>
              </w:rPr>
              <w:t>et al</w:t>
            </w:r>
            <w:r w:rsidRPr="0021277B">
              <w:rPr>
                <w:rFonts w:eastAsia="MS Mincho"/>
                <w:color w:val="000000"/>
                <w:sz w:val="22"/>
                <w:szCs w:val="22"/>
                <w:lang w:val="en-US"/>
              </w:rPr>
              <w:t>.</w:t>
            </w:r>
            <w:r>
              <w:rPr>
                <w:rFonts w:eastAsia="MS Mincho"/>
                <w:color w:val="000000"/>
                <w:sz w:val="22"/>
                <w:szCs w:val="22"/>
                <w:lang w:val="en-US"/>
              </w:rPr>
              <w:t>,</w:t>
            </w:r>
            <w:r w:rsidRPr="0021277B">
              <w:rPr>
                <w:rFonts w:eastAsia="MS Mincho"/>
                <w:color w:val="000000"/>
                <w:sz w:val="22"/>
                <w:szCs w:val="22"/>
                <w:lang w:val="en-US"/>
              </w:rPr>
              <w:t xml:space="preserve"> 2008; Durán Muñoz </w:t>
            </w:r>
            <w:r w:rsidRPr="0006066A">
              <w:rPr>
                <w:rFonts w:eastAsia="MS Mincho"/>
                <w:i/>
                <w:color w:val="000000"/>
                <w:sz w:val="22"/>
                <w:szCs w:val="22"/>
                <w:lang w:val="en-US"/>
              </w:rPr>
              <w:t>et al</w:t>
            </w:r>
            <w:r w:rsidRPr="0021277B">
              <w:rPr>
                <w:rFonts w:eastAsia="MS Mincho"/>
                <w:color w:val="000000"/>
                <w:sz w:val="22"/>
                <w:szCs w:val="22"/>
                <w:lang w:val="en-US"/>
              </w:rPr>
              <w:t>.</w:t>
            </w:r>
            <w:r>
              <w:rPr>
                <w:rFonts w:eastAsia="MS Mincho"/>
                <w:color w:val="000000"/>
                <w:sz w:val="22"/>
                <w:szCs w:val="22"/>
                <w:lang w:val="en-US"/>
              </w:rPr>
              <w:t>,</w:t>
            </w:r>
            <w:r w:rsidRPr="0021277B">
              <w:rPr>
                <w:rFonts w:eastAsia="MS Mincho"/>
                <w:color w:val="000000"/>
                <w:sz w:val="22"/>
                <w:szCs w:val="22"/>
                <w:lang w:val="en-US"/>
              </w:rPr>
              <w:t xml:space="preserve"> 2009;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2009;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2011; Huvenne </w:t>
            </w:r>
            <w:r w:rsidRPr="0006066A">
              <w:rPr>
                <w:rFonts w:eastAsia="MS Mincho"/>
                <w:i/>
                <w:color w:val="000000"/>
                <w:sz w:val="22"/>
                <w:szCs w:val="22"/>
                <w:lang w:val="en-US"/>
              </w:rPr>
              <w:t>et al</w:t>
            </w:r>
            <w:r w:rsidRPr="0021277B">
              <w:rPr>
                <w:rFonts w:eastAsia="MS Mincho"/>
                <w:color w:val="000000"/>
                <w:sz w:val="22"/>
                <w:szCs w:val="22"/>
                <w:lang w:val="en-US"/>
              </w:rPr>
              <w:t xml:space="preserve">., 2011, Bullimore </w:t>
            </w:r>
            <w:r w:rsidRPr="0006066A">
              <w:rPr>
                <w:rFonts w:eastAsia="MS Mincho"/>
                <w:i/>
                <w:color w:val="000000"/>
                <w:sz w:val="22"/>
                <w:szCs w:val="22"/>
                <w:lang w:val="en-US"/>
              </w:rPr>
              <w:t>et al</w:t>
            </w:r>
            <w:r w:rsidRPr="0021277B">
              <w:rPr>
                <w:rFonts w:eastAsia="MS Mincho"/>
                <w:color w:val="000000"/>
                <w:sz w:val="22"/>
                <w:szCs w:val="22"/>
                <w:lang w:val="en-US"/>
              </w:rPr>
              <w:t xml:space="preserve">., 2013;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2013; Ross and Howell, 2013; Piechaud </w:t>
            </w:r>
            <w:r w:rsidRPr="0006066A">
              <w:rPr>
                <w:rFonts w:eastAsia="MS Mincho"/>
                <w:i/>
                <w:color w:val="000000"/>
                <w:sz w:val="22"/>
                <w:szCs w:val="22"/>
                <w:lang w:val="en-US"/>
              </w:rPr>
              <w:t>et al</w:t>
            </w:r>
            <w:r w:rsidRPr="0021277B">
              <w:rPr>
                <w:rFonts w:eastAsia="MS Mincho"/>
                <w:color w:val="000000"/>
                <w:sz w:val="22"/>
                <w:szCs w:val="22"/>
                <w:lang w:val="en-US"/>
              </w:rPr>
              <w:t xml:space="preserve">., 2015; Ross </w:t>
            </w:r>
            <w:r w:rsidRPr="0006066A">
              <w:rPr>
                <w:rFonts w:eastAsia="MS Mincho"/>
                <w:i/>
                <w:color w:val="000000"/>
                <w:sz w:val="22"/>
                <w:szCs w:val="22"/>
                <w:lang w:val="en-US"/>
              </w:rPr>
              <w:t>et al</w:t>
            </w:r>
            <w:r w:rsidRPr="0021277B">
              <w:rPr>
                <w:rFonts w:eastAsia="MS Mincho"/>
                <w:color w:val="000000"/>
                <w:sz w:val="22"/>
                <w:szCs w:val="22"/>
                <w:lang w:val="en-US"/>
              </w:rPr>
              <w:t xml:space="preserve">. 2015). Many of the species have slow growth rates, and long generation times (Brendan Roark </w:t>
            </w:r>
            <w:r w:rsidRPr="0006066A">
              <w:rPr>
                <w:rFonts w:eastAsia="MS Mincho"/>
                <w:i/>
                <w:color w:val="000000"/>
                <w:sz w:val="22"/>
                <w:szCs w:val="22"/>
                <w:lang w:val="en-US"/>
              </w:rPr>
              <w:t>et al</w:t>
            </w:r>
            <w:r w:rsidRPr="0021277B">
              <w:rPr>
                <w:rFonts w:eastAsia="MS Mincho"/>
                <w:color w:val="000000"/>
                <w:sz w:val="22"/>
                <w:szCs w:val="22"/>
                <w:lang w:val="en-US"/>
              </w:rPr>
              <w:t xml:space="preserve">., 2006; Carreiro-Silva </w:t>
            </w:r>
            <w:r w:rsidRPr="0006066A">
              <w:rPr>
                <w:rFonts w:eastAsia="MS Mincho"/>
                <w:i/>
                <w:color w:val="000000"/>
                <w:sz w:val="22"/>
                <w:szCs w:val="22"/>
                <w:lang w:val="en-US"/>
              </w:rPr>
              <w:t>et al</w:t>
            </w:r>
            <w:r w:rsidRPr="0021277B">
              <w:rPr>
                <w:rFonts w:eastAsia="MS Mincho"/>
                <w:color w:val="000000"/>
                <w:sz w:val="22"/>
                <w:szCs w:val="22"/>
                <w:lang w:val="en-US"/>
              </w:rPr>
              <w:t xml:space="preserve">., 2013) leading to very slow and episodic recoveries following human impact. </w:t>
            </w:r>
          </w:p>
          <w:p w14:paraId="1CBB4C63" w14:textId="77777777" w:rsidR="006B3F46" w:rsidRPr="0021277B" w:rsidRDefault="006B3F46" w:rsidP="006B3F46">
            <w:pPr>
              <w:numPr>
                <w:ilvl w:val="0"/>
                <w:numId w:val="55"/>
              </w:numPr>
              <w:ind w:left="284"/>
              <w:jc w:val="both"/>
              <w:rPr>
                <w:rFonts w:eastAsia="MS Mincho"/>
                <w:color w:val="000000"/>
                <w:sz w:val="22"/>
                <w:szCs w:val="22"/>
                <w:lang w:val="en-US"/>
              </w:rPr>
            </w:pPr>
            <w:r w:rsidRPr="0021277B">
              <w:rPr>
                <w:rFonts w:eastAsia="MS Mincho"/>
                <w:color w:val="000000"/>
                <w:sz w:val="22"/>
                <w:szCs w:val="22"/>
                <w:lang w:val="en-US"/>
              </w:rPr>
              <w:t xml:space="preserve">Recent modelling suggests the deep-sea sponge aggregations in the Hatton-Rockall Basin may be isolated from neighbouring populations and thus highly vulnerable. (Ross </w:t>
            </w:r>
            <w:r w:rsidRPr="0006066A">
              <w:rPr>
                <w:rFonts w:eastAsia="MS Mincho"/>
                <w:i/>
                <w:color w:val="000000"/>
                <w:sz w:val="22"/>
                <w:szCs w:val="22"/>
                <w:lang w:val="en-US"/>
              </w:rPr>
              <w:t>et al</w:t>
            </w:r>
            <w:r w:rsidRPr="0021277B">
              <w:rPr>
                <w:rFonts w:eastAsia="MS Mincho"/>
                <w:color w:val="000000"/>
                <w:sz w:val="22"/>
                <w:szCs w:val="22"/>
                <w:lang w:val="en-US"/>
              </w:rPr>
              <w:t xml:space="preserve">., 2019) </w:t>
            </w:r>
          </w:p>
          <w:p w14:paraId="586E41EA" w14:textId="77777777" w:rsidR="006B3F46" w:rsidRPr="0021277B" w:rsidRDefault="006B3F46" w:rsidP="006B3F46">
            <w:pPr>
              <w:widowControl w:val="0"/>
              <w:numPr>
                <w:ilvl w:val="0"/>
                <w:numId w:val="55"/>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 xml:space="preserve">Some of the demersal fish have very slow recovery times as a result of their slow reproductive rate compared to pelagic fish. Stocks have already been diminished in some areas (Koslow </w:t>
            </w:r>
            <w:r w:rsidRPr="0006066A">
              <w:rPr>
                <w:rFonts w:eastAsia="MS Mincho"/>
                <w:i/>
                <w:color w:val="000000"/>
                <w:sz w:val="22"/>
                <w:szCs w:val="22"/>
                <w:lang w:val="en-US"/>
              </w:rPr>
              <w:t>et al</w:t>
            </w:r>
            <w:r w:rsidRPr="0021277B">
              <w:rPr>
                <w:rFonts w:eastAsia="MS Mincho"/>
                <w:color w:val="000000"/>
                <w:sz w:val="22"/>
                <w:szCs w:val="22"/>
                <w:lang w:val="en-US"/>
              </w:rPr>
              <w:t xml:space="preserve">., 2000; Bailey </w:t>
            </w:r>
            <w:r w:rsidRPr="0006066A">
              <w:rPr>
                <w:rFonts w:eastAsia="MS Mincho"/>
                <w:i/>
                <w:color w:val="000000"/>
                <w:sz w:val="22"/>
                <w:szCs w:val="22"/>
                <w:lang w:val="en-US"/>
              </w:rPr>
              <w:t>et al</w:t>
            </w:r>
            <w:r w:rsidRPr="0021277B">
              <w:rPr>
                <w:rFonts w:eastAsia="MS Mincho"/>
                <w:color w:val="000000"/>
                <w:sz w:val="22"/>
                <w:szCs w:val="22"/>
                <w:lang w:val="en-US"/>
              </w:rPr>
              <w:t xml:space="preserve">. 2009).  </w:t>
            </w:r>
          </w:p>
          <w:p w14:paraId="18E38095" w14:textId="77777777" w:rsidR="006B3F46" w:rsidRPr="0021277B" w:rsidRDefault="006B3F46" w:rsidP="006B3F46">
            <w:pPr>
              <w:numPr>
                <w:ilvl w:val="0"/>
                <w:numId w:val="55"/>
              </w:numPr>
              <w:ind w:left="284"/>
              <w:jc w:val="both"/>
              <w:rPr>
                <w:rFonts w:eastAsia="MS Mincho"/>
                <w:color w:val="000000"/>
                <w:sz w:val="22"/>
                <w:szCs w:val="22"/>
                <w:lang w:val="en-US"/>
              </w:rPr>
            </w:pPr>
            <w:r w:rsidRPr="0021277B">
              <w:rPr>
                <w:rFonts w:eastAsia="MS Mincho"/>
                <w:sz w:val="22"/>
                <w:szCs w:val="22"/>
              </w:rPr>
              <w:t>The baleen whale species recorded within the area have reproductive cycles with long generation times leading to very slow recoveries following significant human impact over many decades (</w:t>
            </w:r>
            <w:r>
              <w:rPr>
                <w:rFonts w:eastAsia="MS Mincho"/>
                <w:sz w:val="22"/>
                <w:szCs w:val="22"/>
              </w:rPr>
              <w:t>e.g.,</w:t>
            </w:r>
            <w:r w:rsidRPr="0021277B">
              <w:rPr>
                <w:rFonts w:eastAsia="MS Mincho"/>
                <w:sz w:val="22"/>
                <w:szCs w:val="22"/>
              </w:rPr>
              <w:t xml:space="preserve"> historical whaling, natural resource exploitation). </w:t>
            </w:r>
            <w:r w:rsidRPr="0021277B">
              <w:rPr>
                <w:rFonts w:eastAsia="MS Mincho"/>
                <w:color w:val="000000"/>
                <w:sz w:val="22"/>
                <w:szCs w:val="22"/>
                <w:lang w:val="en-US"/>
              </w:rPr>
              <w:t xml:space="preserve">The cold-water coral habitats of this feature are vulnerable to climate change through shoaling of the aragonite saturation horizon (Jackson </w:t>
            </w:r>
            <w:r w:rsidRPr="0006066A">
              <w:rPr>
                <w:rFonts w:eastAsia="MS Mincho"/>
                <w:i/>
                <w:color w:val="000000"/>
                <w:sz w:val="22"/>
                <w:szCs w:val="22"/>
                <w:lang w:val="en-US"/>
              </w:rPr>
              <w:t>et al</w:t>
            </w:r>
            <w:r w:rsidRPr="0021277B">
              <w:rPr>
                <w:rFonts w:eastAsia="MS Mincho"/>
                <w:color w:val="000000"/>
                <w:sz w:val="22"/>
                <w:szCs w:val="22"/>
                <w:lang w:val="en-US"/>
              </w:rPr>
              <w:t>., 2015).</w:t>
            </w:r>
          </w:p>
          <w:p w14:paraId="6AC88E0C"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4B798A09" w14:textId="77777777" w:rsidTr="002E4B39">
        <w:tc>
          <w:tcPr>
            <w:tcW w:w="832" w:type="pct"/>
            <w:shd w:val="clear" w:color="auto" w:fill="auto"/>
          </w:tcPr>
          <w:p w14:paraId="78B1072B"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productivity</w:t>
            </w:r>
          </w:p>
        </w:tc>
        <w:tc>
          <w:tcPr>
            <w:tcW w:w="2232" w:type="pct"/>
            <w:shd w:val="clear" w:color="auto" w:fill="auto"/>
          </w:tcPr>
          <w:p w14:paraId="3A6CEB11" w14:textId="77777777" w:rsidR="006B3F46" w:rsidRPr="0021277B" w:rsidRDefault="006B3F46" w:rsidP="00907941">
            <w:pPr>
              <w:widowControl w:val="0"/>
              <w:autoSpaceDE w:val="0"/>
              <w:autoSpaceDN w:val="0"/>
              <w:adjustRightInd w:val="0"/>
              <w:rPr>
                <w:rFonts w:eastAsia="MS Mincho"/>
                <w:bCs/>
                <w:color w:val="000000"/>
                <w:sz w:val="22"/>
                <w:szCs w:val="22"/>
              </w:rPr>
            </w:pPr>
            <w:r w:rsidRPr="0021277B">
              <w:rPr>
                <w:rFonts w:eastAsia="MS Mincho"/>
                <w:bCs/>
                <w:color w:val="000000"/>
                <w:sz w:val="22"/>
                <w:szCs w:val="22"/>
              </w:rPr>
              <w:t>Area containing species, populations or communities with comparatively higher natural biological productivity.</w:t>
            </w:r>
          </w:p>
        </w:tc>
        <w:tc>
          <w:tcPr>
            <w:tcW w:w="684" w:type="pct"/>
            <w:gridSpan w:val="3"/>
            <w:shd w:val="clear" w:color="auto" w:fill="auto"/>
          </w:tcPr>
          <w:p w14:paraId="7F82BB1F"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55518D32"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34A29799"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c>
          <w:tcPr>
            <w:tcW w:w="432" w:type="pct"/>
            <w:gridSpan w:val="2"/>
            <w:shd w:val="clear" w:color="auto" w:fill="auto"/>
          </w:tcPr>
          <w:p w14:paraId="5C9E99A7"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r>
      <w:tr w:rsidR="006B3F46" w:rsidRPr="0021277B" w14:paraId="4CE8DE39" w14:textId="77777777" w:rsidTr="00907941">
        <w:tc>
          <w:tcPr>
            <w:tcW w:w="5000" w:type="pct"/>
            <w:gridSpan w:val="11"/>
            <w:shd w:val="clear" w:color="auto" w:fill="auto"/>
          </w:tcPr>
          <w:p w14:paraId="10B16A77"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014E1FFD" w14:textId="77777777" w:rsidR="006B3F46" w:rsidRPr="0021277B" w:rsidRDefault="006B3F46" w:rsidP="006B3F46">
            <w:pPr>
              <w:widowControl w:val="0"/>
              <w:numPr>
                <w:ilvl w:val="0"/>
                <w:numId w:val="56"/>
              </w:numPr>
              <w:autoSpaceDE w:val="0"/>
              <w:autoSpaceDN w:val="0"/>
              <w:adjustRightInd w:val="0"/>
              <w:ind w:left="284"/>
              <w:jc w:val="both"/>
              <w:rPr>
                <w:rFonts w:eastAsia="MS Mincho"/>
                <w:color w:val="000000"/>
                <w:sz w:val="22"/>
                <w:szCs w:val="22"/>
                <w:lang w:val="en-US"/>
              </w:rPr>
            </w:pPr>
            <w:r w:rsidRPr="0021277B">
              <w:rPr>
                <w:rFonts w:eastAsia="MS Mincho"/>
                <w:bCs/>
                <w:sz w:val="22"/>
                <w:szCs w:val="22"/>
              </w:rPr>
              <w:t xml:space="preserve">The Logachev mound province on Rockall Bank is a highly productive system playing an important role in carbon and nitrogen cycling and supporting respiration rates 5 times higher than the surrounding sediment ecosystem (Soetaert </w:t>
            </w:r>
            <w:r w:rsidRPr="0006066A">
              <w:rPr>
                <w:rFonts w:eastAsia="MS Mincho"/>
                <w:bCs/>
                <w:i/>
                <w:sz w:val="22"/>
                <w:szCs w:val="22"/>
              </w:rPr>
              <w:t>et al</w:t>
            </w:r>
            <w:r w:rsidRPr="0021277B">
              <w:rPr>
                <w:rFonts w:eastAsia="MS Mincho"/>
                <w:bCs/>
                <w:sz w:val="22"/>
                <w:szCs w:val="22"/>
              </w:rPr>
              <w:t>., 2016; Atlas data unpublished).</w:t>
            </w:r>
          </w:p>
          <w:p w14:paraId="2D2DEEB3" w14:textId="77777777" w:rsidR="006B3F46" w:rsidRPr="0021277B" w:rsidRDefault="006B3F46" w:rsidP="006B3F46">
            <w:pPr>
              <w:numPr>
                <w:ilvl w:val="0"/>
                <w:numId w:val="56"/>
              </w:numPr>
              <w:ind w:left="284"/>
              <w:jc w:val="both"/>
              <w:rPr>
                <w:rFonts w:eastAsia="MS Mincho"/>
                <w:color w:val="000000"/>
                <w:sz w:val="22"/>
                <w:szCs w:val="22"/>
                <w:lang w:val="en-US"/>
              </w:rPr>
            </w:pPr>
            <w:r w:rsidRPr="0021277B">
              <w:rPr>
                <w:rFonts w:eastAsia="MS Mincho"/>
                <w:color w:val="000000"/>
                <w:sz w:val="22"/>
                <w:szCs w:val="22"/>
                <w:lang w:val="en-US"/>
              </w:rPr>
              <w:t xml:space="preserve">The occurrence of numerous long-distance migratory seabird species in this high seas region is indicative of its potential primary and/or secondary productivity and its comparative importance in lying in a remote area beyond those subject to more intensive maritime resource use and management. (Cronin and Mackey, 2002; Mackey </w:t>
            </w:r>
            <w:r w:rsidRPr="0006066A">
              <w:rPr>
                <w:rFonts w:eastAsia="MS Mincho"/>
                <w:i/>
                <w:color w:val="000000"/>
                <w:sz w:val="22"/>
                <w:szCs w:val="22"/>
                <w:lang w:val="en-US"/>
              </w:rPr>
              <w:t>et al</w:t>
            </w:r>
            <w:r w:rsidRPr="0021277B">
              <w:rPr>
                <w:rFonts w:eastAsia="MS Mincho"/>
                <w:color w:val="000000"/>
                <w:sz w:val="22"/>
                <w:szCs w:val="22"/>
                <w:lang w:val="en-US"/>
              </w:rPr>
              <w:t xml:space="preserve">., 2004; Harris </w:t>
            </w:r>
            <w:r w:rsidRPr="0006066A">
              <w:rPr>
                <w:rFonts w:eastAsia="MS Mincho"/>
                <w:i/>
                <w:color w:val="000000"/>
                <w:sz w:val="22"/>
                <w:szCs w:val="22"/>
                <w:lang w:val="en-US"/>
              </w:rPr>
              <w:t>et al</w:t>
            </w:r>
            <w:r w:rsidRPr="0021277B">
              <w:rPr>
                <w:rFonts w:eastAsia="MS Mincho"/>
                <w:color w:val="000000"/>
                <w:sz w:val="22"/>
                <w:szCs w:val="22"/>
                <w:lang w:val="en-US"/>
              </w:rPr>
              <w:t xml:space="preserve">. 2010, Guilford </w:t>
            </w:r>
            <w:r w:rsidRPr="0006066A">
              <w:rPr>
                <w:rFonts w:eastAsia="MS Mincho"/>
                <w:i/>
                <w:color w:val="000000"/>
                <w:sz w:val="22"/>
                <w:szCs w:val="22"/>
                <w:lang w:val="en-US"/>
              </w:rPr>
              <w:t>et al</w:t>
            </w:r>
            <w:r w:rsidRPr="0021277B">
              <w:rPr>
                <w:rFonts w:eastAsia="MS Mincho"/>
                <w:color w:val="000000"/>
                <w:sz w:val="22"/>
                <w:szCs w:val="22"/>
                <w:lang w:val="en-US"/>
              </w:rPr>
              <w:t xml:space="preserve">. 2011; Nolan </w:t>
            </w:r>
            <w:r w:rsidRPr="0006066A">
              <w:rPr>
                <w:rFonts w:eastAsia="MS Mincho"/>
                <w:i/>
                <w:color w:val="000000"/>
                <w:sz w:val="22"/>
                <w:szCs w:val="22"/>
                <w:lang w:val="en-US"/>
              </w:rPr>
              <w:t>et al</w:t>
            </w:r>
            <w:r w:rsidRPr="0021277B">
              <w:rPr>
                <w:rFonts w:eastAsia="MS Mincho"/>
                <w:color w:val="000000"/>
                <w:sz w:val="22"/>
                <w:szCs w:val="22"/>
                <w:lang w:val="en-US"/>
              </w:rPr>
              <w:t xml:space="preserve">., 2011; and </w:t>
            </w:r>
            <w:hyperlink r:id="rId314" w:history="1">
              <w:r w:rsidRPr="0021277B">
                <w:rPr>
                  <w:rStyle w:val="Hyperlink"/>
                  <w:rFonts w:eastAsia="MS Mincho"/>
                  <w:sz w:val="22"/>
                  <w:szCs w:val="22"/>
                  <w:lang w:val="en-US"/>
                </w:rPr>
                <w:t>www.seabirdtracking.org</w:t>
              </w:r>
            </w:hyperlink>
            <w:r w:rsidRPr="0021277B">
              <w:rPr>
                <w:rFonts w:eastAsia="MS Mincho"/>
                <w:color w:val="000000"/>
                <w:sz w:val="22"/>
                <w:szCs w:val="22"/>
                <w:lang w:val="en-US"/>
              </w:rPr>
              <w:t>)</w:t>
            </w:r>
          </w:p>
          <w:p w14:paraId="562B0EF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p>
        </w:tc>
      </w:tr>
      <w:tr w:rsidR="006B3F46" w:rsidRPr="0021277B" w14:paraId="399A0B70" w14:textId="77777777" w:rsidTr="002E4B39">
        <w:tc>
          <w:tcPr>
            <w:tcW w:w="832" w:type="pct"/>
            <w:shd w:val="clear" w:color="auto" w:fill="auto"/>
          </w:tcPr>
          <w:p w14:paraId="1CA20860" w14:textId="77777777" w:rsidR="006B3F46" w:rsidRPr="0021277B" w:rsidRDefault="006B3F46" w:rsidP="00907941">
            <w:pPr>
              <w:widowControl w:val="0"/>
              <w:autoSpaceDE w:val="0"/>
              <w:autoSpaceDN w:val="0"/>
              <w:adjustRightInd w:val="0"/>
              <w:rPr>
                <w:rFonts w:eastAsia="MS Mincho"/>
                <w:b/>
                <w:bCs/>
                <w:color w:val="000000"/>
                <w:sz w:val="22"/>
                <w:szCs w:val="22"/>
                <w:lang w:val="en-US"/>
              </w:rPr>
            </w:pPr>
            <w:r w:rsidRPr="0021277B">
              <w:rPr>
                <w:rFonts w:eastAsia="MS Mincho"/>
                <w:b/>
                <w:bCs/>
                <w:color w:val="000000"/>
                <w:sz w:val="22"/>
                <w:szCs w:val="22"/>
                <w:lang w:val="en-US"/>
              </w:rPr>
              <w:t>Biological diversity</w:t>
            </w:r>
          </w:p>
        </w:tc>
        <w:tc>
          <w:tcPr>
            <w:tcW w:w="2232" w:type="pct"/>
            <w:shd w:val="clear" w:color="auto" w:fill="auto"/>
          </w:tcPr>
          <w:p w14:paraId="0F281249" w14:textId="77777777" w:rsidR="006B3F46" w:rsidRPr="0021277B" w:rsidRDefault="006B3F46" w:rsidP="00907941">
            <w:pPr>
              <w:widowControl w:val="0"/>
              <w:autoSpaceDE w:val="0"/>
              <w:autoSpaceDN w:val="0"/>
              <w:adjustRightInd w:val="0"/>
              <w:rPr>
                <w:rFonts w:eastAsia="MS Mincho"/>
                <w:bCs/>
                <w:color w:val="000000"/>
                <w:sz w:val="22"/>
                <w:szCs w:val="22"/>
                <w:lang w:val="en-US"/>
              </w:rPr>
            </w:pPr>
            <w:r w:rsidRPr="0021277B">
              <w:rPr>
                <w:rFonts w:eastAsia="MS Mincho"/>
                <w:bCs/>
                <w:color w:val="000000"/>
                <w:sz w:val="22"/>
                <w:szCs w:val="22"/>
                <w:lang w:val="en-US"/>
              </w:rPr>
              <w:t>Area contains comparatively higher diversity of ecosystems, habitats, communities, or species, or has higher genetic diversity.</w:t>
            </w:r>
          </w:p>
        </w:tc>
        <w:tc>
          <w:tcPr>
            <w:tcW w:w="684" w:type="pct"/>
            <w:gridSpan w:val="3"/>
            <w:shd w:val="clear" w:color="auto" w:fill="auto"/>
          </w:tcPr>
          <w:p w14:paraId="0F5231F8"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0" w:type="pct"/>
            <w:gridSpan w:val="2"/>
            <w:shd w:val="clear" w:color="auto" w:fill="auto"/>
          </w:tcPr>
          <w:p w14:paraId="5F53BA74"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11" w:type="pct"/>
            <w:gridSpan w:val="2"/>
            <w:shd w:val="clear" w:color="auto" w:fill="auto"/>
          </w:tcPr>
          <w:p w14:paraId="2A24D94C"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p>
        </w:tc>
        <w:tc>
          <w:tcPr>
            <w:tcW w:w="432" w:type="pct"/>
            <w:gridSpan w:val="2"/>
            <w:shd w:val="clear" w:color="auto" w:fill="auto"/>
          </w:tcPr>
          <w:p w14:paraId="62B0F453" w14:textId="77777777" w:rsidR="006B3F46" w:rsidRPr="0021277B" w:rsidRDefault="006B3F46" w:rsidP="00907941">
            <w:pPr>
              <w:widowControl w:val="0"/>
              <w:autoSpaceDE w:val="0"/>
              <w:autoSpaceDN w:val="0"/>
              <w:adjustRightInd w:val="0"/>
              <w:jc w:val="center"/>
              <w:rPr>
                <w:rFonts w:eastAsia="MS Mincho"/>
                <w:bCs/>
                <w:color w:val="000000"/>
                <w:sz w:val="22"/>
                <w:szCs w:val="22"/>
                <w:lang w:val="en-US"/>
              </w:rPr>
            </w:pPr>
            <w:r w:rsidRPr="0021277B">
              <w:rPr>
                <w:rFonts w:eastAsia="MS Mincho"/>
                <w:bCs/>
                <w:color w:val="000000"/>
                <w:sz w:val="22"/>
                <w:szCs w:val="22"/>
                <w:lang w:val="en-US"/>
              </w:rPr>
              <w:t>X</w:t>
            </w:r>
          </w:p>
        </w:tc>
      </w:tr>
      <w:tr w:rsidR="006B3F46" w:rsidRPr="0021277B" w14:paraId="6E9287B6" w14:textId="77777777" w:rsidTr="00907941">
        <w:tc>
          <w:tcPr>
            <w:tcW w:w="5000" w:type="pct"/>
            <w:gridSpan w:val="11"/>
            <w:shd w:val="clear" w:color="auto" w:fill="auto"/>
          </w:tcPr>
          <w:p w14:paraId="65B5A81E"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04FF7E57" w14:textId="77777777" w:rsidR="006B3F46" w:rsidRPr="0021277B" w:rsidRDefault="006B3F46" w:rsidP="006B3F46">
            <w:pPr>
              <w:widowControl w:val="0"/>
              <w:numPr>
                <w:ilvl w:val="0"/>
                <w:numId w:val="52"/>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 xml:space="preserve">Benthic and pelagic communities occupy all depths in and around the Hatton and Rockall Banks and Basin. Seabed communities include cold-water corals, rocky reefs, carbonate mounds, polygonal fault systems, sponge aggregations, steep and gentle sedimented slopes (Wilson, 1979a; Frederiksen </w:t>
            </w:r>
            <w:r w:rsidRPr="0006066A">
              <w:rPr>
                <w:rFonts w:eastAsia="MS Mincho"/>
                <w:i/>
                <w:color w:val="000000"/>
                <w:sz w:val="22"/>
                <w:szCs w:val="22"/>
                <w:lang w:val="en-US"/>
              </w:rPr>
              <w:t>et al</w:t>
            </w:r>
            <w:r w:rsidRPr="0021277B">
              <w:rPr>
                <w:rFonts w:eastAsia="MS Mincho"/>
                <w:color w:val="000000"/>
                <w:sz w:val="22"/>
                <w:szCs w:val="22"/>
                <w:lang w:val="en-US"/>
              </w:rPr>
              <w:t xml:space="preserve">. 1992; Kenyon </w:t>
            </w:r>
            <w:r w:rsidRPr="0006066A">
              <w:rPr>
                <w:rFonts w:eastAsia="MS Mincho"/>
                <w:i/>
                <w:color w:val="000000"/>
                <w:sz w:val="22"/>
                <w:szCs w:val="22"/>
                <w:lang w:val="en-US"/>
              </w:rPr>
              <w:t>et al</w:t>
            </w:r>
            <w:r w:rsidRPr="0021277B">
              <w:rPr>
                <w:rFonts w:eastAsia="MS Mincho"/>
                <w:color w:val="000000"/>
                <w:sz w:val="22"/>
                <w:szCs w:val="22"/>
                <w:lang w:val="en-US"/>
              </w:rPr>
              <w:t xml:space="preserve">., 2003;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2003; Mienis </w:t>
            </w:r>
            <w:r w:rsidRPr="0006066A">
              <w:rPr>
                <w:rFonts w:eastAsia="MS Mincho"/>
                <w:i/>
                <w:color w:val="000000"/>
                <w:sz w:val="22"/>
                <w:szCs w:val="22"/>
                <w:lang w:val="en-US"/>
              </w:rPr>
              <w:t>et al</w:t>
            </w:r>
            <w:r w:rsidRPr="0021277B">
              <w:rPr>
                <w:rFonts w:eastAsia="MS Mincho"/>
                <w:color w:val="000000"/>
                <w:sz w:val="22"/>
                <w:szCs w:val="22"/>
                <w:lang w:val="en-US"/>
              </w:rPr>
              <w:t xml:space="preserve">., 2006; Narayanaswamy </w:t>
            </w:r>
            <w:r w:rsidRPr="0006066A">
              <w:rPr>
                <w:rFonts w:eastAsia="MS Mincho"/>
                <w:i/>
                <w:color w:val="000000"/>
                <w:sz w:val="22"/>
                <w:szCs w:val="22"/>
                <w:lang w:val="en-US"/>
              </w:rPr>
              <w:t>et al</w:t>
            </w:r>
            <w:r w:rsidRPr="0021277B">
              <w:rPr>
                <w:rFonts w:eastAsia="MS Mincho"/>
                <w:color w:val="000000"/>
                <w:sz w:val="22"/>
                <w:szCs w:val="22"/>
                <w:lang w:val="en-US"/>
              </w:rPr>
              <w:t xml:space="preserve">., 2006;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2007; Mienis </w:t>
            </w:r>
            <w:r w:rsidRPr="0006066A">
              <w:rPr>
                <w:rFonts w:eastAsia="MS Mincho"/>
                <w:i/>
                <w:color w:val="000000"/>
                <w:sz w:val="22"/>
                <w:szCs w:val="22"/>
                <w:lang w:val="en-US"/>
              </w:rPr>
              <w:t>et al</w:t>
            </w:r>
            <w:r w:rsidRPr="0021277B">
              <w:rPr>
                <w:rFonts w:eastAsia="MS Mincho"/>
                <w:color w:val="000000"/>
                <w:sz w:val="22"/>
                <w:szCs w:val="22"/>
                <w:lang w:val="en-US"/>
              </w:rPr>
              <w:t xml:space="preserve">., 2007;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2008; Durán Muñoz </w:t>
            </w:r>
            <w:r w:rsidRPr="0006066A">
              <w:rPr>
                <w:rFonts w:eastAsia="MS Mincho"/>
                <w:i/>
                <w:color w:val="000000"/>
                <w:sz w:val="22"/>
                <w:szCs w:val="22"/>
                <w:lang w:val="en-US"/>
              </w:rPr>
              <w:t>et al</w:t>
            </w:r>
            <w:r w:rsidRPr="0021277B">
              <w:rPr>
                <w:rFonts w:eastAsia="MS Mincho"/>
                <w:color w:val="000000"/>
                <w:sz w:val="22"/>
                <w:szCs w:val="22"/>
                <w:lang w:val="en-US"/>
              </w:rPr>
              <w:t xml:space="preserve">. 2009;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2009; Howell </w:t>
            </w:r>
            <w:r w:rsidRPr="0006066A">
              <w:rPr>
                <w:rFonts w:eastAsia="MS Mincho"/>
                <w:i/>
                <w:color w:val="000000"/>
                <w:sz w:val="22"/>
                <w:szCs w:val="22"/>
                <w:lang w:val="en-US"/>
              </w:rPr>
              <w:t>et al</w:t>
            </w:r>
            <w:r w:rsidRPr="0021277B">
              <w:rPr>
                <w:rFonts w:eastAsia="MS Mincho"/>
                <w:color w:val="000000"/>
                <w:sz w:val="22"/>
                <w:szCs w:val="22"/>
                <w:lang w:val="en-US"/>
              </w:rPr>
              <w:t xml:space="preserve">., 2011; Huvenne </w:t>
            </w:r>
            <w:r w:rsidRPr="0006066A">
              <w:rPr>
                <w:rFonts w:eastAsia="MS Mincho"/>
                <w:i/>
                <w:color w:val="000000"/>
                <w:sz w:val="22"/>
                <w:szCs w:val="22"/>
                <w:lang w:val="en-US"/>
              </w:rPr>
              <w:t>et al</w:t>
            </w:r>
            <w:r w:rsidRPr="0021277B">
              <w:rPr>
                <w:rFonts w:eastAsia="MS Mincho"/>
                <w:color w:val="000000"/>
                <w:sz w:val="22"/>
                <w:szCs w:val="22"/>
                <w:lang w:val="en-US"/>
              </w:rPr>
              <w:t xml:space="preserve">., 2011, Bullimore </w:t>
            </w:r>
            <w:r w:rsidRPr="0006066A">
              <w:rPr>
                <w:rFonts w:eastAsia="MS Mincho"/>
                <w:i/>
                <w:color w:val="000000"/>
                <w:sz w:val="22"/>
                <w:szCs w:val="22"/>
                <w:lang w:val="en-US"/>
              </w:rPr>
              <w:t>et al</w:t>
            </w:r>
            <w:r w:rsidRPr="0021277B">
              <w:rPr>
                <w:rFonts w:eastAsia="MS Mincho"/>
                <w:color w:val="000000"/>
                <w:sz w:val="22"/>
                <w:szCs w:val="22"/>
                <w:lang w:val="en-US"/>
              </w:rPr>
              <w:t xml:space="preserve">., 2013;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2013; Ross and Howell, 2013; Piechaud </w:t>
            </w:r>
            <w:r w:rsidRPr="0006066A">
              <w:rPr>
                <w:rFonts w:eastAsia="MS Mincho"/>
                <w:i/>
                <w:color w:val="000000"/>
                <w:sz w:val="22"/>
                <w:szCs w:val="22"/>
                <w:lang w:val="en-US"/>
              </w:rPr>
              <w:t>et al</w:t>
            </w:r>
            <w:r w:rsidRPr="0021277B">
              <w:rPr>
                <w:rFonts w:eastAsia="MS Mincho"/>
                <w:color w:val="000000"/>
                <w:sz w:val="22"/>
                <w:szCs w:val="22"/>
                <w:lang w:val="en-US"/>
              </w:rPr>
              <w:t xml:space="preserve">., 2015; Ross </w:t>
            </w:r>
            <w:r w:rsidRPr="0006066A">
              <w:rPr>
                <w:rFonts w:eastAsia="MS Mincho"/>
                <w:i/>
                <w:color w:val="000000"/>
                <w:sz w:val="22"/>
                <w:szCs w:val="22"/>
                <w:lang w:val="en-US"/>
              </w:rPr>
              <w:t>et al</w:t>
            </w:r>
            <w:r w:rsidRPr="0021277B">
              <w:rPr>
                <w:rFonts w:eastAsia="MS Mincho"/>
                <w:color w:val="000000"/>
                <w:sz w:val="22"/>
                <w:szCs w:val="22"/>
                <w:lang w:val="en-US"/>
              </w:rPr>
              <w:t xml:space="preserve">. 2015; Howell </w:t>
            </w:r>
            <w:r w:rsidRPr="0006066A">
              <w:rPr>
                <w:rFonts w:eastAsia="MS Mincho"/>
                <w:i/>
                <w:color w:val="000000"/>
                <w:sz w:val="22"/>
                <w:szCs w:val="22"/>
                <w:lang w:val="en-US"/>
              </w:rPr>
              <w:t>et al</w:t>
            </w:r>
            <w:r w:rsidRPr="0021277B">
              <w:rPr>
                <w:rFonts w:eastAsia="MS Mincho"/>
                <w:color w:val="000000"/>
                <w:sz w:val="22"/>
                <w:szCs w:val="22"/>
                <w:lang w:val="en-US"/>
              </w:rPr>
              <w:t>., 2016).</w:t>
            </w:r>
          </w:p>
          <w:p w14:paraId="589E713F" w14:textId="77777777" w:rsidR="006B3F46" w:rsidRPr="0021277B" w:rsidRDefault="006B3F46" w:rsidP="006B3F46">
            <w:pPr>
              <w:widowControl w:val="0"/>
              <w:numPr>
                <w:ilvl w:val="0"/>
                <w:numId w:val="51"/>
              </w:numPr>
              <w:autoSpaceDE w:val="0"/>
              <w:autoSpaceDN w:val="0"/>
              <w:adjustRightInd w:val="0"/>
              <w:ind w:left="284"/>
              <w:jc w:val="both"/>
              <w:rPr>
                <w:rFonts w:eastAsia="MS Mincho"/>
                <w:color w:val="000000"/>
                <w:sz w:val="22"/>
                <w:szCs w:val="22"/>
                <w:lang w:val="en-US"/>
              </w:rPr>
            </w:pPr>
            <w:r w:rsidRPr="0021277B">
              <w:rPr>
                <w:rFonts w:eastAsia="MS Mincho"/>
                <w:color w:val="000000"/>
                <w:sz w:val="22"/>
                <w:szCs w:val="22"/>
                <w:lang w:val="en-US"/>
              </w:rPr>
              <w:t xml:space="preserve">Cold-water corals provide diverse habitats for other invertebrates and fish (Mortensen </w:t>
            </w:r>
            <w:r w:rsidRPr="0006066A">
              <w:rPr>
                <w:rFonts w:eastAsia="MS Mincho"/>
                <w:i/>
                <w:color w:val="000000"/>
                <w:sz w:val="22"/>
                <w:szCs w:val="22"/>
                <w:lang w:val="en-US"/>
              </w:rPr>
              <w:t>et al</w:t>
            </w:r>
            <w:r w:rsidRPr="0021277B">
              <w:rPr>
                <w:rFonts w:eastAsia="MS Mincho"/>
                <w:color w:val="000000"/>
                <w:sz w:val="22"/>
                <w:szCs w:val="22"/>
                <w:lang w:val="en-US"/>
              </w:rPr>
              <w:t xml:space="preserve">., 1995; Fosså </w:t>
            </w:r>
            <w:r w:rsidRPr="0006066A">
              <w:rPr>
                <w:rFonts w:eastAsia="MS Mincho"/>
                <w:i/>
                <w:color w:val="000000"/>
                <w:sz w:val="22"/>
                <w:szCs w:val="22"/>
                <w:lang w:val="en-US"/>
              </w:rPr>
              <w:t>et al</w:t>
            </w:r>
            <w:r w:rsidRPr="0021277B">
              <w:rPr>
                <w:rFonts w:eastAsia="MS Mincho"/>
                <w:color w:val="000000"/>
                <w:sz w:val="22"/>
                <w:szCs w:val="22"/>
                <w:lang w:val="en-US"/>
              </w:rPr>
              <w:t xml:space="preserve">., 2002; Freiwald, 2002; Hall-Spencer </w:t>
            </w:r>
            <w:r w:rsidRPr="0006066A">
              <w:rPr>
                <w:rFonts w:eastAsia="MS Mincho"/>
                <w:i/>
                <w:color w:val="000000"/>
                <w:sz w:val="22"/>
                <w:szCs w:val="22"/>
                <w:lang w:val="en-US"/>
              </w:rPr>
              <w:t>et al</w:t>
            </w:r>
            <w:r w:rsidRPr="0021277B">
              <w:rPr>
                <w:rFonts w:eastAsia="MS Mincho"/>
                <w:color w:val="000000"/>
                <w:sz w:val="22"/>
                <w:szCs w:val="22"/>
                <w:lang w:val="en-US"/>
              </w:rPr>
              <w:t xml:space="preserve">., 2002; Bell, 2008; Huvenne </w:t>
            </w:r>
            <w:r w:rsidRPr="0006066A">
              <w:rPr>
                <w:rFonts w:eastAsia="MS Mincho"/>
                <w:i/>
                <w:color w:val="000000"/>
                <w:sz w:val="22"/>
                <w:szCs w:val="22"/>
                <w:lang w:val="en-US"/>
              </w:rPr>
              <w:t>et al</w:t>
            </w:r>
            <w:r w:rsidRPr="0021277B">
              <w:rPr>
                <w:rFonts w:eastAsia="MS Mincho"/>
                <w:color w:val="000000"/>
                <w:sz w:val="22"/>
                <w:szCs w:val="22"/>
                <w:lang w:val="en-US"/>
              </w:rPr>
              <w:t xml:space="preserve">., 2011; Söffker </w:t>
            </w:r>
            <w:r w:rsidRPr="0006066A">
              <w:rPr>
                <w:rFonts w:eastAsia="MS Mincho"/>
                <w:i/>
                <w:color w:val="000000"/>
                <w:sz w:val="22"/>
                <w:szCs w:val="22"/>
                <w:lang w:val="en-US"/>
              </w:rPr>
              <w:t>et al</w:t>
            </w:r>
            <w:r w:rsidRPr="0021277B">
              <w:rPr>
                <w:rFonts w:eastAsia="MS Mincho"/>
                <w:color w:val="000000"/>
                <w:sz w:val="22"/>
                <w:szCs w:val="22"/>
                <w:lang w:val="en-US"/>
              </w:rPr>
              <w:t xml:space="preserve">. 2011; Henry </w:t>
            </w:r>
            <w:r w:rsidRPr="0006066A">
              <w:rPr>
                <w:rFonts w:eastAsia="MS Mincho"/>
                <w:i/>
                <w:color w:val="000000"/>
                <w:sz w:val="22"/>
                <w:szCs w:val="22"/>
                <w:lang w:val="en-US"/>
              </w:rPr>
              <w:t>et al</w:t>
            </w:r>
            <w:r w:rsidRPr="0021277B">
              <w:rPr>
                <w:rFonts w:eastAsia="MS Mincho"/>
                <w:color w:val="000000"/>
                <w:sz w:val="22"/>
                <w:szCs w:val="22"/>
                <w:lang w:val="en-US"/>
              </w:rPr>
              <w:t xml:space="preserve"> 2013; Roberts </w:t>
            </w:r>
            <w:r w:rsidRPr="0006066A">
              <w:rPr>
                <w:rFonts w:eastAsia="MS Mincho"/>
                <w:i/>
                <w:color w:val="000000"/>
                <w:sz w:val="22"/>
                <w:szCs w:val="22"/>
                <w:lang w:val="en-US"/>
              </w:rPr>
              <w:t>et al</w:t>
            </w:r>
            <w:r w:rsidRPr="0021277B">
              <w:rPr>
                <w:rFonts w:eastAsia="MS Mincho"/>
                <w:color w:val="000000"/>
                <w:sz w:val="22"/>
                <w:szCs w:val="22"/>
                <w:lang w:val="en-US"/>
              </w:rPr>
              <w:t xml:space="preserve">. 2013; Maldonado </w:t>
            </w:r>
            <w:r w:rsidRPr="0006066A">
              <w:rPr>
                <w:rFonts w:eastAsia="MS Mincho"/>
                <w:i/>
                <w:color w:val="000000"/>
                <w:sz w:val="22"/>
                <w:szCs w:val="22"/>
                <w:lang w:val="en-US"/>
              </w:rPr>
              <w:t>et al</w:t>
            </w:r>
            <w:r w:rsidRPr="0021277B">
              <w:rPr>
                <w:rFonts w:eastAsia="MS Mincho"/>
                <w:color w:val="000000"/>
                <w:sz w:val="22"/>
                <w:szCs w:val="22"/>
                <w:lang w:val="en-US"/>
              </w:rPr>
              <w:t xml:space="preserve">., 2016). </w:t>
            </w:r>
          </w:p>
          <w:p w14:paraId="516B6D14" w14:textId="77777777" w:rsidR="006B3F46" w:rsidRPr="0021277B" w:rsidRDefault="006B3F46" w:rsidP="006B3F46">
            <w:pPr>
              <w:numPr>
                <w:ilvl w:val="0"/>
                <w:numId w:val="53"/>
              </w:numPr>
              <w:ind w:left="284"/>
              <w:jc w:val="both"/>
              <w:rPr>
                <w:rFonts w:eastAsia="MS Mincho"/>
                <w:sz w:val="22"/>
                <w:szCs w:val="22"/>
              </w:rPr>
            </w:pPr>
            <w:r w:rsidRPr="0021277B">
              <w:rPr>
                <w:rFonts w:eastAsia="MS Mincho"/>
                <w:sz w:val="22"/>
                <w:szCs w:val="22"/>
              </w:rPr>
              <w:t>Many pelagic communities/populations occupy the waters in and around the Hatton and Rockall Banks and Hatton-Rockall Basin, representing a highly biodiverse pelagic assemblage.</w:t>
            </w:r>
          </w:p>
          <w:p w14:paraId="21448763" w14:textId="77777777" w:rsidR="006B3F46" w:rsidRPr="0021277B" w:rsidRDefault="006B3F46" w:rsidP="006B3F46">
            <w:pPr>
              <w:numPr>
                <w:ilvl w:val="0"/>
                <w:numId w:val="53"/>
              </w:numPr>
              <w:ind w:left="284"/>
              <w:jc w:val="both"/>
              <w:rPr>
                <w:rFonts w:eastAsia="MS Mincho"/>
                <w:sz w:val="22"/>
                <w:szCs w:val="22"/>
                <w:lang w:val="fr-CA"/>
              </w:rPr>
            </w:pPr>
            <w:r w:rsidRPr="0021277B">
              <w:rPr>
                <w:rFonts w:eastAsia="MS Mincho"/>
                <w:sz w:val="22"/>
                <w:szCs w:val="22"/>
              </w:rPr>
              <w:t xml:space="preserve"> </w:t>
            </w:r>
            <w:r w:rsidRPr="0021277B">
              <w:rPr>
                <w:rFonts w:eastAsia="MS Mincho"/>
                <w:sz w:val="22"/>
                <w:szCs w:val="22"/>
                <w:lang w:val="fr-CA"/>
              </w:rPr>
              <w:t xml:space="preserve">(Gordon &amp; Duncan, 1985; Mauchline </w:t>
            </w:r>
            <w:r w:rsidRPr="0006066A">
              <w:rPr>
                <w:rFonts w:eastAsia="MS Mincho"/>
                <w:i/>
                <w:sz w:val="22"/>
                <w:szCs w:val="22"/>
                <w:lang w:val="fr-CA"/>
              </w:rPr>
              <w:t>et al</w:t>
            </w:r>
            <w:r w:rsidRPr="0021277B">
              <w:rPr>
                <w:rFonts w:eastAsia="MS Mincho"/>
                <w:sz w:val="22"/>
                <w:szCs w:val="22"/>
                <w:lang w:val="fr-CA"/>
              </w:rPr>
              <w:t xml:space="preserve">. 1986; Merrett </w:t>
            </w:r>
            <w:r w:rsidRPr="0006066A">
              <w:rPr>
                <w:rFonts w:eastAsia="MS Mincho"/>
                <w:i/>
                <w:sz w:val="22"/>
                <w:szCs w:val="22"/>
                <w:lang w:val="fr-CA"/>
              </w:rPr>
              <w:t>et al</w:t>
            </w:r>
            <w:r w:rsidRPr="0021277B">
              <w:rPr>
                <w:rFonts w:eastAsia="MS Mincho"/>
                <w:sz w:val="22"/>
                <w:szCs w:val="22"/>
                <w:lang w:val="fr-CA"/>
              </w:rPr>
              <w:t xml:space="preserve">., 1991; Rice </w:t>
            </w:r>
            <w:r w:rsidRPr="0006066A">
              <w:rPr>
                <w:rFonts w:eastAsia="MS Mincho"/>
                <w:i/>
                <w:sz w:val="22"/>
                <w:szCs w:val="22"/>
                <w:lang w:val="fr-CA"/>
              </w:rPr>
              <w:t>et al</w:t>
            </w:r>
            <w:r w:rsidRPr="0021277B">
              <w:rPr>
                <w:rFonts w:eastAsia="MS Mincho"/>
                <w:sz w:val="22"/>
                <w:szCs w:val="22"/>
                <w:lang w:val="fr-CA"/>
              </w:rPr>
              <w:t xml:space="preserve">. 1991; </w:t>
            </w:r>
            <w:r w:rsidRPr="0021277B">
              <w:rPr>
                <w:rFonts w:eastAsia="MS Mincho"/>
                <w:color w:val="000000"/>
                <w:sz w:val="22"/>
                <w:szCs w:val="22"/>
                <w:lang w:val="fr-CA"/>
              </w:rPr>
              <w:t xml:space="preserve">Cronin and Mackey, 2002; </w:t>
            </w:r>
            <w:r w:rsidRPr="0021277B">
              <w:rPr>
                <w:rFonts w:eastAsia="MS Mincho"/>
                <w:sz w:val="22"/>
                <w:szCs w:val="22"/>
                <w:lang w:val="fr-CA"/>
              </w:rPr>
              <w:t xml:space="preserve">Reid </w:t>
            </w:r>
            <w:r w:rsidRPr="0006066A">
              <w:rPr>
                <w:rFonts w:eastAsia="MS Mincho"/>
                <w:i/>
                <w:sz w:val="22"/>
                <w:szCs w:val="22"/>
                <w:lang w:val="fr-CA"/>
              </w:rPr>
              <w:t>et al</w:t>
            </w:r>
            <w:r w:rsidRPr="0021277B">
              <w:rPr>
                <w:rFonts w:eastAsia="MS Mincho"/>
                <w:sz w:val="22"/>
                <w:szCs w:val="22"/>
                <w:lang w:val="fr-CA"/>
              </w:rPr>
              <w:t xml:space="preserve">., 2003; </w:t>
            </w:r>
            <w:r w:rsidRPr="0021277B">
              <w:rPr>
                <w:rFonts w:eastAsia="MS Mincho"/>
                <w:color w:val="000000"/>
                <w:sz w:val="22"/>
                <w:szCs w:val="22"/>
                <w:lang w:val="fr-CA"/>
              </w:rPr>
              <w:t xml:space="preserve">Mackey </w:t>
            </w:r>
            <w:r w:rsidRPr="0006066A">
              <w:rPr>
                <w:rFonts w:eastAsia="MS Mincho"/>
                <w:i/>
                <w:color w:val="000000"/>
                <w:sz w:val="22"/>
                <w:szCs w:val="22"/>
                <w:lang w:val="fr-CA"/>
              </w:rPr>
              <w:t>et al</w:t>
            </w:r>
            <w:r w:rsidRPr="0021277B">
              <w:rPr>
                <w:rFonts w:eastAsia="MS Mincho"/>
                <w:color w:val="000000"/>
                <w:sz w:val="22"/>
                <w:szCs w:val="22"/>
                <w:lang w:val="fr-CA"/>
              </w:rPr>
              <w:t xml:space="preserve">., 2004; </w:t>
            </w:r>
            <w:r w:rsidRPr="0021277B">
              <w:rPr>
                <w:rFonts w:eastAsia="MS Mincho"/>
                <w:sz w:val="22"/>
                <w:szCs w:val="22"/>
                <w:lang w:val="fr-CA"/>
              </w:rPr>
              <w:t xml:space="preserve">Ó Cadhla </w:t>
            </w:r>
            <w:r w:rsidRPr="0006066A">
              <w:rPr>
                <w:rFonts w:eastAsia="MS Mincho"/>
                <w:i/>
                <w:sz w:val="22"/>
                <w:szCs w:val="22"/>
                <w:lang w:val="fr-CA"/>
              </w:rPr>
              <w:t>et al</w:t>
            </w:r>
            <w:r w:rsidRPr="0021277B">
              <w:rPr>
                <w:rFonts w:eastAsia="MS Mincho"/>
                <w:sz w:val="22"/>
                <w:szCs w:val="22"/>
                <w:lang w:val="fr-CA"/>
              </w:rPr>
              <w:t xml:space="preserve">., 2004; Charif &amp; Clark, 2009; Hammond </w:t>
            </w:r>
            <w:r w:rsidRPr="0006066A">
              <w:rPr>
                <w:rFonts w:eastAsia="MS Mincho"/>
                <w:i/>
                <w:sz w:val="22"/>
                <w:szCs w:val="22"/>
                <w:lang w:val="fr-CA"/>
              </w:rPr>
              <w:t>et al</w:t>
            </w:r>
            <w:r w:rsidRPr="0021277B">
              <w:rPr>
                <w:rFonts w:eastAsia="MS Mincho"/>
                <w:sz w:val="22"/>
                <w:szCs w:val="22"/>
                <w:lang w:val="fr-CA"/>
              </w:rPr>
              <w:t xml:space="preserve">., 2009; </w:t>
            </w:r>
            <w:r w:rsidRPr="0021277B">
              <w:rPr>
                <w:rFonts w:eastAsia="MS Mincho"/>
                <w:color w:val="000000"/>
                <w:sz w:val="22"/>
                <w:szCs w:val="22"/>
                <w:lang w:val="fr-CA"/>
              </w:rPr>
              <w:t xml:space="preserve">Harris </w:t>
            </w:r>
            <w:r w:rsidRPr="0006066A">
              <w:rPr>
                <w:rFonts w:eastAsia="MS Mincho"/>
                <w:i/>
                <w:color w:val="000000"/>
                <w:sz w:val="22"/>
                <w:szCs w:val="22"/>
                <w:lang w:val="fr-CA"/>
              </w:rPr>
              <w:t>et al</w:t>
            </w:r>
            <w:r w:rsidRPr="0021277B">
              <w:rPr>
                <w:rFonts w:eastAsia="MS Mincho"/>
                <w:color w:val="000000"/>
                <w:sz w:val="22"/>
                <w:szCs w:val="22"/>
                <w:lang w:val="fr-CA"/>
              </w:rPr>
              <w:t xml:space="preserve">. 2010; Guilford </w:t>
            </w:r>
            <w:r w:rsidRPr="0006066A">
              <w:rPr>
                <w:rFonts w:eastAsia="MS Mincho"/>
                <w:i/>
                <w:color w:val="000000"/>
                <w:sz w:val="22"/>
                <w:szCs w:val="22"/>
                <w:lang w:val="fr-CA"/>
              </w:rPr>
              <w:t>et al</w:t>
            </w:r>
            <w:r w:rsidRPr="0021277B">
              <w:rPr>
                <w:rFonts w:eastAsia="MS Mincho"/>
                <w:color w:val="000000"/>
                <w:sz w:val="22"/>
                <w:szCs w:val="22"/>
                <w:lang w:val="fr-CA"/>
              </w:rPr>
              <w:t xml:space="preserve">. 2011; </w:t>
            </w:r>
            <w:r w:rsidRPr="0021277B">
              <w:rPr>
                <w:rFonts w:eastAsia="MS Mincho"/>
                <w:sz w:val="22"/>
                <w:szCs w:val="22"/>
                <w:lang w:val="fr-CA"/>
              </w:rPr>
              <w:t xml:space="preserve">Nolan </w:t>
            </w:r>
            <w:r w:rsidRPr="0006066A">
              <w:rPr>
                <w:rFonts w:eastAsia="MS Mincho"/>
                <w:i/>
                <w:sz w:val="22"/>
                <w:szCs w:val="22"/>
                <w:lang w:val="fr-CA"/>
              </w:rPr>
              <w:t>et al</w:t>
            </w:r>
            <w:r w:rsidRPr="0021277B">
              <w:rPr>
                <w:rFonts w:eastAsia="MS Mincho"/>
                <w:sz w:val="22"/>
                <w:szCs w:val="22"/>
                <w:lang w:val="fr-CA"/>
              </w:rPr>
              <w:t xml:space="preserve">., 2011; Visser </w:t>
            </w:r>
            <w:r w:rsidRPr="0006066A">
              <w:rPr>
                <w:rFonts w:eastAsia="MS Mincho"/>
                <w:i/>
                <w:sz w:val="22"/>
                <w:szCs w:val="22"/>
                <w:lang w:val="fr-CA"/>
              </w:rPr>
              <w:t>et al</w:t>
            </w:r>
            <w:r w:rsidRPr="0021277B">
              <w:rPr>
                <w:rFonts w:eastAsia="MS Mincho"/>
                <w:sz w:val="22"/>
                <w:szCs w:val="22"/>
                <w:lang w:val="fr-CA"/>
              </w:rPr>
              <w:t xml:space="preserve">., 2011; Wall </w:t>
            </w:r>
            <w:r w:rsidRPr="0006066A">
              <w:rPr>
                <w:rFonts w:eastAsia="MS Mincho"/>
                <w:i/>
                <w:sz w:val="22"/>
                <w:szCs w:val="22"/>
                <w:lang w:val="fr-CA"/>
              </w:rPr>
              <w:t>et al</w:t>
            </w:r>
            <w:r w:rsidRPr="0021277B">
              <w:rPr>
                <w:rFonts w:eastAsia="MS Mincho"/>
                <w:sz w:val="22"/>
                <w:szCs w:val="22"/>
                <w:lang w:val="fr-CA"/>
              </w:rPr>
              <w:t xml:space="preserve">., 2013; Vandeperre </w:t>
            </w:r>
            <w:r w:rsidRPr="0006066A">
              <w:rPr>
                <w:rFonts w:eastAsia="MS Mincho"/>
                <w:i/>
                <w:sz w:val="22"/>
                <w:szCs w:val="22"/>
                <w:lang w:val="fr-CA"/>
              </w:rPr>
              <w:t>et al</w:t>
            </w:r>
            <w:r w:rsidRPr="0021277B">
              <w:rPr>
                <w:rFonts w:eastAsia="MS Mincho"/>
                <w:sz w:val="22"/>
                <w:szCs w:val="22"/>
                <w:lang w:val="fr-CA"/>
              </w:rPr>
              <w:t xml:space="preserve">., 2016; Kavanagh </w:t>
            </w:r>
            <w:r w:rsidRPr="0006066A">
              <w:rPr>
                <w:rFonts w:eastAsia="MS Mincho"/>
                <w:i/>
                <w:sz w:val="22"/>
                <w:szCs w:val="22"/>
                <w:lang w:val="fr-CA"/>
              </w:rPr>
              <w:t>et al</w:t>
            </w:r>
            <w:r w:rsidRPr="0021277B">
              <w:rPr>
                <w:rFonts w:eastAsia="MS Mincho"/>
                <w:sz w:val="22"/>
                <w:szCs w:val="22"/>
                <w:lang w:val="fr-CA"/>
              </w:rPr>
              <w:t xml:space="preserve">., 2017; </w:t>
            </w:r>
            <w:r w:rsidRPr="0021277B">
              <w:rPr>
                <w:rFonts w:eastAsia="MS Mincho"/>
                <w:color w:val="000000"/>
                <w:sz w:val="22"/>
                <w:szCs w:val="22"/>
                <w:lang w:val="fr-CA"/>
              </w:rPr>
              <w:t xml:space="preserve">and </w:t>
            </w:r>
            <w:hyperlink r:id="rId315" w:history="1">
              <w:r w:rsidRPr="0021277B">
                <w:rPr>
                  <w:rStyle w:val="Hyperlink"/>
                  <w:rFonts w:eastAsia="MS Mincho"/>
                  <w:sz w:val="22"/>
                  <w:szCs w:val="22"/>
                  <w:lang w:val="fr-CA"/>
                </w:rPr>
                <w:t>www.seabirdtracking.org</w:t>
              </w:r>
            </w:hyperlink>
            <w:r w:rsidRPr="0021277B">
              <w:rPr>
                <w:rFonts w:eastAsia="MS Mincho"/>
                <w:sz w:val="22"/>
                <w:szCs w:val="22"/>
                <w:lang w:val="fr-CA"/>
              </w:rPr>
              <w:t>)</w:t>
            </w:r>
          </w:p>
          <w:p w14:paraId="5D0AA2C0" w14:textId="77777777" w:rsidR="006B3F46" w:rsidRPr="0021277B" w:rsidRDefault="006B3F46" w:rsidP="006B3F46">
            <w:pPr>
              <w:numPr>
                <w:ilvl w:val="0"/>
                <w:numId w:val="53"/>
              </w:numPr>
              <w:ind w:left="284"/>
              <w:jc w:val="both"/>
              <w:rPr>
                <w:rFonts w:eastAsia="MS Mincho"/>
                <w:sz w:val="22"/>
                <w:szCs w:val="22"/>
              </w:rPr>
            </w:pPr>
            <w:r w:rsidRPr="0021277B">
              <w:rPr>
                <w:rFonts w:eastAsia="MS Mincho"/>
                <w:sz w:val="22"/>
                <w:szCs w:val="22"/>
              </w:rPr>
              <w:t>Vertebrate species found in the site represent a diverse collection of functional ecological niches from surface-feeding and shallow-diving seabirds and baleen whales, to fast-swimming predatory fish and toothed cetaceans, to slower-moving and highly specialised deep-diving whales (</w:t>
            </w:r>
            <w:r w:rsidRPr="0021277B">
              <w:rPr>
                <w:rFonts w:eastAsia="MS Mincho"/>
                <w:color w:val="000000"/>
                <w:sz w:val="22"/>
                <w:szCs w:val="22"/>
                <w:lang w:val="en-US"/>
              </w:rPr>
              <w:t xml:space="preserve">Cronin and Mackey, 2002; </w:t>
            </w:r>
            <w:r w:rsidRPr="0021277B">
              <w:rPr>
                <w:rFonts w:eastAsia="MS Mincho"/>
                <w:sz w:val="22"/>
                <w:szCs w:val="22"/>
              </w:rPr>
              <w:t xml:space="preserve">Reid </w:t>
            </w:r>
            <w:r w:rsidRPr="0006066A">
              <w:rPr>
                <w:rFonts w:eastAsia="MS Mincho"/>
                <w:i/>
                <w:sz w:val="22"/>
                <w:szCs w:val="22"/>
              </w:rPr>
              <w:t>et al</w:t>
            </w:r>
            <w:r w:rsidRPr="0021277B">
              <w:rPr>
                <w:rFonts w:eastAsia="MS Mincho"/>
                <w:sz w:val="22"/>
                <w:szCs w:val="22"/>
              </w:rPr>
              <w:t xml:space="preserve">., 2003; </w:t>
            </w:r>
            <w:r w:rsidRPr="0021277B">
              <w:rPr>
                <w:rFonts w:eastAsia="MS Mincho"/>
                <w:color w:val="000000"/>
                <w:sz w:val="22"/>
                <w:szCs w:val="22"/>
                <w:lang w:val="en-US"/>
              </w:rPr>
              <w:t xml:space="preserve">Mackey </w:t>
            </w:r>
            <w:r w:rsidRPr="0006066A">
              <w:rPr>
                <w:rFonts w:eastAsia="MS Mincho"/>
                <w:i/>
                <w:color w:val="000000"/>
                <w:sz w:val="22"/>
                <w:szCs w:val="22"/>
                <w:lang w:val="en-US"/>
              </w:rPr>
              <w:t>et al</w:t>
            </w:r>
            <w:r w:rsidRPr="0021277B">
              <w:rPr>
                <w:rFonts w:eastAsia="MS Mincho"/>
                <w:color w:val="000000"/>
                <w:sz w:val="22"/>
                <w:szCs w:val="22"/>
                <w:lang w:val="en-US"/>
              </w:rPr>
              <w:t xml:space="preserve">., 2004; </w:t>
            </w:r>
            <w:r w:rsidRPr="0021277B">
              <w:rPr>
                <w:rFonts w:eastAsia="MS Mincho"/>
                <w:sz w:val="22"/>
                <w:szCs w:val="22"/>
              </w:rPr>
              <w:t xml:space="preserve">Ó Cadhla </w:t>
            </w:r>
            <w:r w:rsidRPr="0006066A">
              <w:rPr>
                <w:rFonts w:eastAsia="MS Mincho"/>
                <w:i/>
                <w:sz w:val="22"/>
                <w:szCs w:val="22"/>
              </w:rPr>
              <w:t>et al</w:t>
            </w:r>
            <w:r w:rsidRPr="0021277B">
              <w:rPr>
                <w:rFonts w:eastAsia="MS Mincho"/>
                <w:sz w:val="22"/>
                <w:szCs w:val="22"/>
              </w:rPr>
              <w:t xml:space="preserve">., 2004; Charif &amp; Clark, 2009; Hammond </w:t>
            </w:r>
            <w:r w:rsidRPr="0006066A">
              <w:rPr>
                <w:rFonts w:eastAsia="MS Mincho"/>
                <w:i/>
                <w:sz w:val="22"/>
                <w:szCs w:val="22"/>
              </w:rPr>
              <w:t>et al</w:t>
            </w:r>
            <w:r w:rsidRPr="0021277B">
              <w:rPr>
                <w:rFonts w:eastAsia="MS Mincho"/>
                <w:sz w:val="22"/>
                <w:szCs w:val="22"/>
              </w:rPr>
              <w:t xml:space="preserve">., 2009; </w:t>
            </w:r>
            <w:r w:rsidRPr="0021277B">
              <w:rPr>
                <w:rFonts w:eastAsia="MS Mincho"/>
                <w:color w:val="000000"/>
                <w:sz w:val="22"/>
                <w:szCs w:val="22"/>
                <w:lang w:val="en-US"/>
              </w:rPr>
              <w:t xml:space="preserve">Harris </w:t>
            </w:r>
            <w:r w:rsidRPr="0006066A">
              <w:rPr>
                <w:rFonts w:eastAsia="MS Mincho"/>
                <w:i/>
                <w:color w:val="000000"/>
                <w:sz w:val="22"/>
                <w:szCs w:val="22"/>
                <w:lang w:val="en-US"/>
              </w:rPr>
              <w:t>et al</w:t>
            </w:r>
            <w:r w:rsidRPr="0021277B">
              <w:rPr>
                <w:rFonts w:eastAsia="MS Mincho"/>
                <w:color w:val="000000"/>
                <w:sz w:val="22"/>
                <w:szCs w:val="22"/>
                <w:lang w:val="en-US"/>
              </w:rPr>
              <w:t xml:space="preserve">. 2010; Guilford </w:t>
            </w:r>
            <w:r w:rsidRPr="0006066A">
              <w:rPr>
                <w:rFonts w:eastAsia="MS Mincho"/>
                <w:i/>
                <w:color w:val="000000"/>
                <w:sz w:val="22"/>
                <w:szCs w:val="22"/>
                <w:lang w:val="en-US"/>
              </w:rPr>
              <w:t>et al</w:t>
            </w:r>
            <w:r w:rsidRPr="0021277B">
              <w:rPr>
                <w:rFonts w:eastAsia="MS Mincho"/>
                <w:color w:val="000000"/>
                <w:sz w:val="22"/>
                <w:szCs w:val="22"/>
                <w:lang w:val="en-US"/>
              </w:rPr>
              <w:t xml:space="preserve">. 2011; </w:t>
            </w:r>
            <w:r w:rsidRPr="0021277B">
              <w:rPr>
                <w:rFonts w:eastAsia="MS Mincho"/>
                <w:sz w:val="22"/>
                <w:szCs w:val="22"/>
              </w:rPr>
              <w:t xml:space="preserve">Nolan </w:t>
            </w:r>
            <w:r w:rsidRPr="0006066A">
              <w:rPr>
                <w:rFonts w:eastAsia="MS Mincho"/>
                <w:i/>
                <w:sz w:val="22"/>
                <w:szCs w:val="22"/>
              </w:rPr>
              <w:t>et al</w:t>
            </w:r>
            <w:r w:rsidRPr="0021277B">
              <w:rPr>
                <w:rFonts w:eastAsia="MS Mincho"/>
                <w:sz w:val="22"/>
                <w:szCs w:val="22"/>
              </w:rPr>
              <w:t xml:space="preserve">., 2011; Visser </w:t>
            </w:r>
            <w:r w:rsidRPr="0006066A">
              <w:rPr>
                <w:rFonts w:eastAsia="MS Mincho"/>
                <w:i/>
                <w:sz w:val="22"/>
                <w:szCs w:val="22"/>
              </w:rPr>
              <w:t>et al</w:t>
            </w:r>
            <w:r w:rsidRPr="0021277B">
              <w:rPr>
                <w:rFonts w:eastAsia="MS Mincho"/>
                <w:sz w:val="22"/>
                <w:szCs w:val="22"/>
              </w:rPr>
              <w:t xml:space="preserve">., 2011; Wall </w:t>
            </w:r>
            <w:r w:rsidRPr="0006066A">
              <w:rPr>
                <w:rFonts w:eastAsia="MS Mincho"/>
                <w:i/>
                <w:sz w:val="22"/>
                <w:szCs w:val="22"/>
              </w:rPr>
              <w:t>et al</w:t>
            </w:r>
            <w:r w:rsidRPr="0021277B">
              <w:rPr>
                <w:rFonts w:eastAsia="MS Mincho"/>
                <w:sz w:val="22"/>
                <w:szCs w:val="22"/>
              </w:rPr>
              <w:t xml:space="preserve">., 2013; Vandeperre </w:t>
            </w:r>
            <w:r w:rsidRPr="0006066A">
              <w:rPr>
                <w:rFonts w:eastAsia="MS Mincho"/>
                <w:i/>
                <w:sz w:val="22"/>
                <w:szCs w:val="22"/>
              </w:rPr>
              <w:t>et al</w:t>
            </w:r>
            <w:r w:rsidRPr="0021277B">
              <w:rPr>
                <w:rFonts w:eastAsia="MS Mincho"/>
                <w:sz w:val="22"/>
                <w:szCs w:val="22"/>
              </w:rPr>
              <w:t xml:space="preserve">., 2016; Kavanagh </w:t>
            </w:r>
            <w:r w:rsidRPr="0006066A">
              <w:rPr>
                <w:rFonts w:eastAsia="MS Mincho"/>
                <w:i/>
                <w:sz w:val="22"/>
                <w:szCs w:val="22"/>
              </w:rPr>
              <w:t>et al</w:t>
            </w:r>
            <w:r w:rsidRPr="0021277B">
              <w:rPr>
                <w:rFonts w:eastAsia="MS Mincho"/>
                <w:sz w:val="22"/>
                <w:szCs w:val="22"/>
              </w:rPr>
              <w:t xml:space="preserve">., 2017; </w:t>
            </w:r>
            <w:r w:rsidRPr="0021277B">
              <w:rPr>
                <w:rFonts w:eastAsia="MS Mincho"/>
                <w:color w:val="000000"/>
                <w:sz w:val="22"/>
                <w:szCs w:val="22"/>
                <w:lang w:val="en-US"/>
              </w:rPr>
              <w:t xml:space="preserve">and </w:t>
            </w:r>
            <w:hyperlink r:id="rId316" w:history="1">
              <w:r w:rsidRPr="0021277B">
                <w:rPr>
                  <w:rStyle w:val="Hyperlink"/>
                  <w:rFonts w:eastAsia="MS Mincho"/>
                  <w:sz w:val="22"/>
                  <w:szCs w:val="22"/>
                  <w:lang w:val="en-US"/>
                </w:rPr>
                <w:t>www.seabirdtracking.org</w:t>
              </w:r>
            </w:hyperlink>
            <w:r w:rsidRPr="0021277B">
              <w:rPr>
                <w:rFonts w:eastAsia="MS Mincho"/>
                <w:sz w:val="22"/>
                <w:szCs w:val="22"/>
              </w:rPr>
              <w:t>).</w:t>
            </w:r>
          </w:p>
          <w:p w14:paraId="7C128C05" w14:textId="77777777" w:rsidR="006B3F46" w:rsidRPr="0021277B" w:rsidRDefault="006B3F46" w:rsidP="00907941">
            <w:pPr>
              <w:widowControl w:val="0"/>
              <w:autoSpaceDE w:val="0"/>
              <w:autoSpaceDN w:val="0"/>
              <w:adjustRightInd w:val="0"/>
              <w:jc w:val="both"/>
              <w:rPr>
                <w:rFonts w:eastAsia="MS Mincho"/>
                <w:b/>
                <w:bCs/>
                <w:color w:val="000000"/>
                <w:sz w:val="22"/>
                <w:szCs w:val="22"/>
                <w:lang w:val="en-US"/>
              </w:rPr>
            </w:pPr>
          </w:p>
        </w:tc>
      </w:tr>
      <w:tr w:rsidR="006B3F46" w:rsidRPr="0021277B" w14:paraId="4C6AB990" w14:textId="77777777" w:rsidTr="002E4B39">
        <w:tc>
          <w:tcPr>
            <w:tcW w:w="832" w:type="pct"/>
            <w:shd w:val="clear" w:color="auto" w:fill="auto"/>
          </w:tcPr>
          <w:p w14:paraId="066D408A" w14:textId="77777777" w:rsidR="006B3F46" w:rsidRPr="0021277B" w:rsidRDefault="006B3F46" w:rsidP="00907941">
            <w:pPr>
              <w:widowControl w:val="0"/>
              <w:autoSpaceDE w:val="0"/>
              <w:autoSpaceDN w:val="0"/>
              <w:adjustRightInd w:val="0"/>
              <w:jc w:val="both"/>
              <w:rPr>
                <w:rFonts w:eastAsia="MS Mincho"/>
                <w:b/>
                <w:color w:val="000000"/>
                <w:sz w:val="22"/>
                <w:szCs w:val="22"/>
                <w:lang w:val="en-US"/>
              </w:rPr>
            </w:pPr>
            <w:r w:rsidRPr="0021277B">
              <w:rPr>
                <w:rFonts w:eastAsia="MS Mincho"/>
                <w:b/>
                <w:color w:val="000000"/>
                <w:sz w:val="22"/>
                <w:szCs w:val="22"/>
                <w:lang w:val="en-US"/>
              </w:rPr>
              <w:t>Naturalness</w:t>
            </w:r>
          </w:p>
        </w:tc>
        <w:tc>
          <w:tcPr>
            <w:tcW w:w="2247" w:type="pct"/>
            <w:gridSpan w:val="2"/>
            <w:shd w:val="clear" w:color="auto" w:fill="auto"/>
          </w:tcPr>
          <w:p w14:paraId="2851A582" w14:textId="77777777" w:rsidR="006B3F46" w:rsidRPr="0021277B" w:rsidRDefault="006B3F46" w:rsidP="00907941">
            <w:pPr>
              <w:widowControl w:val="0"/>
              <w:autoSpaceDE w:val="0"/>
              <w:autoSpaceDN w:val="0"/>
              <w:adjustRightInd w:val="0"/>
              <w:rPr>
                <w:rFonts w:eastAsia="MS Mincho"/>
                <w:color w:val="000000"/>
                <w:sz w:val="22"/>
                <w:szCs w:val="22"/>
                <w:lang w:val="en-US"/>
              </w:rPr>
            </w:pPr>
            <w:r w:rsidRPr="0021277B">
              <w:rPr>
                <w:rFonts w:eastAsia="MS Mincho"/>
                <w:color w:val="000000"/>
                <w:sz w:val="22"/>
                <w:szCs w:val="22"/>
                <w:lang w:val="en-US"/>
              </w:rPr>
              <w:t>Area with a comparatively higher degree of naturalness as a result of the lack of or low level of human-induced disturbance or degradation.</w:t>
            </w:r>
          </w:p>
        </w:tc>
        <w:tc>
          <w:tcPr>
            <w:tcW w:w="684" w:type="pct"/>
            <w:gridSpan w:val="3"/>
            <w:shd w:val="clear" w:color="auto" w:fill="auto"/>
          </w:tcPr>
          <w:p w14:paraId="5F47289E"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53" w:type="pct"/>
            <w:gridSpan w:val="2"/>
            <w:shd w:val="clear" w:color="auto" w:fill="auto"/>
          </w:tcPr>
          <w:p w14:paraId="47EE1EAC"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c>
          <w:tcPr>
            <w:tcW w:w="400" w:type="pct"/>
            <w:gridSpan w:val="2"/>
            <w:shd w:val="clear" w:color="auto" w:fill="auto"/>
          </w:tcPr>
          <w:p w14:paraId="151B8E32"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r w:rsidRPr="0021277B">
              <w:rPr>
                <w:rFonts w:eastAsia="MS Mincho"/>
                <w:color w:val="000000"/>
                <w:sz w:val="22"/>
                <w:szCs w:val="22"/>
                <w:lang w:val="en-US"/>
              </w:rPr>
              <w:t>X</w:t>
            </w:r>
          </w:p>
        </w:tc>
        <w:tc>
          <w:tcPr>
            <w:tcW w:w="385" w:type="pct"/>
            <w:shd w:val="clear" w:color="auto" w:fill="auto"/>
          </w:tcPr>
          <w:p w14:paraId="5D2AC23E" w14:textId="77777777" w:rsidR="006B3F46" w:rsidRPr="0021277B" w:rsidRDefault="006B3F46" w:rsidP="00907941">
            <w:pPr>
              <w:widowControl w:val="0"/>
              <w:autoSpaceDE w:val="0"/>
              <w:autoSpaceDN w:val="0"/>
              <w:adjustRightInd w:val="0"/>
              <w:jc w:val="center"/>
              <w:rPr>
                <w:rFonts w:eastAsia="MS Mincho"/>
                <w:color w:val="000000"/>
                <w:sz w:val="22"/>
                <w:szCs w:val="22"/>
                <w:lang w:val="en-US"/>
              </w:rPr>
            </w:pPr>
          </w:p>
        </w:tc>
      </w:tr>
      <w:tr w:rsidR="006B3F46" w:rsidRPr="0021277B" w14:paraId="01486693" w14:textId="77777777" w:rsidTr="00907941">
        <w:tc>
          <w:tcPr>
            <w:tcW w:w="5000" w:type="pct"/>
            <w:gridSpan w:val="11"/>
            <w:shd w:val="clear" w:color="auto" w:fill="auto"/>
          </w:tcPr>
          <w:p w14:paraId="355D9883" w14:textId="77777777" w:rsidR="006B3F46" w:rsidRPr="0021277B" w:rsidRDefault="006B3F46" w:rsidP="00907941">
            <w:pPr>
              <w:widowControl w:val="0"/>
              <w:autoSpaceDE w:val="0"/>
              <w:autoSpaceDN w:val="0"/>
              <w:adjustRightInd w:val="0"/>
              <w:jc w:val="both"/>
              <w:rPr>
                <w:rFonts w:eastAsia="MS Mincho"/>
                <w:i/>
                <w:color w:val="000000"/>
                <w:sz w:val="22"/>
                <w:szCs w:val="22"/>
                <w:lang w:val="en-US"/>
              </w:rPr>
            </w:pPr>
            <w:r w:rsidRPr="0021277B">
              <w:rPr>
                <w:rFonts w:eastAsia="MS Mincho"/>
                <w:i/>
                <w:color w:val="000000"/>
                <w:sz w:val="22"/>
                <w:szCs w:val="22"/>
                <w:lang w:val="en-US"/>
              </w:rPr>
              <w:t>Explanation for ranking</w:t>
            </w:r>
          </w:p>
          <w:p w14:paraId="62B0B334" w14:textId="77777777" w:rsidR="006B3F46" w:rsidRPr="0021277B" w:rsidRDefault="006B3F46" w:rsidP="006B3F46">
            <w:pPr>
              <w:widowControl w:val="0"/>
              <w:numPr>
                <w:ilvl w:val="0"/>
                <w:numId w:val="57"/>
              </w:numPr>
              <w:autoSpaceDE w:val="0"/>
              <w:autoSpaceDN w:val="0"/>
              <w:adjustRightInd w:val="0"/>
              <w:ind w:left="284"/>
              <w:rPr>
                <w:rFonts w:eastAsia="MS Mincho"/>
                <w:color w:val="000000"/>
                <w:sz w:val="22"/>
                <w:szCs w:val="22"/>
                <w:lang w:val="en-US"/>
              </w:rPr>
            </w:pPr>
            <w:r w:rsidRPr="0021277B">
              <w:rPr>
                <w:rFonts w:eastAsia="MS Mincho"/>
                <w:color w:val="000000"/>
                <w:sz w:val="22"/>
                <w:szCs w:val="22"/>
                <w:lang w:val="en-US"/>
              </w:rPr>
              <w:t xml:space="preserve">Parts of Hatton and Rockall Banks and Basin are subject to fishing pressure including demersal trawling, pelagic trawling and long-lining (ICES WGDEEP). This fishing only occurs in NEAFC recognized fishing areas and NEAFC has taken action to “freeze the footprint” of fishing in the area. There is evidence of seafloor litter predominantly derived from the fishing industry (Pham </w:t>
            </w:r>
            <w:r w:rsidRPr="0006066A">
              <w:rPr>
                <w:rFonts w:eastAsia="MS Mincho"/>
                <w:i/>
                <w:color w:val="000000"/>
                <w:sz w:val="22"/>
                <w:szCs w:val="22"/>
                <w:lang w:val="en-US"/>
              </w:rPr>
              <w:t>et al</w:t>
            </w:r>
            <w:r w:rsidRPr="0021277B">
              <w:rPr>
                <w:rFonts w:eastAsia="MS Mincho"/>
                <w:color w:val="000000"/>
                <w:sz w:val="22"/>
                <w:szCs w:val="22"/>
                <w:lang w:val="en-US"/>
              </w:rPr>
              <w:t xml:space="preserve">., 2015). </w:t>
            </w:r>
          </w:p>
          <w:p w14:paraId="2FD7B506" w14:textId="77777777" w:rsidR="006B3F46" w:rsidRPr="0021277B" w:rsidRDefault="006B3F46" w:rsidP="00907941">
            <w:pPr>
              <w:widowControl w:val="0"/>
              <w:autoSpaceDE w:val="0"/>
              <w:autoSpaceDN w:val="0"/>
              <w:adjustRightInd w:val="0"/>
              <w:ind w:left="360"/>
              <w:rPr>
                <w:rFonts w:eastAsia="MS Mincho"/>
                <w:color w:val="000000"/>
                <w:sz w:val="22"/>
                <w:szCs w:val="22"/>
                <w:lang w:val="en-US"/>
              </w:rPr>
            </w:pPr>
          </w:p>
        </w:tc>
      </w:tr>
    </w:tbl>
    <w:p w14:paraId="5193BC24" w14:textId="77777777" w:rsidR="006B3F46" w:rsidRPr="00F66EF7" w:rsidRDefault="006B3F46" w:rsidP="009079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MS Mincho"/>
          <w:b/>
          <w:bCs/>
          <w:color w:val="000000"/>
          <w:sz w:val="22"/>
          <w:szCs w:val="22"/>
          <w:lang w:val="en-US"/>
        </w:rPr>
      </w:pPr>
    </w:p>
    <w:p w14:paraId="2BA58766" w14:textId="77777777" w:rsidR="006B3F46" w:rsidRPr="009978E3" w:rsidRDefault="006B3F46" w:rsidP="00907941">
      <w:pPr>
        <w:rPr>
          <w:rFonts w:eastAsia="MS Mincho"/>
          <w:b/>
          <w:sz w:val="22"/>
          <w:szCs w:val="22"/>
          <w:lang w:val="en-US"/>
        </w:rPr>
      </w:pPr>
    </w:p>
    <w:p w14:paraId="08481C97" w14:textId="77777777" w:rsidR="006B3F46" w:rsidRPr="009978E3" w:rsidRDefault="006B3F46" w:rsidP="00907941">
      <w:pPr>
        <w:rPr>
          <w:rFonts w:eastAsia="MS Mincho"/>
          <w:b/>
          <w:sz w:val="22"/>
          <w:szCs w:val="22"/>
          <w:lang w:val="en-US"/>
        </w:rPr>
      </w:pPr>
      <w:r w:rsidRPr="009978E3">
        <w:rPr>
          <w:rFonts w:eastAsia="MS Mincho"/>
          <w:b/>
          <w:sz w:val="22"/>
          <w:szCs w:val="22"/>
          <w:lang w:val="en-US"/>
        </w:rPr>
        <w:t>References</w:t>
      </w:r>
    </w:p>
    <w:p w14:paraId="517D79BD" w14:textId="77777777" w:rsidR="006B3F46" w:rsidRPr="0021277B" w:rsidRDefault="006B3F46" w:rsidP="00907941">
      <w:pPr>
        <w:tabs>
          <w:tab w:val="left" w:pos="709"/>
          <w:tab w:val="left" w:pos="2496"/>
          <w:tab w:val="left" w:pos="4608"/>
        </w:tabs>
        <w:ind w:left="709" w:hanging="709"/>
        <w:jc w:val="both"/>
        <w:rPr>
          <w:rFonts w:eastAsia="MS Mincho"/>
          <w:bCs/>
          <w:sz w:val="22"/>
          <w:szCs w:val="22"/>
        </w:rPr>
      </w:pPr>
      <w:r w:rsidRPr="0021277B">
        <w:rPr>
          <w:rFonts w:eastAsia="MS Mincho"/>
          <w:sz w:val="22"/>
          <w:szCs w:val="22"/>
        </w:rPr>
        <w:t xml:space="preserve">Bailey, D.M., Collins, M.A., Gordon, J.D.M., Zuur, A.F. &amp; Priede, I.G. (2009) </w:t>
      </w:r>
      <w:r w:rsidRPr="0021277B">
        <w:rPr>
          <w:rFonts w:eastAsia="MS Mincho"/>
          <w:bCs/>
          <w:sz w:val="22"/>
          <w:szCs w:val="22"/>
        </w:rPr>
        <w:t xml:space="preserve">Long-term changes in deep-water fish populations in the northeast Atlantic: a deeper reaching effect of fisheries? </w:t>
      </w:r>
      <w:r w:rsidRPr="0021277B">
        <w:rPr>
          <w:rFonts w:eastAsia="MS Mincho"/>
          <w:bCs/>
          <w:i/>
          <w:sz w:val="22"/>
          <w:szCs w:val="22"/>
        </w:rPr>
        <w:t>Proc. Roy. Soc. Lond. B.</w:t>
      </w:r>
      <w:r w:rsidRPr="0021277B">
        <w:rPr>
          <w:rFonts w:eastAsia="MS Mincho"/>
          <w:bCs/>
          <w:sz w:val="22"/>
          <w:szCs w:val="22"/>
        </w:rPr>
        <w:t xml:space="preserve"> 276, 1965-1969</w:t>
      </w:r>
    </w:p>
    <w:p w14:paraId="55B419EE"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Bell, J.J., (2008) The functional roles of marine sponges. </w:t>
      </w:r>
      <w:r w:rsidRPr="0021277B">
        <w:rPr>
          <w:rFonts w:eastAsia="MS Mincho"/>
          <w:i/>
          <w:sz w:val="22"/>
          <w:szCs w:val="22"/>
        </w:rPr>
        <w:t>Estuar. Coast. Mar. Sci</w:t>
      </w:r>
      <w:r w:rsidRPr="0021277B">
        <w:rPr>
          <w:rFonts w:eastAsia="MS Mincho"/>
          <w:sz w:val="22"/>
          <w:szCs w:val="22"/>
        </w:rPr>
        <w:t>., 79(3), pp.341-353.</w:t>
      </w:r>
    </w:p>
    <w:p w14:paraId="7953AA3B" w14:textId="77777777" w:rsidR="006B3F46" w:rsidRPr="0021277B" w:rsidRDefault="006B3F46" w:rsidP="00907941">
      <w:pPr>
        <w:tabs>
          <w:tab w:val="left" w:pos="709"/>
          <w:tab w:val="left" w:pos="2496"/>
          <w:tab w:val="left" w:pos="4608"/>
        </w:tabs>
        <w:ind w:left="709" w:hanging="709"/>
        <w:jc w:val="both"/>
        <w:rPr>
          <w:rFonts w:eastAsia="MS Mincho"/>
          <w:bCs/>
          <w:sz w:val="22"/>
          <w:szCs w:val="22"/>
        </w:rPr>
      </w:pPr>
      <w:r w:rsidRPr="0021277B">
        <w:rPr>
          <w:rFonts w:eastAsia="MS Mincho"/>
          <w:sz w:val="22"/>
          <w:szCs w:val="22"/>
        </w:rPr>
        <w:t xml:space="preserve">Benn, A.R., Weaver, P.P.E, Billett, D.S.M., van den Hove, S., Murdock, A.P., Doneghan, G.B. &amp; Le Bas, T. (2010).  Human Activities on the Deep Seafloor in the North East Atlantic: An Assessment of Spatial Extent. </w:t>
      </w:r>
      <w:r w:rsidRPr="0021277B">
        <w:rPr>
          <w:rFonts w:eastAsia="MS Mincho"/>
          <w:i/>
          <w:sz w:val="22"/>
          <w:szCs w:val="22"/>
        </w:rPr>
        <w:t>PLoS One</w:t>
      </w:r>
      <w:r w:rsidRPr="0021277B">
        <w:rPr>
          <w:rFonts w:eastAsia="MS Mincho"/>
          <w:sz w:val="22"/>
          <w:szCs w:val="22"/>
        </w:rPr>
        <w:t xml:space="preserve"> 5(9): e12730. doi:10.1371/journal.pone.0012730.</w:t>
      </w:r>
    </w:p>
    <w:p w14:paraId="19B6936B"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Berndt, C, Jacobs, C. L., Evans, A. J., Gay, A., Elliot, G., Long, D. and Hitchen, K. (2012) Kilometre-scale polygonal seabed depressions in the Hatton Basin, NE Atlantic Ocean: Constraints on the origin of polygonal faulting Marine Geology, 332/334 . pp. 126-133. DOI 10.1016/j.margeo.2012.09.013.</w:t>
      </w:r>
    </w:p>
    <w:p w14:paraId="0C423EA0"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Bett, B.J. (2001) </w:t>
      </w:r>
      <w:r w:rsidRPr="0021277B">
        <w:rPr>
          <w:rFonts w:eastAsia="MS Mincho"/>
          <w:bCs/>
          <w:sz w:val="22"/>
          <w:szCs w:val="22"/>
        </w:rPr>
        <w:t>UK Atlantic Margin Environmental Survey: introduction and overview of bathyal benthic ecology.</w:t>
      </w:r>
      <w:r w:rsidRPr="0021277B">
        <w:rPr>
          <w:rFonts w:eastAsia="MS Mincho"/>
          <w:b/>
          <w:bCs/>
          <w:sz w:val="22"/>
          <w:szCs w:val="22"/>
        </w:rPr>
        <w:t xml:space="preserve"> </w:t>
      </w:r>
      <w:r w:rsidRPr="0021277B">
        <w:rPr>
          <w:rFonts w:eastAsia="MS Mincho"/>
          <w:bCs/>
          <w:i/>
          <w:sz w:val="22"/>
          <w:szCs w:val="22"/>
        </w:rPr>
        <w:t xml:space="preserve">Cont. Shelf Res. </w:t>
      </w:r>
      <w:r w:rsidRPr="0021277B">
        <w:rPr>
          <w:rFonts w:eastAsia="MS Mincho"/>
          <w:bCs/>
          <w:sz w:val="22"/>
          <w:szCs w:val="22"/>
        </w:rPr>
        <w:t>21, 917-956.</w:t>
      </w:r>
    </w:p>
    <w:p w14:paraId="64692FED"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Bett, B. J., and Rice, A. L. (1992). The influence of hexactinellid sponge (</w:t>
      </w:r>
      <w:r w:rsidRPr="0021277B">
        <w:rPr>
          <w:rFonts w:eastAsia="MS Mincho"/>
          <w:i/>
          <w:sz w:val="22"/>
          <w:szCs w:val="22"/>
        </w:rPr>
        <w:t>Pheronema carpenteri</w:t>
      </w:r>
      <w:r w:rsidRPr="0021277B">
        <w:rPr>
          <w:rFonts w:eastAsia="MS Mincho"/>
          <w:sz w:val="22"/>
          <w:szCs w:val="22"/>
        </w:rPr>
        <w:t xml:space="preserve">) spicules on the patchy distribution of macrobenthos in the porcupine seabight (bathyal NE Atlantic). </w:t>
      </w:r>
      <w:r w:rsidRPr="0021277B">
        <w:rPr>
          <w:rFonts w:eastAsia="MS Mincho"/>
          <w:i/>
          <w:sz w:val="22"/>
          <w:szCs w:val="22"/>
        </w:rPr>
        <w:t>Ophelia</w:t>
      </w:r>
      <w:r w:rsidRPr="0021277B">
        <w:rPr>
          <w:rFonts w:eastAsia="MS Mincho"/>
          <w:sz w:val="22"/>
          <w:szCs w:val="22"/>
        </w:rPr>
        <w:t xml:space="preserve"> 36, 217–226.</w:t>
      </w:r>
    </w:p>
    <w:p w14:paraId="326092F5"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Billett, D.S.M. (1991) Deep-sea holothurians. </w:t>
      </w:r>
      <w:r w:rsidRPr="0021277B">
        <w:rPr>
          <w:rFonts w:eastAsia="MS Mincho"/>
          <w:i/>
          <w:sz w:val="22"/>
          <w:szCs w:val="22"/>
        </w:rPr>
        <w:t>Oceanogr. mar. Biol. Ann. Rev.</w:t>
      </w:r>
      <w:r w:rsidRPr="0021277B">
        <w:rPr>
          <w:rFonts w:eastAsia="MS Mincho"/>
          <w:sz w:val="22"/>
          <w:szCs w:val="22"/>
        </w:rPr>
        <w:t xml:space="preserve">  29, 259-317.</w:t>
      </w:r>
    </w:p>
    <w:p w14:paraId="3DF27E25"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Campbell, N. </w:t>
      </w:r>
      <w:r w:rsidRPr="0006066A">
        <w:rPr>
          <w:rFonts w:eastAsia="MS Mincho"/>
          <w:i/>
          <w:sz w:val="22"/>
          <w:szCs w:val="22"/>
        </w:rPr>
        <w:t>et al</w:t>
      </w:r>
      <w:r w:rsidRPr="0021277B">
        <w:rPr>
          <w:rFonts w:eastAsia="MS Mincho"/>
          <w:i/>
          <w:sz w:val="22"/>
          <w:szCs w:val="22"/>
        </w:rPr>
        <w:t>.</w:t>
      </w:r>
      <w:r w:rsidRPr="0021277B">
        <w:rPr>
          <w:rFonts w:eastAsia="MS Mincho"/>
          <w:sz w:val="22"/>
          <w:szCs w:val="22"/>
        </w:rPr>
        <w:t xml:space="preserve"> 2010. Taxonomic indicators of deep water demersal fish community diversity on the Northeast Atlantic continental slope. ICES J. Mar. Sci.  68, 365-378.</w:t>
      </w:r>
    </w:p>
    <w:p w14:paraId="1ADE33AD"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Carreiro-Silva, M., Andrews, A.H., Braga-Henriques, A., De Matos, V., Porteiro, F.M. and Santos, R.S., (2013). Variability in growth rates of long-lived black coral Leiopathes sp. from the Azores. </w:t>
      </w:r>
      <w:r w:rsidRPr="0021277B">
        <w:rPr>
          <w:rFonts w:eastAsia="MS Mincho"/>
          <w:i/>
          <w:sz w:val="22"/>
          <w:szCs w:val="22"/>
        </w:rPr>
        <w:t>Mar Ecol Prog Ser</w:t>
      </w:r>
      <w:r w:rsidRPr="0021277B">
        <w:rPr>
          <w:rFonts w:eastAsia="MS Mincho"/>
          <w:sz w:val="22"/>
          <w:szCs w:val="22"/>
        </w:rPr>
        <w:t>, 473, pp.189-199.</w:t>
      </w:r>
    </w:p>
    <w:p w14:paraId="59712C58"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Cathalot C, van Oevelen D, Cox TJ, Kutti T, Lavaleye M, Duineveld G, Meysman FJR (2015) Cold-water coral reefs and adjacent sponge grounds: hotspots of benthic respiration and organic carbon cycling in the deep sea. Front. Mar. Sci. 2, https://doi.org/10.3389/fmars.2015.00037 </w:t>
      </w:r>
    </w:p>
    <w:p w14:paraId="65BF0428"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Clark M.R., Rowden A.A., Schlacher T., Williams A., Consalvey M., Stocks K.I., Rogers A.D., O'Hara T.D., White M., Shank T.M. &amp; Hall-Spencer J.M. (2010) The ecology of seamounts: structure, function and human impacts. </w:t>
      </w:r>
      <w:r w:rsidRPr="0021277B">
        <w:rPr>
          <w:rFonts w:eastAsia="MS Mincho"/>
          <w:i/>
          <w:sz w:val="22"/>
          <w:szCs w:val="22"/>
        </w:rPr>
        <w:t xml:space="preserve">Annu. Rev. Mar. Sci. </w:t>
      </w:r>
      <w:r w:rsidRPr="0021277B">
        <w:rPr>
          <w:rFonts w:eastAsia="MS Mincho"/>
          <w:sz w:val="22"/>
          <w:szCs w:val="22"/>
        </w:rPr>
        <w:t>2, 253-278.</w:t>
      </w:r>
    </w:p>
    <w:p w14:paraId="6C0F6AB7"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Costello, M.J., McCrea, M., Freiwald, A., Lundälv, T., Jonsson, L., Bett, B.J., Van Weering, T.C.E., De Haas, H., Roberts, J.M. &amp; Allen, D. (2005) Role of cold-water </w:t>
      </w:r>
      <w:r w:rsidRPr="0021277B">
        <w:rPr>
          <w:rFonts w:eastAsia="MS Mincho"/>
          <w:i/>
          <w:iCs/>
          <w:sz w:val="22"/>
          <w:szCs w:val="22"/>
        </w:rPr>
        <w:t xml:space="preserve">Lophelia pertusa </w:t>
      </w:r>
      <w:r w:rsidRPr="0021277B">
        <w:rPr>
          <w:rFonts w:eastAsia="MS Mincho"/>
          <w:sz w:val="22"/>
          <w:szCs w:val="22"/>
        </w:rPr>
        <w:t>reefs as fish habitat in the NE Atlantic. In: Freiwald, A., Roberts, J.M. (Eds.), Cold-water Corals and Ecosystems. Springer-Verlag, Berlin Heidelberg, pp. 771-805.</w:t>
      </w:r>
    </w:p>
    <w:p w14:paraId="267DD5CF"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Charif, R.A. &amp; Clark, C.W. (2009). Acoustic monitoring of large whales in deep waters north and west of the British Isles: 1996-2005. Technical Report 08-07 for the UK DECC. Cornell University Bioacoustics Research Program, Laboratory of Ornithology, Cornell University, New York. 40pp</w:t>
      </w:r>
    </w:p>
    <w:p w14:paraId="44802C42"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Cronin, M., Mackey, M. (2002) </w:t>
      </w:r>
      <w:r w:rsidRPr="0021277B">
        <w:rPr>
          <w:rFonts w:eastAsia="MS Mincho"/>
          <w:i/>
          <w:sz w:val="22"/>
          <w:szCs w:val="22"/>
        </w:rPr>
        <w:t xml:space="preserve">Cetaceans and Seabirds of the Hatton-Rockall Region, </w:t>
      </w:r>
      <w:r w:rsidRPr="0021277B">
        <w:rPr>
          <w:rFonts w:eastAsia="MS Mincho"/>
          <w:sz w:val="22"/>
          <w:szCs w:val="22"/>
        </w:rPr>
        <w:t>Cruise Report of the Geological Survey of Ireland May 2002.</w:t>
      </w:r>
    </w:p>
    <w:p w14:paraId="042EB373"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Davies, A.J., Narayanaswamy, B.E., Hughes, D.J. &amp; Roberts, J.M. (2006) An introduction of the benthic ecology of the Rockall-Hatton Area (SEA 7). Scottish Association for Marine Science, Oban, p. 94.  http://www.offshoresea.org.uk/</w:t>
      </w:r>
    </w:p>
    <w:p w14:paraId="0EA70398" w14:textId="77777777" w:rsidR="006B3F46" w:rsidRPr="0021277B" w:rsidRDefault="006B3F46" w:rsidP="00907941">
      <w:pPr>
        <w:tabs>
          <w:tab w:val="left" w:pos="709"/>
        </w:tabs>
        <w:ind w:left="709" w:hanging="709"/>
        <w:jc w:val="both"/>
        <w:rPr>
          <w:sz w:val="22"/>
          <w:szCs w:val="22"/>
          <w:lang w:eastAsia="en-GB"/>
        </w:rPr>
      </w:pPr>
      <w:r w:rsidRPr="0021277B">
        <w:rPr>
          <w:sz w:val="22"/>
          <w:szCs w:val="22"/>
          <w:lang w:eastAsia="en-GB"/>
        </w:rPr>
        <w:t xml:space="preserve">Davies, A.J., Wisshak, M., Orr, J.C. &amp; Roberts, J.M. (2008) </w:t>
      </w:r>
      <w:r w:rsidRPr="0021277B">
        <w:rPr>
          <w:bCs/>
          <w:sz w:val="22"/>
          <w:szCs w:val="22"/>
          <w:lang w:eastAsia="en-GB"/>
        </w:rPr>
        <w:t xml:space="preserve">Predicting suitable habitat for the cold-water coral </w:t>
      </w:r>
      <w:r w:rsidRPr="0021277B">
        <w:rPr>
          <w:bCs/>
          <w:i/>
          <w:sz w:val="22"/>
          <w:szCs w:val="22"/>
          <w:lang w:eastAsia="en-GB"/>
        </w:rPr>
        <w:t>Lophelia pertusa</w:t>
      </w:r>
      <w:r w:rsidRPr="0021277B">
        <w:rPr>
          <w:bCs/>
          <w:sz w:val="22"/>
          <w:szCs w:val="22"/>
          <w:lang w:eastAsia="en-GB"/>
        </w:rPr>
        <w:t xml:space="preserve"> (Scleractinia). </w:t>
      </w:r>
      <w:r w:rsidRPr="0021277B">
        <w:rPr>
          <w:bCs/>
          <w:i/>
          <w:sz w:val="22"/>
          <w:szCs w:val="22"/>
          <w:lang w:eastAsia="en-GB"/>
        </w:rPr>
        <w:t xml:space="preserve">Deep-Sea Res. I  </w:t>
      </w:r>
      <w:r w:rsidRPr="0021277B">
        <w:rPr>
          <w:bCs/>
          <w:sz w:val="22"/>
          <w:szCs w:val="22"/>
          <w:lang w:eastAsia="en-GB"/>
        </w:rPr>
        <w:t>55, 1048-1062.</w:t>
      </w:r>
    </w:p>
    <w:p w14:paraId="38419644" w14:textId="77777777" w:rsidR="006B3F46" w:rsidRPr="0021277B" w:rsidRDefault="006B3F46" w:rsidP="00907941">
      <w:pPr>
        <w:tabs>
          <w:tab w:val="left" w:pos="709"/>
        </w:tabs>
        <w:ind w:left="709" w:hanging="709"/>
        <w:jc w:val="both"/>
        <w:rPr>
          <w:sz w:val="22"/>
          <w:szCs w:val="22"/>
          <w:lang w:eastAsia="en-GB"/>
        </w:rPr>
      </w:pPr>
      <w:r w:rsidRPr="0021277B">
        <w:rPr>
          <w:sz w:val="22"/>
          <w:szCs w:val="22"/>
          <w:lang w:eastAsia="en-GB"/>
        </w:rPr>
        <w:t xml:space="preserve">Davies. A., Roberts. J.M. &amp; Hall-Spencer, J.M. (2007) Preserving deep-sea natural heritage: emerging issues in offshore conservation and management. </w:t>
      </w:r>
      <w:hyperlink r:id="rId317" w:history="1">
        <w:r w:rsidRPr="0021277B">
          <w:rPr>
            <w:i/>
            <w:sz w:val="22"/>
            <w:szCs w:val="22"/>
            <w:lang w:eastAsia="en-GB"/>
          </w:rPr>
          <w:t xml:space="preserve">Biol. Cons. </w:t>
        </w:r>
        <w:r w:rsidRPr="0021277B">
          <w:rPr>
            <w:sz w:val="22"/>
            <w:szCs w:val="22"/>
            <w:lang w:eastAsia="en-GB"/>
          </w:rPr>
          <w:t xml:space="preserve">138, 299-312. </w:t>
        </w:r>
      </w:hyperlink>
    </w:p>
    <w:p w14:paraId="472E8372"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De Clippele LH, Huvenne VAI, Molodtsova TN and Roberts JM (2019) The diversity and ecological role of non-scleractinian corals (Antipatharia and Alcyonacea) on scleractinian cold-water coral mounds. Front. Mar. Sci. 6:184. doi: 10.3389/fmars.2019.00184</w:t>
      </w:r>
    </w:p>
    <w:p w14:paraId="5E7596F6"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Due, L., van Aken. H.M., Boldreel. L.O. &amp; Kuijpers, A. (2006) Seismic and oceanographic evidence of present-day bottom-water dynamics in the Lousy Bank–Hatton Bank area, NE Atlantic. Deep-Sea Research I53:1729-1741</w:t>
      </w:r>
    </w:p>
    <w:p w14:paraId="602D4072"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Durán Muñoz, P., Sayago-Gil, M., Cristobo, J., Parra, S., Serrano, A., Díaz del Rio, V., Patrocinio, T., Sacau, M., Murillo, F.J., Palomino, D. &amp; Fernández-Salas, L.M. (2009) Seabed mapping for selecting cold-water coral protection areas on Hatton Bank, Northeast Atlantic. ICES J. Mar. Sci. 66, 2013-2025</w:t>
      </w:r>
    </w:p>
    <w:p w14:paraId="430E3087" w14:textId="77777777" w:rsidR="006B3F46" w:rsidRPr="0021277B" w:rsidRDefault="006B3F46" w:rsidP="00907941">
      <w:pPr>
        <w:tabs>
          <w:tab w:val="left" w:pos="709"/>
        </w:tabs>
        <w:ind w:left="709" w:hanging="709"/>
        <w:jc w:val="both"/>
        <w:rPr>
          <w:sz w:val="22"/>
          <w:szCs w:val="22"/>
          <w:lang w:eastAsia="en-GB"/>
        </w:rPr>
      </w:pPr>
      <w:r w:rsidRPr="0021277B">
        <w:rPr>
          <w:sz w:val="22"/>
          <w:szCs w:val="22"/>
          <w:lang w:eastAsia="en-GB"/>
        </w:rPr>
        <w:t>Ellett, D.J., Edwards, A. &amp; Bowers, R. (1986) The hydrography of the Rockall Channel – an overview. Conference Proceedings Symposium on the Oceanography of the Rockall Channel, Edinburgh (UK), 27-29 Mar 1985.</w:t>
      </w:r>
    </w:p>
    <w:p w14:paraId="12688017"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Fosså, J.H., Mortensen, P.B. &amp; Furevik, D.M. (2002) The deep-water coral </w:t>
      </w:r>
      <w:r w:rsidRPr="0021277B">
        <w:rPr>
          <w:rFonts w:eastAsia="MS Mincho"/>
          <w:i/>
          <w:iCs/>
          <w:sz w:val="22"/>
          <w:szCs w:val="22"/>
        </w:rPr>
        <w:t xml:space="preserve">Lophelia pertusa </w:t>
      </w:r>
      <w:r w:rsidRPr="0021277B">
        <w:rPr>
          <w:rFonts w:eastAsia="MS Mincho"/>
          <w:sz w:val="22"/>
          <w:szCs w:val="22"/>
        </w:rPr>
        <w:t xml:space="preserve">in Norwegian waters: distribution and fishery impacts. </w:t>
      </w:r>
      <w:r w:rsidRPr="0021277B">
        <w:rPr>
          <w:rFonts w:eastAsia="MS Mincho"/>
          <w:i/>
          <w:iCs/>
          <w:sz w:val="22"/>
          <w:szCs w:val="22"/>
        </w:rPr>
        <w:t xml:space="preserve">Hydrobiologia </w:t>
      </w:r>
      <w:r w:rsidRPr="0021277B">
        <w:rPr>
          <w:rFonts w:eastAsia="MS Mincho"/>
          <w:bCs/>
          <w:sz w:val="22"/>
          <w:szCs w:val="22"/>
        </w:rPr>
        <w:t xml:space="preserve">471, </w:t>
      </w:r>
      <w:r w:rsidRPr="0021277B">
        <w:rPr>
          <w:rFonts w:eastAsia="MS Mincho"/>
          <w:sz w:val="22"/>
          <w:szCs w:val="22"/>
        </w:rPr>
        <w:t>1-12.</w:t>
      </w:r>
    </w:p>
    <w:p w14:paraId="4E06AC0D"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Frederiksen, R., Jensen, A. &amp; Westerberg, H. (1992) The distribution of the scleractinian coral </w:t>
      </w:r>
      <w:r w:rsidRPr="0021277B">
        <w:rPr>
          <w:rFonts w:eastAsia="MS Mincho"/>
          <w:i/>
          <w:iCs/>
          <w:sz w:val="22"/>
          <w:szCs w:val="22"/>
        </w:rPr>
        <w:t xml:space="preserve">Lophelia pertusa </w:t>
      </w:r>
      <w:r w:rsidRPr="0021277B">
        <w:rPr>
          <w:rFonts w:eastAsia="MS Mincho"/>
          <w:sz w:val="22"/>
          <w:szCs w:val="22"/>
        </w:rPr>
        <w:t xml:space="preserve">around the Faeroe Islands and the relation to internal tidal mixing. </w:t>
      </w:r>
      <w:r w:rsidRPr="0021277B">
        <w:rPr>
          <w:rFonts w:eastAsia="MS Mincho"/>
          <w:i/>
          <w:iCs/>
          <w:sz w:val="22"/>
          <w:szCs w:val="22"/>
        </w:rPr>
        <w:t xml:space="preserve">Sarsia </w:t>
      </w:r>
      <w:r w:rsidRPr="0021277B">
        <w:rPr>
          <w:rFonts w:eastAsia="MS Mincho"/>
          <w:bCs/>
          <w:sz w:val="22"/>
          <w:szCs w:val="22"/>
        </w:rPr>
        <w:t>77</w:t>
      </w:r>
      <w:r w:rsidRPr="0021277B">
        <w:rPr>
          <w:rFonts w:eastAsia="MS Mincho"/>
          <w:b/>
          <w:bCs/>
          <w:sz w:val="22"/>
          <w:szCs w:val="22"/>
        </w:rPr>
        <w:t xml:space="preserve">, </w:t>
      </w:r>
      <w:r w:rsidRPr="0021277B">
        <w:rPr>
          <w:rFonts w:eastAsia="MS Mincho"/>
          <w:sz w:val="22"/>
          <w:szCs w:val="22"/>
        </w:rPr>
        <w:t>157-171.</w:t>
      </w:r>
    </w:p>
    <w:p w14:paraId="7103435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Freiwald, A. (2002) Reef-forming cold-water corals. In: Wefer, G., Billett, D., Hebbeln, D., Jorgensen, B.B., Schluter, M., Van Weering, T. (Eds.), </w:t>
      </w:r>
      <w:r w:rsidRPr="0021277B">
        <w:rPr>
          <w:rFonts w:eastAsia="MS Mincho"/>
          <w:i/>
          <w:sz w:val="22"/>
          <w:szCs w:val="22"/>
        </w:rPr>
        <w:t>Ocean Margin Systems</w:t>
      </w:r>
      <w:r w:rsidRPr="0021277B">
        <w:rPr>
          <w:rFonts w:eastAsia="MS Mincho"/>
          <w:sz w:val="22"/>
          <w:szCs w:val="22"/>
        </w:rPr>
        <w:t>. Springer-Verlag Berlin Heidelberg, Berlin, pp. 365-385.</w:t>
      </w:r>
    </w:p>
    <w:p w14:paraId="253A570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Gage, J.D. &amp; Tyler, P.A. (1991)  </w:t>
      </w:r>
      <w:r w:rsidRPr="0021277B">
        <w:rPr>
          <w:rFonts w:eastAsia="MS Mincho"/>
          <w:i/>
          <w:sz w:val="22"/>
          <w:szCs w:val="22"/>
        </w:rPr>
        <w:t xml:space="preserve">Deep-Sea Biology. A Natural History of Organisms at the Deep-Sea Floor. </w:t>
      </w:r>
      <w:r w:rsidRPr="0021277B">
        <w:rPr>
          <w:rFonts w:eastAsia="MS Mincho"/>
          <w:sz w:val="22"/>
          <w:szCs w:val="22"/>
        </w:rPr>
        <w:t>Cambridge University Press. 504pp.</w:t>
      </w:r>
    </w:p>
    <w:p w14:paraId="4A29E197"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Gage, J.D., Billett, D.S.M., Jensen, M. &amp; Tyler, P.A. (1985)  Echinoderms of the Rockall Trough and adjacent areas. 2. Echinoidea and Holothurioidea.  </w:t>
      </w:r>
      <w:r w:rsidRPr="0021277B">
        <w:rPr>
          <w:rFonts w:eastAsia="MS Mincho"/>
          <w:i/>
          <w:sz w:val="22"/>
          <w:szCs w:val="22"/>
        </w:rPr>
        <w:t>Bull. Br. Mus. Nat. Hist.</w:t>
      </w:r>
      <w:r w:rsidRPr="0021277B">
        <w:rPr>
          <w:rFonts w:eastAsia="MS Mincho"/>
          <w:sz w:val="22"/>
          <w:szCs w:val="22"/>
        </w:rPr>
        <w:t xml:space="preserve"> </w:t>
      </w:r>
      <w:r w:rsidRPr="0021277B">
        <w:rPr>
          <w:rFonts w:eastAsia="MS Mincho"/>
          <w:i/>
          <w:sz w:val="22"/>
          <w:szCs w:val="22"/>
        </w:rPr>
        <w:t>(Zool.),</w:t>
      </w:r>
      <w:r w:rsidRPr="0021277B">
        <w:rPr>
          <w:rFonts w:eastAsia="MS Mincho"/>
          <w:sz w:val="22"/>
          <w:szCs w:val="22"/>
        </w:rPr>
        <w:t xml:space="preserve"> 48, 173-213.</w:t>
      </w:r>
    </w:p>
    <w:p w14:paraId="43C03838"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Gage, J.D., Pearson, M., Clark, A.M., Paterson, G.L.J. &amp; Tyler, P.A. (1983) Echinoderms of the Rockall Trough and adjacent areas. 1. Crinoidea, Asteroidea and Ophiuroidea. </w:t>
      </w:r>
      <w:r w:rsidRPr="0021277B">
        <w:rPr>
          <w:rFonts w:eastAsia="MS Mincho"/>
          <w:i/>
          <w:sz w:val="22"/>
          <w:szCs w:val="22"/>
        </w:rPr>
        <w:t xml:space="preserve">Bull. Br. Mus. nat. Hist. (Zool.) </w:t>
      </w:r>
      <w:r w:rsidRPr="0021277B">
        <w:rPr>
          <w:rFonts w:eastAsia="MS Mincho"/>
          <w:sz w:val="22"/>
          <w:szCs w:val="22"/>
        </w:rPr>
        <w:t>45, 263-308.</w:t>
      </w:r>
    </w:p>
    <w:p w14:paraId="4039986E"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Gage, J.D., Roberts, J.M., Hartley, J.P. &amp; Humphery, J.D. (2005) Potential impacts of deepsea trawling on the benthic ecosystem along the Northern European Continental Margin: A review. In: Barnes, P.W., Thomas, J.P. (Eds.), </w:t>
      </w:r>
      <w:r w:rsidRPr="0021277B">
        <w:rPr>
          <w:rFonts w:eastAsia="MS Mincho"/>
          <w:i/>
          <w:sz w:val="22"/>
          <w:szCs w:val="22"/>
        </w:rPr>
        <w:t>Benthic Habitats and the Effects of Fishing</w:t>
      </w:r>
      <w:r w:rsidRPr="0021277B">
        <w:rPr>
          <w:rFonts w:eastAsia="MS Mincho"/>
          <w:sz w:val="22"/>
          <w:szCs w:val="22"/>
        </w:rPr>
        <w:t>. American Fisheries Society, Bethesda, Maryland, pp. 503-517.</w:t>
      </w:r>
    </w:p>
    <w:p w14:paraId="7C9996DD"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Gordon, J. D. M., O. A. Bergstad, I. Figueiredo, and G. Menezes. 2003. Deep-water Fisheries of the Northeast Atlantic: I. Description and Current Trends. </w:t>
      </w:r>
      <w:r w:rsidRPr="0021277B">
        <w:rPr>
          <w:rFonts w:eastAsia="MS Mincho"/>
          <w:i/>
          <w:iCs/>
          <w:sz w:val="22"/>
          <w:szCs w:val="22"/>
        </w:rPr>
        <w:t>J. Northw. Atl. Fish. Sci.</w:t>
      </w:r>
      <w:r w:rsidRPr="0021277B">
        <w:rPr>
          <w:rFonts w:eastAsia="MS Mincho"/>
          <w:sz w:val="22"/>
          <w:szCs w:val="22"/>
        </w:rPr>
        <w:t xml:space="preserve"> 31: 137-150. </w:t>
      </w:r>
    </w:p>
    <w:p w14:paraId="2B3D937F"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Gordon, J.D.M. &amp; Duncan, J.A.R. (1985) The ecology of the deep-sea benthic and benthopelagic fish on the slopes of the Rockall Trough, northeastern Atlantic. </w:t>
      </w:r>
      <w:r w:rsidRPr="0021277B">
        <w:rPr>
          <w:rFonts w:eastAsia="MS Mincho"/>
          <w:i/>
          <w:sz w:val="22"/>
          <w:szCs w:val="22"/>
        </w:rPr>
        <w:t>Prog. Oceanogr.</w:t>
      </w:r>
      <w:r w:rsidRPr="0021277B">
        <w:rPr>
          <w:rFonts w:eastAsia="MS Mincho"/>
          <w:sz w:val="22"/>
          <w:szCs w:val="22"/>
        </w:rPr>
        <w:t xml:space="preserve"> 15, 37-69.</w:t>
      </w:r>
    </w:p>
    <w:p w14:paraId="745048AC"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Guilford, T., Freeman, R., Boyle, D., Dean, B., Kirk, H., Phillips, R.A., Perrins, C. (2011) A dispersive migration in the Atlantic Puffin and its Implications for Migratory Navigation, </w:t>
      </w:r>
      <w:r w:rsidRPr="0021277B">
        <w:rPr>
          <w:rFonts w:eastAsia="MS Mincho"/>
          <w:i/>
          <w:sz w:val="22"/>
          <w:szCs w:val="22"/>
        </w:rPr>
        <w:t xml:space="preserve">Plos One, </w:t>
      </w:r>
      <w:r w:rsidRPr="0021277B">
        <w:rPr>
          <w:rFonts w:eastAsia="MS Mincho"/>
          <w:sz w:val="22"/>
          <w:szCs w:val="22"/>
        </w:rPr>
        <w:t>6(7), e21336.</w:t>
      </w:r>
    </w:p>
    <w:p w14:paraId="4700F102"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Hall-Spencer J.M., Allain V. &amp; Fossa J.H. (2002) Trawling damage to Northeast Atlantic ancient coral reefs. </w:t>
      </w:r>
      <w:r w:rsidRPr="0021277B">
        <w:rPr>
          <w:rFonts w:eastAsia="MS Mincho"/>
          <w:i/>
          <w:sz w:val="22"/>
          <w:szCs w:val="22"/>
        </w:rPr>
        <w:t>Proc. Roy. Soc. Lond. B</w:t>
      </w:r>
      <w:r w:rsidRPr="0021277B">
        <w:rPr>
          <w:rFonts w:eastAsia="MS Mincho"/>
          <w:sz w:val="22"/>
          <w:szCs w:val="22"/>
        </w:rPr>
        <w:t>. 269, 507-511.</w:t>
      </w:r>
    </w:p>
    <w:p w14:paraId="0A2AC3C1"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Hall-Spencer, J.M., Tasker, M., Söffker, M., Christiansen, S., Rogers, S., Campbell, M. &amp; Hoydal, K. (2009) The design of Marine Protected Areas on High Seas and territorial waters of Rockall. </w:t>
      </w:r>
      <w:r w:rsidRPr="0021277B">
        <w:rPr>
          <w:rFonts w:eastAsia="MS Mincho"/>
          <w:i/>
          <w:sz w:val="22"/>
          <w:szCs w:val="22"/>
        </w:rPr>
        <w:t>Mar. Ecol. Prog. Ser.</w:t>
      </w:r>
      <w:r w:rsidRPr="0021277B">
        <w:rPr>
          <w:rFonts w:eastAsia="MS Mincho"/>
          <w:sz w:val="22"/>
          <w:szCs w:val="22"/>
        </w:rPr>
        <w:t xml:space="preserve"> 397, 305-308.</w:t>
      </w:r>
    </w:p>
    <w:p w14:paraId="25A4776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Hammond, P.S., Macleod, K., Burt, L. Cañadas, A., Lens, S. Mikkelsen, B., Rogan, E., Santos, B., Uriarte, A., Van Canneyt, O. &amp; Vázquez, J.A. (2009). Cetacean Offshore Distribution and Abundance in the European Atlantic (CODA). Final Report. University of St Andrews, Scotland.</w:t>
      </w:r>
    </w:p>
    <w:p w14:paraId="3185EF1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Harris, M.P., Daunt, F., Newell, M., Phillips, R.A., Wanless, S. (2010) Wintering areas of Atlantic Puffins </w:t>
      </w:r>
      <w:r w:rsidRPr="0021277B">
        <w:rPr>
          <w:rFonts w:eastAsia="MS Mincho"/>
          <w:i/>
          <w:sz w:val="22"/>
          <w:szCs w:val="22"/>
        </w:rPr>
        <w:t xml:space="preserve">Fratercula arctica </w:t>
      </w:r>
      <w:r w:rsidRPr="0021277B">
        <w:rPr>
          <w:rFonts w:eastAsia="MS Mincho"/>
          <w:sz w:val="22"/>
          <w:szCs w:val="22"/>
        </w:rPr>
        <w:t xml:space="preserve">from a North Sea colony as revealed by geolocation technology, </w:t>
      </w:r>
      <w:r w:rsidRPr="0021277B">
        <w:rPr>
          <w:rFonts w:eastAsia="MS Mincho"/>
          <w:i/>
          <w:sz w:val="22"/>
          <w:szCs w:val="22"/>
        </w:rPr>
        <w:t xml:space="preserve">Mar Biol, </w:t>
      </w:r>
      <w:r w:rsidRPr="0021277B">
        <w:rPr>
          <w:rFonts w:eastAsia="MS Mincho"/>
          <w:sz w:val="22"/>
          <w:szCs w:val="22"/>
        </w:rPr>
        <w:t>157, 827-836</w:t>
      </w:r>
    </w:p>
    <w:p w14:paraId="7A32B13A"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Harvey, R., Gage, J.D., Billett, D.S.M., Clark, A.M. and Paterson, G.L.J. (1988) Echinoderms of the Rockall Trough and adjacent areas. 3.  Additional records.  </w:t>
      </w:r>
      <w:r w:rsidRPr="0021277B">
        <w:rPr>
          <w:rFonts w:eastAsia="MS Mincho"/>
          <w:i/>
          <w:sz w:val="22"/>
          <w:szCs w:val="22"/>
        </w:rPr>
        <w:t>Bull. Br. Mus. (Nat. Hist.)</w:t>
      </w:r>
      <w:r w:rsidRPr="0021277B">
        <w:rPr>
          <w:rFonts w:eastAsia="MS Mincho"/>
          <w:sz w:val="22"/>
          <w:szCs w:val="22"/>
        </w:rPr>
        <w:t xml:space="preserve"> </w:t>
      </w:r>
      <w:r w:rsidRPr="0021277B">
        <w:rPr>
          <w:rFonts w:eastAsia="MS Mincho"/>
          <w:i/>
          <w:sz w:val="22"/>
          <w:szCs w:val="22"/>
        </w:rPr>
        <w:t>(Zool.),</w:t>
      </w:r>
      <w:r w:rsidRPr="0021277B">
        <w:rPr>
          <w:rFonts w:eastAsia="MS Mincho"/>
          <w:sz w:val="22"/>
          <w:szCs w:val="22"/>
        </w:rPr>
        <w:t xml:space="preserve"> 54 (4), 153-198.</w:t>
      </w:r>
    </w:p>
    <w:p w14:paraId="05C5F6C9"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Hendry, K.R., Cassarino, L., Bates, S.L., Culwick, T., Frost, M., Goodwin, C. and Howell, K.L., (2019). Silicon isotopic systematics of deep-sea sponge grounds in the North Atlantic. </w:t>
      </w:r>
      <w:r w:rsidRPr="0021277B">
        <w:rPr>
          <w:rFonts w:eastAsia="MS Mincho"/>
          <w:i/>
          <w:sz w:val="22"/>
          <w:szCs w:val="22"/>
        </w:rPr>
        <w:t>Quat Sci Rev</w:t>
      </w:r>
      <w:r w:rsidRPr="0021277B">
        <w:rPr>
          <w:rFonts w:eastAsia="MS Mincho"/>
          <w:sz w:val="22"/>
          <w:szCs w:val="22"/>
        </w:rPr>
        <w:t>, 210, pp.1-14.</w:t>
      </w:r>
    </w:p>
    <w:p w14:paraId="1699221D"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Henry, L-A. &amp; Roberts, J.M. (2007) Biodiversity and ecological composition of macrobenthos on cold-water coral mounds and adjacent off-mound habitat in the bathyal Porcupine Seabight, NE Atlantic. </w:t>
      </w:r>
      <w:r w:rsidRPr="0021277B">
        <w:rPr>
          <w:rFonts w:eastAsia="MS Mincho"/>
          <w:i/>
          <w:sz w:val="22"/>
          <w:szCs w:val="22"/>
        </w:rPr>
        <w:t>Deep-Sea Res I</w:t>
      </w:r>
      <w:r w:rsidRPr="0021277B">
        <w:rPr>
          <w:rFonts w:eastAsia="MS Mincho"/>
          <w:sz w:val="22"/>
          <w:szCs w:val="22"/>
        </w:rPr>
        <w:t xml:space="preserve">  54, 654-672</w:t>
      </w:r>
    </w:p>
    <w:p w14:paraId="0BBE62A5"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Hogg, M.M., Tendal, O.S., Conway, K.W., Pomponi, S.A., van Soest, R.W.M., Gutt, J.,  Krautter, M. &amp; Roberts, J.M. (2010) Deep-sea Sponge Grounds: Reservoirs of Biodiversity. UNEP-WCMC Biodiversity Series No. 32. UNEP-WCMC, Cambridge, UK</w:t>
      </w:r>
    </w:p>
    <w:p w14:paraId="21DAF895"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Howell, K., Billett, D.S.M. &amp; Tyler, P.A. (2002).  Depth-related distribution and abundance of seastars (Echinodermata:Asteroidea) in the Porcupine Seabight and Porcupine Abyssal Plain, N.E. Atlantic.  </w:t>
      </w:r>
      <w:r w:rsidRPr="0021277B">
        <w:rPr>
          <w:rFonts w:eastAsia="MS Mincho"/>
          <w:i/>
          <w:iCs/>
          <w:sz w:val="22"/>
          <w:szCs w:val="22"/>
        </w:rPr>
        <w:t>Deep-Sea Res. I</w:t>
      </w:r>
      <w:r w:rsidRPr="0021277B">
        <w:rPr>
          <w:rFonts w:eastAsia="MS Mincho"/>
          <w:sz w:val="22"/>
          <w:szCs w:val="22"/>
        </w:rPr>
        <w:t xml:space="preserve">  </w:t>
      </w:r>
      <w:r w:rsidRPr="0021277B">
        <w:rPr>
          <w:rFonts w:eastAsia="MS Mincho"/>
          <w:bCs/>
          <w:sz w:val="22"/>
          <w:szCs w:val="22"/>
        </w:rPr>
        <w:t>49</w:t>
      </w:r>
      <w:r w:rsidRPr="0021277B">
        <w:rPr>
          <w:rFonts w:eastAsia="MS Mincho"/>
          <w:sz w:val="22"/>
          <w:szCs w:val="22"/>
        </w:rPr>
        <w:t>, 1901-1920.</w:t>
      </w:r>
    </w:p>
    <w:p w14:paraId="687F3F26"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Howell, K.L. (2010) A benthic classification system to aid in the implementation of marine protected area networks in the deep / high seas of the NE Atlantic. </w:t>
      </w:r>
      <w:r w:rsidRPr="0021277B">
        <w:rPr>
          <w:rFonts w:eastAsia="MS Mincho"/>
          <w:i/>
          <w:iCs/>
          <w:sz w:val="22"/>
          <w:szCs w:val="22"/>
        </w:rPr>
        <w:t>Biol. Cons.</w:t>
      </w:r>
      <w:r w:rsidRPr="0021277B">
        <w:rPr>
          <w:rFonts w:eastAsia="MS Mincho"/>
          <w:sz w:val="22"/>
          <w:szCs w:val="22"/>
        </w:rPr>
        <w:t xml:space="preserve"> </w:t>
      </w:r>
      <w:r w:rsidRPr="0021277B">
        <w:rPr>
          <w:rFonts w:eastAsia="MS Mincho"/>
          <w:bCs/>
          <w:sz w:val="22"/>
          <w:szCs w:val="22"/>
        </w:rPr>
        <w:t>143</w:t>
      </w:r>
      <w:r w:rsidRPr="0021277B">
        <w:rPr>
          <w:rFonts w:eastAsia="MS Mincho"/>
          <w:b/>
          <w:sz w:val="22"/>
          <w:szCs w:val="22"/>
        </w:rPr>
        <w:t>,</w:t>
      </w:r>
      <w:r w:rsidRPr="0021277B">
        <w:rPr>
          <w:rFonts w:eastAsia="MS Mincho"/>
          <w:sz w:val="22"/>
          <w:szCs w:val="22"/>
        </w:rPr>
        <w:t xml:space="preserve"> 1041–1056. </w:t>
      </w:r>
    </w:p>
    <w:p w14:paraId="74A67888"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Howell, K.L., Davies J.S., Jacobs, C., and Narayanaswamy B.E. (2007). Broadscale Survey of the Habitats of Rockall Bank, and mapping of Annex I ‘Reef’ Habitat. Joint Nature Conservation Committee Report. No. 422, 165p.</w:t>
      </w:r>
    </w:p>
    <w:p w14:paraId="316AF08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Howell, K.L., Davies J.S. &amp; Narayanaswamy, B.E.(2010). Identifying deep-sea megafaunal epibenthic assemblages for use in habitat mapping and marine protected area network design. </w:t>
      </w:r>
      <w:r w:rsidRPr="0021277B">
        <w:rPr>
          <w:rFonts w:eastAsia="MS Mincho"/>
          <w:i/>
          <w:iCs/>
          <w:sz w:val="22"/>
          <w:szCs w:val="22"/>
        </w:rPr>
        <w:t xml:space="preserve">J. Mar. Biol. Ass. UK  </w:t>
      </w:r>
      <w:r w:rsidRPr="0021277B">
        <w:rPr>
          <w:rFonts w:eastAsia="MS Mincho"/>
          <w:bCs/>
          <w:sz w:val="22"/>
          <w:szCs w:val="22"/>
        </w:rPr>
        <w:t>90</w:t>
      </w:r>
      <w:r w:rsidRPr="0021277B">
        <w:rPr>
          <w:rFonts w:eastAsia="MS Mincho"/>
          <w:b/>
          <w:sz w:val="22"/>
          <w:szCs w:val="22"/>
        </w:rPr>
        <w:t>,</w:t>
      </w:r>
      <w:r w:rsidRPr="0021277B">
        <w:rPr>
          <w:rFonts w:eastAsia="MS Mincho"/>
          <w:sz w:val="22"/>
          <w:szCs w:val="22"/>
        </w:rPr>
        <w:t xml:space="preserve"> 33-68 .</w:t>
      </w:r>
    </w:p>
    <w:p w14:paraId="6E9AD724"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Howell, K.L., Davies, J.S., Hughes, D.J. &amp; Narayanaswamy, B.E. (2007)  Strategic Environmental Assessment / Special Area for Conservation Photographic Analysis Report. Department of Trade and Industry, Strategic Environmental Assessment Report, UK, p. 163. Unpublished report.</w:t>
      </w:r>
    </w:p>
    <w:p w14:paraId="453C6754" w14:textId="77777777" w:rsidR="006B3F46" w:rsidRPr="0021277B" w:rsidRDefault="006B3F46" w:rsidP="00907941">
      <w:pPr>
        <w:tabs>
          <w:tab w:val="left" w:pos="709"/>
        </w:tabs>
        <w:ind w:left="709" w:hanging="709"/>
        <w:jc w:val="both"/>
        <w:rPr>
          <w:sz w:val="22"/>
          <w:szCs w:val="22"/>
          <w:lang w:eastAsia="en-GB"/>
        </w:rPr>
      </w:pPr>
      <w:r w:rsidRPr="0021277B">
        <w:rPr>
          <w:sz w:val="22"/>
          <w:szCs w:val="22"/>
          <w:lang w:eastAsia="en-GB"/>
        </w:rPr>
        <w:t xml:space="preserve">Howell, K.L., Holt, R., Pulido Endrino, I. &amp; Stewart, H. (2011) When the species is also a habitat: comparing the predictively modelled distributions of </w:t>
      </w:r>
      <w:r w:rsidRPr="0021277B">
        <w:rPr>
          <w:i/>
          <w:iCs/>
          <w:sz w:val="22"/>
          <w:szCs w:val="22"/>
          <w:lang w:eastAsia="en-GB"/>
        </w:rPr>
        <w:t>Lophelia pertusa</w:t>
      </w:r>
      <w:r w:rsidRPr="0021277B">
        <w:rPr>
          <w:sz w:val="22"/>
          <w:szCs w:val="22"/>
          <w:lang w:eastAsia="en-GB"/>
        </w:rPr>
        <w:t xml:space="preserve"> and the reef habitat it forms. </w:t>
      </w:r>
      <w:r w:rsidRPr="0021277B">
        <w:rPr>
          <w:i/>
          <w:iCs/>
          <w:sz w:val="22"/>
          <w:szCs w:val="22"/>
          <w:lang w:eastAsia="en-GB"/>
        </w:rPr>
        <w:t>Biol. Cons.</w:t>
      </w:r>
    </w:p>
    <w:p w14:paraId="3954E70B" w14:textId="77777777" w:rsidR="006B3F46" w:rsidRPr="0021277B" w:rsidRDefault="006B3F46" w:rsidP="00907941">
      <w:pPr>
        <w:tabs>
          <w:tab w:val="left" w:pos="709"/>
        </w:tabs>
        <w:ind w:left="709" w:hanging="709"/>
        <w:jc w:val="both"/>
        <w:rPr>
          <w:sz w:val="22"/>
          <w:szCs w:val="22"/>
          <w:lang w:eastAsia="en-GB"/>
        </w:rPr>
      </w:pPr>
      <w:r w:rsidRPr="0021277B">
        <w:rPr>
          <w:sz w:val="22"/>
          <w:szCs w:val="22"/>
          <w:lang w:eastAsia="en-GB"/>
        </w:rPr>
        <w:t xml:space="preserve">Howell, K.L., Mowles S. &amp; Foggo, A. (2010) Mounting evidence: near-slope seamounts are faunally indistinct from an adjacent bank. </w:t>
      </w:r>
      <w:r w:rsidRPr="0021277B">
        <w:rPr>
          <w:i/>
          <w:iCs/>
          <w:sz w:val="22"/>
          <w:szCs w:val="22"/>
          <w:lang w:eastAsia="en-GB"/>
        </w:rPr>
        <w:t>Mar. Ecol</w:t>
      </w:r>
      <w:r w:rsidRPr="0021277B">
        <w:rPr>
          <w:b/>
          <w:i/>
          <w:iCs/>
          <w:sz w:val="22"/>
          <w:szCs w:val="22"/>
          <w:lang w:eastAsia="en-GB"/>
        </w:rPr>
        <w:t xml:space="preserve">. </w:t>
      </w:r>
      <w:r w:rsidRPr="0021277B">
        <w:rPr>
          <w:bCs/>
          <w:sz w:val="22"/>
          <w:szCs w:val="22"/>
          <w:lang w:eastAsia="en-GB"/>
        </w:rPr>
        <w:t>31</w:t>
      </w:r>
      <w:r w:rsidRPr="0021277B">
        <w:rPr>
          <w:sz w:val="22"/>
          <w:szCs w:val="22"/>
          <w:lang w:eastAsia="en-GB"/>
        </w:rPr>
        <w:t>, 52-62.</w:t>
      </w:r>
    </w:p>
    <w:p w14:paraId="09306F8F"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Howell, K.L., Rogers, A., Tyler, P.A. &amp; Billett, D.S.M. (2004).  Reproductive isolation among morphotypes of the cosmopolitan species </w:t>
      </w:r>
      <w:r w:rsidRPr="0021277B">
        <w:rPr>
          <w:rFonts w:eastAsia="MS Mincho"/>
          <w:i/>
          <w:iCs/>
          <w:sz w:val="22"/>
          <w:szCs w:val="22"/>
        </w:rPr>
        <w:t>Zoroaster fulgens</w:t>
      </w:r>
      <w:r w:rsidRPr="0021277B">
        <w:rPr>
          <w:rFonts w:eastAsia="MS Mincho"/>
          <w:sz w:val="22"/>
          <w:szCs w:val="22"/>
        </w:rPr>
        <w:t xml:space="preserve"> (Asteroidea:Echinodermata). </w:t>
      </w:r>
      <w:r w:rsidRPr="0021277B">
        <w:rPr>
          <w:rFonts w:eastAsia="MS Mincho"/>
          <w:i/>
          <w:iCs/>
          <w:sz w:val="22"/>
          <w:szCs w:val="22"/>
        </w:rPr>
        <w:t xml:space="preserve">Mar. Biol. </w:t>
      </w:r>
      <w:r w:rsidRPr="0021277B">
        <w:rPr>
          <w:rFonts w:eastAsia="MS Mincho"/>
          <w:bCs/>
          <w:sz w:val="22"/>
          <w:szCs w:val="22"/>
        </w:rPr>
        <w:t>144</w:t>
      </w:r>
      <w:r w:rsidRPr="0021277B">
        <w:rPr>
          <w:rFonts w:eastAsia="MS Mincho"/>
          <w:sz w:val="22"/>
          <w:szCs w:val="22"/>
        </w:rPr>
        <w:t>, 977-984.</w:t>
      </w:r>
    </w:p>
    <w:p w14:paraId="22347D45"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Howell K.L., Piechaud N., Downie A.L. &amp; Kenny A. (2016) The distribution of deep-sea sponge aggregations in the North Atlantic and implications for their effective spatial management' Deep-Sea Res Pt I, 115, 309-320.</w:t>
      </w:r>
    </w:p>
    <w:p w14:paraId="52B67C02"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Husebø, A., Nottestad, L., Fosså, J.H., Furevik, D.M. &amp; Jorgensen, S.B. (2002) Distribution and abundance of fish in deep-sea coral habitats. </w:t>
      </w:r>
      <w:r w:rsidRPr="0021277B">
        <w:rPr>
          <w:rFonts w:eastAsia="MS Mincho"/>
          <w:i/>
          <w:iCs/>
          <w:sz w:val="22"/>
          <w:szCs w:val="22"/>
        </w:rPr>
        <w:t xml:space="preserve">Hydrobiologia </w:t>
      </w:r>
      <w:r w:rsidRPr="0021277B">
        <w:rPr>
          <w:rFonts w:eastAsia="MS Mincho"/>
          <w:bCs/>
          <w:sz w:val="22"/>
          <w:szCs w:val="22"/>
        </w:rPr>
        <w:t>471</w:t>
      </w:r>
      <w:r w:rsidRPr="0021277B">
        <w:rPr>
          <w:rFonts w:eastAsia="MS Mincho"/>
          <w:b/>
          <w:bCs/>
          <w:sz w:val="22"/>
          <w:szCs w:val="22"/>
        </w:rPr>
        <w:t xml:space="preserve">,  </w:t>
      </w:r>
      <w:r w:rsidRPr="0021277B">
        <w:rPr>
          <w:rFonts w:eastAsia="MS Mincho"/>
          <w:sz w:val="22"/>
          <w:szCs w:val="22"/>
        </w:rPr>
        <w:t xml:space="preserve">91-99. </w:t>
      </w:r>
    </w:p>
    <w:p w14:paraId="3DC03E8E"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Huvenne, V.A.I. </w:t>
      </w:r>
      <w:r w:rsidRPr="0006066A">
        <w:rPr>
          <w:rFonts w:eastAsia="MS Mincho"/>
          <w:i/>
          <w:sz w:val="22"/>
          <w:szCs w:val="22"/>
        </w:rPr>
        <w:t>et al</w:t>
      </w:r>
      <w:r w:rsidRPr="0021277B">
        <w:rPr>
          <w:rFonts w:eastAsia="MS Mincho"/>
          <w:i/>
          <w:sz w:val="22"/>
          <w:szCs w:val="22"/>
        </w:rPr>
        <w:t>.</w:t>
      </w:r>
      <w:r w:rsidRPr="0021277B">
        <w:rPr>
          <w:rFonts w:eastAsia="MS Mincho"/>
          <w:sz w:val="22"/>
          <w:szCs w:val="22"/>
        </w:rPr>
        <w:t xml:space="preserve"> (2011) RRS James Cook Cruise 60, 09 May-12 Jun 2011. Benthic habitats and the impact of human activities in Rockall Trough, on Rockall Bank and in Hatton Basin. (National Oceanography Centre Cruise Report, No. 04) Southampton, UK: National Oceanography Centre, Southampton, 133pp.</w:t>
      </w:r>
    </w:p>
    <w:p w14:paraId="132CA1A9"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ICES (2007) Report of the Working Group on Deep-Water Ecology (WGDEC), 26–28 February 2007, ICES Cm 2007/aCE:01 Ref lRC. International Council for the Exploration of the Sea, Copenhagen, Denmark, 57pp. </w:t>
      </w:r>
    </w:p>
    <w:p w14:paraId="32427C3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ICES 2010. Report of the Working group on the Biology and Assessemnt of Deepwater Fisheries Resources. </w:t>
      </w:r>
      <w:hyperlink r:id="rId318" w:history="1">
        <w:r w:rsidRPr="0021277B">
          <w:rPr>
            <w:rFonts w:eastAsia="MS Mincho"/>
            <w:sz w:val="22"/>
            <w:szCs w:val="22"/>
            <w:u w:val="single"/>
          </w:rPr>
          <w:t>www.ices.dk</w:t>
        </w:r>
      </w:hyperlink>
      <w:r w:rsidRPr="0021277B">
        <w:rPr>
          <w:rFonts w:eastAsia="MS Mincho"/>
          <w:sz w:val="22"/>
          <w:szCs w:val="22"/>
        </w:rPr>
        <w:t xml:space="preserve"> </w:t>
      </w:r>
    </w:p>
    <w:p w14:paraId="3BA4A0E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Jackson, E.L., Davies, A.J., Howell, K.L., Kershaw, P.J. and Hall-Spencer, J.M., (2014). Future-proofing marine protected area networks for cold water coral reefs. </w:t>
      </w:r>
      <w:r w:rsidRPr="0021277B">
        <w:rPr>
          <w:rFonts w:eastAsia="MS Mincho"/>
          <w:i/>
          <w:sz w:val="22"/>
          <w:szCs w:val="22"/>
        </w:rPr>
        <w:t>ICES J Mar Sci</w:t>
      </w:r>
      <w:r w:rsidRPr="0021277B">
        <w:rPr>
          <w:rFonts w:eastAsia="MS Mincho"/>
          <w:sz w:val="22"/>
          <w:szCs w:val="22"/>
        </w:rPr>
        <w:t>, 71(9), pp.2621-2629.</w:t>
      </w:r>
    </w:p>
    <w:p w14:paraId="35BC891E"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Jacobs, C.L. (2006) An Appraisal of the Surface Geology and Sedimentary Processes within SEA7, the UK</w:t>
      </w:r>
    </w:p>
    <w:p w14:paraId="1CE51247"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ab/>
        <w:t>Continental Shelf. National Oceanography Centre Southampton Research and Consultancy Report, No. 18, 62pp.</w:t>
      </w:r>
    </w:p>
    <w:p w14:paraId="1AFAE11F"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Jacobs, C.L., Howell, K.L. (2007) Habitat investigations within the SEA4 and SEA7 area of the UK continental shelf. MV Franklin Cruise 0206, 03-23 Aug 2006. Research and Consultancy Report No. 24. National Oceanography Centre, Southampton. UK. 95pp.</w:t>
      </w:r>
    </w:p>
    <w:p w14:paraId="259B260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Jensen, A. &amp; Frederiksen, R. (1992) The fauna associated with the bank-forming deep-water coral </w:t>
      </w:r>
      <w:r w:rsidRPr="0021277B">
        <w:rPr>
          <w:rFonts w:eastAsia="MS Mincho"/>
          <w:i/>
          <w:iCs/>
          <w:sz w:val="22"/>
          <w:szCs w:val="22"/>
        </w:rPr>
        <w:t xml:space="preserve">Lophelia pertusa </w:t>
      </w:r>
      <w:r w:rsidRPr="0021277B">
        <w:rPr>
          <w:rFonts w:eastAsia="MS Mincho"/>
          <w:sz w:val="22"/>
          <w:szCs w:val="22"/>
        </w:rPr>
        <w:t xml:space="preserve">(Scleractinaria) on the Faroe Shelf.  </w:t>
      </w:r>
      <w:r w:rsidRPr="0021277B">
        <w:rPr>
          <w:rFonts w:eastAsia="MS Mincho"/>
          <w:i/>
          <w:iCs/>
          <w:sz w:val="22"/>
          <w:szCs w:val="22"/>
        </w:rPr>
        <w:t xml:space="preserve">Sarsia </w:t>
      </w:r>
      <w:r w:rsidRPr="0021277B">
        <w:rPr>
          <w:rFonts w:eastAsia="MS Mincho"/>
          <w:bCs/>
          <w:sz w:val="22"/>
          <w:szCs w:val="22"/>
        </w:rPr>
        <w:t>77,</w:t>
      </w:r>
      <w:r w:rsidRPr="0021277B">
        <w:rPr>
          <w:rFonts w:eastAsia="MS Mincho"/>
          <w:b/>
          <w:bCs/>
          <w:sz w:val="22"/>
          <w:szCs w:val="22"/>
        </w:rPr>
        <w:t xml:space="preserve"> </w:t>
      </w:r>
      <w:r w:rsidRPr="0021277B">
        <w:rPr>
          <w:rFonts w:eastAsia="MS Mincho"/>
          <w:sz w:val="22"/>
          <w:szCs w:val="22"/>
        </w:rPr>
        <w:t xml:space="preserve">53-69. </w:t>
      </w:r>
    </w:p>
    <w:p w14:paraId="4C0D8945"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Johnson, D.E., Barrio Froján, C., Neat, F., Van Oevelen, D., Stirling, D., Gubbins, M.J. and Roberts, M., (2019). Rockall and Hatton: resolving a super wicked marine governance problem in the high seas of the northeast Atlantic Ocean. </w:t>
      </w:r>
      <w:r w:rsidRPr="0021277B">
        <w:rPr>
          <w:rFonts w:eastAsia="MS Mincho"/>
          <w:i/>
          <w:sz w:val="22"/>
          <w:szCs w:val="22"/>
        </w:rPr>
        <w:t>Front Mar Sci</w:t>
      </w:r>
      <w:r w:rsidRPr="0021277B">
        <w:rPr>
          <w:rFonts w:eastAsia="MS Mincho"/>
          <w:sz w:val="22"/>
          <w:szCs w:val="22"/>
        </w:rPr>
        <w:t>, 6, p.69.</w:t>
      </w:r>
    </w:p>
    <w:p w14:paraId="3E57E98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Kavanagh, A.S., Hunt, W., Richardson, N. &amp; Jessopp, M. (2017). Cetaceans in Irish offshore waters: Final report of the SFI-KOSMOS Project 2015-2017. MaREI Centre for Marine and Renewable Energy, University College Cork. 66pp.</w:t>
      </w:r>
    </w:p>
    <w:p w14:paraId="4DA74C4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Kenyon, N.H., Akhmetzhanov, A.M., Wheeler, A.J., van Weering, T.C.E., de Haas, H. &amp; Ivanov, M.K. (2003) Giant carbonate mud mounds in the southern Rockall Trough. Marine </w:t>
      </w:r>
      <w:r w:rsidRPr="0021277B">
        <w:rPr>
          <w:rFonts w:eastAsia="MS Mincho"/>
          <w:i/>
          <w:iCs/>
          <w:sz w:val="22"/>
          <w:szCs w:val="22"/>
        </w:rPr>
        <w:t xml:space="preserve">Geology </w:t>
      </w:r>
      <w:r w:rsidRPr="0021277B">
        <w:rPr>
          <w:rFonts w:eastAsia="MS Mincho"/>
          <w:bCs/>
          <w:sz w:val="22"/>
          <w:szCs w:val="22"/>
        </w:rPr>
        <w:t>195,</w:t>
      </w:r>
      <w:r w:rsidRPr="0021277B">
        <w:rPr>
          <w:rFonts w:eastAsia="MS Mincho"/>
          <w:b/>
          <w:bCs/>
          <w:sz w:val="22"/>
          <w:szCs w:val="22"/>
        </w:rPr>
        <w:t xml:space="preserve"> </w:t>
      </w:r>
      <w:r w:rsidRPr="0021277B">
        <w:rPr>
          <w:rFonts w:eastAsia="MS Mincho"/>
          <w:sz w:val="22"/>
          <w:szCs w:val="22"/>
        </w:rPr>
        <w:t>5-30.</w:t>
      </w:r>
    </w:p>
    <w:p w14:paraId="2626A813" w14:textId="77777777" w:rsidR="006B3F46" w:rsidRPr="0021277B" w:rsidRDefault="006B3F46" w:rsidP="00907941">
      <w:pPr>
        <w:tabs>
          <w:tab w:val="left" w:pos="709"/>
          <w:tab w:val="left" w:pos="2496"/>
          <w:tab w:val="left" w:pos="4608"/>
        </w:tabs>
        <w:ind w:left="709" w:hanging="709"/>
        <w:jc w:val="both"/>
        <w:rPr>
          <w:rFonts w:eastAsia="MS Mincho"/>
          <w:sz w:val="22"/>
          <w:szCs w:val="22"/>
        </w:rPr>
      </w:pPr>
      <w:r w:rsidRPr="0021277B">
        <w:rPr>
          <w:rFonts w:eastAsia="MS Mincho"/>
          <w:sz w:val="22"/>
          <w:szCs w:val="22"/>
        </w:rPr>
        <w:t xml:space="preserve">Lampitt, R.S., Billett, D.S.M. &amp; Rice, A.L. (1986) The biomass of the invertebrate megabenthos from 500 to 4100m in the North East Atlantic. </w:t>
      </w:r>
      <w:r w:rsidRPr="0021277B">
        <w:rPr>
          <w:rFonts w:eastAsia="MS Mincho"/>
          <w:i/>
          <w:sz w:val="22"/>
          <w:szCs w:val="22"/>
        </w:rPr>
        <w:t xml:space="preserve">Mar. Biol. </w:t>
      </w:r>
      <w:r w:rsidRPr="0021277B">
        <w:rPr>
          <w:rFonts w:eastAsia="MS Mincho"/>
          <w:sz w:val="22"/>
          <w:szCs w:val="22"/>
        </w:rPr>
        <w:t>93, 69-81.</w:t>
      </w:r>
    </w:p>
    <w:p w14:paraId="340A97AD"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Large, P. A., C. Hammer, O. A. Bergstad, J. D. M. Gordon, and P. Lorance. 2003. Deep-water Fisheries of the Northeast Atlantic: II. Assessment and Management Approaches. </w:t>
      </w:r>
      <w:r w:rsidRPr="0021277B">
        <w:rPr>
          <w:rFonts w:eastAsia="MS Mincho"/>
          <w:i/>
          <w:iCs/>
          <w:sz w:val="22"/>
          <w:szCs w:val="22"/>
        </w:rPr>
        <w:t>J. Northw. Atl. Fish. Sci.</w:t>
      </w:r>
      <w:r w:rsidRPr="0021277B">
        <w:rPr>
          <w:rFonts w:eastAsia="MS Mincho"/>
          <w:sz w:val="22"/>
          <w:szCs w:val="22"/>
        </w:rPr>
        <w:t xml:space="preserve"> 31: 151-163.</w:t>
      </w:r>
    </w:p>
    <w:p w14:paraId="15699939"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Le Goff-Vitry &amp; M.C. &amp; Rogers, A.D. (2005) Molecular ecology of </w:t>
      </w:r>
      <w:r w:rsidRPr="0021277B">
        <w:rPr>
          <w:rFonts w:eastAsia="MS Mincho"/>
          <w:i/>
          <w:iCs/>
          <w:sz w:val="22"/>
          <w:szCs w:val="22"/>
        </w:rPr>
        <w:t xml:space="preserve">Lophelia pertusa </w:t>
      </w:r>
      <w:r w:rsidRPr="0021277B">
        <w:rPr>
          <w:rFonts w:eastAsia="MS Mincho"/>
          <w:sz w:val="22"/>
          <w:szCs w:val="22"/>
        </w:rPr>
        <w:t xml:space="preserve">in the NE Atlantic. In: Freiwald, A., Roberts, J.M. (Eds.). </w:t>
      </w:r>
      <w:r w:rsidRPr="0021277B">
        <w:rPr>
          <w:rFonts w:eastAsia="MS Mincho"/>
          <w:i/>
          <w:sz w:val="22"/>
          <w:szCs w:val="22"/>
        </w:rPr>
        <w:t xml:space="preserve">Cold-water Corals and Ecosystems. </w:t>
      </w:r>
      <w:r w:rsidRPr="0021277B">
        <w:rPr>
          <w:rFonts w:eastAsia="MS Mincho"/>
          <w:sz w:val="22"/>
          <w:szCs w:val="22"/>
        </w:rPr>
        <w:t>Springer-Verlag, Berlin Heidelberg, pp. 653-662.</w:t>
      </w:r>
    </w:p>
    <w:p w14:paraId="0F27DD3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Le Guilloux, E., Hall-Spencer, J.M., Söffker, M.K. &amp; Olu-Le Roy, K. (2010) Association between the squat lobster </w:t>
      </w:r>
      <w:r w:rsidRPr="0021277B">
        <w:rPr>
          <w:rFonts w:eastAsia="MS Mincho"/>
          <w:i/>
          <w:sz w:val="22"/>
          <w:szCs w:val="22"/>
        </w:rPr>
        <w:t>Gastroptychus formosus</w:t>
      </w:r>
      <w:r w:rsidRPr="0021277B">
        <w:rPr>
          <w:rFonts w:eastAsia="MS Mincho"/>
          <w:sz w:val="22"/>
          <w:szCs w:val="22"/>
        </w:rPr>
        <w:t xml:space="preserve"> (Filhol, 1884) and cold-water corals in the North Atlantic. </w:t>
      </w:r>
      <w:r w:rsidRPr="0021277B">
        <w:rPr>
          <w:rFonts w:eastAsia="MS Mincho"/>
          <w:i/>
          <w:sz w:val="22"/>
          <w:szCs w:val="22"/>
        </w:rPr>
        <w:t xml:space="preserve">J. Mar Biol. Ass. UK </w:t>
      </w:r>
      <w:r w:rsidRPr="0021277B">
        <w:rPr>
          <w:rFonts w:eastAsia="MS Mincho"/>
          <w:sz w:val="22"/>
          <w:szCs w:val="22"/>
        </w:rPr>
        <w:t xml:space="preserve"> 90, 1363-1369.</w:t>
      </w:r>
    </w:p>
    <w:p w14:paraId="075EB26C"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MacLachlan SE, Elliot GM, Parson LM (2008) Investigations of the bottom current sculpted margin of Hatton bank, NE Atlantic. Mar. Geol. 253:170–184</w:t>
      </w:r>
    </w:p>
    <w:p w14:paraId="56EF7D2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Mackey, M., Ó Cadhla, O., Kelly, T.C., Aguilar de Soto, N. &amp; Connolly, N. (2004). Cetaceans and Seabirds of Ireland’s Atlantic Margin. Volume I – Seabird distribution, density &amp; abundance. Report on research conducted under the 1997 Irish Petroleum Infrastructure Programme (PIP): Rockall Studies Group (RSG) projects 98/6, 99/38 and 00/13.</w:t>
      </w:r>
    </w:p>
    <w:p w14:paraId="3CA00EB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Maldonado, M., Carmona, M. C., Velásquez, Z., Puig, A., Cruzado, A., López, A., </w:t>
      </w:r>
      <w:r w:rsidRPr="0006066A">
        <w:rPr>
          <w:rFonts w:eastAsia="MS Mincho"/>
          <w:i/>
          <w:sz w:val="22"/>
          <w:szCs w:val="22"/>
        </w:rPr>
        <w:t>et al</w:t>
      </w:r>
      <w:r w:rsidRPr="0021277B">
        <w:rPr>
          <w:rFonts w:eastAsia="MS Mincho"/>
          <w:sz w:val="22"/>
          <w:szCs w:val="22"/>
        </w:rPr>
        <w:t xml:space="preserve">. (2005). Siliceous sponges as a silicon sink: an overlooked aspect of benthopelagic coupling in the marine silicon cycle. </w:t>
      </w:r>
      <w:r w:rsidRPr="0021277B">
        <w:rPr>
          <w:rFonts w:eastAsia="MS Mincho"/>
          <w:i/>
          <w:sz w:val="22"/>
          <w:szCs w:val="22"/>
        </w:rPr>
        <w:t>Limnol. Oceanogr</w:t>
      </w:r>
      <w:r w:rsidRPr="0021277B">
        <w:rPr>
          <w:rFonts w:eastAsia="MS Mincho"/>
          <w:sz w:val="22"/>
          <w:szCs w:val="22"/>
        </w:rPr>
        <w:t>. 50, 799–809.</w:t>
      </w:r>
    </w:p>
    <w:p w14:paraId="63605C83"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Maldonado, M., Aguilar,R., Bannister,R.J., Bell,D., Conway,K.W., Dayton,P.K., Díaz, C., Gutt,J., Kenchington,E.L.R., Leys,D. and Pomponi,S.A., (2016). Sponge grounds as key marine habitats: a synthetic review of types, structure, functional roles, and conservation concerns. In: Marine Animal Forests. Springer, Berlin._24–1.</w:t>
      </w:r>
    </w:p>
    <w:p w14:paraId="02CA00FC"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Mauchline, J., Ellett, D.J., Gage, J.D., Gordon, J.D.M. &amp; Jones, E.J.W. (1986) A bibliography of the Rockall Trough. Conference Proceedings Symposium on the Oceanography of the Rockall Channel, Edinburgh (UK), 27-29 Mar 1985.</w:t>
      </w:r>
    </w:p>
    <w:p w14:paraId="1A946C89"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Menot, L., Sibuet, M., Carney, R.S., Levin, L.A., Rowe, G.T., Billett, D.S.M., Poore, G., Kitazato, H., Vanreusel, A., Galéron, J., Lavrado, H.P., Sellanes, J., Ingole, B. &amp; Krylova, E. (2010) New Perceptions of Continental Margin Biodiversity. In: McIntyre, A., (Ed). Chapter 5. </w:t>
      </w:r>
      <w:r w:rsidRPr="0021277B">
        <w:rPr>
          <w:rFonts w:eastAsia="MS Mincho"/>
          <w:i/>
          <w:sz w:val="22"/>
          <w:szCs w:val="22"/>
        </w:rPr>
        <w:t>Life in the World’s Oceans: Diversity, Distribution and Abundance.</w:t>
      </w:r>
      <w:r w:rsidRPr="0021277B">
        <w:rPr>
          <w:rFonts w:eastAsia="MS Mincho"/>
          <w:sz w:val="22"/>
          <w:szCs w:val="22"/>
        </w:rPr>
        <w:t xml:space="preserve"> Wiley-Blackwell. 79-101.</w:t>
      </w:r>
    </w:p>
    <w:p w14:paraId="4B1484F6"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Merrett, N.R., Gordon, J.D.M., Stehmann, M. &amp; Haedrich, R.L.  (1991) Deep demersal fish assemblage structure in the Porcupine Seabight (eastern North Atlantic): slope sampling by three different trawls compared. </w:t>
      </w:r>
      <w:r w:rsidRPr="0021277B">
        <w:rPr>
          <w:rFonts w:eastAsia="MS Mincho"/>
          <w:i/>
          <w:sz w:val="22"/>
          <w:szCs w:val="22"/>
        </w:rPr>
        <w:t xml:space="preserve">J. Mar. Biol, Ass. UK </w:t>
      </w:r>
      <w:r w:rsidRPr="0021277B">
        <w:rPr>
          <w:rFonts w:eastAsia="MS Mincho"/>
          <w:sz w:val="22"/>
          <w:szCs w:val="22"/>
        </w:rPr>
        <w:t>71, 329-358.</w:t>
      </w:r>
    </w:p>
    <w:p w14:paraId="6D3D9CE4" w14:textId="77777777" w:rsidR="006B3F46" w:rsidRPr="0021277B" w:rsidRDefault="006B3F46" w:rsidP="00907941">
      <w:pPr>
        <w:tabs>
          <w:tab w:val="left" w:pos="709"/>
        </w:tabs>
        <w:ind w:left="709" w:hanging="709"/>
        <w:jc w:val="both"/>
        <w:rPr>
          <w:rFonts w:eastAsia="MS Mincho"/>
          <w:bCs/>
          <w:sz w:val="22"/>
          <w:szCs w:val="22"/>
        </w:rPr>
      </w:pPr>
      <w:r w:rsidRPr="0021277B">
        <w:rPr>
          <w:rFonts w:eastAsia="MS Mincho"/>
          <w:sz w:val="22"/>
          <w:szCs w:val="22"/>
        </w:rPr>
        <w:t xml:space="preserve">Mienis, F., de Stigter, H.C., de Haas, H. &amp; van Weering, T.C.E. (2009) </w:t>
      </w:r>
      <w:r w:rsidRPr="0021277B">
        <w:rPr>
          <w:rFonts w:eastAsia="MS Mincho"/>
          <w:bCs/>
          <w:sz w:val="22"/>
          <w:szCs w:val="22"/>
        </w:rPr>
        <w:t xml:space="preserve">Near-bed particle deposition and resuspension in a cold-water coral mound area at the Southwest Rockall Trough margin, NE Atlantic. </w:t>
      </w:r>
      <w:r w:rsidRPr="0021277B">
        <w:rPr>
          <w:rFonts w:eastAsia="MS Mincho"/>
          <w:bCs/>
          <w:i/>
          <w:sz w:val="22"/>
          <w:szCs w:val="22"/>
        </w:rPr>
        <w:t>Deep-Sea Res. I</w:t>
      </w:r>
      <w:r w:rsidRPr="0021277B">
        <w:rPr>
          <w:rFonts w:eastAsia="MS Mincho"/>
          <w:bCs/>
          <w:sz w:val="22"/>
          <w:szCs w:val="22"/>
        </w:rPr>
        <w:t xml:space="preserve"> 56, 1026-1038.</w:t>
      </w:r>
    </w:p>
    <w:p w14:paraId="6FB8DAA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Morrison, C., Ross, S., Nizinski, M., Brooke, S., Järnegren, J., Waller, R., Johnson, R. &amp; King, T. (2011) Genetic discontinuity among regional populations of </w:t>
      </w:r>
      <w:r w:rsidRPr="0021277B">
        <w:rPr>
          <w:rFonts w:eastAsia="MS Mincho"/>
          <w:i/>
          <w:sz w:val="22"/>
          <w:szCs w:val="22"/>
        </w:rPr>
        <w:t>Lophelia pertusa</w:t>
      </w:r>
      <w:r w:rsidRPr="0021277B">
        <w:rPr>
          <w:rFonts w:eastAsia="MS Mincho"/>
          <w:sz w:val="22"/>
          <w:szCs w:val="22"/>
        </w:rPr>
        <w:t xml:space="preserve"> in the North Atlantic Ocean. </w:t>
      </w:r>
      <w:r w:rsidRPr="0021277B">
        <w:rPr>
          <w:rFonts w:eastAsia="MS Mincho"/>
          <w:i/>
          <w:sz w:val="22"/>
          <w:szCs w:val="22"/>
        </w:rPr>
        <w:t>Cons. Genetics</w:t>
      </w:r>
      <w:r w:rsidRPr="0021277B">
        <w:rPr>
          <w:rFonts w:eastAsia="MS Mincho"/>
          <w:sz w:val="22"/>
          <w:szCs w:val="22"/>
        </w:rPr>
        <w:t xml:space="preserve"> 12, 713-729</w:t>
      </w:r>
    </w:p>
    <w:p w14:paraId="21A81973"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Mortensen, P.B., Hovland, M., Brattegard, T. &amp; Farestveit, R. (1995) Deep-water bioherms of the scleractinian coral </w:t>
      </w:r>
      <w:r w:rsidRPr="0021277B">
        <w:rPr>
          <w:rFonts w:eastAsia="MS Mincho"/>
          <w:i/>
          <w:iCs/>
          <w:sz w:val="22"/>
          <w:szCs w:val="22"/>
        </w:rPr>
        <w:t xml:space="preserve">Lophelia pertusa </w:t>
      </w:r>
      <w:r w:rsidRPr="0021277B">
        <w:rPr>
          <w:rFonts w:eastAsia="MS Mincho"/>
          <w:sz w:val="22"/>
          <w:szCs w:val="22"/>
        </w:rPr>
        <w:t xml:space="preserve">(L) at 64 degrees N on the Norwegian Shelf – Structure and associated megafauna. </w:t>
      </w:r>
      <w:r w:rsidRPr="0021277B">
        <w:rPr>
          <w:rFonts w:eastAsia="MS Mincho"/>
          <w:i/>
          <w:iCs/>
          <w:sz w:val="22"/>
          <w:szCs w:val="22"/>
        </w:rPr>
        <w:t xml:space="preserve">Sarsia </w:t>
      </w:r>
      <w:r w:rsidRPr="0021277B">
        <w:rPr>
          <w:rFonts w:eastAsia="MS Mincho"/>
          <w:bCs/>
          <w:sz w:val="22"/>
          <w:szCs w:val="22"/>
        </w:rPr>
        <w:t>80,</w:t>
      </w:r>
      <w:r w:rsidRPr="0021277B">
        <w:rPr>
          <w:rFonts w:eastAsia="MS Mincho"/>
          <w:b/>
          <w:bCs/>
          <w:sz w:val="22"/>
          <w:szCs w:val="22"/>
        </w:rPr>
        <w:t xml:space="preserve"> </w:t>
      </w:r>
      <w:r w:rsidRPr="0021277B">
        <w:rPr>
          <w:rFonts w:eastAsia="MS Mincho"/>
          <w:sz w:val="22"/>
          <w:szCs w:val="22"/>
        </w:rPr>
        <w:t>145-158.</w:t>
      </w:r>
    </w:p>
    <w:p w14:paraId="48E504D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Myers, A.A. &amp; Hall-Spencer, J.M. (2004) A new species of amphipod crustacean, </w:t>
      </w:r>
      <w:r w:rsidRPr="0021277B">
        <w:rPr>
          <w:rFonts w:eastAsia="MS Mincho"/>
          <w:i/>
          <w:iCs/>
          <w:sz w:val="22"/>
          <w:szCs w:val="22"/>
        </w:rPr>
        <w:t>Pleusymtes comitari</w:t>
      </w:r>
      <w:r w:rsidRPr="0021277B">
        <w:rPr>
          <w:rFonts w:eastAsia="MS Mincho"/>
          <w:sz w:val="22"/>
          <w:szCs w:val="22"/>
        </w:rPr>
        <w:t xml:space="preserve"> sp. nov., associated with </w:t>
      </w:r>
      <w:r w:rsidRPr="0021277B">
        <w:rPr>
          <w:rFonts w:eastAsia="MS Mincho"/>
          <w:i/>
          <w:iCs/>
          <w:sz w:val="22"/>
          <w:szCs w:val="22"/>
        </w:rPr>
        <w:t>Acanthogorgia</w:t>
      </w:r>
      <w:r w:rsidRPr="0021277B">
        <w:rPr>
          <w:rFonts w:eastAsia="MS Mincho"/>
          <w:sz w:val="22"/>
          <w:szCs w:val="22"/>
        </w:rPr>
        <w:t xml:space="preserve"> sp. gorgonians on deep-water coral reefs off Ireland. </w:t>
      </w:r>
      <w:r w:rsidRPr="0021277B">
        <w:rPr>
          <w:rFonts w:eastAsia="MS Mincho"/>
          <w:i/>
          <w:sz w:val="22"/>
          <w:szCs w:val="22"/>
        </w:rPr>
        <w:t xml:space="preserve">J. Mar. Biol. Ass. UK </w:t>
      </w:r>
      <w:r w:rsidRPr="0021277B">
        <w:rPr>
          <w:rFonts w:eastAsia="MS Mincho"/>
          <w:sz w:val="22"/>
          <w:szCs w:val="22"/>
        </w:rPr>
        <w:t xml:space="preserve"> 84, 1029-1032. </w:t>
      </w:r>
    </w:p>
    <w:p w14:paraId="14F80241"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Narayanaswamy, B.E., Howell, K.L., Hughes, D.J., Davies, J.S., Roberts, J.M. &amp; Black, K.D. (2006) Strategic Environmental Assessment Area 7 Photographic Analysis Report. 13. Department of Trade and Industry, Strategic Environmental Assessment Report, UK, p. 179. Unpublished report.</w:t>
      </w:r>
    </w:p>
    <w:p w14:paraId="097B300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Neat, F.C. &amp; Burns, F. 2010. Stable abundance, but changing size structure in grenadier fishes (Macrouridae) over a decade (1998-2008) in which deepwater fisheries became regulated. Deep Sea Res. I. 57, 434-440.</w:t>
      </w:r>
    </w:p>
    <w:p w14:paraId="55EE9A7E"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Neat, F. &amp; Campbell, N. 2010. Demersal fish diversity of the isolated Rockall plateau compared with the adjacent west coast shelf of Scotland. Biol. J. Linn. Soc. Lond. 104, 138-147.</w:t>
      </w:r>
    </w:p>
    <w:p w14:paraId="3DA9A9B7"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Neat, F., Jamieson, A., Stewart, H., Narayanaswamy, B., Collie, N., Stewart, M., </w:t>
      </w:r>
      <w:r w:rsidRPr="0006066A">
        <w:rPr>
          <w:rFonts w:eastAsia="MS Mincho"/>
          <w:i/>
          <w:sz w:val="22"/>
          <w:szCs w:val="22"/>
        </w:rPr>
        <w:t>et al</w:t>
      </w:r>
      <w:r w:rsidRPr="0021277B">
        <w:rPr>
          <w:rFonts w:eastAsia="MS Mincho"/>
          <w:sz w:val="22"/>
          <w:szCs w:val="22"/>
        </w:rPr>
        <w:t>. (2018). Visual evidence of reduced seafloor conditions and indications of a cold-seep ecosystem from the Hatton–Rockall basin (NE Atlantic). J. Marine Biol. Assoc. 1–7.</w:t>
      </w:r>
    </w:p>
    <w:p w14:paraId="30E0B86F"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Nolan, C., Connolly, P., Kelly, E., Dransfeld, L., Slattery, N., Paramor, O.A.L., &amp; Frid, C.L.J. (2011): MEFEPO North Western Waters Atlas 2nd Edition. Marine Institute. ISBN 978-1-902895-49-9.</w:t>
      </w:r>
    </w:p>
    <w:p w14:paraId="381043D4"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Ó Cadhla, O., Mackey, M., Aguilar de Soto, N., Rogan, E. &amp; Connolly, N. (2004). Cetaceans and Seabirds of Ireland’s Atlantic Margin. Volume II – Cetacean distribution &amp; abundance. Report on research conducted under the 1997 Irish Petroleum Infrastructure Programme (PIP): Rockall Studies Group (RSG) projects 98/6, 99/38 and 00/13.</w:t>
      </w:r>
    </w:p>
    <w:p w14:paraId="6306FD1F"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Oliver, P. G., and Drewery, J. (2014). New species of chemosymbiotic clams (Bivalvia: Vesicomyidae and Thyasiridae) from a putative ‘seep’ in the Hatton–Rockall Basin, north-east Atlantic. J. Marine Biol. Assoc. UK. 94, 389–403.</w:t>
      </w:r>
    </w:p>
    <w:p w14:paraId="1E2977B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Penny, A.J., Parker, S.J. &amp; Brown, J.H. (2009) Protection measures implemented by New Zealand for vulnerable marine ecosystems in the South Pacific Ocean. </w:t>
      </w:r>
      <w:r w:rsidRPr="0021277B">
        <w:rPr>
          <w:rFonts w:eastAsia="MS Mincho"/>
          <w:i/>
          <w:sz w:val="22"/>
          <w:szCs w:val="22"/>
        </w:rPr>
        <w:t>Mar Ecol. Prog. Ser.</w:t>
      </w:r>
      <w:r w:rsidRPr="0021277B">
        <w:rPr>
          <w:rFonts w:eastAsia="MS Mincho"/>
          <w:sz w:val="22"/>
          <w:szCs w:val="22"/>
        </w:rPr>
        <w:t xml:space="preserve"> 397, 341-354.</w:t>
      </w:r>
    </w:p>
    <w:p w14:paraId="37E16438"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Pham, C.K., Ramirez-Llodra, E., Alt, C.H., Amaro, T., Bergmann, M., Canals, M., Davies, J., Duineveld, G., Galgani, F., Howell, K.L. and Huvenne, V.A. (2014) Marine litter distribution and density in European seas, from the shelves to deep basins. </w:t>
      </w:r>
      <w:r w:rsidRPr="0021277B">
        <w:rPr>
          <w:rFonts w:eastAsia="MS Mincho"/>
          <w:i/>
          <w:sz w:val="22"/>
          <w:szCs w:val="22"/>
        </w:rPr>
        <w:t>PloS one</w:t>
      </w:r>
      <w:r w:rsidRPr="0021277B">
        <w:rPr>
          <w:rFonts w:eastAsia="MS Mincho"/>
          <w:sz w:val="22"/>
          <w:szCs w:val="22"/>
        </w:rPr>
        <w:t>, 9(4), p.e95839.</w:t>
      </w:r>
    </w:p>
    <w:p w14:paraId="5CCE848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Pollock, C &amp; Barton, C. 2006. Offshore seabirds in the SEA 7 area. A report to the UK Department of Trade and Industry.</w:t>
      </w:r>
    </w:p>
    <w:p w14:paraId="79BFBE48"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Reid, J.B., Evans, P.G.H. &amp; Northridge, S.P. (2003). Atlas of Cetacean Distribution in North-west European Waters. Joint Nature Conservation Committee, Peterborough. 76pp.</w:t>
      </w:r>
    </w:p>
    <w:p w14:paraId="4BF3BEAD"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Rice, A.L., Billett, D.S.M., Thurston, M.H. and Lampitt, R.S. (1991).  The Institute of Oceanographic Sciences Biology Programme in the Porcupine Seabight: background and general introduction. </w:t>
      </w:r>
      <w:r w:rsidRPr="0021277B">
        <w:rPr>
          <w:rFonts w:eastAsia="MS Mincho"/>
          <w:i/>
          <w:sz w:val="22"/>
          <w:szCs w:val="22"/>
        </w:rPr>
        <w:t>J. Mar. Biol. Ass. U.K.</w:t>
      </w:r>
      <w:r w:rsidRPr="0021277B">
        <w:rPr>
          <w:rFonts w:eastAsia="MS Mincho"/>
          <w:sz w:val="22"/>
          <w:szCs w:val="22"/>
        </w:rPr>
        <w:t>, 71, 281-310.</w:t>
      </w:r>
    </w:p>
    <w:p w14:paraId="60E6C9B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Piechaud, N., Downie, A., Stewart, H.A. &amp; Howell, K.L. (2015) The impact of modelling method selection on predicted extent and distribution of deep-sea benthic assemblages. </w:t>
      </w:r>
      <w:r w:rsidRPr="0021277B">
        <w:rPr>
          <w:rFonts w:eastAsia="MS Mincho"/>
          <w:i/>
          <w:sz w:val="22"/>
          <w:szCs w:val="22"/>
        </w:rPr>
        <w:t>Earth Env Sci T R So</w:t>
      </w:r>
      <w:r w:rsidRPr="0021277B">
        <w:rPr>
          <w:rFonts w:eastAsia="MS Mincho"/>
          <w:sz w:val="22"/>
          <w:szCs w:val="22"/>
        </w:rPr>
        <w:t xml:space="preserve"> 105, (4) 251-261</w:t>
      </w:r>
    </w:p>
    <w:p w14:paraId="10D452C9"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Roark, E.B., Guilderson, T.P., Dunbar, R.B. and Ingram, B.L., (2006). Radiocarbon-based ages and growth rates of Hawaiian deep-sea corals. </w:t>
      </w:r>
      <w:r w:rsidRPr="0021277B">
        <w:rPr>
          <w:rFonts w:eastAsia="MS Mincho"/>
          <w:i/>
          <w:sz w:val="22"/>
          <w:szCs w:val="22"/>
        </w:rPr>
        <w:t>Mar Ecol Prog Ser</w:t>
      </w:r>
      <w:r w:rsidRPr="0021277B">
        <w:rPr>
          <w:rFonts w:eastAsia="MS Mincho"/>
          <w:sz w:val="22"/>
          <w:szCs w:val="22"/>
        </w:rPr>
        <w:t>, 327, pp.1-14.</w:t>
      </w:r>
    </w:p>
    <w:p w14:paraId="3C78A76F"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Roberts, J.M., Harvey, S.M., Lamont, P.A., Gage, J.D. &amp;  Humphery, J.D. (2000) Seabed photography, environmental assessment and evidence for deep-water trawling on the continental margin west of the Hebrides. </w:t>
      </w:r>
      <w:r w:rsidRPr="0021277B">
        <w:rPr>
          <w:rFonts w:eastAsia="MS Mincho"/>
          <w:i/>
          <w:sz w:val="22"/>
          <w:szCs w:val="22"/>
        </w:rPr>
        <w:t>Hydrobiologia</w:t>
      </w:r>
      <w:r w:rsidRPr="0021277B">
        <w:rPr>
          <w:rFonts w:eastAsia="MS Mincho"/>
          <w:sz w:val="22"/>
          <w:szCs w:val="22"/>
        </w:rPr>
        <w:t xml:space="preserve"> 441: 173-183</w:t>
      </w:r>
    </w:p>
    <w:p w14:paraId="7BBC32EC"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Roberts, J.M. and shipboard party (2013) Changing Oceans Expedition 2012. RRS </w:t>
      </w:r>
      <w:r w:rsidRPr="0021277B">
        <w:rPr>
          <w:rFonts w:eastAsia="MS Mincho"/>
          <w:i/>
          <w:sz w:val="22"/>
          <w:szCs w:val="22"/>
        </w:rPr>
        <w:t>James Cook</w:t>
      </w:r>
      <w:r w:rsidRPr="0021277B">
        <w:rPr>
          <w:rFonts w:eastAsia="MS Mincho"/>
          <w:sz w:val="22"/>
          <w:szCs w:val="22"/>
        </w:rPr>
        <w:t xml:space="preserve"> cruise 073 Cruise Report. Heriot-Watt University. 224 pp.</w:t>
      </w:r>
    </w:p>
    <w:p w14:paraId="7DFA939F"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Roberts, J.M., Henry, L-A., Long, D. &amp; Hartley, J.P. (2008) Cold-water coral reef frameworks, megafaunal communities and evidence for coral carbonate mounds on the Hatton Bank, north east Atlantic. </w:t>
      </w:r>
      <w:r w:rsidRPr="0021277B">
        <w:rPr>
          <w:rFonts w:eastAsia="MS Mincho"/>
          <w:i/>
          <w:sz w:val="22"/>
          <w:szCs w:val="22"/>
        </w:rPr>
        <w:t>Facies</w:t>
      </w:r>
      <w:r w:rsidRPr="0021277B">
        <w:rPr>
          <w:rFonts w:eastAsia="MS Mincho"/>
          <w:sz w:val="22"/>
          <w:szCs w:val="22"/>
        </w:rPr>
        <w:t xml:space="preserve"> 54: 297-316</w:t>
      </w:r>
    </w:p>
    <w:p w14:paraId="10FE3FC3"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Roberts, J.M., Long, D., Wilson, J.B., Mortensen, P.B. &amp; Gage, J.D. (2003) The cold-water coral </w:t>
      </w:r>
      <w:r w:rsidRPr="0021277B">
        <w:rPr>
          <w:rFonts w:eastAsia="MS Mincho"/>
          <w:i/>
          <w:iCs/>
          <w:sz w:val="22"/>
          <w:szCs w:val="22"/>
        </w:rPr>
        <w:t xml:space="preserve">Lophelia pertusa </w:t>
      </w:r>
      <w:r w:rsidRPr="0021277B">
        <w:rPr>
          <w:rFonts w:eastAsia="MS Mincho"/>
          <w:sz w:val="22"/>
          <w:szCs w:val="22"/>
        </w:rPr>
        <w:t xml:space="preserve">(Scleractinia) and enigmatic seabed mounds along the north-east Atlantic margin: are they related? </w:t>
      </w:r>
      <w:r w:rsidRPr="0021277B">
        <w:rPr>
          <w:rFonts w:eastAsia="MS Mincho"/>
          <w:i/>
          <w:iCs/>
          <w:sz w:val="22"/>
          <w:szCs w:val="22"/>
        </w:rPr>
        <w:t xml:space="preserve">Mar. Poll. Bull. </w:t>
      </w:r>
      <w:r w:rsidRPr="0021277B">
        <w:rPr>
          <w:rFonts w:eastAsia="MS Mincho"/>
          <w:bCs/>
          <w:sz w:val="22"/>
          <w:szCs w:val="22"/>
        </w:rPr>
        <w:t xml:space="preserve">46, </w:t>
      </w:r>
      <w:r w:rsidRPr="0021277B">
        <w:rPr>
          <w:rFonts w:eastAsia="MS Mincho"/>
          <w:sz w:val="22"/>
          <w:szCs w:val="22"/>
        </w:rPr>
        <w:t>7-20.</w:t>
      </w:r>
    </w:p>
    <w:p w14:paraId="04E0DF34"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Roberts, J.M., Wheeler, A., Freiwald, A. &amp; Cairns, S.D. (2009) </w:t>
      </w:r>
      <w:r w:rsidRPr="0021277B">
        <w:rPr>
          <w:rFonts w:eastAsia="MS Mincho"/>
          <w:i/>
          <w:sz w:val="22"/>
          <w:szCs w:val="22"/>
        </w:rPr>
        <w:t>Cold-water corals: The biology and geology of deep-sea coral habitats.</w:t>
      </w:r>
      <w:r w:rsidRPr="0021277B">
        <w:rPr>
          <w:rFonts w:eastAsia="MS Mincho"/>
          <w:sz w:val="22"/>
          <w:szCs w:val="22"/>
        </w:rPr>
        <w:t xml:space="preserve"> Cambridge University Press. 334pp.</w:t>
      </w:r>
    </w:p>
    <w:p w14:paraId="41DF8CAE"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Roberts, J.M., Wheeler, A.J. &amp; Freiwald, A. (2006) Reefs of the deep: The biology and geology of cold-water coral ecosystems. </w:t>
      </w:r>
      <w:r w:rsidRPr="0021277B">
        <w:rPr>
          <w:rFonts w:eastAsia="MS Mincho"/>
          <w:i/>
          <w:iCs/>
          <w:sz w:val="22"/>
          <w:szCs w:val="22"/>
        </w:rPr>
        <w:t xml:space="preserve">Science </w:t>
      </w:r>
      <w:r w:rsidRPr="0021277B">
        <w:rPr>
          <w:rFonts w:eastAsia="MS Mincho"/>
          <w:bCs/>
          <w:sz w:val="22"/>
          <w:szCs w:val="22"/>
        </w:rPr>
        <w:t>213,</w:t>
      </w:r>
      <w:r w:rsidRPr="0021277B">
        <w:rPr>
          <w:rFonts w:eastAsia="MS Mincho"/>
          <w:b/>
          <w:bCs/>
          <w:sz w:val="22"/>
          <w:szCs w:val="22"/>
        </w:rPr>
        <w:t xml:space="preserve"> </w:t>
      </w:r>
      <w:r w:rsidRPr="0021277B">
        <w:rPr>
          <w:rFonts w:eastAsia="MS Mincho"/>
          <w:sz w:val="22"/>
          <w:szCs w:val="22"/>
        </w:rPr>
        <w:t>543-547.</w:t>
      </w:r>
    </w:p>
    <w:p w14:paraId="3824D14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Rogan, E., Cañadas, A., Macleod, K., Santos, B., Mikkelsen, B., Uriarte, A., Van Canneyt, O., Vazquez, A.J. &amp; Hammond, P.S. (2017). Distribution, abundance and habitat use of deep diving cetaceans in the North East Atlantic. Deep Sea Research II 141: 8-19. doi.org/10.1016/j.dsr2.2017.03.015</w:t>
      </w:r>
    </w:p>
    <w:p w14:paraId="777DFB2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Rogers, A.D. &amp; Gianni, M. (2010) The implementation of the UNGA Resolutions 61/105 and 64/72 in the management of deep-sea fisheries on the High Seas. Report of the Deep-Sea Conservation Coalition. International Programme on the State of the Ocean, London, UK. 97pp.</w:t>
      </w:r>
    </w:p>
    <w:p w14:paraId="3719810E"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Ross, R.E. &amp; Howell, K.L. (2013) Use of predictive habitat modelling to assess the distribution and extent of the current protection of ‘listed’ deep-sea habitats. </w:t>
      </w:r>
      <w:r w:rsidRPr="0021277B">
        <w:rPr>
          <w:rFonts w:eastAsia="MS Mincho"/>
          <w:i/>
          <w:sz w:val="22"/>
          <w:szCs w:val="22"/>
        </w:rPr>
        <w:t>Diversity Distrib</w:t>
      </w:r>
      <w:r w:rsidRPr="0021277B">
        <w:rPr>
          <w:rFonts w:eastAsia="MS Mincho"/>
          <w:sz w:val="22"/>
          <w:szCs w:val="22"/>
        </w:rPr>
        <w:t>. 19, (4) 433-445</w:t>
      </w:r>
    </w:p>
    <w:p w14:paraId="6878C73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Ross, L.K., Ross, R.E., Stewart, H.A. &amp; Howell, K.L. (2015) The Influence of Data Resolution on Predicted Distribution and Estimates of Extent of Current Protection of Three Listed Deep-Sea Habitats. </w:t>
      </w:r>
      <w:r w:rsidRPr="0021277B">
        <w:rPr>
          <w:rFonts w:eastAsia="MS Mincho"/>
          <w:i/>
          <w:sz w:val="22"/>
          <w:szCs w:val="22"/>
        </w:rPr>
        <w:t>PLOS ONE</w:t>
      </w:r>
      <w:r w:rsidRPr="0021277B">
        <w:rPr>
          <w:rFonts w:eastAsia="MS Mincho"/>
          <w:sz w:val="22"/>
          <w:szCs w:val="22"/>
        </w:rPr>
        <w:t xml:space="preserve"> 10, (10)</w:t>
      </w:r>
    </w:p>
    <w:p w14:paraId="7C8017C5"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Ross, R.E., Nimmo-Smith, W.A.M. and Howell, K.L., (2017) Towards ‘ecological coherence’: Assessing larval dispersal within a network of existing marine protected areas. Deep-Sea Res Pt I, 126, pp.128-138.</w:t>
      </w:r>
    </w:p>
    <w:p w14:paraId="591CCBA3"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Ross, R.E., Wort, E.J. and Howell, K.L. (2019) Combining distribution and dispersal models to identify a particularly Vulnerable Marine Ecosystem. </w:t>
      </w:r>
      <w:r w:rsidRPr="0021277B">
        <w:rPr>
          <w:rFonts w:eastAsia="MS Mincho"/>
          <w:i/>
          <w:sz w:val="22"/>
          <w:szCs w:val="22"/>
        </w:rPr>
        <w:t>Front Mar Sci</w:t>
      </w:r>
      <w:r w:rsidRPr="0021277B">
        <w:rPr>
          <w:rFonts w:eastAsia="MS Mincho"/>
          <w:sz w:val="22"/>
          <w:szCs w:val="22"/>
        </w:rPr>
        <w:t>, 6, p.574.</w:t>
      </w:r>
    </w:p>
    <w:p w14:paraId="40BD1BC9"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Rovelli L, Attard K, Bryant LD, Flögel S, Stahl HJ, Roberts JM, Linke P, Glud RN (2015) Benthic O</w:t>
      </w:r>
      <w:r w:rsidRPr="0021277B">
        <w:rPr>
          <w:rFonts w:eastAsia="MS Mincho"/>
          <w:sz w:val="22"/>
          <w:szCs w:val="22"/>
          <w:vertAlign w:val="subscript"/>
        </w:rPr>
        <w:t>2</w:t>
      </w:r>
      <w:r w:rsidRPr="0021277B">
        <w:rPr>
          <w:rFonts w:eastAsia="MS Mincho"/>
          <w:sz w:val="22"/>
          <w:szCs w:val="22"/>
        </w:rPr>
        <w:t xml:space="preserve"> uptake of two cold-water coral communities estimated with the non-invasive eddy-correlation technique. </w:t>
      </w:r>
      <w:r w:rsidRPr="0021277B">
        <w:rPr>
          <w:rFonts w:eastAsia="MS Mincho"/>
          <w:i/>
          <w:sz w:val="22"/>
          <w:szCs w:val="22"/>
        </w:rPr>
        <w:t>Mar Ecol Prog Ser</w:t>
      </w:r>
      <w:r w:rsidRPr="0021277B">
        <w:rPr>
          <w:rFonts w:eastAsia="MS Mincho"/>
          <w:sz w:val="22"/>
          <w:szCs w:val="22"/>
        </w:rPr>
        <w:t xml:space="preserve"> 525: 97-104</w:t>
      </w:r>
    </w:p>
    <w:p w14:paraId="31DFB341"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Sayago-Gil M, Long D, Hitchen K, Díaz-del-Río V, Fernández-Salas LM, Durán-Muñoz P (2010) Evidence for current-controlled morphology along the western slope of Hatton Bank (Rockall Plateau, NE Atlantic Ocean). </w:t>
      </w:r>
      <w:r w:rsidRPr="0021277B">
        <w:rPr>
          <w:rFonts w:eastAsia="MS Mincho"/>
          <w:i/>
          <w:sz w:val="22"/>
          <w:szCs w:val="22"/>
        </w:rPr>
        <w:t>Geo-Mar. Lett.</w:t>
      </w:r>
      <w:r w:rsidRPr="0021277B">
        <w:rPr>
          <w:rFonts w:eastAsia="MS Mincho"/>
          <w:sz w:val="22"/>
          <w:szCs w:val="22"/>
        </w:rPr>
        <w:t xml:space="preserve"> 30, 99-111</w:t>
      </w:r>
    </w:p>
    <w:p w14:paraId="6DEC9828" w14:textId="77777777" w:rsidR="006B3F46" w:rsidRPr="0021277B" w:rsidRDefault="006B3F46" w:rsidP="00907941">
      <w:pPr>
        <w:tabs>
          <w:tab w:val="left" w:pos="709"/>
        </w:tabs>
        <w:ind w:left="709" w:hanging="709"/>
        <w:jc w:val="both"/>
        <w:rPr>
          <w:sz w:val="22"/>
          <w:szCs w:val="22"/>
          <w:lang w:eastAsia="en-GB"/>
        </w:rPr>
      </w:pPr>
      <w:r w:rsidRPr="0021277B">
        <w:rPr>
          <w:sz w:val="22"/>
          <w:szCs w:val="22"/>
          <w:lang w:eastAsia="en-GB"/>
        </w:rPr>
        <w:t xml:space="preserve">Söffker, M., Sloman, K.A. &amp; Hall-Spencer, J.M. (2011) In situ observations of fish associated with coral reefs off Ireland. </w:t>
      </w:r>
      <w:hyperlink r:id="rId319" w:history="1">
        <w:r w:rsidRPr="0021277B">
          <w:rPr>
            <w:sz w:val="22"/>
            <w:szCs w:val="22"/>
            <w:lang w:eastAsia="en-GB"/>
          </w:rPr>
          <w:t>Deep-Sea Res. I  58, 818-825</w:t>
        </w:r>
      </w:hyperlink>
    </w:p>
    <w:p w14:paraId="289624AD" w14:textId="77777777" w:rsidR="006B3F46" w:rsidRPr="0021277B" w:rsidRDefault="006B3F46" w:rsidP="00907941">
      <w:pPr>
        <w:tabs>
          <w:tab w:val="left" w:pos="709"/>
        </w:tabs>
        <w:ind w:left="709" w:hanging="709"/>
        <w:jc w:val="both"/>
        <w:rPr>
          <w:sz w:val="22"/>
          <w:szCs w:val="22"/>
          <w:lang w:eastAsia="en-GB"/>
        </w:rPr>
      </w:pPr>
      <w:r w:rsidRPr="0021277B">
        <w:rPr>
          <w:sz w:val="22"/>
          <w:szCs w:val="22"/>
          <w:lang w:eastAsia="en-GB"/>
        </w:rPr>
        <w:t>Stewart, H A, and Davies, J S.</w:t>
      </w:r>
      <w:r w:rsidRPr="0021277B">
        <w:rPr>
          <w:b/>
          <w:bCs/>
          <w:sz w:val="22"/>
          <w:szCs w:val="22"/>
          <w:lang w:eastAsia="en-GB"/>
        </w:rPr>
        <w:t xml:space="preserve"> </w:t>
      </w:r>
      <w:r w:rsidRPr="0021277B">
        <w:rPr>
          <w:sz w:val="22"/>
          <w:szCs w:val="22"/>
          <w:lang w:eastAsia="en-GB"/>
        </w:rPr>
        <w:t xml:space="preserve">2007.  Habitat investigations within the SEA7 and SEA4 areas of the UK continental shelf (Hatton Bank, Rosemary Bank, Wyville Thomson Ridge and Faroe–Shetland Channel). </w:t>
      </w:r>
      <w:r w:rsidRPr="0021277B">
        <w:rPr>
          <w:i/>
          <w:iCs/>
          <w:sz w:val="22"/>
          <w:szCs w:val="22"/>
          <w:lang w:eastAsia="en-GB"/>
        </w:rPr>
        <w:t>British Geological Survey Commercial Report</w:t>
      </w:r>
      <w:r w:rsidRPr="0021277B">
        <w:rPr>
          <w:sz w:val="22"/>
          <w:szCs w:val="22"/>
          <w:lang w:eastAsia="en-GB"/>
        </w:rPr>
        <w:t>, CR/07/051.</w:t>
      </w:r>
    </w:p>
    <w:p w14:paraId="2309DB4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Tittensor, D.P., Baco-Taylor, A.R., Brewin, P., Clark, M.R., Consalvey, M., Hall-Spencer, J.M., Rowden, A.A., Schlacher, T., Stocks, K. &amp; Rogers, A.D. (2009) Predicting global habitat suitability for stony corals on seamounts. </w:t>
      </w:r>
      <w:hyperlink r:id="rId320" w:history="1">
        <w:r w:rsidRPr="0021277B">
          <w:rPr>
            <w:rFonts w:eastAsia="MS Mincho"/>
            <w:i/>
            <w:sz w:val="22"/>
            <w:szCs w:val="22"/>
          </w:rPr>
          <w:t xml:space="preserve">J. Biogeog. </w:t>
        </w:r>
        <w:r w:rsidRPr="0021277B">
          <w:rPr>
            <w:rFonts w:eastAsia="MS Mincho"/>
            <w:sz w:val="22"/>
            <w:szCs w:val="22"/>
          </w:rPr>
          <w:t>36, 1111-1128</w:t>
        </w:r>
      </w:hyperlink>
    </w:p>
    <w:p w14:paraId="4C2E6293"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Vandeperre, F., Aires-da-Silva, A., Lennert-Cody, C., Serrão Santos, R. &amp; Afonso, P. (2016). Essential pelagic habitat of juvenile blue shark (Prionace glauca) inferred from telemetry data. Limnol. Oceanogr. 61(5): 1605-1625</w:t>
      </w:r>
    </w:p>
    <w:p w14:paraId="2A888030"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Van Dover, C., Smith CR, Ardron J, Dunn D, Gjerde K, Levin L, Smith S and the Dinard Workshop Contributors (2011a). Uncharted waters: Placing deep-sea chemosynthetic ecosystems in reserve. </w:t>
      </w:r>
      <w:r w:rsidRPr="0021277B">
        <w:rPr>
          <w:rFonts w:eastAsia="MS Mincho"/>
          <w:i/>
          <w:sz w:val="22"/>
          <w:szCs w:val="22"/>
        </w:rPr>
        <w:t xml:space="preserve">Marine Policy </w:t>
      </w:r>
      <w:r w:rsidRPr="0021277B">
        <w:rPr>
          <w:rFonts w:eastAsia="MS Mincho"/>
          <w:sz w:val="22"/>
          <w:szCs w:val="22"/>
        </w:rPr>
        <w:t>36,</w:t>
      </w:r>
      <w:r w:rsidRPr="0021277B">
        <w:rPr>
          <w:rFonts w:eastAsia="MS Mincho"/>
          <w:i/>
          <w:sz w:val="22"/>
          <w:szCs w:val="22"/>
        </w:rPr>
        <w:t xml:space="preserve"> </w:t>
      </w:r>
      <w:r w:rsidRPr="0021277B">
        <w:rPr>
          <w:rFonts w:eastAsia="MS Mincho"/>
          <w:sz w:val="22"/>
          <w:szCs w:val="22"/>
        </w:rPr>
        <w:t xml:space="preserve">378-381. </w:t>
      </w:r>
    </w:p>
    <w:p w14:paraId="51AA82A9"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Van Dover, C., Smith CR, Ardron J, Dunn D, Gjerde K, Levin L, Smith S and the Dinard Workshop Contributors (2011b). Environmental management of deep-sea chemosynthetic ecosystems: justification of and considerations for a spatially-based approach. International Seabed Authority Technical Study 9. 29pp.</w:t>
      </w:r>
    </w:p>
    <w:p w14:paraId="15636357"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Vanreusel, A., Fonseca, G., Danovaro, R., </w:t>
      </w:r>
      <w:r w:rsidRPr="0006066A">
        <w:rPr>
          <w:rFonts w:eastAsia="MS Mincho"/>
          <w:i/>
          <w:sz w:val="22"/>
          <w:szCs w:val="22"/>
        </w:rPr>
        <w:t>et al</w:t>
      </w:r>
      <w:r w:rsidRPr="0021277B">
        <w:rPr>
          <w:rFonts w:eastAsia="MS Mincho"/>
          <w:i/>
          <w:sz w:val="22"/>
          <w:szCs w:val="22"/>
        </w:rPr>
        <w:t>.</w:t>
      </w:r>
      <w:r w:rsidRPr="0021277B">
        <w:rPr>
          <w:rFonts w:eastAsia="MS Mincho"/>
          <w:sz w:val="22"/>
          <w:szCs w:val="22"/>
        </w:rPr>
        <w:t xml:space="preserve"> (2010) The contribution of deep-sea macrohabitat heterogeneity to global nematode diversity. </w:t>
      </w:r>
      <w:r w:rsidRPr="0021277B">
        <w:rPr>
          <w:rFonts w:eastAsia="MS Mincho"/>
          <w:i/>
          <w:sz w:val="22"/>
          <w:szCs w:val="22"/>
        </w:rPr>
        <w:t>Mar. Ecol.</w:t>
      </w:r>
      <w:r w:rsidRPr="0021277B">
        <w:rPr>
          <w:rFonts w:eastAsia="MS Mincho"/>
          <w:sz w:val="22"/>
          <w:szCs w:val="22"/>
        </w:rPr>
        <w:t xml:space="preserve"> 31, 66-77.</w:t>
      </w:r>
    </w:p>
    <w:p w14:paraId="20E6C132"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Visser, F., Hartman, K.L., Pierce, G.J., Valavanis, V.D. &amp; Huisman, J. (2011). Timing of migratory baleen whales at the Azores in relation to the north Atlantic spring bloom. Marine Ecology Progress Series 440: 267–279.</w:t>
      </w:r>
    </w:p>
    <w:p w14:paraId="4F8E64AB"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Wall, D., Murray, C., O’Brien, J., Kavanagh, L., Wilson, C., Ryan, C., Glanville, B., Williams, D., Enlander, I., O’Connor, I., McGrath, D., Whooley, P. &amp; Berrow, S. (2013). Atlas of the distribution and relative abundance of marine mammals in Irish offshore waters 2005 - 2011. Irish Whale and Dolphin Group, Kilrush, Co. Clare. 63pp</w:t>
      </w:r>
    </w:p>
    <w:p w14:paraId="24B8D53B" w14:textId="77777777" w:rsidR="006B3F46" w:rsidRPr="0021277B" w:rsidRDefault="006B3F46" w:rsidP="00907941">
      <w:pPr>
        <w:tabs>
          <w:tab w:val="left" w:pos="709"/>
        </w:tabs>
        <w:ind w:left="709" w:hanging="709"/>
        <w:jc w:val="both"/>
        <w:rPr>
          <w:rFonts w:eastAsia="MS Mincho"/>
          <w:i/>
          <w:sz w:val="22"/>
          <w:szCs w:val="22"/>
        </w:rPr>
      </w:pPr>
      <w:r w:rsidRPr="0021277B">
        <w:rPr>
          <w:rFonts w:eastAsia="MS Mincho"/>
          <w:sz w:val="22"/>
          <w:szCs w:val="22"/>
        </w:rPr>
        <w:t xml:space="preserve">Wei, C-L. </w:t>
      </w:r>
      <w:r w:rsidRPr="0006066A">
        <w:rPr>
          <w:rFonts w:eastAsia="MS Mincho"/>
          <w:i/>
          <w:sz w:val="22"/>
          <w:szCs w:val="22"/>
        </w:rPr>
        <w:t>et al</w:t>
      </w:r>
      <w:r w:rsidRPr="0021277B">
        <w:rPr>
          <w:rFonts w:eastAsia="MS Mincho"/>
          <w:i/>
          <w:sz w:val="22"/>
          <w:szCs w:val="22"/>
        </w:rPr>
        <w:t>.</w:t>
      </w:r>
      <w:r w:rsidRPr="0021277B">
        <w:rPr>
          <w:rFonts w:eastAsia="MS Mincho"/>
          <w:sz w:val="22"/>
          <w:szCs w:val="22"/>
        </w:rPr>
        <w:t xml:space="preserve"> (2010). Global Patterns and Predictions of Seafloor Biomass Using Random Forests. </w:t>
      </w:r>
      <w:r w:rsidRPr="0021277B">
        <w:rPr>
          <w:rFonts w:eastAsia="MS Mincho"/>
          <w:i/>
          <w:sz w:val="22"/>
          <w:szCs w:val="22"/>
        </w:rPr>
        <w:t xml:space="preserve">PLoS One </w:t>
      </w:r>
      <w:r w:rsidRPr="0021277B">
        <w:rPr>
          <w:rFonts w:eastAsia="MS Mincho"/>
          <w:sz w:val="22"/>
          <w:szCs w:val="22"/>
        </w:rPr>
        <w:t xml:space="preserve">5 (12) </w:t>
      </w:r>
      <w:hyperlink r:id="rId321" w:history="1">
        <w:r w:rsidRPr="0021277B">
          <w:rPr>
            <w:rFonts w:eastAsia="MS Mincho"/>
            <w:sz w:val="22"/>
            <w:szCs w:val="22"/>
            <w:u w:val="single"/>
          </w:rPr>
          <w:t>http://dx.plos.org/10.1371/journal.pone.0015323</w:t>
        </w:r>
      </w:hyperlink>
      <w:r w:rsidRPr="0021277B">
        <w:rPr>
          <w:rFonts w:eastAsia="MS Mincho"/>
          <w:sz w:val="22"/>
          <w:szCs w:val="22"/>
        </w:rPr>
        <w:t>.</w:t>
      </w:r>
    </w:p>
    <w:p w14:paraId="61D8FB7E"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Wilson, J.B., (1979a) The distribution of the coral </w:t>
      </w:r>
      <w:r w:rsidRPr="0021277B">
        <w:rPr>
          <w:rFonts w:eastAsia="MS Mincho"/>
          <w:i/>
          <w:iCs/>
          <w:sz w:val="22"/>
          <w:szCs w:val="22"/>
        </w:rPr>
        <w:t xml:space="preserve">Lophelia pertusa </w:t>
      </w:r>
      <w:r w:rsidRPr="0021277B">
        <w:rPr>
          <w:rFonts w:eastAsia="MS Mincho"/>
          <w:sz w:val="22"/>
          <w:szCs w:val="22"/>
        </w:rPr>
        <w:t>(L.) [</w:t>
      </w:r>
      <w:r w:rsidRPr="0021277B">
        <w:rPr>
          <w:rFonts w:eastAsia="MS Mincho"/>
          <w:i/>
          <w:iCs/>
          <w:sz w:val="22"/>
          <w:szCs w:val="22"/>
        </w:rPr>
        <w:t xml:space="preserve">L. prolifera </w:t>
      </w:r>
      <w:r w:rsidRPr="0021277B">
        <w:rPr>
          <w:rFonts w:eastAsia="MS Mincho"/>
          <w:sz w:val="22"/>
          <w:szCs w:val="22"/>
        </w:rPr>
        <w:t xml:space="preserve">(Pallas)] in the North-East Atlantic. </w:t>
      </w:r>
      <w:r w:rsidRPr="0021277B">
        <w:rPr>
          <w:rFonts w:eastAsia="MS Mincho"/>
          <w:i/>
          <w:iCs/>
          <w:sz w:val="22"/>
          <w:szCs w:val="22"/>
        </w:rPr>
        <w:t xml:space="preserve">J. Mar. Biol. Ass. UK  </w:t>
      </w:r>
      <w:r w:rsidRPr="0021277B">
        <w:rPr>
          <w:rFonts w:eastAsia="MS Mincho"/>
          <w:bCs/>
          <w:sz w:val="22"/>
          <w:szCs w:val="22"/>
        </w:rPr>
        <w:t xml:space="preserve">59, </w:t>
      </w:r>
      <w:r w:rsidRPr="0021277B">
        <w:rPr>
          <w:rFonts w:eastAsia="MS Mincho"/>
          <w:sz w:val="22"/>
          <w:szCs w:val="22"/>
        </w:rPr>
        <w:t>149-164.</w:t>
      </w:r>
    </w:p>
    <w:p w14:paraId="5C35006A" w14:textId="77777777" w:rsidR="006B3F46" w:rsidRPr="0021277B" w:rsidRDefault="006B3F46" w:rsidP="00907941">
      <w:pPr>
        <w:tabs>
          <w:tab w:val="left" w:pos="709"/>
        </w:tabs>
        <w:ind w:left="709" w:hanging="709"/>
        <w:jc w:val="both"/>
        <w:rPr>
          <w:rFonts w:eastAsia="MS Mincho"/>
          <w:sz w:val="22"/>
          <w:szCs w:val="22"/>
        </w:rPr>
      </w:pPr>
      <w:r w:rsidRPr="0021277B">
        <w:rPr>
          <w:rFonts w:eastAsia="MS Mincho"/>
          <w:sz w:val="22"/>
          <w:szCs w:val="22"/>
        </w:rPr>
        <w:t xml:space="preserve">Wilson, J.B., (1979b) ‘Patch’ development of the deep-water coral </w:t>
      </w:r>
      <w:r w:rsidRPr="0021277B">
        <w:rPr>
          <w:rFonts w:eastAsia="MS Mincho"/>
          <w:i/>
          <w:iCs/>
          <w:sz w:val="22"/>
          <w:szCs w:val="22"/>
        </w:rPr>
        <w:t xml:space="preserve">Lophelia pertusa </w:t>
      </w:r>
      <w:r w:rsidRPr="0021277B">
        <w:rPr>
          <w:rFonts w:eastAsia="MS Mincho"/>
          <w:sz w:val="22"/>
          <w:szCs w:val="22"/>
        </w:rPr>
        <w:t xml:space="preserve">(L.) on Rockall Bank. </w:t>
      </w:r>
      <w:r w:rsidRPr="0021277B">
        <w:rPr>
          <w:rFonts w:eastAsia="MS Mincho"/>
          <w:i/>
          <w:iCs/>
          <w:sz w:val="22"/>
          <w:szCs w:val="22"/>
        </w:rPr>
        <w:t xml:space="preserve">J. Mar. Biol. Ass. UK  </w:t>
      </w:r>
      <w:r w:rsidRPr="0021277B">
        <w:rPr>
          <w:rFonts w:eastAsia="MS Mincho"/>
          <w:bCs/>
          <w:sz w:val="22"/>
          <w:szCs w:val="22"/>
        </w:rPr>
        <w:t>59,</w:t>
      </w:r>
      <w:r w:rsidRPr="0021277B">
        <w:rPr>
          <w:rFonts w:eastAsia="MS Mincho"/>
          <w:b/>
          <w:bCs/>
          <w:sz w:val="22"/>
          <w:szCs w:val="22"/>
        </w:rPr>
        <w:t xml:space="preserve"> </w:t>
      </w:r>
      <w:r w:rsidRPr="0021277B">
        <w:rPr>
          <w:rFonts w:eastAsia="MS Mincho"/>
          <w:sz w:val="22"/>
          <w:szCs w:val="22"/>
        </w:rPr>
        <w:t>165-177.</w:t>
      </w:r>
    </w:p>
    <w:p w14:paraId="785DD512" w14:textId="77777777" w:rsidR="006B3F46" w:rsidRPr="00F66EF7" w:rsidRDefault="006B3F46" w:rsidP="00907941">
      <w:pPr>
        <w:rPr>
          <w:rFonts w:eastAsia="MS Mincho"/>
          <w:bCs/>
          <w:color w:val="000000"/>
          <w:sz w:val="22"/>
          <w:szCs w:val="22"/>
          <w:lang w:val="en-US"/>
        </w:rPr>
      </w:pPr>
    </w:p>
    <w:p w14:paraId="42C40954" w14:textId="77777777" w:rsidR="006B3F46" w:rsidRPr="009978E3" w:rsidRDefault="006B3F46" w:rsidP="00907941">
      <w:pPr>
        <w:rPr>
          <w:rFonts w:eastAsia="MS Mincho"/>
          <w:b/>
          <w:sz w:val="22"/>
          <w:szCs w:val="22"/>
          <w:lang w:val="en-US"/>
        </w:rPr>
      </w:pPr>
      <w:r>
        <w:rPr>
          <w:rFonts w:eastAsia="MS Mincho"/>
          <w:b/>
          <w:sz w:val="22"/>
          <w:szCs w:val="22"/>
          <w:lang w:val="en-US"/>
        </w:rPr>
        <w:br w:type="page"/>
      </w:r>
    </w:p>
    <w:p w14:paraId="75A6A3AB" w14:textId="77777777" w:rsidR="006B3F46" w:rsidRDefault="006B3F46" w:rsidP="00907941">
      <w:pPr>
        <w:rPr>
          <w:rFonts w:eastAsia="MS Mincho"/>
          <w:b/>
          <w:sz w:val="22"/>
          <w:szCs w:val="22"/>
          <w:lang w:val="en-US"/>
        </w:rPr>
      </w:pPr>
      <w:r w:rsidRPr="009978E3">
        <w:rPr>
          <w:rFonts w:eastAsia="MS Mincho"/>
          <w:b/>
          <w:sz w:val="22"/>
          <w:szCs w:val="22"/>
          <w:lang w:val="en-US"/>
        </w:rPr>
        <w:t>Maps and Figures</w:t>
      </w:r>
    </w:p>
    <w:p w14:paraId="14E1D441" w14:textId="77777777" w:rsidR="006B3F46" w:rsidRDefault="006B3F46" w:rsidP="00907941">
      <w:pPr>
        <w:rPr>
          <w:rFonts w:eastAsia="MS Mincho"/>
          <w:b/>
          <w:sz w:val="22"/>
          <w:szCs w:val="22"/>
          <w:lang w:val="en-US"/>
        </w:rPr>
      </w:pPr>
    </w:p>
    <w:p w14:paraId="36988247" w14:textId="77777777" w:rsidR="006B3F46" w:rsidRPr="009978E3" w:rsidRDefault="009E53BE" w:rsidP="00907941">
      <w:pPr>
        <w:rPr>
          <w:rFonts w:eastAsia="MS Mincho"/>
          <w:b/>
          <w:sz w:val="22"/>
          <w:szCs w:val="22"/>
          <w:lang w:val="en-US"/>
        </w:rPr>
      </w:pPr>
      <w:r>
        <w:pict w14:anchorId="66A62078">
          <v:shape id="_x0000_i1143" type="#_x0000_t75" style="width:6in;height:6in">
            <v:imagedata r:id="rId322" o:title=""/>
          </v:shape>
        </w:pict>
      </w:r>
    </w:p>
    <w:p w14:paraId="13CAAE45" w14:textId="77777777" w:rsidR="006B3F46" w:rsidRPr="009978E3" w:rsidRDefault="006B3F46" w:rsidP="00907941">
      <w:pPr>
        <w:rPr>
          <w:rFonts w:eastAsia="MS Mincho"/>
          <w:b/>
          <w:sz w:val="22"/>
          <w:szCs w:val="22"/>
          <w:lang w:val="en-US"/>
        </w:rPr>
      </w:pPr>
    </w:p>
    <w:p w14:paraId="618C43B0" w14:textId="77777777" w:rsidR="006B3F46" w:rsidRPr="0021277B" w:rsidRDefault="006B3F46" w:rsidP="00907941">
      <w:pPr>
        <w:jc w:val="center"/>
        <w:rPr>
          <w:b/>
          <w:bCs/>
          <w:sz w:val="22"/>
          <w:szCs w:val="22"/>
        </w:rPr>
      </w:pPr>
      <w:r w:rsidRPr="0021277B">
        <w:rPr>
          <w:rFonts w:eastAsia="MS Mincho"/>
          <w:b/>
          <w:bCs/>
          <w:sz w:val="22"/>
          <w:szCs w:val="22"/>
          <w:lang w:val="en-US"/>
        </w:rPr>
        <w:t xml:space="preserve">Location of </w:t>
      </w:r>
      <w:r>
        <w:rPr>
          <w:rFonts w:eastAsia="MS Mincho"/>
          <w:b/>
          <w:bCs/>
          <w:sz w:val="22"/>
          <w:szCs w:val="22"/>
          <w:lang w:val="en-US"/>
        </w:rPr>
        <w:t>a</w:t>
      </w:r>
      <w:r w:rsidRPr="0021277B">
        <w:rPr>
          <w:rFonts w:eastAsia="MS Mincho"/>
          <w:b/>
          <w:bCs/>
          <w:sz w:val="22"/>
          <w:szCs w:val="22"/>
          <w:lang w:val="en-US"/>
        </w:rPr>
        <w:t>rea no. 17: Hatton and Rockall Banks and Basin</w:t>
      </w:r>
    </w:p>
    <w:p w14:paraId="545F6008" w14:textId="77777777" w:rsidR="006B3F46" w:rsidRDefault="006B3F46">
      <w:pPr>
        <w:rPr>
          <w:i/>
          <w:sz w:val="22"/>
          <w:szCs w:val="22"/>
        </w:rPr>
      </w:pPr>
      <w:r>
        <w:rPr>
          <w:i/>
          <w:sz w:val="22"/>
          <w:szCs w:val="22"/>
        </w:rPr>
        <w:br w:type="page"/>
      </w:r>
    </w:p>
    <w:p w14:paraId="4B2FAEE8" w14:textId="29FFC618" w:rsidR="00F952A8" w:rsidRPr="00854E23" w:rsidRDefault="00F952A8" w:rsidP="006220EA">
      <w:pPr>
        <w:jc w:val="center"/>
        <w:rPr>
          <w:b/>
          <w:sz w:val="22"/>
          <w:szCs w:val="22"/>
        </w:rPr>
      </w:pPr>
      <w:r w:rsidRPr="00854E23">
        <w:rPr>
          <w:i/>
          <w:sz w:val="22"/>
          <w:szCs w:val="22"/>
        </w:rPr>
        <w:t xml:space="preserve">Annex </w:t>
      </w:r>
      <w:r w:rsidR="008836EC">
        <w:rPr>
          <w:i/>
          <w:sz w:val="22"/>
          <w:szCs w:val="22"/>
        </w:rPr>
        <w:t>VIII</w:t>
      </w:r>
    </w:p>
    <w:p w14:paraId="7F55D936" w14:textId="77777777" w:rsidR="00F952A8" w:rsidRPr="00854E23" w:rsidRDefault="00F952A8" w:rsidP="00F952A8">
      <w:pPr>
        <w:tabs>
          <w:tab w:val="left" w:pos="567"/>
        </w:tabs>
        <w:spacing w:before="120" w:after="120"/>
        <w:jc w:val="center"/>
        <w:rPr>
          <w:sz w:val="22"/>
          <w:szCs w:val="22"/>
        </w:rPr>
      </w:pPr>
      <w:r w:rsidRPr="00854E23">
        <w:rPr>
          <w:b/>
          <w:sz w:val="22"/>
          <w:szCs w:val="22"/>
        </w:rPr>
        <w:t>SUMMARY OF THE WORKSHOP DISCUSSION ON IDENTIFICATION OF GAPS AND NEEDS FOR FURTHER ELABORATION IN DESCRIBING ECOLOGICALLY OR BIOLOGICALLY SIGNIFICANT MARINE AREAS, INCLUDING THE NEED FOR SCIENTIFIC INFORMATION, DEVELOPMENT OF SCIENTIFIC CAPACITY AS WELL AS SCIENTIFIC COLLABORATION</w:t>
      </w:r>
    </w:p>
    <w:p w14:paraId="1C7122E5" w14:textId="6E0DB414" w:rsidR="000D29DF" w:rsidRPr="006E2368" w:rsidRDefault="000D29DF" w:rsidP="006E2368">
      <w:pPr>
        <w:widowControl w:val="0"/>
        <w:autoSpaceDE w:val="0"/>
        <w:autoSpaceDN w:val="0"/>
        <w:adjustRightInd w:val="0"/>
        <w:jc w:val="both"/>
        <w:rPr>
          <w:b/>
          <w:bCs/>
          <w:sz w:val="22"/>
          <w:szCs w:val="22"/>
          <w:u w:val="single"/>
        </w:rPr>
      </w:pPr>
      <w:r w:rsidRPr="006E2368">
        <w:rPr>
          <w:b/>
          <w:bCs/>
          <w:sz w:val="22"/>
          <w:szCs w:val="22"/>
          <w:u w:val="single"/>
        </w:rPr>
        <w:t>General gaps</w:t>
      </w:r>
    </w:p>
    <w:p w14:paraId="679C71CF" w14:textId="4F2FE4E1" w:rsidR="006E2368" w:rsidRPr="006E2368" w:rsidRDefault="006E2368" w:rsidP="002E4B39">
      <w:pPr>
        <w:widowControl w:val="0"/>
        <w:autoSpaceDE w:val="0"/>
        <w:autoSpaceDN w:val="0"/>
        <w:adjustRightInd w:val="0"/>
        <w:spacing w:after="120"/>
        <w:jc w:val="both"/>
        <w:rPr>
          <w:sz w:val="22"/>
          <w:szCs w:val="22"/>
        </w:rPr>
      </w:pPr>
      <w:r w:rsidRPr="006E2368">
        <w:rPr>
          <w:sz w:val="22"/>
          <w:szCs w:val="22"/>
        </w:rPr>
        <w:t>1.</w:t>
      </w:r>
      <w:r w:rsidRPr="006E2368">
        <w:rPr>
          <w:sz w:val="22"/>
          <w:szCs w:val="22"/>
        </w:rPr>
        <w:tab/>
      </w:r>
      <w:r w:rsidR="000D29DF" w:rsidRPr="006E2368">
        <w:rPr>
          <w:sz w:val="22"/>
          <w:szCs w:val="22"/>
        </w:rPr>
        <w:t xml:space="preserve">The North-East Atlantic is a relatively well-studied area compared to many of the world’s oceans. However, the relative data richness of this area should be qualified by temporal and spatial data limitations creating data biases. </w:t>
      </w:r>
      <w:r w:rsidR="00B40D8F" w:rsidRPr="006E2368">
        <w:rPr>
          <w:sz w:val="22"/>
          <w:szCs w:val="22"/>
        </w:rPr>
        <w:t xml:space="preserve">For example, </w:t>
      </w:r>
      <w:r w:rsidR="00575C61">
        <w:rPr>
          <w:sz w:val="22"/>
          <w:szCs w:val="22"/>
        </w:rPr>
        <w:t xml:space="preserve">most </w:t>
      </w:r>
      <w:r w:rsidR="000D29DF" w:rsidRPr="006E2368">
        <w:rPr>
          <w:sz w:val="22"/>
          <w:szCs w:val="22"/>
        </w:rPr>
        <w:t>at-sea surveys favour summer condition</w:t>
      </w:r>
      <w:r w:rsidR="00B40D8F" w:rsidRPr="006E2368">
        <w:rPr>
          <w:sz w:val="22"/>
          <w:szCs w:val="22"/>
        </w:rPr>
        <w:t>s</w:t>
      </w:r>
      <w:r w:rsidR="000D29DF" w:rsidRPr="006E2368">
        <w:rPr>
          <w:sz w:val="22"/>
          <w:szCs w:val="22"/>
        </w:rPr>
        <w:t xml:space="preserve">. </w:t>
      </w:r>
    </w:p>
    <w:p w14:paraId="3B5477B2" w14:textId="08005643" w:rsidR="000D29DF" w:rsidRPr="006E2368" w:rsidRDefault="006E2368" w:rsidP="002E4B39">
      <w:pPr>
        <w:widowControl w:val="0"/>
        <w:autoSpaceDE w:val="0"/>
        <w:autoSpaceDN w:val="0"/>
        <w:adjustRightInd w:val="0"/>
        <w:spacing w:after="120"/>
        <w:jc w:val="both"/>
        <w:rPr>
          <w:sz w:val="22"/>
          <w:szCs w:val="22"/>
        </w:rPr>
      </w:pPr>
      <w:r w:rsidRPr="006E2368">
        <w:rPr>
          <w:sz w:val="22"/>
          <w:szCs w:val="22"/>
        </w:rPr>
        <w:t>2.</w:t>
      </w:r>
      <w:r w:rsidRPr="006E2368">
        <w:rPr>
          <w:sz w:val="22"/>
          <w:szCs w:val="22"/>
        </w:rPr>
        <w:tab/>
      </w:r>
      <w:r w:rsidR="000D29DF" w:rsidRPr="006E2368">
        <w:rPr>
          <w:sz w:val="22"/>
          <w:szCs w:val="22"/>
        </w:rPr>
        <w:t>In preparation for this workshop, an extensive data</w:t>
      </w:r>
      <w:r w:rsidR="008905FE">
        <w:rPr>
          <w:sz w:val="22"/>
          <w:szCs w:val="22"/>
        </w:rPr>
        <w:t>-</w:t>
      </w:r>
      <w:r w:rsidR="000D29DF" w:rsidRPr="006E2368">
        <w:rPr>
          <w:sz w:val="22"/>
          <w:szCs w:val="22"/>
        </w:rPr>
        <w:t xml:space="preserve">collection process was undertaken, and a data report was developed. Biological, physical oceanographic and physiographic data were collected as well as data from global archives on biogeographic information. </w:t>
      </w:r>
      <w:r w:rsidR="008905FE">
        <w:rPr>
          <w:sz w:val="22"/>
          <w:szCs w:val="22"/>
        </w:rPr>
        <w:t xml:space="preserve">The </w:t>
      </w:r>
      <w:r w:rsidR="000D29DF" w:rsidRPr="006E2368">
        <w:rPr>
          <w:sz w:val="22"/>
          <w:szCs w:val="22"/>
        </w:rPr>
        <w:t xml:space="preserve">ICES data centre collaborated with the </w:t>
      </w:r>
      <w:r w:rsidR="00854E23" w:rsidRPr="006E2368">
        <w:rPr>
          <w:sz w:val="22"/>
          <w:szCs w:val="22"/>
        </w:rPr>
        <w:t>workshop</w:t>
      </w:r>
      <w:r w:rsidR="008905FE">
        <w:rPr>
          <w:sz w:val="22"/>
          <w:szCs w:val="22"/>
        </w:rPr>
        <w:t>’s</w:t>
      </w:r>
      <w:r w:rsidR="00854E23" w:rsidRPr="006E2368">
        <w:rPr>
          <w:sz w:val="22"/>
          <w:szCs w:val="22"/>
        </w:rPr>
        <w:t xml:space="preserve"> t</w:t>
      </w:r>
      <w:r w:rsidR="000D29DF" w:rsidRPr="006E2368">
        <w:rPr>
          <w:sz w:val="22"/>
          <w:szCs w:val="22"/>
        </w:rPr>
        <w:t xml:space="preserve">echnical </w:t>
      </w:r>
      <w:r w:rsidR="008905FE">
        <w:rPr>
          <w:sz w:val="22"/>
          <w:szCs w:val="22"/>
        </w:rPr>
        <w:t xml:space="preserve">support </w:t>
      </w:r>
      <w:r w:rsidR="00854E23" w:rsidRPr="006E2368">
        <w:rPr>
          <w:sz w:val="22"/>
          <w:szCs w:val="22"/>
        </w:rPr>
        <w:t>t</w:t>
      </w:r>
      <w:r w:rsidR="000D29DF" w:rsidRPr="006E2368">
        <w:rPr>
          <w:sz w:val="22"/>
          <w:szCs w:val="22"/>
        </w:rPr>
        <w:t xml:space="preserve">eam prior to the workshop to share and incorporate data holdings and links for the workshop. Access was also available to specialised OSPAR, EMODnet, and OBIS datasets. Many European collections do not extend as far west as the workshop study area and required supplementing from global data sets. Throughout this data collection process, </w:t>
      </w:r>
      <w:r w:rsidR="008905FE" w:rsidRPr="006E2368">
        <w:rPr>
          <w:sz w:val="22"/>
          <w:szCs w:val="22"/>
        </w:rPr>
        <w:t>several</w:t>
      </w:r>
      <w:r w:rsidR="000D29DF" w:rsidRPr="006E2368">
        <w:rPr>
          <w:sz w:val="22"/>
          <w:szCs w:val="22"/>
        </w:rPr>
        <w:t xml:space="preserve"> general data gaps were identified.</w:t>
      </w:r>
    </w:p>
    <w:p w14:paraId="0D6A479F" w14:textId="3138F866" w:rsidR="000D29DF" w:rsidRPr="00854E23" w:rsidRDefault="006E2368" w:rsidP="002E4B39">
      <w:pPr>
        <w:widowControl w:val="0"/>
        <w:autoSpaceDE w:val="0"/>
        <w:autoSpaceDN w:val="0"/>
        <w:adjustRightInd w:val="0"/>
        <w:spacing w:after="120"/>
        <w:jc w:val="both"/>
        <w:rPr>
          <w:sz w:val="22"/>
          <w:szCs w:val="22"/>
        </w:rPr>
      </w:pPr>
      <w:r>
        <w:rPr>
          <w:sz w:val="22"/>
          <w:szCs w:val="22"/>
        </w:rPr>
        <w:t>3</w:t>
      </w:r>
      <w:r w:rsidR="000D29DF" w:rsidRPr="006E2368">
        <w:rPr>
          <w:sz w:val="22"/>
          <w:szCs w:val="22"/>
        </w:rPr>
        <w:t>.</w:t>
      </w:r>
      <w:r w:rsidR="00854E23" w:rsidRPr="006E2368">
        <w:rPr>
          <w:sz w:val="22"/>
          <w:szCs w:val="22"/>
        </w:rPr>
        <w:tab/>
      </w:r>
      <w:r w:rsidR="000D29DF" w:rsidRPr="006E2368">
        <w:rPr>
          <w:sz w:val="22"/>
          <w:szCs w:val="22"/>
        </w:rPr>
        <w:t>Fisheries data was provided by ICES as needed during the workshop</w:t>
      </w:r>
      <w:r w:rsidR="008905FE">
        <w:rPr>
          <w:sz w:val="22"/>
          <w:szCs w:val="22"/>
        </w:rPr>
        <w:t>,</w:t>
      </w:r>
      <w:r w:rsidR="000D29DF" w:rsidRPr="006E2368">
        <w:rPr>
          <w:sz w:val="22"/>
          <w:szCs w:val="22"/>
        </w:rPr>
        <w:t xml:space="preserve"> including access to stock assessments, but individual catch</w:t>
      </w:r>
      <w:r w:rsidR="000D29DF" w:rsidRPr="00854E23">
        <w:rPr>
          <w:sz w:val="22"/>
          <w:szCs w:val="22"/>
        </w:rPr>
        <w:t xml:space="preserve"> statistics were not explored.</w:t>
      </w:r>
    </w:p>
    <w:p w14:paraId="5B05628C" w14:textId="5CD20968" w:rsidR="000D29DF" w:rsidRPr="00854E23" w:rsidRDefault="006E2368" w:rsidP="002E4B39">
      <w:pPr>
        <w:widowControl w:val="0"/>
        <w:autoSpaceDE w:val="0"/>
        <w:autoSpaceDN w:val="0"/>
        <w:adjustRightInd w:val="0"/>
        <w:spacing w:after="120"/>
        <w:jc w:val="both"/>
        <w:rPr>
          <w:sz w:val="22"/>
          <w:szCs w:val="22"/>
        </w:rPr>
      </w:pPr>
      <w:r>
        <w:rPr>
          <w:sz w:val="22"/>
          <w:szCs w:val="22"/>
        </w:rPr>
        <w:t>4</w:t>
      </w:r>
      <w:r w:rsidR="000D29DF" w:rsidRPr="00854E23">
        <w:rPr>
          <w:sz w:val="22"/>
          <w:szCs w:val="22"/>
        </w:rPr>
        <w:t>.</w:t>
      </w:r>
      <w:r w:rsidR="00854E23" w:rsidRPr="00854E23">
        <w:rPr>
          <w:sz w:val="22"/>
          <w:szCs w:val="22"/>
        </w:rPr>
        <w:tab/>
      </w:r>
      <w:r w:rsidR="000D29DF" w:rsidRPr="00854E23">
        <w:rPr>
          <w:sz w:val="22"/>
          <w:szCs w:val="22"/>
        </w:rPr>
        <w:t>The most prominent data gaps involve the lack of consistent, region-wide surveys of data on marine species throughout all depth ranges. This especially applies to deep-sea and particularly the abyssal plain (see below), which is under-represented, with available biological data being more restricted to surface or shallow water regions in and around coastal areas.</w:t>
      </w:r>
    </w:p>
    <w:p w14:paraId="0BE4EA89" w14:textId="044F2A6D" w:rsidR="000D29DF" w:rsidRPr="005602FC" w:rsidRDefault="006E2368" w:rsidP="002E4B39">
      <w:pPr>
        <w:widowControl w:val="0"/>
        <w:autoSpaceDE w:val="0"/>
        <w:autoSpaceDN w:val="0"/>
        <w:adjustRightInd w:val="0"/>
        <w:spacing w:after="120"/>
        <w:jc w:val="both"/>
        <w:rPr>
          <w:sz w:val="22"/>
          <w:szCs w:val="22"/>
        </w:rPr>
      </w:pPr>
      <w:r>
        <w:rPr>
          <w:sz w:val="22"/>
          <w:szCs w:val="22"/>
        </w:rPr>
        <w:t>5</w:t>
      </w:r>
      <w:r w:rsidR="000D29DF" w:rsidRPr="00854E23">
        <w:rPr>
          <w:sz w:val="22"/>
          <w:szCs w:val="22"/>
        </w:rPr>
        <w:t>.</w:t>
      </w:r>
      <w:r w:rsidR="00854E23" w:rsidRPr="00854E23">
        <w:rPr>
          <w:sz w:val="22"/>
          <w:szCs w:val="22"/>
        </w:rPr>
        <w:tab/>
      </w:r>
      <w:r w:rsidR="000D29DF" w:rsidRPr="00854E23">
        <w:rPr>
          <w:sz w:val="22"/>
          <w:szCs w:val="22"/>
        </w:rPr>
        <w:t xml:space="preserve">Typically, as elsewhere, there is higher confidence in the coverage of physical oceanography data, while many deep-sea offshore habitats are under-studied and poorly inventoried. Some discrete geographical gaps were noted within the North-East Atlantic region, such as an absence of data for many individual </w:t>
      </w:r>
      <w:r w:rsidR="000D29DF" w:rsidRPr="005602FC">
        <w:rPr>
          <w:sz w:val="22"/>
          <w:szCs w:val="22"/>
        </w:rPr>
        <w:t>seamounts, which limited the workshop’s ability to fully describe all seamount complexes and other physiographic systems</w:t>
      </w:r>
      <w:r w:rsidR="008905FE">
        <w:rPr>
          <w:sz w:val="22"/>
          <w:szCs w:val="22"/>
        </w:rPr>
        <w:t>,</w:t>
      </w:r>
      <w:r w:rsidR="000D29DF" w:rsidRPr="005602FC">
        <w:rPr>
          <w:sz w:val="22"/>
          <w:szCs w:val="22"/>
        </w:rPr>
        <w:t xml:space="preserve"> such as canyons extending far offshore. Future collaboration and integration of data within projects such as the EU iAtlantic Project have the potential to strengthen future efforts.</w:t>
      </w:r>
    </w:p>
    <w:p w14:paraId="55A44650" w14:textId="27D4161A" w:rsidR="000D29DF" w:rsidRPr="005602FC" w:rsidRDefault="006E2368" w:rsidP="002E4B39">
      <w:pPr>
        <w:widowControl w:val="0"/>
        <w:autoSpaceDE w:val="0"/>
        <w:autoSpaceDN w:val="0"/>
        <w:adjustRightInd w:val="0"/>
        <w:spacing w:after="120"/>
        <w:jc w:val="both"/>
        <w:rPr>
          <w:sz w:val="22"/>
          <w:szCs w:val="22"/>
        </w:rPr>
      </w:pPr>
      <w:r w:rsidRPr="005602FC">
        <w:rPr>
          <w:sz w:val="22"/>
          <w:szCs w:val="22"/>
        </w:rPr>
        <w:t>6</w:t>
      </w:r>
      <w:r w:rsidR="000D29DF" w:rsidRPr="005602FC">
        <w:rPr>
          <w:sz w:val="22"/>
          <w:szCs w:val="22"/>
        </w:rPr>
        <w:t>.</w:t>
      </w:r>
      <w:r w:rsidR="00854E23" w:rsidRPr="005602FC">
        <w:rPr>
          <w:sz w:val="22"/>
          <w:szCs w:val="22"/>
        </w:rPr>
        <w:tab/>
      </w:r>
      <w:r w:rsidR="000D29DF" w:rsidRPr="005602FC">
        <w:rPr>
          <w:sz w:val="22"/>
          <w:szCs w:val="22"/>
        </w:rPr>
        <w:t>There is a need to better understand the relation</w:t>
      </w:r>
      <w:r w:rsidR="008905FE">
        <w:rPr>
          <w:sz w:val="22"/>
          <w:szCs w:val="22"/>
        </w:rPr>
        <w:t>ship</w:t>
      </w:r>
      <w:r w:rsidR="000D29DF" w:rsidRPr="005602FC">
        <w:rPr>
          <w:sz w:val="22"/>
          <w:szCs w:val="22"/>
        </w:rPr>
        <w:t xml:space="preserve"> between natural and human-induced change and its impact on marine biodiversity. Many threatened and/or declining species and habitats in the region exhibit traits with little adaptive potential to threats associated with climate change (Johnson et al. 2018).</w:t>
      </w:r>
    </w:p>
    <w:p w14:paraId="44A17843" w14:textId="6C9FFD8E" w:rsidR="003508D6" w:rsidRPr="005602FC" w:rsidRDefault="003508D6" w:rsidP="002E4B39">
      <w:pPr>
        <w:widowControl w:val="0"/>
        <w:autoSpaceDE w:val="0"/>
        <w:autoSpaceDN w:val="0"/>
        <w:adjustRightInd w:val="0"/>
        <w:spacing w:after="120"/>
        <w:jc w:val="both"/>
        <w:rPr>
          <w:sz w:val="22"/>
          <w:szCs w:val="22"/>
        </w:rPr>
      </w:pPr>
      <w:r w:rsidRPr="005602FC">
        <w:rPr>
          <w:sz w:val="22"/>
          <w:szCs w:val="22"/>
        </w:rPr>
        <w:t>7.</w:t>
      </w:r>
      <w:r w:rsidRPr="005602FC">
        <w:rPr>
          <w:sz w:val="22"/>
          <w:szCs w:val="22"/>
        </w:rPr>
        <w:tab/>
        <w:t>There is a need to better consider and engage traditional knowledge in the description of areas meeting the EBSA criteria through the full and effective participation of indigenous peoples and local communities.</w:t>
      </w:r>
    </w:p>
    <w:p w14:paraId="3462F267" w14:textId="6679AC9D" w:rsidR="000D29DF" w:rsidRPr="0028621C" w:rsidRDefault="000D29DF" w:rsidP="00854E23">
      <w:pPr>
        <w:jc w:val="both"/>
        <w:rPr>
          <w:b/>
          <w:bCs/>
          <w:sz w:val="22"/>
          <w:szCs w:val="22"/>
          <w:u w:val="single"/>
        </w:rPr>
      </w:pPr>
      <w:r w:rsidRPr="0028621C">
        <w:rPr>
          <w:b/>
          <w:bCs/>
          <w:sz w:val="22"/>
          <w:szCs w:val="22"/>
          <w:u w:val="single"/>
        </w:rPr>
        <w:t>Specific gaps</w:t>
      </w:r>
    </w:p>
    <w:p w14:paraId="0F2DC2A2" w14:textId="0FF9F513" w:rsidR="005602FC" w:rsidRPr="0028621C" w:rsidRDefault="003508D6" w:rsidP="002E4B39">
      <w:pPr>
        <w:widowControl w:val="0"/>
        <w:autoSpaceDE w:val="0"/>
        <w:autoSpaceDN w:val="0"/>
        <w:adjustRightInd w:val="0"/>
        <w:spacing w:after="120"/>
        <w:jc w:val="both"/>
        <w:rPr>
          <w:sz w:val="22"/>
          <w:szCs w:val="22"/>
        </w:rPr>
      </w:pPr>
      <w:r w:rsidRPr="0028621C">
        <w:rPr>
          <w:sz w:val="22"/>
          <w:szCs w:val="22"/>
        </w:rPr>
        <w:t>8.</w:t>
      </w:r>
      <w:r w:rsidRPr="0028621C">
        <w:rPr>
          <w:sz w:val="22"/>
          <w:szCs w:val="22"/>
        </w:rPr>
        <w:tab/>
      </w:r>
      <w:r w:rsidRPr="0028621C">
        <w:rPr>
          <w:sz w:val="22"/>
          <w:szCs w:val="22"/>
          <w:u w:val="single"/>
        </w:rPr>
        <w:t>Traditional knowledge</w:t>
      </w:r>
      <w:r w:rsidRPr="0028621C">
        <w:rPr>
          <w:sz w:val="22"/>
          <w:szCs w:val="22"/>
        </w:rPr>
        <w:t>: In consistenc</w:t>
      </w:r>
      <w:r w:rsidR="008905FE">
        <w:rPr>
          <w:sz w:val="22"/>
          <w:szCs w:val="22"/>
        </w:rPr>
        <w:t>e</w:t>
      </w:r>
      <w:r w:rsidRPr="0028621C">
        <w:rPr>
          <w:sz w:val="22"/>
          <w:szCs w:val="22"/>
        </w:rPr>
        <w:t xml:space="preserve"> with article 8(j)</w:t>
      </w:r>
      <w:r w:rsidR="00664DDD" w:rsidRPr="0028621C">
        <w:rPr>
          <w:sz w:val="22"/>
          <w:szCs w:val="22"/>
        </w:rPr>
        <w:t xml:space="preserve"> of the Convention on Biological Diversity</w:t>
      </w:r>
      <w:r w:rsidRPr="0028621C">
        <w:rPr>
          <w:sz w:val="22"/>
          <w:szCs w:val="22"/>
        </w:rPr>
        <w:t xml:space="preserve"> and Aichi Biodiversity Target 18, together with</w:t>
      </w:r>
      <w:r w:rsidR="005602FC" w:rsidRPr="0028621C">
        <w:rPr>
          <w:sz w:val="22"/>
          <w:szCs w:val="22"/>
        </w:rPr>
        <w:t xml:space="preserve"> various COP decisions</w:t>
      </w:r>
      <w:r w:rsidRPr="0028621C">
        <w:rPr>
          <w:sz w:val="22"/>
          <w:szCs w:val="22"/>
        </w:rPr>
        <w:t>, there is a need to ensure the full, effective and meaningful participation</w:t>
      </w:r>
      <w:r w:rsidR="005602FC" w:rsidRPr="0028621C">
        <w:rPr>
          <w:sz w:val="22"/>
          <w:szCs w:val="22"/>
        </w:rPr>
        <w:t xml:space="preserve"> </w:t>
      </w:r>
      <w:r w:rsidRPr="0028621C">
        <w:rPr>
          <w:sz w:val="22"/>
          <w:szCs w:val="22"/>
        </w:rPr>
        <w:t xml:space="preserve">of indigenous and local communities and the integration of </w:t>
      </w:r>
      <w:r w:rsidR="005602FC" w:rsidRPr="0028621C">
        <w:rPr>
          <w:sz w:val="22"/>
          <w:szCs w:val="22"/>
        </w:rPr>
        <w:t>traditional knowledge</w:t>
      </w:r>
      <w:r w:rsidRPr="0028621C">
        <w:rPr>
          <w:sz w:val="22"/>
          <w:szCs w:val="22"/>
        </w:rPr>
        <w:t xml:space="preserve"> in the EBSA process. </w:t>
      </w:r>
      <w:r w:rsidR="005602FC" w:rsidRPr="0028621C">
        <w:rPr>
          <w:sz w:val="22"/>
          <w:szCs w:val="22"/>
        </w:rPr>
        <w:t xml:space="preserve">This was further emphasized by the CBD COP in the Voluntary Practical Options for Further Enhancing Scientific Methodologies and Approaches, including Collaborative Arrangements, on the Description </w:t>
      </w:r>
      <w:r w:rsidR="00664DDD" w:rsidRPr="0028621C">
        <w:rPr>
          <w:sz w:val="22"/>
          <w:szCs w:val="22"/>
        </w:rPr>
        <w:t>o</w:t>
      </w:r>
      <w:r w:rsidR="005602FC" w:rsidRPr="0028621C">
        <w:rPr>
          <w:sz w:val="22"/>
          <w:szCs w:val="22"/>
        </w:rPr>
        <w:t xml:space="preserve">f Areas Meeting the EBSA criteria (annex II of decision XIII/12), which noted: </w:t>
      </w:r>
    </w:p>
    <w:p w14:paraId="24278EC2" w14:textId="69CC7310" w:rsidR="005602FC" w:rsidRPr="0028621C" w:rsidRDefault="005602FC" w:rsidP="005602FC">
      <w:pPr>
        <w:ind w:left="567" w:right="571"/>
        <w:jc w:val="both"/>
        <w:rPr>
          <w:sz w:val="22"/>
          <w:szCs w:val="22"/>
        </w:rPr>
      </w:pPr>
      <w:r w:rsidRPr="0028621C">
        <w:rPr>
          <w:sz w:val="22"/>
          <w:szCs w:val="22"/>
        </w:rPr>
        <w:t>“Given the unique challenges associated with the use of traditional knowledge, more work should be done to identify effective ways of including that information in the description of EBSAs. Training activities could be organized prior to workshops at the relevant scale, targeting both representatives and experts from indigenous peoples and local communities as well as from scientific institutions. This would build on the training manual on incorporating traditional knowledge into the description of EBSAs, as contained in document UNEP/CBD/SBSTTA/20/INF/21, as well as the relevant work by the Intergovernmental Science-Policy Platform on Biodiversity and Ecosystem Services”</w:t>
      </w:r>
    </w:p>
    <w:p w14:paraId="6B94A4D6" w14:textId="77777777" w:rsidR="003508D6" w:rsidRPr="0028621C" w:rsidRDefault="003508D6" w:rsidP="005602FC">
      <w:pPr>
        <w:jc w:val="both"/>
        <w:rPr>
          <w:sz w:val="22"/>
          <w:szCs w:val="22"/>
        </w:rPr>
      </w:pPr>
    </w:p>
    <w:p w14:paraId="408499BB" w14:textId="5E890274" w:rsidR="003508D6" w:rsidRPr="0028621C" w:rsidRDefault="005602FC" w:rsidP="002E4B39">
      <w:pPr>
        <w:spacing w:after="120"/>
        <w:jc w:val="both"/>
        <w:rPr>
          <w:sz w:val="22"/>
          <w:szCs w:val="22"/>
        </w:rPr>
      </w:pPr>
      <w:r w:rsidRPr="0028621C">
        <w:rPr>
          <w:sz w:val="22"/>
          <w:szCs w:val="22"/>
        </w:rPr>
        <w:t xml:space="preserve">Indigenous peoples and local </w:t>
      </w:r>
      <w:r w:rsidRPr="00BA3EED">
        <w:rPr>
          <w:sz w:val="22"/>
          <w:szCs w:val="22"/>
        </w:rPr>
        <w:t xml:space="preserve">communities in the North-East Atlantic have a significant amount of endemic, </w:t>
      </w:r>
      <w:r w:rsidRPr="00CC10A0">
        <w:rPr>
          <w:sz w:val="22"/>
          <w:szCs w:val="22"/>
        </w:rPr>
        <w:t xml:space="preserve">traditional knowledge relevant to the description of EBSAs in this region. However, this knowledge </w:t>
      </w:r>
      <w:r w:rsidR="008905FE" w:rsidRPr="00CC10A0">
        <w:rPr>
          <w:sz w:val="22"/>
          <w:szCs w:val="22"/>
        </w:rPr>
        <w:t xml:space="preserve">could not </w:t>
      </w:r>
      <w:r w:rsidRPr="00CC10A0">
        <w:rPr>
          <w:sz w:val="22"/>
          <w:szCs w:val="22"/>
        </w:rPr>
        <w:t>be used</w:t>
      </w:r>
      <w:r w:rsidR="00664DDD" w:rsidRPr="00CC10A0">
        <w:rPr>
          <w:sz w:val="22"/>
          <w:szCs w:val="22"/>
        </w:rPr>
        <w:t xml:space="preserve"> in this workshop</w:t>
      </w:r>
      <w:r w:rsidRPr="00CC10A0">
        <w:rPr>
          <w:sz w:val="22"/>
          <w:szCs w:val="22"/>
        </w:rPr>
        <w:t xml:space="preserve"> </w:t>
      </w:r>
      <w:r w:rsidR="008905FE" w:rsidRPr="00CC10A0">
        <w:rPr>
          <w:sz w:val="22"/>
          <w:szCs w:val="22"/>
        </w:rPr>
        <w:t>because</w:t>
      </w:r>
      <w:r w:rsidRPr="00CC10A0">
        <w:rPr>
          <w:sz w:val="22"/>
          <w:szCs w:val="22"/>
        </w:rPr>
        <w:t xml:space="preserve"> </w:t>
      </w:r>
      <w:r w:rsidR="008905FE" w:rsidRPr="00CC10A0">
        <w:rPr>
          <w:sz w:val="22"/>
          <w:szCs w:val="22"/>
        </w:rPr>
        <w:t xml:space="preserve">the </w:t>
      </w:r>
      <w:r w:rsidR="00BA3EED" w:rsidRPr="00846AD1">
        <w:rPr>
          <w:sz w:val="22"/>
          <w:szCs w:val="22"/>
        </w:rPr>
        <w:t xml:space="preserve">some </w:t>
      </w:r>
      <w:r w:rsidRPr="00CC10A0">
        <w:rPr>
          <w:sz w:val="22"/>
          <w:szCs w:val="22"/>
        </w:rPr>
        <w:t>geographical areas in which this knowledge is focused was not included in the workshop scope</w:t>
      </w:r>
      <w:r w:rsidR="008905FE" w:rsidRPr="00CC10A0">
        <w:rPr>
          <w:sz w:val="22"/>
          <w:szCs w:val="22"/>
        </w:rPr>
        <w:t>,</w:t>
      </w:r>
      <w:r w:rsidRPr="00CC10A0">
        <w:rPr>
          <w:sz w:val="22"/>
          <w:szCs w:val="22"/>
        </w:rPr>
        <w:t xml:space="preserve"> on the decision of Parties in the region. </w:t>
      </w:r>
      <w:r w:rsidR="003508D6" w:rsidRPr="00CC10A0">
        <w:rPr>
          <w:sz w:val="22"/>
          <w:szCs w:val="22"/>
        </w:rPr>
        <w:t>So</w:t>
      </w:r>
      <w:r w:rsidRPr="00CC10A0">
        <w:rPr>
          <w:sz w:val="22"/>
          <w:szCs w:val="22"/>
        </w:rPr>
        <w:t>,</w:t>
      </w:r>
      <w:r w:rsidR="003508D6" w:rsidRPr="00CC10A0">
        <w:rPr>
          <w:sz w:val="22"/>
          <w:szCs w:val="22"/>
        </w:rPr>
        <w:t xml:space="preserve"> for example</w:t>
      </w:r>
      <w:r w:rsidRPr="00CC10A0">
        <w:rPr>
          <w:sz w:val="22"/>
          <w:szCs w:val="22"/>
        </w:rPr>
        <w:t>,</w:t>
      </w:r>
      <w:r w:rsidR="003508D6" w:rsidRPr="00CC10A0">
        <w:rPr>
          <w:sz w:val="22"/>
          <w:szCs w:val="22"/>
        </w:rPr>
        <w:t xml:space="preserve"> </w:t>
      </w:r>
      <w:r w:rsidR="00664DDD" w:rsidRPr="00CC10A0">
        <w:rPr>
          <w:sz w:val="22"/>
          <w:szCs w:val="22"/>
        </w:rPr>
        <w:t xml:space="preserve">traditional knowledge from </w:t>
      </w:r>
      <w:r w:rsidR="003508D6" w:rsidRPr="00CC10A0">
        <w:rPr>
          <w:sz w:val="22"/>
          <w:szCs w:val="22"/>
        </w:rPr>
        <w:t xml:space="preserve"> the Saami </w:t>
      </w:r>
      <w:r w:rsidR="008905FE" w:rsidRPr="00CC10A0">
        <w:rPr>
          <w:sz w:val="22"/>
          <w:szCs w:val="22"/>
        </w:rPr>
        <w:t>and</w:t>
      </w:r>
      <w:r w:rsidR="003508D6" w:rsidRPr="00CC10A0">
        <w:rPr>
          <w:sz w:val="22"/>
          <w:szCs w:val="22"/>
        </w:rPr>
        <w:t xml:space="preserve"> Inuit areas </w:t>
      </w:r>
      <w:r w:rsidR="008905FE" w:rsidRPr="00CC10A0">
        <w:rPr>
          <w:sz w:val="22"/>
          <w:szCs w:val="22"/>
        </w:rPr>
        <w:t xml:space="preserve">could not be applied </w:t>
      </w:r>
      <w:r w:rsidR="00664DDD" w:rsidRPr="00CC10A0">
        <w:rPr>
          <w:sz w:val="22"/>
          <w:szCs w:val="22"/>
        </w:rPr>
        <w:t xml:space="preserve"> to the description of EBSAs in this region</w:t>
      </w:r>
      <w:r w:rsidR="003508D6" w:rsidRPr="00CC10A0">
        <w:rPr>
          <w:sz w:val="22"/>
          <w:szCs w:val="22"/>
        </w:rPr>
        <w:t xml:space="preserve"> in a meaningful way. Examples of knowledge that could</w:t>
      </w:r>
      <w:r w:rsidR="00664DDD" w:rsidRPr="00CC10A0">
        <w:rPr>
          <w:sz w:val="22"/>
          <w:szCs w:val="22"/>
        </w:rPr>
        <w:t xml:space="preserve"> have been valuable for this workshop</w:t>
      </w:r>
      <w:r w:rsidR="003508D6" w:rsidRPr="00CC10A0">
        <w:rPr>
          <w:sz w:val="22"/>
          <w:szCs w:val="22"/>
        </w:rPr>
        <w:t xml:space="preserve"> </w:t>
      </w:r>
      <w:r w:rsidR="00664DDD" w:rsidRPr="00CC10A0">
        <w:rPr>
          <w:sz w:val="22"/>
          <w:szCs w:val="22"/>
        </w:rPr>
        <w:t>include</w:t>
      </w:r>
      <w:r w:rsidR="003508D6" w:rsidRPr="00CC10A0">
        <w:rPr>
          <w:sz w:val="22"/>
          <w:szCs w:val="22"/>
        </w:rPr>
        <w:t xml:space="preserve"> knowledge </w:t>
      </w:r>
      <w:r w:rsidR="00664DDD" w:rsidRPr="00CC10A0">
        <w:rPr>
          <w:sz w:val="22"/>
          <w:szCs w:val="22"/>
        </w:rPr>
        <w:t>of</w:t>
      </w:r>
      <w:r w:rsidR="003508D6" w:rsidRPr="00CC10A0">
        <w:rPr>
          <w:sz w:val="22"/>
          <w:szCs w:val="22"/>
        </w:rPr>
        <w:t xml:space="preserve"> fishing grounds, spawning areas, streams, fauna, bird habitats and seabed conditions and also knowledge of customary use of areas, areas of social and economic importance, cultural heritage sites, subsistence use areas and sacred sites. Social, cultural and spiritual information are also of considerable importance to the conservation and sustainable use of biodiversity, as well as to the survival of indigenous peoples in the area. Social and cultural considerations </w:t>
      </w:r>
      <w:r w:rsidR="008905FE" w:rsidRPr="00CC10A0">
        <w:rPr>
          <w:sz w:val="22"/>
          <w:szCs w:val="22"/>
        </w:rPr>
        <w:t>would</w:t>
      </w:r>
      <w:r w:rsidR="003508D6" w:rsidRPr="00CC10A0">
        <w:rPr>
          <w:sz w:val="22"/>
          <w:szCs w:val="22"/>
        </w:rPr>
        <w:t xml:space="preserve"> not only add immediate value to the CBD EBSA process, but </w:t>
      </w:r>
      <w:r w:rsidR="008905FE" w:rsidRPr="00CC10A0">
        <w:rPr>
          <w:sz w:val="22"/>
          <w:szCs w:val="22"/>
        </w:rPr>
        <w:t>is</w:t>
      </w:r>
      <w:r w:rsidR="003508D6" w:rsidRPr="00CC10A0">
        <w:rPr>
          <w:sz w:val="22"/>
          <w:szCs w:val="22"/>
        </w:rPr>
        <w:t xml:space="preserve"> vital </w:t>
      </w:r>
      <w:r w:rsidR="008905FE" w:rsidRPr="00CC10A0">
        <w:rPr>
          <w:sz w:val="22"/>
          <w:szCs w:val="22"/>
        </w:rPr>
        <w:t>to</w:t>
      </w:r>
      <w:r w:rsidR="003508D6" w:rsidRPr="00CC10A0">
        <w:rPr>
          <w:sz w:val="22"/>
          <w:szCs w:val="22"/>
        </w:rPr>
        <w:t xml:space="preserve"> the success and long-term sustainability of the process, and the conservation and sustainable use of marine biodiversity in general</w:t>
      </w:r>
      <w:r w:rsidR="003508D6" w:rsidRPr="0028621C">
        <w:rPr>
          <w:sz w:val="22"/>
          <w:szCs w:val="22"/>
        </w:rPr>
        <w:t>.</w:t>
      </w:r>
    </w:p>
    <w:p w14:paraId="3F3715B4" w14:textId="50164EB1" w:rsidR="003508D6" w:rsidRPr="005602FC" w:rsidRDefault="00664DDD" w:rsidP="002E4B39">
      <w:pPr>
        <w:spacing w:after="120"/>
        <w:jc w:val="both"/>
        <w:rPr>
          <w:sz w:val="22"/>
          <w:szCs w:val="22"/>
        </w:rPr>
      </w:pPr>
      <w:r w:rsidRPr="0028621C">
        <w:rPr>
          <w:sz w:val="22"/>
          <w:szCs w:val="22"/>
        </w:rPr>
        <w:t>Furthermore, in consistenc</w:t>
      </w:r>
      <w:r w:rsidR="008905FE">
        <w:rPr>
          <w:sz w:val="22"/>
          <w:szCs w:val="22"/>
        </w:rPr>
        <w:t>e</w:t>
      </w:r>
      <w:r w:rsidRPr="0028621C">
        <w:rPr>
          <w:sz w:val="22"/>
          <w:szCs w:val="22"/>
        </w:rPr>
        <w:t xml:space="preserve"> with article 8(j) of the Convention on Biological Diversity and Aichi Biodiversity Target 18, together with various COP decisions, national processes </w:t>
      </w:r>
      <w:r w:rsidR="001B1942" w:rsidRPr="0028621C">
        <w:rPr>
          <w:sz w:val="22"/>
          <w:szCs w:val="22"/>
        </w:rPr>
        <w:t xml:space="preserve">applying the EBSA criteria or other similar criteria for identifying marine areas of particular importance should </w:t>
      </w:r>
      <w:r w:rsidR="003508D6" w:rsidRPr="0028621C">
        <w:rPr>
          <w:sz w:val="22"/>
          <w:szCs w:val="22"/>
        </w:rPr>
        <w:t>identify indigenous knowledge holders and/or indigenous peoples and local communities, include them in the national processes and also make the knowledge holders and/or indigenous peoples and local communities able to participate fully and effectively and with</w:t>
      </w:r>
      <w:r w:rsidR="00485B53" w:rsidRPr="00485B53">
        <w:rPr>
          <w:sz w:val="22"/>
          <w:szCs w:val="22"/>
        </w:rPr>
        <w:t xml:space="preserve"> their prior and informed consent or free, prior and informed consent or approval and involvement, as appropriate, and consistent with national legislation</w:t>
      </w:r>
      <w:r w:rsidR="00485B53">
        <w:rPr>
          <w:sz w:val="22"/>
          <w:szCs w:val="22"/>
        </w:rPr>
        <w:t xml:space="preserve"> </w:t>
      </w:r>
      <w:r w:rsidR="00485B53" w:rsidRPr="00485B53">
        <w:rPr>
          <w:sz w:val="22"/>
          <w:szCs w:val="22"/>
        </w:rPr>
        <w:t>and circumsta</w:t>
      </w:r>
      <w:r w:rsidR="00D066CB">
        <w:rPr>
          <w:sz w:val="22"/>
          <w:szCs w:val="22"/>
        </w:rPr>
        <w:t>n</w:t>
      </w:r>
      <w:r w:rsidR="00485B53" w:rsidRPr="00485B53">
        <w:rPr>
          <w:sz w:val="22"/>
          <w:szCs w:val="22"/>
        </w:rPr>
        <w:t>ces, and in accordance with international obligations</w:t>
      </w:r>
      <w:r w:rsidR="003508D6" w:rsidRPr="0028621C">
        <w:rPr>
          <w:sz w:val="22"/>
          <w:szCs w:val="22"/>
        </w:rPr>
        <w:t xml:space="preserve"> in processes wherever they are affected.</w:t>
      </w:r>
      <w:r w:rsidR="003508D6" w:rsidRPr="005602FC">
        <w:rPr>
          <w:sz w:val="22"/>
          <w:szCs w:val="22"/>
        </w:rPr>
        <w:t xml:space="preserve"> </w:t>
      </w:r>
    </w:p>
    <w:p w14:paraId="52FA3162" w14:textId="3EA4C54E" w:rsidR="000D29DF" w:rsidRPr="00854E23" w:rsidRDefault="003508D6" w:rsidP="006E2368">
      <w:pPr>
        <w:spacing w:after="120"/>
        <w:jc w:val="both"/>
        <w:rPr>
          <w:sz w:val="22"/>
          <w:szCs w:val="22"/>
        </w:rPr>
      </w:pPr>
      <w:r w:rsidRPr="005602FC">
        <w:rPr>
          <w:sz w:val="22"/>
          <w:szCs w:val="22"/>
        </w:rPr>
        <w:t>9</w:t>
      </w:r>
      <w:r w:rsidR="000D29DF" w:rsidRPr="005602FC">
        <w:rPr>
          <w:sz w:val="22"/>
          <w:szCs w:val="22"/>
        </w:rPr>
        <w:t>.</w:t>
      </w:r>
      <w:r w:rsidR="00854E23" w:rsidRPr="005602FC">
        <w:rPr>
          <w:sz w:val="22"/>
          <w:szCs w:val="22"/>
        </w:rPr>
        <w:tab/>
      </w:r>
      <w:r w:rsidR="000D29DF" w:rsidRPr="005602FC">
        <w:rPr>
          <w:bCs/>
          <w:sz w:val="22"/>
          <w:szCs w:val="22"/>
          <w:u w:val="single"/>
        </w:rPr>
        <w:t>The ‘Banana Hole’</w:t>
      </w:r>
      <w:r w:rsidR="000D29DF" w:rsidRPr="005602FC">
        <w:rPr>
          <w:sz w:val="22"/>
          <w:szCs w:val="22"/>
        </w:rPr>
        <w:t>: Due to lack of new specific biological or ecological information</w:t>
      </w:r>
      <w:r w:rsidR="008905FE">
        <w:rPr>
          <w:sz w:val="22"/>
          <w:szCs w:val="22"/>
        </w:rPr>
        <w:t>,</w:t>
      </w:r>
      <w:r w:rsidR="000D29DF" w:rsidRPr="005602FC">
        <w:rPr>
          <w:sz w:val="22"/>
          <w:szCs w:val="22"/>
        </w:rPr>
        <w:t xml:space="preserve"> no EBSA was proposed by the workshop for the ‘Banana Hole’ area. However, this area is known to support significant biomass production on all trophic levels, best visualized by large schools of feeding pelagic fish (Spring-spawning herring, macker</w:t>
      </w:r>
      <w:r w:rsidR="000D29DF" w:rsidRPr="00854E23">
        <w:rPr>
          <w:sz w:val="22"/>
          <w:szCs w:val="22"/>
        </w:rPr>
        <w:t xml:space="preserve">el, whiting). Complex hydrography (especially frontal processes) and different light levels influence phytoplankton production as noted below by the 2011 Joint OSPAR/NEAFC/CBD Scientific Workshop on the identification of EBSAs in the North-East Atlantic, Annex 16, which stated that </w:t>
      </w:r>
    </w:p>
    <w:p w14:paraId="4439F6BB" w14:textId="77777777" w:rsidR="006E2368" w:rsidRDefault="000D29DF" w:rsidP="006E2368">
      <w:pPr>
        <w:widowControl w:val="0"/>
        <w:autoSpaceDE w:val="0"/>
        <w:autoSpaceDN w:val="0"/>
        <w:adjustRightInd w:val="0"/>
        <w:ind w:left="567" w:right="855"/>
        <w:jc w:val="both"/>
        <w:rPr>
          <w:sz w:val="22"/>
          <w:szCs w:val="22"/>
        </w:rPr>
      </w:pPr>
      <w:r w:rsidRPr="00854E23">
        <w:rPr>
          <w:sz w:val="22"/>
          <w:szCs w:val="22"/>
        </w:rPr>
        <w:t xml:space="preserve">“The large-scale atmospheric pressure fields in the North Atlantic are closely linked to the general oceanic circulation patterns, and their variation is reflected in changing patterns of zooplankton biomass production (Skjoldal and Sætre, 2004). During periods of a high NAO index (NAOI) the zooplankton biomass, in particular that of </w:t>
      </w:r>
      <w:r w:rsidRPr="00846AD1">
        <w:rPr>
          <w:i/>
          <w:sz w:val="22"/>
          <w:szCs w:val="22"/>
        </w:rPr>
        <w:t>Calanus finmarchicus</w:t>
      </w:r>
      <w:r w:rsidRPr="00854E23">
        <w:rPr>
          <w:sz w:val="22"/>
          <w:szCs w:val="22"/>
        </w:rPr>
        <w:t>, is high, during periods of a low NAOI the biomass is low (Skjoldal and Sætre, 2004). The transition from one to the other NAO state is suspected to trigger particularly successful recruitment for the most important pelagic fishes: herring respond positively to the switch from low to high NAOI, blue whiting to a switch from high to low NAOI (Skjoldal and Sætre, 2004).</w:t>
      </w:r>
    </w:p>
    <w:p w14:paraId="6DED813D" w14:textId="77777777" w:rsidR="006E2368" w:rsidRDefault="006E2368" w:rsidP="006E2368">
      <w:pPr>
        <w:widowControl w:val="0"/>
        <w:autoSpaceDE w:val="0"/>
        <w:autoSpaceDN w:val="0"/>
        <w:adjustRightInd w:val="0"/>
        <w:ind w:left="567" w:right="855"/>
        <w:jc w:val="both"/>
        <w:rPr>
          <w:sz w:val="22"/>
          <w:szCs w:val="22"/>
        </w:rPr>
      </w:pPr>
    </w:p>
    <w:p w14:paraId="1CC2AD6F" w14:textId="7EBB2E55" w:rsidR="000D29DF" w:rsidRPr="00854E23" w:rsidRDefault="000D29DF" w:rsidP="006E2368">
      <w:pPr>
        <w:widowControl w:val="0"/>
        <w:autoSpaceDE w:val="0"/>
        <w:autoSpaceDN w:val="0"/>
        <w:adjustRightInd w:val="0"/>
        <w:ind w:left="567" w:right="855"/>
        <w:jc w:val="both"/>
        <w:rPr>
          <w:sz w:val="22"/>
          <w:szCs w:val="22"/>
        </w:rPr>
      </w:pPr>
      <w:r w:rsidRPr="00854E23">
        <w:rPr>
          <w:sz w:val="22"/>
          <w:szCs w:val="22"/>
        </w:rPr>
        <w:t>Recent studies reveal that sea surface warming in the Northeast Atlantic is accompanied by significant latitudinal shifts in the size distribution of phytoplankton (Richardson and Shoeman, 2004), and in the species distribution of zooplankton (Beaugrand et al., 2002) and fish (Brander et al., 2003). In addition, due to different control mechanisms (light, temperature, food) for the various ecosystem components, a variable trophic match (or mismatch) may contribute to these distribution shifts, in the end affecting also the commercially important species, primarily fish, and dependent predators such as marine mammals and sea birds (Edwards and Richardson, 2004).”</w:t>
      </w:r>
    </w:p>
    <w:p w14:paraId="32742F98" w14:textId="77777777" w:rsidR="000D29DF" w:rsidRPr="00854E23" w:rsidRDefault="000D29DF" w:rsidP="00854E23">
      <w:pPr>
        <w:rPr>
          <w:sz w:val="22"/>
          <w:szCs w:val="22"/>
        </w:rPr>
      </w:pPr>
    </w:p>
    <w:p w14:paraId="2E5296FD" w14:textId="040C5DCC" w:rsidR="000D29DF" w:rsidRPr="00854E23" w:rsidRDefault="003508D6" w:rsidP="002E4B39">
      <w:pPr>
        <w:widowControl w:val="0"/>
        <w:autoSpaceDE w:val="0"/>
        <w:autoSpaceDN w:val="0"/>
        <w:adjustRightInd w:val="0"/>
        <w:spacing w:after="120"/>
        <w:jc w:val="both"/>
        <w:rPr>
          <w:sz w:val="22"/>
          <w:szCs w:val="22"/>
        </w:rPr>
      </w:pPr>
      <w:r>
        <w:rPr>
          <w:sz w:val="22"/>
          <w:szCs w:val="22"/>
        </w:rPr>
        <w:t>10</w:t>
      </w:r>
      <w:r w:rsidR="000D29DF" w:rsidRPr="00854E23">
        <w:rPr>
          <w:sz w:val="22"/>
          <w:szCs w:val="22"/>
        </w:rPr>
        <w:t xml:space="preserve">. </w:t>
      </w:r>
      <w:r w:rsidR="00854E23" w:rsidRPr="00854E23">
        <w:rPr>
          <w:sz w:val="22"/>
          <w:szCs w:val="22"/>
        </w:rPr>
        <w:tab/>
      </w:r>
      <w:r w:rsidR="000D29DF" w:rsidRPr="00854E23">
        <w:rPr>
          <w:bCs/>
          <w:sz w:val="22"/>
          <w:szCs w:val="22"/>
          <w:u w:val="single"/>
        </w:rPr>
        <w:t>Migratory species</w:t>
      </w:r>
      <w:r w:rsidR="000D29DF" w:rsidRPr="00854E23">
        <w:rPr>
          <w:sz w:val="22"/>
          <w:szCs w:val="22"/>
        </w:rPr>
        <w:t>: Dunn et al. (2019, p.2) highlight challenges faced by migratory species, stating that “migratory connectivity, the geographical linking of individuals and populations throughout their migratory cycles, influences how spatial and temporal dynamics of stressors affect migratory animals and scale up to influence population abundance, distribution and species persistence. Population declines of many migratory marine species have led to calls for connectivity knowledge, especially insights from animal tracking studies, to be more systematically and synthetically incorporated into decision-making. Inclusion of migratory connectivity in the design of conservation and management measures is critical to ensure they are appropriate for the level of risk associated with various degrees of connectivity”. For the North-East Atlantic, in common with many other marine regions benthic and pelagic interconnectivity, as well as interconnections between the High Seas and surrounding shelf ecology, is incompletely understood. Gaps were recognized by the workshop for the following taxa:</w:t>
      </w:r>
    </w:p>
    <w:p w14:paraId="7729E937" w14:textId="04AE6F6F" w:rsidR="000D29DF" w:rsidRPr="00854E23" w:rsidRDefault="000D29DF" w:rsidP="00846AD1">
      <w:pPr>
        <w:spacing w:after="120"/>
        <w:ind w:left="360"/>
        <w:rPr>
          <w:rFonts w:eastAsia="Times"/>
          <w:i/>
          <w:iCs/>
          <w:sz w:val="22"/>
          <w:szCs w:val="22"/>
        </w:rPr>
      </w:pPr>
      <w:r w:rsidRPr="00854E23">
        <w:rPr>
          <w:rFonts w:eastAsia="Times"/>
          <w:i/>
          <w:iCs/>
          <w:sz w:val="22"/>
          <w:szCs w:val="22"/>
        </w:rPr>
        <w:t>i. Turtles</w:t>
      </w:r>
    </w:p>
    <w:p w14:paraId="1DE4ECC7" w14:textId="4B8405DC" w:rsidR="000D29DF" w:rsidRPr="00854E23" w:rsidRDefault="000D29DF" w:rsidP="00854E23">
      <w:pPr>
        <w:jc w:val="both"/>
        <w:rPr>
          <w:color w:val="222222"/>
          <w:sz w:val="22"/>
          <w:szCs w:val="22"/>
          <w:lang w:val="en-GB"/>
        </w:rPr>
      </w:pPr>
      <w:r w:rsidRPr="00854E23">
        <w:rPr>
          <w:color w:val="222222"/>
          <w:sz w:val="22"/>
          <w:szCs w:val="22"/>
          <w:lang w:val="en-IE"/>
        </w:rPr>
        <w:t xml:space="preserve">For </w:t>
      </w:r>
      <w:r w:rsidRPr="00854E23">
        <w:rPr>
          <w:color w:val="222222"/>
          <w:sz w:val="22"/>
          <w:szCs w:val="22"/>
          <w:lang w:val="en-GB"/>
        </w:rPr>
        <w:t>Leatherback turtle</w:t>
      </w:r>
      <w:r w:rsidR="006E2368">
        <w:rPr>
          <w:color w:val="222222"/>
          <w:sz w:val="22"/>
          <w:szCs w:val="22"/>
          <w:lang w:val="en-GB"/>
        </w:rPr>
        <w:t>s</w:t>
      </w:r>
      <w:r w:rsidRPr="00854E23">
        <w:rPr>
          <w:color w:val="222222"/>
          <w:sz w:val="22"/>
          <w:szCs w:val="22"/>
          <w:lang w:val="en-GB"/>
        </w:rPr>
        <w:t>, scientific research within the North-East Atlantic region has been comparatively limited so far. Based on the regional scale of this EBSA assessment process and the much larger North Atlantic extent of the gyre, plus gaps in the current knowledge base around sea turtle migration, foraging ecology and habitat use, it was concluded that a proposal reflecting the significance of turtle migration would not be brought forward at this stage.</w:t>
      </w:r>
    </w:p>
    <w:p w14:paraId="725C4344" w14:textId="77777777" w:rsidR="000D29DF" w:rsidRPr="00854E23" w:rsidRDefault="000D29DF" w:rsidP="00854E23">
      <w:pPr>
        <w:rPr>
          <w:rFonts w:eastAsia="Times"/>
          <w:sz w:val="22"/>
          <w:szCs w:val="22"/>
        </w:rPr>
      </w:pPr>
    </w:p>
    <w:p w14:paraId="454DE783" w14:textId="21DF0ACF" w:rsidR="000D29DF" w:rsidRPr="00854E23" w:rsidRDefault="000D29DF" w:rsidP="00846AD1">
      <w:pPr>
        <w:spacing w:after="120"/>
        <w:ind w:left="360"/>
        <w:jc w:val="both"/>
        <w:rPr>
          <w:rFonts w:eastAsia="Times"/>
          <w:i/>
          <w:iCs/>
          <w:sz w:val="22"/>
          <w:szCs w:val="22"/>
        </w:rPr>
      </w:pPr>
      <w:r w:rsidRPr="00854E23">
        <w:rPr>
          <w:rFonts w:eastAsia="Times"/>
          <w:i/>
          <w:iCs/>
          <w:sz w:val="22"/>
          <w:szCs w:val="22"/>
        </w:rPr>
        <w:t>ii. Marine mammals</w:t>
      </w:r>
    </w:p>
    <w:p w14:paraId="58B7703E" w14:textId="77777777" w:rsidR="000D29DF" w:rsidRPr="00854E23" w:rsidRDefault="000D29DF" w:rsidP="00854E23">
      <w:pPr>
        <w:jc w:val="both"/>
        <w:rPr>
          <w:rFonts w:eastAsia="Times"/>
          <w:sz w:val="22"/>
          <w:szCs w:val="22"/>
        </w:rPr>
      </w:pPr>
      <w:r w:rsidRPr="00854E23">
        <w:rPr>
          <w:rFonts w:eastAsia="Times"/>
          <w:sz w:val="22"/>
          <w:szCs w:val="22"/>
        </w:rPr>
        <w:t>For marine mammals in the North East Atlantic, although there exist a number of initial tracking studies, particularly of large cetaceans such as fin whales (</w:t>
      </w:r>
      <w:r w:rsidRPr="00854E23">
        <w:rPr>
          <w:rFonts w:eastAsia="Times"/>
          <w:i/>
          <w:sz w:val="22"/>
          <w:szCs w:val="22"/>
        </w:rPr>
        <w:t>Balaenoptera physalus</w:t>
      </w:r>
      <w:r w:rsidRPr="00854E23">
        <w:rPr>
          <w:rFonts w:eastAsia="Times"/>
          <w:sz w:val="22"/>
          <w:szCs w:val="22"/>
        </w:rPr>
        <w:t>) and sei whales (</w:t>
      </w:r>
      <w:r w:rsidRPr="00854E23">
        <w:rPr>
          <w:rFonts w:eastAsia="Times"/>
          <w:i/>
          <w:sz w:val="22"/>
          <w:szCs w:val="22"/>
        </w:rPr>
        <w:t>Balaenoptera physalus</w:t>
      </w:r>
      <w:r w:rsidRPr="00854E23">
        <w:rPr>
          <w:rFonts w:eastAsia="Times"/>
          <w:sz w:val="22"/>
          <w:szCs w:val="22"/>
        </w:rPr>
        <w:t>) from the Azores (Silva et al. 2013, Pireto et al., 2014), and other tracking studies of humpback whales (</w:t>
      </w:r>
      <w:r w:rsidRPr="00854E23">
        <w:rPr>
          <w:rFonts w:eastAsia="Times"/>
          <w:i/>
          <w:sz w:val="22"/>
          <w:szCs w:val="22"/>
        </w:rPr>
        <w:t>Megaptera novaeangliae</w:t>
      </w:r>
      <w:r w:rsidRPr="00854E23">
        <w:rPr>
          <w:rFonts w:eastAsia="Times"/>
          <w:sz w:val="22"/>
          <w:szCs w:val="22"/>
        </w:rPr>
        <w:t xml:space="preserve">) between the Arctic and Caribbean (Kennedy et al., 2013, UiT, 2018), there are still many gaps regarding the spatial and temporal use of habitats by these and other cetacean species across the region. The presence and known transient movement of some animals, such as humpback whales from photo-identification studies, is well documented but whether they are restricted to particular areas or range more widely is not fully understood (Stevick et al., 2006, Ryan et al., 2015, Lavan , 2017, O’Neil et al., 2019). More specifically, it is known that many cetaceans migrate from wintering grounds in the southern areas of the region to highly productive foraging areas in the Labrador Sea, Greenlandic/Icelandic waters, Norway and Svalbard. Interpretation of preliminary analyses available for sei whales and fin whales is based on the best available but limited sample of telemetry data drawn from the, strongly indicated the potential presence of a route between the Charlie Gibbs Fracture Zone and the Labrador Sea for this species (Olsen et al., 2009), as well as migratory stepping stones and foraging stops along their pathway between the Azores and Greenlandic/Icelandic waters (Silva et al. 2013). Though limited, the best available data suggests the area is a critical corridor in part of a complex migration process of large baleen whales that can involve longitudinal movements between the two sides of the ocean basin in addition to expected latitudinal movements (Pireto et al. 2014). Tagging programmes that provide relatively long records of movements of large whales are often expensive and logistically demanding, so sample sizes are often limited, and results may have biases that may or may not be quantifiable. Recent efforts by specialists are developing standards for how such data can be used to infer use of areas in their area of specialization, in particular the recent combination of satellite tracking and stable isotope analysis, which has further indicated the link between wintering and feeding grounds of North Atlantic baleen whales (Silva et al., 2017). </w:t>
      </w:r>
    </w:p>
    <w:p w14:paraId="1059EAB2" w14:textId="77777777" w:rsidR="000D29DF" w:rsidRPr="00854E23" w:rsidRDefault="000D29DF" w:rsidP="00854E23">
      <w:pPr>
        <w:jc w:val="both"/>
        <w:rPr>
          <w:rFonts w:eastAsia="Times"/>
          <w:sz w:val="22"/>
          <w:szCs w:val="22"/>
        </w:rPr>
      </w:pPr>
    </w:p>
    <w:p w14:paraId="648D5EEA" w14:textId="77777777" w:rsidR="000D29DF" w:rsidRPr="00854E23" w:rsidRDefault="000D29DF" w:rsidP="00854E23">
      <w:pPr>
        <w:jc w:val="both"/>
        <w:rPr>
          <w:rFonts w:eastAsia="Times"/>
          <w:sz w:val="22"/>
          <w:szCs w:val="22"/>
        </w:rPr>
      </w:pPr>
      <w:r w:rsidRPr="00854E23">
        <w:rPr>
          <w:rFonts w:eastAsia="Times"/>
          <w:sz w:val="22"/>
          <w:szCs w:val="22"/>
        </w:rPr>
        <w:t xml:space="preserve">There are further gaps identified in the coverage of systematic line-transect surveys of marine mammals in large parts of the region, particularly for those areas away from national jurisdictions. Large sightings survey campaigns for marine mammals (cetaceans and pinnipeds) are underway in the northern parts of the regions (i.e. T-NASS, SCANS, CODA) but the temporal scale of these efforts still reflect a gap in knowledge on the trends in marine mammal abundance and density over time (CODA, 2009, Hammond et al., 2017, NAMMCO, 2018). Additional research from both dedicated survey efforts and opportunistic fisheries observation have further indicated the importance for the diversity and seasonal habotat use of the Azores for North Atlantic marine mammals (Silva et al., 2014, </w:t>
      </w:r>
      <w:r w:rsidRPr="00854E23">
        <w:rPr>
          <w:color w:val="000000"/>
          <w:sz w:val="22"/>
          <w:szCs w:val="22"/>
        </w:rPr>
        <w:t>Tobeña et al., 2016</w:t>
      </w:r>
      <w:r w:rsidRPr="00854E23">
        <w:rPr>
          <w:rFonts w:eastAsia="Times"/>
          <w:sz w:val="22"/>
          <w:szCs w:val="22"/>
        </w:rPr>
        <w:t>). Further research is being developed in the form of habitat and surface density modelling of marine mammal line-transect as well as opportunistic data from non-marine mammal focused research cruises, to provide predicted estimates of an oceanic scale. Such research includes those undertaken by the MERP project in European Waters (ICES, 2018). The IUCN MMPATF is undertaking a number of studies to improve the identification of Important Marine Mammal Areas (IMMAs) throughout the world’s seas and oceans, in particular through the development and application of such habitat and density surface models (IUCN MMPATF, 2018). This includes the use of Historic Whaling Data available via the International Whaling Commission (IWC) and the Census of Marine Life (CoML) to indicate areas of interest (AoI) for the future identification of IMMAs (Smith et al., 2012). More recently the IUCN MMPATF has been developing approaches for predictive modelling of marine mammals beyond areas of high effort concentration, using hybrid presence–absence and presence-only modelling techniques (Fiedler et al., 2018).</w:t>
      </w:r>
    </w:p>
    <w:p w14:paraId="1E7F3650" w14:textId="77777777" w:rsidR="000D29DF" w:rsidRPr="00854E23" w:rsidRDefault="000D29DF" w:rsidP="00854E23">
      <w:pPr>
        <w:rPr>
          <w:rFonts w:eastAsia="Times"/>
          <w:sz w:val="22"/>
          <w:szCs w:val="22"/>
        </w:rPr>
      </w:pPr>
    </w:p>
    <w:p w14:paraId="4776CD96" w14:textId="361D72B5" w:rsidR="000D29DF" w:rsidRPr="00854E23" w:rsidRDefault="000D29DF" w:rsidP="00846AD1">
      <w:pPr>
        <w:spacing w:after="120"/>
        <w:ind w:left="450"/>
        <w:rPr>
          <w:i/>
          <w:iCs/>
          <w:sz w:val="22"/>
          <w:szCs w:val="22"/>
        </w:rPr>
      </w:pPr>
      <w:r w:rsidRPr="00854E23">
        <w:rPr>
          <w:i/>
          <w:iCs/>
          <w:sz w:val="22"/>
          <w:szCs w:val="22"/>
        </w:rPr>
        <w:t>iii Seabirds</w:t>
      </w:r>
    </w:p>
    <w:p w14:paraId="33B9BD39" w14:textId="5BD8F353" w:rsidR="000D29DF" w:rsidRPr="00854E23" w:rsidRDefault="000D29DF" w:rsidP="00854E23">
      <w:pPr>
        <w:jc w:val="both"/>
        <w:rPr>
          <w:sz w:val="22"/>
          <w:szCs w:val="22"/>
        </w:rPr>
      </w:pPr>
      <w:r w:rsidRPr="00854E23">
        <w:rPr>
          <w:color w:val="222222"/>
          <w:sz w:val="22"/>
          <w:szCs w:val="22"/>
        </w:rPr>
        <w:t>Seabird migration patterns and non-breeding distribution have been some of the most important knowledge gaps, needed to be filled for effective management of seabird populations. Now, with a combined effort of researchers all around the North-East Atlantic participating in SEATRACK (</w:t>
      </w:r>
      <w:hyperlink r:id="rId323" w:tgtFrame="_blank" w:history="1">
        <w:r w:rsidRPr="00854E23">
          <w:rPr>
            <w:color w:val="1155CC"/>
            <w:sz w:val="22"/>
            <w:szCs w:val="22"/>
            <w:u w:val="single"/>
          </w:rPr>
          <w:t>http://www.seapop.no/en/seatrack/</w:t>
        </w:r>
      </w:hyperlink>
      <w:r w:rsidRPr="00854E23">
        <w:rPr>
          <w:color w:val="222222"/>
          <w:sz w:val="22"/>
          <w:szCs w:val="22"/>
        </w:rPr>
        <w:t>)</w:t>
      </w:r>
      <w:r w:rsidR="00D066CB">
        <w:rPr>
          <w:color w:val="222222"/>
          <w:sz w:val="22"/>
          <w:szCs w:val="22"/>
        </w:rPr>
        <w:t xml:space="preserve"> and in the Seabird Tracking database held by BirdLife International</w:t>
      </w:r>
      <w:r w:rsidRPr="00854E23">
        <w:rPr>
          <w:color w:val="222222"/>
          <w:sz w:val="22"/>
          <w:szCs w:val="22"/>
        </w:rPr>
        <w:t>, light-logging technology has enabled mapping (since 2014) of important seabird moulting and wintering areas as well as migration routes on a much larger scale and in greater detail than ever before. To document the variation in habitat use across ocean regions, priority has been given to species with a breeding range spanning the whole study area. Th</w:t>
      </w:r>
      <w:r w:rsidR="00D066CB">
        <w:rPr>
          <w:color w:val="222222"/>
          <w:sz w:val="22"/>
          <w:szCs w:val="22"/>
        </w:rPr>
        <w:t xml:space="preserve">ese are </w:t>
      </w:r>
      <w:r w:rsidRPr="00854E23">
        <w:rPr>
          <w:color w:val="222222"/>
          <w:sz w:val="22"/>
          <w:szCs w:val="22"/>
        </w:rPr>
        <w:t>ongoing program</w:t>
      </w:r>
      <w:r w:rsidR="00D066CB">
        <w:rPr>
          <w:color w:val="222222"/>
          <w:sz w:val="22"/>
          <w:szCs w:val="22"/>
        </w:rPr>
        <w:t>mes</w:t>
      </w:r>
      <w:r w:rsidRPr="00854E23">
        <w:rPr>
          <w:color w:val="222222"/>
          <w:sz w:val="22"/>
          <w:szCs w:val="22"/>
        </w:rPr>
        <w:t xml:space="preserve"> and will be important information for future work with EBSAs in the region.</w:t>
      </w:r>
      <w:r w:rsidRPr="00854E23">
        <w:rPr>
          <w:sz w:val="22"/>
          <w:szCs w:val="22"/>
        </w:rPr>
        <w:t xml:space="preserve"> </w:t>
      </w:r>
      <w:r w:rsidRPr="00854E23">
        <w:rPr>
          <w:color w:val="222222"/>
          <w:sz w:val="22"/>
          <w:szCs w:val="22"/>
          <w:shd w:val="clear" w:color="auto" w:fill="FFFFFF"/>
          <w:lang w:val="en-GB"/>
        </w:rPr>
        <w:t>During the workshop, a lack of sea bird data for the Swedish part of Kattegat and Skagerrak was noted. However, national efforts are currently undertaken to survey seabirds in the Kattegat.</w:t>
      </w:r>
    </w:p>
    <w:p w14:paraId="0058A411" w14:textId="639AE1BC" w:rsidR="00CC2D57" w:rsidRDefault="00CC2D57" w:rsidP="00854E23">
      <w:pPr>
        <w:jc w:val="both"/>
        <w:rPr>
          <w:color w:val="222222"/>
          <w:sz w:val="22"/>
          <w:szCs w:val="22"/>
          <w:lang w:val="en-GB"/>
        </w:rPr>
      </w:pPr>
    </w:p>
    <w:p w14:paraId="19483077" w14:textId="267D5EE4" w:rsidR="00CC2D57" w:rsidRDefault="00CC2D57" w:rsidP="002E4B39">
      <w:pPr>
        <w:widowControl w:val="0"/>
        <w:autoSpaceDE w:val="0"/>
        <w:autoSpaceDN w:val="0"/>
        <w:adjustRightInd w:val="0"/>
        <w:spacing w:after="120"/>
        <w:jc w:val="both"/>
        <w:rPr>
          <w:color w:val="222222"/>
          <w:sz w:val="22"/>
          <w:szCs w:val="22"/>
          <w:lang w:val="en-GB"/>
        </w:rPr>
      </w:pPr>
      <w:r>
        <w:rPr>
          <w:sz w:val="22"/>
          <w:szCs w:val="22"/>
        </w:rPr>
        <w:t xml:space="preserve">11 </w:t>
      </w:r>
      <w:r>
        <w:rPr>
          <w:sz w:val="22"/>
          <w:szCs w:val="22"/>
        </w:rPr>
        <w:tab/>
      </w:r>
      <w:r w:rsidRPr="00846AD1">
        <w:rPr>
          <w:sz w:val="22"/>
          <w:szCs w:val="22"/>
          <w:u w:val="single"/>
        </w:rPr>
        <w:t>Benthic communities</w:t>
      </w:r>
      <w:r w:rsidR="003E5922">
        <w:rPr>
          <w:sz w:val="22"/>
          <w:szCs w:val="22"/>
        </w:rPr>
        <w:t xml:space="preserve">: </w:t>
      </w:r>
      <w:r>
        <w:rPr>
          <w:color w:val="222222"/>
          <w:sz w:val="22"/>
          <w:szCs w:val="22"/>
          <w:lang w:val="en-GB"/>
        </w:rPr>
        <w:t xml:space="preserve">We are unable to assess large areas of the abyssal environment of the North East Atlantic due to a complete lack of data. Although traditionally regarded as a flat featureless environment the abyss has a highly complex landscape with millions of hills and mountains. Recent studies suggest abyssal hills of just 10s of meters in height may enhance megafaunal biomass and there may be considerable </w:t>
      </w:r>
      <w:r w:rsidRPr="002E4B39">
        <w:rPr>
          <w:sz w:val="22"/>
          <w:szCs w:val="22"/>
        </w:rPr>
        <w:t>unquantified</w:t>
      </w:r>
      <w:r>
        <w:rPr>
          <w:color w:val="222222"/>
          <w:sz w:val="22"/>
          <w:szCs w:val="22"/>
          <w:lang w:val="en-GB"/>
        </w:rPr>
        <w:t xml:space="preserve"> heterogeneity in these systems (Durden et al., 2015; Morris et al., 2016). About one third of the benthic species present in deep water appear to be endemic and the degree of endemism increases with depth (Vinogradova, 1997). Rarity is common in the abyssal environment</w:t>
      </w:r>
      <w:r w:rsidR="003E5922">
        <w:rPr>
          <w:color w:val="222222"/>
          <w:sz w:val="22"/>
          <w:szCs w:val="22"/>
          <w:lang w:val="en-GB"/>
        </w:rPr>
        <w:t>,</w:t>
      </w:r>
      <w:r>
        <w:rPr>
          <w:color w:val="222222"/>
          <w:sz w:val="22"/>
          <w:szCs w:val="22"/>
          <w:lang w:val="en-GB"/>
        </w:rPr>
        <w:t>so estimating the diversity of this region is challenging. The abyssal environment may be significantly affected by climate change as a result of changes to surface primary production which is then expressed as changes in the composition, abundance and timing of food supply to the deep sea (Wigham et al., 2003; Ruhl et al., 2008). This could make abyssal systems highly vulnerable. </w:t>
      </w:r>
    </w:p>
    <w:p w14:paraId="1075ECB3" w14:textId="02F56C73" w:rsidR="0001504F" w:rsidRDefault="00CC2D57" w:rsidP="00846AD1">
      <w:pPr>
        <w:pStyle w:val="CommentText"/>
        <w:spacing w:after="0"/>
      </w:pPr>
      <w:r>
        <w:rPr>
          <w:color w:val="222222"/>
          <w:szCs w:val="22"/>
        </w:rPr>
        <w:t xml:space="preserve">In addition, it is difficult to assess many bathyal areas in ANBJ due to a complete lack of data.  Studies from bathyal regions within North East Atlantic nations EEZs suggest that these regions may support significant three-dimensional structural habitats including sea pen fields, sponge aggregations, </w:t>
      </w:r>
      <w:r w:rsidRPr="00846AD1">
        <w:rPr>
          <w:i/>
          <w:color w:val="222222"/>
          <w:szCs w:val="22"/>
        </w:rPr>
        <w:t>Acanella</w:t>
      </w:r>
      <w:r>
        <w:rPr>
          <w:color w:val="222222"/>
          <w:szCs w:val="22"/>
        </w:rPr>
        <w:t xml:space="preserve"> (Bamboo coral) fields, cup coral fields, and other coral aggregations (</w:t>
      </w:r>
      <w:r w:rsidRPr="00846AD1">
        <w:rPr>
          <w:i/>
          <w:color w:val="222222"/>
          <w:szCs w:val="22"/>
        </w:rPr>
        <w:t>Radicipes</w:t>
      </w:r>
      <w:r>
        <w:rPr>
          <w:color w:val="222222"/>
          <w:szCs w:val="22"/>
        </w:rPr>
        <w:t xml:space="preserve"> fields) (Howell, 2010). These habitats may play important roles in other animal life histories, for example Baillon et al., (2012) found that larvae of red fish (</w:t>
      </w:r>
      <w:r w:rsidRPr="00846AD1">
        <w:rPr>
          <w:i/>
          <w:color w:val="222222"/>
          <w:szCs w:val="22"/>
        </w:rPr>
        <w:t>Sebastes</w:t>
      </w:r>
      <w:r>
        <w:rPr>
          <w:color w:val="222222"/>
          <w:szCs w:val="22"/>
        </w:rPr>
        <w:t>) closely associate with five species of sea pen. A greater understanding of the distribution of these habitats is needed. Given the vast area of un-explored deep sea, habitat suitability modelling and species distribution modelling could provide an important means to fill the data gaps (Howell et al., 2016). However, it is important that model limitations are understood, and on-going research is investigating this. Good models rely on good input data, and efforts to map the seafloor over the next decade (Seabed 2030) will certainly provide improved input data.  In addition</w:t>
      </w:r>
      <w:r w:rsidR="00BE686E">
        <w:rPr>
          <w:color w:val="222222"/>
          <w:szCs w:val="22"/>
        </w:rPr>
        <w:t>,</w:t>
      </w:r>
      <w:r>
        <w:rPr>
          <w:color w:val="222222"/>
          <w:szCs w:val="22"/>
        </w:rPr>
        <w:t xml:space="preserve"> good models must also be based on a firm understanding of the relationship between species distribution and environmental drivers. Research aimed at understanding these relationships is needed</w:t>
      </w:r>
      <w:r w:rsidR="0001504F">
        <w:rPr>
          <w:color w:val="222222"/>
          <w:szCs w:val="22"/>
        </w:rPr>
        <w:t xml:space="preserve"> and </w:t>
      </w:r>
      <w:r w:rsidR="0001504F">
        <w:t xml:space="preserve">highlighted in </w:t>
      </w:r>
      <w:r w:rsidR="0001504F" w:rsidRPr="00122A5F">
        <w:rPr>
          <w:lang w:val="en-CA"/>
        </w:rPr>
        <w:t>decision XIII/1, the CBD COP ‘voluntary specific workplan on biodiversity in cold-water areas within the jurisdictional scope of the Convention’</w:t>
      </w:r>
      <w:r w:rsidR="0001504F">
        <w:rPr>
          <w:lang w:val="en-CA"/>
        </w:rPr>
        <w:t>.</w:t>
      </w:r>
    </w:p>
    <w:p w14:paraId="669A1BBE" w14:textId="3C0967A5" w:rsidR="000D29DF" w:rsidRPr="006E2368" w:rsidRDefault="000D29DF" w:rsidP="003E5922">
      <w:pPr>
        <w:jc w:val="both"/>
        <w:rPr>
          <w:color w:val="222222"/>
          <w:sz w:val="22"/>
          <w:szCs w:val="22"/>
          <w:lang w:val="en-GB"/>
        </w:rPr>
      </w:pPr>
    </w:p>
    <w:p w14:paraId="15AF886F" w14:textId="5B60598E" w:rsidR="000D29DF" w:rsidRPr="00854E23" w:rsidRDefault="003508D6" w:rsidP="002E4B39">
      <w:pPr>
        <w:widowControl w:val="0"/>
        <w:autoSpaceDE w:val="0"/>
        <w:autoSpaceDN w:val="0"/>
        <w:adjustRightInd w:val="0"/>
        <w:spacing w:after="120"/>
        <w:jc w:val="both"/>
        <w:rPr>
          <w:color w:val="222222"/>
          <w:sz w:val="22"/>
          <w:szCs w:val="22"/>
          <w:lang w:val="en-GB"/>
        </w:rPr>
      </w:pPr>
      <w:r>
        <w:rPr>
          <w:sz w:val="22"/>
          <w:szCs w:val="22"/>
        </w:rPr>
        <w:t>12.</w:t>
      </w:r>
      <w:r w:rsidR="000D29DF" w:rsidRPr="006E2368">
        <w:rPr>
          <w:sz w:val="22"/>
          <w:szCs w:val="22"/>
        </w:rPr>
        <w:t xml:space="preserve"> </w:t>
      </w:r>
      <w:r w:rsidR="00854E23" w:rsidRPr="006E2368">
        <w:rPr>
          <w:sz w:val="22"/>
          <w:szCs w:val="22"/>
        </w:rPr>
        <w:tab/>
      </w:r>
      <w:r w:rsidR="000D29DF" w:rsidRPr="006E2368">
        <w:rPr>
          <w:bCs/>
          <w:sz w:val="22"/>
          <w:szCs w:val="22"/>
          <w:u w:val="single"/>
        </w:rPr>
        <w:t>Vulnerability of deep-sea organisms</w:t>
      </w:r>
      <w:r w:rsidR="000D29DF" w:rsidRPr="006E2368">
        <w:rPr>
          <w:sz w:val="22"/>
          <w:szCs w:val="22"/>
        </w:rPr>
        <w:t xml:space="preserve">: </w:t>
      </w:r>
      <w:r w:rsidR="000D29DF" w:rsidRPr="006E2368">
        <w:rPr>
          <w:color w:val="222222"/>
          <w:sz w:val="22"/>
          <w:szCs w:val="22"/>
          <w:lang w:val="en-GB"/>
        </w:rPr>
        <w:t xml:space="preserve">It is challenging to assess inherent vulnerability of deep-sea organisms as a result of serious gaps in our fundamental ecological knowledge for most species. This includes physical and chemical drivers of distribution, abundance, biomass, growth rates, fecundity, longevity, reproductive cycles, larval behaviour and connectivity to name some key aspects. These data form the input to all biological ecosystem models. Our ability to forecast how marine biodiversity will respond to environmental change and other anthropogenic pressures, depends on good fundamental ecological, biological and physiological knowledge. At present, we have a limited understanding of the linkages </w:t>
      </w:r>
      <w:r w:rsidR="000D29DF" w:rsidRPr="002E4B39">
        <w:rPr>
          <w:sz w:val="22"/>
          <w:szCs w:val="22"/>
        </w:rPr>
        <w:t>between</w:t>
      </w:r>
      <w:r w:rsidR="000D29DF" w:rsidRPr="006E2368">
        <w:rPr>
          <w:color w:val="222222"/>
          <w:sz w:val="22"/>
          <w:szCs w:val="22"/>
          <w:lang w:val="en-GB"/>
        </w:rPr>
        <w:t xml:space="preserve"> habitats and species, including ontogenetic or seasonal movement between habitats, larval dispersal pathways and genetic connectivity, and patterns of succession (DOSI 2018)  </w:t>
      </w:r>
    </w:p>
    <w:p w14:paraId="66FB8403" w14:textId="54F20146" w:rsidR="000D29DF" w:rsidRPr="00854E23" w:rsidRDefault="000D29DF" w:rsidP="00854E23">
      <w:pPr>
        <w:spacing w:after="120"/>
        <w:jc w:val="both"/>
        <w:rPr>
          <w:bCs/>
          <w:color w:val="000000"/>
          <w:sz w:val="22"/>
          <w:szCs w:val="22"/>
          <w:lang w:eastAsia="en-GB"/>
        </w:rPr>
      </w:pPr>
      <w:r w:rsidRPr="00854E23">
        <w:rPr>
          <w:bCs/>
          <w:color w:val="000000"/>
          <w:sz w:val="22"/>
          <w:szCs w:val="22"/>
          <w:lang w:eastAsia="en-GB"/>
        </w:rPr>
        <w:t>1</w:t>
      </w:r>
      <w:r w:rsidR="003508D6">
        <w:rPr>
          <w:bCs/>
          <w:color w:val="000000"/>
          <w:sz w:val="22"/>
          <w:szCs w:val="22"/>
          <w:lang w:eastAsia="en-GB"/>
        </w:rPr>
        <w:t>3</w:t>
      </w:r>
      <w:r w:rsidRPr="00854E23">
        <w:rPr>
          <w:bCs/>
          <w:color w:val="000000"/>
          <w:sz w:val="22"/>
          <w:szCs w:val="22"/>
          <w:lang w:eastAsia="en-GB"/>
        </w:rPr>
        <w:t>.</w:t>
      </w:r>
      <w:r w:rsidR="00854E23" w:rsidRPr="00854E23">
        <w:rPr>
          <w:bCs/>
          <w:color w:val="000000"/>
          <w:sz w:val="22"/>
          <w:szCs w:val="22"/>
          <w:lang w:eastAsia="en-GB"/>
        </w:rPr>
        <w:tab/>
      </w:r>
      <w:r w:rsidRPr="00854E23">
        <w:rPr>
          <w:color w:val="000000"/>
          <w:sz w:val="22"/>
          <w:szCs w:val="22"/>
          <w:u w:val="single"/>
          <w:lang w:eastAsia="en-GB"/>
        </w:rPr>
        <w:t>Resolving uncertainties for coldwater areas</w:t>
      </w:r>
      <w:r w:rsidRPr="00854E23">
        <w:rPr>
          <w:bCs/>
          <w:color w:val="000000"/>
          <w:sz w:val="22"/>
          <w:szCs w:val="22"/>
          <w:lang w:eastAsia="en-GB"/>
        </w:rPr>
        <w:t>:</w:t>
      </w:r>
      <w:r w:rsidR="006E2368">
        <w:rPr>
          <w:color w:val="000000"/>
          <w:sz w:val="22"/>
          <w:szCs w:val="22"/>
          <w:lang w:eastAsia="en-GB"/>
        </w:rPr>
        <w:t xml:space="preserve"> In d</w:t>
      </w:r>
      <w:r w:rsidRPr="00854E23">
        <w:rPr>
          <w:color w:val="000000"/>
          <w:sz w:val="22"/>
          <w:szCs w:val="22"/>
          <w:lang w:eastAsia="en-GB"/>
        </w:rPr>
        <w:t>ecision XIII/1</w:t>
      </w:r>
      <w:r w:rsidR="006E2368">
        <w:rPr>
          <w:color w:val="000000"/>
          <w:sz w:val="22"/>
          <w:szCs w:val="22"/>
          <w:lang w:eastAsia="en-GB"/>
        </w:rPr>
        <w:t>, the CBD COP</w:t>
      </w:r>
      <w:r w:rsidRPr="00854E23">
        <w:rPr>
          <w:color w:val="000000"/>
          <w:sz w:val="22"/>
          <w:szCs w:val="22"/>
          <w:lang w:eastAsia="en-GB"/>
        </w:rPr>
        <w:t xml:space="preserve"> </w:t>
      </w:r>
      <w:r w:rsidR="006E2368">
        <w:rPr>
          <w:color w:val="000000"/>
          <w:sz w:val="22"/>
          <w:szCs w:val="22"/>
          <w:lang w:eastAsia="en-GB"/>
        </w:rPr>
        <w:t>adopted the</w:t>
      </w:r>
      <w:r w:rsidRPr="00854E23">
        <w:rPr>
          <w:color w:val="000000"/>
          <w:sz w:val="22"/>
          <w:szCs w:val="22"/>
          <w:lang w:eastAsia="en-GB"/>
        </w:rPr>
        <w:t xml:space="preserve"> ‘voluntary specific workplan on biodiversity in cold-water areas within the jurisdictional scope of the Convention’. This workplan advanced five objectives:</w:t>
      </w:r>
    </w:p>
    <w:p w14:paraId="72A5C053" w14:textId="2AF3E506" w:rsidR="000D29DF" w:rsidRPr="00854E23" w:rsidRDefault="000D29DF" w:rsidP="00AB0765">
      <w:pPr>
        <w:pStyle w:val="ListParagraph"/>
        <w:numPr>
          <w:ilvl w:val="0"/>
          <w:numId w:val="12"/>
        </w:numPr>
        <w:spacing w:after="120"/>
        <w:ind w:leftChars="0"/>
        <w:rPr>
          <w:rFonts w:eastAsia="Times New Roman"/>
          <w:color w:val="000000"/>
          <w:szCs w:val="22"/>
          <w:lang w:eastAsia="en-GB"/>
        </w:rPr>
      </w:pPr>
      <w:r w:rsidRPr="00854E23">
        <w:rPr>
          <w:rFonts w:eastAsia="Times New Roman"/>
          <w:color w:val="000000"/>
          <w:szCs w:val="22"/>
          <w:lang w:eastAsia="en-GB"/>
        </w:rPr>
        <w:t>To avoid, minimize and mitigate the impacts of global and local stressors, and especially the combined and cumulative effects of multiple stressors;</w:t>
      </w:r>
    </w:p>
    <w:p w14:paraId="5C3DCBD8" w14:textId="784CC907" w:rsidR="000D29DF" w:rsidRPr="00854E23" w:rsidRDefault="000D29DF" w:rsidP="00AB0765">
      <w:pPr>
        <w:pStyle w:val="ListParagraph"/>
        <w:numPr>
          <w:ilvl w:val="0"/>
          <w:numId w:val="12"/>
        </w:numPr>
        <w:spacing w:after="120"/>
        <w:ind w:leftChars="0"/>
        <w:rPr>
          <w:rFonts w:eastAsia="Times New Roman"/>
          <w:color w:val="000000"/>
          <w:szCs w:val="22"/>
          <w:lang w:eastAsia="en-GB"/>
        </w:rPr>
      </w:pPr>
      <w:r w:rsidRPr="00854E23">
        <w:rPr>
          <w:rFonts w:eastAsia="Times New Roman"/>
          <w:color w:val="000000"/>
          <w:szCs w:val="22"/>
          <w:lang w:eastAsia="en-GB"/>
        </w:rPr>
        <w:t>To maintain and enhance the resilience of ecosystems in cold-water areas in order to contribute to the achievement of Aichi Biodiversity Targets 10, 11 and 15, and thereby enable the continued provisioning of goods and services;</w:t>
      </w:r>
    </w:p>
    <w:p w14:paraId="30A10A3A" w14:textId="7A09E95F" w:rsidR="000D29DF" w:rsidRPr="00854E23" w:rsidRDefault="000D29DF" w:rsidP="00AB0765">
      <w:pPr>
        <w:pStyle w:val="ListParagraph"/>
        <w:numPr>
          <w:ilvl w:val="0"/>
          <w:numId w:val="12"/>
        </w:numPr>
        <w:spacing w:after="120"/>
        <w:ind w:leftChars="0"/>
        <w:rPr>
          <w:rFonts w:eastAsia="Times New Roman"/>
          <w:color w:val="000000"/>
          <w:szCs w:val="22"/>
          <w:lang w:eastAsia="en-GB"/>
        </w:rPr>
      </w:pPr>
      <w:r w:rsidRPr="00854E23">
        <w:rPr>
          <w:rFonts w:eastAsia="Times New Roman"/>
          <w:color w:val="000000"/>
          <w:szCs w:val="22"/>
          <w:lang w:eastAsia="en-GB"/>
        </w:rPr>
        <w:t>To identify and protect refugia sites, and areas capable of acting as refugia sites, and adopt, as appropriate, other area-based conservation measures, in order to enhance the adaptive capacity of cold-water ecosystems;</w:t>
      </w:r>
    </w:p>
    <w:p w14:paraId="2B7D2D66" w14:textId="7AFDF21F" w:rsidR="000D29DF" w:rsidRPr="00854E23" w:rsidRDefault="000D29DF" w:rsidP="00AB0765">
      <w:pPr>
        <w:pStyle w:val="ListParagraph"/>
        <w:numPr>
          <w:ilvl w:val="0"/>
          <w:numId w:val="12"/>
        </w:numPr>
        <w:spacing w:after="120"/>
        <w:ind w:leftChars="0"/>
        <w:rPr>
          <w:rFonts w:eastAsia="Times New Roman"/>
          <w:color w:val="000000"/>
          <w:szCs w:val="22"/>
          <w:lang w:eastAsia="en-GB"/>
        </w:rPr>
      </w:pPr>
      <w:r w:rsidRPr="00854E23">
        <w:rPr>
          <w:rFonts w:eastAsia="Times New Roman"/>
          <w:color w:val="000000"/>
          <w:szCs w:val="22"/>
          <w:lang w:eastAsia="en-GB"/>
        </w:rPr>
        <w:t>To enhance understanding of ecosystems in cold-water areas, including by improving the ability to predict the occurrence of species and habitats and to understand their vulnerability to different types of stressors as well as the combined and cumulative effects of various stressors;</w:t>
      </w:r>
    </w:p>
    <w:p w14:paraId="7C4368A2" w14:textId="77777777" w:rsidR="000D29DF" w:rsidRPr="00854E23" w:rsidRDefault="000D29DF" w:rsidP="00AB0765">
      <w:pPr>
        <w:pStyle w:val="ListParagraph"/>
        <w:numPr>
          <w:ilvl w:val="0"/>
          <w:numId w:val="12"/>
        </w:numPr>
        <w:ind w:leftChars="0"/>
        <w:rPr>
          <w:rFonts w:eastAsia="Times New Roman"/>
          <w:color w:val="000000"/>
          <w:szCs w:val="22"/>
          <w:lang w:eastAsia="en-GB"/>
        </w:rPr>
      </w:pPr>
      <w:r w:rsidRPr="00854E23">
        <w:rPr>
          <w:rFonts w:eastAsia="Times New Roman"/>
          <w:color w:val="000000"/>
          <w:szCs w:val="22"/>
          <w:lang w:eastAsia="en-GB"/>
        </w:rPr>
        <w:t>To enhance international and regional cooperation in support of national implementation, building on existing international and regional initiatives and creating synergies with various relevant areas of work within the Convention.</w:t>
      </w:r>
    </w:p>
    <w:p w14:paraId="4112131A" w14:textId="77777777" w:rsidR="000D29DF" w:rsidRPr="00854E23" w:rsidRDefault="000D29DF" w:rsidP="00854E23">
      <w:pPr>
        <w:jc w:val="both"/>
        <w:rPr>
          <w:color w:val="000000"/>
          <w:sz w:val="22"/>
          <w:szCs w:val="22"/>
          <w:lang w:eastAsia="en-GB"/>
        </w:rPr>
      </w:pPr>
    </w:p>
    <w:p w14:paraId="066EEAD6" w14:textId="44C2171D" w:rsidR="000D29DF" w:rsidRPr="00854E23" w:rsidRDefault="000D29DF" w:rsidP="00854E23">
      <w:pPr>
        <w:spacing w:after="120"/>
        <w:jc w:val="both"/>
        <w:rPr>
          <w:color w:val="000000"/>
          <w:sz w:val="22"/>
          <w:szCs w:val="22"/>
          <w:lang w:eastAsia="en-GB"/>
        </w:rPr>
      </w:pPr>
      <w:r w:rsidRPr="00854E23">
        <w:rPr>
          <w:color w:val="000000"/>
          <w:sz w:val="22"/>
          <w:szCs w:val="22"/>
          <w:lang w:eastAsia="en-GB"/>
        </w:rPr>
        <w:t>Within this workplan</w:t>
      </w:r>
      <w:r w:rsidR="006E2368">
        <w:rPr>
          <w:color w:val="000000"/>
          <w:sz w:val="22"/>
          <w:szCs w:val="22"/>
          <w:lang w:eastAsia="en-GB"/>
        </w:rPr>
        <w:t>,</w:t>
      </w:r>
      <w:r w:rsidRPr="00854E23">
        <w:rPr>
          <w:color w:val="000000"/>
          <w:sz w:val="22"/>
          <w:szCs w:val="22"/>
          <w:lang w:eastAsia="en-GB"/>
        </w:rPr>
        <w:t xml:space="preserve"> the pressures and threats to biodiversity in cold-water areas were considered alongside a series of focal areas that would assist resolving on-going uncertainties and gaps in knowledge:</w:t>
      </w:r>
    </w:p>
    <w:p w14:paraId="261AF942" w14:textId="4122306A" w:rsidR="000D29DF" w:rsidRPr="00854E23" w:rsidRDefault="000D29DF" w:rsidP="00AB0765">
      <w:pPr>
        <w:pStyle w:val="ListParagraph"/>
        <w:numPr>
          <w:ilvl w:val="0"/>
          <w:numId w:val="13"/>
        </w:numPr>
        <w:spacing w:after="120"/>
        <w:ind w:leftChars="0"/>
        <w:rPr>
          <w:rFonts w:eastAsia="Times New Roman"/>
          <w:color w:val="000000"/>
          <w:szCs w:val="22"/>
          <w:lang w:eastAsia="en-GB"/>
        </w:rPr>
      </w:pPr>
      <w:r w:rsidRPr="00854E23">
        <w:rPr>
          <w:rFonts w:eastAsia="Times New Roman"/>
          <w:color w:val="000000"/>
          <w:szCs w:val="22"/>
          <w:lang w:eastAsia="en-GB"/>
        </w:rPr>
        <w:t>Greater understanding of the interactions among species within trophic webs is needed. Whether an impact of climate change on one organism will impact the survival of other organisms is poorly understood at present. Mesocosm experiments, where communities are subjected to projected future conditions, can help to address this.</w:t>
      </w:r>
    </w:p>
    <w:p w14:paraId="6BDEABDC" w14:textId="6BCF817A" w:rsidR="000D29DF" w:rsidRPr="00854E23" w:rsidRDefault="000D29DF" w:rsidP="00AB0765">
      <w:pPr>
        <w:pStyle w:val="ListParagraph"/>
        <w:numPr>
          <w:ilvl w:val="0"/>
          <w:numId w:val="13"/>
        </w:numPr>
        <w:spacing w:after="120"/>
        <w:ind w:leftChars="0"/>
        <w:rPr>
          <w:rFonts w:eastAsia="Times New Roman"/>
          <w:color w:val="000000"/>
          <w:szCs w:val="22"/>
          <w:lang w:eastAsia="en-GB"/>
        </w:rPr>
      </w:pPr>
      <w:r w:rsidRPr="00854E23">
        <w:rPr>
          <w:rFonts w:eastAsia="Times New Roman"/>
          <w:color w:val="000000"/>
          <w:szCs w:val="22"/>
          <w:lang w:eastAsia="en-GB"/>
        </w:rPr>
        <w:t>Impacts of ocean acidification on different life stages of cold-water organisms need to be studied. Early life stages of a number of organisms may be at particular risk from ocean acidification, with impacts including decreased larval size, reduced morphological complexity and decreased calcification. Further work needs to be done on different life stages of many cold-water organisms.</w:t>
      </w:r>
    </w:p>
    <w:p w14:paraId="73A0324F" w14:textId="5C67DD50" w:rsidR="000D29DF" w:rsidRPr="00854E23" w:rsidRDefault="000D29DF" w:rsidP="00AB0765">
      <w:pPr>
        <w:pStyle w:val="ListParagraph"/>
        <w:numPr>
          <w:ilvl w:val="0"/>
          <w:numId w:val="13"/>
        </w:numPr>
        <w:spacing w:after="120"/>
        <w:ind w:leftChars="0"/>
        <w:rPr>
          <w:rFonts w:eastAsia="Times New Roman"/>
          <w:color w:val="000000"/>
          <w:szCs w:val="22"/>
          <w:lang w:eastAsia="en-GB"/>
        </w:rPr>
      </w:pPr>
      <w:r w:rsidRPr="00854E23">
        <w:rPr>
          <w:rFonts w:eastAsia="Times New Roman"/>
          <w:color w:val="000000"/>
          <w:szCs w:val="22"/>
          <w:lang w:eastAsia="en-GB"/>
        </w:rPr>
        <w:t>Existing variability in organism response to ocean acidification needs to be investigated further to assess the potential for evolutionary adaptation. Multi-generational studies with calcifying and non-calcifying algal cultures show that adaptation to high CO</w:t>
      </w:r>
      <w:r w:rsidRPr="00854E23">
        <w:rPr>
          <w:rFonts w:eastAsia="Times New Roman"/>
          <w:color w:val="000000"/>
          <w:szCs w:val="22"/>
          <w:vertAlign w:val="subscript"/>
          <w:lang w:eastAsia="en-GB"/>
        </w:rPr>
        <w:t>2</w:t>
      </w:r>
      <w:r w:rsidRPr="00854E23">
        <w:rPr>
          <w:rFonts w:eastAsia="Times New Roman"/>
          <w:color w:val="000000"/>
          <w:szCs w:val="22"/>
          <w:lang w:eastAsia="en-GB"/>
        </w:rPr>
        <w:t xml:space="preserve"> is possible for some species. Such studies are more difficult to conduct for long-lived organisms or for organisms from the deep sea. Even with adaptation, community composition and ecosystem function are still likely to change.</w:t>
      </w:r>
    </w:p>
    <w:p w14:paraId="63B6E5DA" w14:textId="77777777" w:rsidR="000D29DF" w:rsidRPr="00854E23" w:rsidRDefault="000D29DF" w:rsidP="00AB0765">
      <w:pPr>
        <w:pStyle w:val="ListParagraph"/>
        <w:numPr>
          <w:ilvl w:val="0"/>
          <w:numId w:val="13"/>
        </w:numPr>
        <w:ind w:leftChars="0"/>
        <w:rPr>
          <w:rFonts w:eastAsia="Times New Roman"/>
          <w:color w:val="000000"/>
          <w:szCs w:val="22"/>
          <w:lang w:eastAsia="en-GB"/>
        </w:rPr>
      </w:pPr>
      <w:r w:rsidRPr="00854E23">
        <w:rPr>
          <w:rFonts w:eastAsia="Times New Roman"/>
          <w:color w:val="000000"/>
          <w:szCs w:val="22"/>
          <w:lang w:eastAsia="en-GB"/>
        </w:rPr>
        <w:t xml:space="preserve">Research on ocean acidification increasingly needs to involve other stressors, such as changes in temperature as well as deoxygenation, as will occur under field conditions in the future. Acidification may interact with many other changes in the marine environment on both local and global scales. These “multiple stressors” include changes in temperature, nutrients and oxygen. </w:t>
      </w:r>
      <w:r w:rsidRPr="00854E23">
        <w:rPr>
          <w:rFonts w:eastAsia="Times New Roman"/>
          <w:i/>
          <w:iCs/>
          <w:color w:val="000000"/>
          <w:szCs w:val="22"/>
          <w:lang w:eastAsia="en-GB"/>
        </w:rPr>
        <w:t>In situ</w:t>
      </w:r>
      <w:r w:rsidRPr="00854E23">
        <w:rPr>
          <w:rFonts w:eastAsia="Times New Roman"/>
          <w:color w:val="000000"/>
          <w:szCs w:val="22"/>
          <w:lang w:eastAsia="en-GB"/>
        </w:rPr>
        <w:t xml:space="preserve"> experiments on whole communities (using natural CO</w:t>
      </w:r>
      <w:r w:rsidRPr="00854E23">
        <w:rPr>
          <w:rFonts w:eastAsia="Times New Roman"/>
          <w:color w:val="000000"/>
          <w:szCs w:val="22"/>
          <w:vertAlign w:val="subscript"/>
          <w:lang w:eastAsia="en-GB"/>
        </w:rPr>
        <w:t>2</w:t>
      </w:r>
      <w:r w:rsidRPr="00854E23">
        <w:rPr>
          <w:rFonts w:eastAsia="Times New Roman"/>
          <w:color w:val="000000"/>
          <w:szCs w:val="22"/>
          <w:lang w:eastAsia="en-GB"/>
        </w:rPr>
        <w:t xml:space="preserve"> vents or CO</w:t>
      </w:r>
      <w:r w:rsidRPr="00854E23">
        <w:rPr>
          <w:rFonts w:eastAsia="Times New Roman"/>
          <w:color w:val="000000"/>
          <w:szCs w:val="22"/>
          <w:vertAlign w:val="subscript"/>
          <w:lang w:eastAsia="en-GB"/>
        </w:rPr>
        <w:t>2</w:t>
      </w:r>
      <w:r w:rsidRPr="00854E23">
        <w:rPr>
          <w:rFonts w:eastAsia="Times New Roman"/>
          <w:color w:val="000000"/>
          <w:szCs w:val="22"/>
          <w:lang w:eastAsia="en-GB"/>
        </w:rPr>
        <w:t xml:space="preserve"> enrichment mesocosms) provide a good opportunity to investigate the impacts of multiple stressors on communities in order to increase understanding of future impacts.</w:t>
      </w:r>
    </w:p>
    <w:p w14:paraId="7A9CBE6C" w14:textId="77777777" w:rsidR="000D29DF" w:rsidRPr="00854E23" w:rsidRDefault="000D29DF" w:rsidP="00854E23">
      <w:pPr>
        <w:rPr>
          <w:color w:val="000000"/>
          <w:sz w:val="22"/>
          <w:szCs w:val="22"/>
          <w:lang w:eastAsia="en-GB"/>
        </w:rPr>
      </w:pPr>
    </w:p>
    <w:p w14:paraId="6A423A74" w14:textId="77777777" w:rsidR="000D29DF" w:rsidRPr="00854E23" w:rsidRDefault="000D29DF" w:rsidP="00854E23">
      <w:pPr>
        <w:rPr>
          <w:sz w:val="22"/>
          <w:szCs w:val="22"/>
        </w:rPr>
      </w:pPr>
      <w:r w:rsidRPr="00854E23">
        <w:rPr>
          <w:sz w:val="22"/>
          <w:szCs w:val="22"/>
        </w:rPr>
        <w:t>The workshop recognized the value of this workplan to address gaps and uncertainties for the North-East Atlantic region.</w:t>
      </w:r>
    </w:p>
    <w:p w14:paraId="09C972D9" w14:textId="77777777" w:rsidR="000D29DF" w:rsidRPr="00854E23" w:rsidRDefault="000D29DF" w:rsidP="00854E23">
      <w:pPr>
        <w:rPr>
          <w:sz w:val="22"/>
          <w:szCs w:val="22"/>
        </w:rPr>
      </w:pPr>
    </w:p>
    <w:p w14:paraId="2C92FD44" w14:textId="1A588411" w:rsidR="000D29DF" w:rsidRPr="00854E23" w:rsidRDefault="000D29DF" w:rsidP="002E4B39">
      <w:pPr>
        <w:widowControl w:val="0"/>
        <w:autoSpaceDE w:val="0"/>
        <w:autoSpaceDN w:val="0"/>
        <w:adjustRightInd w:val="0"/>
        <w:spacing w:after="120"/>
        <w:jc w:val="both"/>
        <w:rPr>
          <w:sz w:val="22"/>
          <w:szCs w:val="22"/>
        </w:rPr>
      </w:pPr>
      <w:r w:rsidRPr="00854E23">
        <w:rPr>
          <w:sz w:val="22"/>
          <w:szCs w:val="22"/>
        </w:rPr>
        <w:t>1</w:t>
      </w:r>
      <w:r w:rsidR="003508D6">
        <w:rPr>
          <w:sz w:val="22"/>
          <w:szCs w:val="22"/>
        </w:rPr>
        <w:t>4</w:t>
      </w:r>
      <w:r w:rsidRPr="00854E23">
        <w:rPr>
          <w:sz w:val="22"/>
          <w:szCs w:val="22"/>
        </w:rPr>
        <w:t>.</w:t>
      </w:r>
      <w:r w:rsidR="00854E23" w:rsidRPr="00854E23">
        <w:rPr>
          <w:sz w:val="22"/>
          <w:szCs w:val="22"/>
        </w:rPr>
        <w:tab/>
      </w:r>
      <w:r w:rsidRPr="00854E23">
        <w:rPr>
          <w:bCs/>
          <w:sz w:val="22"/>
          <w:szCs w:val="22"/>
          <w:u w:val="single"/>
        </w:rPr>
        <w:t>Capacity building and integration</w:t>
      </w:r>
      <w:r w:rsidRPr="00854E23">
        <w:rPr>
          <w:sz w:val="22"/>
          <w:szCs w:val="22"/>
        </w:rPr>
        <w:t xml:space="preserve">: the workshop acknowledged the need to combine information from different processes in order to raise capacity and inform planning </w:t>
      </w:r>
      <w:r w:rsidR="009331D2">
        <w:rPr>
          <w:sz w:val="22"/>
          <w:szCs w:val="22"/>
        </w:rPr>
        <w:t>within the context of</w:t>
      </w:r>
      <w:r w:rsidRPr="00854E23">
        <w:rPr>
          <w:sz w:val="22"/>
          <w:szCs w:val="22"/>
        </w:rPr>
        <w:t xml:space="preserve"> the UN Decade of Ocean Science for Sustainable Development. </w:t>
      </w:r>
    </w:p>
    <w:p w14:paraId="1E0ADF2A" w14:textId="77777777" w:rsidR="000D29DF" w:rsidRPr="00854E23" w:rsidRDefault="000D29DF" w:rsidP="000D29DF">
      <w:pPr>
        <w:rPr>
          <w:sz w:val="22"/>
          <w:szCs w:val="22"/>
          <w:u w:val="single"/>
        </w:rPr>
      </w:pPr>
    </w:p>
    <w:p w14:paraId="22201059" w14:textId="59F95FB3" w:rsidR="000D29DF" w:rsidRPr="00854E23" w:rsidRDefault="00854E23" w:rsidP="00854E23">
      <w:pPr>
        <w:spacing w:after="120"/>
        <w:rPr>
          <w:b/>
          <w:bCs/>
          <w:sz w:val="22"/>
          <w:szCs w:val="22"/>
        </w:rPr>
      </w:pPr>
      <w:r w:rsidRPr="00854E23">
        <w:rPr>
          <w:b/>
          <w:bCs/>
          <w:sz w:val="22"/>
          <w:szCs w:val="22"/>
        </w:rPr>
        <w:t>REFERENCES</w:t>
      </w:r>
    </w:p>
    <w:p w14:paraId="39245E2A" w14:textId="77777777" w:rsidR="000D29DF" w:rsidRPr="00854E23" w:rsidRDefault="000D29DF" w:rsidP="00854E23">
      <w:pPr>
        <w:spacing w:after="120"/>
        <w:ind w:left="709" w:hanging="709"/>
        <w:rPr>
          <w:color w:val="000000" w:themeColor="text1"/>
          <w:sz w:val="22"/>
          <w:szCs w:val="22"/>
          <w:lang w:val="en-GB"/>
        </w:rPr>
      </w:pPr>
      <w:r w:rsidRPr="00854E23">
        <w:rPr>
          <w:color w:val="000000" w:themeColor="text1"/>
          <w:sz w:val="22"/>
          <w:szCs w:val="22"/>
          <w:shd w:val="clear" w:color="auto" w:fill="FFFFFF"/>
          <w:lang w:val="en-GB"/>
        </w:rPr>
        <w:t>Baillon, S., Hamel, J.F., Wareham, V.E. and Mercier, A., 2012. Deep cold‐water corals as nurseries for fish larvae. </w:t>
      </w:r>
      <w:r w:rsidRPr="00854E23">
        <w:rPr>
          <w:i/>
          <w:iCs/>
          <w:color w:val="000000" w:themeColor="text1"/>
          <w:sz w:val="22"/>
          <w:szCs w:val="22"/>
          <w:shd w:val="clear" w:color="auto" w:fill="FFFFFF"/>
          <w:lang w:val="en-GB"/>
        </w:rPr>
        <w:t>Frontiers in Ecology and the Environment</w:t>
      </w:r>
      <w:r w:rsidRPr="00854E23">
        <w:rPr>
          <w:color w:val="000000" w:themeColor="text1"/>
          <w:sz w:val="22"/>
          <w:szCs w:val="22"/>
          <w:shd w:val="clear" w:color="auto" w:fill="FFFFFF"/>
          <w:lang w:val="en-GB"/>
        </w:rPr>
        <w:t>, </w:t>
      </w:r>
      <w:r w:rsidRPr="00854E23">
        <w:rPr>
          <w:i/>
          <w:iCs/>
          <w:color w:val="000000" w:themeColor="text1"/>
          <w:sz w:val="22"/>
          <w:szCs w:val="22"/>
          <w:shd w:val="clear" w:color="auto" w:fill="FFFFFF"/>
          <w:lang w:val="en-GB"/>
        </w:rPr>
        <w:t>10</w:t>
      </w:r>
      <w:r w:rsidRPr="00854E23">
        <w:rPr>
          <w:color w:val="000000" w:themeColor="text1"/>
          <w:sz w:val="22"/>
          <w:szCs w:val="22"/>
          <w:shd w:val="clear" w:color="auto" w:fill="FFFFFF"/>
          <w:lang w:val="en-GB"/>
        </w:rPr>
        <w:t>(7), pp.351-356.</w:t>
      </w:r>
    </w:p>
    <w:p w14:paraId="1F2C6A24" w14:textId="77777777" w:rsidR="000D29DF" w:rsidRPr="00854E23" w:rsidRDefault="000D29DF" w:rsidP="00854E23">
      <w:pPr>
        <w:spacing w:after="120"/>
        <w:ind w:left="709" w:hanging="709"/>
        <w:rPr>
          <w:color w:val="000000"/>
          <w:sz w:val="22"/>
          <w:szCs w:val="22"/>
        </w:rPr>
      </w:pPr>
      <w:r w:rsidRPr="00854E23">
        <w:rPr>
          <w:color w:val="222222"/>
          <w:sz w:val="22"/>
          <w:szCs w:val="22"/>
          <w:lang w:val="en-GB"/>
        </w:rPr>
        <w:t>Deep Ocean Stewardship Initiative’s Decade of Ocean Science working group (2018) Deep-Sea Research in the Decade of Ocean Science.  Mapping the role of the deep ocean in human society. </w:t>
      </w:r>
      <w:hyperlink r:id="rId324" w:tgtFrame="_blank" w:history="1">
        <w:r w:rsidRPr="00854E23">
          <w:rPr>
            <w:color w:val="1155CC"/>
            <w:sz w:val="22"/>
            <w:szCs w:val="22"/>
            <w:u w:val="single"/>
            <w:lang w:val="en-GB"/>
          </w:rPr>
          <w:t>https://www.dosi-project.org/topics/decade-of-deep-ocean-science/</w:t>
        </w:r>
      </w:hyperlink>
      <w:r w:rsidRPr="00854E23">
        <w:rPr>
          <w:color w:val="222222"/>
          <w:sz w:val="22"/>
          <w:szCs w:val="22"/>
          <w:lang w:val="en-GB"/>
        </w:rPr>
        <w:t>. Accessed 26/09/19</w:t>
      </w:r>
    </w:p>
    <w:p w14:paraId="2E0A0DD6" w14:textId="46D2214A" w:rsidR="000D29DF" w:rsidRPr="00854E23" w:rsidRDefault="000D29DF" w:rsidP="00854E23">
      <w:pPr>
        <w:spacing w:after="120"/>
        <w:ind w:left="709" w:hanging="709"/>
        <w:rPr>
          <w:color w:val="000000"/>
          <w:sz w:val="22"/>
          <w:szCs w:val="22"/>
        </w:rPr>
      </w:pPr>
      <w:r w:rsidRPr="00190FA0">
        <w:rPr>
          <w:color w:val="000000"/>
          <w:sz w:val="22"/>
          <w:szCs w:val="22"/>
        </w:rPr>
        <w:t xml:space="preserve">Dunn, D.C., Harrison, A-L., et al. </w:t>
      </w:r>
      <w:r w:rsidRPr="00854E23">
        <w:rPr>
          <w:color w:val="000000"/>
          <w:sz w:val="22"/>
          <w:szCs w:val="22"/>
        </w:rPr>
        <w:t>(2019) The importance of migratory connectivity for global ocean policy. Proc. R. Soc. B. 286: 20191472.</w:t>
      </w:r>
    </w:p>
    <w:p w14:paraId="654A6E0C" w14:textId="06540195" w:rsidR="000D29DF" w:rsidRPr="00854E23" w:rsidRDefault="000D29DF" w:rsidP="00854E23">
      <w:pPr>
        <w:spacing w:after="120"/>
        <w:ind w:left="709" w:hanging="709"/>
        <w:rPr>
          <w:color w:val="222222"/>
          <w:sz w:val="22"/>
          <w:szCs w:val="22"/>
          <w:lang w:val="en-GB"/>
        </w:rPr>
      </w:pPr>
      <w:r w:rsidRPr="00854E23">
        <w:rPr>
          <w:color w:val="222222"/>
          <w:sz w:val="22"/>
          <w:szCs w:val="22"/>
          <w:shd w:val="clear" w:color="auto" w:fill="FFFFFF"/>
          <w:lang w:val="en-GB"/>
        </w:rPr>
        <w:t>Durden, J.M., Bett, B.J., Jones, D.O., Huvenne, V.A. and Ruhl, H.A., 2015. Abyssal hills–hidden source of increased habitat heterogeneity, benthic megafaunal biomass and diversity in the deep sea. </w:t>
      </w:r>
      <w:r w:rsidRPr="00854E23">
        <w:rPr>
          <w:i/>
          <w:iCs/>
          <w:color w:val="222222"/>
          <w:sz w:val="22"/>
          <w:szCs w:val="22"/>
          <w:shd w:val="clear" w:color="auto" w:fill="FFFFFF"/>
          <w:lang w:val="en-GB"/>
        </w:rPr>
        <w:t>Progress in Oceanography</w:t>
      </w:r>
      <w:r w:rsidRPr="00854E23">
        <w:rPr>
          <w:color w:val="222222"/>
          <w:sz w:val="22"/>
          <w:szCs w:val="22"/>
          <w:shd w:val="clear" w:color="auto" w:fill="FFFFFF"/>
          <w:lang w:val="en-GB"/>
        </w:rPr>
        <w:t>, </w:t>
      </w:r>
      <w:r w:rsidRPr="00854E23">
        <w:rPr>
          <w:i/>
          <w:iCs/>
          <w:color w:val="222222"/>
          <w:sz w:val="22"/>
          <w:szCs w:val="22"/>
          <w:shd w:val="clear" w:color="auto" w:fill="FFFFFF"/>
          <w:lang w:val="en-GB"/>
        </w:rPr>
        <w:t>137</w:t>
      </w:r>
      <w:r w:rsidRPr="00854E23">
        <w:rPr>
          <w:color w:val="222222"/>
          <w:sz w:val="22"/>
          <w:szCs w:val="22"/>
          <w:shd w:val="clear" w:color="auto" w:fill="FFFFFF"/>
          <w:lang w:val="en-GB"/>
        </w:rPr>
        <w:t>, pp.209-218.</w:t>
      </w:r>
    </w:p>
    <w:p w14:paraId="2AEA4898" w14:textId="253F7C3E" w:rsidR="000D29DF" w:rsidRPr="00854E23" w:rsidRDefault="000D29DF" w:rsidP="00854E23">
      <w:pPr>
        <w:spacing w:after="120"/>
        <w:ind w:left="709" w:hanging="709"/>
        <w:rPr>
          <w:color w:val="222222"/>
          <w:sz w:val="22"/>
          <w:szCs w:val="22"/>
          <w:lang w:val="en-GB"/>
        </w:rPr>
      </w:pPr>
      <w:r w:rsidRPr="00854E23">
        <w:rPr>
          <w:color w:val="222222"/>
          <w:sz w:val="22"/>
          <w:szCs w:val="22"/>
          <w:lang w:val="en-GB"/>
        </w:rPr>
        <w:t>Howell, K.L., 2010. A benthic classification system to aid in the implementation of marine protected area networks in the deep/high seas of the NE Atlantic. Biological Conservation, 143(5), pp.1041-1056.</w:t>
      </w:r>
    </w:p>
    <w:p w14:paraId="206328BF" w14:textId="04B91FD7" w:rsidR="000D29DF" w:rsidRPr="00854E23" w:rsidRDefault="000D29DF" w:rsidP="00854E23">
      <w:pPr>
        <w:spacing w:after="120"/>
        <w:ind w:left="709" w:hanging="709"/>
        <w:rPr>
          <w:color w:val="222222"/>
          <w:sz w:val="22"/>
          <w:szCs w:val="22"/>
          <w:lang w:val="en-GB"/>
        </w:rPr>
      </w:pPr>
      <w:r w:rsidRPr="00854E23">
        <w:rPr>
          <w:color w:val="222222"/>
          <w:sz w:val="22"/>
          <w:szCs w:val="22"/>
          <w:shd w:val="clear" w:color="auto" w:fill="FFFFFF"/>
          <w:lang w:val="en-GB"/>
        </w:rPr>
        <w:t>Howell, K.L., Piechaud, N., Downie, A.L. and Kenny, A., 2016. The distribution of deep-sea sponge aggregations in the North Atlantic and implications for their effective spatial management. </w:t>
      </w:r>
      <w:r w:rsidRPr="00854E23">
        <w:rPr>
          <w:i/>
          <w:iCs/>
          <w:color w:val="222222"/>
          <w:sz w:val="22"/>
          <w:szCs w:val="22"/>
          <w:shd w:val="clear" w:color="auto" w:fill="FFFFFF"/>
          <w:lang w:val="en-GB"/>
        </w:rPr>
        <w:t>Deep Sea Research Part I: Oceanographic Research Papers</w:t>
      </w:r>
      <w:r w:rsidRPr="00854E23">
        <w:rPr>
          <w:color w:val="222222"/>
          <w:sz w:val="22"/>
          <w:szCs w:val="22"/>
          <w:shd w:val="clear" w:color="auto" w:fill="FFFFFF"/>
          <w:lang w:val="en-GB"/>
        </w:rPr>
        <w:t>, </w:t>
      </w:r>
      <w:r w:rsidRPr="00854E23">
        <w:rPr>
          <w:i/>
          <w:iCs/>
          <w:color w:val="222222"/>
          <w:sz w:val="22"/>
          <w:szCs w:val="22"/>
          <w:shd w:val="clear" w:color="auto" w:fill="FFFFFF"/>
          <w:lang w:val="en-GB"/>
        </w:rPr>
        <w:t>115</w:t>
      </w:r>
      <w:r w:rsidRPr="00854E23">
        <w:rPr>
          <w:color w:val="222222"/>
          <w:sz w:val="22"/>
          <w:szCs w:val="22"/>
          <w:shd w:val="clear" w:color="auto" w:fill="FFFFFF"/>
          <w:lang w:val="en-GB"/>
        </w:rPr>
        <w:t>, pp.309-320.</w:t>
      </w:r>
    </w:p>
    <w:p w14:paraId="18658370" w14:textId="33AD9525" w:rsidR="000D29DF" w:rsidRPr="00854E23" w:rsidRDefault="000D29DF" w:rsidP="00854E23">
      <w:pPr>
        <w:spacing w:after="120"/>
        <w:ind w:left="709" w:hanging="709"/>
        <w:rPr>
          <w:rFonts w:eastAsia="Times"/>
          <w:sz w:val="22"/>
          <w:szCs w:val="22"/>
        </w:rPr>
      </w:pPr>
      <w:r w:rsidRPr="00854E23">
        <w:rPr>
          <w:rFonts w:eastAsia="Times"/>
          <w:sz w:val="22"/>
          <w:szCs w:val="22"/>
        </w:rPr>
        <w:t xml:space="preserve">IUCN MMPATF (2018) Guidance on the use of selection criteria for the identification of Important Marine Mammal Areas (IMMAs). IUCN Joint SSC/WCPA Marine Mammal Protected Areas Task Force. Version: March 2018. 82pp. </w:t>
      </w:r>
    </w:p>
    <w:p w14:paraId="2F4519C5" w14:textId="4DFB104F" w:rsidR="000D29DF" w:rsidRPr="00854E23" w:rsidRDefault="000D29DF" w:rsidP="00854E23">
      <w:pPr>
        <w:spacing w:after="120"/>
        <w:ind w:left="709" w:hanging="709"/>
        <w:jc w:val="both"/>
        <w:rPr>
          <w:sz w:val="22"/>
          <w:szCs w:val="22"/>
        </w:rPr>
      </w:pPr>
      <w:r w:rsidRPr="00854E23">
        <w:rPr>
          <w:sz w:val="22"/>
          <w:szCs w:val="22"/>
        </w:rPr>
        <w:t>Johnson, D., Ferreira, M.A. and Kenchington, E. (2018) Climate change is likely to severely limit the effectiveness of deep-sea ABMTs in the North Atlantic. Marine Policy 87 (2018) 111-122.</w:t>
      </w:r>
    </w:p>
    <w:p w14:paraId="0B228D87" w14:textId="69611F4F" w:rsidR="000D29DF" w:rsidRPr="00854E23" w:rsidRDefault="000D29DF" w:rsidP="00854E23">
      <w:pPr>
        <w:spacing w:after="120"/>
        <w:ind w:left="709" w:hanging="709"/>
        <w:rPr>
          <w:rFonts w:eastAsia="Times"/>
          <w:sz w:val="22"/>
          <w:szCs w:val="22"/>
        </w:rPr>
      </w:pPr>
      <w:r w:rsidRPr="00854E23">
        <w:rPr>
          <w:rFonts w:eastAsia="Times"/>
          <w:sz w:val="22"/>
          <w:szCs w:val="22"/>
        </w:rPr>
        <w:t>Kennedy, A., Zerbini, A., Vasquez, O., Gandilhon, N., Clapham, P. &amp; Oliver, A. (2013). Local and migratory movements of humpback whales (</w:t>
      </w:r>
      <w:r w:rsidRPr="00854E23">
        <w:rPr>
          <w:rFonts w:eastAsia="Times"/>
          <w:i/>
          <w:sz w:val="22"/>
          <w:szCs w:val="22"/>
        </w:rPr>
        <w:t>Megaptera novaeangliae</w:t>
      </w:r>
      <w:r w:rsidRPr="00854E23">
        <w:rPr>
          <w:rFonts w:eastAsia="Times"/>
          <w:sz w:val="22"/>
          <w:szCs w:val="22"/>
        </w:rPr>
        <w:t xml:space="preserve">) satellitetracked in the North Atlantic Ocean. Canadian Journal of Zoology. published online. </w:t>
      </w:r>
      <w:hyperlink r:id="rId325">
        <w:r w:rsidRPr="00854E23">
          <w:rPr>
            <w:rFonts w:eastAsia="Times"/>
            <w:color w:val="0000FF"/>
            <w:sz w:val="22"/>
            <w:szCs w:val="22"/>
            <w:u w:val="single"/>
          </w:rPr>
          <w:t>https://doi.org/10.1139/cjz-2013-0161</w:t>
        </w:r>
      </w:hyperlink>
    </w:p>
    <w:p w14:paraId="4AF5BE63" w14:textId="64DC1010" w:rsidR="000D29DF" w:rsidRPr="00854E23" w:rsidRDefault="000D29DF" w:rsidP="00854E23">
      <w:pPr>
        <w:spacing w:after="120"/>
        <w:ind w:left="709" w:hanging="709"/>
        <w:rPr>
          <w:color w:val="222222"/>
          <w:sz w:val="22"/>
          <w:szCs w:val="22"/>
          <w:lang w:val="en-GB"/>
        </w:rPr>
      </w:pPr>
      <w:r w:rsidRPr="00854E23">
        <w:rPr>
          <w:color w:val="222222"/>
          <w:sz w:val="22"/>
          <w:szCs w:val="22"/>
          <w:shd w:val="clear" w:color="auto" w:fill="FFFFFF"/>
          <w:lang w:val="en-GB"/>
        </w:rPr>
        <w:t>Morris, K.J., Bett, B.J., Durden, J.M., Benoist, N.M., Huvenne, V.A., Jones, D.O., Robert, K., Ichino, M.C., Wolff, G.A. and Ruhl, H.A., 2016. Landscape-scale spatial heterogeneity in phytodetrital cover and megafauna biomass in the abyss links to modest topographic variation. </w:t>
      </w:r>
      <w:r w:rsidRPr="00854E23">
        <w:rPr>
          <w:i/>
          <w:iCs/>
          <w:color w:val="222222"/>
          <w:sz w:val="22"/>
          <w:szCs w:val="22"/>
          <w:shd w:val="clear" w:color="auto" w:fill="FFFFFF"/>
          <w:lang w:val="en-GB"/>
        </w:rPr>
        <w:t>Scientific reports</w:t>
      </w:r>
      <w:r w:rsidRPr="00854E23">
        <w:rPr>
          <w:color w:val="222222"/>
          <w:sz w:val="22"/>
          <w:szCs w:val="22"/>
          <w:shd w:val="clear" w:color="auto" w:fill="FFFFFF"/>
          <w:lang w:val="en-GB"/>
        </w:rPr>
        <w:t>, </w:t>
      </w:r>
      <w:r w:rsidRPr="00854E23">
        <w:rPr>
          <w:i/>
          <w:iCs/>
          <w:color w:val="222222"/>
          <w:sz w:val="22"/>
          <w:szCs w:val="22"/>
          <w:shd w:val="clear" w:color="auto" w:fill="FFFFFF"/>
          <w:lang w:val="en-GB"/>
        </w:rPr>
        <w:t>6</w:t>
      </w:r>
      <w:r w:rsidRPr="00854E23">
        <w:rPr>
          <w:color w:val="222222"/>
          <w:sz w:val="22"/>
          <w:szCs w:val="22"/>
          <w:shd w:val="clear" w:color="auto" w:fill="FFFFFF"/>
          <w:lang w:val="en-GB"/>
        </w:rPr>
        <w:t>, p.34080.</w:t>
      </w:r>
    </w:p>
    <w:p w14:paraId="1B01EAC9" w14:textId="40E97997" w:rsidR="000D29DF" w:rsidRPr="00854E23" w:rsidRDefault="000D29DF" w:rsidP="00854E23">
      <w:pPr>
        <w:spacing w:after="120"/>
        <w:ind w:left="709" w:hanging="709"/>
        <w:rPr>
          <w:color w:val="222222"/>
          <w:sz w:val="22"/>
          <w:szCs w:val="22"/>
          <w:lang w:val="en-GB"/>
        </w:rPr>
      </w:pPr>
      <w:r w:rsidRPr="00854E23">
        <w:rPr>
          <w:color w:val="222222"/>
          <w:sz w:val="22"/>
          <w:szCs w:val="22"/>
          <w:shd w:val="clear" w:color="auto" w:fill="FFFFFF"/>
          <w:lang w:val="en-GB"/>
        </w:rPr>
        <w:t>Ruhl, H.A., Ellena, J.A. and Smith, K.L., 2008. Connections between climate, food limitation, and carbon cycling in abyssal sediment communities. </w:t>
      </w:r>
      <w:r w:rsidRPr="00854E23">
        <w:rPr>
          <w:i/>
          <w:iCs/>
          <w:color w:val="222222"/>
          <w:sz w:val="22"/>
          <w:szCs w:val="22"/>
          <w:shd w:val="clear" w:color="auto" w:fill="FFFFFF"/>
          <w:lang w:val="en-GB"/>
        </w:rPr>
        <w:t>Proceedings of the National Academy of Sciences</w:t>
      </w:r>
      <w:r w:rsidRPr="00854E23">
        <w:rPr>
          <w:color w:val="222222"/>
          <w:sz w:val="22"/>
          <w:szCs w:val="22"/>
          <w:shd w:val="clear" w:color="auto" w:fill="FFFFFF"/>
          <w:lang w:val="en-GB"/>
        </w:rPr>
        <w:t>, </w:t>
      </w:r>
      <w:r w:rsidRPr="00854E23">
        <w:rPr>
          <w:i/>
          <w:iCs/>
          <w:color w:val="222222"/>
          <w:sz w:val="22"/>
          <w:szCs w:val="22"/>
          <w:shd w:val="clear" w:color="auto" w:fill="FFFFFF"/>
          <w:lang w:val="en-GB"/>
        </w:rPr>
        <w:t>105</w:t>
      </w:r>
      <w:r w:rsidRPr="00854E23">
        <w:rPr>
          <w:color w:val="222222"/>
          <w:sz w:val="22"/>
          <w:szCs w:val="22"/>
          <w:shd w:val="clear" w:color="auto" w:fill="FFFFFF"/>
          <w:lang w:val="en-GB"/>
        </w:rPr>
        <w:t>(44), pp.17006-17011.</w:t>
      </w:r>
    </w:p>
    <w:p w14:paraId="0B6D032C" w14:textId="57EA65CE" w:rsidR="000D29DF" w:rsidRPr="00854E23" w:rsidRDefault="000D29DF" w:rsidP="00854E23">
      <w:pPr>
        <w:spacing w:after="120"/>
        <w:ind w:left="709" w:hanging="709"/>
        <w:rPr>
          <w:color w:val="0563C2"/>
          <w:sz w:val="22"/>
          <w:szCs w:val="22"/>
        </w:rPr>
      </w:pPr>
      <w:r w:rsidRPr="00854E23">
        <w:rPr>
          <w:color w:val="000000"/>
          <w:sz w:val="22"/>
          <w:szCs w:val="22"/>
        </w:rPr>
        <w:t xml:space="preserve">Silva, M.A., Prieto, R. Cascão, I., Seabra, M.I., Machete, M., Baumgartner, M.F. &amp; Santos, R.S. (2014) Spatial and temporal distribution of cetaceans in the mid-Atlantic waters around the Azores, Marine Biology Research, 10:2, 123-137, </w:t>
      </w:r>
      <w:hyperlink r:id="rId326">
        <w:r w:rsidRPr="00854E23">
          <w:rPr>
            <w:color w:val="0563C2"/>
            <w:sz w:val="22"/>
            <w:szCs w:val="22"/>
            <w:u w:val="single"/>
          </w:rPr>
          <w:t>https://doi.org/10.1080/17451000.2013.793814</w:t>
        </w:r>
      </w:hyperlink>
    </w:p>
    <w:p w14:paraId="4A66318B" w14:textId="2FA066FA" w:rsidR="000D29DF" w:rsidRPr="00854E23" w:rsidRDefault="000D29DF" w:rsidP="00854E23">
      <w:pPr>
        <w:spacing w:after="120"/>
        <w:ind w:left="709" w:hanging="709"/>
        <w:rPr>
          <w:color w:val="000000"/>
          <w:sz w:val="22"/>
          <w:szCs w:val="22"/>
        </w:rPr>
      </w:pPr>
      <w:r w:rsidRPr="00854E23">
        <w:rPr>
          <w:color w:val="000000"/>
          <w:sz w:val="22"/>
          <w:szCs w:val="22"/>
        </w:rPr>
        <w:t>Tobeña, M., Prieto, R., Machete, M. &amp; Silva, M.A. (2016) Modeling the Potential Distribution and Richness of Cetaceans in the Azores from Fisheries Observer Program Data. Front. Mar. Sci. 3:202.</w:t>
      </w:r>
      <w:r w:rsidR="00854E23" w:rsidRPr="00854E23">
        <w:rPr>
          <w:color w:val="000000"/>
          <w:sz w:val="22"/>
          <w:szCs w:val="22"/>
        </w:rPr>
        <w:t xml:space="preserve"> </w:t>
      </w:r>
      <w:hyperlink r:id="rId327" w:history="1">
        <w:r w:rsidR="00854E23" w:rsidRPr="00854E23">
          <w:rPr>
            <w:rStyle w:val="Hyperlink"/>
            <w:sz w:val="22"/>
            <w:szCs w:val="22"/>
          </w:rPr>
          <w:t>https://doi.org/10.3389/fmars.2016.00202</w:t>
        </w:r>
      </w:hyperlink>
    </w:p>
    <w:p w14:paraId="4D87891F" w14:textId="77777777" w:rsidR="000D29DF" w:rsidRPr="000D29DF" w:rsidRDefault="000D29DF" w:rsidP="00854E23">
      <w:pPr>
        <w:ind w:left="709" w:hanging="709"/>
        <w:rPr>
          <w:color w:val="222222"/>
          <w:sz w:val="22"/>
          <w:szCs w:val="22"/>
          <w:lang w:val="en-GB"/>
        </w:rPr>
      </w:pPr>
      <w:r w:rsidRPr="00854E23">
        <w:rPr>
          <w:color w:val="222222"/>
          <w:sz w:val="22"/>
          <w:szCs w:val="22"/>
          <w:shd w:val="clear" w:color="auto" w:fill="FFFFFF"/>
          <w:lang w:val="en-GB"/>
        </w:rPr>
        <w:t>Wigham, B.D., Hudson, I.R., Billett, D.S. and Wolff, G.A., 2003. Is long-term change in the abyssal Northeast Atlantic driven by qualitative changes in export flux? Evidence from selective feeding in deep-sea holothurians. </w:t>
      </w:r>
      <w:r w:rsidRPr="00854E23">
        <w:rPr>
          <w:i/>
          <w:iCs/>
          <w:color w:val="222222"/>
          <w:sz w:val="22"/>
          <w:szCs w:val="22"/>
          <w:shd w:val="clear" w:color="auto" w:fill="FFFFFF"/>
          <w:lang w:val="en-GB"/>
        </w:rPr>
        <w:t>Progress in oceanography</w:t>
      </w:r>
      <w:r w:rsidRPr="00854E23">
        <w:rPr>
          <w:color w:val="222222"/>
          <w:sz w:val="22"/>
          <w:szCs w:val="22"/>
          <w:shd w:val="clear" w:color="auto" w:fill="FFFFFF"/>
          <w:lang w:val="en-GB"/>
        </w:rPr>
        <w:t>, </w:t>
      </w:r>
      <w:r w:rsidRPr="00854E23">
        <w:rPr>
          <w:i/>
          <w:iCs/>
          <w:color w:val="222222"/>
          <w:sz w:val="22"/>
          <w:szCs w:val="22"/>
          <w:shd w:val="clear" w:color="auto" w:fill="FFFFFF"/>
          <w:lang w:val="en-GB"/>
        </w:rPr>
        <w:t>59</w:t>
      </w:r>
      <w:r w:rsidRPr="00854E23">
        <w:rPr>
          <w:color w:val="222222"/>
          <w:sz w:val="22"/>
          <w:szCs w:val="22"/>
          <w:shd w:val="clear" w:color="auto" w:fill="FFFFFF"/>
          <w:lang w:val="en-GB"/>
        </w:rPr>
        <w:t>(4), pp.409-441.</w:t>
      </w:r>
    </w:p>
    <w:p w14:paraId="06C1FB2F" w14:textId="77777777" w:rsidR="000D29DF" w:rsidRPr="006220EA" w:rsidRDefault="000D29DF" w:rsidP="000D29DF">
      <w:pPr>
        <w:tabs>
          <w:tab w:val="left" w:pos="567"/>
        </w:tabs>
        <w:spacing w:before="120" w:after="120"/>
        <w:rPr>
          <w:sz w:val="22"/>
          <w:szCs w:val="22"/>
        </w:rPr>
      </w:pPr>
    </w:p>
    <w:p w14:paraId="3D933C84" w14:textId="31428FC9" w:rsidR="0047128F" w:rsidRPr="006220EA" w:rsidRDefault="0047128F" w:rsidP="00773610">
      <w:pPr>
        <w:rPr>
          <w:sz w:val="22"/>
          <w:szCs w:val="22"/>
        </w:rPr>
      </w:pPr>
      <w:r w:rsidRPr="006220EA">
        <w:rPr>
          <w:sz w:val="22"/>
          <w:szCs w:val="22"/>
        </w:rPr>
        <w:br w:type="page"/>
      </w:r>
    </w:p>
    <w:p w14:paraId="5FF47721" w14:textId="52EAD778" w:rsidR="0047128F" w:rsidRPr="00B3738F" w:rsidRDefault="000D29DF" w:rsidP="006354CE">
      <w:pPr>
        <w:tabs>
          <w:tab w:val="left" w:pos="567"/>
        </w:tabs>
        <w:spacing w:before="120" w:after="120"/>
        <w:jc w:val="center"/>
        <w:rPr>
          <w:i/>
          <w:iCs/>
          <w:sz w:val="22"/>
          <w:szCs w:val="22"/>
        </w:rPr>
      </w:pPr>
      <w:r w:rsidRPr="00B3738F">
        <w:rPr>
          <w:i/>
          <w:iCs/>
          <w:sz w:val="22"/>
          <w:szCs w:val="22"/>
        </w:rPr>
        <w:t xml:space="preserve">Appendix to Annex </w:t>
      </w:r>
      <w:r w:rsidR="008836EC">
        <w:rPr>
          <w:i/>
          <w:iCs/>
          <w:sz w:val="22"/>
          <w:szCs w:val="22"/>
        </w:rPr>
        <w:t>VIII</w:t>
      </w:r>
    </w:p>
    <w:p w14:paraId="5A32C56E" w14:textId="3CE501B8" w:rsidR="00B3738F" w:rsidRDefault="00B3738F" w:rsidP="006C0CA6">
      <w:pPr>
        <w:jc w:val="center"/>
        <w:rPr>
          <w:b/>
          <w:bCs/>
          <w:sz w:val="22"/>
          <w:szCs w:val="22"/>
        </w:rPr>
      </w:pPr>
      <w:r w:rsidRPr="00B3738F">
        <w:rPr>
          <w:b/>
          <w:bCs/>
          <w:sz w:val="22"/>
          <w:szCs w:val="22"/>
        </w:rPr>
        <w:t>ARCTIC SEA ICE HABITAT AS MEETING THE EBSA</w:t>
      </w:r>
      <w:r>
        <w:rPr>
          <w:b/>
          <w:bCs/>
          <w:sz w:val="22"/>
          <w:szCs w:val="22"/>
        </w:rPr>
        <w:t xml:space="preserve"> CRITERIA</w:t>
      </w:r>
    </w:p>
    <w:p w14:paraId="387FD78C" w14:textId="77777777" w:rsidR="006C0CA6" w:rsidRPr="006C0CA6" w:rsidRDefault="006C0CA6" w:rsidP="006C0CA6">
      <w:pPr>
        <w:jc w:val="center"/>
        <w:rPr>
          <w:b/>
          <w:bCs/>
          <w:sz w:val="22"/>
          <w:szCs w:val="22"/>
        </w:rPr>
      </w:pPr>
    </w:p>
    <w:p w14:paraId="602025F6" w14:textId="77777777" w:rsidR="00B3738F" w:rsidRPr="00B3738F" w:rsidRDefault="00B3738F" w:rsidP="00B3738F">
      <w:pPr>
        <w:rPr>
          <w:b/>
          <w:bCs/>
          <w:sz w:val="22"/>
          <w:szCs w:val="22"/>
        </w:rPr>
      </w:pPr>
      <w:r w:rsidRPr="00B3738F">
        <w:rPr>
          <w:b/>
          <w:bCs/>
          <w:sz w:val="22"/>
          <w:szCs w:val="22"/>
        </w:rPr>
        <w:t xml:space="preserve">Background </w:t>
      </w:r>
    </w:p>
    <w:p w14:paraId="4C5D45A7" w14:textId="5C0334E3" w:rsidR="00B3738F" w:rsidRDefault="00B3738F" w:rsidP="002E4B39">
      <w:pPr>
        <w:spacing w:before="120" w:after="120"/>
        <w:jc w:val="both"/>
        <w:rPr>
          <w:sz w:val="22"/>
          <w:szCs w:val="22"/>
        </w:rPr>
      </w:pPr>
      <w:r w:rsidRPr="00B3738F">
        <w:rPr>
          <w:sz w:val="22"/>
          <w:szCs w:val="22"/>
        </w:rPr>
        <w:t>With a view to describing marine areas meeting the scientific criteria for ecologically or biologically significant marine areas (EBSAs), the area beyond national jurisdiction of the North-East Atlantic section of the Arctic had previously been considered by the “Joint OSPAR/NEAFC/CBD Scientific Workshop on the Identification of Ecologically or Biologically Significant Marine Areas (EBSAs) in the North-East Atlantic” (8-9 September 2011; Hyères, France),</w:t>
      </w:r>
      <w:r w:rsidRPr="002E4B39">
        <w:rPr>
          <w:rStyle w:val="FootnoteReference"/>
          <w:szCs w:val="22"/>
          <w:u w:val="none"/>
          <w:vertAlign w:val="superscript"/>
        </w:rPr>
        <w:footnoteReference w:id="21"/>
      </w:r>
      <w:r w:rsidRPr="002E4B39">
        <w:rPr>
          <w:sz w:val="22"/>
          <w:szCs w:val="22"/>
          <w:vertAlign w:val="superscript"/>
        </w:rPr>
        <w:t xml:space="preserve"> </w:t>
      </w:r>
      <w:r w:rsidRPr="00B3738F">
        <w:rPr>
          <w:sz w:val="22"/>
          <w:szCs w:val="22"/>
        </w:rPr>
        <w:t>the “CBD Arctic Regional Workshop to Facilitate the Description of Ecologically or Biologically Significant Marine Areas” (3-7 March 2014; Helsinki, Finland)</w:t>
      </w:r>
      <w:r w:rsidR="003E5922">
        <w:rPr>
          <w:sz w:val="22"/>
          <w:szCs w:val="22"/>
        </w:rPr>
        <w:t>,</w:t>
      </w:r>
      <w:r w:rsidRPr="002E4B39">
        <w:rPr>
          <w:rStyle w:val="FootnoteReference"/>
          <w:szCs w:val="22"/>
          <w:u w:val="none"/>
          <w:vertAlign w:val="superscript"/>
        </w:rPr>
        <w:footnoteReference w:id="22"/>
      </w:r>
      <w:r w:rsidRPr="00B3738F">
        <w:rPr>
          <w:sz w:val="22"/>
          <w:szCs w:val="22"/>
          <w:vertAlign w:val="superscript"/>
        </w:rPr>
        <w:t xml:space="preserve"> </w:t>
      </w:r>
      <w:r w:rsidR="003E5922">
        <w:rPr>
          <w:sz w:val="22"/>
          <w:szCs w:val="22"/>
          <w:vertAlign w:val="superscript"/>
        </w:rPr>
        <w:t xml:space="preserve"> </w:t>
      </w:r>
      <w:r w:rsidR="003E5922">
        <w:rPr>
          <w:sz w:val="22"/>
          <w:szCs w:val="22"/>
        </w:rPr>
        <w:t>and</w:t>
      </w:r>
      <w:r w:rsidRPr="00B3738F">
        <w:rPr>
          <w:sz w:val="22"/>
          <w:szCs w:val="22"/>
        </w:rPr>
        <w:t xml:space="preserve"> the “CBD Regional Workshop to Facilitate the Description of Ecologically or Biologically Significant Marine Areas in the North-East Atlantic” (23-27 September 2019; Stockholm).</w:t>
      </w:r>
    </w:p>
    <w:p w14:paraId="3145F81A" w14:textId="4636B703" w:rsidR="00B3738F" w:rsidRDefault="00B3738F" w:rsidP="002E4B39">
      <w:pPr>
        <w:spacing w:before="120" w:after="120"/>
        <w:jc w:val="both"/>
        <w:rPr>
          <w:sz w:val="22"/>
          <w:szCs w:val="22"/>
        </w:rPr>
      </w:pPr>
      <w:r w:rsidRPr="00B3738F">
        <w:rPr>
          <w:sz w:val="22"/>
          <w:szCs w:val="22"/>
        </w:rPr>
        <w:t>During the 2011 Joint OSPAR/NEAFC/CBD Workshop the entire area beyond national jurisdiction of the North-East Atlantic section of the Arctic was identified to meet several of the EBSA criteria as “</w:t>
      </w:r>
      <w:r w:rsidRPr="00B3738F">
        <w:rPr>
          <w:i/>
          <w:iCs/>
          <w:sz w:val="22"/>
          <w:szCs w:val="22"/>
        </w:rPr>
        <w:t>The Arctic ice habitat – multi-year ice, seasonal ice and marginal ice zone</w:t>
      </w:r>
      <w:r w:rsidRPr="00B3738F">
        <w:rPr>
          <w:sz w:val="22"/>
          <w:szCs w:val="22"/>
        </w:rPr>
        <w:t xml:space="preserve">” (see Figure 1). This conclusion was subsequently confirmed by an ICES expert workshop to review the results of the above-mentioned workshop (ICES 2013a). </w:t>
      </w:r>
    </w:p>
    <w:p w14:paraId="7EF93439" w14:textId="77777777" w:rsidR="00B3738F" w:rsidRPr="00B3738F" w:rsidRDefault="00B3738F" w:rsidP="00B3738F">
      <w:pPr>
        <w:jc w:val="both"/>
        <w:rPr>
          <w:sz w:val="22"/>
          <w:szCs w:val="22"/>
        </w:rPr>
      </w:pPr>
    </w:p>
    <w:p w14:paraId="644BCE84" w14:textId="77777777" w:rsidR="00B3738F" w:rsidRPr="00B3738F" w:rsidRDefault="00B3738F" w:rsidP="00B3738F">
      <w:pPr>
        <w:jc w:val="both"/>
        <w:rPr>
          <w:b/>
          <w:bCs/>
          <w:sz w:val="22"/>
          <w:szCs w:val="22"/>
          <w:lang w:val="en-GB"/>
        </w:rPr>
      </w:pPr>
      <w:r w:rsidRPr="00B3738F">
        <w:rPr>
          <w:noProof/>
          <w:sz w:val="22"/>
          <w:szCs w:val="22"/>
          <w:lang w:val="fr-CA" w:eastAsia="fr-CA"/>
        </w:rPr>
        <w:drawing>
          <wp:inline distT="0" distB="0" distL="0" distR="0" wp14:anchorId="60566C39" wp14:editId="6E82BD04">
            <wp:extent cx="5724524" cy="4048125"/>
            <wp:effectExtent l="19050" t="19050" r="10160" b="9525"/>
            <wp:docPr id="2134331805" name="Grafik 213433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extLst>
                        <a:ext uri="{28A0092B-C50C-407E-A947-70E740481C1C}">
                          <a14:useLocalDpi xmlns:a14="http://schemas.microsoft.com/office/drawing/2010/main" val="0"/>
                        </a:ext>
                      </a:extLst>
                    </a:blip>
                    <a:stretch>
                      <a:fillRect/>
                    </a:stretch>
                  </pic:blipFill>
                  <pic:spPr>
                    <a:xfrm>
                      <a:off x="0" y="0"/>
                      <a:ext cx="5724524" cy="4048125"/>
                    </a:xfrm>
                    <a:prstGeom prst="rect">
                      <a:avLst/>
                    </a:prstGeom>
                    <a:ln w="12700">
                      <a:solidFill>
                        <a:schemeClr val="tx1"/>
                      </a:solidFill>
                    </a:ln>
                  </pic:spPr>
                </pic:pic>
              </a:graphicData>
            </a:graphic>
          </wp:inline>
        </w:drawing>
      </w:r>
    </w:p>
    <w:p w14:paraId="4B3E8C52" w14:textId="3D6817A6" w:rsidR="00B3738F" w:rsidRPr="00B3738F" w:rsidRDefault="00B3738F" w:rsidP="00B3738F">
      <w:pPr>
        <w:jc w:val="both"/>
        <w:rPr>
          <w:sz w:val="22"/>
          <w:szCs w:val="22"/>
        </w:rPr>
      </w:pPr>
      <w:r w:rsidRPr="00B3738F">
        <w:rPr>
          <w:sz w:val="22"/>
          <w:szCs w:val="22"/>
          <w:lang w:val="en-GB"/>
        </w:rPr>
        <w:t xml:space="preserve">Figure 1. Location of the Ecologically or Biologically Significant </w:t>
      </w:r>
      <w:r w:rsidR="00A60506">
        <w:rPr>
          <w:sz w:val="22"/>
          <w:szCs w:val="22"/>
          <w:lang w:val="en-GB"/>
        </w:rPr>
        <w:t xml:space="preserve">Marine </w:t>
      </w:r>
      <w:r w:rsidRPr="00B3738F">
        <w:rPr>
          <w:sz w:val="22"/>
          <w:szCs w:val="22"/>
          <w:lang w:val="en-GB"/>
        </w:rPr>
        <w:t>Area (EBSA) in the High Seas of the Arctic.</w:t>
      </w:r>
      <w:r>
        <w:rPr>
          <w:sz w:val="22"/>
          <w:szCs w:val="22"/>
          <w:vertAlign w:val="superscript"/>
          <w:lang w:val="en-GB"/>
        </w:rPr>
        <w:t xml:space="preserve"> </w:t>
      </w:r>
      <w:r w:rsidRPr="00B3738F">
        <w:rPr>
          <w:sz w:val="22"/>
          <w:szCs w:val="22"/>
        </w:rPr>
        <w:t>Source: ICES 2013b</w:t>
      </w:r>
    </w:p>
    <w:p w14:paraId="6723D04D" w14:textId="1446EEDD" w:rsidR="00B3738F" w:rsidRDefault="00B3738F" w:rsidP="00B3738F">
      <w:pPr>
        <w:jc w:val="both"/>
        <w:rPr>
          <w:sz w:val="22"/>
          <w:szCs w:val="22"/>
        </w:rPr>
      </w:pPr>
      <w:r w:rsidRPr="00B3738F">
        <w:rPr>
          <w:sz w:val="22"/>
          <w:szCs w:val="22"/>
        </w:rPr>
        <w:t>The CBD regional EBSA workshop for the Arctic also considered sea ice habitats across the Arctic, including the Arctic portion of the North-East Atlantic. The Arctic workshop noted that these features, taken together (i.e., multi-year ice, seasonal ice and marginal ice zone) had been described by the 2011 OSPAR/NEAFC/CBD workshop as meeting the EBSA criteria. However, the CBD regional EBSA workshop for the Arctic decided to consider these ice habitats separately, rather than as a whole. The CBD regional EBSA workshop described the “</w:t>
      </w:r>
      <w:r w:rsidRPr="00B3738F">
        <w:rPr>
          <w:i/>
          <w:iCs/>
          <w:sz w:val="22"/>
          <w:szCs w:val="22"/>
        </w:rPr>
        <w:t>Multi-year ice of the Central Arctic Ocean</w:t>
      </w:r>
      <w:r w:rsidRPr="00B3738F">
        <w:rPr>
          <w:sz w:val="22"/>
          <w:szCs w:val="22"/>
        </w:rPr>
        <w:t>” (which covers a large portion of the ABNJ of the North-East Atlantic portion of the Arctic) (Figure 2) and the “</w:t>
      </w:r>
      <w:r w:rsidRPr="00B3738F">
        <w:rPr>
          <w:i/>
          <w:iCs/>
          <w:sz w:val="22"/>
          <w:szCs w:val="22"/>
        </w:rPr>
        <w:t>The Marginal Ice Zone and the Seasonal Ice Cover over the Deep Arctic Ocean</w:t>
      </w:r>
      <w:r w:rsidRPr="00B3738F">
        <w:rPr>
          <w:sz w:val="22"/>
          <w:szCs w:val="22"/>
        </w:rPr>
        <w:t>” as EBSAs (Figure 3).</w:t>
      </w:r>
    </w:p>
    <w:p w14:paraId="0046515B" w14:textId="77777777" w:rsidR="00B3738F" w:rsidRPr="00B3738F" w:rsidRDefault="00B3738F" w:rsidP="00B3738F">
      <w:pPr>
        <w:jc w:val="both"/>
        <w:rPr>
          <w:sz w:val="22"/>
          <w:szCs w:val="22"/>
        </w:rPr>
      </w:pPr>
    </w:p>
    <w:p w14:paraId="63FB021F" w14:textId="77777777" w:rsidR="00B3738F" w:rsidRPr="00B3738F" w:rsidRDefault="00B3738F" w:rsidP="00B3738F">
      <w:pPr>
        <w:jc w:val="both"/>
        <w:rPr>
          <w:sz w:val="22"/>
          <w:szCs w:val="22"/>
        </w:rPr>
      </w:pPr>
      <w:r w:rsidRPr="00B3738F">
        <w:rPr>
          <w:noProof/>
          <w:sz w:val="22"/>
          <w:szCs w:val="22"/>
          <w:lang w:val="fr-CA" w:eastAsia="fr-CA"/>
        </w:rPr>
        <w:drawing>
          <wp:inline distT="0" distB="0" distL="0" distR="0" wp14:anchorId="289A3B64" wp14:editId="3FE52566">
            <wp:extent cx="5476876" cy="4562475"/>
            <wp:effectExtent l="19050" t="19050" r="28575" b="9525"/>
            <wp:docPr id="2061969566" name="Grafik 206196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extLst>
                        <a:ext uri="{28A0092B-C50C-407E-A947-70E740481C1C}">
                          <a14:useLocalDpi xmlns:a14="http://schemas.microsoft.com/office/drawing/2010/main" val="0"/>
                        </a:ext>
                      </a:extLst>
                    </a:blip>
                    <a:stretch>
                      <a:fillRect/>
                    </a:stretch>
                  </pic:blipFill>
                  <pic:spPr>
                    <a:xfrm>
                      <a:off x="0" y="0"/>
                      <a:ext cx="5476876" cy="4562475"/>
                    </a:xfrm>
                    <a:prstGeom prst="rect">
                      <a:avLst/>
                    </a:prstGeom>
                    <a:ln w="12700">
                      <a:solidFill>
                        <a:schemeClr val="tx1"/>
                      </a:solidFill>
                    </a:ln>
                  </pic:spPr>
                </pic:pic>
              </a:graphicData>
            </a:graphic>
          </wp:inline>
        </w:drawing>
      </w:r>
    </w:p>
    <w:p w14:paraId="2F8D4B89" w14:textId="77777777" w:rsidR="00B3738F" w:rsidRPr="00B3738F" w:rsidRDefault="00B3738F" w:rsidP="00B3738F">
      <w:pPr>
        <w:jc w:val="both"/>
        <w:rPr>
          <w:bCs/>
          <w:sz w:val="22"/>
          <w:szCs w:val="22"/>
        </w:rPr>
      </w:pPr>
      <w:r w:rsidRPr="00B3738F">
        <w:rPr>
          <w:bCs/>
          <w:sz w:val="22"/>
          <w:szCs w:val="22"/>
        </w:rPr>
        <w:t>Figure 2. Area meeting EBSA criteria. Map of combined September 2012 and March 2013 multi-year ice areas within the central Arctic area beyond national jurisdiction. Source: UNEP/CBD/EBSA/WS/2014/1/5</w:t>
      </w:r>
    </w:p>
    <w:p w14:paraId="5A978C4D" w14:textId="77777777" w:rsidR="00B3738F" w:rsidRPr="00B3738F" w:rsidRDefault="00B3738F" w:rsidP="00B3738F">
      <w:pPr>
        <w:jc w:val="both"/>
        <w:rPr>
          <w:bCs/>
          <w:sz w:val="22"/>
          <w:szCs w:val="22"/>
        </w:rPr>
      </w:pPr>
    </w:p>
    <w:p w14:paraId="02EE5565" w14:textId="77777777" w:rsidR="00B3738F" w:rsidRPr="00B3738F" w:rsidRDefault="00B3738F" w:rsidP="00B3738F">
      <w:pPr>
        <w:jc w:val="both"/>
        <w:rPr>
          <w:color w:val="0070C0"/>
          <w:sz w:val="22"/>
          <w:szCs w:val="22"/>
        </w:rPr>
      </w:pPr>
    </w:p>
    <w:p w14:paraId="0C4EBAFE" w14:textId="77777777" w:rsidR="00B3738F" w:rsidRPr="00B3738F" w:rsidRDefault="00B3738F" w:rsidP="00B3738F">
      <w:pPr>
        <w:jc w:val="both"/>
        <w:rPr>
          <w:sz w:val="22"/>
          <w:szCs w:val="22"/>
        </w:rPr>
      </w:pPr>
      <w:r w:rsidRPr="00B3738F">
        <w:rPr>
          <w:noProof/>
          <w:sz w:val="22"/>
          <w:szCs w:val="22"/>
          <w:lang w:val="fr-CA" w:eastAsia="fr-CA"/>
        </w:rPr>
        <w:drawing>
          <wp:inline distT="0" distB="0" distL="0" distR="0" wp14:anchorId="54D88B20" wp14:editId="125E38FF">
            <wp:extent cx="5476876" cy="4562475"/>
            <wp:effectExtent l="19050" t="19050" r="28575" b="9525"/>
            <wp:docPr id="120336036" name="Grafik 12033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extLst>
                        <a:ext uri="{28A0092B-C50C-407E-A947-70E740481C1C}">
                          <a14:useLocalDpi xmlns:a14="http://schemas.microsoft.com/office/drawing/2010/main" val="0"/>
                        </a:ext>
                      </a:extLst>
                    </a:blip>
                    <a:stretch>
                      <a:fillRect/>
                    </a:stretch>
                  </pic:blipFill>
                  <pic:spPr>
                    <a:xfrm>
                      <a:off x="0" y="0"/>
                      <a:ext cx="5476876" cy="4562475"/>
                    </a:xfrm>
                    <a:prstGeom prst="rect">
                      <a:avLst/>
                    </a:prstGeom>
                    <a:ln w="12700">
                      <a:solidFill>
                        <a:schemeClr val="tx1"/>
                      </a:solidFill>
                    </a:ln>
                  </pic:spPr>
                </pic:pic>
              </a:graphicData>
            </a:graphic>
          </wp:inline>
        </w:drawing>
      </w:r>
    </w:p>
    <w:p w14:paraId="436857B3" w14:textId="24ABC4F6" w:rsidR="00B3738F" w:rsidRDefault="00B3738F" w:rsidP="00B3738F">
      <w:pPr>
        <w:jc w:val="both"/>
        <w:rPr>
          <w:sz w:val="22"/>
          <w:szCs w:val="22"/>
        </w:rPr>
      </w:pPr>
      <w:r w:rsidRPr="00B3738F">
        <w:rPr>
          <w:bCs/>
          <w:sz w:val="22"/>
          <w:szCs w:val="22"/>
        </w:rPr>
        <w:t>Figure 3. Area meeting EBSA criteria. Map of the maximum observed range (1972-2007) covered by the marginal ice zone and the seasonal ice-cover within the central Arctic in waters deeper than 500 m, beyond national jurisdiction</w:t>
      </w:r>
      <w:r w:rsidRPr="00B3738F">
        <w:rPr>
          <w:sz w:val="22"/>
          <w:szCs w:val="22"/>
        </w:rPr>
        <w:t>. Source: UNEP/CBD/EBSA/WS/2014/1/5</w:t>
      </w:r>
    </w:p>
    <w:p w14:paraId="6CAFCDFC" w14:textId="77777777" w:rsidR="00B3738F" w:rsidRPr="00B3738F" w:rsidRDefault="00B3738F" w:rsidP="00B3738F">
      <w:pPr>
        <w:jc w:val="both"/>
        <w:rPr>
          <w:sz w:val="22"/>
          <w:szCs w:val="22"/>
        </w:rPr>
      </w:pPr>
    </w:p>
    <w:p w14:paraId="14F94C0E" w14:textId="6AD2C8E1" w:rsidR="00B3738F" w:rsidRPr="00B3738F" w:rsidRDefault="00B3738F" w:rsidP="00B3738F">
      <w:pPr>
        <w:rPr>
          <w:b/>
          <w:bCs/>
          <w:sz w:val="22"/>
          <w:szCs w:val="22"/>
        </w:rPr>
      </w:pPr>
      <w:r w:rsidRPr="00B3738F">
        <w:rPr>
          <w:b/>
          <w:bCs/>
          <w:sz w:val="22"/>
          <w:szCs w:val="22"/>
        </w:rPr>
        <w:t xml:space="preserve">Considerations during the CBD North-East Atlantic </w:t>
      </w:r>
      <w:r w:rsidR="003E5922">
        <w:rPr>
          <w:b/>
          <w:bCs/>
          <w:sz w:val="22"/>
          <w:szCs w:val="22"/>
        </w:rPr>
        <w:t xml:space="preserve">EBSA </w:t>
      </w:r>
      <w:r w:rsidRPr="00B3738F">
        <w:rPr>
          <w:b/>
          <w:bCs/>
          <w:sz w:val="22"/>
          <w:szCs w:val="22"/>
        </w:rPr>
        <w:t xml:space="preserve">Workshop </w:t>
      </w:r>
    </w:p>
    <w:p w14:paraId="3AE77E11" w14:textId="2F7E22C0" w:rsidR="00B3738F" w:rsidRDefault="00B3738F" w:rsidP="002E4B39">
      <w:pPr>
        <w:spacing w:after="120"/>
        <w:jc w:val="both"/>
        <w:rPr>
          <w:sz w:val="22"/>
          <w:szCs w:val="22"/>
        </w:rPr>
      </w:pPr>
      <w:r w:rsidRPr="00B3738F">
        <w:rPr>
          <w:sz w:val="22"/>
          <w:szCs w:val="22"/>
        </w:rPr>
        <w:t xml:space="preserve">The marine waters of the Arctic are characterized by a dynamic variation of areas covered by multi-year ice and marginal ice zones with one-year (seasonal) ice and open water, depending upon the season of the year. In addition to seasonal changes, however, the extent, thickness and distribution of Arctic sea ice are heavily influenced by the effects of climate change. </w:t>
      </w:r>
    </w:p>
    <w:p w14:paraId="5DDC28DE" w14:textId="6C9A7790" w:rsidR="00B3738F" w:rsidRDefault="00B3738F" w:rsidP="002E4B39">
      <w:pPr>
        <w:spacing w:after="120"/>
        <w:jc w:val="both"/>
        <w:rPr>
          <w:color w:val="FF0000"/>
          <w:sz w:val="22"/>
          <w:szCs w:val="22"/>
        </w:rPr>
      </w:pPr>
      <w:r w:rsidRPr="00B3738F">
        <w:rPr>
          <w:sz w:val="22"/>
          <w:szCs w:val="22"/>
        </w:rPr>
        <w:t>The multi-year ice in the Arctic Ocean (the ice that survives summertime melt) is globally unique and has dramatically decreased (in both extent and average thickness) in recent decades (Perovich et al. 2018). As of today, multi-year ice is predominantly found in those parts of the area beyond national jurisdiction in the Arctic that adjoin the Canadian Arctic Archipelago. The multi-year ice that remains is also much younger than previously as the oldest multi-year ice classes have declined more than other classes (Perovich et al. 2018).</w:t>
      </w:r>
      <w:r w:rsidRPr="00B3738F">
        <w:rPr>
          <w:color w:val="FF0000"/>
          <w:sz w:val="22"/>
          <w:szCs w:val="22"/>
        </w:rPr>
        <w:t xml:space="preserve"> </w:t>
      </w:r>
    </w:p>
    <w:p w14:paraId="6218AC8E" w14:textId="3E3712C1" w:rsidR="00B3738F" w:rsidRDefault="00B3738F" w:rsidP="002E4B39">
      <w:pPr>
        <w:spacing w:after="120"/>
        <w:jc w:val="both"/>
        <w:rPr>
          <w:sz w:val="22"/>
          <w:szCs w:val="22"/>
        </w:rPr>
      </w:pPr>
      <w:r w:rsidRPr="00B3738F">
        <w:rPr>
          <w:sz w:val="22"/>
          <w:szCs w:val="22"/>
        </w:rPr>
        <w:t xml:space="preserve">In line with considerations of the CBD Arctic workshop, participants concurred with the conclusion that the multi-year ice and associated marine habitats of the Central Arctic Ocean beyond national jurisdiction provide a range of globally and regionally important habitats, which resulted in the description of the </w:t>
      </w:r>
      <w:r w:rsidRPr="00B3738F">
        <w:rPr>
          <w:i/>
          <w:iCs/>
          <w:sz w:val="22"/>
          <w:szCs w:val="22"/>
        </w:rPr>
        <w:t>Multi-year ice of the Central Arctic Ocean</w:t>
      </w:r>
      <w:r w:rsidRPr="00B3738F">
        <w:rPr>
          <w:sz w:val="22"/>
          <w:szCs w:val="22"/>
        </w:rPr>
        <w:t xml:space="preserve"> as an EBSA and its subsequent inclusion in the CBD EBSA repository, following consideration by the CBD COP in 2014 (UNEP/CBD/COP/DEC/XII/22). Projections of changing ice conditions due to climate change indicate that the Central Arctic Ocean beyond national jurisdiction that adjoins waters near the Canadian Arctic Archipelago are likely to retain multi-year ice longer than all other regions of the Arctic, thus providing refugia for globally unique ice-dependent species, including vulnerable species. See UNEP/CBD/EBSA/WS/2014/1/5 for a comprehensive description of the area.</w:t>
      </w:r>
    </w:p>
    <w:p w14:paraId="67A0B09B" w14:textId="096BCB2A" w:rsidR="00B3738F" w:rsidRDefault="00B3738F" w:rsidP="002E4B39">
      <w:pPr>
        <w:spacing w:after="120"/>
        <w:jc w:val="both"/>
        <w:rPr>
          <w:sz w:val="22"/>
          <w:szCs w:val="22"/>
        </w:rPr>
      </w:pPr>
      <w:r w:rsidRPr="00B3738F">
        <w:rPr>
          <w:sz w:val="22"/>
          <w:szCs w:val="22"/>
        </w:rPr>
        <w:t>Large areas of the basins in the Central Arctic Ocean are now characterized by annual ice and are thus ice edge and seasonal ice zones with a period of open water in summer. This region of ice edge/seasonal ice and seasonal open water over the deep Arctic is highly dynamic both spatially and temporally. The marginal ice zone, which results from seasonal ice cover over the deep Arctic Ocean (deeper than 500 m), is a significant and unique feature in areas beyond national jurisdiction and it has also been included in the CBD EBSA repository in 2014 (UNEP/CBD/COP/DEC/XII/22). The area is important for several endemic Arctic species. Some of the ice-related species are listed as vulnerable by IUCN, and/or listed as under threat and/or decline by OSPAR. The marginal ice zone and leads are important feeding areas for ice-associated species. Sea ice is important breeding, moulting and resting (haul-out) habitat for certain marine mammals. See UNEP/CBD/EBSA/WS/2014/1/5 for a comprehensive description of the area.</w:t>
      </w:r>
      <w:bookmarkStart w:id="38" w:name="_Hlk20249891"/>
      <w:bookmarkEnd w:id="38"/>
    </w:p>
    <w:p w14:paraId="1AA40F2A" w14:textId="3272A4E7" w:rsidR="00B3738F" w:rsidRDefault="00B3738F" w:rsidP="002E4B39">
      <w:pPr>
        <w:spacing w:after="120"/>
        <w:jc w:val="both"/>
        <w:rPr>
          <w:sz w:val="22"/>
          <w:szCs w:val="22"/>
        </w:rPr>
      </w:pPr>
      <w:r w:rsidRPr="00B3738F">
        <w:rPr>
          <w:sz w:val="22"/>
          <w:szCs w:val="22"/>
        </w:rPr>
        <w:t>Both EBSAs were described as geographically and temporally dynamic features that are expected to change in area, shape and geographic location from year to year. Furthermore, in view of the increasing rate of change in Arctic sea ice habitats due to climate change, it is becoming increasingly difficult to spatially delineate and distinguish the extent of various types of ice habits (i.e., multi-year ice, seasonal ice and marginal ice zone).</w:t>
      </w:r>
    </w:p>
    <w:p w14:paraId="22E68478" w14:textId="52DB2054" w:rsidR="00B3738F" w:rsidRDefault="00B3738F" w:rsidP="002E4B39">
      <w:pPr>
        <w:spacing w:after="120"/>
        <w:jc w:val="both"/>
        <w:rPr>
          <w:sz w:val="22"/>
          <w:szCs w:val="22"/>
        </w:rPr>
      </w:pPr>
      <w:r w:rsidRPr="00B3738F">
        <w:rPr>
          <w:sz w:val="22"/>
          <w:szCs w:val="22"/>
        </w:rPr>
        <w:t xml:space="preserve">The CBD Arctic </w:t>
      </w:r>
      <w:r w:rsidR="003E5922">
        <w:rPr>
          <w:sz w:val="22"/>
          <w:szCs w:val="22"/>
        </w:rPr>
        <w:t xml:space="preserve">EBSA </w:t>
      </w:r>
      <w:r w:rsidRPr="00B3738F">
        <w:rPr>
          <w:sz w:val="22"/>
          <w:szCs w:val="22"/>
        </w:rPr>
        <w:t xml:space="preserve">workshop in 2014 also noted that, given the dynamic nature of the geographic area covered by the description of the two EBSAs, these may, depending on changes in coverage of multi-year ice/marginal ice cover, partially overlap with an area meeting the CBD EBSA criteria that was described by the Joint OSPAR/NEAFC/CBD workshop for the North-East Atlantic in 2011. </w:t>
      </w:r>
    </w:p>
    <w:p w14:paraId="0074AAA4" w14:textId="77777777" w:rsidR="00B3738F" w:rsidRPr="00B3738F" w:rsidRDefault="00B3738F" w:rsidP="00B3738F">
      <w:pPr>
        <w:rPr>
          <w:b/>
          <w:bCs/>
          <w:sz w:val="22"/>
          <w:szCs w:val="22"/>
        </w:rPr>
      </w:pPr>
      <w:r w:rsidRPr="00B3738F">
        <w:rPr>
          <w:b/>
          <w:bCs/>
          <w:sz w:val="22"/>
          <w:szCs w:val="22"/>
        </w:rPr>
        <w:t>Challenges</w:t>
      </w:r>
    </w:p>
    <w:p w14:paraId="16C30E27" w14:textId="77777777" w:rsidR="00B3738F" w:rsidRPr="00B3738F" w:rsidRDefault="00B3738F" w:rsidP="00B3738F">
      <w:pPr>
        <w:jc w:val="both"/>
        <w:rPr>
          <w:sz w:val="22"/>
          <w:szCs w:val="22"/>
        </w:rPr>
      </w:pPr>
      <w:r w:rsidRPr="00B3738F">
        <w:rPr>
          <w:sz w:val="22"/>
          <w:szCs w:val="22"/>
        </w:rPr>
        <w:t>As already recognized in 2014, the spatial extent of both areas described to meet the EBSA criteria is not only affected by seasonal changes but also subject to the effects of climate change. Perovich et al. (2018) states that:</w:t>
      </w:r>
    </w:p>
    <w:p w14:paraId="5402A6F7" w14:textId="77777777" w:rsidR="00B3738F" w:rsidRPr="00B3738F" w:rsidRDefault="00B3738F" w:rsidP="00AB0765">
      <w:pPr>
        <w:numPr>
          <w:ilvl w:val="0"/>
          <w:numId w:val="14"/>
        </w:numPr>
        <w:spacing w:after="160" w:line="259" w:lineRule="auto"/>
        <w:jc w:val="both"/>
        <w:rPr>
          <w:sz w:val="22"/>
          <w:szCs w:val="22"/>
        </w:rPr>
      </w:pPr>
      <w:r w:rsidRPr="00B3738F">
        <w:rPr>
          <w:sz w:val="22"/>
          <w:szCs w:val="22"/>
        </w:rPr>
        <w:t>The past four years (2015-18) have the four lowest maximums in the satellite record. The sea ice cover reached a minimum annual extent of 4.59 million km</w:t>
      </w:r>
      <w:r w:rsidRPr="00846AD1">
        <w:rPr>
          <w:sz w:val="22"/>
          <w:szCs w:val="22"/>
          <w:vertAlign w:val="superscript"/>
        </w:rPr>
        <w:t>2</w:t>
      </w:r>
      <w:r w:rsidRPr="00B3738F">
        <w:rPr>
          <w:sz w:val="22"/>
          <w:szCs w:val="22"/>
        </w:rPr>
        <w:t xml:space="preserve"> September 2018.</w:t>
      </w:r>
    </w:p>
    <w:p w14:paraId="04CC2AF0" w14:textId="77777777" w:rsidR="00B3738F" w:rsidRPr="00B3738F" w:rsidRDefault="00B3738F" w:rsidP="00AB0765">
      <w:pPr>
        <w:numPr>
          <w:ilvl w:val="0"/>
          <w:numId w:val="14"/>
        </w:numPr>
        <w:spacing w:after="160" w:line="259" w:lineRule="auto"/>
        <w:jc w:val="both"/>
        <w:rPr>
          <w:sz w:val="22"/>
          <w:szCs w:val="22"/>
        </w:rPr>
      </w:pPr>
      <w:r w:rsidRPr="00B3738F">
        <w:rPr>
          <w:sz w:val="22"/>
          <w:szCs w:val="22"/>
        </w:rPr>
        <w:t>In 1985, the oldest ice comprised 16% of the ice pack, whereas in March of 2018 old ice only constituted 0.9% of the ice pack. Therefore, the oldest ice extent declined from 2.54 million km2 in March 1985 to 0.13 million km2 in March 2018, representing a 95% reduction.</w:t>
      </w:r>
    </w:p>
    <w:p w14:paraId="2797E2D9" w14:textId="77777777" w:rsidR="00B3738F" w:rsidRPr="00B3738F" w:rsidRDefault="00B3738F" w:rsidP="00AB0765">
      <w:pPr>
        <w:numPr>
          <w:ilvl w:val="0"/>
          <w:numId w:val="14"/>
        </w:numPr>
        <w:spacing w:after="160" w:line="259" w:lineRule="auto"/>
        <w:jc w:val="both"/>
        <w:rPr>
          <w:sz w:val="22"/>
          <w:szCs w:val="22"/>
        </w:rPr>
      </w:pPr>
      <w:r w:rsidRPr="00B3738F">
        <w:rPr>
          <w:sz w:val="22"/>
          <w:szCs w:val="22"/>
        </w:rPr>
        <w:t>First-year ice now dominates the ice cover, comprising ~77% of the March 2018 ice pack compared to about 55% in the 1980s. Given that older ice tends to be thicker, the sea ice cover has transformed from a strong, thick pack in the 1980s to a more fragile, younger. thinner, and more mobile pack in recent years.</w:t>
      </w:r>
    </w:p>
    <w:p w14:paraId="0CA4B0AD" w14:textId="5D5FFDD7" w:rsidR="00B3738F" w:rsidRPr="00B3738F" w:rsidRDefault="00B3738F" w:rsidP="003E5922">
      <w:pPr>
        <w:jc w:val="both"/>
        <w:rPr>
          <w:sz w:val="22"/>
          <w:szCs w:val="22"/>
        </w:rPr>
      </w:pPr>
      <w:r w:rsidRPr="00B3738F">
        <w:rPr>
          <w:sz w:val="22"/>
          <w:szCs w:val="22"/>
        </w:rPr>
        <w:t>Thus, delimitation of areas based on types of sea ice will experience equivalent changes, both with respect to size and location of an area.</w:t>
      </w:r>
      <w:r w:rsidR="003E5922">
        <w:rPr>
          <w:sz w:val="22"/>
          <w:szCs w:val="22"/>
        </w:rPr>
        <w:t xml:space="preserve"> </w:t>
      </w:r>
      <w:r w:rsidRPr="00B3738F">
        <w:rPr>
          <w:sz w:val="22"/>
          <w:szCs w:val="22"/>
        </w:rPr>
        <w:t>Furthermore Frey et al. (2018) and literature therein states that:</w:t>
      </w:r>
    </w:p>
    <w:p w14:paraId="251AA05C" w14:textId="77777777" w:rsidR="00B3738F" w:rsidRPr="00B3738F" w:rsidRDefault="00B3738F" w:rsidP="00AB0765">
      <w:pPr>
        <w:pStyle w:val="ListParagraph"/>
        <w:numPr>
          <w:ilvl w:val="0"/>
          <w:numId w:val="14"/>
        </w:numPr>
        <w:spacing w:after="160" w:line="259" w:lineRule="auto"/>
        <w:ind w:leftChars="0"/>
        <w:contextualSpacing/>
        <w:rPr>
          <w:szCs w:val="22"/>
          <w:lang w:val="en-CA"/>
        </w:rPr>
      </w:pPr>
      <w:r w:rsidRPr="00B3738F">
        <w:rPr>
          <w:rFonts w:eastAsia="Times New Roman"/>
          <w:szCs w:val="22"/>
          <w:lang w:val="en-CA"/>
        </w:rPr>
        <w:t>Recent declines in Arctic sea ice extent have contributed substantially to shifts in primary productivity throughout the Arctic Ocean. However, the response of primary production to sea ice loss has been both seasonally and spatially variable.</w:t>
      </w:r>
    </w:p>
    <w:p w14:paraId="0986B627" w14:textId="77777777" w:rsidR="00B3738F" w:rsidRPr="00B3738F" w:rsidRDefault="00B3738F" w:rsidP="002E4B39">
      <w:pPr>
        <w:spacing w:after="120"/>
        <w:jc w:val="both"/>
        <w:rPr>
          <w:strike/>
          <w:sz w:val="22"/>
          <w:szCs w:val="22"/>
        </w:rPr>
      </w:pPr>
      <w:r w:rsidRPr="00B3738F">
        <w:rPr>
          <w:sz w:val="22"/>
          <w:szCs w:val="22"/>
        </w:rPr>
        <w:t>Thus, changes in sea ice alter the amount, timing and location of primary production, both within the ice and in the water column, with potential cascading effects throughout the ecosystem.</w:t>
      </w:r>
    </w:p>
    <w:p w14:paraId="1006A9A6" w14:textId="4E89381D" w:rsidR="00B3738F" w:rsidRPr="00B3738F" w:rsidRDefault="00B3738F" w:rsidP="00B3738F">
      <w:pPr>
        <w:jc w:val="both"/>
        <w:rPr>
          <w:sz w:val="22"/>
          <w:szCs w:val="22"/>
        </w:rPr>
      </w:pPr>
      <w:r w:rsidRPr="00B3738F">
        <w:rPr>
          <w:b/>
          <w:bCs/>
          <w:sz w:val="22"/>
          <w:szCs w:val="22"/>
        </w:rPr>
        <w:t>Conclusion</w:t>
      </w:r>
    </w:p>
    <w:p w14:paraId="6AA6F09C" w14:textId="3EA6DA8E" w:rsidR="00B3738F" w:rsidRDefault="00B3738F" w:rsidP="002E4B39">
      <w:pPr>
        <w:spacing w:after="120"/>
        <w:jc w:val="both"/>
        <w:rPr>
          <w:sz w:val="22"/>
          <w:szCs w:val="22"/>
        </w:rPr>
      </w:pPr>
      <w:r w:rsidRPr="00B3738F">
        <w:rPr>
          <w:sz w:val="22"/>
          <w:szCs w:val="22"/>
        </w:rPr>
        <w:t>Mapping dynamic areas such as sea ice that are not only subject to seasonal but also ongoing long-term changes is challenging, as this case illustrates.  The amount of multi-year ice relative to annual ice is rapidly decreasing. Areas previously covered by multi-year ice are increasingly being characterized by a marginal ice zone with seasonal ice.</w:t>
      </w:r>
    </w:p>
    <w:p w14:paraId="2169906D" w14:textId="0D2E5058" w:rsidR="00B3738F" w:rsidRDefault="00B3738F" w:rsidP="002E4B39">
      <w:pPr>
        <w:spacing w:after="120"/>
        <w:jc w:val="both"/>
        <w:rPr>
          <w:sz w:val="22"/>
          <w:szCs w:val="22"/>
        </w:rPr>
      </w:pPr>
      <w:r w:rsidRPr="00B3738F">
        <w:rPr>
          <w:sz w:val="22"/>
          <w:szCs w:val="22"/>
        </w:rPr>
        <w:t>As illustrated by the differing approaches taken by the 2011 OSPAR/NEAFC/CBD workshop (which considered the ice habitats as a whole) and the 2014 CBD regional EBSA workshop for the Arctic (which considered the ice habitats distinctly), there can be different ways to consider and describe features meeting the EBSA criteria. These differing approaches to considering features may affect not only the narrative description, but also the geographic delineation of such features, as the area described at the 2011 OSPAR/NEAFC/CBD covers the entire ABNJ portion of the North-East Atlantic, while the area described during the 2014 CBD regional EBSA workshop for the Arctic does not cover the entire ABNJ area of the North-East Atlantic portion of the Arctic. Furthermore, the geographic coordinates of the Arctic sea ice EBSAs described by the 2014 CBD regional EBSA workshop for the Arctic were noted to be dynamic and based on approximate boundaries.</w:t>
      </w:r>
    </w:p>
    <w:p w14:paraId="69D673D2" w14:textId="615C1E43" w:rsidR="00B3738F" w:rsidRPr="00B3738F" w:rsidRDefault="00B3738F" w:rsidP="002E4B39">
      <w:pPr>
        <w:spacing w:after="120"/>
        <w:jc w:val="both"/>
        <w:rPr>
          <w:sz w:val="22"/>
          <w:szCs w:val="22"/>
        </w:rPr>
      </w:pPr>
      <w:r w:rsidRPr="00B3738F">
        <w:rPr>
          <w:sz w:val="22"/>
          <w:szCs w:val="22"/>
        </w:rPr>
        <w:t xml:space="preserve">Finally, and as noted in the previous section, the rate of change of Arctic ice is increasing due to climate change, making it increasingly difficult to justify spatially delineating and distinguishing the extent of various types of ice habits (i.e., multi-year ice, seasonal ice and marginal ice zone) (see Figure 4). The </w:t>
      </w:r>
      <w:r w:rsidR="00564B8B">
        <w:rPr>
          <w:sz w:val="22"/>
          <w:szCs w:val="22"/>
        </w:rPr>
        <w:t xml:space="preserve">application of </w:t>
      </w:r>
      <w:r w:rsidRPr="00B3738F">
        <w:rPr>
          <w:sz w:val="22"/>
          <w:szCs w:val="22"/>
        </w:rPr>
        <w:t xml:space="preserve">the EBSA criteria </w:t>
      </w:r>
      <w:r w:rsidR="00564B8B">
        <w:rPr>
          <w:sz w:val="22"/>
          <w:szCs w:val="22"/>
        </w:rPr>
        <w:t>to</w:t>
      </w:r>
      <w:r w:rsidRPr="00B3738F">
        <w:rPr>
          <w:sz w:val="22"/>
          <w:szCs w:val="22"/>
        </w:rPr>
        <w:t xml:space="preserve"> dynamic features such as this is necessarily limited by not only the information available at the time, but also by the need to assess the state of dynamic conditions at the time of the assessment.</w:t>
      </w:r>
    </w:p>
    <w:p w14:paraId="63263167" w14:textId="77777777" w:rsidR="00B3738F" w:rsidRPr="00B3738F" w:rsidRDefault="00B3738F" w:rsidP="00B3738F">
      <w:pPr>
        <w:jc w:val="both"/>
        <w:rPr>
          <w:sz w:val="22"/>
          <w:szCs w:val="22"/>
        </w:rPr>
      </w:pPr>
      <w:r w:rsidRPr="00B3738F">
        <w:rPr>
          <w:b/>
          <w:noProof/>
          <w:sz w:val="22"/>
          <w:szCs w:val="22"/>
          <w:lang w:val="fr-CA" w:eastAsia="fr-CA"/>
        </w:rPr>
        <w:drawing>
          <wp:inline distT="0" distB="0" distL="0" distR="0" wp14:anchorId="43BD5778" wp14:editId="51D15F59">
            <wp:extent cx="5760720" cy="5760720"/>
            <wp:effectExtent l="19050" t="19050" r="11430" b="11430"/>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w="12700">
                      <a:solidFill>
                        <a:schemeClr val="tx1"/>
                      </a:solidFill>
                    </a:ln>
                  </pic:spPr>
                </pic:pic>
              </a:graphicData>
            </a:graphic>
          </wp:inline>
        </w:drawing>
      </w:r>
    </w:p>
    <w:p w14:paraId="4B422EC2" w14:textId="77777777" w:rsidR="00B3738F" w:rsidRPr="00564B8B" w:rsidRDefault="00B3738F" w:rsidP="00B3738F">
      <w:pPr>
        <w:spacing w:after="100" w:afterAutospacing="1"/>
        <w:jc w:val="both"/>
        <w:rPr>
          <w:sz w:val="22"/>
          <w:szCs w:val="22"/>
        </w:rPr>
      </w:pPr>
      <w:r w:rsidRPr="00B3738F">
        <w:rPr>
          <w:sz w:val="22"/>
          <w:szCs w:val="22"/>
        </w:rPr>
        <w:t>Figure 4. Comparison</w:t>
      </w:r>
      <w:r w:rsidRPr="00B3738F">
        <w:rPr>
          <w:b/>
          <w:bCs/>
          <w:sz w:val="22"/>
          <w:szCs w:val="22"/>
        </w:rPr>
        <w:t xml:space="preserve"> </w:t>
      </w:r>
      <w:r w:rsidRPr="00B3738F">
        <w:rPr>
          <w:sz w:val="22"/>
          <w:szCs w:val="22"/>
        </w:rPr>
        <w:t xml:space="preserve">of multi-year ice in March 2013/September 2013 with March 2018/September 2018. The map </w:t>
      </w:r>
      <w:r w:rsidRPr="00B3738F">
        <w:rPr>
          <w:color w:val="000000" w:themeColor="text1"/>
          <w:sz w:val="22"/>
          <w:szCs w:val="22"/>
        </w:rPr>
        <w:t>indicates 1</w:t>
      </w:r>
      <w:r w:rsidRPr="00B3738F">
        <w:rPr>
          <w:color w:val="000000" w:themeColor="text1"/>
          <w:sz w:val="22"/>
          <w:szCs w:val="22"/>
          <w:vertAlign w:val="superscript"/>
        </w:rPr>
        <w:t>st</w:t>
      </w:r>
      <w:r w:rsidRPr="00B3738F">
        <w:rPr>
          <w:color w:val="000000" w:themeColor="text1"/>
          <w:sz w:val="22"/>
          <w:szCs w:val="22"/>
        </w:rPr>
        <w:t xml:space="preserve"> year (seasonal) ice in light blue and multi-year ice in dark blue. The area beyond national jurisdiction is shown in orange outline. Ice data citation: Tschudi, M., W. N. Meier, J. S. Stewart, C. </w:t>
      </w:r>
      <w:r w:rsidRPr="00564B8B">
        <w:rPr>
          <w:color w:val="000000" w:themeColor="text1"/>
          <w:sz w:val="22"/>
          <w:szCs w:val="22"/>
        </w:rPr>
        <w:t>Fowler, and J. Maslanik. 2019. </w:t>
      </w:r>
      <w:r w:rsidRPr="00564B8B">
        <w:rPr>
          <w:i/>
          <w:iCs/>
          <w:color w:val="000000" w:themeColor="text1"/>
          <w:sz w:val="22"/>
          <w:szCs w:val="22"/>
        </w:rPr>
        <w:t>EASE-Grid Sea Ice Age, Version 4</w:t>
      </w:r>
      <w:r w:rsidRPr="00564B8B">
        <w:rPr>
          <w:color w:val="000000" w:themeColor="text1"/>
          <w:sz w:val="22"/>
          <w:szCs w:val="22"/>
        </w:rPr>
        <w:t>. [Northern Hemisphere subset]. Boulder, Colorado USA. NASA National Snow and Ice Data Center Distributed Active Archive Center. doi: </w:t>
      </w:r>
      <w:hyperlink r:id="rId332" w:tgtFrame="_blank" w:history="1">
        <w:r w:rsidRPr="00564B8B">
          <w:rPr>
            <w:rStyle w:val="Hyperlink"/>
            <w:color w:val="000000" w:themeColor="text1"/>
            <w:sz w:val="22"/>
            <w:szCs w:val="22"/>
          </w:rPr>
          <w:t>https://doi.org/10.5067/UTAV7490FEPB</w:t>
        </w:r>
      </w:hyperlink>
      <w:r w:rsidRPr="00564B8B">
        <w:rPr>
          <w:color w:val="000000" w:themeColor="text1"/>
          <w:sz w:val="22"/>
          <w:szCs w:val="22"/>
        </w:rPr>
        <w:t>. [Accessed 26 September 2019]. Maps prepared by Marine Geospatial Ecology Lab – Duke University, 2019.</w:t>
      </w:r>
    </w:p>
    <w:p w14:paraId="2CD5D68E" w14:textId="7B2BAB41" w:rsidR="00C75678" w:rsidRPr="00846AD1" w:rsidRDefault="002F28D6" w:rsidP="00564B8B">
      <w:pPr>
        <w:jc w:val="both"/>
        <w:rPr>
          <w:sz w:val="22"/>
          <w:szCs w:val="22"/>
        </w:rPr>
      </w:pPr>
      <w:r w:rsidRPr="00564B8B">
        <w:rPr>
          <w:sz w:val="22"/>
          <w:szCs w:val="22"/>
        </w:rPr>
        <w:t>Respecting the outcome of the 2014 Arctic EBSA workshop, this workshop did not describe</w:t>
      </w:r>
      <w:r w:rsidR="00564B8B">
        <w:rPr>
          <w:sz w:val="22"/>
          <w:szCs w:val="22"/>
        </w:rPr>
        <w:t xml:space="preserve"> EBSAs in the Arctic or</w:t>
      </w:r>
      <w:r w:rsidRPr="00564B8B">
        <w:rPr>
          <w:sz w:val="22"/>
          <w:szCs w:val="22"/>
        </w:rPr>
        <w:t xml:space="preserve"> update a</w:t>
      </w:r>
      <w:r w:rsidR="00564B8B">
        <w:rPr>
          <w:sz w:val="22"/>
          <w:szCs w:val="22"/>
        </w:rPr>
        <w:t xml:space="preserve">ny previously-described </w:t>
      </w:r>
      <w:r w:rsidRPr="00564B8B">
        <w:rPr>
          <w:sz w:val="22"/>
          <w:szCs w:val="22"/>
        </w:rPr>
        <w:t xml:space="preserve"> EBSA</w:t>
      </w:r>
      <w:r w:rsidR="00564B8B">
        <w:rPr>
          <w:sz w:val="22"/>
          <w:szCs w:val="22"/>
        </w:rPr>
        <w:t>s</w:t>
      </w:r>
      <w:r w:rsidRPr="00564B8B">
        <w:rPr>
          <w:sz w:val="22"/>
          <w:szCs w:val="22"/>
        </w:rPr>
        <w:t xml:space="preserve"> in the Arctic</w:t>
      </w:r>
      <w:r w:rsidR="00C75678" w:rsidRPr="00564B8B">
        <w:rPr>
          <w:sz w:val="22"/>
          <w:szCs w:val="22"/>
        </w:rPr>
        <w:t>. However, th</w:t>
      </w:r>
      <w:r w:rsidR="00A662A4" w:rsidRPr="00846AD1">
        <w:rPr>
          <w:sz w:val="22"/>
          <w:szCs w:val="22"/>
        </w:rPr>
        <w:t xml:space="preserve">e view of the workshop is that this case highlights the need </w:t>
      </w:r>
      <w:r w:rsidR="00564B8B" w:rsidRPr="00846AD1">
        <w:rPr>
          <w:sz w:val="22"/>
          <w:szCs w:val="22"/>
        </w:rPr>
        <w:t>for</w:t>
      </w:r>
      <w:r w:rsidR="00A662A4" w:rsidRPr="00846AD1">
        <w:rPr>
          <w:sz w:val="22"/>
          <w:szCs w:val="22"/>
        </w:rPr>
        <w:t xml:space="preserve"> revisions and updates of </w:t>
      </w:r>
      <w:r w:rsidR="00564B8B" w:rsidRPr="00846AD1">
        <w:rPr>
          <w:sz w:val="22"/>
          <w:szCs w:val="22"/>
        </w:rPr>
        <w:t xml:space="preserve">previously-described </w:t>
      </w:r>
      <w:r w:rsidR="00A662A4" w:rsidRPr="00846AD1">
        <w:rPr>
          <w:sz w:val="22"/>
          <w:szCs w:val="22"/>
        </w:rPr>
        <w:t>EBSA</w:t>
      </w:r>
      <w:r w:rsidR="00564B8B" w:rsidRPr="00846AD1">
        <w:rPr>
          <w:sz w:val="22"/>
          <w:szCs w:val="22"/>
        </w:rPr>
        <w:t>s,</w:t>
      </w:r>
      <w:r w:rsidR="00A662A4" w:rsidRPr="00846AD1">
        <w:rPr>
          <w:sz w:val="22"/>
          <w:szCs w:val="22"/>
        </w:rPr>
        <w:t xml:space="preserve"> </w:t>
      </w:r>
      <w:r w:rsidR="00190FA0" w:rsidRPr="00846AD1">
        <w:rPr>
          <w:sz w:val="22"/>
          <w:szCs w:val="22"/>
        </w:rPr>
        <w:t>e</w:t>
      </w:r>
      <w:r w:rsidR="00A662A4" w:rsidRPr="00846AD1">
        <w:rPr>
          <w:sz w:val="22"/>
          <w:szCs w:val="22"/>
        </w:rPr>
        <w:t>specially for dynamic features</w:t>
      </w:r>
      <w:r w:rsidR="00190FA0" w:rsidRPr="00846AD1">
        <w:rPr>
          <w:sz w:val="22"/>
          <w:szCs w:val="22"/>
        </w:rPr>
        <w:t xml:space="preserve"> such as the boundaries of the </w:t>
      </w:r>
      <w:r w:rsidR="00564B8B" w:rsidRPr="00564B8B">
        <w:rPr>
          <w:sz w:val="22"/>
          <w:szCs w:val="22"/>
        </w:rPr>
        <w:t>Marginal Ice Zone and the Seasonal Ice-Cover Over the Deep Arctic Ocean</w:t>
      </w:r>
      <w:r w:rsidR="00564B8B">
        <w:rPr>
          <w:sz w:val="22"/>
          <w:szCs w:val="22"/>
        </w:rPr>
        <w:t xml:space="preserve"> EBSA and the </w:t>
      </w:r>
      <w:r w:rsidR="00564B8B" w:rsidRPr="00564B8B">
        <w:rPr>
          <w:sz w:val="22"/>
          <w:szCs w:val="22"/>
        </w:rPr>
        <w:t>Multi-year Ice of the Central Arctic Ocean</w:t>
      </w:r>
      <w:r w:rsidR="00564B8B">
        <w:rPr>
          <w:sz w:val="22"/>
          <w:szCs w:val="22"/>
        </w:rPr>
        <w:t xml:space="preserve"> EBSA </w:t>
      </w:r>
      <w:r w:rsidR="00190FA0" w:rsidRPr="00846AD1">
        <w:rPr>
          <w:sz w:val="22"/>
          <w:szCs w:val="22"/>
        </w:rPr>
        <w:t>described in 2014.</w:t>
      </w:r>
    </w:p>
    <w:p w14:paraId="5A144776" w14:textId="77777777" w:rsidR="00190FA0" w:rsidRPr="00846AD1" w:rsidRDefault="00190FA0" w:rsidP="00B3738F">
      <w:pPr>
        <w:jc w:val="both"/>
        <w:rPr>
          <w:sz w:val="22"/>
          <w:szCs w:val="22"/>
        </w:rPr>
      </w:pPr>
    </w:p>
    <w:p w14:paraId="57066430" w14:textId="77777777" w:rsidR="00190FA0" w:rsidRPr="00846AD1" w:rsidRDefault="00190FA0" w:rsidP="00B3738F">
      <w:pPr>
        <w:jc w:val="both"/>
        <w:rPr>
          <w:sz w:val="22"/>
          <w:szCs w:val="22"/>
        </w:rPr>
      </w:pPr>
    </w:p>
    <w:p w14:paraId="38F02251" w14:textId="10B58F2C" w:rsidR="00B3738F" w:rsidRPr="00B3738F" w:rsidRDefault="00B3738F" w:rsidP="002E4B39">
      <w:pPr>
        <w:keepNext/>
        <w:jc w:val="both"/>
        <w:rPr>
          <w:b/>
          <w:bCs/>
          <w:sz w:val="22"/>
          <w:szCs w:val="22"/>
        </w:rPr>
      </w:pPr>
      <w:r w:rsidRPr="00B3738F">
        <w:rPr>
          <w:b/>
          <w:bCs/>
          <w:sz w:val="22"/>
          <w:szCs w:val="22"/>
        </w:rPr>
        <w:t>REFERENCES</w:t>
      </w:r>
    </w:p>
    <w:p w14:paraId="6F615E61" w14:textId="77777777" w:rsidR="00B3738F" w:rsidRPr="00137D78" w:rsidRDefault="00B3738F" w:rsidP="00846AD1">
      <w:pPr>
        <w:spacing w:after="120"/>
        <w:ind w:left="709" w:hanging="709"/>
        <w:jc w:val="both"/>
        <w:rPr>
          <w:sz w:val="22"/>
          <w:szCs w:val="22"/>
        </w:rPr>
      </w:pPr>
      <w:r w:rsidRPr="00921E26">
        <w:rPr>
          <w:sz w:val="22"/>
          <w:szCs w:val="22"/>
        </w:rPr>
        <w:t>Frey K.E., Comiso J.C., Cooper L.W., Grebmeier J.M., Stock L.V. (20</w:t>
      </w:r>
      <w:r w:rsidRPr="00137D78">
        <w:rPr>
          <w:sz w:val="22"/>
          <w:szCs w:val="22"/>
        </w:rPr>
        <w:t xml:space="preserve">18) Arctic Ocean Primary Productivity: The Response of Marine Algae to Climate Warming and Sea Ice Decline. Arctic Report Card 2018, NOAA. </w:t>
      </w:r>
      <w:hyperlink r:id="rId333">
        <w:r w:rsidRPr="00137D78">
          <w:rPr>
            <w:rStyle w:val="Hyperlink"/>
            <w:sz w:val="22"/>
            <w:szCs w:val="22"/>
          </w:rPr>
          <w:t>https://www.arctic.noaa.gov/Report-Card/Report-Card2018</w:t>
        </w:r>
      </w:hyperlink>
      <w:r w:rsidRPr="00921E26">
        <w:rPr>
          <w:sz w:val="22"/>
          <w:szCs w:val="22"/>
        </w:rPr>
        <w:t xml:space="preserve"> </w:t>
      </w:r>
    </w:p>
    <w:p w14:paraId="056EB118" w14:textId="7ECF5347" w:rsidR="00B3738F" w:rsidRPr="00137D78" w:rsidRDefault="00B3738F" w:rsidP="00846AD1">
      <w:pPr>
        <w:spacing w:after="120"/>
        <w:ind w:left="709" w:hanging="709"/>
        <w:jc w:val="both"/>
        <w:rPr>
          <w:sz w:val="22"/>
          <w:szCs w:val="22"/>
        </w:rPr>
      </w:pPr>
      <w:r w:rsidRPr="00137D78">
        <w:rPr>
          <w:sz w:val="22"/>
          <w:szCs w:val="22"/>
        </w:rPr>
        <w:t>ICES, 2013a. Report of the Workshop to Review and Advise on EBSA Proposed Areas (WKEBSA), 27 - 21 May 2013, ICES HQ, Copenhagen, Denmark. ICES CM 2013/ACOM:70. 127 pp.</w:t>
      </w:r>
      <w:r w:rsidRPr="00137D78">
        <w:rPr>
          <w:sz w:val="22"/>
          <w:szCs w:val="22"/>
        </w:rPr>
        <w:br/>
        <w:t>ICES, 2013b. Report of the ICES Advisory Committee In: ICES Advice, Book 1, OSPAR/NEAFC special request on review and reformulation of four EBSA Proformas.</w:t>
      </w:r>
    </w:p>
    <w:p w14:paraId="183D9275" w14:textId="572B1463" w:rsidR="00B3738F" w:rsidRPr="00137D78" w:rsidRDefault="00B3738F" w:rsidP="00846AD1">
      <w:pPr>
        <w:spacing w:after="120"/>
        <w:ind w:left="709" w:hanging="709"/>
        <w:jc w:val="both"/>
        <w:rPr>
          <w:sz w:val="22"/>
          <w:szCs w:val="22"/>
        </w:rPr>
      </w:pPr>
      <w:r w:rsidRPr="00137D78">
        <w:rPr>
          <w:sz w:val="22"/>
          <w:szCs w:val="22"/>
        </w:rPr>
        <w:t xml:space="preserve">Perovich D., Meier W., Tschudi M., Farrell S., Hendricks S., Gerland S., Haas C., Krumpen T, Polashenski C., Ricker R., Webster M. (2018) Arctic Report Card: Update for 2018. NOAA </w:t>
      </w:r>
      <w:hyperlink r:id="rId334">
        <w:r w:rsidRPr="00137D78">
          <w:rPr>
            <w:rStyle w:val="Hyperlink"/>
            <w:sz w:val="22"/>
            <w:szCs w:val="22"/>
          </w:rPr>
          <w:t>https://www.arctic.noaa.gov/Report-Card/Report-Card-2018</w:t>
        </w:r>
      </w:hyperlink>
      <w:r w:rsidRPr="00921E26">
        <w:rPr>
          <w:sz w:val="22"/>
          <w:szCs w:val="22"/>
        </w:rPr>
        <w:t xml:space="preserve"> </w:t>
      </w:r>
    </w:p>
    <w:p w14:paraId="35D5CFB4" w14:textId="5862775A" w:rsidR="00B3738F" w:rsidRPr="006220EA" w:rsidRDefault="005B097E" w:rsidP="002E4B39">
      <w:pPr>
        <w:tabs>
          <w:tab w:val="left" w:pos="567"/>
        </w:tabs>
        <w:spacing w:before="120" w:after="120"/>
        <w:jc w:val="center"/>
        <w:rPr>
          <w:sz w:val="22"/>
          <w:szCs w:val="22"/>
        </w:rPr>
      </w:pPr>
      <w:r>
        <w:rPr>
          <w:sz w:val="22"/>
          <w:szCs w:val="22"/>
        </w:rPr>
        <w:t>__________</w:t>
      </w:r>
    </w:p>
    <w:sectPr w:rsidR="00B3738F" w:rsidRPr="006220EA" w:rsidSect="002E4B39">
      <w:pgSz w:w="12240" w:h="15840" w:code="1"/>
      <w:pgMar w:top="1021" w:right="1440" w:bottom="1134" w:left="1440" w:header="720"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2BC84A" w14:textId="77777777" w:rsidR="00B53DBA" w:rsidRDefault="00B53DBA">
      <w:r>
        <w:separator/>
      </w:r>
    </w:p>
  </w:endnote>
  <w:endnote w:type="continuationSeparator" w:id="0">
    <w:p w14:paraId="486FE2B9" w14:textId="77777777" w:rsidR="00B53DBA" w:rsidRDefault="00B53D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New Roman Bold">
    <w:panose1 w:val="0202080307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Univers">
    <w:altName w:val="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M+ 2p regular">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ndalus">
    <w:charset w:val="00"/>
    <w:family w:val="roman"/>
    <w:pitch w:val="variable"/>
    <w:sig w:usb0="00002003" w:usb1="80000000" w:usb2="00000008" w:usb3="00000000" w:csb0="00000041" w:csb1="00000000"/>
  </w:font>
  <w:font w:name="AdvP3E76B0">
    <w:altName w:val="Cambria"/>
    <w:panose1 w:val="00000000000000000000"/>
    <w:charset w:val="00"/>
    <w:family w:val="roman"/>
    <w:notTrueType/>
    <w:pitch w:val="default"/>
    <w:sig w:usb0="00000003" w:usb1="00000000" w:usb2="00000000" w:usb3="00000000" w:csb0="00000001" w:csb1="00000000"/>
  </w:font>
  <w:font w:name="AdvTT3713a231">
    <w:altName w:val="Times New Roman"/>
    <w:panose1 w:val="00000000000000000000"/>
    <w:charset w:val="00"/>
    <w:family w:val="roman"/>
    <w:notTrueType/>
    <w:pitch w:val="default"/>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1E4BA" w14:textId="77777777" w:rsidR="00B53DBA" w:rsidRPr="006354CE" w:rsidRDefault="00B53DBA" w:rsidP="006354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44F4AD" w14:textId="77777777" w:rsidR="00B53DBA" w:rsidRDefault="00B53D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A470C" w14:textId="77777777" w:rsidR="00B53DBA" w:rsidRPr="003D507B" w:rsidRDefault="00B53DBA" w:rsidP="00907941">
    <w:pPr>
      <w:pStyle w:val="Footer"/>
      <w:tabs>
        <w:tab w:val="clear" w:pos="4320"/>
        <w:tab w:val="clear" w:pos="8640"/>
        <w:tab w:val="right" w:pos="9000"/>
      </w:tabs>
      <w:rPr>
        <w:i/>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A526C" w14:textId="77777777" w:rsidR="00B53DBA" w:rsidRPr="00A5267D" w:rsidRDefault="00B53DBA" w:rsidP="00907941">
    <w:pPr>
      <w:pStyle w:val="Footer"/>
      <w:tabs>
        <w:tab w:val="clear" w:pos="4320"/>
        <w:tab w:val="clear" w:pos="8640"/>
        <w:tab w:val="right" w:pos="9360"/>
      </w:tabs>
      <w:rPr>
        <w:i/>
        <w:sz w:val="20"/>
        <w:szCs w:val="20"/>
      </w:rPr>
    </w:pPr>
    <w:r w:rsidRPr="00A5267D">
      <w:rPr>
        <w:i/>
        <w:sz w:val="20"/>
        <w:szCs w:val="20"/>
      </w:rPr>
      <w:t>Title</w:t>
    </w:r>
    <w:r w:rsidRPr="00A5267D">
      <w:rPr>
        <w:i/>
        <w:sz w:val="20"/>
        <w:szCs w:val="20"/>
      </w:rPr>
      <w:tab/>
    </w:r>
    <w:r w:rsidRPr="00A5267D">
      <w:rPr>
        <w:rStyle w:val="PageNumber"/>
        <w:i/>
        <w:sz w:val="20"/>
        <w:szCs w:val="20"/>
      </w:rPr>
      <w:fldChar w:fldCharType="begin"/>
    </w:r>
    <w:r w:rsidRPr="00A5267D">
      <w:rPr>
        <w:rStyle w:val="PageNumber"/>
        <w:i/>
        <w:sz w:val="20"/>
        <w:szCs w:val="20"/>
      </w:rPr>
      <w:instrText xml:space="preserve"> PAGE </w:instrText>
    </w:r>
    <w:r w:rsidRPr="00A5267D">
      <w:rPr>
        <w:rStyle w:val="PageNumber"/>
        <w:i/>
        <w:sz w:val="20"/>
        <w:szCs w:val="20"/>
      </w:rPr>
      <w:fldChar w:fldCharType="separate"/>
    </w:r>
    <w:r>
      <w:rPr>
        <w:rStyle w:val="PageNumber"/>
        <w:i/>
        <w:noProof/>
        <w:sz w:val="20"/>
        <w:szCs w:val="20"/>
      </w:rPr>
      <w:t>1</w:t>
    </w:r>
    <w:r w:rsidRPr="00A5267D">
      <w:rPr>
        <w:rStyle w:val="PageNumber"/>
        <w:i/>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2ADB67" w14:textId="77777777" w:rsidR="00B53DBA" w:rsidRPr="003D507B" w:rsidRDefault="00B53DBA" w:rsidP="00907941">
    <w:pPr>
      <w:pStyle w:val="Footer"/>
      <w:tabs>
        <w:tab w:val="clear" w:pos="4320"/>
        <w:tab w:val="clear" w:pos="8640"/>
        <w:tab w:val="right" w:pos="9000"/>
      </w:tabs>
      <w:rPr>
        <w:i/>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9781AF" w14:textId="1AEDE047" w:rsidR="00B53DBA" w:rsidRPr="00A5267D" w:rsidRDefault="00B53DBA" w:rsidP="00907941">
    <w:pPr>
      <w:pStyle w:val="Footer"/>
      <w:tabs>
        <w:tab w:val="clear" w:pos="4320"/>
        <w:tab w:val="clear" w:pos="8640"/>
        <w:tab w:val="right" w:pos="9360"/>
      </w:tabs>
      <w:rPr>
        <w: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1AAAD5" w14:textId="77777777" w:rsidR="00B53DBA" w:rsidRDefault="00B53DBA">
      <w:r>
        <w:separator/>
      </w:r>
    </w:p>
  </w:footnote>
  <w:footnote w:type="continuationSeparator" w:id="0">
    <w:p w14:paraId="1E0D52B8" w14:textId="77777777" w:rsidR="00B53DBA" w:rsidRDefault="00B53DBA">
      <w:r>
        <w:continuationSeparator/>
      </w:r>
    </w:p>
  </w:footnote>
  <w:footnote w:id="1">
    <w:p w14:paraId="6579EFC9" w14:textId="77777777" w:rsidR="00B53DBA" w:rsidRPr="00FD5B51" w:rsidRDefault="00B53DBA" w:rsidP="00F952A8">
      <w:pPr>
        <w:pStyle w:val="FootnoteText"/>
        <w:ind w:firstLine="0"/>
        <w:rPr>
          <w:lang w:val="en-US" w:eastAsia="ko-KR"/>
        </w:rPr>
      </w:pPr>
      <w:r w:rsidRPr="00D54813">
        <w:rPr>
          <w:rStyle w:val="FootnoteReference"/>
          <w:u w:val="none"/>
          <w:vertAlign w:val="superscript"/>
        </w:rPr>
        <w:footnoteRef/>
      </w:r>
      <w:r w:rsidRPr="00D54813">
        <w:rPr>
          <w:vertAlign w:val="superscript"/>
        </w:rPr>
        <w:t xml:space="preserve">  </w:t>
      </w:r>
      <w:r w:rsidRPr="00FD5B51">
        <w:t xml:space="preserve"> The designations employed and the presentation of material in this note do not imply the expression of any opinion whatsoever on the part of the Secretariat concerning the legal status of any country, territory, city or area or of its authorities, or concerning the delimitation of its frontiers or boundaries.</w:t>
      </w:r>
    </w:p>
  </w:footnote>
  <w:footnote w:id="2">
    <w:p w14:paraId="7A3AC31E" w14:textId="7606AB7D" w:rsidR="00B53DBA" w:rsidRPr="00EE3AF9" w:rsidRDefault="00B53DBA" w:rsidP="00EE3AF9">
      <w:pPr>
        <w:pStyle w:val="FootnoteText"/>
        <w:ind w:firstLine="0"/>
        <w:rPr>
          <w:lang w:val="en-US"/>
        </w:rPr>
      </w:pPr>
      <w:r w:rsidRPr="002E4B39">
        <w:rPr>
          <w:rStyle w:val="FootnoteReference"/>
          <w:u w:val="none"/>
          <w:vertAlign w:val="superscript"/>
        </w:rPr>
        <w:footnoteRef/>
      </w:r>
      <w:r>
        <w:t xml:space="preserve"> </w:t>
      </w:r>
      <w:hyperlink r:id="rId1" w:history="1">
        <w:r w:rsidRPr="00846AD1">
          <w:rPr>
            <w:rStyle w:val="Hyperlink"/>
            <w:iCs/>
            <w:color w:val="auto"/>
            <w:u w:val="none"/>
            <w:lang w:val="en-CA"/>
          </w:rPr>
          <w:t xml:space="preserve">ICES. 2013. OSPAR/NEAFC special request on review of the results of the Joint OSPAR/NEAFC/CBD Workshop on Ecologically and Biologically Significant Areas (EBSAs). June 2013. Available at: </w:t>
        </w:r>
        <w:r w:rsidRPr="00766643">
          <w:rPr>
            <w:rStyle w:val="Hyperlink"/>
            <w:iCs/>
            <w:lang w:val="en-CA"/>
          </w:rPr>
          <w:t xml:space="preserve">http://www.ices.dk/sites/pub/Publication%20Reports/Advice/2013/Special%20requests/OSPAR-NEAFC%20EBSA%20review.pdf </w:t>
        </w:r>
      </w:hyperlink>
    </w:p>
  </w:footnote>
  <w:footnote w:id="3">
    <w:p w14:paraId="51F4F191" w14:textId="32C1C4AF" w:rsidR="00B53DBA" w:rsidRPr="006220EA" w:rsidRDefault="00B53DBA" w:rsidP="002E4B39">
      <w:pPr>
        <w:autoSpaceDE w:val="0"/>
        <w:autoSpaceDN w:val="0"/>
        <w:adjustRightInd w:val="0"/>
        <w:spacing w:afterLines="50" w:after="120"/>
        <w:jc w:val="both"/>
        <w:rPr>
          <w:lang w:val="en-US"/>
        </w:rPr>
      </w:pPr>
      <w:r w:rsidRPr="002E4B39">
        <w:rPr>
          <w:rStyle w:val="FootnoteReference"/>
          <w:u w:val="none"/>
          <w:vertAlign w:val="superscript"/>
        </w:rPr>
        <w:footnoteRef/>
      </w:r>
      <w:r>
        <w:t xml:space="preserve"> </w:t>
      </w:r>
      <w:r w:rsidRPr="006220EA">
        <w:rPr>
          <w:sz w:val="18"/>
          <w:szCs w:val="18"/>
          <w:lang w:val="en-IE" w:eastAsia="ko-KR"/>
        </w:rPr>
        <w:t>An expert nominated by the government of France was scheduled to attend the workshop. However, due to unforeseen circumstances, the participant was unable to attend, and it was not possible in the limited timeframe to arrange for an alternate expert from France to attend.</w:t>
      </w:r>
    </w:p>
  </w:footnote>
  <w:footnote w:id="4">
    <w:p w14:paraId="79602A78" w14:textId="77777777" w:rsidR="00B53DBA" w:rsidRPr="00EE3AF9" w:rsidRDefault="00B53DBA" w:rsidP="006C0CB6">
      <w:pPr>
        <w:pStyle w:val="FootnoteText"/>
        <w:ind w:firstLine="0"/>
        <w:rPr>
          <w:lang w:val="en-US"/>
        </w:rPr>
      </w:pPr>
      <w:r w:rsidRPr="002E4B39">
        <w:rPr>
          <w:rStyle w:val="FootnoteReference"/>
          <w:u w:val="none"/>
          <w:vertAlign w:val="superscript"/>
        </w:rPr>
        <w:footnoteRef/>
      </w:r>
      <w:r>
        <w:t xml:space="preserve"> </w:t>
      </w:r>
      <w:hyperlink r:id="rId2" w:history="1">
        <w:r w:rsidRPr="00EE3AF9">
          <w:rPr>
            <w:rStyle w:val="Hyperlink"/>
            <w:iCs/>
            <w:lang w:val="en-CA"/>
          </w:rPr>
          <w:t>ICES OSPAR-NEAFC EBSA review.pdf</w:t>
        </w:r>
      </w:hyperlink>
    </w:p>
  </w:footnote>
  <w:footnote w:id="5">
    <w:p w14:paraId="60AEB350" w14:textId="28501917" w:rsidR="00B53DBA" w:rsidRPr="00C622E1" w:rsidRDefault="00B53DBA" w:rsidP="00C622E1">
      <w:pPr>
        <w:pStyle w:val="FootnoteText"/>
        <w:ind w:firstLine="0"/>
        <w:rPr>
          <w:lang w:val="en-US"/>
        </w:rPr>
      </w:pPr>
      <w:r>
        <w:rPr>
          <w:rStyle w:val="FootnoteReference"/>
        </w:rPr>
        <w:footnoteRef/>
      </w:r>
      <w:r>
        <w:t xml:space="preserve"> Providing support to CBD Secretariat</w:t>
      </w:r>
      <w:r>
        <w:rPr>
          <w:lang w:val="en-US"/>
        </w:rPr>
        <w:t xml:space="preserve"> </w:t>
      </w:r>
    </w:p>
  </w:footnote>
  <w:footnote w:id="6">
    <w:p w14:paraId="0637EEEE" w14:textId="479B3A3E" w:rsidR="00B53DBA" w:rsidRPr="00880A50" w:rsidRDefault="00B53DBA" w:rsidP="00880A50">
      <w:pPr>
        <w:pStyle w:val="FootnoteText"/>
        <w:ind w:firstLine="0"/>
        <w:rPr>
          <w:lang w:val="en-US"/>
        </w:rPr>
      </w:pPr>
      <w:r w:rsidRPr="002E4B39">
        <w:rPr>
          <w:rStyle w:val="FootnoteReference"/>
          <w:u w:val="none"/>
          <w:vertAlign w:val="superscript"/>
        </w:rPr>
        <w:footnoteRef/>
      </w:r>
      <w:r w:rsidRPr="0028621C">
        <w:t xml:space="preserve"> </w:t>
      </w:r>
      <w:r w:rsidRPr="0028621C">
        <w:rPr>
          <w:lang w:val="en-US"/>
        </w:rPr>
        <w:t>Other Parties participating in this workshop, but not included in this annex,</w:t>
      </w:r>
      <w:r>
        <w:rPr>
          <w:lang w:val="en-US"/>
        </w:rPr>
        <w:t xml:space="preserve"> (i.e., Denmark (mainland), Portugal, Spain)</w:t>
      </w:r>
      <w:r w:rsidRPr="0028621C">
        <w:rPr>
          <w:lang w:val="en-US"/>
        </w:rPr>
        <w:t xml:space="preserve"> have their own respective national processes that have contributed to the description of EBSAs during this workshop. Information on areas in the respective waters of these Parties described by this workshop as meeting the EBSA criteria is provided in annex VII and its appendix.</w:t>
      </w:r>
    </w:p>
  </w:footnote>
  <w:footnote w:id="7">
    <w:p w14:paraId="30759985" w14:textId="78EDBFDC" w:rsidR="00B53DBA" w:rsidRPr="002C76CE" w:rsidRDefault="00B53DBA" w:rsidP="002C76CE">
      <w:pPr>
        <w:pStyle w:val="FootnoteText"/>
        <w:ind w:firstLine="0"/>
        <w:rPr>
          <w:lang w:val="en-US"/>
        </w:rPr>
      </w:pPr>
      <w:r w:rsidRPr="002E4B39">
        <w:rPr>
          <w:rStyle w:val="FootnoteReference"/>
          <w:u w:val="none"/>
          <w:vertAlign w:val="superscript"/>
        </w:rPr>
        <w:footnoteRef/>
      </w:r>
      <w:r>
        <w:t xml:space="preserve"> </w:t>
      </w:r>
      <w:hyperlink r:id="rId3" w:tgtFrame="_blank" w:history="1">
        <w:r w:rsidRPr="002C76CE">
          <w:rPr>
            <w:rStyle w:val="Hyperlink"/>
            <w:lang w:val="en"/>
          </w:rPr>
          <w:t>Marine Strategy Framework Directive</w:t>
        </w:r>
      </w:hyperlink>
      <w:r w:rsidRPr="002C76CE">
        <w:rPr>
          <w:lang w:val="en"/>
        </w:rPr>
        <w:t>: Directive 2008/56/EC aims to achieve Good Environmental Status (GES) of the EU's marine waters by 2020 and to protect the resource base upon which marine-related economic and social activities depend.</w:t>
      </w:r>
    </w:p>
  </w:footnote>
  <w:footnote w:id="8">
    <w:p w14:paraId="5948F55E" w14:textId="2FD4E04A" w:rsidR="00B53DBA" w:rsidRPr="002C76CE" w:rsidRDefault="00B53DBA" w:rsidP="002C76CE">
      <w:pPr>
        <w:pStyle w:val="FootnoteText"/>
        <w:ind w:firstLine="0"/>
        <w:rPr>
          <w:lang w:val="en-US"/>
        </w:rPr>
      </w:pPr>
      <w:r w:rsidRPr="002E4B39">
        <w:rPr>
          <w:rStyle w:val="FootnoteReference"/>
          <w:u w:val="none"/>
          <w:vertAlign w:val="superscript"/>
        </w:rPr>
        <w:footnoteRef/>
      </w:r>
      <w:r>
        <w:t xml:space="preserve"> </w:t>
      </w:r>
      <w:r w:rsidRPr="002C76CE">
        <w:rPr>
          <w:lang w:val="en"/>
        </w:rPr>
        <w:t>Birds Directive: </w:t>
      </w:r>
      <w:hyperlink r:id="rId4" w:tgtFrame="_blank" w:history="1">
        <w:r w:rsidRPr="002C76CE">
          <w:rPr>
            <w:rStyle w:val="Hyperlink"/>
            <w:lang w:val="en"/>
          </w:rPr>
          <w:t>Directive 2009/147/EC</w:t>
        </w:r>
      </w:hyperlink>
      <w:r w:rsidRPr="002C76CE">
        <w:rPr>
          <w:lang w:val="en"/>
        </w:rPr>
        <w:t> of the European Parliament and of the Council of 30 November 2009 on the conservation of wild birds (codified version of Directive 79/409/EEC as amended)</w:t>
      </w:r>
      <w:r>
        <w:rPr>
          <w:lang w:val="en"/>
        </w:rPr>
        <w:t>.</w:t>
      </w:r>
    </w:p>
  </w:footnote>
  <w:footnote w:id="9">
    <w:p w14:paraId="0357204A" w14:textId="3EEC9CE2" w:rsidR="00B53DBA" w:rsidRPr="002C76CE" w:rsidRDefault="00B53DBA" w:rsidP="002C76CE">
      <w:pPr>
        <w:pStyle w:val="FootnoteText"/>
        <w:ind w:firstLine="0"/>
        <w:rPr>
          <w:lang w:val="en-US"/>
        </w:rPr>
      </w:pPr>
      <w:r w:rsidRPr="002E4B39">
        <w:rPr>
          <w:rStyle w:val="FootnoteReference"/>
          <w:u w:val="none"/>
          <w:vertAlign w:val="superscript"/>
        </w:rPr>
        <w:footnoteRef/>
      </w:r>
      <w:r>
        <w:t xml:space="preserve"> </w:t>
      </w:r>
      <w:r w:rsidRPr="002C76CE">
        <w:rPr>
          <w:lang w:val="en"/>
        </w:rPr>
        <w:t>Habitats Directive: </w:t>
      </w:r>
      <w:hyperlink r:id="rId5" w:tgtFrame="_blank" w:history="1">
        <w:r w:rsidRPr="002C76CE">
          <w:rPr>
            <w:rStyle w:val="Hyperlink"/>
            <w:lang w:val="en"/>
          </w:rPr>
          <w:t>Council Directive 92/43/EEC</w:t>
        </w:r>
      </w:hyperlink>
      <w:r w:rsidRPr="002C76CE">
        <w:rPr>
          <w:lang w:val="en"/>
        </w:rPr>
        <w:t> of 21 May 1992 on the conservation of natural habitats and of wild fauna and flora (Also available the </w:t>
      </w:r>
      <w:hyperlink r:id="rId6" w:tgtFrame="_blank" w:history="1">
        <w:r w:rsidRPr="002C76CE">
          <w:rPr>
            <w:rStyle w:val="Hyperlink"/>
            <w:lang w:val="en"/>
          </w:rPr>
          <w:t>consolidated version</w:t>
        </w:r>
      </w:hyperlink>
      <w:r w:rsidRPr="002C76CE">
        <w:rPr>
          <w:lang w:val="en"/>
        </w:rPr>
        <w:t> of 1 January 2007 with the latest updates of the annexes</w:t>
      </w:r>
      <w:r>
        <w:rPr>
          <w:lang w:val="en"/>
        </w:rPr>
        <w:t>.</w:t>
      </w:r>
    </w:p>
  </w:footnote>
  <w:footnote w:id="10">
    <w:p w14:paraId="544302F7" w14:textId="0AE6C7FE" w:rsidR="00B53DBA" w:rsidRPr="00880A50" w:rsidRDefault="00B53DBA" w:rsidP="00880A50">
      <w:pPr>
        <w:pStyle w:val="FootnoteText"/>
        <w:spacing w:after="0"/>
        <w:ind w:firstLine="0"/>
        <w:rPr>
          <w:lang w:val="en-CA"/>
        </w:rPr>
      </w:pPr>
      <w:r w:rsidRPr="002E4B39">
        <w:rPr>
          <w:rStyle w:val="FootnoteReference"/>
          <w:u w:val="none"/>
          <w:vertAlign w:val="superscript"/>
        </w:rPr>
        <w:footnoteRef/>
      </w:r>
      <w:r>
        <w:t xml:space="preserve"> </w:t>
      </w:r>
      <w:r w:rsidRPr="00254D04">
        <w:rPr>
          <w:lang w:val="en-CA"/>
        </w:rPr>
        <w:t xml:space="preserve">UNEP/CBD/EBSA/WS/2014/1/5. </w:t>
      </w:r>
      <w:r w:rsidRPr="00254D04">
        <w:t>Report of the Arctic Regional Workshop to Facilitate the Description of Ecologically or Biologically Significant Marine Areas</w:t>
      </w:r>
      <w:r>
        <w:t xml:space="preserve"> (</w:t>
      </w:r>
      <w:r w:rsidRPr="00880A50">
        <w:rPr>
          <w:lang w:val="en-CA"/>
        </w:rPr>
        <w:t>Helsinki,</w:t>
      </w:r>
      <w:r>
        <w:rPr>
          <w:lang w:val="en-CA"/>
        </w:rPr>
        <w:t xml:space="preserve"> Finland,</w:t>
      </w:r>
      <w:r w:rsidRPr="00880A50">
        <w:rPr>
          <w:lang w:val="en-CA"/>
        </w:rPr>
        <w:t xml:space="preserve"> 3 to 7 March 2014</w:t>
      </w:r>
      <w:r>
        <w:rPr>
          <w:lang w:val="en-CA"/>
        </w:rPr>
        <w:t>).</w:t>
      </w:r>
    </w:p>
  </w:footnote>
  <w:footnote w:id="11">
    <w:p w14:paraId="3FC0581F" w14:textId="5D8A94B1" w:rsidR="00B53DBA" w:rsidRPr="00961DBE" w:rsidRDefault="00B53DBA" w:rsidP="00880A50">
      <w:r w:rsidRPr="002E4B39">
        <w:rPr>
          <w:rStyle w:val="FootnoteReference"/>
          <w:rFonts w:eastAsia="Malgun Gothic"/>
          <w:u w:val="none"/>
          <w:vertAlign w:val="superscript"/>
          <w:lang w:val="en-GB"/>
        </w:rPr>
        <w:footnoteRef/>
      </w:r>
      <w:r>
        <w:t xml:space="preserve"> </w:t>
      </w:r>
      <w:hyperlink r:id="rId7" w:history="1">
        <w:r w:rsidRPr="00961DBE">
          <w:rPr>
            <w:rStyle w:val="Hyperlink"/>
            <w:sz w:val="18"/>
            <w:szCs w:val="18"/>
          </w:rPr>
          <w:t>https://www.cbd.int/ebsa/</w:t>
        </w:r>
      </w:hyperlink>
    </w:p>
  </w:footnote>
  <w:footnote w:id="12">
    <w:p w14:paraId="7409BA23" w14:textId="148298C5" w:rsidR="00B53DBA" w:rsidRPr="00254D04" w:rsidRDefault="00B53DBA" w:rsidP="00880A50">
      <w:pPr>
        <w:pStyle w:val="FootnoteText"/>
        <w:spacing w:after="0"/>
        <w:ind w:firstLine="0"/>
      </w:pPr>
      <w:r w:rsidRPr="002E4B39">
        <w:rPr>
          <w:rStyle w:val="FootnoteReference"/>
          <w:u w:val="none"/>
          <w:vertAlign w:val="superscript"/>
        </w:rPr>
        <w:footnoteRef/>
      </w:r>
      <w:r>
        <w:t xml:space="preserve"> </w:t>
      </w:r>
      <w:r w:rsidRPr="00254D04">
        <w:t>CBD/EBSA/WS/2018/1/4</w:t>
      </w:r>
      <w:r w:rsidRPr="00254D04">
        <w:rPr>
          <w:lang w:val="en-CA"/>
        </w:rPr>
        <w:t xml:space="preserve">. Report </w:t>
      </w:r>
      <w:r>
        <w:rPr>
          <w:lang w:val="en-CA"/>
        </w:rPr>
        <w:t>of the</w:t>
      </w:r>
      <w:r w:rsidRPr="00254D04">
        <w:rPr>
          <w:lang w:val="en-CA"/>
        </w:rPr>
        <w:t xml:space="preserve"> Regional Workshop </w:t>
      </w:r>
      <w:r>
        <w:rPr>
          <w:lang w:val="en-CA"/>
        </w:rPr>
        <w:t>t</w:t>
      </w:r>
      <w:r w:rsidRPr="00254D04">
        <w:rPr>
          <w:lang w:val="en-CA"/>
        </w:rPr>
        <w:t xml:space="preserve">o Facilitate </w:t>
      </w:r>
      <w:r>
        <w:rPr>
          <w:lang w:val="en-CA"/>
        </w:rPr>
        <w:t>t</w:t>
      </w:r>
      <w:r w:rsidRPr="00254D04">
        <w:rPr>
          <w:lang w:val="en-CA"/>
        </w:rPr>
        <w:t xml:space="preserve">he Description </w:t>
      </w:r>
      <w:r>
        <w:rPr>
          <w:lang w:val="en-CA"/>
        </w:rPr>
        <w:t>of</w:t>
      </w:r>
      <w:r w:rsidRPr="00254D04">
        <w:rPr>
          <w:lang w:val="en-CA"/>
        </w:rPr>
        <w:t xml:space="preserve"> Ecologically </w:t>
      </w:r>
      <w:r>
        <w:rPr>
          <w:lang w:val="en-CA"/>
        </w:rPr>
        <w:t>o</w:t>
      </w:r>
      <w:r w:rsidRPr="00254D04">
        <w:rPr>
          <w:lang w:val="en-CA"/>
        </w:rPr>
        <w:t xml:space="preserve">r Biologically Significant Marine Areas </w:t>
      </w:r>
      <w:r>
        <w:rPr>
          <w:lang w:val="en-CA"/>
        </w:rPr>
        <w:t>in the</w:t>
      </w:r>
      <w:r w:rsidRPr="00254D04">
        <w:rPr>
          <w:lang w:val="en-CA"/>
        </w:rPr>
        <w:t xml:space="preserve"> Baltic Sea</w:t>
      </w:r>
      <w:r>
        <w:rPr>
          <w:lang w:val="en-CA"/>
        </w:rPr>
        <w:t xml:space="preserve"> (</w:t>
      </w:r>
      <w:r>
        <w:t>Helsinki, Finland</w:t>
      </w:r>
      <w:r w:rsidRPr="00254D04">
        <w:t xml:space="preserve">, 19-24 </w:t>
      </w:r>
      <w:r>
        <w:t>February</w:t>
      </w:r>
      <w:r w:rsidRPr="00254D04">
        <w:t xml:space="preserve"> 2018</w:t>
      </w:r>
      <w:r>
        <w:t>).</w:t>
      </w:r>
    </w:p>
  </w:footnote>
  <w:footnote w:id="13">
    <w:p w14:paraId="3436B5F2" w14:textId="77777777" w:rsidR="00B53DBA" w:rsidRPr="00961DBE" w:rsidRDefault="00B53DBA" w:rsidP="00880A50">
      <w:r w:rsidRPr="002E4B39">
        <w:rPr>
          <w:rStyle w:val="FootnoteReference"/>
          <w:rFonts w:eastAsia="Malgun Gothic"/>
          <w:u w:val="none"/>
          <w:vertAlign w:val="superscript"/>
          <w:lang w:val="en-GB"/>
        </w:rPr>
        <w:footnoteRef/>
      </w:r>
      <w:r>
        <w:t xml:space="preserve"> </w:t>
      </w:r>
      <w:hyperlink r:id="rId8" w:history="1">
        <w:r w:rsidRPr="00961DBE">
          <w:rPr>
            <w:rStyle w:val="Hyperlink"/>
            <w:sz w:val="18"/>
            <w:szCs w:val="18"/>
          </w:rPr>
          <w:t>https://www.cbd.int/ebsa/</w:t>
        </w:r>
      </w:hyperlink>
    </w:p>
  </w:footnote>
  <w:footnote w:id="14">
    <w:p w14:paraId="578FE5A6" w14:textId="2B62C9B2" w:rsidR="00B53DBA" w:rsidRPr="00846AD1" w:rsidRDefault="00B53DBA" w:rsidP="00846AD1">
      <w:pPr>
        <w:pStyle w:val="FootnoteText"/>
        <w:ind w:firstLine="0"/>
        <w:rPr>
          <w:lang w:val="en-US"/>
        </w:rPr>
      </w:pPr>
      <w:r w:rsidRPr="002E4B39">
        <w:rPr>
          <w:rStyle w:val="FootnoteReference"/>
          <w:u w:val="none"/>
          <w:vertAlign w:val="superscript"/>
        </w:rPr>
        <w:t>*</w:t>
      </w:r>
      <w:r>
        <w:t xml:space="preserve"> </w:t>
      </w:r>
      <w:r>
        <w:rPr>
          <w:lang w:val="en-US"/>
        </w:rPr>
        <w:t>The scopes of previous CBD regional EBSA workshops that are adjacent and partially overlapping with the scope of the present workshop are also indicated.</w:t>
      </w:r>
    </w:p>
  </w:footnote>
  <w:footnote w:id="15">
    <w:p w14:paraId="525DC38D" w14:textId="77777777" w:rsidR="00B53DBA" w:rsidRPr="00313D44" w:rsidRDefault="00B53DBA" w:rsidP="00C441C5">
      <w:pPr>
        <w:pStyle w:val="FootnoteText"/>
        <w:ind w:firstLine="0"/>
      </w:pPr>
      <w:r w:rsidRPr="002E4B39">
        <w:rPr>
          <w:rStyle w:val="FootnoteReference"/>
          <w:u w:val="none"/>
          <w:vertAlign w:val="superscript"/>
        </w:rPr>
        <w:footnoteRef/>
      </w:r>
      <w:r>
        <w:t xml:space="preserve"> </w:t>
      </w:r>
      <w:hyperlink r:id="rId9" w:history="1">
        <w:r>
          <w:rPr>
            <w:rStyle w:val="Hyperlink"/>
            <w:rFonts w:cstheme="minorHAnsi"/>
          </w:rPr>
          <w:t>http://www.iucnredlist.org</w:t>
        </w:r>
      </w:hyperlink>
    </w:p>
  </w:footnote>
  <w:footnote w:id="16">
    <w:p w14:paraId="7223D4E8" w14:textId="3A0D153C" w:rsidR="00B53DBA" w:rsidRPr="00BD5044" w:rsidRDefault="00B53DBA" w:rsidP="002E4B39">
      <w:pPr>
        <w:pStyle w:val="FootnoteText"/>
        <w:ind w:firstLine="0"/>
      </w:pPr>
      <w:r w:rsidRPr="002E4B39">
        <w:rPr>
          <w:rStyle w:val="FootnoteReference"/>
          <w:u w:val="none"/>
          <w:vertAlign w:val="superscript"/>
        </w:rPr>
        <w:footnoteRef/>
      </w:r>
      <w:r>
        <w:t xml:space="preserve"> </w:t>
      </w:r>
      <w:r>
        <w:rPr>
          <w:rFonts w:cstheme="minorHAnsi"/>
        </w:rPr>
        <w:t>Council Directive 92/43/EEC of 21 May 1992 on the conservation of natural habitats and of wild fauna and flora.</w:t>
      </w:r>
    </w:p>
  </w:footnote>
  <w:footnote w:id="17">
    <w:p w14:paraId="614126A7" w14:textId="7F28DD23" w:rsidR="00B53DBA" w:rsidRPr="00846AD1" w:rsidRDefault="00B53DBA" w:rsidP="00846AD1">
      <w:pPr>
        <w:pStyle w:val="FootnoteText"/>
        <w:ind w:firstLine="0"/>
        <w:rPr>
          <w:lang w:val="en-US"/>
        </w:rPr>
      </w:pPr>
      <w:r w:rsidRPr="002E4B39">
        <w:rPr>
          <w:rStyle w:val="FootnoteReference"/>
          <w:u w:val="none"/>
          <w:vertAlign w:val="superscript"/>
        </w:rPr>
        <w:t xml:space="preserve">* </w:t>
      </w:r>
      <w:r w:rsidRPr="00EB67CF">
        <w:t>The scopes of previous CBD regional EBSA workshops</w:t>
      </w:r>
      <w:r>
        <w:t xml:space="preserve"> </w:t>
      </w:r>
      <w:r w:rsidRPr="00EB67CF">
        <w:t>that are adjacent and partially overlapping with the scope of the present workshop</w:t>
      </w:r>
      <w:r>
        <w:t>, as well as EBSAs described in those previous workshops,</w:t>
      </w:r>
      <w:r w:rsidRPr="00EB67CF">
        <w:t xml:space="preserve"> are also indicated.</w:t>
      </w:r>
    </w:p>
  </w:footnote>
  <w:footnote w:id="18">
    <w:p w14:paraId="6EDC386A" w14:textId="4EA32C97" w:rsidR="00B53DBA" w:rsidRPr="007924DD" w:rsidRDefault="00B53DBA" w:rsidP="002E4B39">
      <w:pPr>
        <w:spacing w:after="120"/>
        <w:jc w:val="both"/>
      </w:pPr>
      <w:r w:rsidRPr="002E4B39">
        <w:rPr>
          <w:rStyle w:val="FootnoteReference"/>
          <w:szCs w:val="18"/>
          <w:u w:val="none"/>
          <w:vertAlign w:val="superscript"/>
        </w:rPr>
        <w:footnoteRef/>
      </w:r>
      <w:r w:rsidRPr="00602130">
        <w:rPr>
          <w:sz w:val="18"/>
          <w:szCs w:val="18"/>
        </w:rPr>
        <w:t xml:space="preserve"> </w:t>
      </w:r>
      <w:r w:rsidRPr="00602130">
        <w:rPr>
          <w:bCs/>
          <w:color w:val="000000"/>
          <w:sz w:val="18"/>
          <w:szCs w:val="18"/>
        </w:rPr>
        <w:t>The Spitzbergen and Jan Mayen fracture zones, of comparable offset (145 and 211 km respectively), lie between Greenland</w:t>
      </w:r>
      <w:r>
        <w:rPr>
          <w:bCs/>
          <w:color w:val="000000"/>
          <w:sz w:val="18"/>
          <w:szCs w:val="18"/>
        </w:rPr>
        <w:t xml:space="preserve"> </w:t>
      </w:r>
      <w:r w:rsidRPr="00602130">
        <w:rPr>
          <w:bCs/>
          <w:color w:val="000000"/>
          <w:sz w:val="18"/>
          <w:szCs w:val="18"/>
        </w:rPr>
        <w:t>and Europe.</w:t>
      </w:r>
    </w:p>
  </w:footnote>
  <w:footnote w:id="19">
    <w:p w14:paraId="116D3ED6" w14:textId="77777777" w:rsidR="00B53DBA" w:rsidRPr="0021277B" w:rsidRDefault="00B53DBA" w:rsidP="002E4B39">
      <w:pPr>
        <w:pStyle w:val="FootnoteText"/>
        <w:ind w:firstLine="0"/>
        <w:rPr>
          <w:lang w:val="en-US"/>
        </w:rPr>
      </w:pPr>
      <w:r w:rsidRPr="002E4B39">
        <w:rPr>
          <w:rStyle w:val="FootnoteReference"/>
          <w:u w:val="none"/>
          <w:vertAlign w:val="superscript"/>
        </w:rPr>
        <w:footnoteRef/>
      </w:r>
      <w:r>
        <w:t xml:space="preserve"> </w:t>
      </w:r>
      <w:r w:rsidRPr="002E4B39">
        <w:rPr>
          <w:rFonts w:eastAsia="MS Mincho"/>
          <w:color w:val="000000"/>
          <w:szCs w:val="18"/>
          <w:lang w:val="en-US"/>
        </w:rPr>
        <w:t>Area south of Iceland’s Exclusive Economic Zone.</w:t>
      </w:r>
    </w:p>
  </w:footnote>
  <w:footnote w:id="20">
    <w:p w14:paraId="271042D4" w14:textId="3DE1AF1B" w:rsidR="00B53DBA" w:rsidRPr="00C70476" w:rsidRDefault="00B53DBA" w:rsidP="002E4B39">
      <w:pPr>
        <w:pStyle w:val="FootnoteText"/>
        <w:ind w:firstLine="0"/>
      </w:pPr>
      <w:r w:rsidRPr="002E4B39">
        <w:rPr>
          <w:rStyle w:val="FootnoteReference"/>
          <w:u w:val="none"/>
          <w:vertAlign w:val="superscript"/>
        </w:rPr>
        <w:footnoteRef/>
      </w:r>
      <w:r w:rsidRPr="00C70476">
        <w:t xml:space="preserve"> </w:t>
      </w:r>
      <w:hyperlink r:id="rId10" w:history="1">
        <w:r w:rsidRPr="002E4B39">
          <w:rPr>
            <w:rStyle w:val="Hyperlink"/>
          </w:rPr>
          <w:t>http://www.lophelia.org/lophelia/case_4.htm</w:t>
        </w:r>
      </w:hyperlink>
    </w:p>
  </w:footnote>
  <w:footnote w:id="21">
    <w:p w14:paraId="26D098A6" w14:textId="574F5E1B" w:rsidR="00B53DBA" w:rsidRPr="00B3738F" w:rsidRDefault="00B53DBA" w:rsidP="00B3738F">
      <w:pPr>
        <w:pStyle w:val="FootnoteText"/>
        <w:ind w:firstLine="0"/>
        <w:rPr>
          <w:lang w:val="en-CA"/>
        </w:rPr>
      </w:pPr>
      <w:r w:rsidRPr="002E4B39">
        <w:rPr>
          <w:rStyle w:val="FootnoteReference"/>
          <w:u w:val="none"/>
          <w:vertAlign w:val="superscript"/>
        </w:rPr>
        <w:footnoteRef/>
      </w:r>
      <w:r>
        <w:t xml:space="preserve"> </w:t>
      </w:r>
      <w:r w:rsidRPr="00B3738F">
        <w:rPr>
          <w:lang w:val="en-CA"/>
        </w:rPr>
        <w:t>UNEP/CBD/SBSTTA/16/INF/5. Report of the Joint OSPAR/NEAFC/CBD Scientific Workshop on the identification of Ecologically or Biologically Significant Marine Areas (EBSAs) in the North-East Atlantic (8-9 September 2011</w:t>
      </w:r>
      <w:r>
        <w:rPr>
          <w:lang w:val="en-CA"/>
        </w:rPr>
        <w:t>,</w:t>
      </w:r>
      <w:r w:rsidRPr="00B3738F">
        <w:rPr>
          <w:lang w:val="en-CA"/>
        </w:rPr>
        <w:t xml:space="preserve"> Hyères</w:t>
      </w:r>
      <w:r>
        <w:rPr>
          <w:lang w:val="en-CA"/>
        </w:rPr>
        <w:t xml:space="preserve">, </w:t>
      </w:r>
      <w:r w:rsidRPr="00B3738F">
        <w:rPr>
          <w:lang w:val="en-CA"/>
        </w:rPr>
        <w:t>France)</w:t>
      </w:r>
    </w:p>
  </w:footnote>
  <w:footnote w:id="22">
    <w:p w14:paraId="73BEFD41" w14:textId="435ECC3E" w:rsidR="00B53DBA" w:rsidRPr="00B3738F" w:rsidRDefault="00B53DBA" w:rsidP="00B3738F">
      <w:pPr>
        <w:pStyle w:val="FootnoteText"/>
        <w:ind w:firstLine="0"/>
        <w:rPr>
          <w:lang w:val="en-CA"/>
        </w:rPr>
      </w:pPr>
      <w:r w:rsidRPr="002E4B39">
        <w:rPr>
          <w:rStyle w:val="FootnoteReference"/>
          <w:u w:val="none"/>
          <w:vertAlign w:val="superscript"/>
        </w:rPr>
        <w:footnoteRef/>
      </w:r>
      <w:r w:rsidRPr="002E4B39">
        <w:rPr>
          <w:vertAlign w:val="superscript"/>
        </w:rPr>
        <w:t xml:space="preserve"> </w:t>
      </w:r>
      <w:r w:rsidRPr="00B3738F">
        <w:rPr>
          <w:lang w:val="en-CA"/>
        </w:rPr>
        <w:t>UNEP/CBD/EBSA/WS/2014/1/5</w:t>
      </w:r>
      <w:r>
        <w:rPr>
          <w:lang w:val="en-CA"/>
        </w:rPr>
        <w:t xml:space="preserve">. </w:t>
      </w:r>
      <w:r w:rsidRPr="00B3738F">
        <w:t xml:space="preserve">Report of the </w:t>
      </w:r>
      <w:r>
        <w:t xml:space="preserve">CBD </w:t>
      </w:r>
      <w:r w:rsidRPr="00B3738F">
        <w:t>Arctic Regional Workshop to Facilitate the Description of Ecologically or Biologically Significant Marine Areas</w:t>
      </w:r>
      <w:r>
        <w:t xml:space="preserve"> (3-7 March 2014, Helsinki)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E7B70" w14:textId="38CF53C6" w:rsidR="00B53DBA" w:rsidRDefault="00B53DBA">
    <w:pPr>
      <w:pStyle w:val="Header"/>
    </w:pPr>
  </w:p>
  <w:sdt>
    <w:sdtPr>
      <w:rPr>
        <w:bCs/>
      </w:rPr>
      <w:alias w:val="Subject"/>
      <w:tag w:val=""/>
      <w:id w:val="-1652057589"/>
      <w:placeholder>
        <w:docPart w:val="C8D67B67FBCD4AE4822FD5AC1A619B88"/>
      </w:placeholder>
      <w:dataBinding w:prefixMappings="xmlns:ns0='http://purl.org/dc/elements/1.1/' xmlns:ns1='http://schemas.openxmlformats.org/package/2006/metadata/core-properties' " w:xpath="/ns1:coreProperties[1]/ns0:subject[1]" w:storeItemID="{6C3C8BC8-F283-45AE-878A-BAB7291924A1}"/>
      <w:text/>
    </w:sdtPr>
    <w:sdtEndPr/>
    <w:sdtContent>
      <w:p w14:paraId="0AEB1E8F" w14:textId="0CD76254" w:rsidR="00B53DBA" w:rsidRDefault="009E53BE">
        <w:pPr>
          <w:pStyle w:val="Header"/>
        </w:pPr>
        <w:r>
          <w:rPr>
            <w:bCs/>
          </w:rPr>
          <w:t>CBD/EBSA/WS/2019/1/4</w:t>
        </w:r>
      </w:p>
    </w:sdtContent>
  </w:sdt>
  <w:p w14:paraId="1952459E" w14:textId="77777777" w:rsidR="00B53DBA" w:rsidRDefault="00B53DBA" w:rsidP="00360BA0">
    <w:pPr>
      <w:pStyle w:val="Header"/>
      <w:spacing w:after="240"/>
    </w:pPr>
    <w:r>
      <w:t xml:space="preserve">Page </w:t>
    </w:r>
    <w:r>
      <w:fldChar w:fldCharType="begin"/>
    </w:r>
    <w:r>
      <w:instrText xml:space="preserve"> PAGE   \* MERGEFORMAT </w:instrText>
    </w:r>
    <w:r>
      <w:fldChar w:fldCharType="separate"/>
    </w:r>
    <w:r>
      <w:rPr>
        <w:noProof/>
      </w:rPr>
      <w:t>22</w:t>
    </w:r>
    <w:r>
      <w:rPr>
        <w:noProof/>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rPr>
      <w:alias w:val="Subject"/>
      <w:tag w:val=""/>
      <w:id w:val="-1154988096"/>
      <w:placeholder>
        <w:docPart w:val="B26709215828422082B75E3ED8F8A2E0"/>
      </w:placeholder>
      <w:dataBinding w:prefixMappings="xmlns:ns0='http://purl.org/dc/elements/1.1/' xmlns:ns1='http://schemas.openxmlformats.org/package/2006/metadata/core-properties' " w:xpath="/ns1:coreProperties[1]/ns0:subject[1]" w:storeItemID="{6C3C8BC8-F283-45AE-878A-BAB7291924A1}"/>
      <w:text/>
    </w:sdtPr>
    <w:sdtEndPr/>
    <w:sdtContent>
      <w:p w14:paraId="766D5B4E" w14:textId="32512E21" w:rsidR="00B53DBA" w:rsidRDefault="009E53BE" w:rsidP="009D3D78">
        <w:pPr>
          <w:pStyle w:val="Header"/>
          <w:jc w:val="right"/>
        </w:pPr>
        <w:r>
          <w:rPr>
            <w:bCs/>
          </w:rPr>
          <w:t>CBD/EBSA/WS/2019/1/4</w:t>
        </w:r>
      </w:p>
    </w:sdtContent>
  </w:sdt>
  <w:p w14:paraId="6B30D5AC" w14:textId="1268A6C9" w:rsidR="00B53DBA" w:rsidRDefault="00B53DBA" w:rsidP="002E4B39">
    <w:pPr>
      <w:pStyle w:val="Header"/>
      <w:spacing w:after="240"/>
      <w:jc w:val="right"/>
    </w:pPr>
    <w:r>
      <w:t xml:space="preserve">Page </w:t>
    </w:r>
    <w:r>
      <w:fldChar w:fldCharType="begin"/>
    </w:r>
    <w:r>
      <w:instrText xml:space="preserve"> PAGE   \* MERGEFORMAT </w:instrText>
    </w:r>
    <w:r>
      <w:fldChar w:fldCharType="separate"/>
    </w:r>
    <w:r>
      <w:t>75</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940426" w14:textId="77777777" w:rsidR="00B53DBA" w:rsidRDefault="00B53DB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noProof/>
      </w:rPr>
      <w:alias w:val="Subject"/>
      <w:tag w:val=""/>
      <w:id w:val="1069769332"/>
      <w:placeholder>
        <w:docPart w:val="BF8715650B4B47729724F4A68FF741D0"/>
      </w:placeholder>
      <w:dataBinding w:prefixMappings="xmlns:ns0='http://purl.org/dc/elements/1.1/' xmlns:ns1='http://schemas.openxmlformats.org/package/2006/metadata/core-properties' " w:xpath="/ns1:coreProperties[1]/ns0:subject[1]" w:storeItemID="{6C3C8BC8-F283-45AE-878A-BAB7291924A1}"/>
      <w:text/>
    </w:sdtPr>
    <w:sdtEndPr/>
    <w:sdtContent>
      <w:p w14:paraId="76A47640" w14:textId="1FBAA975" w:rsidR="00B53DBA" w:rsidRPr="009A20CF" w:rsidRDefault="009E53BE" w:rsidP="00D167B6">
        <w:pPr>
          <w:pStyle w:val="Header"/>
          <w:ind w:left="5670"/>
          <w:jc w:val="right"/>
          <w:rPr>
            <w:bCs/>
            <w:noProof/>
          </w:rPr>
        </w:pPr>
        <w:r>
          <w:rPr>
            <w:bCs/>
            <w:noProof/>
          </w:rPr>
          <w:t>CBD/EBSA/WS/2019/1/4</w:t>
        </w:r>
      </w:p>
    </w:sdtContent>
  </w:sdt>
  <w:p w14:paraId="1E597B00" w14:textId="04CD934C" w:rsidR="00B53DBA" w:rsidRDefault="00B53DBA" w:rsidP="00360BA0">
    <w:pPr>
      <w:pStyle w:val="Header"/>
      <w:spacing w:after="240"/>
      <w:ind w:left="5674"/>
      <w:jc w:val="right"/>
      <w:rPr>
        <w:noProof/>
      </w:rPr>
    </w:pPr>
    <w:r>
      <w:rPr>
        <w:noProof/>
      </w:rPr>
      <w:t xml:space="preserve">Page </w:t>
    </w:r>
    <w:r>
      <w:rPr>
        <w:noProof/>
      </w:rPr>
      <w:fldChar w:fldCharType="begin"/>
    </w:r>
    <w:r>
      <w:rPr>
        <w:noProof/>
      </w:rPr>
      <w:instrText xml:space="preserve"> PAGE   \* MERGEFORMAT </w:instrText>
    </w:r>
    <w:r>
      <w:rPr>
        <w:noProof/>
      </w:rPr>
      <w:fldChar w:fldCharType="separate"/>
    </w:r>
    <w:r>
      <w:rPr>
        <w:noProof/>
      </w:rPr>
      <w:t>21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rPr>
      <w:alias w:val="Subject"/>
      <w:tag w:val=""/>
      <w:id w:val="-1598858187"/>
      <w:placeholder>
        <w:docPart w:val="A95B58023D9C034CA40E7185A8E89920"/>
      </w:placeholder>
      <w:dataBinding w:prefixMappings="xmlns:ns0='http://purl.org/dc/elements/1.1/' xmlns:ns1='http://schemas.openxmlformats.org/package/2006/metadata/core-properties' " w:xpath="/ns1:coreProperties[1]/ns0:subject[1]" w:storeItemID="{6C3C8BC8-F283-45AE-878A-BAB7291924A1}"/>
      <w:text/>
    </w:sdtPr>
    <w:sdtEndPr/>
    <w:sdtContent>
      <w:p w14:paraId="575F307E" w14:textId="74200A58" w:rsidR="00B53DBA" w:rsidRDefault="009E53BE" w:rsidP="0028621C">
        <w:pPr>
          <w:pStyle w:val="Header"/>
        </w:pPr>
        <w:r>
          <w:rPr>
            <w:bCs/>
          </w:rPr>
          <w:t>CBD/EBSA/WS/2019/1/4</w:t>
        </w:r>
      </w:p>
    </w:sdtContent>
  </w:sdt>
  <w:p w14:paraId="3EA7C880" w14:textId="3E5501B9" w:rsidR="00B53DBA" w:rsidRDefault="00B53DBA" w:rsidP="0028621C">
    <w:pPr>
      <w:pStyle w:val="Header"/>
      <w:spacing w:after="240"/>
    </w:pPr>
    <w:r>
      <w:t xml:space="preserve">Page </w:t>
    </w:r>
    <w:r>
      <w:fldChar w:fldCharType="begin"/>
    </w:r>
    <w:r>
      <w:instrText xml:space="preserve"> PAGE   \* MERGEFORMAT </w:instrText>
    </w:r>
    <w:r>
      <w:fldChar w:fldCharType="separate"/>
    </w:r>
    <w:r>
      <w:rPr>
        <w:noProof/>
      </w:rPr>
      <w:t>54</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noProof/>
      </w:rPr>
      <w:alias w:val="Subject"/>
      <w:tag w:val=""/>
      <w:id w:val="-436979689"/>
      <w:placeholder>
        <w:docPart w:val="7EACD5A7819CB94F9444579CE69D52FE"/>
      </w:placeholder>
      <w:dataBinding w:prefixMappings="xmlns:ns0='http://purl.org/dc/elements/1.1/' xmlns:ns1='http://schemas.openxmlformats.org/package/2006/metadata/core-properties' " w:xpath="/ns1:coreProperties[1]/ns0:subject[1]" w:storeItemID="{6C3C8BC8-F283-45AE-878A-BAB7291924A1}"/>
      <w:text/>
    </w:sdtPr>
    <w:sdtEndPr/>
    <w:sdtContent>
      <w:p w14:paraId="0B29F5F7" w14:textId="0813B220" w:rsidR="00B53DBA" w:rsidRPr="009A20CF" w:rsidRDefault="009E53BE" w:rsidP="0028621C">
        <w:pPr>
          <w:pStyle w:val="Header"/>
          <w:ind w:left="5670"/>
          <w:jc w:val="right"/>
          <w:rPr>
            <w:bCs/>
            <w:noProof/>
          </w:rPr>
        </w:pPr>
        <w:r>
          <w:rPr>
            <w:bCs/>
            <w:noProof/>
          </w:rPr>
          <w:t>CBD/EBSA/WS/2019/1/4</w:t>
        </w:r>
      </w:p>
    </w:sdtContent>
  </w:sdt>
  <w:p w14:paraId="06830D1B" w14:textId="5E2FFE81" w:rsidR="00B53DBA" w:rsidRDefault="00B53DBA" w:rsidP="0028621C">
    <w:pPr>
      <w:pStyle w:val="Header"/>
      <w:spacing w:after="240"/>
      <w:ind w:left="5674"/>
      <w:jc w:val="right"/>
      <w:rPr>
        <w:noProof/>
      </w:rPr>
    </w:pPr>
    <w:r>
      <w:rPr>
        <w:noProof/>
      </w:rPr>
      <w:t xml:space="preserve">Page </w:t>
    </w:r>
    <w:r>
      <w:rPr>
        <w:noProof/>
      </w:rPr>
      <w:fldChar w:fldCharType="begin"/>
    </w:r>
    <w:r>
      <w:rPr>
        <w:noProof/>
      </w:rPr>
      <w:instrText xml:space="preserve"> PAGE   \* MERGEFORMAT </w:instrText>
    </w:r>
    <w:r>
      <w:rPr>
        <w:noProof/>
      </w:rPr>
      <w:fldChar w:fldCharType="separate"/>
    </w:r>
    <w:r>
      <w:rPr>
        <w:noProof/>
      </w:rPr>
      <w:t>53</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8D92A6" w14:textId="5D987F35" w:rsidR="00B53DBA" w:rsidRDefault="00B53DB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rPr>
      <w:alias w:val="Subject"/>
      <w:tag w:val=""/>
      <w:id w:val="-1451467227"/>
      <w:placeholder>
        <w:docPart w:val="CD3BC79CB8BC4E798BC5197B92C2CAD7"/>
      </w:placeholder>
      <w:dataBinding w:prefixMappings="xmlns:ns0='http://purl.org/dc/elements/1.1/' xmlns:ns1='http://schemas.openxmlformats.org/package/2006/metadata/core-properties' " w:xpath="/ns1:coreProperties[1]/ns0:subject[1]" w:storeItemID="{6C3C8BC8-F283-45AE-878A-BAB7291924A1}"/>
      <w:text/>
    </w:sdtPr>
    <w:sdtEndPr/>
    <w:sdtContent>
      <w:p w14:paraId="7BE6F31D" w14:textId="75AB9C92" w:rsidR="00B53DBA" w:rsidRDefault="009E53BE" w:rsidP="00AC0BAC">
        <w:pPr>
          <w:pStyle w:val="Header"/>
        </w:pPr>
        <w:r>
          <w:rPr>
            <w:bCs/>
          </w:rPr>
          <w:t>CBD/EBSA/WS/2019/1/4</w:t>
        </w:r>
      </w:p>
    </w:sdtContent>
  </w:sdt>
  <w:p w14:paraId="35E08380" w14:textId="1BA70A8B" w:rsidR="00B53DBA" w:rsidRDefault="00B53DBA" w:rsidP="002E4B39">
    <w:pPr>
      <w:pStyle w:val="Header"/>
      <w:spacing w:after="240"/>
    </w:pPr>
    <w:r>
      <w:t xml:space="preserve">Page </w:t>
    </w:r>
    <w:r>
      <w:fldChar w:fldCharType="begin"/>
    </w:r>
    <w:r>
      <w:instrText xml:space="preserve"> PAGE   \* MERGEFORMAT </w:instrText>
    </w:r>
    <w:r>
      <w:fldChar w:fldCharType="separate"/>
    </w:r>
    <w:r>
      <w:t>14</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rPr>
      <w:alias w:val="Subject"/>
      <w:tag w:val=""/>
      <w:id w:val="-1654978506"/>
      <w:placeholder>
        <w:docPart w:val="243CB10832A64631B2231A19317D9BB5"/>
      </w:placeholder>
      <w:dataBinding w:prefixMappings="xmlns:ns0='http://purl.org/dc/elements/1.1/' xmlns:ns1='http://schemas.openxmlformats.org/package/2006/metadata/core-properties' " w:xpath="/ns1:coreProperties[1]/ns0:subject[1]" w:storeItemID="{6C3C8BC8-F283-45AE-878A-BAB7291924A1}"/>
      <w:text/>
    </w:sdtPr>
    <w:sdtEndPr/>
    <w:sdtContent>
      <w:p w14:paraId="22CB4BB6" w14:textId="446F512D" w:rsidR="00B53DBA" w:rsidRDefault="009E53BE" w:rsidP="002E4B39">
        <w:pPr>
          <w:pStyle w:val="Header"/>
          <w:jc w:val="right"/>
        </w:pPr>
        <w:r>
          <w:rPr>
            <w:bCs/>
          </w:rPr>
          <w:t>CBD/EBSA/WS/2019/1/4</w:t>
        </w:r>
      </w:p>
    </w:sdtContent>
  </w:sdt>
  <w:p w14:paraId="02075CFD" w14:textId="4353DB3D" w:rsidR="00B53DBA" w:rsidRPr="002E4B39" w:rsidRDefault="00B53DBA" w:rsidP="002E4B39">
    <w:pPr>
      <w:pStyle w:val="Header"/>
      <w:spacing w:after="240"/>
      <w:jc w:val="right"/>
    </w:pPr>
    <w:r>
      <w:t xml:space="preserve">Page </w:t>
    </w:r>
    <w:r>
      <w:fldChar w:fldCharType="begin"/>
    </w:r>
    <w:r>
      <w:instrText xml:space="preserve"> PAGE   \* MERGEFORMAT </w:instrText>
    </w:r>
    <w:r>
      <w:fldChar w:fldCharType="separate"/>
    </w:r>
    <w:r>
      <w:t>14</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E69098" w14:textId="77777777" w:rsidR="00B53DBA" w:rsidRDefault="00B53DB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Cs/>
      </w:rPr>
      <w:alias w:val="Subject"/>
      <w:tag w:val=""/>
      <w:id w:val="-831757552"/>
      <w:placeholder>
        <w:docPart w:val="462ECA1ECA544C0F820DF90132CF9BCD"/>
      </w:placeholder>
      <w:dataBinding w:prefixMappings="xmlns:ns0='http://purl.org/dc/elements/1.1/' xmlns:ns1='http://schemas.openxmlformats.org/package/2006/metadata/core-properties' " w:xpath="/ns1:coreProperties[1]/ns0:subject[1]" w:storeItemID="{6C3C8BC8-F283-45AE-878A-BAB7291924A1}"/>
      <w:text/>
    </w:sdtPr>
    <w:sdtEndPr/>
    <w:sdtContent>
      <w:p w14:paraId="5E853AA4" w14:textId="33716E8D" w:rsidR="00B53DBA" w:rsidRDefault="009E53BE" w:rsidP="002E4B39">
        <w:pPr>
          <w:pStyle w:val="Header"/>
          <w:jc w:val="left"/>
        </w:pPr>
        <w:r>
          <w:rPr>
            <w:bCs/>
          </w:rPr>
          <w:t>CBD/EBSA/WS/2019/1/4</w:t>
        </w:r>
      </w:p>
    </w:sdtContent>
  </w:sdt>
  <w:p w14:paraId="27715902" w14:textId="3006BF85" w:rsidR="00B53DBA" w:rsidRDefault="00B53DBA" w:rsidP="002E4B39">
    <w:pPr>
      <w:pStyle w:val="Header"/>
      <w:spacing w:after="240"/>
      <w:jc w:val="left"/>
    </w:pPr>
    <w:r>
      <w:t xml:space="preserve">Page </w:t>
    </w:r>
    <w:r>
      <w:fldChar w:fldCharType="begin"/>
    </w:r>
    <w:r>
      <w:instrText xml:space="preserve"> PAGE   \* MERGEFORMAT </w:instrText>
    </w:r>
    <w:r>
      <w:fldChar w:fldCharType="separate"/>
    </w:r>
    <w:r>
      <w:t>75</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68E0BFB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F66BE"/>
    <w:multiLevelType w:val="hybridMultilevel"/>
    <w:tmpl w:val="C852ADC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15:restartNumberingAfterBreak="0">
    <w:nsid w:val="00AD19B4"/>
    <w:multiLevelType w:val="hybridMultilevel"/>
    <w:tmpl w:val="A198E72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15:restartNumberingAfterBreak="0">
    <w:nsid w:val="01605DAD"/>
    <w:multiLevelType w:val="multilevel"/>
    <w:tmpl w:val="FA66D8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930182"/>
    <w:multiLevelType w:val="hybridMultilevel"/>
    <w:tmpl w:val="EBBE597C"/>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ED0698"/>
    <w:multiLevelType w:val="hybridMultilevel"/>
    <w:tmpl w:val="65FAAA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814541"/>
    <w:multiLevelType w:val="hybridMultilevel"/>
    <w:tmpl w:val="2DB6F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14361B"/>
    <w:multiLevelType w:val="hybridMultilevel"/>
    <w:tmpl w:val="D6CCE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77601E"/>
    <w:multiLevelType w:val="hybridMultilevel"/>
    <w:tmpl w:val="702E1D1A"/>
    <w:lvl w:ilvl="0" w:tplc="C72A3F3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D160CF8"/>
    <w:multiLevelType w:val="singleLevel"/>
    <w:tmpl w:val="CD3C32EA"/>
    <w:lvl w:ilvl="0">
      <w:start w:val="3"/>
      <w:numFmt w:val="decimal"/>
      <w:pStyle w:val="Heading1centred"/>
      <w:lvlText w:val="3.%1 "/>
      <w:legacy w:legacy="1" w:legacySpace="0" w:legacyIndent="283"/>
      <w:lvlJc w:val="left"/>
      <w:pPr>
        <w:ind w:left="283" w:hanging="283"/>
      </w:pPr>
      <w:rPr>
        <w:rFonts w:ascii="Courier" w:hAnsi="Courier" w:hint="default"/>
        <w:b w:val="0"/>
        <w:i w:val="0"/>
        <w:sz w:val="20"/>
        <w:u w:val="none"/>
      </w:rPr>
    </w:lvl>
  </w:abstractNum>
  <w:abstractNum w:abstractNumId="10" w15:restartNumberingAfterBreak="0">
    <w:nsid w:val="202A353D"/>
    <w:multiLevelType w:val="hybridMultilevel"/>
    <w:tmpl w:val="52D0673E"/>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0371B32"/>
    <w:multiLevelType w:val="hybridMultilevel"/>
    <w:tmpl w:val="1FA2DEB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21491FBD"/>
    <w:multiLevelType w:val="hybridMultilevel"/>
    <w:tmpl w:val="43C2C33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15:restartNumberingAfterBreak="0">
    <w:nsid w:val="24F349BB"/>
    <w:multiLevelType w:val="hybridMultilevel"/>
    <w:tmpl w:val="A134C2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2B2C21"/>
    <w:multiLevelType w:val="hybridMultilevel"/>
    <w:tmpl w:val="4DF056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A90550"/>
    <w:multiLevelType w:val="hybridMultilevel"/>
    <w:tmpl w:val="E48A1A3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27910EF1"/>
    <w:multiLevelType w:val="hybridMultilevel"/>
    <w:tmpl w:val="EBA82422"/>
    <w:lvl w:ilvl="0" w:tplc="509A7A72">
      <w:numFmt w:val="bullet"/>
      <w:lvlText w:val="-"/>
      <w:lvlJc w:val="left"/>
      <w:pPr>
        <w:ind w:left="720" w:hanging="360"/>
      </w:pPr>
      <w:rPr>
        <w:rFonts w:ascii="Times New Roman" w:eastAsia="Malgun Gothic"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E6F10E2"/>
    <w:multiLevelType w:val="hybridMultilevel"/>
    <w:tmpl w:val="E2BE4CE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0336B8"/>
    <w:multiLevelType w:val="multilevel"/>
    <w:tmpl w:val="99BA12E0"/>
    <w:lvl w:ilvl="0">
      <w:start w:val="1"/>
      <w:numFmt w:val="upperRoman"/>
      <w:lvlText w:val="%1."/>
      <w:lvlJc w:val="left"/>
      <w:pPr>
        <w:tabs>
          <w:tab w:val="num" w:pos="720"/>
        </w:tabs>
        <w:ind w:left="0" w:firstLine="0"/>
      </w:pPr>
      <w:rPr>
        <w:rFonts w:hint="default"/>
      </w:rPr>
    </w:lvl>
    <w:lvl w:ilvl="1">
      <w:start w:val="1"/>
      <w:numFmt w:val="upperLetter"/>
      <w:lvlText w:val="%2."/>
      <w:lvlJc w:val="left"/>
      <w:pPr>
        <w:tabs>
          <w:tab w:val="num" w:pos="360"/>
        </w:tabs>
        <w:ind w:left="0" w:firstLine="0"/>
      </w:pPr>
      <w:rPr>
        <w:rFonts w:hint="default"/>
      </w:rPr>
    </w:lvl>
    <w:lvl w:ilvl="2">
      <w:start w:val="1"/>
      <w:numFmt w:val="decimal"/>
      <w:lvlText w:val="%3."/>
      <w:lvlJc w:val="left"/>
      <w:pPr>
        <w:tabs>
          <w:tab w:val="num" w:pos="360"/>
        </w:tabs>
        <w:ind w:left="0" w:firstLine="0"/>
      </w:pPr>
      <w:rPr>
        <w:rFonts w:hint="default"/>
      </w:rPr>
    </w:lvl>
    <w:lvl w:ilvl="3">
      <w:start w:val="1"/>
      <w:numFmt w:val="decimal"/>
      <w:lvlText w:val="1.%4"/>
      <w:lvlJc w:val="left"/>
      <w:pPr>
        <w:tabs>
          <w:tab w:val="num" w:pos="360"/>
        </w:tabs>
        <w:ind w:left="0" w:firstLine="0"/>
      </w:pPr>
      <w:rPr>
        <w:rFonts w:hint="default"/>
      </w:rPr>
    </w:lvl>
    <w:lvl w:ilvl="4">
      <w:start w:val="1"/>
      <w:numFmt w:val="lowerRoman"/>
      <w:pStyle w:val="Heading5"/>
      <w:lvlText w:val="(%5)"/>
      <w:lvlJc w:val="left"/>
      <w:pPr>
        <w:tabs>
          <w:tab w:val="num" w:pos="720"/>
        </w:tabs>
        <w:ind w:left="0" w:firstLine="0"/>
      </w:pPr>
      <w:rPr>
        <w:rFonts w:hint="default"/>
      </w:rPr>
    </w:lvl>
    <w:lvl w:ilvl="5">
      <w:start w:val="1"/>
      <w:numFmt w:val="lowerLetter"/>
      <w:lvlText w:val="(%6)"/>
      <w:lvlJc w:val="left"/>
      <w:pPr>
        <w:tabs>
          <w:tab w:val="num" w:pos="1080"/>
        </w:tabs>
        <w:ind w:left="72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360"/>
        </w:tabs>
        <w:ind w:left="-72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9" w15:restartNumberingAfterBreak="0">
    <w:nsid w:val="311C3C8A"/>
    <w:multiLevelType w:val="hybridMultilevel"/>
    <w:tmpl w:val="99A01144"/>
    <w:lvl w:ilvl="0" w:tplc="E9BA4530">
      <w:numFmt w:val="bullet"/>
      <w:lvlText w:val="-"/>
      <w:lvlJc w:val="left"/>
      <w:pPr>
        <w:ind w:left="720" w:hanging="360"/>
      </w:pPr>
      <w:rPr>
        <w:rFonts w:ascii="Times New Roman" w:eastAsia="MS Mincho"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21D3B07"/>
    <w:multiLevelType w:val="multilevel"/>
    <w:tmpl w:val="6C36E9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3480C44"/>
    <w:multiLevelType w:val="hybridMultilevel"/>
    <w:tmpl w:val="BD2CCA38"/>
    <w:lvl w:ilvl="0" w:tplc="0409000F">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35639D5"/>
    <w:multiLevelType w:val="hybridMultilevel"/>
    <w:tmpl w:val="C8C6E0F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15:restartNumberingAfterBreak="0">
    <w:nsid w:val="337D7C34"/>
    <w:multiLevelType w:val="hybridMultilevel"/>
    <w:tmpl w:val="47EC9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665BD4"/>
    <w:multiLevelType w:val="hybridMultilevel"/>
    <w:tmpl w:val="4D1E095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36D00BE4"/>
    <w:multiLevelType w:val="hybridMultilevel"/>
    <w:tmpl w:val="A5A43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70746B0"/>
    <w:multiLevelType w:val="hybridMultilevel"/>
    <w:tmpl w:val="0762B11E"/>
    <w:lvl w:ilvl="0" w:tplc="C72A3F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9856874"/>
    <w:multiLevelType w:val="hybridMultilevel"/>
    <w:tmpl w:val="CD385F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A383FAC"/>
    <w:multiLevelType w:val="hybridMultilevel"/>
    <w:tmpl w:val="B84009D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15:restartNumberingAfterBreak="0">
    <w:nsid w:val="3D1F7F71"/>
    <w:multiLevelType w:val="hybridMultilevel"/>
    <w:tmpl w:val="E236ADE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15:restartNumberingAfterBreak="0">
    <w:nsid w:val="3E7E3A82"/>
    <w:multiLevelType w:val="hybridMultilevel"/>
    <w:tmpl w:val="5D700E20"/>
    <w:lvl w:ilvl="0" w:tplc="4A868590">
      <w:start w:val="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3E9D5D1B"/>
    <w:multiLevelType w:val="hybridMultilevel"/>
    <w:tmpl w:val="A40034A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15:restartNumberingAfterBreak="0">
    <w:nsid w:val="3F5D117C"/>
    <w:multiLevelType w:val="hybridMultilevel"/>
    <w:tmpl w:val="A4FE13E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15:restartNumberingAfterBreak="0">
    <w:nsid w:val="45801511"/>
    <w:multiLevelType w:val="hybridMultilevel"/>
    <w:tmpl w:val="D91A5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8E4287B"/>
    <w:multiLevelType w:val="multilevel"/>
    <w:tmpl w:val="2E6A1D38"/>
    <w:lvl w:ilvl="0">
      <w:start w:val="1"/>
      <w:numFmt w:val="decimal"/>
      <w:lvlText w:val="%1."/>
      <w:lvlJc w:val="left"/>
      <w:pPr>
        <w:tabs>
          <w:tab w:val="num" w:pos="360"/>
        </w:tabs>
        <w:ind w:left="0" w:firstLine="0"/>
      </w:pPr>
    </w:lvl>
    <w:lvl w:ilvl="1">
      <w:start w:val="1"/>
      <w:numFmt w:val="lowerLetter"/>
      <w:lvlText w:val="(%2)"/>
      <w:lvlJc w:val="left"/>
      <w:pPr>
        <w:tabs>
          <w:tab w:val="num" w:pos="1440"/>
        </w:tabs>
        <w:ind w:left="0" w:firstLine="720"/>
      </w:pPr>
    </w:lvl>
    <w:lvl w:ilvl="2">
      <w:start w:val="1"/>
      <w:numFmt w:val="lowerRoman"/>
      <w:lvlText w:val="(%3)"/>
      <w:lvlJc w:val="right"/>
      <w:pPr>
        <w:tabs>
          <w:tab w:val="num" w:pos="1440"/>
        </w:tabs>
        <w:ind w:left="1440" w:hanging="360"/>
      </w:pPr>
    </w:lvl>
    <w:lvl w:ilvl="3">
      <w:start w:val="1"/>
      <w:numFmt w:val="bullet"/>
      <w:pStyle w:val="Para3"/>
      <w:lvlText w:val=""/>
      <w:lvlJc w:val="left"/>
      <w:pPr>
        <w:tabs>
          <w:tab w:val="num" w:pos="2160"/>
        </w:tabs>
        <w:ind w:left="2160" w:hanging="720"/>
      </w:pPr>
      <w:rPr>
        <w:rFonts w:ascii="Symbol" w:hAnsi="Symbol" w:hint="default"/>
        <w:sz w:val="28"/>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4E0442B4"/>
    <w:multiLevelType w:val="multilevel"/>
    <w:tmpl w:val="71B23A2C"/>
    <w:lvl w:ilvl="0">
      <w:start w:val="1"/>
      <w:numFmt w:val="decimal"/>
      <w:pStyle w:val="Para1"/>
      <w:lvlText w:val="%1."/>
      <w:lvlJc w:val="left"/>
      <w:pPr>
        <w:tabs>
          <w:tab w:val="num" w:pos="360"/>
        </w:tabs>
        <w:ind w:left="0" w:firstLine="0"/>
      </w:pPr>
      <w:rPr>
        <w:rFonts w:ascii="Times New Roman" w:hAnsi="Times New Roman" w:hint="default"/>
        <w:b w:val="0"/>
        <w:i w:val="0"/>
        <w:sz w:val="22"/>
      </w:rPr>
    </w:lvl>
    <w:lvl w:ilvl="1">
      <w:start w:val="1"/>
      <w:numFmt w:val="lowerLetter"/>
      <w:lvlText w:val="(%2)"/>
      <w:lvlJc w:val="left"/>
      <w:pPr>
        <w:tabs>
          <w:tab w:val="num" w:pos="1440"/>
        </w:tabs>
        <w:ind w:left="0" w:firstLine="720"/>
      </w:pPr>
      <w:rPr>
        <w:rFonts w:hint="default"/>
        <w:b w:val="0"/>
        <w:i w:val="0"/>
      </w:rPr>
    </w:lvl>
    <w:lvl w:ilvl="2">
      <w:start w:val="1"/>
      <w:numFmt w:val="lowerRoman"/>
      <w:lvlText w:val="(%3)"/>
      <w:lvlJc w:val="right"/>
      <w:pPr>
        <w:tabs>
          <w:tab w:val="num" w:pos="1440"/>
        </w:tabs>
        <w:ind w:left="1440" w:hanging="360"/>
      </w:pPr>
      <w:rPr>
        <w:rFonts w:hint="default"/>
      </w:rPr>
    </w:lvl>
    <w:lvl w:ilvl="3">
      <w:start w:val="1"/>
      <w:numFmt w:val="bullet"/>
      <w:lvlText w:val=""/>
      <w:lvlJc w:val="left"/>
      <w:pPr>
        <w:tabs>
          <w:tab w:val="num" w:pos="2160"/>
        </w:tabs>
        <w:ind w:left="2160" w:hanging="720"/>
      </w:pPr>
      <w:rPr>
        <w:rFonts w:ascii="Symbol" w:hAnsi="Symbol" w:hint="default"/>
        <w:color w:val="auto"/>
        <w:sz w:val="28"/>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15:restartNumberingAfterBreak="0">
    <w:nsid w:val="4ED803E9"/>
    <w:multiLevelType w:val="hybridMultilevel"/>
    <w:tmpl w:val="6A06CBE4"/>
    <w:lvl w:ilvl="0" w:tplc="C72A3F32">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DE1314"/>
    <w:multiLevelType w:val="hybridMultilevel"/>
    <w:tmpl w:val="31A26D1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15:restartNumberingAfterBreak="0">
    <w:nsid w:val="59AE2EFE"/>
    <w:multiLevelType w:val="hybridMultilevel"/>
    <w:tmpl w:val="1F184146"/>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39" w15:restartNumberingAfterBreak="0">
    <w:nsid w:val="5BAB799B"/>
    <w:multiLevelType w:val="hybridMultilevel"/>
    <w:tmpl w:val="9CDC4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C6F54C7"/>
    <w:multiLevelType w:val="hybridMultilevel"/>
    <w:tmpl w:val="5BDCA4D2"/>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41" w15:restartNumberingAfterBreak="0">
    <w:nsid w:val="607A7ED5"/>
    <w:multiLevelType w:val="hybridMultilevel"/>
    <w:tmpl w:val="C81A260C"/>
    <w:lvl w:ilvl="0" w:tplc="7E309BB6">
      <w:start w:val="1"/>
      <w:numFmt w:val="lowerLetter"/>
      <w:lvlText w:val="%1."/>
      <w:lvlJc w:val="left"/>
      <w:pPr>
        <w:ind w:left="720" w:hanging="360"/>
      </w:pPr>
      <w:rPr>
        <w:rFonts w:hint="eastAsia"/>
      </w:rPr>
    </w:lvl>
    <w:lvl w:ilvl="1" w:tplc="FA9E34B0">
      <w:numFmt w:val="bullet"/>
      <w:lvlText w:val="•"/>
      <w:lvlJc w:val="left"/>
      <w:pPr>
        <w:ind w:left="1860" w:hanging="780"/>
      </w:pPr>
      <w:rPr>
        <w:rFonts w:ascii="Batang" w:eastAsia="Batang" w:hAnsi="Batang" w:cs="Times New Roman"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5400BD"/>
    <w:multiLevelType w:val="hybridMultilevel"/>
    <w:tmpl w:val="0EC4CDF8"/>
    <w:lvl w:ilvl="0" w:tplc="BE34677A">
      <w:start w:val="2"/>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71E3C6E"/>
    <w:multiLevelType w:val="hybridMultilevel"/>
    <w:tmpl w:val="9C4C9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7CD69C5"/>
    <w:multiLevelType w:val="hybridMultilevel"/>
    <w:tmpl w:val="C74090DA"/>
    <w:lvl w:ilvl="0" w:tplc="E9BA4530">
      <w:numFmt w:val="bullet"/>
      <w:lvlText w:val="-"/>
      <w:lvlJc w:val="left"/>
      <w:pPr>
        <w:ind w:left="720" w:hanging="360"/>
      </w:pPr>
      <w:rPr>
        <w:rFonts w:ascii="Times New Roman" w:eastAsia="MS Mincho"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AAB6E9A"/>
    <w:multiLevelType w:val="hybridMultilevel"/>
    <w:tmpl w:val="B2EC94B8"/>
    <w:lvl w:ilvl="0" w:tplc="C72A3F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1C3049B"/>
    <w:multiLevelType w:val="hybridMultilevel"/>
    <w:tmpl w:val="4356B40C"/>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47" w15:restartNumberingAfterBreak="0">
    <w:nsid w:val="73EF7582"/>
    <w:multiLevelType w:val="multilevel"/>
    <w:tmpl w:val="B0F405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74A81041"/>
    <w:multiLevelType w:val="hybridMultilevel"/>
    <w:tmpl w:val="88EAE0AA"/>
    <w:lvl w:ilvl="0" w:tplc="04090003">
      <w:start w:val="1"/>
      <w:numFmt w:val="bullet"/>
      <w:lvlText w:val="o"/>
      <w:lvlJc w:val="left"/>
      <w:pPr>
        <w:ind w:left="720" w:hanging="360"/>
      </w:pPr>
      <w:rPr>
        <w:rFonts w:ascii="Courier New" w:hAnsi="Courier New" w:cs="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74C17188"/>
    <w:multiLevelType w:val="hybridMultilevel"/>
    <w:tmpl w:val="8EE44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81A499C"/>
    <w:multiLevelType w:val="multilevel"/>
    <w:tmpl w:val="542237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782C1180"/>
    <w:multiLevelType w:val="hybridMultilevel"/>
    <w:tmpl w:val="264C8254"/>
    <w:lvl w:ilvl="0" w:tplc="04090003">
      <w:start w:val="1"/>
      <w:numFmt w:val="bullet"/>
      <w:lvlText w:val="o"/>
      <w:lvlJc w:val="left"/>
      <w:pPr>
        <w:ind w:left="720" w:hanging="360"/>
      </w:pPr>
      <w:rPr>
        <w:rFonts w:ascii="Courier New" w:hAnsi="Courier New" w:cs="Courier 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783D1BDB"/>
    <w:multiLevelType w:val="hybridMultilevel"/>
    <w:tmpl w:val="9D96F99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3" w15:restartNumberingAfterBreak="0">
    <w:nsid w:val="79197830"/>
    <w:multiLevelType w:val="hybridMultilevel"/>
    <w:tmpl w:val="3C947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94360C6"/>
    <w:multiLevelType w:val="hybridMultilevel"/>
    <w:tmpl w:val="582E4D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94C1E9C"/>
    <w:multiLevelType w:val="hybridMultilevel"/>
    <w:tmpl w:val="6FB4DEF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79691316"/>
    <w:multiLevelType w:val="hybridMultilevel"/>
    <w:tmpl w:val="1D468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A8104E9"/>
    <w:multiLevelType w:val="hybridMultilevel"/>
    <w:tmpl w:val="17FEDA74"/>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58" w15:restartNumberingAfterBreak="0">
    <w:nsid w:val="7AE04602"/>
    <w:multiLevelType w:val="hybridMultilevel"/>
    <w:tmpl w:val="E5161914"/>
    <w:lvl w:ilvl="0" w:tplc="C72A3F32">
      <w:start w:val="1"/>
      <w:numFmt w:val="lowerLetter"/>
      <w:lvlText w:val="(%1)"/>
      <w:lvlJc w:val="left"/>
      <w:pPr>
        <w:ind w:left="720" w:hanging="360"/>
      </w:pPr>
      <w:rPr>
        <w:rFonts w:hint="default"/>
      </w:rPr>
    </w:lvl>
    <w:lvl w:ilvl="1" w:tplc="FA9E34B0">
      <w:numFmt w:val="bullet"/>
      <w:lvlText w:val="•"/>
      <w:lvlJc w:val="left"/>
      <w:pPr>
        <w:ind w:left="1860" w:hanging="780"/>
      </w:pPr>
      <w:rPr>
        <w:rFonts w:ascii="Batang" w:eastAsia="Batang" w:hAnsi="Batang" w:cs="Times New Roman"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EF5EAD"/>
    <w:multiLevelType w:val="hybridMultilevel"/>
    <w:tmpl w:val="ADB2324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0" w15:restartNumberingAfterBreak="0">
    <w:nsid w:val="7C8A0D5C"/>
    <w:multiLevelType w:val="hybridMultilevel"/>
    <w:tmpl w:val="844CF86C"/>
    <w:lvl w:ilvl="0" w:tplc="CFAA4D8C">
      <w:start w:val="1"/>
      <w:numFmt w:val="decimal"/>
      <w:lvlText w:val="%1."/>
      <w:lvlJc w:val="left"/>
      <w:pPr>
        <w:ind w:left="720" w:hanging="360"/>
      </w:pPr>
      <w:rPr>
        <w:rFont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C9E108F"/>
    <w:multiLevelType w:val="hybridMultilevel"/>
    <w:tmpl w:val="EAD2FAB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7D421AC0"/>
    <w:multiLevelType w:val="hybridMultilevel"/>
    <w:tmpl w:val="C64001B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7E875AE4"/>
    <w:multiLevelType w:val="hybridMultilevel"/>
    <w:tmpl w:val="2E6C2CD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9"/>
  </w:num>
  <w:num w:numId="2">
    <w:abstractNumId w:val="18"/>
  </w:num>
  <w:num w:numId="3">
    <w:abstractNumId w:val="35"/>
  </w:num>
  <w:num w:numId="4">
    <w:abstractNumId w:val="34"/>
  </w:num>
  <w:num w:numId="5">
    <w:abstractNumId w:val="0"/>
  </w:num>
  <w:num w:numId="6">
    <w:abstractNumId w:val="17"/>
  </w:num>
  <w:num w:numId="7">
    <w:abstractNumId w:val="4"/>
  </w:num>
  <w:num w:numId="8">
    <w:abstractNumId w:val="61"/>
  </w:num>
  <w:num w:numId="9">
    <w:abstractNumId w:val="54"/>
  </w:num>
  <w:num w:numId="10">
    <w:abstractNumId w:val="41"/>
  </w:num>
  <w:num w:numId="11">
    <w:abstractNumId w:val="13"/>
  </w:num>
  <w:num w:numId="12">
    <w:abstractNumId w:val="51"/>
  </w:num>
  <w:num w:numId="13">
    <w:abstractNumId w:val="10"/>
  </w:num>
  <w:num w:numId="14">
    <w:abstractNumId w:val="30"/>
  </w:num>
  <w:num w:numId="15">
    <w:abstractNumId w:val="14"/>
  </w:num>
  <w:num w:numId="16">
    <w:abstractNumId w:val="48"/>
  </w:num>
  <w:num w:numId="17">
    <w:abstractNumId w:val="5"/>
  </w:num>
  <w:num w:numId="18">
    <w:abstractNumId w:val="27"/>
  </w:num>
  <w:num w:numId="19">
    <w:abstractNumId w:val="21"/>
  </w:num>
  <w:num w:numId="20">
    <w:abstractNumId w:val="55"/>
  </w:num>
  <w:num w:numId="21">
    <w:abstractNumId w:val="62"/>
  </w:num>
  <w:num w:numId="22">
    <w:abstractNumId w:val="24"/>
  </w:num>
  <w:num w:numId="23">
    <w:abstractNumId w:val="31"/>
  </w:num>
  <w:num w:numId="24">
    <w:abstractNumId w:val="2"/>
  </w:num>
  <w:num w:numId="25">
    <w:abstractNumId w:val="28"/>
  </w:num>
  <w:num w:numId="26">
    <w:abstractNumId w:val="15"/>
  </w:num>
  <w:num w:numId="27">
    <w:abstractNumId w:val="1"/>
  </w:num>
  <w:num w:numId="28">
    <w:abstractNumId w:val="37"/>
  </w:num>
  <w:num w:numId="29">
    <w:abstractNumId w:val="11"/>
  </w:num>
  <w:num w:numId="30">
    <w:abstractNumId w:val="29"/>
  </w:num>
  <w:num w:numId="31">
    <w:abstractNumId w:val="59"/>
  </w:num>
  <w:num w:numId="32">
    <w:abstractNumId w:val="57"/>
  </w:num>
  <w:num w:numId="33">
    <w:abstractNumId w:val="40"/>
  </w:num>
  <w:num w:numId="34">
    <w:abstractNumId w:val="47"/>
  </w:num>
  <w:num w:numId="35">
    <w:abstractNumId w:val="50"/>
  </w:num>
  <w:num w:numId="36">
    <w:abstractNumId w:val="3"/>
  </w:num>
  <w:num w:numId="37">
    <w:abstractNumId w:val="20"/>
  </w:num>
  <w:num w:numId="38">
    <w:abstractNumId w:val="12"/>
  </w:num>
  <w:num w:numId="39">
    <w:abstractNumId w:val="32"/>
  </w:num>
  <w:num w:numId="40">
    <w:abstractNumId w:val="22"/>
  </w:num>
  <w:num w:numId="41">
    <w:abstractNumId w:val="52"/>
  </w:num>
  <w:num w:numId="42">
    <w:abstractNumId w:val="63"/>
  </w:num>
  <w:num w:numId="43">
    <w:abstractNumId w:val="16"/>
  </w:num>
  <w:num w:numId="44">
    <w:abstractNumId w:val="44"/>
  </w:num>
  <w:num w:numId="45">
    <w:abstractNumId w:val="19"/>
  </w:num>
  <w:num w:numId="46">
    <w:abstractNumId w:val="42"/>
  </w:num>
  <w:num w:numId="47">
    <w:abstractNumId w:val="39"/>
  </w:num>
  <w:num w:numId="48">
    <w:abstractNumId w:val="46"/>
  </w:num>
  <w:num w:numId="49">
    <w:abstractNumId w:val="38"/>
  </w:num>
  <w:num w:numId="50">
    <w:abstractNumId w:val="49"/>
  </w:num>
  <w:num w:numId="51">
    <w:abstractNumId w:val="25"/>
  </w:num>
  <w:num w:numId="52">
    <w:abstractNumId w:val="6"/>
  </w:num>
  <w:num w:numId="53">
    <w:abstractNumId w:val="56"/>
  </w:num>
  <w:num w:numId="54">
    <w:abstractNumId w:val="23"/>
  </w:num>
  <w:num w:numId="55">
    <w:abstractNumId w:val="43"/>
  </w:num>
  <w:num w:numId="56">
    <w:abstractNumId w:val="7"/>
  </w:num>
  <w:num w:numId="57">
    <w:abstractNumId w:val="53"/>
  </w:num>
  <w:num w:numId="58">
    <w:abstractNumId w:val="33"/>
  </w:num>
  <w:num w:numId="59">
    <w:abstractNumId w:val="60"/>
  </w:num>
  <w:num w:numId="60">
    <w:abstractNumId w:val="45"/>
  </w:num>
  <w:num w:numId="61">
    <w:abstractNumId w:val="58"/>
  </w:num>
  <w:num w:numId="62">
    <w:abstractNumId w:val="8"/>
  </w:num>
  <w:num w:numId="63">
    <w:abstractNumId w:val="26"/>
  </w:num>
  <w:num w:numId="64">
    <w:abstractNumId w:val="36"/>
  </w:num>
  <w:numIdMacAtCleanup w:val="5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eronique Lefebvre">
    <w15:presenceInfo w15:providerId="AD" w15:userId="S::veronique.lefebvre@un.org::35d1461c-8e38-452f-9183-e5877f36e79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revisionView w:markup="0"/>
  <w:defaultTabStop w:val="720"/>
  <w:hyphenationZone w:val="425"/>
  <w:evenAndOddHeaders/>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345"/>
    <w:rsid w:val="000016F0"/>
    <w:rsid w:val="0000323C"/>
    <w:rsid w:val="00007C5C"/>
    <w:rsid w:val="0001024F"/>
    <w:rsid w:val="00010FD4"/>
    <w:rsid w:val="0001504F"/>
    <w:rsid w:val="000204F7"/>
    <w:rsid w:val="0002059E"/>
    <w:rsid w:val="00021BEE"/>
    <w:rsid w:val="0002604C"/>
    <w:rsid w:val="00031847"/>
    <w:rsid w:val="000437DE"/>
    <w:rsid w:val="000458E4"/>
    <w:rsid w:val="00046900"/>
    <w:rsid w:val="00047632"/>
    <w:rsid w:val="00047901"/>
    <w:rsid w:val="00050590"/>
    <w:rsid w:val="00053254"/>
    <w:rsid w:val="00054F6E"/>
    <w:rsid w:val="00056DCA"/>
    <w:rsid w:val="00062F1A"/>
    <w:rsid w:val="000658A4"/>
    <w:rsid w:val="00067842"/>
    <w:rsid w:val="000743B2"/>
    <w:rsid w:val="000765BF"/>
    <w:rsid w:val="00076AA1"/>
    <w:rsid w:val="000814C0"/>
    <w:rsid w:val="00087C05"/>
    <w:rsid w:val="00091A77"/>
    <w:rsid w:val="00091AA9"/>
    <w:rsid w:val="000944FD"/>
    <w:rsid w:val="00095103"/>
    <w:rsid w:val="000A1AD4"/>
    <w:rsid w:val="000A210B"/>
    <w:rsid w:val="000A4727"/>
    <w:rsid w:val="000A5B7D"/>
    <w:rsid w:val="000B0C37"/>
    <w:rsid w:val="000B51C6"/>
    <w:rsid w:val="000C0045"/>
    <w:rsid w:val="000C2A11"/>
    <w:rsid w:val="000C49EB"/>
    <w:rsid w:val="000D02CD"/>
    <w:rsid w:val="000D0435"/>
    <w:rsid w:val="000D068B"/>
    <w:rsid w:val="000D08EF"/>
    <w:rsid w:val="000D29DF"/>
    <w:rsid w:val="000D447B"/>
    <w:rsid w:val="000E6701"/>
    <w:rsid w:val="000F1930"/>
    <w:rsid w:val="000F32B2"/>
    <w:rsid w:val="000F412D"/>
    <w:rsid w:val="00101C98"/>
    <w:rsid w:val="0011036F"/>
    <w:rsid w:val="00110E9B"/>
    <w:rsid w:val="001151C8"/>
    <w:rsid w:val="001155FA"/>
    <w:rsid w:val="001216A7"/>
    <w:rsid w:val="00125D2B"/>
    <w:rsid w:val="00130D5F"/>
    <w:rsid w:val="00130E7A"/>
    <w:rsid w:val="00133142"/>
    <w:rsid w:val="0013387E"/>
    <w:rsid w:val="00133EC5"/>
    <w:rsid w:val="001345CD"/>
    <w:rsid w:val="0013780D"/>
    <w:rsid w:val="00137D78"/>
    <w:rsid w:val="0014105D"/>
    <w:rsid w:val="00141B61"/>
    <w:rsid w:val="001422CE"/>
    <w:rsid w:val="001452B8"/>
    <w:rsid w:val="00154346"/>
    <w:rsid w:val="00156B99"/>
    <w:rsid w:val="0015765B"/>
    <w:rsid w:val="001636B4"/>
    <w:rsid w:val="001637A5"/>
    <w:rsid w:val="00165847"/>
    <w:rsid w:val="00166BB3"/>
    <w:rsid w:val="00170CE8"/>
    <w:rsid w:val="00173584"/>
    <w:rsid w:val="00174B9D"/>
    <w:rsid w:val="00176186"/>
    <w:rsid w:val="001775B0"/>
    <w:rsid w:val="001860BC"/>
    <w:rsid w:val="00187866"/>
    <w:rsid w:val="00190457"/>
    <w:rsid w:val="00190FA0"/>
    <w:rsid w:val="00195EEB"/>
    <w:rsid w:val="001966A5"/>
    <w:rsid w:val="00197CAD"/>
    <w:rsid w:val="001A1501"/>
    <w:rsid w:val="001A3965"/>
    <w:rsid w:val="001A4136"/>
    <w:rsid w:val="001A7799"/>
    <w:rsid w:val="001A7C71"/>
    <w:rsid w:val="001B0458"/>
    <w:rsid w:val="001B1942"/>
    <w:rsid w:val="001C24E6"/>
    <w:rsid w:val="001C4B7B"/>
    <w:rsid w:val="001D08B5"/>
    <w:rsid w:val="001D17F7"/>
    <w:rsid w:val="001D2197"/>
    <w:rsid w:val="001D34D7"/>
    <w:rsid w:val="001D51A4"/>
    <w:rsid w:val="001D5DC0"/>
    <w:rsid w:val="001F17CF"/>
    <w:rsid w:val="001F2F2C"/>
    <w:rsid w:val="001F327A"/>
    <w:rsid w:val="001F339A"/>
    <w:rsid w:val="001F404E"/>
    <w:rsid w:val="001F6CFB"/>
    <w:rsid w:val="002043B5"/>
    <w:rsid w:val="00210C1F"/>
    <w:rsid w:val="00210DEC"/>
    <w:rsid w:val="002124B4"/>
    <w:rsid w:val="00213264"/>
    <w:rsid w:val="0021651C"/>
    <w:rsid w:val="0022192E"/>
    <w:rsid w:val="00221BDD"/>
    <w:rsid w:val="002234EC"/>
    <w:rsid w:val="00223734"/>
    <w:rsid w:val="00223796"/>
    <w:rsid w:val="00225D7A"/>
    <w:rsid w:val="0022652F"/>
    <w:rsid w:val="00226956"/>
    <w:rsid w:val="00226BBA"/>
    <w:rsid w:val="002370E3"/>
    <w:rsid w:val="00237F5C"/>
    <w:rsid w:val="0024071A"/>
    <w:rsid w:val="00241936"/>
    <w:rsid w:val="00241DE3"/>
    <w:rsid w:val="00241E70"/>
    <w:rsid w:val="002434D0"/>
    <w:rsid w:val="00246F1F"/>
    <w:rsid w:val="00251058"/>
    <w:rsid w:val="00254CC1"/>
    <w:rsid w:val="00254D04"/>
    <w:rsid w:val="00255F41"/>
    <w:rsid w:val="00256CFE"/>
    <w:rsid w:val="002577CE"/>
    <w:rsid w:val="0026119B"/>
    <w:rsid w:val="00267DB3"/>
    <w:rsid w:val="0027480D"/>
    <w:rsid w:val="002800AC"/>
    <w:rsid w:val="0028107E"/>
    <w:rsid w:val="00282BF0"/>
    <w:rsid w:val="00283904"/>
    <w:rsid w:val="00283FA5"/>
    <w:rsid w:val="0028621C"/>
    <w:rsid w:val="00286BCD"/>
    <w:rsid w:val="002916CB"/>
    <w:rsid w:val="00291C54"/>
    <w:rsid w:val="00293897"/>
    <w:rsid w:val="002969E8"/>
    <w:rsid w:val="00296CA5"/>
    <w:rsid w:val="002A361D"/>
    <w:rsid w:val="002A5717"/>
    <w:rsid w:val="002A7260"/>
    <w:rsid w:val="002B00D0"/>
    <w:rsid w:val="002B1321"/>
    <w:rsid w:val="002B5804"/>
    <w:rsid w:val="002C0DEF"/>
    <w:rsid w:val="002C43C6"/>
    <w:rsid w:val="002C76CE"/>
    <w:rsid w:val="002D5462"/>
    <w:rsid w:val="002E2177"/>
    <w:rsid w:val="002E2ACE"/>
    <w:rsid w:val="002E3E1F"/>
    <w:rsid w:val="002E4B39"/>
    <w:rsid w:val="002E51AB"/>
    <w:rsid w:val="002E5AB1"/>
    <w:rsid w:val="002E7676"/>
    <w:rsid w:val="002F1B17"/>
    <w:rsid w:val="002F1B41"/>
    <w:rsid w:val="002F28D6"/>
    <w:rsid w:val="002F734D"/>
    <w:rsid w:val="002F7E4A"/>
    <w:rsid w:val="00300E52"/>
    <w:rsid w:val="003022C7"/>
    <w:rsid w:val="0030357D"/>
    <w:rsid w:val="00303B76"/>
    <w:rsid w:val="00304356"/>
    <w:rsid w:val="00311873"/>
    <w:rsid w:val="00311952"/>
    <w:rsid w:val="003120B3"/>
    <w:rsid w:val="00313726"/>
    <w:rsid w:val="0031565F"/>
    <w:rsid w:val="003218CF"/>
    <w:rsid w:val="003278FA"/>
    <w:rsid w:val="00332BCE"/>
    <w:rsid w:val="003347C9"/>
    <w:rsid w:val="00342013"/>
    <w:rsid w:val="003440A4"/>
    <w:rsid w:val="00344E22"/>
    <w:rsid w:val="0034523C"/>
    <w:rsid w:val="00346C53"/>
    <w:rsid w:val="003508D6"/>
    <w:rsid w:val="00356202"/>
    <w:rsid w:val="00356A06"/>
    <w:rsid w:val="00360A95"/>
    <w:rsid w:val="00360BA0"/>
    <w:rsid w:val="00362D74"/>
    <w:rsid w:val="00362E44"/>
    <w:rsid w:val="00370EBC"/>
    <w:rsid w:val="00373C4A"/>
    <w:rsid w:val="00373DB1"/>
    <w:rsid w:val="00374971"/>
    <w:rsid w:val="0037606F"/>
    <w:rsid w:val="0037719E"/>
    <w:rsid w:val="00382380"/>
    <w:rsid w:val="00382C43"/>
    <w:rsid w:val="0038683D"/>
    <w:rsid w:val="00386850"/>
    <w:rsid w:val="00386E4B"/>
    <w:rsid w:val="00391A92"/>
    <w:rsid w:val="00392897"/>
    <w:rsid w:val="00393BC8"/>
    <w:rsid w:val="00397A0F"/>
    <w:rsid w:val="003A0B8B"/>
    <w:rsid w:val="003A3570"/>
    <w:rsid w:val="003A44F0"/>
    <w:rsid w:val="003A6A7E"/>
    <w:rsid w:val="003B1835"/>
    <w:rsid w:val="003B37DF"/>
    <w:rsid w:val="003B6170"/>
    <w:rsid w:val="003C0916"/>
    <w:rsid w:val="003C0FBA"/>
    <w:rsid w:val="003C1DEA"/>
    <w:rsid w:val="003C328F"/>
    <w:rsid w:val="003C4AA5"/>
    <w:rsid w:val="003C5C94"/>
    <w:rsid w:val="003C6EAC"/>
    <w:rsid w:val="003C7D67"/>
    <w:rsid w:val="003C7D97"/>
    <w:rsid w:val="003D0706"/>
    <w:rsid w:val="003D15B7"/>
    <w:rsid w:val="003D3E13"/>
    <w:rsid w:val="003D542C"/>
    <w:rsid w:val="003E2118"/>
    <w:rsid w:val="003E2C06"/>
    <w:rsid w:val="003E5922"/>
    <w:rsid w:val="003E7065"/>
    <w:rsid w:val="003F18E7"/>
    <w:rsid w:val="00400851"/>
    <w:rsid w:val="00405418"/>
    <w:rsid w:val="00405CA5"/>
    <w:rsid w:val="00407257"/>
    <w:rsid w:val="004126FC"/>
    <w:rsid w:val="00423568"/>
    <w:rsid w:val="00423A76"/>
    <w:rsid w:val="004246B3"/>
    <w:rsid w:val="00427FED"/>
    <w:rsid w:val="004437BA"/>
    <w:rsid w:val="004457AD"/>
    <w:rsid w:val="00445D64"/>
    <w:rsid w:val="004523D4"/>
    <w:rsid w:val="00453C1A"/>
    <w:rsid w:val="00455033"/>
    <w:rsid w:val="00456510"/>
    <w:rsid w:val="004569EC"/>
    <w:rsid w:val="0046370D"/>
    <w:rsid w:val="00463C29"/>
    <w:rsid w:val="004649E3"/>
    <w:rsid w:val="00466BF0"/>
    <w:rsid w:val="00466F31"/>
    <w:rsid w:val="00467896"/>
    <w:rsid w:val="00470556"/>
    <w:rsid w:val="0047088D"/>
    <w:rsid w:val="0047128F"/>
    <w:rsid w:val="00472E01"/>
    <w:rsid w:val="00473A6E"/>
    <w:rsid w:val="00474A91"/>
    <w:rsid w:val="00474B39"/>
    <w:rsid w:val="00476C6E"/>
    <w:rsid w:val="00477A1C"/>
    <w:rsid w:val="00482D00"/>
    <w:rsid w:val="00484C18"/>
    <w:rsid w:val="00485B53"/>
    <w:rsid w:val="00486914"/>
    <w:rsid w:val="0049467B"/>
    <w:rsid w:val="004A3D22"/>
    <w:rsid w:val="004B642D"/>
    <w:rsid w:val="004C1A96"/>
    <w:rsid w:val="004C267E"/>
    <w:rsid w:val="004C3195"/>
    <w:rsid w:val="004C4123"/>
    <w:rsid w:val="004C46AB"/>
    <w:rsid w:val="004C55B4"/>
    <w:rsid w:val="004D0CDC"/>
    <w:rsid w:val="004D21E2"/>
    <w:rsid w:val="004D37FA"/>
    <w:rsid w:val="004D713D"/>
    <w:rsid w:val="004E0246"/>
    <w:rsid w:val="004E0A79"/>
    <w:rsid w:val="004E1134"/>
    <w:rsid w:val="004E2EBD"/>
    <w:rsid w:val="004E33F6"/>
    <w:rsid w:val="004E3C06"/>
    <w:rsid w:val="004F2F32"/>
    <w:rsid w:val="004F7AB6"/>
    <w:rsid w:val="005056C7"/>
    <w:rsid w:val="00505F74"/>
    <w:rsid w:val="00506424"/>
    <w:rsid w:val="00507A35"/>
    <w:rsid w:val="00514B5D"/>
    <w:rsid w:val="005218B1"/>
    <w:rsid w:val="00522246"/>
    <w:rsid w:val="0053221B"/>
    <w:rsid w:val="00532572"/>
    <w:rsid w:val="0053378B"/>
    <w:rsid w:val="00534344"/>
    <w:rsid w:val="005363E5"/>
    <w:rsid w:val="005372E9"/>
    <w:rsid w:val="00537982"/>
    <w:rsid w:val="005405EC"/>
    <w:rsid w:val="00542BE6"/>
    <w:rsid w:val="00543DEA"/>
    <w:rsid w:val="00547974"/>
    <w:rsid w:val="005512C8"/>
    <w:rsid w:val="005521DA"/>
    <w:rsid w:val="005539A9"/>
    <w:rsid w:val="005602FC"/>
    <w:rsid w:val="005626C8"/>
    <w:rsid w:val="00563356"/>
    <w:rsid w:val="0056440A"/>
    <w:rsid w:val="00564B8B"/>
    <w:rsid w:val="005666D8"/>
    <w:rsid w:val="005672C0"/>
    <w:rsid w:val="005708CC"/>
    <w:rsid w:val="00571AAD"/>
    <w:rsid w:val="0057315A"/>
    <w:rsid w:val="00574A72"/>
    <w:rsid w:val="00575C61"/>
    <w:rsid w:val="005817D1"/>
    <w:rsid w:val="00582B96"/>
    <w:rsid w:val="005946BE"/>
    <w:rsid w:val="00597EDD"/>
    <w:rsid w:val="005A03D3"/>
    <w:rsid w:val="005A349F"/>
    <w:rsid w:val="005B097E"/>
    <w:rsid w:val="005B51BE"/>
    <w:rsid w:val="005C2A67"/>
    <w:rsid w:val="005C7CAE"/>
    <w:rsid w:val="005D245C"/>
    <w:rsid w:val="005D26BF"/>
    <w:rsid w:val="005D4276"/>
    <w:rsid w:val="005D4298"/>
    <w:rsid w:val="005D609A"/>
    <w:rsid w:val="005D6322"/>
    <w:rsid w:val="005D7A0F"/>
    <w:rsid w:val="005E0DFD"/>
    <w:rsid w:val="005F6EC5"/>
    <w:rsid w:val="00601BB9"/>
    <w:rsid w:val="0060270D"/>
    <w:rsid w:val="00602B42"/>
    <w:rsid w:val="00602FE5"/>
    <w:rsid w:val="00606D05"/>
    <w:rsid w:val="00606D08"/>
    <w:rsid w:val="006078E5"/>
    <w:rsid w:val="00607FA5"/>
    <w:rsid w:val="006109C0"/>
    <w:rsid w:val="0061198E"/>
    <w:rsid w:val="00611E0A"/>
    <w:rsid w:val="00613C3E"/>
    <w:rsid w:val="006148A6"/>
    <w:rsid w:val="00614AC5"/>
    <w:rsid w:val="00615364"/>
    <w:rsid w:val="00616200"/>
    <w:rsid w:val="006175D6"/>
    <w:rsid w:val="006220EA"/>
    <w:rsid w:val="00622A8A"/>
    <w:rsid w:val="0062459B"/>
    <w:rsid w:val="0063229D"/>
    <w:rsid w:val="00634AE9"/>
    <w:rsid w:val="006354CE"/>
    <w:rsid w:val="006400F8"/>
    <w:rsid w:val="006406DC"/>
    <w:rsid w:val="00642273"/>
    <w:rsid w:val="0064253E"/>
    <w:rsid w:val="0064575C"/>
    <w:rsid w:val="00651480"/>
    <w:rsid w:val="006533D9"/>
    <w:rsid w:val="00653B1C"/>
    <w:rsid w:val="00655625"/>
    <w:rsid w:val="00663C64"/>
    <w:rsid w:val="00664DDD"/>
    <w:rsid w:val="006658CD"/>
    <w:rsid w:val="006660CE"/>
    <w:rsid w:val="0066658F"/>
    <w:rsid w:val="006672F3"/>
    <w:rsid w:val="006729E3"/>
    <w:rsid w:val="00674DAB"/>
    <w:rsid w:val="00675B8A"/>
    <w:rsid w:val="00675BE1"/>
    <w:rsid w:val="0068357C"/>
    <w:rsid w:val="00685D1B"/>
    <w:rsid w:val="00686529"/>
    <w:rsid w:val="00686E2D"/>
    <w:rsid w:val="00692467"/>
    <w:rsid w:val="00692F16"/>
    <w:rsid w:val="00693C4F"/>
    <w:rsid w:val="006945DE"/>
    <w:rsid w:val="00695742"/>
    <w:rsid w:val="006A1FCD"/>
    <w:rsid w:val="006A3674"/>
    <w:rsid w:val="006A4BB4"/>
    <w:rsid w:val="006A778C"/>
    <w:rsid w:val="006B33D7"/>
    <w:rsid w:val="006B3F46"/>
    <w:rsid w:val="006C0CA6"/>
    <w:rsid w:val="006C0CB6"/>
    <w:rsid w:val="006C0EBC"/>
    <w:rsid w:val="006C219E"/>
    <w:rsid w:val="006C7AAC"/>
    <w:rsid w:val="006D3780"/>
    <w:rsid w:val="006D5E55"/>
    <w:rsid w:val="006D69CA"/>
    <w:rsid w:val="006E2368"/>
    <w:rsid w:val="006E52F3"/>
    <w:rsid w:val="006F0374"/>
    <w:rsid w:val="006F1B77"/>
    <w:rsid w:val="006F2A03"/>
    <w:rsid w:val="006F4BF5"/>
    <w:rsid w:val="006F65E1"/>
    <w:rsid w:val="00705C40"/>
    <w:rsid w:val="007062DE"/>
    <w:rsid w:val="00706924"/>
    <w:rsid w:val="007118EF"/>
    <w:rsid w:val="00711C74"/>
    <w:rsid w:val="0071235C"/>
    <w:rsid w:val="007126FD"/>
    <w:rsid w:val="007132B4"/>
    <w:rsid w:val="00715AF6"/>
    <w:rsid w:val="00727F42"/>
    <w:rsid w:val="00731B94"/>
    <w:rsid w:val="00732324"/>
    <w:rsid w:val="007345A8"/>
    <w:rsid w:val="00734DD3"/>
    <w:rsid w:val="007409A7"/>
    <w:rsid w:val="00740BE9"/>
    <w:rsid w:val="00741B04"/>
    <w:rsid w:val="007424A8"/>
    <w:rsid w:val="00743832"/>
    <w:rsid w:val="00747467"/>
    <w:rsid w:val="00747E88"/>
    <w:rsid w:val="00751A26"/>
    <w:rsid w:val="00753465"/>
    <w:rsid w:val="00754747"/>
    <w:rsid w:val="007574B6"/>
    <w:rsid w:val="007616A6"/>
    <w:rsid w:val="00763285"/>
    <w:rsid w:val="00764509"/>
    <w:rsid w:val="00767EA6"/>
    <w:rsid w:val="00772233"/>
    <w:rsid w:val="00772793"/>
    <w:rsid w:val="00773610"/>
    <w:rsid w:val="00773D4E"/>
    <w:rsid w:val="00776B57"/>
    <w:rsid w:val="007819C1"/>
    <w:rsid w:val="00784094"/>
    <w:rsid w:val="00784226"/>
    <w:rsid w:val="00784C7F"/>
    <w:rsid w:val="00787E4D"/>
    <w:rsid w:val="0079121A"/>
    <w:rsid w:val="007956AD"/>
    <w:rsid w:val="007A0941"/>
    <w:rsid w:val="007A5CCD"/>
    <w:rsid w:val="007B1BFE"/>
    <w:rsid w:val="007B1ED6"/>
    <w:rsid w:val="007B4525"/>
    <w:rsid w:val="007B4CF1"/>
    <w:rsid w:val="007C21FC"/>
    <w:rsid w:val="007C7BA3"/>
    <w:rsid w:val="007D6432"/>
    <w:rsid w:val="007D6D26"/>
    <w:rsid w:val="007D7E38"/>
    <w:rsid w:val="007E1710"/>
    <w:rsid w:val="007E2819"/>
    <w:rsid w:val="007E2B66"/>
    <w:rsid w:val="007E4620"/>
    <w:rsid w:val="007E653F"/>
    <w:rsid w:val="007E767C"/>
    <w:rsid w:val="007F0324"/>
    <w:rsid w:val="007F4991"/>
    <w:rsid w:val="007F5470"/>
    <w:rsid w:val="007F6E37"/>
    <w:rsid w:val="007F7721"/>
    <w:rsid w:val="00800788"/>
    <w:rsid w:val="00805B03"/>
    <w:rsid w:val="00807BA4"/>
    <w:rsid w:val="00811180"/>
    <w:rsid w:val="008152B4"/>
    <w:rsid w:val="008152E5"/>
    <w:rsid w:val="008173E7"/>
    <w:rsid w:val="00826D67"/>
    <w:rsid w:val="008303B8"/>
    <w:rsid w:val="008333AF"/>
    <w:rsid w:val="00835E5A"/>
    <w:rsid w:val="008368C5"/>
    <w:rsid w:val="0084534F"/>
    <w:rsid w:val="00846AD1"/>
    <w:rsid w:val="0085306E"/>
    <w:rsid w:val="00853639"/>
    <w:rsid w:val="00854E23"/>
    <w:rsid w:val="0085710D"/>
    <w:rsid w:val="008601A9"/>
    <w:rsid w:val="0086120E"/>
    <w:rsid w:val="00862B53"/>
    <w:rsid w:val="00865066"/>
    <w:rsid w:val="0086590E"/>
    <w:rsid w:val="0086652F"/>
    <w:rsid w:val="00870047"/>
    <w:rsid w:val="00877F22"/>
    <w:rsid w:val="00880A50"/>
    <w:rsid w:val="008836EC"/>
    <w:rsid w:val="00887152"/>
    <w:rsid w:val="00887E4D"/>
    <w:rsid w:val="008905FE"/>
    <w:rsid w:val="008941E1"/>
    <w:rsid w:val="008A2F45"/>
    <w:rsid w:val="008A3372"/>
    <w:rsid w:val="008B0C4F"/>
    <w:rsid w:val="008B0E95"/>
    <w:rsid w:val="008B1BB0"/>
    <w:rsid w:val="008B1EB2"/>
    <w:rsid w:val="008B6176"/>
    <w:rsid w:val="008C0426"/>
    <w:rsid w:val="008C1D88"/>
    <w:rsid w:val="008C3CE8"/>
    <w:rsid w:val="008C3E42"/>
    <w:rsid w:val="008C6D7C"/>
    <w:rsid w:val="008D0CAC"/>
    <w:rsid w:val="008D265C"/>
    <w:rsid w:val="008D5803"/>
    <w:rsid w:val="008D7665"/>
    <w:rsid w:val="008E146D"/>
    <w:rsid w:val="008E15EF"/>
    <w:rsid w:val="008E17D1"/>
    <w:rsid w:val="008E2D87"/>
    <w:rsid w:val="008E30FB"/>
    <w:rsid w:val="008E33F6"/>
    <w:rsid w:val="008E340F"/>
    <w:rsid w:val="008E606B"/>
    <w:rsid w:val="008F32E5"/>
    <w:rsid w:val="008F696A"/>
    <w:rsid w:val="00902343"/>
    <w:rsid w:val="00907941"/>
    <w:rsid w:val="00907C87"/>
    <w:rsid w:val="00910463"/>
    <w:rsid w:val="00911B5C"/>
    <w:rsid w:val="0091449E"/>
    <w:rsid w:val="0091481B"/>
    <w:rsid w:val="009170B9"/>
    <w:rsid w:val="009201C7"/>
    <w:rsid w:val="00921E26"/>
    <w:rsid w:val="00925BB3"/>
    <w:rsid w:val="00926ADB"/>
    <w:rsid w:val="00931CC3"/>
    <w:rsid w:val="009331D2"/>
    <w:rsid w:val="00937E1C"/>
    <w:rsid w:val="00942C97"/>
    <w:rsid w:val="00944142"/>
    <w:rsid w:val="009459BF"/>
    <w:rsid w:val="009548BA"/>
    <w:rsid w:val="00955AB8"/>
    <w:rsid w:val="00956006"/>
    <w:rsid w:val="0095649D"/>
    <w:rsid w:val="00957EEC"/>
    <w:rsid w:val="00961B0D"/>
    <w:rsid w:val="00961DBE"/>
    <w:rsid w:val="00962499"/>
    <w:rsid w:val="00965819"/>
    <w:rsid w:val="0097095E"/>
    <w:rsid w:val="009726CD"/>
    <w:rsid w:val="009813F3"/>
    <w:rsid w:val="00985307"/>
    <w:rsid w:val="00986FE3"/>
    <w:rsid w:val="00993856"/>
    <w:rsid w:val="009A0A1A"/>
    <w:rsid w:val="009A20CF"/>
    <w:rsid w:val="009A36B0"/>
    <w:rsid w:val="009A401D"/>
    <w:rsid w:val="009A7663"/>
    <w:rsid w:val="009A7876"/>
    <w:rsid w:val="009B0138"/>
    <w:rsid w:val="009B18A4"/>
    <w:rsid w:val="009B1D97"/>
    <w:rsid w:val="009B3D63"/>
    <w:rsid w:val="009B53AC"/>
    <w:rsid w:val="009B6A72"/>
    <w:rsid w:val="009B7786"/>
    <w:rsid w:val="009B7A45"/>
    <w:rsid w:val="009C4A50"/>
    <w:rsid w:val="009C6641"/>
    <w:rsid w:val="009D3D78"/>
    <w:rsid w:val="009D5509"/>
    <w:rsid w:val="009E0D4C"/>
    <w:rsid w:val="009E36B9"/>
    <w:rsid w:val="009E3EE4"/>
    <w:rsid w:val="009E477E"/>
    <w:rsid w:val="009E53BE"/>
    <w:rsid w:val="009F2C2E"/>
    <w:rsid w:val="00A002FD"/>
    <w:rsid w:val="00A019DE"/>
    <w:rsid w:val="00A0269D"/>
    <w:rsid w:val="00A02ABD"/>
    <w:rsid w:val="00A04D1C"/>
    <w:rsid w:val="00A056E3"/>
    <w:rsid w:val="00A07116"/>
    <w:rsid w:val="00A10760"/>
    <w:rsid w:val="00A112C3"/>
    <w:rsid w:val="00A148F1"/>
    <w:rsid w:val="00A14D1F"/>
    <w:rsid w:val="00A218EA"/>
    <w:rsid w:val="00A27B6C"/>
    <w:rsid w:val="00A306BB"/>
    <w:rsid w:val="00A33D61"/>
    <w:rsid w:val="00A34F10"/>
    <w:rsid w:val="00A42A43"/>
    <w:rsid w:val="00A433C6"/>
    <w:rsid w:val="00A55FDC"/>
    <w:rsid w:val="00A5672B"/>
    <w:rsid w:val="00A5712B"/>
    <w:rsid w:val="00A6032A"/>
    <w:rsid w:val="00A60506"/>
    <w:rsid w:val="00A64B77"/>
    <w:rsid w:val="00A662A4"/>
    <w:rsid w:val="00A7543C"/>
    <w:rsid w:val="00A775BC"/>
    <w:rsid w:val="00A83BFB"/>
    <w:rsid w:val="00A84C55"/>
    <w:rsid w:val="00A86EC0"/>
    <w:rsid w:val="00A90F35"/>
    <w:rsid w:val="00A93ECB"/>
    <w:rsid w:val="00A96713"/>
    <w:rsid w:val="00A967E4"/>
    <w:rsid w:val="00A97CDD"/>
    <w:rsid w:val="00A97E82"/>
    <w:rsid w:val="00AA54A5"/>
    <w:rsid w:val="00AB0765"/>
    <w:rsid w:val="00AB0BDA"/>
    <w:rsid w:val="00AB10CA"/>
    <w:rsid w:val="00AB1315"/>
    <w:rsid w:val="00AB18FB"/>
    <w:rsid w:val="00AB1AC0"/>
    <w:rsid w:val="00AB2666"/>
    <w:rsid w:val="00AB4EEE"/>
    <w:rsid w:val="00AB63B4"/>
    <w:rsid w:val="00AB67B4"/>
    <w:rsid w:val="00AC0BAC"/>
    <w:rsid w:val="00AC1A71"/>
    <w:rsid w:val="00AC34BF"/>
    <w:rsid w:val="00AC6E3E"/>
    <w:rsid w:val="00AD0334"/>
    <w:rsid w:val="00AD0F67"/>
    <w:rsid w:val="00AD2152"/>
    <w:rsid w:val="00AD260B"/>
    <w:rsid w:val="00AD6DC3"/>
    <w:rsid w:val="00AE1004"/>
    <w:rsid w:val="00AE13CE"/>
    <w:rsid w:val="00AE1B7A"/>
    <w:rsid w:val="00AE23EC"/>
    <w:rsid w:val="00AF0701"/>
    <w:rsid w:val="00AF5D91"/>
    <w:rsid w:val="00AF6484"/>
    <w:rsid w:val="00AF7DB8"/>
    <w:rsid w:val="00B01F24"/>
    <w:rsid w:val="00B03A67"/>
    <w:rsid w:val="00B10A8E"/>
    <w:rsid w:val="00B1403D"/>
    <w:rsid w:val="00B14868"/>
    <w:rsid w:val="00B21388"/>
    <w:rsid w:val="00B23C97"/>
    <w:rsid w:val="00B26C44"/>
    <w:rsid w:val="00B27312"/>
    <w:rsid w:val="00B3001E"/>
    <w:rsid w:val="00B31384"/>
    <w:rsid w:val="00B35901"/>
    <w:rsid w:val="00B36724"/>
    <w:rsid w:val="00B3738F"/>
    <w:rsid w:val="00B40D8F"/>
    <w:rsid w:val="00B42207"/>
    <w:rsid w:val="00B42378"/>
    <w:rsid w:val="00B44C9D"/>
    <w:rsid w:val="00B53089"/>
    <w:rsid w:val="00B53DBA"/>
    <w:rsid w:val="00B543D0"/>
    <w:rsid w:val="00B54CC4"/>
    <w:rsid w:val="00B54FD5"/>
    <w:rsid w:val="00B55642"/>
    <w:rsid w:val="00B564E5"/>
    <w:rsid w:val="00B56F75"/>
    <w:rsid w:val="00B626BD"/>
    <w:rsid w:val="00B652D9"/>
    <w:rsid w:val="00B70FB9"/>
    <w:rsid w:val="00B71384"/>
    <w:rsid w:val="00B73FE8"/>
    <w:rsid w:val="00B77A0F"/>
    <w:rsid w:val="00B8169A"/>
    <w:rsid w:val="00B81AA5"/>
    <w:rsid w:val="00B84CE3"/>
    <w:rsid w:val="00B8590D"/>
    <w:rsid w:val="00B866C9"/>
    <w:rsid w:val="00B86B05"/>
    <w:rsid w:val="00B86B1E"/>
    <w:rsid w:val="00B86EC2"/>
    <w:rsid w:val="00B96FE4"/>
    <w:rsid w:val="00B97A19"/>
    <w:rsid w:val="00BA0392"/>
    <w:rsid w:val="00BA0E44"/>
    <w:rsid w:val="00BA3805"/>
    <w:rsid w:val="00BA3EED"/>
    <w:rsid w:val="00BA44C9"/>
    <w:rsid w:val="00BA4F9D"/>
    <w:rsid w:val="00BA5305"/>
    <w:rsid w:val="00BA63C5"/>
    <w:rsid w:val="00BA6BFB"/>
    <w:rsid w:val="00BA7B7F"/>
    <w:rsid w:val="00BB0856"/>
    <w:rsid w:val="00BB0D43"/>
    <w:rsid w:val="00BB221D"/>
    <w:rsid w:val="00BB2378"/>
    <w:rsid w:val="00BB3D04"/>
    <w:rsid w:val="00BB4E73"/>
    <w:rsid w:val="00BB7976"/>
    <w:rsid w:val="00BC0FBC"/>
    <w:rsid w:val="00BC4A6B"/>
    <w:rsid w:val="00BC6DD6"/>
    <w:rsid w:val="00BC7DE7"/>
    <w:rsid w:val="00BD0DE6"/>
    <w:rsid w:val="00BD5A16"/>
    <w:rsid w:val="00BE0D88"/>
    <w:rsid w:val="00BE2900"/>
    <w:rsid w:val="00BE65D8"/>
    <w:rsid w:val="00BE6708"/>
    <w:rsid w:val="00BE686E"/>
    <w:rsid w:val="00BF5424"/>
    <w:rsid w:val="00BF568B"/>
    <w:rsid w:val="00C02C2E"/>
    <w:rsid w:val="00C0486D"/>
    <w:rsid w:val="00C05102"/>
    <w:rsid w:val="00C0751C"/>
    <w:rsid w:val="00C07576"/>
    <w:rsid w:val="00C10B6D"/>
    <w:rsid w:val="00C13A06"/>
    <w:rsid w:val="00C1461C"/>
    <w:rsid w:val="00C155B9"/>
    <w:rsid w:val="00C166FE"/>
    <w:rsid w:val="00C168D8"/>
    <w:rsid w:val="00C2247C"/>
    <w:rsid w:val="00C27570"/>
    <w:rsid w:val="00C34DF8"/>
    <w:rsid w:val="00C35B9B"/>
    <w:rsid w:val="00C426D4"/>
    <w:rsid w:val="00C432CA"/>
    <w:rsid w:val="00C441C5"/>
    <w:rsid w:val="00C4563F"/>
    <w:rsid w:val="00C46D3B"/>
    <w:rsid w:val="00C50AAC"/>
    <w:rsid w:val="00C51206"/>
    <w:rsid w:val="00C51470"/>
    <w:rsid w:val="00C5191C"/>
    <w:rsid w:val="00C51AAC"/>
    <w:rsid w:val="00C547EE"/>
    <w:rsid w:val="00C56EE5"/>
    <w:rsid w:val="00C57469"/>
    <w:rsid w:val="00C601F0"/>
    <w:rsid w:val="00C622E1"/>
    <w:rsid w:val="00C63950"/>
    <w:rsid w:val="00C6541D"/>
    <w:rsid w:val="00C65F69"/>
    <w:rsid w:val="00C67C85"/>
    <w:rsid w:val="00C70A75"/>
    <w:rsid w:val="00C71850"/>
    <w:rsid w:val="00C71F20"/>
    <w:rsid w:val="00C75678"/>
    <w:rsid w:val="00C82DEE"/>
    <w:rsid w:val="00C83DB3"/>
    <w:rsid w:val="00C8637E"/>
    <w:rsid w:val="00C96669"/>
    <w:rsid w:val="00CA230D"/>
    <w:rsid w:val="00CA63FA"/>
    <w:rsid w:val="00CB07E7"/>
    <w:rsid w:val="00CB657B"/>
    <w:rsid w:val="00CB7671"/>
    <w:rsid w:val="00CC10A0"/>
    <w:rsid w:val="00CC2D57"/>
    <w:rsid w:val="00CC4345"/>
    <w:rsid w:val="00CD5A91"/>
    <w:rsid w:val="00CE0C49"/>
    <w:rsid w:val="00CE39DC"/>
    <w:rsid w:val="00CE3F44"/>
    <w:rsid w:val="00CE56A8"/>
    <w:rsid w:val="00CE574B"/>
    <w:rsid w:val="00CE7AB3"/>
    <w:rsid w:val="00CF12A2"/>
    <w:rsid w:val="00CF41A5"/>
    <w:rsid w:val="00CF577B"/>
    <w:rsid w:val="00CF5B6D"/>
    <w:rsid w:val="00CF6E33"/>
    <w:rsid w:val="00CF7966"/>
    <w:rsid w:val="00D00E9B"/>
    <w:rsid w:val="00D018E8"/>
    <w:rsid w:val="00D04138"/>
    <w:rsid w:val="00D055D6"/>
    <w:rsid w:val="00D06389"/>
    <w:rsid w:val="00D066CB"/>
    <w:rsid w:val="00D10529"/>
    <w:rsid w:val="00D1123B"/>
    <w:rsid w:val="00D117E2"/>
    <w:rsid w:val="00D126F9"/>
    <w:rsid w:val="00D167B6"/>
    <w:rsid w:val="00D17744"/>
    <w:rsid w:val="00D20CF1"/>
    <w:rsid w:val="00D212CB"/>
    <w:rsid w:val="00D21CF9"/>
    <w:rsid w:val="00D26686"/>
    <w:rsid w:val="00D30B38"/>
    <w:rsid w:val="00D34A0E"/>
    <w:rsid w:val="00D415DD"/>
    <w:rsid w:val="00D50ACE"/>
    <w:rsid w:val="00D54554"/>
    <w:rsid w:val="00D57CC4"/>
    <w:rsid w:val="00D62CB6"/>
    <w:rsid w:val="00D702B6"/>
    <w:rsid w:val="00D70DEB"/>
    <w:rsid w:val="00D71831"/>
    <w:rsid w:val="00D74C69"/>
    <w:rsid w:val="00D75943"/>
    <w:rsid w:val="00D7692F"/>
    <w:rsid w:val="00D76DA2"/>
    <w:rsid w:val="00D812EB"/>
    <w:rsid w:val="00D83840"/>
    <w:rsid w:val="00D86D8E"/>
    <w:rsid w:val="00D9016B"/>
    <w:rsid w:val="00D911E5"/>
    <w:rsid w:val="00D93262"/>
    <w:rsid w:val="00DA2C06"/>
    <w:rsid w:val="00DA36A1"/>
    <w:rsid w:val="00DA4942"/>
    <w:rsid w:val="00DA541C"/>
    <w:rsid w:val="00DA6B0A"/>
    <w:rsid w:val="00DB0039"/>
    <w:rsid w:val="00DB0DBB"/>
    <w:rsid w:val="00DB10C8"/>
    <w:rsid w:val="00DB1A04"/>
    <w:rsid w:val="00DB458D"/>
    <w:rsid w:val="00DB4F0C"/>
    <w:rsid w:val="00DB7BE0"/>
    <w:rsid w:val="00DB7F15"/>
    <w:rsid w:val="00DC50DB"/>
    <w:rsid w:val="00DC58DC"/>
    <w:rsid w:val="00DC7144"/>
    <w:rsid w:val="00DD0510"/>
    <w:rsid w:val="00DD0EA8"/>
    <w:rsid w:val="00DD1B9F"/>
    <w:rsid w:val="00DD53CD"/>
    <w:rsid w:val="00DD79B7"/>
    <w:rsid w:val="00DE1BE7"/>
    <w:rsid w:val="00DE66C4"/>
    <w:rsid w:val="00DE759C"/>
    <w:rsid w:val="00DF4A47"/>
    <w:rsid w:val="00DF4C47"/>
    <w:rsid w:val="00DF5DFF"/>
    <w:rsid w:val="00DF70CB"/>
    <w:rsid w:val="00E044A9"/>
    <w:rsid w:val="00E05C6F"/>
    <w:rsid w:val="00E10123"/>
    <w:rsid w:val="00E137AA"/>
    <w:rsid w:val="00E20DD7"/>
    <w:rsid w:val="00E23512"/>
    <w:rsid w:val="00E2366E"/>
    <w:rsid w:val="00E247B3"/>
    <w:rsid w:val="00E31A69"/>
    <w:rsid w:val="00E32E64"/>
    <w:rsid w:val="00E33B86"/>
    <w:rsid w:val="00E37A79"/>
    <w:rsid w:val="00E46594"/>
    <w:rsid w:val="00E542C8"/>
    <w:rsid w:val="00E546F8"/>
    <w:rsid w:val="00E559B0"/>
    <w:rsid w:val="00E57767"/>
    <w:rsid w:val="00E60DA3"/>
    <w:rsid w:val="00E62300"/>
    <w:rsid w:val="00E70236"/>
    <w:rsid w:val="00E713B7"/>
    <w:rsid w:val="00E72160"/>
    <w:rsid w:val="00E72478"/>
    <w:rsid w:val="00E76C61"/>
    <w:rsid w:val="00E8017A"/>
    <w:rsid w:val="00E82776"/>
    <w:rsid w:val="00E84EAF"/>
    <w:rsid w:val="00E85C05"/>
    <w:rsid w:val="00E86404"/>
    <w:rsid w:val="00E87109"/>
    <w:rsid w:val="00E9749F"/>
    <w:rsid w:val="00EA09B6"/>
    <w:rsid w:val="00EA19F9"/>
    <w:rsid w:val="00EA4B49"/>
    <w:rsid w:val="00EA6D28"/>
    <w:rsid w:val="00EB0211"/>
    <w:rsid w:val="00EB0969"/>
    <w:rsid w:val="00EB2810"/>
    <w:rsid w:val="00EB3C46"/>
    <w:rsid w:val="00EB4062"/>
    <w:rsid w:val="00EB53DD"/>
    <w:rsid w:val="00EB5A04"/>
    <w:rsid w:val="00EB67CF"/>
    <w:rsid w:val="00EB7122"/>
    <w:rsid w:val="00EB7A79"/>
    <w:rsid w:val="00EC2D95"/>
    <w:rsid w:val="00EC613F"/>
    <w:rsid w:val="00EC7E73"/>
    <w:rsid w:val="00ED08B0"/>
    <w:rsid w:val="00ED0BFE"/>
    <w:rsid w:val="00ED296B"/>
    <w:rsid w:val="00ED6738"/>
    <w:rsid w:val="00EE3AF9"/>
    <w:rsid w:val="00EE73BF"/>
    <w:rsid w:val="00EE7D1D"/>
    <w:rsid w:val="00F00939"/>
    <w:rsid w:val="00F019BD"/>
    <w:rsid w:val="00F021BF"/>
    <w:rsid w:val="00F036E3"/>
    <w:rsid w:val="00F0786E"/>
    <w:rsid w:val="00F126BE"/>
    <w:rsid w:val="00F157B0"/>
    <w:rsid w:val="00F177D9"/>
    <w:rsid w:val="00F17C2A"/>
    <w:rsid w:val="00F311BD"/>
    <w:rsid w:val="00F320D9"/>
    <w:rsid w:val="00F408FF"/>
    <w:rsid w:val="00F40C89"/>
    <w:rsid w:val="00F42904"/>
    <w:rsid w:val="00F43E38"/>
    <w:rsid w:val="00F46277"/>
    <w:rsid w:val="00F46C75"/>
    <w:rsid w:val="00F46FBC"/>
    <w:rsid w:val="00F51812"/>
    <w:rsid w:val="00F519E5"/>
    <w:rsid w:val="00F52292"/>
    <w:rsid w:val="00F52F69"/>
    <w:rsid w:val="00F5566C"/>
    <w:rsid w:val="00F564EE"/>
    <w:rsid w:val="00F574D9"/>
    <w:rsid w:val="00F60B01"/>
    <w:rsid w:val="00F60CF4"/>
    <w:rsid w:val="00F60F8E"/>
    <w:rsid w:val="00F61507"/>
    <w:rsid w:val="00F62F3A"/>
    <w:rsid w:val="00F65BD8"/>
    <w:rsid w:val="00F66432"/>
    <w:rsid w:val="00F70CA8"/>
    <w:rsid w:val="00F736D0"/>
    <w:rsid w:val="00F76511"/>
    <w:rsid w:val="00F77C39"/>
    <w:rsid w:val="00F80C8A"/>
    <w:rsid w:val="00F84150"/>
    <w:rsid w:val="00F8596E"/>
    <w:rsid w:val="00F8709E"/>
    <w:rsid w:val="00F87762"/>
    <w:rsid w:val="00F8776F"/>
    <w:rsid w:val="00F90A6E"/>
    <w:rsid w:val="00F91423"/>
    <w:rsid w:val="00F933C2"/>
    <w:rsid w:val="00F952A8"/>
    <w:rsid w:val="00F96706"/>
    <w:rsid w:val="00F967C2"/>
    <w:rsid w:val="00FA0C84"/>
    <w:rsid w:val="00FA0F87"/>
    <w:rsid w:val="00FA405D"/>
    <w:rsid w:val="00FA5551"/>
    <w:rsid w:val="00FA7CE2"/>
    <w:rsid w:val="00FB140F"/>
    <w:rsid w:val="00FB263B"/>
    <w:rsid w:val="00FB75B4"/>
    <w:rsid w:val="00FC1FD3"/>
    <w:rsid w:val="00FC49EF"/>
    <w:rsid w:val="00FD00CB"/>
    <w:rsid w:val="00FD155C"/>
    <w:rsid w:val="00FD2E29"/>
    <w:rsid w:val="00FD477F"/>
    <w:rsid w:val="00FD61C6"/>
    <w:rsid w:val="00FE0291"/>
    <w:rsid w:val="00FE2F84"/>
    <w:rsid w:val="00FE6B3C"/>
    <w:rsid w:val="00FF0416"/>
    <w:rsid w:val="00FF58EA"/>
    <w:rsid w:val="00FF6AD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0C98F302"/>
  <w15:chartTrackingRefBased/>
  <w15:docId w15:val="{0DA3E843-52AA-46BA-8445-9877B0273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algun Gothic"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Title" w:qFormat="1"/>
    <w:lsdException w:name="Subtitle" w:qFormat="1"/>
    <w:lsdException w:name="Strong" w:qFormat="1"/>
    <w:lsdException w:name="Emphasis" w:uiPriority="20" w:qFormat="1"/>
    <w:lsdException w:name="Plain Text" w:uiPriority="99"/>
    <w:lsdException w:name="Normal (Web)" w:uiPriority="99"/>
    <w:lsdException w:name="HTML Definition"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7128F"/>
    <w:rPr>
      <w:rFonts w:eastAsia="Times New Roman"/>
      <w:sz w:val="24"/>
      <w:szCs w:val="24"/>
      <w:lang w:val="en-CA"/>
    </w:rPr>
  </w:style>
  <w:style w:type="paragraph" w:styleId="Heading1">
    <w:name w:val="heading 1"/>
    <w:basedOn w:val="Normal"/>
    <w:next w:val="Heading2"/>
    <w:link w:val="Heading1Char"/>
    <w:qFormat/>
    <w:rsid w:val="00362D74"/>
    <w:pPr>
      <w:keepNext/>
      <w:tabs>
        <w:tab w:val="left" w:pos="720"/>
      </w:tabs>
      <w:spacing w:before="240" w:after="120"/>
      <w:jc w:val="center"/>
      <w:outlineLvl w:val="0"/>
    </w:pPr>
    <w:rPr>
      <w:rFonts w:eastAsia="Malgun Gothic"/>
      <w:b/>
      <w:caps/>
      <w:sz w:val="22"/>
      <w:lang w:val="en-GB"/>
    </w:rPr>
  </w:style>
  <w:style w:type="paragraph" w:styleId="Heading2">
    <w:name w:val="heading 2"/>
    <w:basedOn w:val="Normal"/>
    <w:next w:val="Normal"/>
    <w:link w:val="Heading2Char"/>
    <w:uiPriority w:val="9"/>
    <w:qFormat/>
    <w:rsid w:val="00362D74"/>
    <w:pPr>
      <w:keepNext/>
      <w:tabs>
        <w:tab w:val="left" w:pos="720"/>
      </w:tabs>
      <w:spacing w:before="120" w:after="120"/>
      <w:jc w:val="center"/>
      <w:outlineLvl w:val="1"/>
    </w:pPr>
    <w:rPr>
      <w:rFonts w:eastAsia="Malgun Gothic"/>
      <w:b/>
      <w:bCs/>
      <w:i/>
      <w:iCs/>
      <w:sz w:val="22"/>
      <w:lang w:val="en-GB"/>
    </w:rPr>
  </w:style>
  <w:style w:type="paragraph" w:styleId="Heading3">
    <w:name w:val="heading 3"/>
    <w:basedOn w:val="Normal"/>
    <w:next w:val="Normal"/>
    <w:link w:val="Heading3Char"/>
    <w:uiPriority w:val="9"/>
    <w:qFormat/>
    <w:rsid w:val="00362D74"/>
    <w:pPr>
      <w:keepNext/>
      <w:tabs>
        <w:tab w:val="left" w:pos="567"/>
      </w:tabs>
      <w:spacing w:before="120" w:after="120"/>
      <w:jc w:val="center"/>
      <w:outlineLvl w:val="2"/>
    </w:pPr>
    <w:rPr>
      <w:rFonts w:eastAsia="Malgun Gothic"/>
      <w:i/>
      <w:iCs/>
      <w:sz w:val="22"/>
      <w:lang w:val="en-GB"/>
    </w:rPr>
  </w:style>
  <w:style w:type="paragraph" w:styleId="Heading4">
    <w:name w:val="heading 4"/>
    <w:basedOn w:val="Normal"/>
    <w:link w:val="Heading4Char"/>
    <w:qFormat/>
    <w:rsid w:val="00362D74"/>
    <w:pPr>
      <w:keepNext/>
      <w:spacing w:before="120" w:after="120"/>
      <w:jc w:val="both"/>
      <w:outlineLvl w:val="3"/>
    </w:pPr>
    <w:rPr>
      <w:rFonts w:ascii="Times New Roman Bold" w:eastAsia="Arial Unicode MS" w:hAnsi="Times New Roman Bold"/>
      <w:b/>
      <w:bCs/>
      <w:i/>
      <w:sz w:val="22"/>
      <w:lang w:val="en-GB"/>
    </w:rPr>
  </w:style>
  <w:style w:type="paragraph" w:styleId="Heading5">
    <w:name w:val="heading 5"/>
    <w:basedOn w:val="Normal"/>
    <w:next w:val="Normal"/>
    <w:link w:val="Heading5Char"/>
    <w:qFormat/>
    <w:rsid w:val="00362D74"/>
    <w:pPr>
      <w:keepNext/>
      <w:numPr>
        <w:ilvl w:val="4"/>
        <w:numId w:val="2"/>
      </w:numPr>
      <w:spacing w:before="120" w:after="120"/>
      <w:outlineLvl w:val="4"/>
    </w:pPr>
    <w:rPr>
      <w:rFonts w:eastAsia="Malgun Gothic"/>
      <w:bCs/>
      <w:i/>
      <w:sz w:val="22"/>
      <w:szCs w:val="26"/>
      <w:lang w:val="en-GB"/>
    </w:rPr>
  </w:style>
  <w:style w:type="paragraph" w:styleId="Heading6">
    <w:name w:val="heading 6"/>
    <w:basedOn w:val="Normal"/>
    <w:next w:val="Normal"/>
    <w:link w:val="Heading6Char"/>
    <w:qFormat/>
    <w:rsid w:val="00362D74"/>
    <w:pPr>
      <w:keepNext/>
      <w:spacing w:after="240" w:line="240" w:lineRule="exact"/>
      <w:ind w:left="720"/>
      <w:jc w:val="both"/>
      <w:outlineLvl w:val="5"/>
    </w:pPr>
    <w:rPr>
      <w:rFonts w:eastAsia="Malgun Gothic"/>
      <w:sz w:val="22"/>
      <w:u w:val="single"/>
      <w:lang w:val="en-GB"/>
    </w:rPr>
  </w:style>
  <w:style w:type="paragraph" w:styleId="Heading7">
    <w:name w:val="heading 7"/>
    <w:basedOn w:val="Normal"/>
    <w:next w:val="Normal"/>
    <w:link w:val="Heading7Char"/>
    <w:qFormat/>
    <w:rsid w:val="00362D74"/>
    <w:pPr>
      <w:keepNext/>
      <w:jc w:val="right"/>
      <w:outlineLvl w:val="6"/>
    </w:pPr>
    <w:rPr>
      <w:rFonts w:ascii="Univers" w:eastAsia="Malgun Gothic" w:hAnsi="Univers"/>
      <w:b/>
      <w:sz w:val="28"/>
      <w:lang w:val="en-GB"/>
    </w:rPr>
  </w:style>
  <w:style w:type="paragraph" w:styleId="Heading8">
    <w:name w:val="heading 8"/>
    <w:basedOn w:val="Normal"/>
    <w:next w:val="Normal"/>
    <w:link w:val="Heading8Char"/>
    <w:qFormat/>
    <w:rsid w:val="00362D74"/>
    <w:pPr>
      <w:keepNext/>
      <w:jc w:val="right"/>
      <w:outlineLvl w:val="7"/>
    </w:pPr>
    <w:rPr>
      <w:rFonts w:ascii="Univers" w:eastAsia="Malgun Gothic" w:hAnsi="Univers"/>
      <w:b/>
      <w:sz w:val="32"/>
      <w:lang w:val="en-GB"/>
    </w:rPr>
  </w:style>
  <w:style w:type="paragraph" w:styleId="Heading9">
    <w:name w:val="heading 9"/>
    <w:basedOn w:val="Normal"/>
    <w:next w:val="Normal"/>
    <w:link w:val="Heading9Char"/>
    <w:qFormat/>
    <w:rsid w:val="00362D74"/>
    <w:pPr>
      <w:keepNext/>
      <w:spacing w:before="100" w:beforeAutospacing="1" w:after="120"/>
      <w:jc w:val="both"/>
      <w:outlineLvl w:val="8"/>
    </w:pPr>
    <w:rPr>
      <w:rFonts w:eastAsia="Malgun Gothic"/>
      <w:i/>
      <w:iCs/>
      <w:sz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362D74"/>
    <w:pPr>
      <w:tabs>
        <w:tab w:val="center" w:pos="4320"/>
        <w:tab w:val="right" w:pos="8640"/>
      </w:tabs>
      <w:ind w:firstLine="720"/>
      <w:jc w:val="right"/>
    </w:pPr>
    <w:rPr>
      <w:rFonts w:eastAsia="Malgun Gothic"/>
      <w:sz w:val="22"/>
      <w:lang w:val="en-GB"/>
    </w:rPr>
  </w:style>
  <w:style w:type="paragraph" w:customStyle="1" w:styleId="Cornernotation">
    <w:name w:val="Corner notation"/>
    <w:basedOn w:val="Normal"/>
    <w:rsid w:val="00362D74"/>
    <w:pPr>
      <w:ind w:left="170" w:right="3119" w:hanging="170"/>
    </w:pPr>
    <w:rPr>
      <w:rFonts w:eastAsia="Malgun Gothic"/>
      <w:sz w:val="22"/>
      <w:lang w:val="en-GB"/>
    </w:rPr>
  </w:style>
  <w:style w:type="paragraph" w:customStyle="1" w:styleId="HEADING">
    <w:name w:val="HEADING"/>
    <w:basedOn w:val="Normal"/>
    <w:rsid w:val="00362D74"/>
    <w:pPr>
      <w:keepNext/>
      <w:spacing w:before="240" w:after="120"/>
      <w:jc w:val="center"/>
    </w:pPr>
    <w:rPr>
      <w:rFonts w:eastAsia="Malgun Gothic"/>
      <w:b/>
      <w:bCs/>
      <w:caps/>
      <w:sz w:val="22"/>
      <w:lang w:val="en-GB"/>
    </w:rPr>
  </w:style>
  <w:style w:type="paragraph" w:styleId="BalloonText">
    <w:name w:val="Balloon Text"/>
    <w:basedOn w:val="Normal"/>
    <w:link w:val="BalloonTextChar"/>
    <w:semiHidden/>
    <w:rsid w:val="00373C4A"/>
    <w:rPr>
      <w:rFonts w:ascii="Tahoma" w:hAnsi="Tahoma" w:cs="Tahoma"/>
      <w:sz w:val="16"/>
      <w:szCs w:val="16"/>
    </w:rPr>
  </w:style>
  <w:style w:type="paragraph" w:customStyle="1" w:styleId="Para1">
    <w:name w:val="Para1"/>
    <w:basedOn w:val="Normal"/>
    <w:link w:val="Para1Char"/>
    <w:rsid w:val="00362D74"/>
    <w:pPr>
      <w:numPr>
        <w:numId w:val="3"/>
      </w:numPr>
      <w:spacing w:before="120" w:after="120"/>
      <w:jc w:val="both"/>
    </w:pPr>
    <w:rPr>
      <w:rFonts w:eastAsia="Malgun Gothic"/>
      <w:snapToGrid w:val="0"/>
      <w:sz w:val="22"/>
      <w:szCs w:val="18"/>
      <w:lang w:val="en-GB"/>
    </w:rPr>
  </w:style>
  <w:style w:type="paragraph" w:customStyle="1" w:styleId="bodytextnoindent">
    <w:name w:val="body text (no indent)"/>
    <w:basedOn w:val="Normal"/>
    <w:rsid w:val="008152B4"/>
    <w:pPr>
      <w:spacing w:before="120" w:after="120"/>
      <w:jc w:val="both"/>
    </w:pPr>
    <w:rPr>
      <w:rFonts w:eastAsia="Malgun Gothic"/>
      <w:sz w:val="22"/>
      <w:lang w:val="en-GB"/>
    </w:rPr>
  </w:style>
  <w:style w:type="paragraph" w:customStyle="1" w:styleId="Heading1centred">
    <w:name w:val="Heading 1 (centred)"/>
    <w:basedOn w:val="Heading1"/>
    <w:next w:val="Para1"/>
    <w:rsid w:val="008152B4"/>
    <w:pPr>
      <w:numPr>
        <w:numId w:val="1"/>
      </w:numPr>
      <w:ind w:left="0" w:right="403" w:firstLine="0"/>
    </w:pPr>
  </w:style>
  <w:style w:type="paragraph" w:styleId="Header">
    <w:name w:val="header"/>
    <w:basedOn w:val="Normal"/>
    <w:link w:val="HeaderChar"/>
    <w:rsid w:val="00362D74"/>
    <w:pPr>
      <w:tabs>
        <w:tab w:val="center" w:pos="4320"/>
        <w:tab w:val="right" w:pos="8640"/>
      </w:tabs>
      <w:jc w:val="both"/>
    </w:pPr>
    <w:rPr>
      <w:rFonts w:eastAsia="Malgun Gothic"/>
      <w:sz w:val="22"/>
      <w:lang w:val="en-GB"/>
    </w:rPr>
  </w:style>
  <w:style w:type="character" w:customStyle="1" w:styleId="HeaderChar">
    <w:name w:val="Header Char"/>
    <w:link w:val="Header"/>
    <w:rsid w:val="002C43C6"/>
    <w:rPr>
      <w:sz w:val="22"/>
      <w:szCs w:val="24"/>
      <w:lang w:val="en-GB" w:eastAsia="en-US"/>
    </w:rPr>
  </w:style>
  <w:style w:type="paragraph" w:customStyle="1" w:styleId="Title1">
    <w:name w:val="Title1"/>
    <w:basedOn w:val="HEADING"/>
    <w:rsid w:val="00CA230D"/>
    <w:pPr>
      <w:tabs>
        <w:tab w:val="left" w:pos="1134"/>
      </w:tabs>
      <w:overflowPunct w:val="0"/>
      <w:autoSpaceDE w:val="0"/>
      <w:autoSpaceDN w:val="0"/>
      <w:adjustRightInd w:val="0"/>
      <w:textAlignment w:val="baseline"/>
    </w:pPr>
    <w:rPr>
      <w:rFonts w:eastAsia="Batang"/>
      <w:szCs w:val="20"/>
    </w:rPr>
  </w:style>
  <w:style w:type="paragraph" w:styleId="BodyText">
    <w:name w:val="Body Text"/>
    <w:basedOn w:val="Normal"/>
    <w:link w:val="BodyTextChar"/>
    <w:rsid w:val="00362D74"/>
    <w:pPr>
      <w:spacing w:before="120" w:after="120"/>
      <w:ind w:firstLine="720"/>
      <w:jc w:val="both"/>
    </w:pPr>
    <w:rPr>
      <w:rFonts w:eastAsia="Malgun Gothic"/>
      <w:iCs/>
      <w:sz w:val="22"/>
      <w:lang w:val="en-GB"/>
    </w:rPr>
  </w:style>
  <w:style w:type="character" w:customStyle="1" w:styleId="BodyTextChar">
    <w:name w:val="Body Text Char"/>
    <w:link w:val="BodyText"/>
    <w:rsid w:val="00362D74"/>
    <w:rPr>
      <w:iCs/>
      <w:sz w:val="22"/>
      <w:szCs w:val="24"/>
      <w:lang w:val="en-GB" w:eastAsia="en-US"/>
    </w:rPr>
  </w:style>
  <w:style w:type="paragraph" w:styleId="BodyText2">
    <w:name w:val="Body Text 2"/>
    <w:basedOn w:val="Normal"/>
    <w:link w:val="BodyText2Char"/>
    <w:rsid w:val="00362D74"/>
    <w:pPr>
      <w:tabs>
        <w:tab w:val="left" w:pos="-1440"/>
        <w:tab w:val="left" w:pos="-720"/>
        <w:tab w:val="left" w:pos="0"/>
        <w:tab w:val="left" w:pos="720"/>
        <w:tab w:val="right" w:pos="1080"/>
        <w:tab w:val="left" w:pos="1440"/>
      </w:tabs>
      <w:suppressAutoHyphens/>
      <w:spacing w:after="120" w:line="288" w:lineRule="auto"/>
      <w:ind w:left="2160" w:hanging="2160"/>
      <w:jc w:val="both"/>
    </w:pPr>
    <w:rPr>
      <w:rFonts w:eastAsia="Malgun Gothic"/>
      <w:sz w:val="22"/>
      <w:lang w:val="en-GB"/>
    </w:rPr>
  </w:style>
  <w:style w:type="character" w:customStyle="1" w:styleId="BodyText2Char">
    <w:name w:val="Body Text 2 Char"/>
    <w:link w:val="BodyText2"/>
    <w:rsid w:val="00362D74"/>
    <w:rPr>
      <w:sz w:val="22"/>
      <w:szCs w:val="24"/>
      <w:lang w:val="en-GB" w:eastAsia="en-US"/>
    </w:rPr>
  </w:style>
  <w:style w:type="paragraph" w:styleId="BodyText3">
    <w:name w:val="Body Text 3"/>
    <w:basedOn w:val="Normal"/>
    <w:link w:val="BodyText3Char"/>
    <w:rsid w:val="00362D74"/>
    <w:pPr>
      <w:spacing w:before="120" w:after="120"/>
      <w:jc w:val="both"/>
    </w:pPr>
    <w:rPr>
      <w:rFonts w:eastAsia="Malgun Gothic"/>
      <w:sz w:val="22"/>
      <w:lang w:val="en-GB"/>
    </w:rPr>
  </w:style>
  <w:style w:type="character" w:customStyle="1" w:styleId="BodyText3Char">
    <w:name w:val="Body Text 3 Char"/>
    <w:link w:val="BodyText3"/>
    <w:rsid w:val="00362D74"/>
    <w:rPr>
      <w:sz w:val="22"/>
      <w:szCs w:val="24"/>
      <w:lang w:val="en-GB" w:eastAsia="en-US"/>
    </w:rPr>
  </w:style>
  <w:style w:type="paragraph" w:styleId="BodyTextIndent">
    <w:name w:val="Body Text Indent"/>
    <w:basedOn w:val="Normal"/>
    <w:link w:val="BodyTextIndentChar"/>
    <w:rsid w:val="00362D74"/>
    <w:pPr>
      <w:spacing w:before="120" w:after="120"/>
      <w:ind w:left="1440" w:hanging="720"/>
    </w:pPr>
    <w:rPr>
      <w:rFonts w:eastAsia="Malgun Gothic"/>
      <w:sz w:val="22"/>
      <w:lang w:val="en-GB"/>
    </w:rPr>
  </w:style>
  <w:style w:type="character" w:customStyle="1" w:styleId="BodyTextIndentChar">
    <w:name w:val="Body Text Indent Char"/>
    <w:link w:val="BodyTextIndent"/>
    <w:rsid w:val="00362D74"/>
    <w:rPr>
      <w:sz w:val="22"/>
      <w:szCs w:val="24"/>
      <w:lang w:val="en-GB" w:eastAsia="en-US"/>
    </w:rPr>
  </w:style>
  <w:style w:type="paragraph" w:styleId="BodyTextIndent3">
    <w:name w:val="Body Text Indent 3"/>
    <w:basedOn w:val="Normal"/>
    <w:link w:val="BodyTextIndent3Char"/>
    <w:rsid w:val="00362D74"/>
    <w:pPr>
      <w:spacing w:before="120" w:after="120"/>
      <w:ind w:left="720" w:right="720"/>
      <w:jc w:val="both"/>
    </w:pPr>
    <w:rPr>
      <w:rFonts w:eastAsia="Malgun Gothic"/>
      <w:bCs/>
      <w:sz w:val="22"/>
      <w:lang w:val="en-GB"/>
    </w:rPr>
  </w:style>
  <w:style w:type="character" w:customStyle="1" w:styleId="BodyTextIndent3Char">
    <w:name w:val="Body Text Indent 3 Char"/>
    <w:link w:val="BodyTextIndent3"/>
    <w:rsid w:val="00362D74"/>
    <w:rPr>
      <w:bCs/>
      <w:sz w:val="22"/>
      <w:szCs w:val="24"/>
      <w:lang w:val="en-GB" w:eastAsia="en-US"/>
    </w:rPr>
  </w:style>
  <w:style w:type="paragraph" w:styleId="Caption">
    <w:name w:val="caption"/>
    <w:basedOn w:val="Normal"/>
    <w:next w:val="Normal"/>
    <w:uiPriority w:val="35"/>
    <w:qFormat/>
    <w:rsid w:val="00362D74"/>
    <w:pPr>
      <w:jc w:val="both"/>
    </w:pPr>
    <w:rPr>
      <w:rFonts w:eastAsia="Malgun Gothic"/>
      <w:sz w:val="22"/>
      <w:u w:val="single"/>
      <w:lang w:val="en-GB"/>
    </w:rPr>
  </w:style>
  <w:style w:type="character" w:styleId="CommentReference">
    <w:name w:val="annotation reference"/>
    <w:rsid w:val="00362D74"/>
    <w:rPr>
      <w:sz w:val="16"/>
    </w:rPr>
  </w:style>
  <w:style w:type="paragraph" w:styleId="CommentText">
    <w:name w:val="annotation text"/>
    <w:basedOn w:val="Normal"/>
    <w:link w:val="CommentTextChar"/>
    <w:rsid w:val="00362D74"/>
    <w:pPr>
      <w:spacing w:after="120" w:line="240" w:lineRule="exact"/>
      <w:jc w:val="both"/>
    </w:pPr>
    <w:rPr>
      <w:rFonts w:eastAsia="Malgun Gothic"/>
      <w:sz w:val="22"/>
      <w:lang w:val="en-GB"/>
    </w:rPr>
  </w:style>
  <w:style w:type="character" w:customStyle="1" w:styleId="CommentTextChar">
    <w:name w:val="Comment Text Char"/>
    <w:link w:val="CommentText"/>
    <w:rsid w:val="00362D74"/>
    <w:rPr>
      <w:sz w:val="22"/>
      <w:szCs w:val="24"/>
      <w:lang w:val="en-GB" w:eastAsia="en-US"/>
    </w:rPr>
  </w:style>
  <w:style w:type="paragraph" w:customStyle="1" w:styleId="Document1">
    <w:name w:val="Document 1"/>
    <w:basedOn w:val="Normal"/>
    <w:next w:val="Normal"/>
    <w:rsid w:val="00362D74"/>
    <w:pPr>
      <w:suppressAutoHyphens/>
      <w:spacing w:after="120" w:line="240" w:lineRule="exact"/>
      <w:jc w:val="both"/>
    </w:pPr>
    <w:rPr>
      <w:rFonts w:eastAsia="Malgun Gothic"/>
      <w:sz w:val="22"/>
      <w:lang w:val="en-GB"/>
    </w:rPr>
  </w:style>
  <w:style w:type="character" w:styleId="EndnoteReference">
    <w:name w:val="endnote reference"/>
    <w:rsid w:val="00362D74"/>
    <w:rPr>
      <w:vertAlign w:val="superscript"/>
    </w:rPr>
  </w:style>
  <w:style w:type="paragraph" w:styleId="EndnoteText">
    <w:name w:val="endnote text"/>
    <w:basedOn w:val="Normal"/>
    <w:link w:val="EndnoteTextChar"/>
    <w:rsid w:val="00362D74"/>
    <w:pPr>
      <w:widowControl w:val="0"/>
      <w:tabs>
        <w:tab w:val="left" w:pos="-720"/>
      </w:tabs>
      <w:suppressAutoHyphens/>
      <w:jc w:val="both"/>
    </w:pPr>
    <w:rPr>
      <w:rFonts w:ascii="Courier New" w:eastAsia="Malgun Gothic" w:hAnsi="Courier New"/>
      <w:sz w:val="22"/>
      <w:lang w:val="en-GB"/>
    </w:rPr>
  </w:style>
  <w:style w:type="character" w:customStyle="1" w:styleId="EndnoteTextChar">
    <w:name w:val="Endnote Text Char"/>
    <w:link w:val="EndnoteText"/>
    <w:rsid w:val="00362D74"/>
    <w:rPr>
      <w:rFonts w:ascii="Courier New" w:hAnsi="Courier New"/>
      <w:sz w:val="22"/>
      <w:szCs w:val="24"/>
      <w:lang w:val="en-GB" w:eastAsia="en-US"/>
    </w:rPr>
  </w:style>
  <w:style w:type="character" w:styleId="FollowedHyperlink">
    <w:name w:val="FollowedHyperlink"/>
    <w:rsid w:val="00362D74"/>
    <w:rPr>
      <w:color w:val="800080"/>
      <w:u w:val="single"/>
    </w:rPr>
  </w:style>
  <w:style w:type="character" w:styleId="FootnoteReference">
    <w:name w:val="footnote reference"/>
    <w:aliases w:val="number,Footnote Reference Superscript,-E Fußnotenzeichen,(Diplomarbeit FZ),(Diplomarbeit FZ)1,(Diplomarbeit FZ)2,(Diplomarbeit FZ)3,(Diplomarbeit FZ)4,(Diplomarbeit FZ)5,(Diplomarbeit FZ)6,(Diplomarbeit FZ)7,(Diplomarbeit FZ)8"/>
    <w:rsid w:val="00362D74"/>
    <w:rPr>
      <w:sz w:val="18"/>
      <w:u w:val="single"/>
      <w:vertAlign w:val="baseline"/>
    </w:rPr>
  </w:style>
  <w:style w:type="paragraph" w:styleId="FootnoteText">
    <w:name w:val="footnote text"/>
    <w:aliases w:val="fn,Geneva 9,Font: Geneva 9,Boston 10,f,ft,Fotnotstext Char,ft Char,single space,footnote text,FOOTNOTES,ADB,single space1,footnote text1,FOOTNOTES1,fn1,ADB1,single space2,footnote text2,FOOTNOTES2,fn2,ADB2,single space3,footnote text3,fn3"/>
    <w:basedOn w:val="Normal"/>
    <w:link w:val="FootnoteTextChar"/>
    <w:rsid w:val="00362D74"/>
    <w:pPr>
      <w:keepLines/>
      <w:spacing w:after="60"/>
      <w:ind w:firstLine="720"/>
      <w:jc w:val="both"/>
    </w:pPr>
    <w:rPr>
      <w:rFonts w:eastAsia="Malgun Gothic"/>
      <w:sz w:val="18"/>
      <w:lang w:val="en-GB"/>
    </w:rPr>
  </w:style>
  <w:style w:type="character" w:customStyle="1" w:styleId="FootnoteTextChar">
    <w:name w:val="Footnote Text Char"/>
    <w:aliases w:val="fn Char,Geneva 9 Char,Font: Geneva 9 Char,Boston 10 Char,f Char,ft Char1,Fotnotstext Char Char,ft Char Char,single space Char,footnote text Char,FOOTNOTES Char,ADB Char,single space1 Char,footnote text1 Char,FOOTNOTES1 Char,fn1 Char"/>
    <w:link w:val="FootnoteText"/>
    <w:rsid w:val="00362D74"/>
    <w:rPr>
      <w:sz w:val="18"/>
      <w:szCs w:val="24"/>
      <w:lang w:val="en-GB" w:eastAsia="en-US"/>
    </w:rPr>
  </w:style>
  <w:style w:type="paragraph" w:customStyle="1" w:styleId="HEADINGNOTFORTOC">
    <w:name w:val="HEADING (NOT FOR TOC)"/>
    <w:basedOn w:val="Heading1"/>
    <w:next w:val="Heading2"/>
    <w:rsid w:val="00362D74"/>
  </w:style>
  <w:style w:type="paragraph" w:customStyle="1" w:styleId="Heading1longmultiline">
    <w:name w:val="Heading 1 (long multiline)"/>
    <w:basedOn w:val="Heading1"/>
    <w:rsid w:val="00362D74"/>
    <w:pPr>
      <w:ind w:left="1843" w:hanging="1134"/>
      <w:jc w:val="left"/>
    </w:pPr>
  </w:style>
  <w:style w:type="paragraph" w:customStyle="1" w:styleId="Heading1multiline">
    <w:name w:val="Heading 1 (multiline)"/>
    <w:basedOn w:val="Heading1"/>
    <w:rsid w:val="00362D74"/>
    <w:pPr>
      <w:ind w:left="1843" w:right="996" w:hanging="567"/>
      <w:jc w:val="left"/>
    </w:pPr>
  </w:style>
  <w:style w:type="paragraph" w:customStyle="1" w:styleId="Heading2multiline">
    <w:name w:val="Heading 2 (multiline)"/>
    <w:basedOn w:val="Heading1"/>
    <w:next w:val="Para1"/>
    <w:rsid w:val="00362D74"/>
    <w:pPr>
      <w:spacing w:before="120"/>
      <w:ind w:left="1843" w:right="998" w:hanging="567"/>
      <w:jc w:val="left"/>
    </w:pPr>
    <w:rPr>
      <w:i/>
      <w:iCs/>
      <w:caps w:val="0"/>
    </w:rPr>
  </w:style>
  <w:style w:type="paragraph" w:customStyle="1" w:styleId="Heading2longmultiline">
    <w:name w:val="Heading 2 (long multiline)"/>
    <w:basedOn w:val="Heading2multiline"/>
    <w:rsid w:val="00362D74"/>
    <w:pPr>
      <w:ind w:left="2127" w:hanging="1276"/>
    </w:pPr>
  </w:style>
  <w:style w:type="character" w:customStyle="1" w:styleId="Heading3Char">
    <w:name w:val="Heading 3 Char"/>
    <w:link w:val="Heading3"/>
    <w:uiPriority w:val="9"/>
    <w:rsid w:val="00362D74"/>
    <w:rPr>
      <w:i/>
      <w:iCs/>
      <w:sz w:val="22"/>
      <w:szCs w:val="24"/>
      <w:lang w:val="en-GB" w:eastAsia="en-US"/>
    </w:rPr>
  </w:style>
  <w:style w:type="paragraph" w:customStyle="1" w:styleId="heading2notforTOC">
    <w:name w:val="heading 2 not for TOC"/>
    <w:basedOn w:val="Heading3"/>
    <w:rsid w:val="00362D74"/>
  </w:style>
  <w:style w:type="paragraph" w:customStyle="1" w:styleId="Heading2-center">
    <w:name w:val="Heading 2-center"/>
    <w:basedOn w:val="Heading2"/>
    <w:rsid w:val="00362D74"/>
    <w:pPr>
      <w:outlineLvl w:val="9"/>
    </w:pPr>
    <w:rPr>
      <w:i w:val="0"/>
      <w:iCs w:val="0"/>
      <w:caps/>
    </w:rPr>
  </w:style>
  <w:style w:type="paragraph" w:customStyle="1" w:styleId="Heading3multiline">
    <w:name w:val="Heading 3 (multiline)"/>
    <w:basedOn w:val="Heading3"/>
    <w:next w:val="Para1"/>
    <w:rsid w:val="00362D74"/>
    <w:pPr>
      <w:ind w:left="1418" w:hanging="425"/>
      <w:jc w:val="left"/>
    </w:pPr>
  </w:style>
  <w:style w:type="character" w:customStyle="1" w:styleId="Heading4Char">
    <w:name w:val="Heading 4 Char"/>
    <w:link w:val="Heading4"/>
    <w:rsid w:val="00362D74"/>
    <w:rPr>
      <w:rFonts w:ascii="Times New Roman Bold" w:eastAsia="Arial Unicode MS" w:hAnsi="Times New Roman Bold" w:cs="Arial"/>
      <w:b/>
      <w:bCs/>
      <w:i/>
      <w:sz w:val="22"/>
      <w:szCs w:val="24"/>
      <w:lang w:val="en-GB" w:eastAsia="en-US"/>
    </w:rPr>
  </w:style>
  <w:style w:type="paragraph" w:customStyle="1" w:styleId="Heading4indent">
    <w:name w:val="Heading 4 indent"/>
    <w:basedOn w:val="Heading4"/>
    <w:rsid w:val="00362D74"/>
    <w:pPr>
      <w:ind w:left="720"/>
      <w:outlineLvl w:val="9"/>
    </w:pPr>
  </w:style>
  <w:style w:type="character" w:customStyle="1" w:styleId="Heading5Char">
    <w:name w:val="Heading 5 Char"/>
    <w:link w:val="Heading5"/>
    <w:rsid w:val="00362D74"/>
    <w:rPr>
      <w:bCs/>
      <w:i/>
      <w:sz w:val="22"/>
      <w:szCs w:val="26"/>
      <w:lang w:val="en-GB"/>
    </w:rPr>
  </w:style>
  <w:style w:type="character" w:customStyle="1" w:styleId="Heading6Char">
    <w:name w:val="Heading 6 Char"/>
    <w:link w:val="Heading6"/>
    <w:rsid w:val="00362D74"/>
    <w:rPr>
      <w:sz w:val="22"/>
      <w:szCs w:val="24"/>
      <w:u w:val="single"/>
      <w:lang w:val="en-GB" w:eastAsia="en-US"/>
    </w:rPr>
  </w:style>
  <w:style w:type="character" w:customStyle="1" w:styleId="Heading7Char">
    <w:name w:val="Heading 7 Char"/>
    <w:link w:val="Heading7"/>
    <w:rsid w:val="00362D74"/>
    <w:rPr>
      <w:rFonts w:ascii="Univers" w:hAnsi="Univers"/>
      <w:b/>
      <w:sz w:val="28"/>
      <w:szCs w:val="24"/>
      <w:lang w:val="en-GB" w:eastAsia="en-US"/>
    </w:rPr>
  </w:style>
  <w:style w:type="character" w:customStyle="1" w:styleId="Heading8Char">
    <w:name w:val="Heading 8 Char"/>
    <w:link w:val="Heading8"/>
    <w:rsid w:val="00362D74"/>
    <w:rPr>
      <w:rFonts w:ascii="Univers" w:hAnsi="Univers"/>
      <w:b/>
      <w:sz w:val="32"/>
      <w:szCs w:val="24"/>
      <w:lang w:val="en-GB" w:eastAsia="en-US"/>
    </w:rPr>
  </w:style>
  <w:style w:type="character" w:customStyle="1" w:styleId="Heading9Char">
    <w:name w:val="Heading 9 Char"/>
    <w:link w:val="Heading9"/>
    <w:rsid w:val="00362D74"/>
    <w:rPr>
      <w:i/>
      <w:iCs/>
      <w:sz w:val="22"/>
      <w:szCs w:val="24"/>
      <w:lang w:val="en-GB" w:eastAsia="en-US"/>
    </w:rPr>
  </w:style>
  <w:style w:type="paragraph" w:customStyle="1" w:styleId="Heading40">
    <w:name w:val="Heading4"/>
    <w:basedOn w:val="Normal"/>
    <w:rsid w:val="00362D74"/>
    <w:pPr>
      <w:keepNext/>
      <w:spacing w:before="120" w:after="120"/>
      <w:jc w:val="both"/>
    </w:pPr>
    <w:rPr>
      <w:rFonts w:eastAsia="Malgun Gothic"/>
      <w:i/>
      <w:iCs/>
      <w:sz w:val="22"/>
      <w:lang w:val="en-GB"/>
    </w:rPr>
  </w:style>
  <w:style w:type="character" w:styleId="PageNumber">
    <w:name w:val="page number"/>
    <w:rsid w:val="00362D74"/>
    <w:rPr>
      <w:rFonts w:ascii="Times New Roman" w:hAnsi="Times New Roman"/>
      <w:sz w:val="22"/>
    </w:rPr>
  </w:style>
  <w:style w:type="paragraph" w:customStyle="1" w:styleId="Para2">
    <w:name w:val="Para2"/>
    <w:basedOn w:val="Para1"/>
    <w:rsid w:val="00362D74"/>
    <w:pPr>
      <w:numPr>
        <w:numId w:val="0"/>
      </w:numPr>
      <w:autoSpaceDE w:val="0"/>
      <w:autoSpaceDN w:val="0"/>
    </w:pPr>
  </w:style>
  <w:style w:type="paragraph" w:customStyle="1" w:styleId="Para3">
    <w:name w:val="Para3"/>
    <w:basedOn w:val="Normal"/>
    <w:autoRedefine/>
    <w:rsid w:val="00362D74"/>
    <w:pPr>
      <w:numPr>
        <w:ilvl w:val="3"/>
        <w:numId w:val="4"/>
      </w:numPr>
      <w:tabs>
        <w:tab w:val="left" w:pos="1980"/>
      </w:tabs>
      <w:spacing w:before="80" w:after="80"/>
      <w:jc w:val="both"/>
    </w:pPr>
    <w:rPr>
      <w:rFonts w:eastAsia="Malgun Gothic"/>
      <w:sz w:val="22"/>
      <w:szCs w:val="20"/>
      <w:lang w:val="en-GB"/>
    </w:rPr>
  </w:style>
  <w:style w:type="paragraph" w:customStyle="1" w:styleId="para4">
    <w:name w:val="para4"/>
    <w:basedOn w:val="Normal"/>
    <w:rsid w:val="00362D74"/>
    <w:pPr>
      <w:overflowPunct w:val="0"/>
      <w:autoSpaceDE w:val="0"/>
      <w:autoSpaceDN w:val="0"/>
      <w:adjustRightInd w:val="0"/>
      <w:spacing w:after="120" w:line="240" w:lineRule="atLeast"/>
      <w:jc w:val="both"/>
      <w:textAlignment w:val="baseline"/>
    </w:pPr>
    <w:rPr>
      <w:rFonts w:ascii="Courier" w:eastAsia="Malgun Gothic" w:hAnsi="Courier"/>
      <w:color w:val="000000"/>
      <w:sz w:val="20"/>
      <w:szCs w:val="20"/>
      <w:lang w:val="en-GB"/>
    </w:rPr>
  </w:style>
  <w:style w:type="paragraph" w:customStyle="1" w:styleId="Para-decision">
    <w:name w:val="Para-decision"/>
    <w:basedOn w:val="Normal"/>
    <w:rsid w:val="00362D74"/>
    <w:pPr>
      <w:tabs>
        <w:tab w:val="left" w:pos="-1440"/>
        <w:tab w:val="left" w:pos="-720"/>
        <w:tab w:val="left" w:pos="0"/>
        <w:tab w:val="left" w:pos="720"/>
        <w:tab w:val="left" w:pos="1440"/>
      </w:tabs>
      <w:suppressAutoHyphens/>
      <w:overflowPunct w:val="0"/>
      <w:autoSpaceDE w:val="0"/>
      <w:autoSpaceDN w:val="0"/>
      <w:adjustRightInd w:val="0"/>
      <w:spacing w:after="240" w:line="240" w:lineRule="exact"/>
      <w:ind w:firstLine="720"/>
      <w:textAlignment w:val="baseline"/>
    </w:pPr>
    <w:rPr>
      <w:rFonts w:ascii="Courier" w:eastAsia="Malgun Gothic" w:hAnsi="Courier"/>
      <w:color w:val="000000"/>
      <w:sz w:val="20"/>
      <w:lang w:val="en-GB"/>
    </w:rPr>
  </w:style>
  <w:style w:type="paragraph" w:styleId="TOAHeading">
    <w:name w:val="toa heading"/>
    <w:basedOn w:val="Normal"/>
    <w:next w:val="Normal"/>
    <w:rsid w:val="00362D74"/>
    <w:pPr>
      <w:spacing w:before="120"/>
      <w:jc w:val="both"/>
    </w:pPr>
    <w:rPr>
      <w:rFonts w:eastAsia="Malgun Gothic" w:cs="Arial"/>
      <w:b/>
      <w:bCs/>
      <w:lang w:val="en-GB"/>
    </w:rPr>
  </w:style>
  <w:style w:type="paragraph" w:styleId="TOC1">
    <w:name w:val="toc 1"/>
    <w:basedOn w:val="Normal"/>
    <w:next w:val="Normal"/>
    <w:autoRedefine/>
    <w:rsid w:val="00362D74"/>
    <w:pPr>
      <w:ind w:left="720" w:hanging="720"/>
      <w:jc w:val="both"/>
    </w:pPr>
    <w:rPr>
      <w:rFonts w:eastAsia="Malgun Gothic"/>
      <w:caps/>
      <w:sz w:val="22"/>
      <w:lang w:val="en-GB"/>
    </w:rPr>
  </w:style>
  <w:style w:type="paragraph" w:styleId="TOC2">
    <w:name w:val="toc 2"/>
    <w:basedOn w:val="Normal"/>
    <w:next w:val="Normal"/>
    <w:autoRedefine/>
    <w:rsid w:val="00362D74"/>
    <w:pPr>
      <w:tabs>
        <w:tab w:val="right" w:leader="dot" w:pos="9356"/>
      </w:tabs>
      <w:ind w:left="1440" w:hanging="720"/>
      <w:jc w:val="both"/>
    </w:pPr>
    <w:rPr>
      <w:rFonts w:eastAsia="Malgun Gothic"/>
      <w:noProof/>
      <w:sz w:val="22"/>
      <w:szCs w:val="22"/>
      <w:lang w:val="en-GB"/>
    </w:rPr>
  </w:style>
  <w:style w:type="paragraph" w:styleId="TOC3">
    <w:name w:val="toc 3"/>
    <w:basedOn w:val="Normal"/>
    <w:next w:val="Normal"/>
    <w:autoRedefine/>
    <w:rsid w:val="00362D74"/>
    <w:pPr>
      <w:ind w:left="2160" w:hanging="720"/>
      <w:jc w:val="both"/>
    </w:pPr>
    <w:rPr>
      <w:rFonts w:eastAsia="Malgun Gothic"/>
      <w:sz w:val="22"/>
      <w:lang w:val="en-GB"/>
    </w:rPr>
  </w:style>
  <w:style w:type="paragraph" w:styleId="TOC4">
    <w:name w:val="toc 4"/>
    <w:basedOn w:val="Normal"/>
    <w:next w:val="Normal"/>
    <w:autoRedefine/>
    <w:rsid w:val="00362D74"/>
    <w:pPr>
      <w:spacing w:before="120" w:after="120"/>
      <w:ind w:left="660"/>
    </w:pPr>
    <w:rPr>
      <w:rFonts w:eastAsia="Malgun Gothic"/>
      <w:sz w:val="22"/>
      <w:lang w:val="en-GB"/>
    </w:rPr>
  </w:style>
  <w:style w:type="paragraph" w:styleId="TOC5">
    <w:name w:val="toc 5"/>
    <w:basedOn w:val="Normal"/>
    <w:next w:val="Normal"/>
    <w:autoRedefine/>
    <w:rsid w:val="00362D74"/>
    <w:pPr>
      <w:spacing w:before="120" w:after="120"/>
      <w:ind w:left="880"/>
    </w:pPr>
    <w:rPr>
      <w:rFonts w:eastAsia="Malgun Gothic"/>
      <w:sz w:val="22"/>
      <w:lang w:val="en-GB"/>
    </w:rPr>
  </w:style>
  <w:style w:type="paragraph" w:styleId="TOC6">
    <w:name w:val="toc 6"/>
    <w:basedOn w:val="Normal"/>
    <w:next w:val="Normal"/>
    <w:autoRedefine/>
    <w:rsid w:val="00362D74"/>
    <w:pPr>
      <w:spacing w:before="120" w:after="120"/>
      <w:ind w:left="1100"/>
    </w:pPr>
    <w:rPr>
      <w:rFonts w:eastAsia="Malgun Gothic"/>
      <w:sz w:val="22"/>
      <w:lang w:val="en-GB"/>
    </w:rPr>
  </w:style>
  <w:style w:type="paragraph" w:styleId="TOC7">
    <w:name w:val="toc 7"/>
    <w:basedOn w:val="Normal"/>
    <w:next w:val="Normal"/>
    <w:autoRedefine/>
    <w:rsid w:val="00362D74"/>
    <w:pPr>
      <w:spacing w:before="120" w:after="120"/>
      <w:ind w:left="1320"/>
    </w:pPr>
    <w:rPr>
      <w:rFonts w:eastAsia="Malgun Gothic"/>
      <w:sz w:val="22"/>
      <w:lang w:val="en-GB"/>
    </w:rPr>
  </w:style>
  <w:style w:type="paragraph" w:styleId="TOC8">
    <w:name w:val="toc 8"/>
    <w:basedOn w:val="Normal"/>
    <w:next w:val="Normal"/>
    <w:autoRedefine/>
    <w:rsid w:val="00362D74"/>
    <w:pPr>
      <w:spacing w:before="120" w:after="120"/>
      <w:ind w:left="1540"/>
    </w:pPr>
    <w:rPr>
      <w:rFonts w:eastAsia="Malgun Gothic"/>
      <w:sz w:val="22"/>
      <w:lang w:val="en-GB"/>
    </w:rPr>
  </w:style>
  <w:style w:type="paragraph" w:styleId="TOC9">
    <w:name w:val="toc 9"/>
    <w:basedOn w:val="Normal"/>
    <w:next w:val="Normal"/>
    <w:autoRedefine/>
    <w:rsid w:val="00362D74"/>
    <w:pPr>
      <w:spacing w:before="120" w:after="120"/>
      <w:ind w:left="1760"/>
    </w:pPr>
    <w:rPr>
      <w:rFonts w:eastAsia="Malgun Gothic"/>
      <w:sz w:val="22"/>
      <w:lang w:val="en-GB"/>
    </w:rPr>
  </w:style>
  <w:style w:type="character" w:customStyle="1" w:styleId="underline">
    <w:name w:val="underline"/>
    <w:rsid w:val="00362D74"/>
    <w:rPr>
      <w:rFonts w:ascii="Courier" w:hAnsi="Courier"/>
      <w:sz w:val="20"/>
      <w:u w:val="single"/>
    </w:rPr>
  </w:style>
  <w:style w:type="paragraph" w:customStyle="1" w:styleId="Default">
    <w:name w:val="Default"/>
    <w:rsid w:val="00732324"/>
    <w:pPr>
      <w:autoSpaceDE w:val="0"/>
      <w:autoSpaceDN w:val="0"/>
      <w:adjustRightInd w:val="0"/>
    </w:pPr>
    <w:rPr>
      <w:color w:val="000000"/>
      <w:sz w:val="24"/>
      <w:szCs w:val="24"/>
      <w:lang w:eastAsia="ko-KR"/>
    </w:rPr>
  </w:style>
  <w:style w:type="character" w:styleId="Hyperlink">
    <w:name w:val="Hyperlink"/>
    <w:rsid w:val="0022652F"/>
    <w:rPr>
      <w:color w:val="0000FF"/>
      <w:u w:val="single"/>
    </w:rPr>
  </w:style>
  <w:style w:type="paragraph" w:styleId="CommentSubject">
    <w:name w:val="annotation subject"/>
    <w:basedOn w:val="CommentText"/>
    <w:next w:val="CommentText"/>
    <w:link w:val="CommentSubjectChar"/>
    <w:rsid w:val="004C1A96"/>
    <w:pPr>
      <w:spacing w:after="0" w:line="240" w:lineRule="auto"/>
    </w:pPr>
    <w:rPr>
      <w:b/>
      <w:bCs/>
    </w:rPr>
  </w:style>
  <w:style w:type="character" w:customStyle="1" w:styleId="CommentSubjectChar">
    <w:name w:val="Comment Subject Char"/>
    <w:link w:val="CommentSubject"/>
    <w:rsid w:val="004C1A96"/>
    <w:rPr>
      <w:b/>
      <w:bCs/>
      <w:sz w:val="22"/>
      <w:szCs w:val="24"/>
      <w:lang w:val="en-GB" w:eastAsia="en-US"/>
    </w:rPr>
  </w:style>
  <w:style w:type="character" w:customStyle="1" w:styleId="FooterChar">
    <w:name w:val="Footer Char"/>
    <w:link w:val="Footer"/>
    <w:uiPriority w:val="99"/>
    <w:rsid w:val="00ED08B0"/>
    <w:rPr>
      <w:sz w:val="22"/>
      <w:szCs w:val="24"/>
      <w:lang w:val="en-GB"/>
    </w:rPr>
  </w:style>
  <w:style w:type="paragraph" w:styleId="ListParagraph">
    <w:name w:val="List Paragraph"/>
    <w:basedOn w:val="Normal"/>
    <w:uiPriority w:val="34"/>
    <w:qFormat/>
    <w:rsid w:val="00ED08B0"/>
    <w:pPr>
      <w:ind w:leftChars="400" w:left="800"/>
      <w:jc w:val="both"/>
    </w:pPr>
    <w:rPr>
      <w:rFonts w:eastAsia="Malgun Gothic"/>
      <w:sz w:val="22"/>
      <w:lang w:val="en-GB"/>
    </w:rPr>
  </w:style>
  <w:style w:type="paragraph" w:styleId="Revision">
    <w:name w:val="Revision"/>
    <w:hidden/>
    <w:uiPriority w:val="99"/>
    <w:semiHidden/>
    <w:rsid w:val="005405EC"/>
    <w:rPr>
      <w:sz w:val="22"/>
      <w:szCs w:val="24"/>
      <w:lang w:val="en-GB"/>
    </w:rPr>
  </w:style>
  <w:style w:type="paragraph" w:customStyle="1" w:styleId="meetingname">
    <w:name w:val="meeting name"/>
    <w:basedOn w:val="Cornernotation"/>
    <w:qFormat/>
    <w:rsid w:val="00CA63FA"/>
    <w:rPr>
      <w:caps/>
      <w:snapToGrid w:val="0"/>
    </w:rPr>
  </w:style>
  <w:style w:type="paragraph" w:styleId="ListBullet">
    <w:name w:val="List Bullet"/>
    <w:basedOn w:val="Normal"/>
    <w:rsid w:val="00BA6BFB"/>
    <w:pPr>
      <w:numPr>
        <w:numId w:val="5"/>
      </w:numPr>
      <w:contextualSpacing/>
      <w:jc w:val="both"/>
    </w:pPr>
    <w:rPr>
      <w:rFonts w:eastAsia="Malgun Gothic"/>
      <w:sz w:val="22"/>
      <w:lang w:val="en-GB"/>
    </w:rPr>
  </w:style>
  <w:style w:type="character" w:customStyle="1" w:styleId="Para1Char">
    <w:name w:val="Para1 Char"/>
    <w:link w:val="Para1"/>
    <w:locked/>
    <w:rsid w:val="00067842"/>
    <w:rPr>
      <w:snapToGrid w:val="0"/>
      <w:sz w:val="22"/>
      <w:szCs w:val="18"/>
      <w:lang w:val="en-GB"/>
    </w:rPr>
  </w:style>
  <w:style w:type="character" w:styleId="PlaceholderText">
    <w:name w:val="Placeholder Text"/>
    <w:basedOn w:val="DefaultParagraphFont"/>
    <w:uiPriority w:val="99"/>
    <w:rsid w:val="00B8169A"/>
    <w:rPr>
      <w:color w:val="808080"/>
    </w:rPr>
  </w:style>
  <w:style w:type="character" w:customStyle="1" w:styleId="UnresolvedMention1">
    <w:name w:val="Unresolved Mention1"/>
    <w:basedOn w:val="DefaultParagraphFont"/>
    <w:uiPriority w:val="99"/>
    <w:semiHidden/>
    <w:unhideWhenUsed/>
    <w:rsid w:val="00C67C85"/>
    <w:rPr>
      <w:color w:val="808080"/>
      <w:shd w:val="clear" w:color="auto" w:fill="E6E6E6"/>
    </w:rPr>
  </w:style>
  <w:style w:type="character" w:customStyle="1" w:styleId="UnresolvedMention2">
    <w:name w:val="Unresolved Mention2"/>
    <w:basedOn w:val="DefaultParagraphFont"/>
    <w:rsid w:val="00537982"/>
    <w:rPr>
      <w:color w:val="605E5C"/>
      <w:shd w:val="clear" w:color="auto" w:fill="E1DFDD"/>
    </w:rPr>
  </w:style>
  <w:style w:type="paragraph" w:customStyle="1" w:styleId="xmsolistparagraph">
    <w:name w:val="x_msolistparagraph"/>
    <w:basedOn w:val="Normal"/>
    <w:rsid w:val="00B71384"/>
    <w:pPr>
      <w:spacing w:before="100" w:beforeAutospacing="1" w:after="100" w:afterAutospacing="1"/>
    </w:pPr>
    <w:rPr>
      <w:lang w:val="fr-CA" w:eastAsia="fr-CA"/>
    </w:rPr>
  </w:style>
  <w:style w:type="paragraph" w:styleId="NormalWeb">
    <w:name w:val="Normal (Web)"/>
    <w:basedOn w:val="Normal"/>
    <w:uiPriority w:val="99"/>
    <w:unhideWhenUsed/>
    <w:rsid w:val="00C35B9B"/>
    <w:pPr>
      <w:spacing w:before="100" w:beforeAutospacing="1" w:after="100" w:afterAutospacing="1"/>
    </w:pPr>
    <w:rPr>
      <w:lang w:val="fr-CA" w:eastAsia="fr-CA"/>
    </w:rPr>
  </w:style>
  <w:style w:type="table" w:styleId="TableGrid">
    <w:name w:val="Table Grid"/>
    <w:basedOn w:val="TableNormal"/>
    <w:uiPriority w:val="59"/>
    <w:rsid w:val="004E3C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6220EA"/>
    <w:rPr>
      <w:color w:val="605E5C"/>
      <w:shd w:val="clear" w:color="auto" w:fill="E1DFDD"/>
    </w:rPr>
  </w:style>
  <w:style w:type="character" w:customStyle="1" w:styleId="A6">
    <w:name w:val="A6"/>
    <w:uiPriority w:val="99"/>
    <w:rsid w:val="00E8017A"/>
    <w:rPr>
      <w:rFonts w:cs="M+ 2p regular"/>
      <w:color w:val="211D1E"/>
      <w:sz w:val="11"/>
      <w:szCs w:val="11"/>
    </w:rPr>
  </w:style>
  <w:style w:type="character" w:customStyle="1" w:styleId="ng-binding">
    <w:name w:val="ng-binding"/>
    <w:basedOn w:val="DefaultParagraphFont"/>
    <w:rsid w:val="00D20CF1"/>
  </w:style>
  <w:style w:type="character" w:styleId="UnresolvedMention">
    <w:name w:val="Unresolved Mention"/>
    <w:basedOn w:val="DefaultParagraphFont"/>
    <w:uiPriority w:val="99"/>
    <w:semiHidden/>
    <w:unhideWhenUsed/>
    <w:rsid w:val="00686E2D"/>
    <w:rPr>
      <w:color w:val="605E5C"/>
      <w:shd w:val="clear" w:color="auto" w:fill="E1DFDD"/>
    </w:rPr>
  </w:style>
  <w:style w:type="paragraph" w:customStyle="1" w:styleId="Reference">
    <w:name w:val="Reference"/>
    <w:basedOn w:val="Normal"/>
    <w:qFormat/>
    <w:rsid w:val="00DB10C8"/>
    <w:pPr>
      <w:spacing w:before="120"/>
      <w:ind w:left="720" w:hanging="720"/>
    </w:pPr>
    <w:rPr>
      <w:lang w:val="en-US"/>
    </w:rPr>
  </w:style>
  <w:style w:type="paragraph" w:styleId="DocumentMap">
    <w:name w:val="Document Map"/>
    <w:basedOn w:val="Normal"/>
    <w:link w:val="DocumentMapChar"/>
    <w:rsid w:val="006B3F46"/>
    <w:pPr>
      <w:shd w:val="clear" w:color="auto" w:fill="000080"/>
    </w:pPr>
    <w:rPr>
      <w:rFonts w:ascii="Tahoma" w:eastAsia="Malgun Gothic" w:hAnsi="Tahoma" w:cs="Tahoma"/>
      <w:sz w:val="20"/>
      <w:szCs w:val="20"/>
      <w:lang w:val="en-GB" w:eastAsia="en-CA"/>
    </w:rPr>
  </w:style>
  <w:style w:type="character" w:customStyle="1" w:styleId="DocumentMapChar">
    <w:name w:val="Document Map Char"/>
    <w:basedOn w:val="DefaultParagraphFont"/>
    <w:link w:val="DocumentMap"/>
    <w:rsid w:val="006B3F46"/>
    <w:rPr>
      <w:rFonts w:ascii="Tahoma" w:hAnsi="Tahoma" w:cs="Tahoma"/>
      <w:shd w:val="clear" w:color="auto" w:fill="000080"/>
      <w:lang w:val="en-GB" w:eastAsia="en-CA"/>
    </w:rPr>
  </w:style>
  <w:style w:type="character" w:customStyle="1" w:styleId="Heading1Char">
    <w:name w:val="Heading 1 Char"/>
    <w:link w:val="Heading1"/>
    <w:rsid w:val="006B3F46"/>
    <w:rPr>
      <w:b/>
      <w:caps/>
      <w:sz w:val="22"/>
      <w:szCs w:val="24"/>
      <w:lang w:val="en-GB"/>
    </w:rPr>
  </w:style>
  <w:style w:type="character" w:customStyle="1" w:styleId="Heading2Char">
    <w:name w:val="Heading 2 Char"/>
    <w:link w:val="Heading2"/>
    <w:uiPriority w:val="9"/>
    <w:rsid w:val="006B3F46"/>
    <w:rPr>
      <w:b/>
      <w:bCs/>
      <w:i/>
      <w:iCs/>
      <w:sz w:val="22"/>
      <w:szCs w:val="24"/>
      <w:lang w:val="en-GB"/>
    </w:rPr>
  </w:style>
  <w:style w:type="character" w:customStyle="1" w:styleId="frontelement">
    <w:name w:val="frontelement"/>
    <w:rsid w:val="006B3F46"/>
  </w:style>
  <w:style w:type="character" w:styleId="Emphasis">
    <w:name w:val="Emphasis"/>
    <w:uiPriority w:val="20"/>
    <w:qFormat/>
    <w:rsid w:val="006B3F46"/>
    <w:rPr>
      <w:i/>
      <w:iCs/>
    </w:rPr>
  </w:style>
  <w:style w:type="paragraph" w:customStyle="1" w:styleId="xxmsonormal">
    <w:name w:val="x_xmsonormal"/>
    <w:basedOn w:val="Normal"/>
    <w:rsid w:val="006B3F46"/>
    <w:pPr>
      <w:spacing w:before="100" w:beforeAutospacing="1" w:after="100" w:afterAutospacing="1"/>
    </w:pPr>
    <w:rPr>
      <w:lang w:val="es-ES" w:eastAsia="es-ES"/>
    </w:rPr>
  </w:style>
  <w:style w:type="character" w:customStyle="1" w:styleId="highlight">
    <w:name w:val="highlight"/>
    <w:rsid w:val="006B3F46"/>
  </w:style>
  <w:style w:type="character" w:customStyle="1" w:styleId="st">
    <w:name w:val="st"/>
    <w:rsid w:val="006B3F46"/>
  </w:style>
  <w:style w:type="character" w:customStyle="1" w:styleId="sheader2">
    <w:name w:val="sheader2"/>
    <w:rsid w:val="006B3F46"/>
  </w:style>
  <w:style w:type="character" w:customStyle="1" w:styleId="lrzxr">
    <w:name w:val="lrzxr"/>
    <w:rsid w:val="006B3F46"/>
  </w:style>
  <w:style w:type="character" w:styleId="Strong">
    <w:name w:val="Strong"/>
    <w:qFormat/>
    <w:rsid w:val="006B3F46"/>
    <w:rPr>
      <w:b/>
      <w:bCs/>
    </w:rPr>
  </w:style>
  <w:style w:type="character" w:customStyle="1" w:styleId="luna-pos">
    <w:name w:val="luna-pos"/>
    <w:rsid w:val="006B3F46"/>
  </w:style>
  <w:style w:type="character" w:customStyle="1" w:styleId="css-u3k0g4">
    <w:name w:val="css-u3k0g4"/>
    <w:rsid w:val="006B3F46"/>
  </w:style>
  <w:style w:type="character" w:customStyle="1" w:styleId="luna-label">
    <w:name w:val="luna-label"/>
    <w:rsid w:val="006B3F46"/>
  </w:style>
  <w:style w:type="character" w:customStyle="1" w:styleId="one-click-content">
    <w:name w:val="one-click-content"/>
    <w:rsid w:val="006B3F46"/>
  </w:style>
  <w:style w:type="character" w:customStyle="1" w:styleId="one-click">
    <w:name w:val="one-click"/>
    <w:rsid w:val="006B3F46"/>
  </w:style>
  <w:style w:type="character" w:customStyle="1" w:styleId="text">
    <w:name w:val="text"/>
    <w:rsid w:val="006B3F46"/>
  </w:style>
  <w:style w:type="character" w:customStyle="1" w:styleId="author-ref">
    <w:name w:val="author-ref"/>
    <w:rsid w:val="006B3F46"/>
  </w:style>
  <w:style w:type="character" w:customStyle="1" w:styleId="externalref">
    <w:name w:val="externalref"/>
    <w:rsid w:val="006B3F46"/>
  </w:style>
  <w:style w:type="character" w:customStyle="1" w:styleId="refsource">
    <w:name w:val="refsource"/>
    <w:rsid w:val="006B3F46"/>
  </w:style>
  <w:style w:type="character" w:customStyle="1" w:styleId="citationref">
    <w:name w:val="citationref"/>
    <w:rsid w:val="006B3F46"/>
  </w:style>
  <w:style w:type="character" w:customStyle="1" w:styleId="BalloonTextChar">
    <w:name w:val="Balloon Text Char"/>
    <w:link w:val="BalloonText"/>
    <w:semiHidden/>
    <w:rsid w:val="006B3F46"/>
    <w:rPr>
      <w:rFonts w:ascii="Tahoma" w:eastAsia="Times New Roman" w:hAnsi="Tahoma" w:cs="Tahoma"/>
      <w:sz w:val="16"/>
      <w:szCs w:val="16"/>
      <w:lang w:val="en-CA"/>
    </w:rPr>
  </w:style>
  <w:style w:type="paragraph" w:customStyle="1" w:styleId="xmsonormal">
    <w:name w:val="x_msonormal"/>
    <w:basedOn w:val="Normal"/>
    <w:rsid w:val="006B3F46"/>
    <w:pPr>
      <w:spacing w:before="100" w:beforeAutospacing="1" w:after="100" w:afterAutospacing="1"/>
    </w:pPr>
    <w:rPr>
      <w:lang w:val="fr-CA" w:eastAsia="fr-CA"/>
    </w:rPr>
  </w:style>
  <w:style w:type="character" w:customStyle="1" w:styleId="size-m">
    <w:name w:val="size-m"/>
    <w:rsid w:val="006B3F46"/>
  </w:style>
  <w:style w:type="character" w:customStyle="1" w:styleId="mixed-citation">
    <w:name w:val="mixed-citation"/>
    <w:rsid w:val="006B3F46"/>
  </w:style>
  <w:style w:type="paragraph" w:styleId="NoSpacing">
    <w:name w:val="No Spacing"/>
    <w:uiPriority w:val="1"/>
    <w:qFormat/>
    <w:rsid w:val="006B3F46"/>
    <w:pPr>
      <w:spacing w:line="360" w:lineRule="auto"/>
      <w:ind w:left="426" w:hanging="426"/>
      <w:jc w:val="both"/>
    </w:pPr>
    <w:rPr>
      <w:rFonts w:ascii="Arial" w:eastAsia="Calibri" w:hAnsi="Arial" w:cs="Arial"/>
      <w:lang w:val="en-GB"/>
    </w:rPr>
  </w:style>
  <w:style w:type="paragraph" w:customStyle="1" w:styleId="headlinesubtitle">
    <w:name w:val="headline__subtitle"/>
    <w:basedOn w:val="Normal"/>
    <w:rsid w:val="006B3F46"/>
    <w:pPr>
      <w:spacing w:before="100" w:beforeAutospacing="1" w:after="100" w:afterAutospacing="1"/>
    </w:pPr>
    <w:rPr>
      <w:lang w:val="en-US"/>
    </w:rPr>
  </w:style>
  <w:style w:type="paragraph" w:customStyle="1" w:styleId="heading0">
    <w:name w:val="heading"/>
    <w:basedOn w:val="Normal"/>
    <w:rsid w:val="006B3F46"/>
    <w:pPr>
      <w:spacing w:before="100" w:beforeAutospacing="1" w:after="100" w:afterAutospacing="1"/>
    </w:pPr>
    <w:rPr>
      <w:lang w:val="en-US"/>
    </w:rPr>
  </w:style>
  <w:style w:type="character" w:customStyle="1" w:styleId="articlecitationvolume">
    <w:name w:val="articlecitation_volume"/>
    <w:rsid w:val="006B3F46"/>
  </w:style>
  <w:style w:type="character" w:customStyle="1" w:styleId="articlecitationpages">
    <w:name w:val="articlecitation_pages"/>
    <w:rsid w:val="006B3F46"/>
  </w:style>
  <w:style w:type="paragraph" w:customStyle="1" w:styleId="EndNoteBibliography">
    <w:name w:val="EndNote Bibliography"/>
    <w:basedOn w:val="Normal"/>
    <w:link w:val="EndNoteBibliographyChar"/>
    <w:rsid w:val="006B3F46"/>
    <w:rPr>
      <w:rFonts w:eastAsia="Malgun Gothic"/>
      <w:noProof/>
      <w:lang w:eastAsia="en-CA"/>
    </w:rPr>
  </w:style>
  <w:style w:type="character" w:customStyle="1" w:styleId="EndNoteBibliographyChar">
    <w:name w:val="EndNote Bibliography Char"/>
    <w:link w:val="EndNoteBibliography"/>
    <w:rsid w:val="006B3F46"/>
    <w:rPr>
      <w:noProof/>
      <w:sz w:val="24"/>
      <w:szCs w:val="24"/>
      <w:lang w:val="en-CA" w:eastAsia="en-CA"/>
    </w:rPr>
  </w:style>
  <w:style w:type="character" w:customStyle="1" w:styleId="apple-converted-space">
    <w:name w:val="apple-converted-space"/>
    <w:rsid w:val="006B3F46"/>
  </w:style>
  <w:style w:type="paragraph" w:styleId="PlainText">
    <w:name w:val="Plain Text"/>
    <w:basedOn w:val="Normal"/>
    <w:link w:val="PlainTextChar"/>
    <w:uiPriority w:val="99"/>
    <w:unhideWhenUsed/>
    <w:rsid w:val="006B3F46"/>
    <w:rPr>
      <w:rFonts w:ascii="Calibri" w:eastAsia="Calibri" w:hAnsi="Calibri" w:cs="Consolas"/>
      <w:sz w:val="22"/>
      <w:szCs w:val="21"/>
      <w:lang w:val="en-US"/>
    </w:rPr>
  </w:style>
  <w:style w:type="character" w:customStyle="1" w:styleId="PlainTextChar">
    <w:name w:val="Plain Text Char"/>
    <w:basedOn w:val="DefaultParagraphFont"/>
    <w:link w:val="PlainText"/>
    <w:uiPriority w:val="99"/>
    <w:rsid w:val="006B3F46"/>
    <w:rPr>
      <w:rFonts w:ascii="Calibri" w:eastAsia="Calibri" w:hAnsi="Calibri" w:cs="Consolas"/>
      <w:sz w:val="2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98115">
      <w:bodyDiv w:val="1"/>
      <w:marLeft w:val="0"/>
      <w:marRight w:val="0"/>
      <w:marTop w:val="0"/>
      <w:marBottom w:val="0"/>
      <w:divBdr>
        <w:top w:val="none" w:sz="0" w:space="0" w:color="auto"/>
        <w:left w:val="none" w:sz="0" w:space="0" w:color="auto"/>
        <w:bottom w:val="none" w:sz="0" w:space="0" w:color="auto"/>
        <w:right w:val="none" w:sz="0" w:space="0" w:color="auto"/>
      </w:divBdr>
    </w:div>
    <w:div w:id="69275099">
      <w:bodyDiv w:val="1"/>
      <w:marLeft w:val="0"/>
      <w:marRight w:val="0"/>
      <w:marTop w:val="0"/>
      <w:marBottom w:val="0"/>
      <w:divBdr>
        <w:top w:val="none" w:sz="0" w:space="0" w:color="auto"/>
        <w:left w:val="none" w:sz="0" w:space="0" w:color="auto"/>
        <w:bottom w:val="none" w:sz="0" w:space="0" w:color="auto"/>
        <w:right w:val="none" w:sz="0" w:space="0" w:color="auto"/>
      </w:divBdr>
    </w:div>
    <w:div w:id="90199447">
      <w:bodyDiv w:val="1"/>
      <w:marLeft w:val="0"/>
      <w:marRight w:val="0"/>
      <w:marTop w:val="0"/>
      <w:marBottom w:val="0"/>
      <w:divBdr>
        <w:top w:val="none" w:sz="0" w:space="0" w:color="auto"/>
        <w:left w:val="none" w:sz="0" w:space="0" w:color="auto"/>
        <w:bottom w:val="none" w:sz="0" w:space="0" w:color="auto"/>
        <w:right w:val="none" w:sz="0" w:space="0" w:color="auto"/>
      </w:divBdr>
    </w:div>
    <w:div w:id="110441092">
      <w:bodyDiv w:val="1"/>
      <w:marLeft w:val="0"/>
      <w:marRight w:val="0"/>
      <w:marTop w:val="0"/>
      <w:marBottom w:val="0"/>
      <w:divBdr>
        <w:top w:val="none" w:sz="0" w:space="0" w:color="auto"/>
        <w:left w:val="none" w:sz="0" w:space="0" w:color="auto"/>
        <w:bottom w:val="none" w:sz="0" w:space="0" w:color="auto"/>
        <w:right w:val="none" w:sz="0" w:space="0" w:color="auto"/>
      </w:divBdr>
    </w:div>
    <w:div w:id="167838368">
      <w:bodyDiv w:val="1"/>
      <w:marLeft w:val="0"/>
      <w:marRight w:val="0"/>
      <w:marTop w:val="0"/>
      <w:marBottom w:val="0"/>
      <w:divBdr>
        <w:top w:val="none" w:sz="0" w:space="0" w:color="auto"/>
        <w:left w:val="none" w:sz="0" w:space="0" w:color="auto"/>
        <w:bottom w:val="none" w:sz="0" w:space="0" w:color="auto"/>
        <w:right w:val="none" w:sz="0" w:space="0" w:color="auto"/>
      </w:divBdr>
    </w:div>
    <w:div w:id="174657904">
      <w:bodyDiv w:val="1"/>
      <w:marLeft w:val="0"/>
      <w:marRight w:val="0"/>
      <w:marTop w:val="0"/>
      <w:marBottom w:val="0"/>
      <w:divBdr>
        <w:top w:val="none" w:sz="0" w:space="0" w:color="auto"/>
        <w:left w:val="none" w:sz="0" w:space="0" w:color="auto"/>
        <w:bottom w:val="none" w:sz="0" w:space="0" w:color="auto"/>
        <w:right w:val="none" w:sz="0" w:space="0" w:color="auto"/>
      </w:divBdr>
    </w:div>
    <w:div w:id="217207006">
      <w:bodyDiv w:val="1"/>
      <w:marLeft w:val="0"/>
      <w:marRight w:val="0"/>
      <w:marTop w:val="0"/>
      <w:marBottom w:val="0"/>
      <w:divBdr>
        <w:top w:val="none" w:sz="0" w:space="0" w:color="auto"/>
        <w:left w:val="none" w:sz="0" w:space="0" w:color="auto"/>
        <w:bottom w:val="none" w:sz="0" w:space="0" w:color="auto"/>
        <w:right w:val="none" w:sz="0" w:space="0" w:color="auto"/>
      </w:divBdr>
    </w:div>
    <w:div w:id="299654141">
      <w:bodyDiv w:val="1"/>
      <w:marLeft w:val="0"/>
      <w:marRight w:val="0"/>
      <w:marTop w:val="0"/>
      <w:marBottom w:val="0"/>
      <w:divBdr>
        <w:top w:val="none" w:sz="0" w:space="0" w:color="auto"/>
        <w:left w:val="none" w:sz="0" w:space="0" w:color="auto"/>
        <w:bottom w:val="none" w:sz="0" w:space="0" w:color="auto"/>
        <w:right w:val="none" w:sz="0" w:space="0" w:color="auto"/>
      </w:divBdr>
    </w:div>
    <w:div w:id="370228225">
      <w:bodyDiv w:val="1"/>
      <w:marLeft w:val="0"/>
      <w:marRight w:val="0"/>
      <w:marTop w:val="0"/>
      <w:marBottom w:val="0"/>
      <w:divBdr>
        <w:top w:val="none" w:sz="0" w:space="0" w:color="auto"/>
        <w:left w:val="none" w:sz="0" w:space="0" w:color="auto"/>
        <w:bottom w:val="none" w:sz="0" w:space="0" w:color="auto"/>
        <w:right w:val="none" w:sz="0" w:space="0" w:color="auto"/>
      </w:divBdr>
    </w:div>
    <w:div w:id="406612621">
      <w:bodyDiv w:val="1"/>
      <w:marLeft w:val="0"/>
      <w:marRight w:val="0"/>
      <w:marTop w:val="0"/>
      <w:marBottom w:val="0"/>
      <w:divBdr>
        <w:top w:val="none" w:sz="0" w:space="0" w:color="auto"/>
        <w:left w:val="none" w:sz="0" w:space="0" w:color="auto"/>
        <w:bottom w:val="none" w:sz="0" w:space="0" w:color="auto"/>
        <w:right w:val="none" w:sz="0" w:space="0" w:color="auto"/>
      </w:divBdr>
    </w:div>
    <w:div w:id="431900094">
      <w:bodyDiv w:val="1"/>
      <w:marLeft w:val="0"/>
      <w:marRight w:val="0"/>
      <w:marTop w:val="0"/>
      <w:marBottom w:val="0"/>
      <w:divBdr>
        <w:top w:val="none" w:sz="0" w:space="0" w:color="auto"/>
        <w:left w:val="none" w:sz="0" w:space="0" w:color="auto"/>
        <w:bottom w:val="none" w:sz="0" w:space="0" w:color="auto"/>
        <w:right w:val="none" w:sz="0" w:space="0" w:color="auto"/>
      </w:divBdr>
    </w:div>
    <w:div w:id="483469048">
      <w:bodyDiv w:val="1"/>
      <w:marLeft w:val="0"/>
      <w:marRight w:val="0"/>
      <w:marTop w:val="0"/>
      <w:marBottom w:val="0"/>
      <w:divBdr>
        <w:top w:val="none" w:sz="0" w:space="0" w:color="auto"/>
        <w:left w:val="none" w:sz="0" w:space="0" w:color="auto"/>
        <w:bottom w:val="none" w:sz="0" w:space="0" w:color="auto"/>
        <w:right w:val="none" w:sz="0" w:space="0" w:color="auto"/>
      </w:divBdr>
    </w:div>
    <w:div w:id="504328095">
      <w:bodyDiv w:val="1"/>
      <w:marLeft w:val="0"/>
      <w:marRight w:val="0"/>
      <w:marTop w:val="0"/>
      <w:marBottom w:val="0"/>
      <w:divBdr>
        <w:top w:val="none" w:sz="0" w:space="0" w:color="auto"/>
        <w:left w:val="none" w:sz="0" w:space="0" w:color="auto"/>
        <w:bottom w:val="none" w:sz="0" w:space="0" w:color="auto"/>
        <w:right w:val="none" w:sz="0" w:space="0" w:color="auto"/>
      </w:divBdr>
    </w:div>
    <w:div w:id="630285010">
      <w:bodyDiv w:val="1"/>
      <w:marLeft w:val="0"/>
      <w:marRight w:val="0"/>
      <w:marTop w:val="0"/>
      <w:marBottom w:val="0"/>
      <w:divBdr>
        <w:top w:val="none" w:sz="0" w:space="0" w:color="auto"/>
        <w:left w:val="none" w:sz="0" w:space="0" w:color="auto"/>
        <w:bottom w:val="none" w:sz="0" w:space="0" w:color="auto"/>
        <w:right w:val="none" w:sz="0" w:space="0" w:color="auto"/>
      </w:divBdr>
    </w:div>
    <w:div w:id="637493439">
      <w:bodyDiv w:val="1"/>
      <w:marLeft w:val="0"/>
      <w:marRight w:val="0"/>
      <w:marTop w:val="0"/>
      <w:marBottom w:val="0"/>
      <w:divBdr>
        <w:top w:val="none" w:sz="0" w:space="0" w:color="auto"/>
        <w:left w:val="none" w:sz="0" w:space="0" w:color="auto"/>
        <w:bottom w:val="none" w:sz="0" w:space="0" w:color="auto"/>
        <w:right w:val="none" w:sz="0" w:space="0" w:color="auto"/>
      </w:divBdr>
    </w:div>
    <w:div w:id="650526055">
      <w:bodyDiv w:val="1"/>
      <w:marLeft w:val="0"/>
      <w:marRight w:val="0"/>
      <w:marTop w:val="0"/>
      <w:marBottom w:val="0"/>
      <w:divBdr>
        <w:top w:val="none" w:sz="0" w:space="0" w:color="auto"/>
        <w:left w:val="none" w:sz="0" w:space="0" w:color="auto"/>
        <w:bottom w:val="none" w:sz="0" w:space="0" w:color="auto"/>
        <w:right w:val="none" w:sz="0" w:space="0" w:color="auto"/>
      </w:divBdr>
    </w:div>
    <w:div w:id="652878641">
      <w:bodyDiv w:val="1"/>
      <w:marLeft w:val="0"/>
      <w:marRight w:val="0"/>
      <w:marTop w:val="0"/>
      <w:marBottom w:val="0"/>
      <w:divBdr>
        <w:top w:val="none" w:sz="0" w:space="0" w:color="auto"/>
        <w:left w:val="none" w:sz="0" w:space="0" w:color="auto"/>
        <w:bottom w:val="none" w:sz="0" w:space="0" w:color="auto"/>
        <w:right w:val="none" w:sz="0" w:space="0" w:color="auto"/>
      </w:divBdr>
    </w:div>
    <w:div w:id="659772180">
      <w:bodyDiv w:val="1"/>
      <w:marLeft w:val="0"/>
      <w:marRight w:val="0"/>
      <w:marTop w:val="0"/>
      <w:marBottom w:val="0"/>
      <w:divBdr>
        <w:top w:val="none" w:sz="0" w:space="0" w:color="auto"/>
        <w:left w:val="none" w:sz="0" w:space="0" w:color="auto"/>
        <w:bottom w:val="none" w:sz="0" w:space="0" w:color="auto"/>
        <w:right w:val="none" w:sz="0" w:space="0" w:color="auto"/>
      </w:divBdr>
    </w:div>
    <w:div w:id="672609526">
      <w:bodyDiv w:val="1"/>
      <w:marLeft w:val="0"/>
      <w:marRight w:val="0"/>
      <w:marTop w:val="0"/>
      <w:marBottom w:val="0"/>
      <w:divBdr>
        <w:top w:val="none" w:sz="0" w:space="0" w:color="auto"/>
        <w:left w:val="none" w:sz="0" w:space="0" w:color="auto"/>
        <w:bottom w:val="none" w:sz="0" w:space="0" w:color="auto"/>
        <w:right w:val="none" w:sz="0" w:space="0" w:color="auto"/>
      </w:divBdr>
    </w:div>
    <w:div w:id="683477222">
      <w:bodyDiv w:val="1"/>
      <w:marLeft w:val="0"/>
      <w:marRight w:val="0"/>
      <w:marTop w:val="0"/>
      <w:marBottom w:val="0"/>
      <w:divBdr>
        <w:top w:val="none" w:sz="0" w:space="0" w:color="auto"/>
        <w:left w:val="none" w:sz="0" w:space="0" w:color="auto"/>
        <w:bottom w:val="none" w:sz="0" w:space="0" w:color="auto"/>
        <w:right w:val="none" w:sz="0" w:space="0" w:color="auto"/>
      </w:divBdr>
    </w:div>
    <w:div w:id="692655251">
      <w:bodyDiv w:val="1"/>
      <w:marLeft w:val="0"/>
      <w:marRight w:val="0"/>
      <w:marTop w:val="0"/>
      <w:marBottom w:val="0"/>
      <w:divBdr>
        <w:top w:val="none" w:sz="0" w:space="0" w:color="auto"/>
        <w:left w:val="none" w:sz="0" w:space="0" w:color="auto"/>
        <w:bottom w:val="none" w:sz="0" w:space="0" w:color="auto"/>
        <w:right w:val="none" w:sz="0" w:space="0" w:color="auto"/>
      </w:divBdr>
    </w:div>
    <w:div w:id="731854228">
      <w:bodyDiv w:val="1"/>
      <w:marLeft w:val="0"/>
      <w:marRight w:val="0"/>
      <w:marTop w:val="0"/>
      <w:marBottom w:val="0"/>
      <w:divBdr>
        <w:top w:val="none" w:sz="0" w:space="0" w:color="auto"/>
        <w:left w:val="none" w:sz="0" w:space="0" w:color="auto"/>
        <w:bottom w:val="none" w:sz="0" w:space="0" w:color="auto"/>
        <w:right w:val="none" w:sz="0" w:space="0" w:color="auto"/>
      </w:divBdr>
    </w:div>
    <w:div w:id="736823205">
      <w:bodyDiv w:val="1"/>
      <w:marLeft w:val="0"/>
      <w:marRight w:val="0"/>
      <w:marTop w:val="0"/>
      <w:marBottom w:val="0"/>
      <w:divBdr>
        <w:top w:val="none" w:sz="0" w:space="0" w:color="auto"/>
        <w:left w:val="none" w:sz="0" w:space="0" w:color="auto"/>
        <w:bottom w:val="none" w:sz="0" w:space="0" w:color="auto"/>
        <w:right w:val="none" w:sz="0" w:space="0" w:color="auto"/>
      </w:divBdr>
    </w:div>
    <w:div w:id="837887807">
      <w:bodyDiv w:val="1"/>
      <w:marLeft w:val="0"/>
      <w:marRight w:val="0"/>
      <w:marTop w:val="0"/>
      <w:marBottom w:val="0"/>
      <w:divBdr>
        <w:top w:val="none" w:sz="0" w:space="0" w:color="auto"/>
        <w:left w:val="none" w:sz="0" w:space="0" w:color="auto"/>
        <w:bottom w:val="none" w:sz="0" w:space="0" w:color="auto"/>
        <w:right w:val="none" w:sz="0" w:space="0" w:color="auto"/>
      </w:divBdr>
    </w:div>
    <w:div w:id="873926958">
      <w:bodyDiv w:val="1"/>
      <w:marLeft w:val="0"/>
      <w:marRight w:val="0"/>
      <w:marTop w:val="0"/>
      <w:marBottom w:val="0"/>
      <w:divBdr>
        <w:top w:val="none" w:sz="0" w:space="0" w:color="auto"/>
        <w:left w:val="none" w:sz="0" w:space="0" w:color="auto"/>
        <w:bottom w:val="none" w:sz="0" w:space="0" w:color="auto"/>
        <w:right w:val="none" w:sz="0" w:space="0" w:color="auto"/>
      </w:divBdr>
    </w:div>
    <w:div w:id="878711146">
      <w:bodyDiv w:val="1"/>
      <w:marLeft w:val="0"/>
      <w:marRight w:val="0"/>
      <w:marTop w:val="0"/>
      <w:marBottom w:val="0"/>
      <w:divBdr>
        <w:top w:val="none" w:sz="0" w:space="0" w:color="auto"/>
        <w:left w:val="none" w:sz="0" w:space="0" w:color="auto"/>
        <w:bottom w:val="none" w:sz="0" w:space="0" w:color="auto"/>
        <w:right w:val="none" w:sz="0" w:space="0" w:color="auto"/>
      </w:divBdr>
      <w:divsChild>
        <w:div w:id="202327">
          <w:marLeft w:val="0"/>
          <w:marRight w:val="0"/>
          <w:marTop w:val="0"/>
          <w:marBottom w:val="180"/>
          <w:divBdr>
            <w:top w:val="none" w:sz="0" w:space="0" w:color="auto"/>
            <w:left w:val="none" w:sz="0" w:space="0" w:color="auto"/>
            <w:bottom w:val="none" w:sz="0" w:space="0" w:color="auto"/>
            <w:right w:val="none" w:sz="0" w:space="0" w:color="auto"/>
          </w:divBdr>
        </w:div>
        <w:div w:id="108668207">
          <w:marLeft w:val="0"/>
          <w:marRight w:val="0"/>
          <w:marTop w:val="0"/>
          <w:marBottom w:val="180"/>
          <w:divBdr>
            <w:top w:val="none" w:sz="0" w:space="0" w:color="auto"/>
            <w:left w:val="none" w:sz="0" w:space="0" w:color="auto"/>
            <w:bottom w:val="none" w:sz="0" w:space="0" w:color="auto"/>
            <w:right w:val="none" w:sz="0" w:space="0" w:color="auto"/>
          </w:divBdr>
        </w:div>
        <w:div w:id="536430489">
          <w:marLeft w:val="0"/>
          <w:marRight w:val="0"/>
          <w:marTop w:val="0"/>
          <w:marBottom w:val="180"/>
          <w:divBdr>
            <w:top w:val="none" w:sz="0" w:space="0" w:color="auto"/>
            <w:left w:val="none" w:sz="0" w:space="0" w:color="auto"/>
            <w:bottom w:val="none" w:sz="0" w:space="0" w:color="auto"/>
            <w:right w:val="none" w:sz="0" w:space="0" w:color="auto"/>
          </w:divBdr>
        </w:div>
        <w:div w:id="1188909025">
          <w:marLeft w:val="0"/>
          <w:marRight w:val="0"/>
          <w:marTop w:val="0"/>
          <w:marBottom w:val="180"/>
          <w:divBdr>
            <w:top w:val="none" w:sz="0" w:space="0" w:color="auto"/>
            <w:left w:val="none" w:sz="0" w:space="0" w:color="auto"/>
            <w:bottom w:val="none" w:sz="0" w:space="0" w:color="auto"/>
            <w:right w:val="none" w:sz="0" w:space="0" w:color="auto"/>
          </w:divBdr>
        </w:div>
        <w:div w:id="20012254">
          <w:marLeft w:val="0"/>
          <w:marRight w:val="0"/>
          <w:marTop w:val="0"/>
          <w:marBottom w:val="180"/>
          <w:divBdr>
            <w:top w:val="none" w:sz="0" w:space="0" w:color="auto"/>
            <w:left w:val="none" w:sz="0" w:space="0" w:color="auto"/>
            <w:bottom w:val="none" w:sz="0" w:space="0" w:color="auto"/>
            <w:right w:val="none" w:sz="0" w:space="0" w:color="auto"/>
          </w:divBdr>
        </w:div>
        <w:div w:id="1446121657">
          <w:marLeft w:val="1428"/>
          <w:marRight w:val="0"/>
          <w:marTop w:val="0"/>
          <w:marBottom w:val="0"/>
          <w:divBdr>
            <w:top w:val="none" w:sz="0" w:space="0" w:color="auto"/>
            <w:left w:val="none" w:sz="0" w:space="0" w:color="auto"/>
            <w:bottom w:val="none" w:sz="0" w:space="0" w:color="auto"/>
            <w:right w:val="none" w:sz="0" w:space="0" w:color="auto"/>
          </w:divBdr>
        </w:div>
        <w:div w:id="493033838">
          <w:marLeft w:val="1428"/>
          <w:marRight w:val="0"/>
          <w:marTop w:val="0"/>
          <w:marBottom w:val="0"/>
          <w:divBdr>
            <w:top w:val="none" w:sz="0" w:space="0" w:color="auto"/>
            <w:left w:val="none" w:sz="0" w:space="0" w:color="auto"/>
            <w:bottom w:val="none" w:sz="0" w:space="0" w:color="auto"/>
            <w:right w:val="none" w:sz="0" w:space="0" w:color="auto"/>
          </w:divBdr>
        </w:div>
        <w:div w:id="642008709">
          <w:marLeft w:val="1428"/>
          <w:marRight w:val="0"/>
          <w:marTop w:val="0"/>
          <w:marBottom w:val="0"/>
          <w:divBdr>
            <w:top w:val="none" w:sz="0" w:space="0" w:color="auto"/>
            <w:left w:val="none" w:sz="0" w:space="0" w:color="auto"/>
            <w:bottom w:val="none" w:sz="0" w:space="0" w:color="auto"/>
            <w:right w:val="none" w:sz="0" w:space="0" w:color="auto"/>
          </w:divBdr>
        </w:div>
        <w:div w:id="1946573128">
          <w:marLeft w:val="1428"/>
          <w:marRight w:val="0"/>
          <w:marTop w:val="0"/>
          <w:marBottom w:val="0"/>
          <w:divBdr>
            <w:top w:val="none" w:sz="0" w:space="0" w:color="auto"/>
            <w:left w:val="none" w:sz="0" w:space="0" w:color="auto"/>
            <w:bottom w:val="none" w:sz="0" w:space="0" w:color="auto"/>
            <w:right w:val="none" w:sz="0" w:space="0" w:color="auto"/>
          </w:divBdr>
        </w:div>
      </w:divsChild>
    </w:div>
    <w:div w:id="946082714">
      <w:bodyDiv w:val="1"/>
      <w:marLeft w:val="0"/>
      <w:marRight w:val="0"/>
      <w:marTop w:val="0"/>
      <w:marBottom w:val="0"/>
      <w:divBdr>
        <w:top w:val="none" w:sz="0" w:space="0" w:color="auto"/>
        <w:left w:val="none" w:sz="0" w:space="0" w:color="auto"/>
        <w:bottom w:val="none" w:sz="0" w:space="0" w:color="auto"/>
        <w:right w:val="none" w:sz="0" w:space="0" w:color="auto"/>
      </w:divBdr>
    </w:div>
    <w:div w:id="962812162">
      <w:bodyDiv w:val="1"/>
      <w:marLeft w:val="0"/>
      <w:marRight w:val="0"/>
      <w:marTop w:val="0"/>
      <w:marBottom w:val="0"/>
      <w:divBdr>
        <w:top w:val="none" w:sz="0" w:space="0" w:color="auto"/>
        <w:left w:val="none" w:sz="0" w:space="0" w:color="auto"/>
        <w:bottom w:val="none" w:sz="0" w:space="0" w:color="auto"/>
        <w:right w:val="none" w:sz="0" w:space="0" w:color="auto"/>
      </w:divBdr>
    </w:div>
    <w:div w:id="970280498">
      <w:bodyDiv w:val="1"/>
      <w:marLeft w:val="0"/>
      <w:marRight w:val="0"/>
      <w:marTop w:val="0"/>
      <w:marBottom w:val="0"/>
      <w:divBdr>
        <w:top w:val="none" w:sz="0" w:space="0" w:color="auto"/>
        <w:left w:val="none" w:sz="0" w:space="0" w:color="auto"/>
        <w:bottom w:val="none" w:sz="0" w:space="0" w:color="auto"/>
        <w:right w:val="none" w:sz="0" w:space="0" w:color="auto"/>
      </w:divBdr>
    </w:div>
    <w:div w:id="970399041">
      <w:bodyDiv w:val="1"/>
      <w:marLeft w:val="0"/>
      <w:marRight w:val="0"/>
      <w:marTop w:val="0"/>
      <w:marBottom w:val="0"/>
      <w:divBdr>
        <w:top w:val="none" w:sz="0" w:space="0" w:color="auto"/>
        <w:left w:val="none" w:sz="0" w:space="0" w:color="auto"/>
        <w:bottom w:val="none" w:sz="0" w:space="0" w:color="auto"/>
        <w:right w:val="none" w:sz="0" w:space="0" w:color="auto"/>
      </w:divBdr>
    </w:div>
    <w:div w:id="983193693">
      <w:bodyDiv w:val="1"/>
      <w:marLeft w:val="0"/>
      <w:marRight w:val="0"/>
      <w:marTop w:val="0"/>
      <w:marBottom w:val="0"/>
      <w:divBdr>
        <w:top w:val="none" w:sz="0" w:space="0" w:color="auto"/>
        <w:left w:val="none" w:sz="0" w:space="0" w:color="auto"/>
        <w:bottom w:val="none" w:sz="0" w:space="0" w:color="auto"/>
        <w:right w:val="none" w:sz="0" w:space="0" w:color="auto"/>
      </w:divBdr>
    </w:div>
    <w:div w:id="1036465375">
      <w:bodyDiv w:val="1"/>
      <w:marLeft w:val="0"/>
      <w:marRight w:val="0"/>
      <w:marTop w:val="0"/>
      <w:marBottom w:val="0"/>
      <w:divBdr>
        <w:top w:val="none" w:sz="0" w:space="0" w:color="auto"/>
        <w:left w:val="none" w:sz="0" w:space="0" w:color="auto"/>
        <w:bottom w:val="none" w:sz="0" w:space="0" w:color="auto"/>
        <w:right w:val="none" w:sz="0" w:space="0" w:color="auto"/>
      </w:divBdr>
    </w:div>
    <w:div w:id="1044717163">
      <w:bodyDiv w:val="1"/>
      <w:marLeft w:val="0"/>
      <w:marRight w:val="0"/>
      <w:marTop w:val="0"/>
      <w:marBottom w:val="0"/>
      <w:divBdr>
        <w:top w:val="none" w:sz="0" w:space="0" w:color="auto"/>
        <w:left w:val="none" w:sz="0" w:space="0" w:color="auto"/>
        <w:bottom w:val="none" w:sz="0" w:space="0" w:color="auto"/>
        <w:right w:val="none" w:sz="0" w:space="0" w:color="auto"/>
      </w:divBdr>
    </w:div>
    <w:div w:id="1073429763">
      <w:bodyDiv w:val="1"/>
      <w:marLeft w:val="0"/>
      <w:marRight w:val="0"/>
      <w:marTop w:val="0"/>
      <w:marBottom w:val="0"/>
      <w:divBdr>
        <w:top w:val="none" w:sz="0" w:space="0" w:color="auto"/>
        <w:left w:val="none" w:sz="0" w:space="0" w:color="auto"/>
        <w:bottom w:val="none" w:sz="0" w:space="0" w:color="auto"/>
        <w:right w:val="none" w:sz="0" w:space="0" w:color="auto"/>
      </w:divBdr>
    </w:div>
    <w:div w:id="1076899320">
      <w:bodyDiv w:val="1"/>
      <w:marLeft w:val="0"/>
      <w:marRight w:val="0"/>
      <w:marTop w:val="0"/>
      <w:marBottom w:val="0"/>
      <w:divBdr>
        <w:top w:val="none" w:sz="0" w:space="0" w:color="auto"/>
        <w:left w:val="none" w:sz="0" w:space="0" w:color="auto"/>
        <w:bottom w:val="none" w:sz="0" w:space="0" w:color="auto"/>
        <w:right w:val="none" w:sz="0" w:space="0" w:color="auto"/>
      </w:divBdr>
    </w:div>
    <w:div w:id="1101341491">
      <w:bodyDiv w:val="1"/>
      <w:marLeft w:val="0"/>
      <w:marRight w:val="0"/>
      <w:marTop w:val="0"/>
      <w:marBottom w:val="0"/>
      <w:divBdr>
        <w:top w:val="none" w:sz="0" w:space="0" w:color="auto"/>
        <w:left w:val="none" w:sz="0" w:space="0" w:color="auto"/>
        <w:bottom w:val="none" w:sz="0" w:space="0" w:color="auto"/>
        <w:right w:val="none" w:sz="0" w:space="0" w:color="auto"/>
      </w:divBdr>
    </w:div>
    <w:div w:id="1148396272">
      <w:bodyDiv w:val="1"/>
      <w:marLeft w:val="0"/>
      <w:marRight w:val="0"/>
      <w:marTop w:val="0"/>
      <w:marBottom w:val="0"/>
      <w:divBdr>
        <w:top w:val="none" w:sz="0" w:space="0" w:color="auto"/>
        <w:left w:val="none" w:sz="0" w:space="0" w:color="auto"/>
        <w:bottom w:val="none" w:sz="0" w:space="0" w:color="auto"/>
        <w:right w:val="none" w:sz="0" w:space="0" w:color="auto"/>
      </w:divBdr>
    </w:div>
    <w:div w:id="1178419830">
      <w:bodyDiv w:val="1"/>
      <w:marLeft w:val="0"/>
      <w:marRight w:val="0"/>
      <w:marTop w:val="0"/>
      <w:marBottom w:val="0"/>
      <w:divBdr>
        <w:top w:val="none" w:sz="0" w:space="0" w:color="auto"/>
        <w:left w:val="none" w:sz="0" w:space="0" w:color="auto"/>
        <w:bottom w:val="none" w:sz="0" w:space="0" w:color="auto"/>
        <w:right w:val="none" w:sz="0" w:space="0" w:color="auto"/>
      </w:divBdr>
    </w:div>
    <w:div w:id="1209801497">
      <w:bodyDiv w:val="1"/>
      <w:marLeft w:val="0"/>
      <w:marRight w:val="0"/>
      <w:marTop w:val="0"/>
      <w:marBottom w:val="0"/>
      <w:divBdr>
        <w:top w:val="none" w:sz="0" w:space="0" w:color="auto"/>
        <w:left w:val="none" w:sz="0" w:space="0" w:color="auto"/>
        <w:bottom w:val="none" w:sz="0" w:space="0" w:color="auto"/>
        <w:right w:val="none" w:sz="0" w:space="0" w:color="auto"/>
      </w:divBdr>
    </w:div>
    <w:div w:id="1253392509">
      <w:bodyDiv w:val="1"/>
      <w:marLeft w:val="0"/>
      <w:marRight w:val="0"/>
      <w:marTop w:val="0"/>
      <w:marBottom w:val="0"/>
      <w:divBdr>
        <w:top w:val="none" w:sz="0" w:space="0" w:color="auto"/>
        <w:left w:val="none" w:sz="0" w:space="0" w:color="auto"/>
        <w:bottom w:val="none" w:sz="0" w:space="0" w:color="auto"/>
        <w:right w:val="none" w:sz="0" w:space="0" w:color="auto"/>
      </w:divBdr>
    </w:div>
    <w:div w:id="1351301911">
      <w:bodyDiv w:val="1"/>
      <w:marLeft w:val="0"/>
      <w:marRight w:val="0"/>
      <w:marTop w:val="0"/>
      <w:marBottom w:val="0"/>
      <w:divBdr>
        <w:top w:val="none" w:sz="0" w:space="0" w:color="auto"/>
        <w:left w:val="none" w:sz="0" w:space="0" w:color="auto"/>
        <w:bottom w:val="none" w:sz="0" w:space="0" w:color="auto"/>
        <w:right w:val="none" w:sz="0" w:space="0" w:color="auto"/>
      </w:divBdr>
    </w:div>
    <w:div w:id="1366716574">
      <w:bodyDiv w:val="1"/>
      <w:marLeft w:val="0"/>
      <w:marRight w:val="0"/>
      <w:marTop w:val="0"/>
      <w:marBottom w:val="0"/>
      <w:divBdr>
        <w:top w:val="none" w:sz="0" w:space="0" w:color="auto"/>
        <w:left w:val="none" w:sz="0" w:space="0" w:color="auto"/>
        <w:bottom w:val="none" w:sz="0" w:space="0" w:color="auto"/>
        <w:right w:val="none" w:sz="0" w:space="0" w:color="auto"/>
      </w:divBdr>
    </w:div>
    <w:div w:id="1368917165">
      <w:bodyDiv w:val="1"/>
      <w:marLeft w:val="0"/>
      <w:marRight w:val="0"/>
      <w:marTop w:val="0"/>
      <w:marBottom w:val="0"/>
      <w:divBdr>
        <w:top w:val="none" w:sz="0" w:space="0" w:color="auto"/>
        <w:left w:val="none" w:sz="0" w:space="0" w:color="auto"/>
        <w:bottom w:val="none" w:sz="0" w:space="0" w:color="auto"/>
        <w:right w:val="none" w:sz="0" w:space="0" w:color="auto"/>
      </w:divBdr>
    </w:div>
    <w:div w:id="1395929852">
      <w:bodyDiv w:val="1"/>
      <w:marLeft w:val="0"/>
      <w:marRight w:val="0"/>
      <w:marTop w:val="0"/>
      <w:marBottom w:val="0"/>
      <w:divBdr>
        <w:top w:val="none" w:sz="0" w:space="0" w:color="auto"/>
        <w:left w:val="none" w:sz="0" w:space="0" w:color="auto"/>
        <w:bottom w:val="none" w:sz="0" w:space="0" w:color="auto"/>
        <w:right w:val="none" w:sz="0" w:space="0" w:color="auto"/>
      </w:divBdr>
    </w:div>
    <w:div w:id="1397246331">
      <w:bodyDiv w:val="1"/>
      <w:marLeft w:val="0"/>
      <w:marRight w:val="0"/>
      <w:marTop w:val="0"/>
      <w:marBottom w:val="0"/>
      <w:divBdr>
        <w:top w:val="none" w:sz="0" w:space="0" w:color="auto"/>
        <w:left w:val="none" w:sz="0" w:space="0" w:color="auto"/>
        <w:bottom w:val="none" w:sz="0" w:space="0" w:color="auto"/>
        <w:right w:val="none" w:sz="0" w:space="0" w:color="auto"/>
      </w:divBdr>
    </w:div>
    <w:div w:id="1420519957">
      <w:bodyDiv w:val="1"/>
      <w:marLeft w:val="0"/>
      <w:marRight w:val="0"/>
      <w:marTop w:val="0"/>
      <w:marBottom w:val="0"/>
      <w:divBdr>
        <w:top w:val="none" w:sz="0" w:space="0" w:color="auto"/>
        <w:left w:val="none" w:sz="0" w:space="0" w:color="auto"/>
        <w:bottom w:val="none" w:sz="0" w:space="0" w:color="auto"/>
        <w:right w:val="none" w:sz="0" w:space="0" w:color="auto"/>
      </w:divBdr>
    </w:div>
    <w:div w:id="1443038061">
      <w:bodyDiv w:val="1"/>
      <w:marLeft w:val="0"/>
      <w:marRight w:val="0"/>
      <w:marTop w:val="0"/>
      <w:marBottom w:val="0"/>
      <w:divBdr>
        <w:top w:val="none" w:sz="0" w:space="0" w:color="auto"/>
        <w:left w:val="none" w:sz="0" w:space="0" w:color="auto"/>
        <w:bottom w:val="none" w:sz="0" w:space="0" w:color="auto"/>
        <w:right w:val="none" w:sz="0" w:space="0" w:color="auto"/>
      </w:divBdr>
    </w:div>
    <w:div w:id="1463966287">
      <w:bodyDiv w:val="1"/>
      <w:marLeft w:val="0"/>
      <w:marRight w:val="0"/>
      <w:marTop w:val="0"/>
      <w:marBottom w:val="0"/>
      <w:divBdr>
        <w:top w:val="none" w:sz="0" w:space="0" w:color="auto"/>
        <w:left w:val="none" w:sz="0" w:space="0" w:color="auto"/>
        <w:bottom w:val="none" w:sz="0" w:space="0" w:color="auto"/>
        <w:right w:val="none" w:sz="0" w:space="0" w:color="auto"/>
      </w:divBdr>
    </w:div>
    <w:div w:id="1514344203">
      <w:bodyDiv w:val="1"/>
      <w:marLeft w:val="0"/>
      <w:marRight w:val="0"/>
      <w:marTop w:val="0"/>
      <w:marBottom w:val="0"/>
      <w:divBdr>
        <w:top w:val="none" w:sz="0" w:space="0" w:color="auto"/>
        <w:left w:val="none" w:sz="0" w:space="0" w:color="auto"/>
        <w:bottom w:val="none" w:sz="0" w:space="0" w:color="auto"/>
        <w:right w:val="none" w:sz="0" w:space="0" w:color="auto"/>
      </w:divBdr>
    </w:div>
    <w:div w:id="1519809868">
      <w:bodyDiv w:val="1"/>
      <w:marLeft w:val="0"/>
      <w:marRight w:val="0"/>
      <w:marTop w:val="0"/>
      <w:marBottom w:val="0"/>
      <w:divBdr>
        <w:top w:val="none" w:sz="0" w:space="0" w:color="auto"/>
        <w:left w:val="none" w:sz="0" w:space="0" w:color="auto"/>
        <w:bottom w:val="none" w:sz="0" w:space="0" w:color="auto"/>
        <w:right w:val="none" w:sz="0" w:space="0" w:color="auto"/>
      </w:divBdr>
    </w:div>
    <w:div w:id="1550191631">
      <w:bodyDiv w:val="1"/>
      <w:marLeft w:val="0"/>
      <w:marRight w:val="0"/>
      <w:marTop w:val="0"/>
      <w:marBottom w:val="0"/>
      <w:divBdr>
        <w:top w:val="none" w:sz="0" w:space="0" w:color="auto"/>
        <w:left w:val="none" w:sz="0" w:space="0" w:color="auto"/>
        <w:bottom w:val="none" w:sz="0" w:space="0" w:color="auto"/>
        <w:right w:val="none" w:sz="0" w:space="0" w:color="auto"/>
      </w:divBdr>
    </w:div>
    <w:div w:id="1564410304">
      <w:bodyDiv w:val="1"/>
      <w:marLeft w:val="0"/>
      <w:marRight w:val="0"/>
      <w:marTop w:val="0"/>
      <w:marBottom w:val="0"/>
      <w:divBdr>
        <w:top w:val="none" w:sz="0" w:space="0" w:color="auto"/>
        <w:left w:val="none" w:sz="0" w:space="0" w:color="auto"/>
        <w:bottom w:val="none" w:sz="0" w:space="0" w:color="auto"/>
        <w:right w:val="none" w:sz="0" w:space="0" w:color="auto"/>
      </w:divBdr>
    </w:div>
    <w:div w:id="1566601645">
      <w:bodyDiv w:val="1"/>
      <w:marLeft w:val="0"/>
      <w:marRight w:val="0"/>
      <w:marTop w:val="0"/>
      <w:marBottom w:val="0"/>
      <w:divBdr>
        <w:top w:val="none" w:sz="0" w:space="0" w:color="auto"/>
        <w:left w:val="none" w:sz="0" w:space="0" w:color="auto"/>
        <w:bottom w:val="none" w:sz="0" w:space="0" w:color="auto"/>
        <w:right w:val="none" w:sz="0" w:space="0" w:color="auto"/>
      </w:divBdr>
    </w:div>
    <w:div w:id="1601449944">
      <w:bodyDiv w:val="1"/>
      <w:marLeft w:val="0"/>
      <w:marRight w:val="0"/>
      <w:marTop w:val="0"/>
      <w:marBottom w:val="0"/>
      <w:divBdr>
        <w:top w:val="none" w:sz="0" w:space="0" w:color="auto"/>
        <w:left w:val="none" w:sz="0" w:space="0" w:color="auto"/>
        <w:bottom w:val="none" w:sz="0" w:space="0" w:color="auto"/>
        <w:right w:val="none" w:sz="0" w:space="0" w:color="auto"/>
      </w:divBdr>
    </w:div>
    <w:div w:id="1641033966">
      <w:bodyDiv w:val="1"/>
      <w:marLeft w:val="0"/>
      <w:marRight w:val="0"/>
      <w:marTop w:val="0"/>
      <w:marBottom w:val="0"/>
      <w:divBdr>
        <w:top w:val="none" w:sz="0" w:space="0" w:color="auto"/>
        <w:left w:val="none" w:sz="0" w:space="0" w:color="auto"/>
        <w:bottom w:val="none" w:sz="0" w:space="0" w:color="auto"/>
        <w:right w:val="none" w:sz="0" w:space="0" w:color="auto"/>
      </w:divBdr>
    </w:div>
    <w:div w:id="1693847496">
      <w:bodyDiv w:val="1"/>
      <w:marLeft w:val="0"/>
      <w:marRight w:val="0"/>
      <w:marTop w:val="0"/>
      <w:marBottom w:val="0"/>
      <w:divBdr>
        <w:top w:val="none" w:sz="0" w:space="0" w:color="auto"/>
        <w:left w:val="none" w:sz="0" w:space="0" w:color="auto"/>
        <w:bottom w:val="none" w:sz="0" w:space="0" w:color="auto"/>
        <w:right w:val="none" w:sz="0" w:space="0" w:color="auto"/>
      </w:divBdr>
    </w:div>
    <w:div w:id="1721175358">
      <w:bodyDiv w:val="1"/>
      <w:marLeft w:val="0"/>
      <w:marRight w:val="0"/>
      <w:marTop w:val="0"/>
      <w:marBottom w:val="0"/>
      <w:divBdr>
        <w:top w:val="none" w:sz="0" w:space="0" w:color="auto"/>
        <w:left w:val="none" w:sz="0" w:space="0" w:color="auto"/>
        <w:bottom w:val="none" w:sz="0" w:space="0" w:color="auto"/>
        <w:right w:val="none" w:sz="0" w:space="0" w:color="auto"/>
      </w:divBdr>
    </w:div>
    <w:div w:id="1725761008">
      <w:bodyDiv w:val="1"/>
      <w:marLeft w:val="0"/>
      <w:marRight w:val="0"/>
      <w:marTop w:val="0"/>
      <w:marBottom w:val="0"/>
      <w:divBdr>
        <w:top w:val="none" w:sz="0" w:space="0" w:color="auto"/>
        <w:left w:val="none" w:sz="0" w:space="0" w:color="auto"/>
        <w:bottom w:val="none" w:sz="0" w:space="0" w:color="auto"/>
        <w:right w:val="none" w:sz="0" w:space="0" w:color="auto"/>
      </w:divBdr>
    </w:div>
    <w:div w:id="1768501950">
      <w:bodyDiv w:val="1"/>
      <w:marLeft w:val="0"/>
      <w:marRight w:val="0"/>
      <w:marTop w:val="0"/>
      <w:marBottom w:val="0"/>
      <w:divBdr>
        <w:top w:val="none" w:sz="0" w:space="0" w:color="auto"/>
        <w:left w:val="none" w:sz="0" w:space="0" w:color="auto"/>
        <w:bottom w:val="none" w:sz="0" w:space="0" w:color="auto"/>
        <w:right w:val="none" w:sz="0" w:space="0" w:color="auto"/>
      </w:divBdr>
    </w:div>
    <w:div w:id="1777409832">
      <w:bodyDiv w:val="1"/>
      <w:marLeft w:val="0"/>
      <w:marRight w:val="0"/>
      <w:marTop w:val="0"/>
      <w:marBottom w:val="0"/>
      <w:divBdr>
        <w:top w:val="none" w:sz="0" w:space="0" w:color="auto"/>
        <w:left w:val="none" w:sz="0" w:space="0" w:color="auto"/>
        <w:bottom w:val="none" w:sz="0" w:space="0" w:color="auto"/>
        <w:right w:val="none" w:sz="0" w:space="0" w:color="auto"/>
      </w:divBdr>
    </w:div>
    <w:div w:id="1817722550">
      <w:bodyDiv w:val="1"/>
      <w:marLeft w:val="0"/>
      <w:marRight w:val="0"/>
      <w:marTop w:val="0"/>
      <w:marBottom w:val="0"/>
      <w:divBdr>
        <w:top w:val="none" w:sz="0" w:space="0" w:color="auto"/>
        <w:left w:val="none" w:sz="0" w:space="0" w:color="auto"/>
        <w:bottom w:val="none" w:sz="0" w:space="0" w:color="auto"/>
        <w:right w:val="none" w:sz="0" w:space="0" w:color="auto"/>
      </w:divBdr>
    </w:div>
    <w:div w:id="1840852144">
      <w:bodyDiv w:val="1"/>
      <w:marLeft w:val="0"/>
      <w:marRight w:val="0"/>
      <w:marTop w:val="0"/>
      <w:marBottom w:val="0"/>
      <w:divBdr>
        <w:top w:val="none" w:sz="0" w:space="0" w:color="auto"/>
        <w:left w:val="none" w:sz="0" w:space="0" w:color="auto"/>
        <w:bottom w:val="none" w:sz="0" w:space="0" w:color="auto"/>
        <w:right w:val="none" w:sz="0" w:space="0" w:color="auto"/>
      </w:divBdr>
    </w:div>
    <w:div w:id="1909073858">
      <w:bodyDiv w:val="1"/>
      <w:marLeft w:val="0"/>
      <w:marRight w:val="0"/>
      <w:marTop w:val="0"/>
      <w:marBottom w:val="0"/>
      <w:divBdr>
        <w:top w:val="none" w:sz="0" w:space="0" w:color="auto"/>
        <w:left w:val="none" w:sz="0" w:space="0" w:color="auto"/>
        <w:bottom w:val="none" w:sz="0" w:space="0" w:color="auto"/>
        <w:right w:val="none" w:sz="0" w:space="0" w:color="auto"/>
      </w:divBdr>
    </w:div>
    <w:div w:id="1935698134">
      <w:bodyDiv w:val="1"/>
      <w:marLeft w:val="0"/>
      <w:marRight w:val="0"/>
      <w:marTop w:val="0"/>
      <w:marBottom w:val="0"/>
      <w:divBdr>
        <w:top w:val="none" w:sz="0" w:space="0" w:color="auto"/>
        <w:left w:val="none" w:sz="0" w:space="0" w:color="auto"/>
        <w:bottom w:val="none" w:sz="0" w:space="0" w:color="auto"/>
        <w:right w:val="none" w:sz="0" w:space="0" w:color="auto"/>
      </w:divBdr>
    </w:div>
    <w:div w:id="1949386088">
      <w:bodyDiv w:val="1"/>
      <w:marLeft w:val="0"/>
      <w:marRight w:val="0"/>
      <w:marTop w:val="0"/>
      <w:marBottom w:val="0"/>
      <w:divBdr>
        <w:top w:val="none" w:sz="0" w:space="0" w:color="auto"/>
        <w:left w:val="none" w:sz="0" w:space="0" w:color="auto"/>
        <w:bottom w:val="none" w:sz="0" w:space="0" w:color="auto"/>
        <w:right w:val="none" w:sz="0" w:space="0" w:color="auto"/>
      </w:divBdr>
    </w:div>
    <w:div w:id="2015643587">
      <w:bodyDiv w:val="1"/>
      <w:marLeft w:val="0"/>
      <w:marRight w:val="0"/>
      <w:marTop w:val="0"/>
      <w:marBottom w:val="0"/>
      <w:divBdr>
        <w:top w:val="none" w:sz="0" w:space="0" w:color="auto"/>
        <w:left w:val="none" w:sz="0" w:space="0" w:color="auto"/>
        <w:bottom w:val="none" w:sz="0" w:space="0" w:color="auto"/>
        <w:right w:val="none" w:sz="0" w:space="0" w:color="auto"/>
      </w:divBdr>
    </w:div>
    <w:div w:id="2037926213">
      <w:bodyDiv w:val="1"/>
      <w:marLeft w:val="0"/>
      <w:marRight w:val="0"/>
      <w:marTop w:val="0"/>
      <w:marBottom w:val="0"/>
      <w:divBdr>
        <w:top w:val="none" w:sz="0" w:space="0" w:color="auto"/>
        <w:left w:val="none" w:sz="0" w:space="0" w:color="auto"/>
        <w:bottom w:val="none" w:sz="0" w:space="0" w:color="auto"/>
        <w:right w:val="none" w:sz="0" w:space="0" w:color="auto"/>
      </w:divBdr>
    </w:div>
    <w:div w:id="2053529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jpeg"/><Relationship Id="rId299" Type="http://schemas.openxmlformats.org/officeDocument/2006/relationships/image" Target="media/image125.png"/><Relationship Id="rId303" Type="http://schemas.openxmlformats.org/officeDocument/2006/relationships/hyperlink" Target="https://www.sciencedirect.com/science/journal/01980149" TargetMode="External"/><Relationship Id="rId21" Type="http://schemas.openxmlformats.org/officeDocument/2006/relationships/hyperlink" Target="mailto:David.Lyons@CHG.GOV.IE" TargetMode="External"/><Relationship Id="rId42" Type="http://schemas.openxmlformats.org/officeDocument/2006/relationships/hyperlink" Target="http://www2.dmu.dk/Pub/SR22.pdf" TargetMode="External"/><Relationship Id="rId63" Type="http://schemas.openxmlformats.org/officeDocument/2006/relationships/image" Target="media/image7.jpeg"/><Relationship Id="rId84" Type="http://schemas.openxmlformats.org/officeDocument/2006/relationships/image" Target="media/image11.emf"/><Relationship Id="rId138" Type="http://schemas.openxmlformats.org/officeDocument/2006/relationships/image" Target="media/image50.png"/><Relationship Id="rId159" Type="http://schemas.openxmlformats.org/officeDocument/2006/relationships/oleObject" Target="embeddings/Microsoft_Excel_97-2003_Worksheet.xls"/><Relationship Id="rId324" Type="http://schemas.openxmlformats.org/officeDocument/2006/relationships/hyperlink" Target="https://www.dosi-project.org/topics/decade-of-deep-ocean-science/" TargetMode="External"/><Relationship Id="rId170" Type="http://schemas.openxmlformats.org/officeDocument/2006/relationships/hyperlink" Target="http://dx.doi.org/10.1016/bs.amb.2016.07.001" TargetMode="External"/><Relationship Id="rId191" Type="http://schemas.openxmlformats.org/officeDocument/2006/relationships/oleObject" Target="embeddings/oleObject12.bin"/><Relationship Id="rId205" Type="http://schemas.openxmlformats.org/officeDocument/2006/relationships/hyperlink" Target="http://www.birdlife.org/" TargetMode="External"/><Relationship Id="rId226" Type="http://schemas.openxmlformats.org/officeDocument/2006/relationships/image" Target="media/image100.png"/><Relationship Id="rId247" Type="http://schemas.openxmlformats.org/officeDocument/2006/relationships/hyperlink" Target="https://vents-data.interridge.org/" TargetMode="External"/><Relationship Id="rId107" Type="http://schemas.openxmlformats.org/officeDocument/2006/relationships/image" Target="media/image27.jpeg"/><Relationship Id="rId268" Type="http://schemas.openxmlformats.org/officeDocument/2006/relationships/hyperlink" Target="http://www.fao.org/docrep/009/a0773e/a0773e00.htm" TargetMode="External"/><Relationship Id="rId289" Type="http://schemas.openxmlformats.org/officeDocument/2006/relationships/hyperlink" Target="https://en.uit.no/prosjekter/prosjekt?p_document_id=505966" TargetMode="External"/><Relationship Id="rId11" Type="http://schemas.openxmlformats.org/officeDocument/2006/relationships/header" Target="header1.xml"/><Relationship Id="rId32" Type="http://schemas.openxmlformats.org/officeDocument/2006/relationships/hyperlink" Target="mailto:jenny.hedman@regeringskansliet.se" TargetMode="External"/><Relationship Id="rId53" Type="http://schemas.openxmlformats.org/officeDocument/2006/relationships/hyperlink" Target="https://pure.au.dk/portal/da/persons/daniel-spelling-clausen(32298927-96ba-44a0-bb60-1410497aeded).html" TargetMode="External"/><Relationship Id="rId74" Type="http://schemas.openxmlformats.org/officeDocument/2006/relationships/image" Target="media/image8.png"/><Relationship Id="rId128" Type="http://schemas.openxmlformats.org/officeDocument/2006/relationships/header" Target="header6.xml"/><Relationship Id="rId149" Type="http://schemas.openxmlformats.org/officeDocument/2006/relationships/image" Target="media/image61.png"/><Relationship Id="rId314" Type="http://schemas.openxmlformats.org/officeDocument/2006/relationships/hyperlink" Target="http://www.seabirdtracking.org" TargetMode="External"/><Relationship Id="rId335"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22.jpeg"/><Relationship Id="rId160" Type="http://schemas.openxmlformats.org/officeDocument/2006/relationships/image" Target="media/image71.png"/><Relationship Id="rId181" Type="http://schemas.openxmlformats.org/officeDocument/2006/relationships/oleObject" Target="embeddings/oleObject7.bin"/><Relationship Id="rId216" Type="http://schemas.openxmlformats.org/officeDocument/2006/relationships/footer" Target="footer5.xml"/><Relationship Id="rId237" Type="http://schemas.openxmlformats.org/officeDocument/2006/relationships/image" Target="media/image107.png"/><Relationship Id="rId258" Type="http://schemas.openxmlformats.org/officeDocument/2006/relationships/hyperlink" Target="http://dx.doi.org/10.2305/IUCN.UK.2018-2.RLTS.T22735624A132665118.en" TargetMode="External"/><Relationship Id="rId279" Type="http://schemas.openxmlformats.org/officeDocument/2006/relationships/hyperlink" Target="https://doi.org/10.3354/meps07340" TargetMode="External"/><Relationship Id="rId22" Type="http://schemas.openxmlformats.org/officeDocument/2006/relationships/hyperlink" Target="mailto:aageh@hi.no" TargetMode="External"/><Relationship Id="rId43" Type="http://schemas.openxmlformats.org/officeDocument/2006/relationships/hyperlink" Target="https://pure.au.dk/portal/da/persons/david-martin-boertmann(3fd0130d-e557-4b1b-af39-8a3f236852ed).html" TargetMode="External"/><Relationship Id="rId64" Type="http://schemas.openxmlformats.org/officeDocument/2006/relationships/hyperlink" Target="https://www.sciencedirect.com/topics/earth-and-planetary-sciences/circuit-diagrams" TargetMode="External"/><Relationship Id="rId118" Type="http://schemas.openxmlformats.org/officeDocument/2006/relationships/image" Target="media/image38.jpeg"/><Relationship Id="rId139" Type="http://schemas.openxmlformats.org/officeDocument/2006/relationships/image" Target="media/image51.jpeg"/><Relationship Id="rId290" Type="http://schemas.openxmlformats.org/officeDocument/2006/relationships/image" Target="media/image122.jpeg"/><Relationship Id="rId304" Type="http://schemas.openxmlformats.org/officeDocument/2006/relationships/hyperlink" Target="https://www.sciencedirect.com/science/journal/01980149/27/5" TargetMode="External"/><Relationship Id="rId325" Type="http://schemas.openxmlformats.org/officeDocument/2006/relationships/hyperlink" Target="https://doi.org/10.1139/cjz-2013-0161" TargetMode="External"/><Relationship Id="rId85" Type="http://schemas.openxmlformats.org/officeDocument/2006/relationships/image" Target="media/image12.jpeg"/><Relationship Id="rId150" Type="http://schemas.openxmlformats.org/officeDocument/2006/relationships/image" Target="media/image62.png"/><Relationship Id="rId171" Type="http://schemas.openxmlformats.org/officeDocument/2006/relationships/hyperlink" Target="http://www.marinemammalhabitat.org/imma-eatlas/" TargetMode="External"/><Relationship Id="rId192" Type="http://schemas.openxmlformats.org/officeDocument/2006/relationships/image" Target="media/image86.png"/><Relationship Id="rId206" Type="http://schemas.openxmlformats.org/officeDocument/2006/relationships/hyperlink" Target="http://www.birdlife.org/" TargetMode="External"/><Relationship Id="rId227" Type="http://schemas.openxmlformats.org/officeDocument/2006/relationships/image" Target="media/image101.png"/><Relationship Id="rId248" Type="http://schemas.openxmlformats.org/officeDocument/2006/relationships/hyperlink" Target="http://www.seabirdtracking.org" TargetMode="External"/><Relationship Id="rId269" Type="http://schemas.openxmlformats.org/officeDocument/2006/relationships/hyperlink" Target="https://www.ospar.org/work-areas/bdc/species-habitats/list-of-threatened-declining-species-habitats" TargetMode="External"/><Relationship Id="rId12" Type="http://schemas.openxmlformats.org/officeDocument/2006/relationships/header" Target="header2.xml"/><Relationship Id="rId33" Type="http://schemas.openxmlformats.org/officeDocument/2006/relationships/hyperlink" Target="mailto:hedvig.hogfors@havochvatten.se" TargetMode="External"/><Relationship Id="rId108" Type="http://schemas.openxmlformats.org/officeDocument/2006/relationships/image" Target="media/image28.jpeg"/><Relationship Id="rId129" Type="http://schemas.openxmlformats.org/officeDocument/2006/relationships/header" Target="header7.xml"/><Relationship Id="rId280" Type="http://schemas.openxmlformats.org/officeDocument/2006/relationships/hyperlink" Target="https://doi.org/10.1371/journal.pone.0032681" TargetMode="External"/><Relationship Id="rId315" Type="http://schemas.openxmlformats.org/officeDocument/2006/relationships/hyperlink" Target="http://www.seabirdtracking.org" TargetMode="External"/><Relationship Id="rId336" Type="http://schemas.openxmlformats.org/officeDocument/2006/relationships/glossaryDocument" Target="glossary/document.xml"/><Relationship Id="rId54" Type="http://schemas.openxmlformats.org/officeDocument/2006/relationships/hyperlink" Target="https://pure.au.dk/portal/da/persons/elmer-toppjoergensen(6925b226-50a4-485f-b82c-402a5795e85f).html" TargetMode="External"/><Relationship Id="rId75" Type="http://schemas.openxmlformats.org/officeDocument/2006/relationships/hyperlink" Target="http://dx.doi.org/10.1038/nature01078" TargetMode="External"/><Relationship Id="rId96" Type="http://schemas.openxmlformats.org/officeDocument/2006/relationships/image" Target="media/image23.jpeg"/><Relationship Id="rId140" Type="http://schemas.openxmlformats.org/officeDocument/2006/relationships/image" Target="media/image52.jpeg"/><Relationship Id="rId161" Type="http://schemas.openxmlformats.org/officeDocument/2006/relationships/oleObject" Target="embeddings/Microsoft_Excel_97-2003_Worksheet1.xls"/><Relationship Id="rId182" Type="http://schemas.openxmlformats.org/officeDocument/2006/relationships/image" Target="media/image81.png"/><Relationship Id="rId217" Type="http://schemas.openxmlformats.org/officeDocument/2006/relationships/header" Target="header11.xml"/><Relationship Id="rId6" Type="http://schemas.openxmlformats.org/officeDocument/2006/relationships/footnotes" Target="footnotes.xml"/><Relationship Id="rId238" Type="http://schemas.openxmlformats.org/officeDocument/2006/relationships/image" Target="media/image108.png"/><Relationship Id="rId259" Type="http://schemas.openxmlformats.org/officeDocument/2006/relationships/hyperlink" Target="https://doi.org/10.1017/S0959270918000102" TargetMode="External"/><Relationship Id="rId23" Type="http://schemas.openxmlformats.org/officeDocument/2006/relationships/hyperlink" Target="mailto:staffan.danielsson@regeringskansliet.se" TargetMode="External"/><Relationship Id="rId119" Type="http://schemas.openxmlformats.org/officeDocument/2006/relationships/image" Target="media/image39.png"/><Relationship Id="rId270" Type="http://schemas.openxmlformats.org/officeDocument/2006/relationships/hyperlink" Target="https://www.ospar.org/work-areas/bdc/species-habitats/list-of-threatened-declining-species-habitats" TargetMode="External"/><Relationship Id="rId291" Type="http://schemas.openxmlformats.org/officeDocument/2006/relationships/hyperlink" Target="http://www.neafc.org/page/closures" TargetMode="External"/><Relationship Id="rId305" Type="http://schemas.openxmlformats.org/officeDocument/2006/relationships/image" Target="media/image127.png"/><Relationship Id="rId326" Type="http://schemas.openxmlformats.org/officeDocument/2006/relationships/hyperlink" Target="https://doi.org/10.1080/17451000.2013.793814" TargetMode="External"/><Relationship Id="rId44" Type="http://schemas.openxmlformats.org/officeDocument/2006/relationships/hyperlink" Target="https://pure.au.dk/portal/da/persons/line-anker-kyhn(aa05c724-f1c2-4ace-959a-9a81158fe5bb).html" TargetMode="External"/><Relationship Id="rId65" Type="http://schemas.openxmlformats.org/officeDocument/2006/relationships/hyperlink" Target="https://www.sciencedirect.com/science/article/pii/S0079661116300659?via%3Dihub" TargetMode="External"/><Relationship Id="rId86" Type="http://schemas.openxmlformats.org/officeDocument/2006/relationships/image" Target="media/image13.jpeg"/><Relationship Id="rId130" Type="http://schemas.openxmlformats.org/officeDocument/2006/relationships/footer" Target="footer2.xml"/><Relationship Id="rId151" Type="http://schemas.openxmlformats.org/officeDocument/2006/relationships/image" Target="media/image63.png"/><Relationship Id="rId172" Type="http://schemas.openxmlformats.org/officeDocument/2006/relationships/image" Target="media/image75.png"/><Relationship Id="rId193" Type="http://schemas.openxmlformats.org/officeDocument/2006/relationships/oleObject" Target="embeddings/oleObject13.bin"/><Relationship Id="rId207" Type="http://schemas.openxmlformats.org/officeDocument/2006/relationships/hyperlink" Target="https://doi.org/10.1016/j.biocon.2019.06.033" TargetMode="External"/><Relationship Id="rId228" Type="http://schemas.openxmlformats.org/officeDocument/2006/relationships/image" Target="media/image102.png"/><Relationship Id="rId249" Type="http://schemas.openxmlformats.org/officeDocument/2006/relationships/hyperlink" Target="https://doi.org/10.1093/icesjms/fst124" TargetMode="External"/><Relationship Id="rId13" Type="http://schemas.openxmlformats.org/officeDocument/2006/relationships/hyperlink" Target="https://www.cbd.int/doc/c/0e6a/7995/32829f4f873ca8ee8e0fc952/ebsa-ws-2019-01-02-en.pdf" TargetMode="External"/><Relationship Id="rId109" Type="http://schemas.openxmlformats.org/officeDocument/2006/relationships/image" Target="media/image29.jpeg"/><Relationship Id="rId260" Type="http://schemas.openxmlformats.org/officeDocument/2006/relationships/hyperlink" Target="https://doi.org/10.1016/j.biocon.2019.06.033" TargetMode="External"/><Relationship Id="rId281" Type="http://schemas.openxmlformats.org/officeDocument/2006/relationships/hyperlink" Target="https://octopus.zoo.ox.ac.uk/beta/data" TargetMode="External"/><Relationship Id="rId316" Type="http://schemas.openxmlformats.org/officeDocument/2006/relationships/hyperlink" Target="http://www.seabirdtracking.org" TargetMode="External"/><Relationship Id="rId337" Type="http://schemas.openxmlformats.org/officeDocument/2006/relationships/theme" Target="theme/theme1.xml"/><Relationship Id="rId34" Type="http://schemas.openxmlformats.org/officeDocument/2006/relationships/hyperlink" Target="mailto:phalpin@duke.edu" TargetMode="External"/><Relationship Id="rId55" Type="http://schemas.openxmlformats.org/officeDocument/2006/relationships/hyperlink" Target="https://pure.au.dk/portal/da/persons/morten-frederiksen(9cf63461-c895-43be-9c83-2193147a3d81).html" TargetMode="External"/><Relationship Id="rId76" Type="http://schemas.openxmlformats.org/officeDocument/2006/relationships/hyperlink" Target="https://doi.org/10.1890/1540-9295(2007)5%5b297:TMAMIT%5d2.0.CO;2" TargetMode="External"/><Relationship Id="rId97" Type="http://schemas.openxmlformats.org/officeDocument/2006/relationships/hyperlink" Target="https://www.cbd.int/doc/c/aa9a/bde9/eaf24f73bd471d64e8094722/ebsa-ws-2018-01-04-en.pdf" TargetMode="External"/><Relationship Id="rId120" Type="http://schemas.openxmlformats.org/officeDocument/2006/relationships/image" Target="media/image40.jpeg"/><Relationship Id="rId141" Type="http://schemas.openxmlformats.org/officeDocument/2006/relationships/image" Target="media/image53.png"/><Relationship Id="rId7" Type="http://schemas.openxmlformats.org/officeDocument/2006/relationships/endnotes" Target="endnotes.xml"/><Relationship Id="rId162" Type="http://schemas.openxmlformats.org/officeDocument/2006/relationships/image" Target="media/image72.png"/><Relationship Id="rId183" Type="http://schemas.openxmlformats.org/officeDocument/2006/relationships/oleObject" Target="embeddings/oleObject8.bin"/><Relationship Id="rId218" Type="http://schemas.openxmlformats.org/officeDocument/2006/relationships/footer" Target="footer6.xml"/><Relationship Id="rId239" Type="http://schemas.openxmlformats.org/officeDocument/2006/relationships/hyperlink" Target="mailto:l.henry@ed.ac.uk" TargetMode="External"/><Relationship Id="rId250" Type="http://schemas.openxmlformats.org/officeDocument/2006/relationships/hyperlink" Target="https://www.ospar.org/work-areas/bdc/species-habitats/list-of-threatened-declining-species-habitats" TargetMode="External"/><Relationship Id="rId271" Type="http://schemas.openxmlformats.org/officeDocument/2006/relationships/hyperlink" Target="https://www.ospar.org/work-areas/bdc/species-habitats/list-of-threatened-declining-species-habitats" TargetMode="External"/><Relationship Id="rId292" Type="http://schemas.openxmlformats.org/officeDocument/2006/relationships/hyperlink" Target="http://www.eprints.soton.ac.uk/69504/1/nocscr041.pdf" TargetMode="External"/><Relationship Id="rId306" Type="http://schemas.openxmlformats.org/officeDocument/2006/relationships/hyperlink" Target="http://upload.wikimedia.org/wikipedia/commons/7/76/Mid-atlantic_ridge.jpg" TargetMode="External"/><Relationship Id="rId24" Type="http://schemas.openxmlformats.org/officeDocument/2006/relationships/hyperlink" Target="mailto:Murray.Roberts@ed.ac.uk" TargetMode="External"/><Relationship Id="rId45" Type="http://schemas.openxmlformats.org/officeDocument/2006/relationships/hyperlink" Target="https://pure.au.dk/portal/da/persons/ib-krag-petersen(16540647-0159-4732-a397-fe141979724b).html" TargetMode="External"/><Relationship Id="rId66" Type="http://schemas.openxmlformats.org/officeDocument/2006/relationships/hyperlink" Target="https://www.sciencedirect.com/topics/earth-and-planetary-sciences/bathymeter" TargetMode="External"/><Relationship Id="rId87" Type="http://schemas.openxmlformats.org/officeDocument/2006/relationships/image" Target="media/image14.png"/><Relationship Id="rId110" Type="http://schemas.openxmlformats.org/officeDocument/2006/relationships/image" Target="media/image30.jpeg"/><Relationship Id="rId131" Type="http://schemas.openxmlformats.org/officeDocument/2006/relationships/footer" Target="footer3.xml"/><Relationship Id="rId327" Type="http://schemas.openxmlformats.org/officeDocument/2006/relationships/hyperlink" Target="https://doi.org/10.3389/fmars.2016.00202" TargetMode="External"/><Relationship Id="rId152" Type="http://schemas.openxmlformats.org/officeDocument/2006/relationships/image" Target="media/image64.png"/><Relationship Id="rId173" Type="http://schemas.openxmlformats.org/officeDocument/2006/relationships/image" Target="media/image76.png"/><Relationship Id="rId194" Type="http://schemas.openxmlformats.org/officeDocument/2006/relationships/image" Target="media/image87.png"/><Relationship Id="rId208" Type="http://schemas.openxmlformats.org/officeDocument/2006/relationships/hyperlink" Target="http://www.marinemammalhabitat.org/imma-eatlas/" TargetMode="External"/><Relationship Id="rId229" Type="http://schemas.openxmlformats.org/officeDocument/2006/relationships/image" Target="media/image103.png"/><Relationship Id="rId240" Type="http://schemas.openxmlformats.org/officeDocument/2006/relationships/hyperlink" Target="http://www.pnas.org/cgi/doi/10.1073/pnas.0910290107" TargetMode="External"/><Relationship Id="rId261" Type="http://schemas.openxmlformats.org/officeDocument/2006/relationships/hyperlink" Target="https://doi.org/10.3354/meps07340" TargetMode="External"/><Relationship Id="rId14" Type="http://schemas.openxmlformats.org/officeDocument/2006/relationships/hyperlink" Target="https://www.cbd.int/doc/c/e579/4450/6959580918136bdacd9f2bda/ebsa-ws-2019-01-03-en.pdf" TargetMode="External"/><Relationship Id="rId35" Type="http://schemas.openxmlformats.org/officeDocument/2006/relationships/hyperlink" Target="mailto:sarah.deland@duke.edu" TargetMode="External"/><Relationship Id="rId56" Type="http://schemas.openxmlformats.org/officeDocument/2006/relationships/hyperlink" Target="https://pure.au.dk/portal/da/persons/anders-mosbech(0d8b3009-ff00-40a7-b738-abfa87e31ccf).html" TargetMode="External"/><Relationship Id="rId77" Type="http://schemas.openxmlformats.org/officeDocument/2006/relationships/hyperlink" Target="https://doi.org/10.3354/meps08128" TargetMode="External"/><Relationship Id="rId100" Type="http://schemas.openxmlformats.org/officeDocument/2006/relationships/hyperlink" Target="http://dce2.au.dk/pub/TR142.pdf" TargetMode="External"/><Relationship Id="rId282" Type="http://schemas.openxmlformats.org/officeDocument/2006/relationships/hyperlink" Target="https://doi.org/10.1073/pnas.1510090113" TargetMode="External"/><Relationship Id="rId317" Type="http://schemas.openxmlformats.org/officeDocument/2006/relationships/hyperlink" Target="http://www.sciencedirect.com/science?_ob=MImg&amp;_imagekey=B6V5X-4P6TH4J-1-G&amp;_cdi=5798&amp;_user=164147&amp;_orig=search&amp;_coverDate=09%2F30%2F2007&amp;_sk=998619996&amp;view=c&amp;wchp=dGLbVlb-zSkzV&amp;md5=65683639b07808600cac1930d8aa4266&amp;ie=/sdarticle.pdf" TargetMode="External"/><Relationship Id="rId8" Type="http://schemas.openxmlformats.org/officeDocument/2006/relationships/image" Target="media/image1.emf"/><Relationship Id="rId98" Type="http://schemas.openxmlformats.org/officeDocument/2006/relationships/hyperlink" Target="https://doi.org/10.1002/aqc.2424" TargetMode="External"/><Relationship Id="rId121" Type="http://schemas.openxmlformats.org/officeDocument/2006/relationships/image" Target="media/image41.jpeg"/><Relationship Id="rId142" Type="http://schemas.openxmlformats.org/officeDocument/2006/relationships/image" Target="media/image54.png"/><Relationship Id="rId163" Type="http://schemas.openxmlformats.org/officeDocument/2006/relationships/oleObject" Target="embeddings/oleObject1.bin"/><Relationship Id="rId184" Type="http://schemas.openxmlformats.org/officeDocument/2006/relationships/image" Target="media/image82.png"/><Relationship Id="rId219" Type="http://schemas.openxmlformats.org/officeDocument/2006/relationships/hyperlink" Target="https://maps.birdlife.org/marineIBAs/default.html%20on%2026/09/2019" TargetMode="External"/><Relationship Id="rId3" Type="http://schemas.openxmlformats.org/officeDocument/2006/relationships/styles" Target="styles.xml"/><Relationship Id="rId214" Type="http://schemas.openxmlformats.org/officeDocument/2006/relationships/header" Target="header9.xml"/><Relationship Id="rId230" Type="http://schemas.openxmlformats.org/officeDocument/2006/relationships/image" Target="media/image104.emf"/><Relationship Id="rId235" Type="http://schemas.openxmlformats.org/officeDocument/2006/relationships/image" Target="media/image105.png"/><Relationship Id="rId251" Type="http://schemas.openxmlformats.org/officeDocument/2006/relationships/hyperlink" Target="https://www.ospar.org/work-areas/bdc/species-habitats/list-of-threatened-declining-species-habitats" TargetMode="External"/><Relationship Id="rId256" Type="http://schemas.openxmlformats.org/officeDocument/2006/relationships/hyperlink" Target="http://www.birdlife.org/" TargetMode="External"/><Relationship Id="rId277" Type="http://schemas.openxmlformats.org/officeDocument/2006/relationships/hyperlink" Target="https://doi.org/10.1017/S0959270918000102" TargetMode="External"/><Relationship Id="rId298" Type="http://schemas.openxmlformats.org/officeDocument/2006/relationships/image" Target="media/image124.png"/><Relationship Id="rId25" Type="http://schemas.openxmlformats.org/officeDocument/2006/relationships/hyperlink" Target="mailto:beaskaniillas@gmail.com" TargetMode="External"/><Relationship Id="rId46" Type="http://schemas.openxmlformats.org/officeDocument/2006/relationships/hyperlink" Target="https://pure.au.dk/portal/da/publications/seabirds-and-marine-mammals-in-the-eastern-greenland-sea-augustseptember-2017-results-from-an-aerial-survey(c41090e1-e3f0-4f00-9d99-d122f5ddf8ab).html" TargetMode="External"/><Relationship Id="rId67" Type="http://schemas.openxmlformats.org/officeDocument/2006/relationships/hyperlink" Target="https://www.sciencedirect.com/topics/earth-and-planetary-sciences/region" TargetMode="External"/><Relationship Id="rId116" Type="http://schemas.openxmlformats.org/officeDocument/2006/relationships/image" Target="media/image36.jpeg"/><Relationship Id="rId137" Type="http://schemas.openxmlformats.org/officeDocument/2006/relationships/image" Target="media/image49.jpeg"/><Relationship Id="rId158" Type="http://schemas.openxmlformats.org/officeDocument/2006/relationships/image" Target="media/image70.png"/><Relationship Id="rId272" Type="http://schemas.openxmlformats.org/officeDocument/2006/relationships/image" Target="media/image115.png"/><Relationship Id="rId293" Type="http://schemas.openxmlformats.org/officeDocument/2006/relationships/hyperlink" Target="http://www.ospar.org/content/content.asp?menu=01441000000000_000000_000000" TargetMode="External"/><Relationship Id="rId302" Type="http://schemas.openxmlformats.org/officeDocument/2006/relationships/hyperlink" Target="http://dx.doi.org/10.2305/IUCN.UK.2006.RLTS.T60242A12332917.en" TargetMode="External"/><Relationship Id="rId307" Type="http://schemas.openxmlformats.org/officeDocument/2006/relationships/hyperlink" Target="http://upload.wikimedia.org/wikipedia/commons/7/76/Mid-atlantic_ridge.jpg" TargetMode="External"/><Relationship Id="rId323" Type="http://schemas.openxmlformats.org/officeDocument/2006/relationships/hyperlink" Target="http://www.seapop.no/en/seatrack/" TargetMode="External"/><Relationship Id="rId328" Type="http://schemas.openxmlformats.org/officeDocument/2006/relationships/image" Target="media/image130.jpg"/><Relationship Id="rId20" Type="http://schemas.openxmlformats.org/officeDocument/2006/relationships/hyperlink" Target="mailto:henning.von.nordheim@bfn.de" TargetMode="External"/><Relationship Id="rId41" Type="http://schemas.openxmlformats.org/officeDocument/2006/relationships/hyperlink" Target="http://dce2.au.dk/pub/SR71.pdf" TargetMode="External"/><Relationship Id="rId62" Type="http://schemas.openxmlformats.org/officeDocument/2006/relationships/image" Target="media/image6.jpeg"/><Relationship Id="rId83" Type="http://schemas.openxmlformats.org/officeDocument/2006/relationships/image" Target="media/image10.png"/><Relationship Id="rId88" Type="http://schemas.openxmlformats.org/officeDocument/2006/relationships/image" Target="media/image15.png"/><Relationship Id="rId111" Type="http://schemas.openxmlformats.org/officeDocument/2006/relationships/image" Target="media/image31.jpeg"/><Relationship Id="rId132" Type="http://schemas.openxmlformats.org/officeDocument/2006/relationships/header" Target="header8.xml"/><Relationship Id="rId153" Type="http://schemas.openxmlformats.org/officeDocument/2006/relationships/image" Target="media/image65.png"/><Relationship Id="rId174" Type="http://schemas.openxmlformats.org/officeDocument/2006/relationships/oleObject" Target="embeddings/oleObject4.bin"/><Relationship Id="rId179" Type="http://schemas.openxmlformats.org/officeDocument/2006/relationships/oleObject" Target="embeddings/oleObject6.bin"/><Relationship Id="rId195" Type="http://schemas.openxmlformats.org/officeDocument/2006/relationships/hyperlink" Target="http://www.pnas.org/cgi/doi/10.1073/pnas.0910290107" TargetMode="External"/><Relationship Id="rId209" Type="http://schemas.openxmlformats.org/officeDocument/2006/relationships/hyperlink" Target="https://doi.org/10.3354/meps10083" TargetMode="External"/><Relationship Id="rId190" Type="http://schemas.openxmlformats.org/officeDocument/2006/relationships/image" Target="media/image85.png"/><Relationship Id="rId204" Type="http://schemas.openxmlformats.org/officeDocument/2006/relationships/hyperlink" Target="http://datazone.birdlife.org/site/factsheet/desertas-iba-portugal" TargetMode="External"/><Relationship Id="rId220" Type="http://schemas.openxmlformats.org/officeDocument/2006/relationships/hyperlink" Target="https://doi.org/10.1016/j.biocon.2019.06.033" TargetMode="External"/><Relationship Id="rId225" Type="http://schemas.openxmlformats.org/officeDocument/2006/relationships/image" Target="media/image99.png"/><Relationship Id="rId241" Type="http://schemas.openxmlformats.org/officeDocument/2006/relationships/hyperlink" Target="http://dx.doi.org/10.2305/IUCN.UK.2009-2.RLTS.T39381A10222811.en" TargetMode="External"/><Relationship Id="rId246" Type="http://schemas.openxmlformats.org/officeDocument/2006/relationships/oleObject" Target="embeddings/Microsoft_Excel_97-2003_Worksheet2.xls"/><Relationship Id="rId267" Type="http://schemas.openxmlformats.org/officeDocument/2006/relationships/hyperlink" Target="http://www.seabirdtracking.org" TargetMode="External"/><Relationship Id="rId288" Type="http://schemas.openxmlformats.org/officeDocument/2006/relationships/image" Target="media/image121.jpeg"/><Relationship Id="rId15" Type="http://schemas.openxmlformats.org/officeDocument/2006/relationships/hyperlink" Target="https://www.cbd.int/meetings/EBSA-WS-2019-01" TargetMode="External"/><Relationship Id="rId36" Type="http://schemas.openxmlformats.org/officeDocument/2006/relationships/hyperlink" Target="mailto:joseph.appiott@cbd.int" TargetMode="External"/><Relationship Id="rId57" Type="http://schemas.openxmlformats.org/officeDocument/2006/relationships/hyperlink" Target="https://pure.au.dk/portal/da/publications/biologiske-interesseomraader-i-vest-og-sydoestgroenland(14aa2ad3-8596-46fb-8b5d-eb549624cad0).html" TargetMode="External"/><Relationship Id="rId106" Type="http://schemas.openxmlformats.org/officeDocument/2006/relationships/image" Target="media/image26.jpeg"/><Relationship Id="rId127" Type="http://schemas.openxmlformats.org/officeDocument/2006/relationships/image" Target="media/image47.png"/><Relationship Id="rId262" Type="http://schemas.openxmlformats.org/officeDocument/2006/relationships/hyperlink" Target="https://doi.org/10.2307/1522111" TargetMode="External"/><Relationship Id="rId283" Type="http://schemas.openxmlformats.org/officeDocument/2006/relationships/hyperlink" Target="https://doi.org/10.1017/S0959270918000175" TargetMode="External"/><Relationship Id="rId313" Type="http://schemas.openxmlformats.org/officeDocument/2006/relationships/hyperlink" Target="http://www.seabirdtracking.org" TargetMode="External"/><Relationship Id="rId318" Type="http://schemas.openxmlformats.org/officeDocument/2006/relationships/hyperlink" Target="http://www.ices.dk" TargetMode="External"/><Relationship Id="rId10" Type="http://schemas.openxmlformats.org/officeDocument/2006/relationships/image" Target="media/image3.emf"/><Relationship Id="rId31" Type="http://schemas.openxmlformats.org/officeDocument/2006/relationships/hyperlink" Target="mailto:Anna.karlsson@havochvatten.se" TargetMode="External"/><Relationship Id="rId52" Type="http://schemas.openxmlformats.org/officeDocument/2006/relationships/hyperlink" Target="https://pure.au.dk/portal/da/persons/christian-bay(6dfd287b-f971-4d7f-be54-9a03db610b39).html" TargetMode="External"/><Relationship Id="rId73" Type="http://schemas.openxmlformats.org/officeDocument/2006/relationships/hyperlink" Target="https://www.sciencedirect.com/topics/earth-and-planetary-sciences/mediterranean-water" TargetMode="External"/><Relationship Id="rId78" Type="http://schemas.openxmlformats.org/officeDocument/2006/relationships/hyperlink" Target="https://en.uit.no/prosjekter/prosjekt?p_document_id=505966" TargetMode="External"/><Relationship Id="rId94" Type="http://schemas.openxmlformats.org/officeDocument/2006/relationships/image" Target="media/image21.jpeg"/><Relationship Id="rId99" Type="http://schemas.openxmlformats.org/officeDocument/2006/relationships/hyperlink" Target="https://www2.mst.dk/Udgiv/publikationer/2018/03/978-87-93614-88-8.pdf" TargetMode="External"/><Relationship Id="rId101" Type="http://schemas.openxmlformats.org/officeDocument/2006/relationships/hyperlink" Target="https://core.ac.uk/download/pdf/154816882.pdf" TargetMode="External"/><Relationship Id="rId122" Type="http://schemas.openxmlformats.org/officeDocument/2006/relationships/image" Target="media/image42.png"/><Relationship Id="rId143" Type="http://schemas.openxmlformats.org/officeDocument/2006/relationships/image" Target="media/image55.png"/><Relationship Id="rId148" Type="http://schemas.openxmlformats.org/officeDocument/2006/relationships/image" Target="media/image60.png"/><Relationship Id="rId164" Type="http://schemas.openxmlformats.org/officeDocument/2006/relationships/image" Target="media/image73.png"/><Relationship Id="rId169" Type="http://schemas.openxmlformats.org/officeDocument/2006/relationships/hyperlink" Target="https://www.linguee.es/ingles-espanol/traduccion/navigation+routes.html" TargetMode="External"/><Relationship Id="rId185" Type="http://schemas.openxmlformats.org/officeDocument/2006/relationships/oleObject" Target="embeddings/oleObject9.bin"/><Relationship Id="rId334" Type="http://schemas.openxmlformats.org/officeDocument/2006/relationships/hyperlink" Target="https://www.arctic.noaa.gov/Report-Card/Report-Card-2018" TargetMode="Externa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80.png"/><Relationship Id="rId210" Type="http://schemas.openxmlformats.org/officeDocument/2006/relationships/hyperlink" Target="https://doi.org/10.3389/fmars.2019.00094" TargetMode="External"/><Relationship Id="rId215" Type="http://schemas.openxmlformats.org/officeDocument/2006/relationships/header" Target="header10.xml"/><Relationship Id="rId236" Type="http://schemas.openxmlformats.org/officeDocument/2006/relationships/image" Target="media/image106.png"/><Relationship Id="rId257" Type="http://schemas.openxmlformats.org/officeDocument/2006/relationships/hyperlink" Target="http://www.birdlife.org/" TargetMode="External"/><Relationship Id="rId278" Type="http://schemas.openxmlformats.org/officeDocument/2006/relationships/hyperlink" Target="https://doi.org/10.1038/429522a" TargetMode="External"/><Relationship Id="rId26" Type="http://schemas.openxmlformats.org/officeDocument/2006/relationships/hyperlink" Target="mailto:lena.avellan@ospar.org" TargetMode="External"/><Relationship Id="rId231" Type="http://schemas.openxmlformats.org/officeDocument/2006/relationships/hyperlink" Target="https://eu.oceana.org/sites/default/files/oceana_el_hierro_y_montanas_submarinas_expedicion_2014.pdf" TargetMode="External"/><Relationship Id="rId252" Type="http://schemas.openxmlformats.org/officeDocument/2006/relationships/hyperlink" Target="https://www.ospar.org/work-areas/bdc/species-habitats/list-of-threatened-declining-species-habitats" TargetMode="External"/><Relationship Id="rId273" Type="http://schemas.openxmlformats.org/officeDocument/2006/relationships/image" Target="media/image116.png"/><Relationship Id="rId294" Type="http://schemas.openxmlformats.org/officeDocument/2006/relationships/hyperlink" Target="http://dx.doi.org/10.1016/j.dsr2.2013.06.012i" TargetMode="External"/><Relationship Id="rId308" Type="http://schemas.openxmlformats.org/officeDocument/2006/relationships/hyperlink" Target="http://upload.wikimedia.org/wikipedia/commons/7/76/Mid-atlantic_ridge.jpg" TargetMode="External"/><Relationship Id="rId329" Type="http://schemas.openxmlformats.org/officeDocument/2006/relationships/image" Target="media/image131.png"/><Relationship Id="rId47" Type="http://schemas.openxmlformats.org/officeDocument/2006/relationships/hyperlink" Target="https://pure.au.dk/portal/da/persons/tom-christensen(c2b982ca-b8de-47c1-b339-145ce573ef02).html" TargetMode="External"/><Relationship Id="rId68" Type="http://schemas.openxmlformats.org/officeDocument/2006/relationships/hyperlink" Target="https://www.sciencedirect.com/topics/earth-and-planetary-sciences/bay-topographic-features" TargetMode="External"/><Relationship Id="rId89" Type="http://schemas.openxmlformats.org/officeDocument/2006/relationships/image" Target="media/image16.png"/><Relationship Id="rId112" Type="http://schemas.openxmlformats.org/officeDocument/2006/relationships/image" Target="media/image32.png"/><Relationship Id="rId133" Type="http://schemas.openxmlformats.org/officeDocument/2006/relationships/footer" Target="footer4.xml"/><Relationship Id="rId154" Type="http://schemas.openxmlformats.org/officeDocument/2006/relationships/image" Target="media/image66.png"/><Relationship Id="rId175" Type="http://schemas.openxmlformats.org/officeDocument/2006/relationships/image" Target="media/image77.png"/><Relationship Id="rId196" Type="http://schemas.openxmlformats.org/officeDocument/2006/relationships/image" Target="media/image88.png"/><Relationship Id="rId200" Type="http://schemas.openxmlformats.org/officeDocument/2006/relationships/image" Target="media/image92.png"/><Relationship Id="rId16" Type="http://schemas.openxmlformats.org/officeDocument/2006/relationships/header" Target="header3.xml"/><Relationship Id="rId221" Type="http://schemas.openxmlformats.org/officeDocument/2006/relationships/hyperlink" Target="http://dx.doi.org/10.2305/IUCN.UK.2015-1.RLTS.T39332A48933059" TargetMode="External"/><Relationship Id="rId242" Type="http://schemas.openxmlformats.org/officeDocument/2006/relationships/image" Target="media/image109.png"/><Relationship Id="rId263" Type="http://schemas.openxmlformats.org/officeDocument/2006/relationships/hyperlink" Target="https://doi.org/10.1016/j.ympev.2016.02.014" TargetMode="External"/><Relationship Id="rId284" Type="http://schemas.openxmlformats.org/officeDocument/2006/relationships/hyperlink" Target="https://en.uit.no/prosjekter/prosjekt?p_document_id=505966" TargetMode="External"/><Relationship Id="rId319" Type="http://schemas.openxmlformats.org/officeDocument/2006/relationships/hyperlink" Target="http://www.sciencedirect.com/science/article/pii/S0967063711001051" TargetMode="External"/><Relationship Id="rId37" Type="http://schemas.openxmlformats.org/officeDocument/2006/relationships/hyperlink" Target="mailto:jacqueline.grekin@un.org" TargetMode="External"/><Relationship Id="rId58" Type="http://schemas.openxmlformats.org/officeDocument/2006/relationships/hyperlink" Target="http://www2.dmu.dk/pub/sr43.pdf" TargetMode="External"/><Relationship Id="rId79" Type="http://schemas.openxmlformats.org/officeDocument/2006/relationships/image" Target="media/image9.png"/><Relationship Id="rId102" Type="http://schemas.openxmlformats.org/officeDocument/2006/relationships/hyperlink" Target="http://www.dmu.dk/Pub/FR606.pdf" TargetMode="External"/><Relationship Id="rId123" Type="http://schemas.openxmlformats.org/officeDocument/2006/relationships/image" Target="media/image43.png"/><Relationship Id="rId144" Type="http://schemas.openxmlformats.org/officeDocument/2006/relationships/image" Target="media/image56.png"/><Relationship Id="rId330" Type="http://schemas.openxmlformats.org/officeDocument/2006/relationships/image" Target="media/image132.png"/><Relationship Id="rId90" Type="http://schemas.openxmlformats.org/officeDocument/2006/relationships/image" Target="media/image17.png"/><Relationship Id="rId165" Type="http://schemas.openxmlformats.org/officeDocument/2006/relationships/oleObject" Target="embeddings/oleObject2.bin"/><Relationship Id="rId186" Type="http://schemas.openxmlformats.org/officeDocument/2006/relationships/image" Target="media/image83.png"/><Relationship Id="rId211" Type="http://schemas.openxmlformats.org/officeDocument/2006/relationships/image" Target="media/image93.png"/><Relationship Id="rId232" Type="http://schemas.openxmlformats.org/officeDocument/2006/relationships/hyperlink" Target="https://www.casadellibro.com/libro-corales-de-las-islas-canarias/9788487931673/1011260" TargetMode="External"/><Relationship Id="rId253" Type="http://schemas.openxmlformats.org/officeDocument/2006/relationships/hyperlink" Target="https://doi.org/10.1016/j.dsr.2017.11.010" TargetMode="External"/><Relationship Id="rId274" Type="http://schemas.openxmlformats.org/officeDocument/2006/relationships/image" Target="media/image117.wmf"/><Relationship Id="rId295" Type="http://schemas.openxmlformats.org/officeDocument/2006/relationships/hyperlink" Target="https://doi.org/10.3354/esr00630" TargetMode="External"/><Relationship Id="rId309" Type="http://schemas.openxmlformats.org/officeDocument/2006/relationships/hyperlink" Target="http://upload.wikimedia.org/wikipedia/commons/7/76/Mid-atlantic_ridge.jpg" TargetMode="External"/><Relationship Id="rId27" Type="http://schemas.openxmlformats.org/officeDocument/2006/relationships/hyperlink" Target="mailto:eugene.nixon@ices.dk" TargetMode="External"/><Relationship Id="rId48" Type="http://schemas.openxmlformats.org/officeDocument/2006/relationships/hyperlink" Target="https://pure.au.dk/portal/da/persons/peter-aastrup(50a88b32-1dc2-47e8-9113-fd98ae9ff05d).html" TargetMode="External"/><Relationship Id="rId69" Type="http://schemas.openxmlformats.org/officeDocument/2006/relationships/hyperlink" Target="https://www.sciencedirect.com/topics/earth-and-planetary-sciences/fracture-zone" TargetMode="External"/><Relationship Id="rId113" Type="http://schemas.openxmlformats.org/officeDocument/2006/relationships/image" Target="media/image33.png"/><Relationship Id="rId134" Type="http://schemas.openxmlformats.org/officeDocument/2006/relationships/hyperlink" Target="https://www.sciencedirect.com/science/article/pii/S0006320713001055" TargetMode="External"/><Relationship Id="rId320" Type="http://schemas.openxmlformats.org/officeDocument/2006/relationships/hyperlink" Target="http://as01.ucis.dal.ca/ramweb/papers-total/Tittensor_etal_2009_J_of_Biogeography" TargetMode="External"/><Relationship Id="rId80" Type="http://schemas.openxmlformats.org/officeDocument/2006/relationships/hyperlink" Target="https://linkprotect.cudasvc.com/url?a=https%3a%2f%2fwww.soefartsstyrelsen.dk%2fPresse%2fNyheder%2fSider%2fSejladssikkerheden_i_Kattegat_og_Skagerrak_forbedres_frem_mod_2020.aspx&amp;c=E,1,lbh06h9Yz641RlmemeAVSvyCgnaQMBQjQ2QdXliqYfhkHvf3b1i4yFKV2aQgI4WzAprRqec3mRlwPNIgw87ZU7bNGjBbj7BY1dPN8hkY&amp;typo=1" TargetMode="External"/><Relationship Id="rId155" Type="http://schemas.openxmlformats.org/officeDocument/2006/relationships/image" Target="media/image67.png"/><Relationship Id="rId176" Type="http://schemas.openxmlformats.org/officeDocument/2006/relationships/image" Target="media/image78.png"/><Relationship Id="rId197" Type="http://schemas.openxmlformats.org/officeDocument/2006/relationships/image" Target="media/image89.png"/><Relationship Id="rId201" Type="http://schemas.openxmlformats.org/officeDocument/2006/relationships/hyperlink" Target="http://datazone.birdlife.org/site/factsheet/desertas-iba-portugal" TargetMode="External"/><Relationship Id="rId222" Type="http://schemas.openxmlformats.org/officeDocument/2006/relationships/image" Target="media/image96.png"/><Relationship Id="rId243" Type="http://schemas.openxmlformats.org/officeDocument/2006/relationships/image" Target="media/image110.jpeg"/><Relationship Id="rId264" Type="http://schemas.openxmlformats.org/officeDocument/2006/relationships/hyperlink" Target="https://doi.org/10.1017/S0959270918000175" TargetMode="External"/><Relationship Id="rId285" Type="http://schemas.openxmlformats.org/officeDocument/2006/relationships/image" Target="media/image118.png"/><Relationship Id="rId17" Type="http://schemas.openxmlformats.org/officeDocument/2006/relationships/header" Target="header4.xml"/><Relationship Id="rId38" Type="http://schemas.openxmlformats.org/officeDocument/2006/relationships/hyperlink" Target="mailto:christopher.barrio@seascapeconsultants.co.uk" TargetMode="External"/><Relationship Id="rId59" Type="http://schemas.openxmlformats.org/officeDocument/2006/relationships/hyperlink" Target="http://www.dmu.dk/Pub/SR23.pdf" TargetMode="External"/><Relationship Id="rId103" Type="http://schemas.openxmlformats.org/officeDocument/2006/relationships/hyperlink" Target="http://dce2.au.dk/pub/SR239.pdf" TargetMode="External"/><Relationship Id="rId124" Type="http://schemas.openxmlformats.org/officeDocument/2006/relationships/image" Target="media/image44.jpeg"/><Relationship Id="rId310" Type="http://schemas.openxmlformats.org/officeDocument/2006/relationships/hyperlink" Target="http://upload.wikimedia.org/wikipedia/commons/7/76/Mid-atlantic_ridge.jpg" TargetMode="External"/><Relationship Id="rId70" Type="http://schemas.openxmlformats.org/officeDocument/2006/relationships/hyperlink" Target="https://www.sciencedirect.com/topics/earth-and-planetary-sciences/abyssal-plain" TargetMode="External"/><Relationship Id="rId91" Type="http://schemas.openxmlformats.org/officeDocument/2006/relationships/image" Target="media/image18.jpeg"/><Relationship Id="rId145" Type="http://schemas.openxmlformats.org/officeDocument/2006/relationships/image" Target="media/image57.png"/><Relationship Id="rId166" Type="http://schemas.openxmlformats.org/officeDocument/2006/relationships/image" Target="media/image74.png"/><Relationship Id="rId187" Type="http://schemas.openxmlformats.org/officeDocument/2006/relationships/oleObject" Target="embeddings/oleObject10.bin"/><Relationship Id="rId331" Type="http://schemas.openxmlformats.org/officeDocument/2006/relationships/image" Target="media/image133.png"/><Relationship Id="rId1" Type="http://schemas.openxmlformats.org/officeDocument/2006/relationships/customXml" Target="../customXml/item1.xml"/><Relationship Id="rId212" Type="http://schemas.openxmlformats.org/officeDocument/2006/relationships/image" Target="media/image94.png"/><Relationship Id="rId233" Type="http://schemas.openxmlformats.org/officeDocument/2006/relationships/hyperlink" Target="http://biostor.org/reference/110" TargetMode="External"/><Relationship Id="rId254" Type="http://schemas.openxmlformats.org/officeDocument/2006/relationships/image" Target="media/image113.png"/><Relationship Id="rId28" Type="http://schemas.openxmlformats.org/officeDocument/2006/relationships/hyperlink" Target="mailto:m.j.tetley@gmail.com" TargetMode="External"/><Relationship Id="rId49" Type="http://schemas.openxmlformats.org/officeDocument/2006/relationships/hyperlink" Target="https://pure.au.dk/portal/da/persons/david-martin-boertmann(3fd0130d-e557-4b1b-af39-8a3f236852ed).html" TargetMode="External"/><Relationship Id="rId114" Type="http://schemas.openxmlformats.org/officeDocument/2006/relationships/image" Target="media/image34.jpeg"/><Relationship Id="rId275" Type="http://schemas.openxmlformats.org/officeDocument/2006/relationships/oleObject" Target="embeddings/Microsoft_Excel_97-2003_Worksheet3.xls"/><Relationship Id="rId296" Type="http://schemas.openxmlformats.org/officeDocument/2006/relationships/hyperlink" Target="https://doi.org/10.1371/journal.pone.0076507" TargetMode="External"/><Relationship Id="rId300" Type="http://schemas.openxmlformats.org/officeDocument/2006/relationships/image" Target="media/image126.jpeg"/><Relationship Id="rId60" Type="http://schemas.openxmlformats.org/officeDocument/2006/relationships/hyperlink" Target="http://www.dmu.dk/Pub/SR15.pdf" TargetMode="External"/><Relationship Id="rId81" Type="http://schemas.openxmlformats.org/officeDocument/2006/relationships/hyperlink" Target="http://datazone.birdlife.org/site/factsheet/skagerrak-southwest-norwegian-trench-iba-denmark%20on%2027/09/2019" TargetMode="External"/><Relationship Id="rId135" Type="http://schemas.openxmlformats.org/officeDocument/2006/relationships/hyperlink" Target="http://biology.st-andrews.ac.uk/coda/" TargetMode="External"/><Relationship Id="rId156" Type="http://schemas.openxmlformats.org/officeDocument/2006/relationships/image" Target="media/image68.png"/><Relationship Id="rId177" Type="http://schemas.openxmlformats.org/officeDocument/2006/relationships/oleObject" Target="embeddings/oleObject5.bin"/><Relationship Id="rId198" Type="http://schemas.openxmlformats.org/officeDocument/2006/relationships/image" Target="media/image90.jpeg"/><Relationship Id="rId321" Type="http://schemas.openxmlformats.org/officeDocument/2006/relationships/hyperlink" Target="http://dx.plos.org/10.1371/journal.pone.0015323" TargetMode="External"/><Relationship Id="rId202" Type="http://schemas.openxmlformats.org/officeDocument/2006/relationships/hyperlink" Target="https://liferecovernatura.madeira.gov.pt/" TargetMode="External"/><Relationship Id="rId223" Type="http://schemas.openxmlformats.org/officeDocument/2006/relationships/image" Target="media/image97.png"/><Relationship Id="rId244" Type="http://schemas.openxmlformats.org/officeDocument/2006/relationships/image" Target="media/image111.jpeg"/><Relationship Id="rId18" Type="http://schemas.openxmlformats.org/officeDocument/2006/relationships/footer" Target="footer1.xml"/><Relationship Id="rId39" Type="http://schemas.openxmlformats.org/officeDocument/2006/relationships/image" Target="media/image4.jpeg"/><Relationship Id="rId265" Type="http://schemas.openxmlformats.org/officeDocument/2006/relationships/image" Target="media/image114.png"/><Relationship Id="rId286" Type="http://schemas.openxmlformats.org/officeDocument/2006/relationships/image" Target="media/image119.jpeg"/><Relationship Id="rId50" Type="http://schemas.openxmlformats.org/officeDocument/2006/relationships/hyperlink" Target="https://pure.au.dk/portal/da/persons/kasper-lambert-johansen(2350f010-0c80-4de7-a007-31e878d76732).html" TargetMode="External"/><Relationship Id="rId104" Type="http://schemas.openxmlformats.org/officeDocument/2006/relationships/image" Target="media/image24.png"/><Relationship Id="rId125" Type="http://schemas.openxmlformats.org/officeDocument/2006/relationships/image" Target="media/image45.png"/><Relationship Id="rId146" Type="http://schemas.openxmlformats.org/officeDocument/2006/relationships/image" Target="media/image58.jpeg"/><Relationship Id="rId167" Type="http://schemas.openxmlformats.org/officeDocument/2006/relationships/oleObject" Target="embeddings/oleObject3.bin"/><Relationship Id="rId188" Type="http://schemas.openxmlformats.org/officeDocument/2006/relationships/image" Target="media/image84.png"/><Relationship Id="rId311" Type="http://schemas.openxmlformats.org/officeDocument/2006/relationships/hyperlink" Target="http://upload.wikimedia.org/wikipedia/commons/7/76/Mid-atlantic_ridge.jpg" TargetMode="External"/><Relationship Id="rId332" Type="http://schemas.openxmlformats.org/officeDocument/2006/relationships/hyperlink" Target="https://mail.wwf.de/owa/redir.aspx?C=xPvZaHlzI3MRubh7q3gGMVhac3qbq0_SxuS4jBDoiP7AAHKse0LXCA..&amp;URL=https%3a%2f%2fdoi.org%2f10.5067%2fUTAV7490FEPB" TargetMode="External"/><Relationship Id="rId71" Type="http://schemas.openxmlformats.org/officeDocument/2006/relationships/hyperlink" Target="https://www.sciencedirect.com/topics/earth-and-planetary-sciences/plateau" TargetMode="External"/><Relationship Id="rId92" Type="http://schemas.openxmlformats.org/officeDocument/2006/relationships/image" Target="media/image19.jpeg"/><Relationship Id="rId213" Type="http://schemas.openxmlformats.org/officeDocument/2006/relationships/image" Target="media/image95.emf"/><Relationship Id="rId234" Type="http://schemas.openxmlformats.org/officeDocument/2006/relationships/hyperlink" Target="http://www.academia.edu/28505222/Coccolith_studies_in_the_Canary_Basin" TargetMode="External"/><Relationship Id="rId2" Type="http://schemas.openxmlformats.org/officeDocument/2006/relationships/numbering" Target="numbering.xml"/><Relationship Id="rId29" Type="http://schemas.openxmlformats.org/officeDocument/2006/relationships/hyperlink" Target="mailto:kirkegaardeskild@gmail.com" TargetMode="External"/><Relationship Id="rId255" Type="http://schemas.openxmlformats.org/officeDocument/2006/relationships/hyperlink" Target="https://www.gebco.net/" TargetMode="External"/><Relationship Id="rId276" Type="http://schemas.openxmlformats.org/officeDocument/2006/relationships/hyperlink" Target="https://maps.birdlife.org/marineIBAs/default.html" TargetMode="External"/><Relationship Id="rId297" Type="http://schemas.openxmlformats.org/officeDocument/2006/relationships/image" Target="media/image123.png"/><Relationship Id="rId40" Type="http://schemas.openxmlformats.org/officeDocument/2006/relationships/hyperlink" Target="http://www.amap.no/documents/download/1548" TargetMode="External"/><Relationship Id="rId115" Type="http://schemas.openxmlformats.org/officeDocument/2006/relationships/image" Target="media/image35.png"/><Relationship Id="rId136" Type="http://schemas.openxmlformats.org/officeDocument/2006/relationships/image" Target="media/image48.png"/><Relationship Id="rId157" Type="http://schemas.openxmlformats.org/officeDocument/2006/relationships/image" Target="media/image69.png"/><Relationship Id="rId178" Type="http://schemas.openxmlformats.org/officeDocument/2006/relationships/image" Target="media/image79.png"/><Relationship Id="rId301" Type="http://schemas.openxmlformats.org/officeDocument/2006/relationships/hyperlink" Target="https://www.stjornarradid.is/media/atvinnuvegaraduneytimedia/media/skyrslur/fridunskyrsla_2005.pdf" TargetMode="External"/><Relationship Id="rId322" Type="http://schemas.openxmlformats.org/officeDocument/2006/relationships/image" Target="media/image129.png"/><Relationship Id="rId61" Type="http://schemas.openxmlformats.org/officeDocument/2006/relationships/image" Target="media/image5.png"/><Relationship Id="rId82" Type="http://schemas.openxmlformats.org/officeDocument/2006/relationships/hyperlink" Target="http://ecosystemdata.ices.dk" TargetMode="External"/><Relationship Id="rId199" Type="http://schemas.openxmlformats.org/officeDocument/2006/relationships/image" Target="media/image91.jpeg"/><Relationship Id="rId203" Type="http://schemas.openxmlformats.org/officeDocument/2006/relationships/hyperlink" Target="https://ifcn.madeira.gov.pt/biodiversidade/projetos/freira-do-bugio.html" TargetMode="External"/><Relationship Id="rId19" Type="http://schemas.openxmlformats.org/officeDocument/2006/relationships/header" Target="header5.xml"/><Relationship Id="rId224" Type="http://schemas.openxmlformats.org/officeDocument/2006/relationships/image" Target="media/image98.png"/><Relationship Id="rId245" Type="http://schemas.openxmlformats.org/officeDocument/2006/relationships/image" Target="media/image112.png"/><Relationship Id="rId266" Type="http://schemas.openxmlformats.org/officeDocument/2006/relationships/hyperlink" Target="https://doi.org/10.1093/icesjms/fst124" TargetMode="External"/><Relationship Id="rId287" Type="http://schemas.openxmlformats.org/officeDocument/2006/relationships/image" Target="media/image120.jpeg"/><Relationship Id="rId30" Type="http://schemas.openxmlformats.org/officeDocument/2006/relationships/hyperlink" Target="mailto:tim.packeiser@wwf.de" TargetMode="External"/><Relationship Id="rId105" Type="http://schemas.openxmlformats.org/officeDocument/2006/relationships/image" Target="media/image25.jpeg"/><Relationship Id="rId126" Type="http://schemas.openxmlformats.org/officeDocument/2006/relationships/image" Target="media/image46.png"/><Relationship Id="rId147" Type="http://schemas.openxmlformats.org/officeDocument/2006/relationships/image" Target="media/image59.png"/><Relationship Id="rId168" Type="http://schemas.openxmlformats.org/officeDocument/2006/relationships/hyperlink" Target="https://journals.plos.org/plosone/article?id=10.1371/journal.pone.0076445" TargetMode="External"/><Relationship Id="rId312" Type="http://schemas.openxmlformats.org/officeDocument/2006/relationships/image" Target="media/image128.jpeg"/><Relationship Id="rId333" Type="http://schemas.openxmlformats.org/officeDocument/2006/relationships/hyperlink" Target="https://www.arctic.noaa.gov/Report-Card/Report-Card2018" TargetMode="External"/><Relationship Id="rId51" Type="http://schemas.openxmlformats.org/officeDocument/2006/relationships/hyperlink" Target="https://pure.au.dk/portal/da/persons/flemming-ravn-merkel(7ebb69f4-00b0-438d-ae73-5305d25780ec).html" TargetMode="External"/><Relationship Id="rId72" Type="http://schemas.openxmlformats.org/officeDocument/2006/relationships/hyperlink" Target="https://www.sciencedirect.com/topics/earth-and-planetary-sciences/strait" TargetMode="External"/><Relationship Id="rId93" Type="http://schemas.openxmlformats.org/officeDocument/2006/relationships/image" Target="media/image20.jpeg"/><Relationship Id="rId189" Type="http://schemas.openxmlformats.org/officeDocument/2006/relationships/oleObject" Target="embeddings/oleObject11.bin"/></Relationships>
</file>

<file path=word/_rels/footnotes.xml.rels><?xml version="1.0" encoding="UTF-8" standalone="yes"?>
<Relationships xmlns="http://schemas.openxmlformats.org/package/2006/relationships"><Relationship Id="rId8" Type="http://schemas.openxmlformats.org/officeDocument/2006/relationships/hyperlink" Target="https://www.cbd.int/ebsa/" TargetMode="External"/><Relationship Id="rId3" Type="http://schemas.openxmlformats.org/officeDocument/2006/relationships/hyperlink" Target="https://email.cbd.int/owa/redir.aspx?C=Bs41LUnsivC1_1Gsr97S0i8BbURCBGo9o9vg0oyuUsBKHGXdrULXCA..&amp;URL=https%3a%2f%2feur-lex.europa.eu%2flegal-content%2fEN%2fTXT%2f%3furi%3dCELEX%3a32008L0056" TargetMode="External"/><Relationship Id="rId7" Type="http://schemas.openxmlformats.org/officeDocument/2006/relationships/hyperlink" Target="https://www.cbd.int/ebsa/" TargetMode="External"/><Relationship Id="rId2" Type="http://schemas.openxmlformats.org/officeDocument/2006/relationships/hyperlink" Target="http://www.ices.dk/sites/pub/Publication%20Reports/Advice/2013/Special%20requests/OSPAR-NEAFC%20EBSA%20review.pdf" TargetMode="External"/><Relationship Id="rId1" Type="http://schemas.openxmlformats.org/officeDocument/2006/relationships/hyperlink" Target="file://\\biodiv.org\shares\UserDoc\Working%20Folders\40-00-STTM\35-00-Marine%20&amp;%20Coastal\35_03%20Workshops\EBSA%2015%20-%20OSPAR-NEAFC\Report%20as%20adopted\In%20process%20of%20editing\ICES.%202013.%20OSPAR\NEAFC%20special%20request%20on%20review%20of%20the%20results%20of%20the%20Joint%20OSPAR\NEAFC\CBD%20Workshop%20on%20Ecologically%20and%20Biologically%20Significant%20Areas%20(EBSAs).%20June%202013.%20Available%20at:%20http:\www.ices.dk\sites\pub\Publication%20Reports\Advice\2013\Special%20requests\OSPAR-NEAFC%20EBSA%20review.pdf" TargetMode="External"/><Relationship Id="rId6" Type="http://schemas.openxmlformats.org/officeDocument/2006/relationships/hyperlink" Target="https://email.cbd.int/owa/redir.aspx?C=lrjIUChuu3lUdtyVeEyxaKr0cfEeKd1xDvZFgHRDSs5KHGXdrULXCA..&amp;URL=https%3a%2f%2feur-lex.europa.eu%2flegal-content%2fEN%2fTXT%2f%3furi%3dCELEX%3a01992L0043-20070101" TargetMode="External"/><Relationship Id="rId5" Type="http://schemas.openxmlformats.org/officeDocument/2006/relationships/hyperlink" Target="https://email.cbd.int/owa/redir.aspx?C=OcLltlNzLSrF2tqbpElQSuKakyunJEflKerpVPz-asVKHGXdrULXCA..&amp;URL=https%3a%2f%2feur-lex.europa.eu%2flegal-content%2fEN%2fTXT%2f%3furi%3dCELEX%3a31992L0043" TargetMode="External"/><Relationship Id="rId10" Type="http://schemas.openxmlformats.org/officeDocument/2006/relationships/hyperlink" Target="http://www.lophelia.org/lophelia/case_4.htm" TargetMode="External"/><Relationship Id="rId4" Type="http://schemas.openxmlformats.org/officeDocument/2006/relationships/hyperlink" Target="https://email.cbd.int/owa/redir.aspx?C=hufy4evKygi7GyPB4kaEX2uPrePxwZMvrKWqEQIQaDFKHGXdrULXCA..&amp;URL=https%3a%2f%2feur-lex.europa.eu%2flegal-content%2fEN%2fTXT%2f%3furi%3dCELEX%3a32009L0147" TargetMode="External"/><Relationship Id="rId9" Type="http://schemas.openxmlformats.org/officeDocument/2006/relationships/hyperlink" Target="http://www.iucnredlist.or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microsoft.com/office/2011/relationships/people" Target="../people.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8D67B67FBCD4AE4822FD5AC1A619B88"/>
        <w:category>
          <w:name w:val="General"/>
          <w:gallery w:val="placeholder"/>
        </w:category>
        <w:types>
          <w:type w:val="bbPlcHdr"/>
        </w:types>
        <w:behaviors>
          <w:behavior w:val="content"/>
        </w:behaviors>
        <w:guid w:val="{32867E7B-B068-43C5-B8B4-48CCFBA4FF26}"/>
      </w:docPartPr>
      <w:docPartBody>
        <w:p w:rsidR="006A21DE" w:rsidRDefault="00D4303C">
          <w:r w:rsidRPr="00301DEF">
            <w:rPr>
              <w:rStyle w:val="PlaceholderText"/>
            </w:rPr>
            <w:t>[Subject]</w:t>
          </w:r>
        </w:p>
      </w:docPartBody>
    </w:docPart>
    <w:docPart>
      <w:docPartPr>
        <w:name w:val="BF8715650B4B47729724F4A68FF741D0"/>
        <w:category>
          <w:name w:val="General"/>
          <w:gallery w:val="placeholder"/>
        </w:category>
        <w:types>
          <w:type w:val="bbPlcHdr"/>
        </w:types>
        <w:behaviors>
          <w:behavior w:val="content"/>
        </w:behaviors>
        <w:guid w:val="{0CD157B8-1D7D-4817-A425-3E45BB218E6E}"/>
      </w:docPartPr>
      <w:docPartBody>
        <w:p w:rsidR="006A21DE" w:rsidRDefault="00D4303C">
          <w:r w:rsidRPr="00301DEF">
            <w:rPr>
              <w:rStyle w:val="PlaceholderText"/>
            </w:rPr>
            <w:t>[Subject]</w:t>
          </w:r>
        </w:p>
      </w:docPartBody>
    </w:docPart>
    <w:docPart>
      <w:docPartPr>
        <w:name w:val="A95B58023D9C034CA40E7185A8E89920"/>
        <w:category>
          <w:name w:val="General"/>
          <w:gallery w:val="placeholder"/>
        </w:category>
        <w:types>
          <w:type w:val="bbPlcHdr"/>
        </w:types>
        <w:behaviors>
          <w:behavior w:val="content"/>
        </w:behaviors>
        <w:guid w:val="{004C03A9-B269-074E-8CB8-F470687DA21D}"/>
      </w:docPartPr>
      <w:docPartBody>
        <w:p w:rsidR="00B06909" w:rsidRDefault="00B06909" w:rsidP="00B06909">
          <w:pPr>
            <w:pStyle w:val="A95B58023D9C034CA40E7185A8E89920"/>
          </w:pPr>
          <w:r w:rsidRPr="00301DEF">
            <w:rPr>
              <w:rStyle w:val="PlaceholderText"/>
            </w:rPr>
            <w:t>[Subject]</w:t>
          </w:r>
        </w:p>
      </w:docPartBody>
    </w:docPart>
    <w:docPart>
      <w:docPartPr>
        <w:name w:val="7EACD5A7819CB94F9444579CE69D52FE"/>
        <w:category>
          <w:name w:val="General"/>
          <w:gallery w:val="placeholder"/>
        </w:category>
        <w:types>
          <w:type w:val="bbPlcHdr"/>
        </w:types>
        <w:behaviors>
          <w:behavior w:val="content"/>
        </w:behaviors>
        <w:guid w:val="{57C34059-C5BF-B64F-A76C-F2543F7998FC}"/>
      </w:docPartPr>
      <w:docPartBody>
        <w:p w:rsidR="00B06909" w:rsidRDefault="00B06909" w:rsidP="00B06909">
          <w:pPr>
            <w:pStyle w:val="7EACD5A7819CB94F9444579CE69D52FE"/>
          </w:pPr>
          <w:r w:rsidRPr="00301DEF">
            <w:rPr>
              <w:rStyle w:val="PlaceholderText"/>
            </w:rPr>
            <w:t>[Subject]</w:t>
          </w:r>
        </w:p>
      </w:docPartBody>
    </w:docPart>
    <w:docPart>
      <w:docPartPr>
        <w:name w:val="308A98F78DE14A1285108C2C5063AB8A"/>
        <w:category>
          <w:name w:val="General"/>
          <w:gallery w:val="placeholder"/>
        </w:category>
        <w:types>
          <w:type w:val="bbPlcHdr"/>
        </w:types>
        <w:behaviors>
          <w:behavior w:val="content"/>
        </w:behaviors>
        <w:guid w:val="{51B9570E-891B-425D-BA43-B44B9A4F649D}"/>
      </w:docPartPr>
      <w:docPartBody>
        <w:p w:rsidR="00403FF5" w:rsidRDefault="00403FF5" w:rsidP="00403FF5">
          <w:pPr>
            <w:pStyle w:val="308A98F78DE14A1285108C2C5063AB8A"/>
          </w:pPr>
          <w:r w:rsidRPr="007E02EB">
            <w:rPr>
              <w:rStyle w:val="PlaceholderText"/>
            </w:rPr>
            <w:t>[Status]</w:t>
          </w:r>
        </w:p>
      </w:docPartBody>
    </w:docPart>
    <w:docPart>
      <w:docPartPr>
        <w:name w:val="BB98BD2C3DFC4E4AB71818DBC40457E6"/>
        <w:category>
          <w:name w:val="General"/>
          <w:gallery w:val="placeholder"/>
        </w:category>
        <w:types>
          <w:type w:val="bbPlcHdr"/>
        </w:types>
        <w:behaviors>
          <w:behavior w:val="content"/>
        </w:behaviors>
        <w:guid w:val="{A27EE7C3-A42B-4565-A11E-749AD93EA540}"/>
      </w:docPartPr>
      <w:docPartBody>
        <w:p w:rsidR="00403FF5" w:rsidRDefault="00403FF5" w:rsidP="00403FF5">
          <w:pPr>
            <w:pStyle w:val="BB98BD2C3DFC4E4AB71818DBC40457E6"/>
          </w:pPr>
          <w:r w:rsidRPr="007E02EB">
            <w:rPr>
              <w:rStyle w:val="PlaceholderText"/>
            </w:rPr>
            <w:t>[Subject]</w:t>
          </w:r>
        </w:p>
      </w:docPartBody>
    </w:docPart>
    <w:docPart>
      <w:docPartPr>
        <w:name w:val="243CB10832A64631B2231A19317D9BB5"/>
        <w:category>
          <w:name w:val="General"/>
          <w:gallery w:val="placeholder"/>
        </w:category>
        <w:types>
          <w:type w:val="bbPlcHdr"/>
        </w:types>
        <w:behaviors>
          <w:behavior w:val="content"/>
        </w:behaviors>
        <w:guid w:val="{3C792EDF-81AA-4F76-97DB-C755CBA52BED}"/>
      </w:docPartPr>
      <w:docPartBody>
        <w:p w:rsidR="00403FF5" w:rsidRDefault="00403FF5" w:rsidP="00403FF5">
          <w:pPr>
            <w:pStyle w:val="243CB10832A64631B2231A19317D9BB5"/>
          </w:pPr>
          <w:r w:rsidRPr="00301DEF">
            <w:rPr>
              <w:rStyle w:val="PlaceholderText"/>
            </w:rPr>
            <w:t>[Subject]</w:t>
          </w:r>
        </w:p>
      </w:docPartBody>
    </w:docPart>
    <w:docPart>
      <w:docPartPr>
        <w:name w:val="CD3BC79CB8BC4E798BC5197B92C2CAD7"/>
        <w:category>
          <w:name w:val="General"/>
          <w:gallery w:val="placeholder"/>
        </w:category>
        <w:types>
          <w:type w:val="bbPlcHdr"/>
        </w:types>
        <w:behaviors>
          <w:behavior w:val="content"/>
        </w:behaviors>
        <w:guid w:val="{301CD248-CC3B-45E1-A4B7-27251BF5DC91}"/>
      </w:docPartPr>
      <w:docPartBody>
        <w:p w:rsidR="00403FF5" w:rsidRDefault="00403FF5" w:rsidP="00403FF5">
          <w:pPr>
            <w:pStyle w:val="CD3BC79CB8BC4E798BC5197B92C2CAD7"/>
          </w:pPr>
          <w:r w:rsidRPr="00301DEF">
            <w:rPr>
              <w:rStyle w:val="PlaceholderText"/>
            </w:rPr>
            <w:t>[Subject]</w:t>
          </w:r>
        </w:p>
      </w:docPartBody>
    </w:docPart>
    <w:docPart>
      <w:docPartPr>
        <w:name w:val="462ECA1ECA544C0F820DF90132CF9BCD"/>
        <w:category>
          <w:name w:val="General"/>
          <w:gallery w:val="placeholder"/>
        </w:category>
        <w:types>
          <w:type w:val="bbPlcHdr"/>
        </w:types>
        <w:behaviors>
          <w:behavior w:val="content"/>
        </w:behaviors>
        <w:guid w:val="{E561C51A-2AB4-4038-A707-4DE7B6046C28}"/>
      </w:docPartPr>
      <w:docPartBody>
        <w:p w:rsidR="00403FF5" w:rsidRDefault="00403FF5" w:rsidP="00403FF5">
          <w:pPr>
            <w:pStyle w:val="462ECA1ECA544C0F820DF90132CF9BCD"/>
          </w:pPr>
          <w:r w:rsidRPr="00301DEF">
            <w:rPr>
              <w:rStyle w:val="PlaceholderText"/>
            </w:rPr>
            <w:t>[Subject]</w:t>
          </w:r>
        </w:p>
      </w:docPartBody>
    </w:docPart>
    <w:docPart>
      <w:docPartPr>
        <w:name w:val="B26709215828422082B75E3ED8F8A2E0"/>
        <w:category>
          <w:name w:val="General"/>
          <w:gallery w:val="placeholder"/>
        </w:category>
        <w:types>
          <w:type w:val="bbPlcHdr"/>
        </w:types>
        <w:behaviors>
          <w:behavior w:val="content"/>
        </w:behaviors>
        <w:guid w:val="{2B4247FD-039C-4C68-A601-2DFEAC6E5AD1}"/>
      </w:docPartPr>
      <w:docPartBody>
        <w:p w:rsidR="00403FF5" w:rsidRDefault="00403FF5" w:rsidP="00403FF5">
          <w:pPr>
            <w:pStyle w:val="B26709215828422082B75E3ED8F8A2E0"/>
          </w:pPr>
          <w:r w:rsidRPr="00301DEF">
            <w:rPr>
              <w:rStyle w:val="PlaceholderText"/>
            </w:rPr>
            <w:t>[Subject]</w:t>
          </w:r>
        </w:p>
      </w:docPartBody>
    </w:docPart>
    <w:docPart>
      <w:docPartPr>
        <w:name w:val="A2D3A7E4BEF6403D951970FC03D8691A"/>
        <w:category>
          <w:name w:val="General"/>
          <w:gallery w:val="placeholder"/>
        </w:category>
        <w:types>
          <w:type w:val="bbPlcHdr"/>
        </w:types>
        <w:behaviors>
          <w:behavior w:val="content"/>
        </w:behaviors>
        <w:guid w:val="{60EE13BD-1B65-40A8-A780-73DF4B3436AE}"/>
      </w:docPartPr>
      <w:docPartBody>
        <w:p w:rsidR="00EE17A8" w:rsidRDefault="00403FF5">
          <w:r w:rsidRPr="000A3B17">
            <w:rPr>
              <w:rStyle w:val="PlaceholderText"/>
              <w:rPrChange w:id="0" w:author="Veronique Lefebvre" w:date="2019-11-11T12:40:00Z">
                <w:rPr>
                  <w:rFonts w:eastAsia="Malgun Gothic"/>
                  <w:sz w:val="20"/>
                  <w:szCs w:val="20"/>
                </w:rPr>
              </w:rPrChange>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New Roman Bold">
    <w:panose1 w:val="0202080307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Univers">
    <w:altName w:val="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M+ 2p regular">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ndalus">
    <w:charset w:val="00"/>
    <w:family w:val="roman"/>
    <w:pitch w:val="variable"/>
    <w:sig w:usb0="00002003" w:usb1="80000000" w:usb2="00000008" w:usb3="00000000" w:csb0="00000041" w:csb1="00000000"/>
  </w:font>
  <w:font w:name="AdvP3E76B0">
    <w:altName w:val="Cambria"/>
    <w:panose1 w:val="00000000000000000000"/>
    <w:charset w:val="00"/>
    <w:family w:val="roman"/>
    <w:notTrueType/>
    <w:pitch w:val="default"/>
    <w:sig w:usb0="00000003" w:usb1="00000000" w:usb2="00000000" w:usb3="00000000" w:csb0="00000001" w:csb1="00000000"/>
  </w:font>
  <w:font w:name="AdvTT3713a231">
    <w:altName w:val="Times New Roman"/>
    <w:panose1 w:val="00000000000000000000"/>
    <w:charset w:val="00"/>
    <w:family w:val="roman"/>
    <w:notTrueType/>
    <w:pitch w:val="default"/>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formatting="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03C"/>
    <w:rsid w:val="00047B4C"/>
    <w:rsid w:val="00062E49"/>
    <w:rsid w:val="00110C93"/>
    <w:rsid w:val="00240E88"/>
    <w:rsid w:val="003D160B"/>
    <w:rsid w:val="00403FF5"/>
    <w:rsid w:val="00470FCD"/>
    <w:rsid w:val="004917CD"/>
    <w:rsid w:val="004A59BF"/>
    <w:rsid w:val="006A21DE"/>
    <w:rsid w:val="006A3528"/>
    <w:rsid w:val="00701FB0"/>
    <w:rsid w:val="00781B7A"/>
    <w:rsid w:val="0086116D"/>
    <w:rsid w:val="008C376C"/>
    <w:rsid w:val="009C41A9"/>
    <w:rsid w:val="00A40CC8"/>
    <w:rsid w:val="00AA55A7"/>
    <w:rsid w:val="00AB500C"/>
    <w:rsid w:val="00AC2C3C"/>
    <w:rsid w:val="00B06909"/>
    <w:rsid w:val="00C11AD7"/>
    <w:rsid w:val="00C6337A"/>
    <w:rsid w:val="00CA03DC"/>
    <w:rsid w:val="00D4303C"/>
    <w:rsid w:val="00EA0AF5"/>
    <w:rsid w:val="00EE17A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403FF5"/>
    <w:rPr>
      <w:color w:val="808080"/>
    </w:rPr>
  </w:style>
  <w:style w:type="paragraph" w:customStyle="1" w:styleId="A95B58023D9C034CA40E7185A8E89920">
    <w:name w:val="A95B58023D9C034CA40E7185A8E89920"/>
    <w:rsid w:val="00B06909"/>
    <w:pPr>
      <w:spacing w:after="0" w:line="240" w:lineRule="auto"/>
    </w:pPr>
    <w:rPr>
      <w:sz w:val="24"/>
      <w:szCs w:val="24"/>
      <w:lang w:val="en-CA"/>
    </w:rPr>
  </w:style>
  <w:style w:type="paragraph" w:customStyle="1" w:styleId="7EACD5A7819CB94F9444579CE69D52FE">
    <w:name w:val="7EACD5A7819CB94F9444579CE69D52FE"/>
    <w:rsid w:val="00B06909"/>
    <w:pPr>
      <w:spacing w:after="0" w:line="240" w:lineRule="auto"/>
    </w:pPr>
    <w:rPr>
      <w:sz w:val="24"/>
      <w:szCs w:val="24"/>
      <w:lang w:val="en-CA"/>
    </w:rPr>
  </w:style>
  <w:style w:type="paragraph" w:customStyle="1" w:styleId="308A98F78DE14A1285108C2C5063AB8A">
    <w:name w:val="308A98F78DE14A1285108C2C5063AB8A"/>
    <w:rsid w:val="00403FF5"/>
    <w:rPr>
      <w:lang w:val="en-CA" w:eastAsia="en-CA"/>
    </w:rPr>
  </w:style>
  <w:style w:type="paragraph" w:customStyle="1" w:styleId="BB98BD2C3DFC4E4AB71818DBC40457E6">
    <w:name w:val="BB98BD2C3DFC4E4AB71818DBC40457E6"/>
    <w:rsid w:val="00403FF5"/>
    <w:rPr>
      <w:lang w:val="en-CA" w:eastAsia="en-CA"/>
    </w:rPr>
  </w:style>
  <w:style w:type="paragraph" w:customStyle="1" w:styleId="AC32407A71B14D0198A5D45F2EC8BCB6">
    <w:name w:val="AC32407A71B14D0198A5D45F2EC8BCB6"/>
    <w:rsid w:val="00403FF5"/>
    <w:rPr>
      <w:lang w:val="en-CA" w:eastAsia="en-CA"/>
    </w:rPr>
  </w:style>
  <w:style w:type="paragraph" w:customStyle="1" w:styleId="243CB10832A64631B2231A19317D9BB5">
    <w:name w:val="243CB10832A64631B2231A19317D9BB5"/>
    <w:rsid w:val="00403FF5"/>
    <w:rPr>
      <w:lang w:val="en-CA" w:eastAsia="en-CA"/>
    </w:rPr>
  </w:style>
  <w:style w:type="paragraph" w:customStyle="1" w:styleId="CD3BC79CB8BC4E798BC5197B92C2CAD7">
    <w:name w:val="CD3BC79CB8BC4E798BC5197B92C2CAD7"/>
    <w:rsid w:val="00403FF5"/>
    <w:rPr>
      <w:lang w:val="en-CA" w:eastAsia="en-CA"/>
    </w:rPr>
  </w:style>
  <w:style w:type="paragraph" w:customStyle="1" w:styleId="462ECA1ECA544C0F820DF90132CF9BCD">
    <w:name w:val="462ECA1ECA544C0F820DF90132CF9BCD"/>
    <w:rsid w:val="00403FF5"/>
    <w:rPr>
      <w:lang w:val="en-CA" w:eastAsia="en-CA"/>
    </w:rPr>
  </w:style>
  <w:style w:type="paragraph" w:customStyle="1" w:styleId="B26709215828422082B75E3ED8F8A2E0">
    <w:name w:val="B26709215828422082B75E3ED8F8A2E0"/>
    <w:rsid w:val="00403FF5"/>
    <w:rPr>
      <w:lang w:val="en-CA" w:eastAsia="en-CA"/>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536A7-B1AB-4EC7-93E5-CCA7E600E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149100</Words>
  <Characters>849871</Characters>
  <Application>Microsoft Office Word</Application>
  <DocSecurity>0</DocSecurity>
  <Lines>7082</Lines>
  <Paragraphs>1993</Paragraphs>
  <ScaleCrop>false</ScaleCrop>
  <HeadingPairs>
    <vt:vector size="2" baseType="variant">
      <vt:variant>
        <vt:lpstr>Title</vt:lpstr>
      </vt:variant>
      <vt:variant>
        <vt:i4>1</vt:i4>
      </vt:variant>
    </vt:vector>
  </HeadingPairs>
  <TitlesOfParts>
    <vt:vector size="1" baseType="lpstr">
      <vt:lpstr>Report of the regional workshop to facilitate the description of ecologically or biologically significant marine areas in THE NORTH-EAST ATLANTIC OCEAN</vt:lpstr>
    </vt:vector>
  </TitlesOfParts>
  <Company>SCBD</Company>
  <LinksUpToDate>false</LinksUpToDate>
  <CharactersWithSpaces>996978</CharactersWithSpaces>
  <SharedDoc>false</SharedDoc>
  <HLinks>
    <vt:vector size="54" baseType="variant">
      <vt:variant>
        <vt:i4>2555967</vt:i4>
      </vt:variant>
      <vt:variant>
        <vt:i4>24</vt:i4>
      </vt:variant>
      <vt:variant>
        <vt:i4>0</vt:i4>
      </vt:variant>
      <vt:variant>
        <vt:i4>5</vt:i4>
      </vt:variant>
      <vt:variant>
        <vt:lpwstr>http://www.cbd.int/ebsa</vt:lpwstr>
      </vt:variant>
      <vt:variant>
        <vt:lpwstr/>
      </vt:variant>
      <vt:variant>
        <vt:i4>8257635</vt:i4>
      </vt:variant>
      <vt:variant>
        <vt:i4>21</vt:i4>
      </vt:variant>
      <vt:variant>
        <vt:i4>0</vt:i4>
      </vt:variant>
      <vt:variant>
        <vt:i4>5</vt:i4>
      </vt:variant>
      <vt:variant>
        <vt:lpwstr>https://www.cbd.int/doc/meetings/mar/ebsaws-2014-03/other/ebsaws-2014-03-ebsa-brochure-2012-en.pdf</vt:lpwstr>
      </vt:variant>
      <vt:variant>
        <vt:lpwstr/>
      </vt:variant>
      <vt:variant>
        <vt:i4>6094868</vt:i4>
      </vt:variant>
      <vt:variant>
        <vt:i4>18</vt:i4>
      </vt:variant>
      <vt:variant>
        <vt:i4>0</vt:i4>
      </vt:variant>
      <vt:variant>
        <vt:i4>5</vt:i4>
      </vt:variant>
      <vt:variant>
        <vt:lpwstr>https://www.cbd.int/doc/meetings/sbstta/sbstta-16/information/sbstta-16-inf-09-en.pdf</vt:lpwstr>
      </vt:variant>
      <vt:variant>
        <vt:lpwstr/>
      </vt:variant>
      <vt:variant>
        <vt:i4>2818101</vt:i4>
      </vt:variant>
      <vt:variant>
        <vt:i4>15</vt:i4>
      </vt:variant>
      <vt:variant>
        <vt:i4>0</vt:i4>
      </vt:variant>
      <vt:variant>
        <vt:i4>5</vt:i4>
      </vt:variant>
      <vt:variant>
        <vt:lpwstr>https://www.cbd.int/doc/meetings/mar/ewbcsima-01/official/ewbcsima-01-02-en.pdf</vt:lpwstr>
      </vt:variant>
      <vt:variant>
        <vt:lpwstr/>
      </vt:variant>
      <vt:variant>
        <vt:i4>5308440</vt:i4>
      </vt:variant>
      <vt:variant>
        <vt:i4>12</vt:i4>
      </vt:variant>
      <vt:variant>
        <vt:i4>0</vt:i4>
      </vt:variant>
      <vt:variant>
        <vt:i4>5</vt:i4>
      </vt:variant>
      <vt:variant>
        <vt:lpwstr>https://www.cbd.int/doc/meetings/mar/ewsebm-01/official/ewsebm-01-02-en.pdfhttps:/www.cbd.int/doc/meetings/mar/ewsebm-01/official/ewsebm-01-02-en.pdf</vt:lpwstr>
      </vt:variant>
      <vt:variant>
        <vt:lpwstr/>
      </vt:variant>
      <vt:variant>
        <vt:i4>7274557</vt:i4>
      </vt:variant>
      <vt:variant>
        <vt:i4>9</vt:i4>
      </vt:variant>
      <vt:variant>
        <vt:i4>0</vt:i4>
      </vt:variant>
      <vt:variant>
        <vt:i4>5</vt:i4>
      </vt:variant>
      <vt:variant>
        <vt:lpwstr>https://www.cbd.int/doc/meetings/mar/cbwsoi-wafr-01/other/cbwsoi-wafr-01-azores-brochure-en.pdf</vt:lpwstr>
      </vt:variant>
      <vt:variant>
        <vt:lpwstr/>
      </vt:variant>
      <vt:variant>
        <vt:i4>1310814</vt:i4>
      </vt:variant>
      <vt:variant>
        <vt:i4>6</vt:i4>
      </vt:variant>
      <vt:variant>
        <vt:i4>0</vt:i4>
      </vt:variant>
      <vt:variant>
        <vt:i4>5</vt:i4>
      </vt:variant>
      <vt:variant>
        <vt:lpwstr>https://www.cbd.int/doc/meetings/mar/ebsaws-2015-03/other/ebsaws-2015-03-info-note-en.pdf</vt:lpwstr>
      </vt:variant>
      <vt:variant>
        <vt:lpwstr/>
      </vt:variant>
      <vt:variant>
        <vt:i4>3997741</vt:i4>
      </vt:variant>
      <vt:variant>
        <vt:i4>3</vt:i4>
      </vt:variant>
      <vt:variant>
        <vt:i4>0</vt:i4>
      </vt:variant>
      <vt:variant>
        <vt:i4>5</vt:i4>
      </vt:variant>
      <vt:variant>
        <vt:lpwstr>https://www.cbd.int/meetings/EBSAWS-2018-01</vt:lpwstr>
      </vt:variant>
      <vt:variant>
        <vt:lpwstr/>
      </vt:variant>
      <vt:variant>
        <vt:i4>1769557</vt:i4>
      </vt:variant>
      <vt:variant>
        <vt:i4>0</vt:i4>
      </vt:variant>
      <vt:variant>
        <vt:i4>0</vt:i4>
      </vt:variant>
      <vt:variant>
        <vt:i4>5</vt:i4>
      </vt:variant>
      <vt:variant>
        <vt:lpwstr>https://www.cbd.int/doc/c/b8c2/1180/1269ab339376c1e4eb183892/ebsaws-2018-01-info-note-en.pdf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of the regional workshop to facilitate the description of ecologically or biologically significant marine areas in THE NORTH-EAST ATLANTIC OCEAN</dc:title>
  <dc:subject>CBD/EBSA/WS/2019/1/4</dc:subject>
  <dc:creator>SCBD</dc:creator>
  <cp:keywords>Regional workshop to facilitate the description of ecologically or biologically significant marine areas in THE NORTH-EAST ATLANTIC OCEAN, Stockholm, 22-27 September 2019</cp:keywords>
  <cp:lastModifiedBy>Veronique Lefebvre</cp:lastModifiedBy>
  <cp:revision>2</cp:revision>
  <cp:lastPrinted>2015-03-12T18:53:00Z</cp:lastPrinted>
  <dcterms:created xsi:type="dcterms:W3CDTF">2019-12-28T18:21:00Z</dcterms:created>
  <dcterms:modified xsi:type="dcterms:W3CDTF">2019-12-28T18:21:00Z</dcterms:modified>
  <cp:contentStatus>GENERAL</cp:contentStatus>
</cp:coreProperties>
</file>