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A03095" w:rsidRPr="00607DE5" w:rsidTr="00F85601">
        <w:trPr>
          <w:trHeight w:val="851"/>
        </w:trPr>
        <w:tc>
          <w:tcPr>
            <w:tcW w:w="976" w:type="dxa"/>
            <w:tcBorders>
              <w:bottom w:val="single" w:sz="12" w:space="0" w:color="auto"/>
            </w:tcBorders>
          </w:tcPr>
          <w:p w:rsidR="00A03095" w:rsidRPr="00380B83" w:rsidRDefault="002B333B" w:rsidP="00BC5783">
            <w:r>
              <w:rPr>
                <w:noProof/>
                <w:lang w:val="en-GB" w:eastAsia="en-GB"/>
              </w:rPr>
              <w:drawing>
                <wp:anchor distT="0" distB="0" distL="114300" distR="114300" simplePos="0" relativeHeight="251658241" behindDoc="0" locked="0" layoutInCell="1" allowOverlap="1">
                  <wp:simplePos x="0" y="0"/>
                  <wp:positionH relativeFrom="column">
                    <wp:posOffset>365</wp:posOffset>
                  </wp:positionH>
                  <wp:positionV relativeFrom="page">
                    <wp:posOffset>-122</wp:posOffset>
                  </wp:positionV>
                  <wp:extent cx="476250" cy="402590"/>
                  <wp:effectExtent l="0" t="0" r="0" b="0"/>
                  <wp:wrapNone/>
                  <wp:docPr id="6" name="Pictur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A03095" w:rsidRPr="00380B83" w:rsidRDefault="00ED7990" w:rsidP="00BC5783">
            <w:r w:rsidRPr="00ED7990">
              <w:rPr>
                <w:noProof/>
                <w:lang w:val="en-GB" w:eastAsia="en-GB"/>
              </w:rPr>
              <w:drawing>
                <wp:inline distT="0" distB="0" distL="0" distR="0">
                  <wp:extent cx="866775" cy="372745"/>
                  <wp:effectExtent l="0" t="0" r="0" b="8255"/>
                  <wp:docPr id="2"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a:extLst>
                              <a:ext uri="{28A0092B-C50C-407E-A947-70E740481C1C}">
                                <a14:useLocalDpi xmlns:a14="http://schemas.microsoft.com/office/drawing/2010/main" val="0"/>
                              </a:ext>
                            </a:extLst>
                          </a:blip>
                          <a:srcRect b="41057"/>
                          <a:stretch>
                            <a:fillRect/>
                          </a:stretch>
                        </pic:blipFill>
                        <pic:spPr bwMode="auto">
                          <a:xfrm>
                            <a:off x="0" y="0"/>
                            <a:ext cx="866775" cy="372745"/>
                          </a:xfrm>
                          <a:prstGeom prst="rect">
                            <a:avLst/>
                          </a:prstGeom>
                          <a:noFill/>
                          <a:ln>
                            <a:noFill/>
                          </a:ln>
                        </pic:spPr>
                      </pic:pic>
                    </a:graphicData>
                  </a:graphic>
                </wp:inline>
              </w:drawing>
            </w:r>
          </w:p>
        </w:tc>
        <w:tc>
          <w:tcPr>
            <w:tcW w:w="4090" w:type="dxa"/>
            <w:tcBorders>
              <w:bottom w:val="single" w:sz="12" w:space="0" w:color="auto"/>
            </w:tcBorders>
          </w:tcPr>
          <w:p w:rsidR="00A03095" w:rsidRPr="00607DE5" w:rsidRDefault="00A03095" w:rsidP="00BC5783">
            <w:pPr>
              <w:jc w:val="right"/>
              <w:rPr>
                <w:rFonts w:ascii="Arial" w:hAnsi="Arial" w:cs="Arial"/>
                <w:b/>
                <w:sz w:val="32"/>
                <w:szCs w:val="32"/>
              </w:rPr>
            </w:pPr>
            <w:r>
              <w:rPr>
                <w:rFonts w:ascii="Arial" w:hAnsi="Arial"/>
                <w:b/>
                <w:sz w:val="32"/>
                <w:szCs w:val="32"/>
              </w:rPr>
              <w:t>CBD</w:t>
            </w:r>
          </w:p>
        </w:tc>
      </w:tr>
    </w:tbl>
    <w:tbl>
      <w:tblPr>
        <w:tblStyle w:val="TableGrid"/>
        <w:tblW w:w="102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5465"/>
      </w:tblGrid>
      <w:tr w:rsidR="00C9161D" w:rsidRPr="00607DE5" w:rsidTr="00A03095">
        <w:tc>
          <w:tcPr>
            <w:tcW w:w="4776" w:type="dxa"/>
            <w:tcBorders>
              <w:top w:val="single" w:sz="12" w:space="0" w:color="auto"/>
              <w:bottom w:val="single" w:sz="36" w:space="0" w:color="auto"/>
            </w:tcBorders>
            <w:vAlign w:val="center"/>
          </w:tcPr>
          <w:p w:rsidR="00C9161D" w:rsidRPr="00380B83" w:rsidRDefault="00ED7990" w:rsidP="00BC5783">
            <w:pPr>
              <w:suppressLineNumbers/>
              <w:suppressAutoHyphens/>
              <w:adjustRightInd w:val="0"/>
              <w:snapToGrid w:val="0"/>
              <w:rPr>
                <w:kern w:val="22"/>
              </w:rPr>
            </w:pPr>
            <w:r w:rsidRPr="00ED7990">
              <w:rPr>
                <w:noProof/>
                <w:lang w:val="en-GB" w:eastAsia="en-GB"/>
              </w:rPr>
              <w:drawing>
                <wp:inline distT="0" distB="0" distL="0" distR="0">
                  <wp:extent cx="2614295" cy="1090295"/>
                  <wp:effectExtent l="0" t="0" r="1905" b="1905"/>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4295" cy="1090295"/>
                          </a:xfrm>
                          <a:prstGeom prst="rect">
                            <a:avLst/>
                          </a:prstGeom>
                          <a:noFill/>
                          <a:ln>
                            <a:noFill/>
                          </a:ln>
                        </pic:spPr>
                      </pic:pic>
                    </a:graphicData>
                  </a:graphic>
                </wp:inline>
              </w:drawing>
            </w:r>
          </w:p>
        </w:tc>
        <w:tc>
          <w:tcPr>
            <w:tcW w:w="5465" w:type="dxa"/>
            <w:tcBorders>
              <w:top w:val="single" w:sz="12" w:space="0" w:color="auto"/>
              <w:bottom w:val="single" w:sz="36" w:space="0" w:color="auto"/>
            </w:tcBorders>
          </w:tcPr>
          <w:p w:rsidR="00C9161D" w:rsidRPr="007967F5" w:rsidRDefault="00C9161D" w:rsidP="00BC5783">
            <w:pPr>
              <w:suppressLineNumbers/>
              <w:suppressAutoHyphens/>
              <w:adjustRightInd w:val="0"/>
              <w:snapToGrid w:val="0"/>
              <w:ind w:left="2809"/>
              <w:jc w:val="left"/>
              <w:rPr>
                <w:kern w:val="22"/>
                <w:szCs w:val="22"/>
                <w:lang w:val="en-GB"/>
              </w:rPr>
            </w:pPr>
            <w:r w:rsidRPr="007967F5">
              <w:rPr>
                <w:lang w:val="en-GB"/>
              </w:rPr>
              <w:t>Distr.</w:t>
            </w:r>
          </w:p>
          <w:p w:rsidR="00C9161D" w:rsidRPr="007967F5" w:rsidRDefault="00650CD6" w:rsidP="00BC5783">
            <w:pPr>
              <w:suppressLineNumbers/>
              <w:suppressAutoHyphens/>
              <w:adjustRightInd w:val="0"/>
              <w:snapToGrid w:val="0"/>
              <w:ind w:left="2809"/>
              <w:jc w:val="left"/>
              <w:rPr>
                <w:kern w:val="22"/>
                <w:szCs w:val="22"/>
                <w:lang w:val="en-GB"/>
              </w:rPr>
            </w:pPr>
            <w:sdt>
              <w:sdtPr>
                <w:rPr>
                  <w:kern w:val="22"/>
                  <w:szCs w:val="22"/>
                  <w:lang w:val="en-GB"/>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6F4227" w:rsidRPr="007967F5">
                  <w:rPr>
                    <w:kern w:val="22"/>
                    <w:szCs w:val="22"/>
                    <w:lang w:val="en-GB"/>
                  </w:rPr>
                  <w:t>GENERAL</w:t>
                </w:r>
              </w:sdtContent>
            </w:sdt>
          </w:p>
          <w:p w:rsidR="00C9161D" w:rsidRPr="007967F5" w:rsidRDefault="00C9161D" w:rsidP="00BC5783">
            <w:pPr>
              <w:suppressLineNumbers/>
              <w:suppressAutoHyphens/>
              <w:adjustRightInd w:val="0"/>
              <w:snapToGrid w:val="0"/>
              <w:ind w:left="2809"/>
              <w:jc w:val="left"/>
              <w:rPr>
                <w:kern w:val="22"/>
                <w:szCs w:val="22"/>
                <w:lang w:val="en-GB"/>
              </w:rPr>
            </w:pPr>
          </w:p>
          <w:p w:rsidR="00C9161D" w:rsidRPr="007967F5" w:rsidRDefault="00650CD6" w:rsidP="00BC5783">
            <w:pPr>
              <w:suppressLineNumbers/>
              <w:suppressAutoHyphens/>
              <w:adjustRightInd w:val="0"/>
              <w:snapToGrid w:val="0"/>
              <w:ind w:left="2809"/>
              <w:jc w:val="left"/>
              <w:rPr>
                <w:kern w:val="22"/>
                <w:szCs w:val="22"/>
                <w:lang w:val="en-GB"/>
              </w:rPr>
            </w:pPr>
            <w:sdt>
              <w:sdtPr>
                <w:rPr>
                  <w:kern w:val="22"/>
                  <w:lang w:val="en-GB"/>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9F14BF" w:rsidRPr="007967F5">
                  <w:rPr>
                    <w:kern w:val="22"/>
                    <w:lang w:val="en-GB"/>
                  </w:rPr>
                  <w:t>CBD/SBI/3/5/Add.1</w:t>
                </w:r>
              </w:sdtContent>
            </w:sdt>
          </w:p>
          <w:p w:rsidR="00C9161D" w:rsidRPr="007967F5" w:rsidRDefault="00650CD6" w:rsidP="00BC5783">
            <w:pPr>
              <w:suppressLineNumbers/>
              <w:suppressAutoHyphens/>
              <w:adjustRightInd w:val="0"/>
              <w:snapToGrid w:val="0"/>
              <w:ind w:left="2809"/>
              <w:jc w:val="left"/>
              <w:rPr>
                <w:kern w:val="22"/>
                <w:szCs w:val="22"/>
                <w:lang w:val="en-GB"/>
              </w:rPr>
            </w:pPr>
            <w:sdt>
              <w:sdtPr>
                <w:rPr>
                  <w:kern w:val="22"/>
                  <w:szCs w:val="22"/>
                  <w:lang w:val="en-GB"/>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dateFormat w:val="d MMMM yyyy"/>
                  <w:lid w:val="ru-RU"/>
                  <w:storeMappedDataAs w:val="dateTime"/>
                  <w:calendar w:val="gregorian"/>
                </w:date>
              </w:sdtPr>
              <w:sdtEndPr/>
              <w:sdtContent>
                <w:r w:rsidR="000F3AD5" w:rsidRPr="00697952">
                  <w:rPr>
                    <w:kern w:val="22"/>
                    <w:szCs w:val="22"/>
                    <w:lang w:val="en-GB"/>
                  </w:rPr>
                  <w:t xml:space="preserve">8 </w:t>
                </w:r>
                <w:proofErr w:type="spellStart"/>
                <w:r w:rsidR="000F3AD5" w:rsidRPr="00697952">
                  <w:rPr>
                    <w:kern w:val="22"/>
                    <w:szCs w:val="22"/>
                    <w:lang w:val="en-GB"/>
                  </w:rPr>
                  <w:t>Juin</w:t>
                </w:r>
                <w:proofErr w:type="spellEnd"/>
                <w:r w:rsidR="000F3AD5" w:rsidRPr="00697952">
                  <w:rPr>
                    <w:kern w:val="22"/>
                    <w:szCs w:val="22"/>
                    <w:lang w:val="en-GB"/>
                  </w:rPr>
                  <w:t xml:space="preserve"> 2020</w:t>
                </w:r>
              </w:sdtContent>
            </w:sdt>
          </w:p>
          <w:p w:rsidR="00C9161D" w:rsidRPr="007967F5" w:rsidRDefault="00C9161D" w:rsidP="00BC5783">
            <w:pPr>
              <w:suppressLineNumbers/>
              <w:suppressAutoHyphens/>
              <w:adjustRightInd w:val="0"/>
              <w:snapToGrid w:val="0"/>
              <w:ind w:left="2809"/>
              <w:jc w:val="left"/>
              <w:rPr>
                <w:kern w:val="22"/>
                <w:szCs w:val="22"/>
                <w:lang w:val="en-GB"/>
              </w:rPr>
            </w:pPr>
          </w:p>
          <w:p w:rsidR="00ED7990" w:rsidRPr="007967F5" w:rsidRDefault="00ED7990" w:rsidP="00BC5783">
            <w:pPr>
              <w:suppressLineNumbers/>
              <w:suppressAutoHyphens/>
              <w:adjustRightInd w:val="0"/>
              <w:snapToGrid w:val="0"/>
              <w:ind w:left="2809"/>
              <w:jc w:val="left"/>
              <w:rPr>
                <w:kern w:val="22"/>
                <w:szCs w:val="22"/>
                <w:lang w:val="en-GB"/>
              </w:rPr>
            </w:pPr>
            <w:r w:rsidRPr="007967F5">
              <w:rPr>
                <w:snapToGrid w:val="0"/>
                <w:szCs w:val="22"/>
                <w:lang w:val="en-GB"/>
              </w:rPr>
              <w:t>RUSSIAN</w:t>
            </w:r>
          </w:p>
          <w:p w:rsidR="00C9161D" w:rsidRPr="00607DE5" w:rsidRDefault="00C21F62" w:rsidP="00BC5783">
            <w:pPr>
              <w:suppressLineNumbers/>
              <w:suppressAutoHyphens/>
              <w:adjustRightInd w:val="0"/>
              <w:snapToGrid w:val="0"/>
              <w:ind w:left="2809"/>
              <w:jc w:val="left"/>
              <w:rPr>
                <w:kern w:val="22"/>
                <w:szCs w:val="22"/>
              </w:rPr>
            </w:pPr>
            <w:r>
              <w:t xml:space="preserve">ORIGINAL: ENGLISH </w:t>
            </w:r>
          </w:p>
          <w:p w:rsidR="00C9161D" w:rsidRPr="00607DE5" w:rsidRDefault="00C9161D" w:rsidP="00BC5783">
            <w:pPr>
              <w:suppressLineNumbers/>
              <w:suppressAutoHyphens/>
              <w:adjustRightInd w:val="0"/>
              <w:snapToGrid w:val="0"/>
              <w:jc w:val="left"/>
              <w:rPr>
                <w:kern w:val="22"/>
              </w:rPr>
            </w:pPr>
          </w:p>
        </w:tc>
      </w:tr>
    </w:tbl>
    <w:p w:rsidR="00CF4B58" w:rsidRPr="00607DE5" w:rsidRDefault="00CF4B58" w:rsidP="00ED7990">
      <w:pPr>
        <w:pStyle w:val="meetingname"/>
        <w:suppressLineNumbers/>
        <w:suppressAutoHyphens/>
        <w:ind w:left="0" w:right="4392" w:firstLine="0"/>
        <w:jc w:val="left"/>
        <w:rPr>
          <w:kern w:val="22"/>
        </w:rPr>
      </w:pPr>
      <w:bookmarkStart w:id="0" w:name="Meeting"/>
      <w:bookmarkStart w:id="1" w:name="_Hlk23262499"/>
      <w:r>
        <w:t>ВСПОМОГАТЕЛЬНЫЙ ОРГАН ПО ОСУЩЕСТВЛЕНИЮ</w:t>
      </w:r>
      <w:bookmarkEnd w:id="0"/>
    </w:p>
    <w:p w:rsidR="00CF4B58" w:rsidRPr="00607DE5" w:rsidRDefault="00CF4B58" w:rsidP="00BC5783">
      <w:pPr>
        <w:suppressLineNumbers/>
        <w:suppressAutoHyphens/>
        <w:rPr>
          <w:snapToGrid w:val="0"/>
          <w:kern w:val="22"/>
          <w:szCs w:val="22"/>
        </w:rPr>
      </w:pPr>
      <w:r>
        <w:rPr>
          <w:snapToGrid w:val="0"/>
          <w:szCs w:val="22"/>
        </w:rPr>
        <w:t>Третье совещание</w:t>
      </w:r>
    </w:p>
    <w:p w:rsidR="000F3AD5" w:rsidRPr="003D4CBE" w:rsidRDefault="000F3AD5" w:rsidP="000F3AD5">
      <w:pPr>
        <w:suppressLineNumbers/>
        <w:suppressAutoHyphens/>
        <w:kinsoku w:val="0"/>
        <w:overflowPunct w:val="0"/>
        <w:autoSpaceDE w:val="0"/>
        <w:autoSpaceDN w:val="0"/>
        <w:adjustRightInd w:val="0"/>
        <w:snapToGrid w:val="0"/>
        <w:ind w:left="284" w:hanging="284"/>
        <w:rPr>
          <w:snapToGrid w:val="0"/>
        </w:rPr>
      </w:pPr>
      <w:r w:rsidRPr="00C52B55">
        <w:rPr>
          <w:snapToGrid w:val="0"/>
        </w:rPr>
        <w:t>Квебек (</w:t>
      </w:r>
      <w:r>
        <w:rPr>
          <w:snapToGrid w:val="0"/>
        </w:rPr>
        <w:t xml:space="preserve">будет </w:t>
      </w:r>
      <w:r w:rsidRPr="00C52B55">
        <w:rPr>
          <w:snapToGrid w:val="0"/>
        </w:rPr>
        <w:t>подтвержден</w:t>
      </w:r>
      <w:r>
        <w:rPr>
          <w:snapToGrid w:val="0"/>
        </w:rPr>
        <w:t>о позднее</w:t>
      </w:r>
      <w:r w:rsidRPr="00C52B55">
        <w:rPr>
          <w:snapToGrid w:val="0"/>
        </w:rPr>
        <w:t xml:space="preserve">), Канада </w:t>
      </w:r>
    </w:p>
    <w:p w:rsidR="00CF4B58" w:rsidRPr="00607DE5" w:rsidRDefault="000F3AD5" w:rsidP="000F3AD5">
      <w:pPr>
        <w:suppressLineNumbers/>
        <w:suppressAutoHyphens/>
        <w:rPr>
          <w:snapToGrid w:val="0"/>
          <w:kern w:val="22"/>
          <w:szCs w:val="22"/>
        </w:rPr>
      </w:pPr>
      <w:r>
        <w:rPr>
          <w:snapToGrid w:val="0"/>
          <w:lang w:val="fr-FR"/>
        </w:rPr>
        <w:t>9-14</w:t>
      </w:r>
      <w:r w:rsidRPr="00C52B55">
        <w:rPr>
          <w:snapToGrid w:val="0"/>
        </w:rPr>
        <w:t xml:space="preserve"> ноября 2020 года</w:t>
      </w:r>
    </w:p>
    <w:p w:rsidR="00342241" w:rsidRPr="00607DE5" w:rsidRDefault="00CF4B58" w:rsidP="00342241">
      <w:pPr>
        <w:pStyle w:val="Header"/>
        <w:suppressLineNumbers/>
        <w:tabs>
          <w:tab w:val="clear" w:pos="4320"/>
          <w:tab w:val="clear" w:pos="8640"/>
        </w:tabs>
        <w:suppressAutoHyphens/>
        <w:rPr>
          <w:b/>
          <w:i/>
        </w:rPr>
      </w:pPr>
      <w:r>
        <w:rPr>
          <w:snapToGrid w:val="0"/>
          <w:szCs w:val="22"/>
        </w:rPr>
        <w:t>Пункт 6 предварительной повестки дня</w:t>
      </w:r>
      <w:bookmarkStart w:id="2" w:name="_Hlk35353706"/>
      <w:bookmarkEnd w:id="1"/>
      <w:bookmarkEnd w:id="2"/>
      <w:r w:rsidR="00342241" w:rsidRPr="00607DE5">
        <w:rPr>
          <w:rStyle w:val="FootnoteReference"/>
          <w:snapToGrid w:val="0"/>
          <w:kern w:val="22"/>
          <w:szCs w:val="22"/>
          <w:vertAlign w:val="baseline"/>
        </w:rPr>
        <w:footnoteReference w:customMarkFollows="1" w:id="2"/>
        <w:t>*</w:t>
      </w:r>
    </w:p>
    <w:p w:rsidR="001E433D" w:rsidRPr="007967F5" w:rsidRDefault="001E433D" w:rsidP="0030452E">
      <w:pPr>
        <w:pStyle w:val="Header"/>
        <w:suppressLineNumbers/>
        <w:tabs>
          <w:tab w:val="clear" w:pos="4320"/>
          <w:tab w:val="clear" w:pos="8640"/>
        </w:tabs>
        <w:suppressAutoHyphens/>
        <w:rPr>
          <w:b/>
          <w:i/>
        </w:rPr>
      </w:pPr>
    </w:p>
    <w:p w:rsidR="006726E9" w:rsidRPr="00607DE5" w:rsidRDefault="00246F3E" w:rsidP="006726E9">
      <w:pPr>
        <w:pStyle w:val="Para1"/>
        <w:keepNext/>
        <w:numPr>
          <w:ilvl w:val="0"/>
          <w:numId w:val="0"/>
        </w:numPr>
        <w:suppressLineNumbers/>
        <w:suppressAutoHyphens/>
        <w:spacing w:before="240"/>
        <w:jc w:val="center"/>
        <w:rPr>
          <w:b/>
          <w:bCs/>
          <w:caps/>
        </w:rPr>
      </w:pPr>
      <w:r>
        <w:rPr>
          <w:b/>
          <w:bCs/>
          <w:caps/>
        </w:rPr>
        <w:t xml:space="preserve">Оценка и обзор стратегии мобилизации ресурсов и Айтинской целевой задачи 20 в области биоразнообразия </w:t>
      </w:r>
    </w:p>
    <w:p w:rsidR="00187730" w:rsidRPr="00607DE5" w:rsidRDefault="001874FC" w:rsidP="00590D8C">
      <w:pPr>
        <w:pStyle w:val="Para1"/>
        <w:keepNext/>
        <w:numPr>
          <w:ilvl w:val="0"/>
          <w:numId w:val="0"/>
        </w:numPr>
        <w:suppressLineNumbers/>
        <w:suppressAutoHyphens/>
        <w:jc w:val="center"/>
        <w:rPr>
          <w:bCs/>
        </w:rPr>
      </w:pPr>
      <w:r>
        <w:rPr>
          <w:b/>
          <w:bCs/>
          <w:caps/>
        </w:rPr>
        <w:t>РЕЗЮМЕ ПЕРВОГО ДОКЛАДА ГРУППЫ ЭКСПЕРТОВ ПО МОБИЛИЗАЦИИ РЕСУРСОВ</w:t>
      </w:r>
    </w:p>
    <w:p w:rsidR="00531771" w:rsidRPr="00607DE5" w:rsidRDefault="003205BD" w:rsidP="002D4A62">
      <w:pPr>
        <w:pStyle w:val="Heading1"/>
        <w:suppressLineNumbers/>
        <w:tabs>
          <w:tab w:val="clear" w:pos="720"/>
        </w:tabs>
        <w:suppressAutoHyphens/>
      </w:pPr>
      <w:r>
        <w:t>I.</w:t>
      </w:r>
      <w:r>
        <w:tab/>
        <w:t>Введение</w:t>
      </w:r>
    </w:p>
    <w:p w:rsidR="00AF46BC" w:rsidRPr="00607DE5" w:rsidRDefault="00324BA1">
      <w:pPr>
        <w:pStyle w:val="Para1"/>
        <w:suppressLineNumbers/>
        <w:tabs>
          <w:tab w:val="clear" w:pos="360"/>
        </w:tabs>
        <w:suppressAutoHyphens/>
      </w:pPr>
      <w:r>
        <w:t xml:space="preserve">На 14-м совещании Конференции Сторон (Шарм-эш-Шейх, Египет) Стороны подтвердили, что мобилизация ресурсов станет неотъемлемой частью глобальной рамочной программы в области биоразнообразия на период после 2020 года, и постановили инициировать подготовку этого компонента на раннем этапе в процессе разработки рамочной программы в полном соответствии и координации с общим процессом, связанным с рамочной программой на период после 2020 года (решение </w:t>
      </w:r>
      <w:hyperlink r:id="rId15" w:history="1">
        <w:r>
          <w:rPr>
            <w:rStyle w:val="Hyperlink"/>
            <w:sz w:val="22"/>
          </w:rPr>
          <w:t>14/22</w:t>
        </w:r>
      </w:hyperlink>
      <w:r>
        <w:t>, пункт 14). В том же решении Конференция Сторон поручила Исполнительному секретарю заключить договор с группой экспертов для подготовки актуального анализа и докладов с целью их последующего рассмотрения Рабочей группой открытого состава и Конференцией Сторон на ее 15-м совещании (решение 14/22, пункт</w:t>
      </w:r>
      <w:r w:rsidR="009A3528">
        <w:t xml:space="preserve"> </w:t>
      </w:r>
      <w:r>
        <w:t xml:space="preserve">15). </w:t>
      </w:r>
    </w:p>
    <w:p w:rsidR="00324BA1" w:rsidRPr="00607DE5" w:rsidRDefault="00324BA1" w:rsidP="002D4A62">
      <w:pPr>
        <w:pStyle w:val="Para1"/>
        <w:suppressLineNumbers/>
        <w:tabs>
          <w:tab w:val="clear" w:pos="360"/>
        </w:tabs>
        <w:suppressAutoHyphens/>
      </w:pPr>
      <w:r>
        <w:t xml:space="preserve">В настоящем документе содержится обзор окончательного варианта </w:t>
      </w:r>
      <w:r>
        <w:rPr>
          <w:b/>
          <w:bCs/>
        </w:rPr>
        <w:t>первого доклада</w:t>
      </w:r>
      <w:r w:rsidR="0012507C" w:rsidRPr="002D4A62">
        <w:rPr>
          <w:rStyle w:val="FootnoteReference"/>
          <w:szCs w:val="22"/>
        </w:rPr>
        <w:footnoteReference w:id="3"/>
      </w:r>
      <w:r>
        <w:t xml:space="preserve"> группы экспертов </w:t>
      </w:r>
      <w:r w:rsidR="00CA7F43">
        <w:t>в</w:t>
      </w:r>
      <w:r>
        <w:t xml:space="preserve">о </w:t>
      </w:r>
      <w:r w:rsidR="00CA7F43">
        <w:t>исполнение</w:t>
      </w:r>
      <w:r>
        <w:t xml:space="preserve"> ее мандата и представлены ответы на вопросы, содержащиеся в пунктах 15 а) и 15 b) этого решения</w:t>
      </w:r>
      <w:r w:rsidR="00CA7F43">
        <w:t xml:space="preserve"> и касающиеся</w:t>
      </w:r>
      <w:r>
        <w:t>:</w:t>
      </w:r>
    </w:p>
    <w:p w:rsidR="00324BA1" w:rsidRPr="00607DE5" w:rsidRDefault="00F97AFE" w:rsidP="00C366D6">
      <w:pPr>
        <w:pStyle w:val="ListParagraph"/>
        <w:numPr>
          <w:ilvl w:val="0"/>
          <w:numId w:val="5"/>
        </w:numPr>
        <w:suppressLineNumbers/>
        <w:suppressAutoHyphens/>
        <w:spacing w:before="120" w:after="120"/>
        <w:ind w:left="0" w:firstLine="720"/>
        <w:contextualSpacing w:val="0"/>
        <w:rPr>
          <w:szCs w:val="22"/>
        </w:rPr>
      </w:pPr>
      <w:r>
        <w:t>оценк</w:t>
      </w:r>
      <w:r w:rsidR="00CA7F43">
        <w:t>и</w:t>
      </w:r>
      <w:r>
        <w:t xml:space="preserve"> структуры, содержания и эффективности стратегии мобилизации ресурсов с указанием возможных трудностей, мешающих выполнению задач; </w:t>
      </w:r>
      <w:r>
        <w:tab/>
        <w:t xml:space="preserve"> </w:t>
      </w:r>
    </w:p>
    <w:p w:rsidR="00324BA1" w:rsidRPr="00607DE5" w:rsidRDefault="00F97AFE" w:rsidP="00C366D6">
      <w:pPr>
        <w:pStyle w:val="ListParagraph"/>
        <w:numPr>
          <w:ilvl w:val="0"/>
          <w:numId w:val="5"/>
        </w:numPr>
        <w:suppressLineNumbers/>
        <w:suppressAutoHyphens/>
        <w:spacing w:before="120" w:after="120"/>
        <w:ind w:left="0" w:firstLine="720"/>
        <w:contextualSpacing w:val="0"/>
        <w:rPr>
          <w:szCs w:val="22"/>
        </w:rPr>
      </w:pPr>
      <w:r>
        <w:t xml:space="preserve">осуществления обзора опыта выполнения Айтинской целевой задачи 20 и осуществления стратегии мобилизации ресурсов и их соответствия требованиям исходя из этого опыта, а также опыта работы других соответствующих многосторонних природоохранных соглашений, инициатив государственных и частных субъектов деятельности и инициатив, предпринятых коренными народами и местными общинами, рассмотрение потребности в необходимых действиях на основе информации, представленной Сторонами посредством структуры представления финансовой отчетности, включая их соответствующие выявленные потребности в ресурсах, </w:t>
      </w:r>
      <w:r w:rsidR="00CA7F43">
        <w:t>а также на основе информации из</w:t>
      </w:r>
      <w:r>
        <w:t xml:space="preserve"> других соответствующих источников</w:t>
      </w:r>
      <w:r w:rsidR="00CA7F43">
        <w:t>.</w:t>
      </w:r>
    </w:p>
    <w:p w:rsidR="00246DAD" w:rsidRPr="00607DE5" w:rsidRDefault="0041134B" w:rsidP="00BC5783">
      <w:pPr>
        <w:pStyle w:val="Para1"/>
        <w:suppressLineNumbers/>
        <w:tabs>
          <w:tab w:val="clear" w:pos="360"/>
        </w:tabs>
        <w:suppressAutoHyphens/>
      </w:pPr>
      <w:r>
        <w:lastRenderedPageBreak/>
        <w:t xml:space="preserve">В целях оказания содействия работе группы в уведомлении </w:t>
      </w:r>
      <w:hyperlink r:id="rId16" w:history="1">
        <w:r>
          <w:rPr>
            <w:rStyle w:val="Hyperlink"/>
            <w:sz w:val="22"/>
          </w:rPr>
          <w:t>2019-086</w:t>
        </w:r>
      </w:hyperlink>
      <w:r>
        <w:t xml:space="preserve"> от 8 октября 2019 года содержался призыв представить фактические данные о мобилизации ресурсов; полученные материалы размещены по адресу:</w:t>
      </w:r>
      <w:r w:rsidR="007967F5" w:rsidRPr="007967F5">
        <w:t xml:space="preserve"> </w:t>
      </w:r>
      <w:hyperlink r:id="rId17" w:history="1">
        <w:r>
          <w:rPr>
            <w:rStyle w:val="Hyperlink"/>
            <w:sz w:val="22"/>
            <w:szCs w:val="22"/>
          </w:rPr>
          <w:t>https://www.cbd.int/financial/rm2020.shtml</w:t>
        </w:r>
      </w:hyperlink>
      <w:r>
        <w:t xml:space="preserve">. Перечень источников фактических данных, использованных группой экспертов при подготовке настоящего первого доклада, полученных как в письменном виде, так и в ходе совещаний и других </w:t>
      </w:r>
      <w:r w:rsidR="007967F5">
        <w:t xml:space="preserve">представленных </w:t>
      </w:r>
      <w:r>
        <w:t>устных сообщений, включен в приложение IV к сопроводительному информационному документу, содержащему полный текст доклада.</w:t>
      </w:r>
    </w:p>
    <w:p w:rsidR="008E11DA" w:rsidRPr="00607DE5" w:rsidRDefault="008E11DA" w:rsidP="00B947C2">
      <w:pPr>
        <w:pStyle w:val="Heading1"/>
        <w:suppressLineNumbers/>
        <w:tabs>
          <w:tab w:val="clear" w:pos="720"/>
        </w:tabs>
        <w:suppressAutoHyphens/>
        <w:ind w:left="1701" w:hanging="561"/>
        <w:jc w:val="left"/>
      </w:pPr>
      <w:r>
        <w:t>II.</w:t>
      </w:r>
      <w:r>
        <w:tab/>
      </w:r>
      <w:r>
        <w:rPr>
          <w:rFonts w:ascii="Times New Roman Bold" w:hAnsi="Times New Roman Bold"/>
        </w:rPr>
        <w:t>Оценка структуры, содержания и эффективности стратегии мобилизации ресурсов</w:t>
      </w:r>
    </w:p>
    <w:p w:rsidR="00246DAD" w:rsidRPr="00607DE5" w:rsidRDefault="00246DAD" w:rsidP="00BC5783">
      <w:pPr>
        <w:pStyle w:val="Para1"/>
        <w:suppressLineNumbers/>
        <w:tabs>
          <w:tab w:val="clear" w:pos="360"/>
        </w:tabs>
        <w:suppressAutoHyphens/>
      </w:pPr>
      <w:r>
        <w:t xml:space="preserve">Нынешний подход Конвенции к мобилизации ресурсов был разработан в ходе нескольких совещаний Конференции Сторон, начиная с </w:t>
      </w:r>
      <w:r w:rsidR="00342241">
        <w:t>девятого</w:t>
      </w:r>
      <w:r>
        <w:t xml:space="preserve"> совещания в рамках принятия стратегии мобилизации ресурсов</w:t>
      </w:r>
      <w:r w:rsidR="00342241" w:rsidRPr="00380B83">
        <w:rPr>
          <w:rStyle w:val="FootnoteReference"/>
        </w:rPr>
        <w:footnoteReference w:id="4"/>
      </w:r>
      <w:r>
        <w:t>; принятия на 10-м совещании Стратегического плана в области биоразнообразия на 2011-2020 годы, включая 2</w:t>
      </w:r>
      <w:r w:rsidR="00683048">
        <w:t>0</w:t>
      </w:r>
      <w:r>
        <w:t xml:space="preserve"> Айтински</w:t>
      </w:r>
      <w:r w:rsidR="00683048">
        <w:t>х</w:t>
      </w:r>
      <w:r>
        <w:t xml:space="preserve"> целевы</w:t>
      </w:r>
      <w:r w:rsidR="00683048">
        <w:t>х</w:t>
      </w:r>
      <w:r>
        <w:t xml:space="preserve"> задач в области биоразнообразия</w:t>
      </w:r>
      <w:r w:rsidR="00683048" w:rsidRPr="00380B83">
        <w:rPr>
          <w:rStyle w:val="FootnoteReference"/>
        </w:rPr>
        <w:footnoteReference w:id="5"/>
      </w:r>
      <w:r>
        <w:t>; и принятия на 12-м совещании ряда задач (см. приложение ниже), а также структуры представления финансовой отчетности КБР</w:t>
      </w:r>
      <w:r w:rsidR="00683048" w:rsidRPr="00380B83">
        <w:rPr>
          <w:rStyle w:val="FootnoteReference"/>
        </w:rPr>
        <w:footnoteReference w:id="6"/>
      </w:r>
      <w:r>
        <w:t xml:space="preserve">. В результате </w:t>
      </w:r>
      <w:r w:rsidR="007967F5">
        <w:t xml:space="preserve">чего, </w:t>
      </w:r>
      <w:r>
        <w:t xml:space="preserve">существует некоторое совпадение тем, охватываемых целями и подцелями стратегии мобилизации ресурсов, и </w:t>
      </w:r>
      <w:r w:rsidR="007967F5">
        <w:t>показателями</w:t>
      </w:r>
      <w:r>
        <w:t xml:space="preserve"> в области мобилизации ресурсов, установленными в рамках Айтинской целевой задачи 20. В следующей таблице приведены исходные данные для определения разных тем.</w:t>
      </w:r>
    </w:p>
    <w:p w:rsidR="00246DAD" w:rsidRPr="00607DE5" w:rsidRDefault="00246DAD" w:rsidP="00BC5783">
      <w:pPr>
        <w:pStyle w:val="Para1"/>
        <w:keepNext/>
        <w:numPr>
          <w:ilvl w:val="0"/>
          <w:numId w:val="0"/>
        </w:numPr>
        <w:suppressLineNumbers/>
        <w:suppressAutoHyphens/>
        <w:rPr>
          <w:b/>
        </w:rPr>
      </w:pPr>
      <w:r>
        <w:rPr>
          <w:b/>
        </w:rPr>
        <w:t>Таблица 1. Связь между темами, целями стратегии мобилизации ресурсов и показателями Айтинской целевой задачи 20 в области биоразнообразия</w:t>
      </w:r>
    </w:p>
    <w:tbl>
      <w:tblPr>
        <w:tblStyle w:val="TableGrid"/>
        <w:tblW w:w="0" w:type="auto"/>
        <w:jc w:val="center"/>
        <w:tblLook w:val="04A0" w:firstRow="1" w:lastRow="0" w:firstColumn="1" w:lastColumn="0" w:noHBand="0" w:noVBand="1"/>
      </w:tblPr>
      <w:tblGrid>
        <w:gridCol w:w="5920"/>
        <w:gridCol w:w="2021"/>
        <w:gridCol w:w="1801"/>
      </w:tblGrid>
      <w:tr w:rsidR="00246DAD" w:rsidRPr="00607DE5" w:rsidTr="002D4A62">
        <w:trPr>
          <w:cantSplit/>
          <w:tblHeader/>
          <w:jc w:val="center"/>
        </w:trPr>
        <w:tc>
          <w:tcPr>
            <w:tcW w:w="5920" w:type="dxa"/>
            <w:vAlign w:val="bottom"/>
          </w:tcPr>
          <w:p w:rsidR="00246DAD" w:rsidRPr="00607DE5" w:rsidRDefault="00246DAD" w:rsidP="00BC5783">
            <w:pPr>
              <w:pStyle w:val="Para1"/>
              <w:keepNext/>
              <w:numPr>
                <w:ilvl w:val="0"/>
                <w:numId w:val="0"/>
              </w:numPr>
              <w:suppressLineNumbers/>
              <w:suppressAutoHyphens/>
              <w:spacing w:before="0" w:after="0"/>
              <w:jc w:val="center"/>
              <w:rPr>
                <w:b/>
                <w:sz w:val="20"/>
                <w:szCs w:val="20"/>
              </w:rPr>
            </w:pPr>
            <w:r>
              <w:rPr>
                <w:b/>
                <w:sz w:val="20"/>
                <w:szCs w:val="20"/>
              </w:rPr>
              <w:t>Тема</w:t>
            </w:r>
          </w:p>
        </w:tc>
        <w:tc>
          <w:tcPr>
            <w:tcW w:w="2021" w:type="dxa"/>
            <w:vAlign w:val="bottom"/>
          </w:tcPr>
          <w:p w:rsidR="00246DAD" w:rsidRPr="00607DE5" w:rsidRDefault="0036618F" w:rsidP="00BC5783">
            <w:pPr>
              <w:pStyle w:val="Para1"/>
              <w:keepNext/>
              <w:numPr>
                <w:ilvl w:val="0"/>
                <w:numId w:val="0"/>
              </w:numPr>
              <w:suppressLineNumbers/>
              <w:suppressAutoHyphens/>
              <w:spacing w:before="0" w:after="0"/>
              <w:jc w:val="center"/>
              <w:rPr>
                <w:b/>
                <w:sz w:val="20"/>
                <w:szCs w:val="20"/>
              </w:rPr>
            </w:pPr>
            <w:r>
              <w:rPr>
                <w:b/>
                <w:sz w:val="20"/>
                <w:szCs w:val="20"/>
              </w:rPr>
              <w:t xml:space="preserve">Цели стратегии мобилизации ресурсов: </w:t>
            </w:r>
          </w:p>
        </w:tc>
        <w:tc>
          <w:tcPr>
            <w:tcW w:w="1801" w:type="dxa"/>
            <w:vAlign w:val="bottom"/>
          </w:tcPr>
          <w:p w:rsidR="00246DAD" w:rsidRPr="00607DE5" w:rsidRDefault="0036618F" w:rsidP="00BC5783">
            <w:pPr>
              <w:pStyle w:val="Para1"/>
              <w:keepNext/>
              <w:numPr>
                <w:ilvl w:val="0"/>
                <w:numId w:val="0"/>
              </w:numPr>
              <w:suppressLineNumbers/>
              <w:suppressAutoHyphens/>
              <w:spacing w:before="0" w:after="0"/>
              <w:jc w:val="center"/>
              <w:rPr>
                <w:b/>
                <w:sz w:val="20"/>
                <w:szCs w:val="20"/>
              </w:rPr>
            </w:pPr>
            <w:r>
              <w:rPr>
                <w:b/>
                <w:sz w:val="20"/>
                <w:szCs w:val="20"/>
              </w:rPr>
              <w:t xml:space="preserve">Показатели Айтинской целевой задачи 20 в области биоразнообразия </w:t>
            </w:r>
          </w:p>
        </w:tc>
      </w:tr>
      <w:tr w:rsidR="00246DAD" w:rsidRPr="00607DE5" w:rsidTr="002D4A62">
        <w:trPr>
          <w:cantSplit/>
          <w:jc w:val="center"/>
        </w:trPr>
        <w:tc>
          <w:tcPr>
            <w:tcW w:w="5920" w:type="dxa"/>
          </w:tcPr>
          <w:p w:rsidR="00246DAD" w:rsidRPr="00607DE5" w:rsidRDefault="00246DAD" w:rsidP="00BC5783">
            <w:pPr>
              <w:pStyle w:val="Para1"/>
              <w:keepNext/>
              <w:numPr>
                <w:ilvl w:val="0"/>
                <w:numId w:val="0"/>
              </w:numPr>
              <w:suppressLineNumbers/>
              <w:suppressAutoHyphens/>
              <w:spacing w:before="0" w:after="0"/>
              <w:jc w:val="left"/>
              <w:rPr>
                <w:sz w:val="20"/>
                <w:szCs w:val="20"/>
              </w:rPr>
            </w:pPr>
            <w:r>
              <w:rPr>
                <w:sz w:val="20"/>
                <w:szCs w:val="20"/>
              </w:rPr>
              <w:t xml:space="preserve">Улучшение информационной базы и отчетности </w:t>
            </w:r>
          </w:p>
        </w:tc>
        <w:tc>
          <w:tcPr>
            <w:tcW w:w="2021" w:type="dxa"/>
          </w:tcPr>
          <w:p w:rsidR="00246DAD" w:rsidRPr="00607DE5" w:rsidRDefault="00246DAD" w:rsidP="00BC5783">
            <w:pPr>
              <w:pStyle w:val="Para1"/>
              <w:keepNext/>
              <w:numPr>
                <w:ilvl w:val="0"/>
                <w:numId w:val="0"/>
              </w:numPr>
              <w:suppressLineNumbers/>
              <w:suppressAutoHyphens/>
              <w:spacing w:before="0" w:after="0"/>
              <w:jc w:val="center"/>
              <w:rPr>
                <w:sz w:val="20"/>
                <w:szCs w:val="20"/>
              </w:rPr>
            </w:pPr>
            <w:r>
              <w:rPr>
                <w:sz w:val="20"/>
                <w:szCs w:val="20"/>
              </w:rPr>
              <w:t>1</w:t>
            </w:r>
          </w:p>
        </w:tc>
        <w:tc>
          <w:tcPr>
            <w:tcW w:w="1801" w:type="dxa"/>
          </w:tcPr>
          <w:p w:rsidR="00246DAD" w:rsidRPr="00607DE5" w:rsidRDefault="00246DAD" w:rsidP="00BC5783">
            <w:pPr>
              <w:pStyle w:val="Para1"/>
              <w:keepNext/>
              <w:numPr>
                <w:ilvl w:val="0"/>
                <w:numId w:val="0"/>
              </w:numPr>
              <w:suppressLineNumbers/>
              <w:suppressAutoHyphens/>
              <w:spacing w:before="0" w:after="0"/>
              <w:jc w:val="center"/>
              <w:rPr>
                <w:sz w:val="20"/>
                <w:szCs w:val="20"/>
              </w:rPr>
            </w:pPr>
            <w:r>
              <w:rPr>
                <w:sz w:val="20"/>
                <w:szCs w:val="20"/>
              </w:rPr>
              <w:t>1 с)</w:t>
            </w:r>
          </w:p>
        </w:tc>
      </w:tr>
      <w:tr w:rsidR="00246DAD" w:rsidRPr="00607DE5" w:rsidTr="002D4A62">
        <w:trPr>
          <w:cantSplit/>
          <w:jc w:val="center"/>
        </w:trPr>
        <w:tc>
          <w:tcPr>
            <w:tcW w:w="5920" w:type="dxa"/>
          </w:tcPr>
          <w:p w:rsidR="00246DAD" w:rsidRPr="00607DE5" w:rsidRDefault="00246DAD" w:rsidP="00BC5783">
            <w:pPr>
              <w:pStyle w:val="Para1"/>
              <w:keepNext/>
              <w:numPr>
                <w:ilvl w:val="0"/>
                <w:numId w:val="0"/>
              </w:numPr>
              <w:suppressLineNumbers/>
              <w:suppressAutoHyphens/>
              <w:spacing w:before="0" w:after="0"/>
              <w:jc w:val="left"/>
              <w:rPr>
                <w:sz w:val="20"/>
                <w:szCs w:val="20"/>
              </w:rPr>
            </w:pPr>
            <w:r>
              <w:rPr>
                <w:sz w:val="20"/>
                <w:szCs w:val="20"/>
              </w:rPr>
              <w:t>Международные государственные и частные финансовые потоки</w:t>
            </w:r>
          </w:p>
        </w:tc>
        <w:tc>
          <w:tcPr>
            <w:tcW w:w="2021" w:type="dxa"/>
          </w:tcPr>
          <w:p w:rsidR="00246DAD" w:rsidRPr="00607DE5" w:rsidRDefault="00246DAD" w:rsidP="00BC5783">
            <w:pPr>
              <w:pStyle w:val="Para1"/>
              <w:keepNext/>
              <w:numPr>
                <w:ilvl w:val="0"/>
                <w:numId w:val="0"/>
              </w:numPr>
              <w:suppressLineNumbers/>
              <w:suppressAutoHyphens/>
              <w:spacing w:before="0" w:after="0"/>
              <w:jc w:val="center"/>
              <w:rPr>
                <w:sz w:val="20"/>
                <w:szCs w:val="20"/>
              </w:rPr>
            </w:pPr>
            <w:r>
              <w:rPr>
                <w:sz w:val="20"/>
                <w:szCs w:val="20"/>
              </w:rPr>
              <w:t>3, 6</w:t>
            </w:r>
          </w:p>
        </w:tc>
        <w:tc>
          <w:tcPr>
            <w:tcW w:w="1801" w:type="dxa"/>
          </w:tcPr>
          <w:p w:rsidR="00246DAD" w:rsidRPr="00607DE5" w:rsidRDefault="00246DAD" w:rsidP="00BC5783">
            <w:pPr>
              <w:pStyle w:val="Para1"/>
              <w:keepNext/>
              <w:numPr>
                <w:ilvl w:val="0"/>
                <w:numId w:val="0"/>
              </w:numPr>
              <w:suppressLineNumbers/>
              <w:suppressAutoHyphens/>
              <w:spacing w:before="0" w:after="0"/>
              <w:jc w:val="center"/>
              <w:rPr>
                <w:sz w:val="20"/>
                <w:szCs w:val="20"/>
              </w:rPr>
            </w:pPr>
            <w:r>
              <w:rPr>
                <w:sz w:val="20"/>
                <w:szCs w:val="20"/>
              </w:rPr>
              <w:t>1 а)</w:t>
            </w:r>
          </w:p>
        </w:tc>
      </w:tr>
      <w:tr w:rsidR="00246DAD" w:rsidRPr="00607DE5" w:rsidTr="002D4A62">
        <w:trPr>
          <w:cantSplit/>
          <w:jc w:val="center"/>
        </w:trPr>
        <w:tc>
          <w:tcPr>
            <w:tcW w:w="5920" w:type="dxa"/>
          </w:tcPr>
          <w:p w:rsidR="00246DAD" w:rsidRPr="00607DE5" w:rsidRDefault="00246DAD" w:rsidP="00BC5783">
            <w:pPr>
              <w:pStyle w:val="Para1"/>
              <w:keepNext/>
              <w:numPr>
                <w:ilvl w:val="0"/>
                <w:numId w:val="0"/>
              </w:numPr>
              <w:suppressLineNumbers/>
              <w:suppressAutoHyphens/>
              <w:spacing w:before="0" w:after="0"/>
              <w:jc w:val="left"/>
              <w:rPr>
                <w:sz w:val="20"/>
                <w:szCs w:val="20"/>
              </w:rPr>
            </w:pPr>
            <w:r>
              <w:rPr>
                <w:sz w:val="20"/>
                <w:szCs w:val="20"/>
              </w:rPr>
              <w:t>Внутренние государственные и частные финансовые потоки</w:t>
            </w:r>
          </w:p>
        </w:tc>
        <w:tc>
          <w:tcPr>
            <w:tcW w:w="2021" w:type="dxa"/>
          </w:tcPr>
          <w:p w:rsidR="00246DAD" w:rsidRPr="00607DE5" w:rsidRDefault="00246DAD" w:rsidP="00BC5783">
            <w:pPr>
              <w:pStyle w:val="Para1"/>
              <w:keepNext/>
              <w:numPr>
                <w:ilvl w:val="0"/>
                <w:numId w:val="0"/>
              </w:numPr>
              <w:suppressLineNumbers/>
              <w:suppressAutoHyphens/>
              <w:spacing w:before="0" w:after="0"/>
              <w:jc w:val="center"/>
              <w:rPr>
                <w:sz w:val="20"/>
                <w:szCs w:val="20"/>
              </w:rPr>
            </w:pPr>
            <w:r>
              <w:rPr>
                <w:sz w:val="20"/>
                <w:szCs w:val="20"/>
              </w:rPr>
              <w:t>2</w:t>
            </w:r>
          </w:p>
        </w:tc>
        <w:tc>
          <w:tcPr>
            <w:tcW w:w="1801" w:type="dxa"/>
          </w:tcPr>
          <w:p w:rsidR="00246DAD" w:rsidRPr="00607DE5" w:rsidRDefault="00246DAD" w:rsidP="00BC5783">
            <w:pPr>
              <w:pStyle w:val="Para1"/>
              <w:keepNext/>
              <w:numPr>
                <w:ilvl w:val="0"/>
                <w:numId w:val="0"/>
              </w:numPr>
              <w:suppressLineNumbers/>
              <w:suppressAutoHyphens/>
              <w:spacing w:before="0" w:after="0"/>
              <w:jc w:val="center"/>
              <w:rPr>
                <w:sz w:val="20"/>
                <w:szCs w:val="20"/>
              </w:rPr>
            </w:pPr>
            <w:r>
              <w:rPr>
                <w:sz w:val="20"/>
                <w:szCs w:val="20"/>
              </w:rPr>
              <w:t>1 с)-e)</w:t>
            </w:r>
          </w:p>
        </w:tc>
      </w:tr>
      <w:tr w:rsidR="00246DAD" w:rsidRPr="00607DE5" w:rsidTr="002D4A62">
        <w:trPr>
          <w:cantSplit/>
          <w:jc w:val="center"/>
        </w:trPr>
        <w:tc>
          <w:tcPr>
            <w:tcW w:w="5920" w:type="dxa"/>
          </w:tcPr>
          <w:p w:rsidR="00246DAD" w:rsidRPr="00607DE5" w:rsidRDefault="00246DAD" w:rsidP="00BC5783">
            <w:pPr>
              <w:pStyle w:val="Para1"/>
              <w:keepNext/>
              <w:numPr>
                <w:ilvl w:val="0"/>
                <w:numId w:val="0"/>
              </w:numPr>
              <w:suppressLineNumbers/>
              <w:suppressAutoHyphens/>
              <w:spacing w:before="0" w:after="0"/>
              <w:jc w:val="left"/>
              <w:rPr>
                <w:sz w:val="20"/>
                <w:szCs w:val="20"/>
              </w:rPr>
            </w:pPr>
            <w:r>
              <w:rPr>
                <w:sz w:val="20"/>
                <w:szCs w:val="20"/>
              </w:rPr>
              <w:t>Учет проблематики как инструмент расширения финансирования биоразнообразия</w:t>
            </w:r>
          </w:p>
        </w:tc>
        <w:tc>
          <w:tcPr>
            <w:tcW w:w="2021" w:type="dxa"/>
          </w:tcPr>
          <w:p w:rsidR="00246DAD" w:rsidRPr="00607DE5" w:rsidRDefault="00246DAD" w:rsidP="00BC5783">
            <w:pPr>
              <w:pStyle w:val="Para1"/>
              <w:keepNext/>
              <w:numPr>
                <w:ilvl w:val="0"/>
                <w:numId w:val="0"/>
              </w:numPr>
              <w:suppressLineNumbers/>
              <w:suppressAutoHyphens/>
              <w:spacing w:before="0" w:after="0"/>
              <w:jc w:val="center"/>
              <w:rPr>
                <w:sz w:val="20"/>
                <w:szCs w:val="20"/>
              </w:rPr>
            </w:pPr>
            <w:r>
              <w:rPr>
                <w:sz w:val="20"/>
                <w:szCs w:val="20"/>
              </w:rPr>
              <w:t>4, 5</w:t>
            </w:r>
          </w:p>
        </w:tc>
        <w:tc>
          <w:tcPr>
            <w:tcW w:w="1801" w:type="dxa"/>
          </w:tcPr>
          <w:p w:rsidR="00246DAD" w:rsidRPr="00607DE5" w:rsidRDefault="00246DAD" w:rsidP="00BC5783">
            <w:pPr>
              <w:pStyle w:val="Para1"/>
              <w:keepNext/>
              <w:numPr>
                <w:ilvl w:val="0"/>
                <w:numId w:val="0"/>
              </w:numPr>
              <w:suppressLineNumbers/>
              <w:suppressAutoHyphens/>
              <w:spacing w:before="0" w:after="0"/>
              <w:jc w:val="center"/>
              <w:rPr>
                <w:sz w:val="20"/>
                <w:szCs w:val="20"/>
              </w:rPr>
            </w:pPr>
            <w:r>
              <w:rPr>
                <w:sz w:val="20"/>
                <w:szCs w:val="20"/>
              </w:rPr>
              <w:t>1 b)</w:t>
            </w:r>
          </w:p>
        </w:tc>
      </w:tr>
      <w:tr w:rsidR="00246DAD" w:rsidRPr="00607DE5" w:rsidTr="002D4A62">
        <w:trPr>
          <w:cantSplit/>
          <w:trHeight w:val="164"/>
          <w:jc w:val="center"/>
        </w:trPr>
        <w:tc>
          <w:tcPr>
            <w:tcW w:w="5920" w:type="dxa"/>
          </w:tcPr>
          <w:p w:rsidR="00246DAD" w:rsidRPr="00607DE5" w:rsidRDefault="00246DAD" w:rsidP="002D4A62">
            <w:pPr>
              <w:pStyle w:val="Para1"/>
              <w:numPr>
                <w:ilvl w:val="0"/>
                <w:numId w:val="0"/>
              </w:numPr>
              <w:suppressLineNumbers/>
              <w:suppressAutoHyphens/>
              <w:spacing w:before="0" w:after="60"/>
              <w:jc w:val="left"/>
              <w:rPr>
                <w:sz w:val="20"/>
                <w:szCs w:val="20"/>
              </w:rPr>
            </w:pPr>
            <w:r>
              <w:rPr>
                <w:sz w:val="20"/>
                <w:szCs w:val="20"/>
              </w:rPr>
              <w:t>Мобилизация ресурсов посредством доступа к генетическим ресурсам и совместному использованию выгод, а также знаниям коренных народов и местных общин</w:t>
            </w:r>
          </w:p>
        </w:tc>
        <w:tc>
          <w:tcPr>
            <w:tcW w:w="2021" w:type="dxa"/>
          </w:tcPr>
          <w:p w:rsidR="00246DAD" w:rsidRPr="00607DE5" w:rsidRDefault="00246DAD" w:rsidP="00BC5783">
            <w:pPr>
              <w:pStyle w:val="Para1"/>
              <w:numPr>
                <w:ilvl w:val="0"/>
                <w:numId w:val="0"/>
              </w:numPr>
              <w:suppressLineNumbers/>
              <w:suppressAutoHyphens/>
              <w:spacing w:before="0" w:after="0"/>
              <w:jc w:val="center"/>
              <w:rPr>
                <w:sz w:val="20"/>
                <w:szCs w:val="20"/>
              </w:rPr>
            </w:pPr>
            <w:r>
              <w:rPr>
                <w:sz w:val="20"/>
                <w:szCs w:val="20"/>
              </w:rPr>
              <w:t>7</w:t>
            </w:r>
          </w:p>
        </w:tc>
        <w:tc>
          <w:tcPr>
            <w:tcW w:w="1801" w:type="dxa"/>
          </w:tcPr>
          <w:p w:rsidR="00246DAD" w:rsidRPr="00607DE5" w:rsidRDefault="00246DAD" w:rsidP="00BC5783">
            <w:pPr>
              <w:pStyle w:val="Para1"/>
              <w:numPr>
                <w:ilvl w:val="0"/>
                <w:numId w:val="0"/>
              </w:numPr>
              <w:suppressLineNumbers/>
              <w:suppressAutoHyphens/>
              <w:spacing w:before="0" w:after="0"/>
              <w:jc w:val="center"/>
              <w:rPr>
                <w:sz w:val="20"/>
                <w:szCs w:val="20"/>
              </w:rPr>
            </w:pPr>
            <w:r>
              <w:rPr>
                <w:sz w:val="20"/>
                <w:szCs w:val="20"/>
              </w:rPr>
              <w:t>1 d)</w:t>
            </w:r>
          </w:p>
        </w:tc>
      </w:tr>
    </w:tbl>
    <w:p w:rsidR="00A51E02" w:rsidRPr="00607DE5" w:rsidRDefault="00A51E02" w:rsidP="00BC5783">
      <w:pPr>
        <w:pStyle w:val="Para1"/>
        <w:suppressLineNumbers/>
        <w:tabs>
          <w:tab w:val="clear" w:pos="360"/>
        </w:tabs>
        <w:suppressAutoHyphens/>
        <w:adjustRightInd w:val="0"/>
        <w:snapToGrid w:val="0"/>
        <w:rPr>
          <w:kern w:val="22"/>
          <w:szCs w:val="22"/>
        </w:rPr>
      </w:pPr>
      <w:r>
        <w:t xml:space="preserve">Стратегия мобилизации ресурсов состоит из пяти разделов: </w:t>
      </w:r>
      <w:r w:rsidR="007967F5">
        <w:t>насущность</w:t>
      </w:r>
      <w:r>
        <w:t xml:space="preserve">, миссия, руководящие принципы, стратегические цели (восемь в обшей сложности) </w:t>
      </w:r>
      <w:r w:rsidR="00F94CC5">
        <w:t xml:space="preserve">и задачи </w:t>
      </w:r>
      <w:r>
        <w:t xml:space="preserve">и </w:t>
      </w:r>
      <w:r w:rsidR="00454BCE">
        <w:t>осуществление</w:t>
      </w:r>
      <w:r>
        <w:t>.</w:t>
      </w:r>
    </w:p>
    <w:p w:rsidR="00531771" w:rsidRPr="00607DE5" w:rsidRDefault="00013098" w:rsidP="00BC5783">
      <w:pPr>
        <w:pStyle w:val="Para1"/>
        <w:suppressLineNumbers/>
        <w:tabs>
          <w:tab w:val="clear" w:pos="360"/>
        </w:tabs>
        <w:suppressAutoHyphens/>
        <w:adjustRightInd w:val="0"/>
        <w:snapToGrid w:val="0"/>
        <w:rPr>
          <w:kern w:val="22"/>
          <w:szCs w:val="22"/>
        </w:rPr>
      </w:pPr>
      <w:r>
        <w:t xml:space="preserve">При рассмотрении стратегии мобилизации ресурсов в целом Стороны Конвенции и другие субъекты деятельности (включая коренные народы и местные общины), которые откликнулись на вышеупомянутый призыв к представлению фактических данных, пришли к выводу, что как фундаментальная структура, так и содержание стратегии мобилизации ресурсов остаются в целом обоснованными и актуальными. Вместе с тем ряд респондентов отметили, что эффективность </w:t>
      </w:r>
      <w:r>
        <w:lastRenderedPageBreak/>
        <w:t xml:space="preserve">стратегии как средства осуществления решений Конференции Сторон о мобилизации ресурсов в лучшем случае носит ограниченный характер. Бенин, например, </w:t>
      </w:r>
      <w:r w:rsidR="00627A8F">
        <w:t>указал</w:t>
      </w:r>
      <w:r>
        <w:t xml:space="preserve">, что ее эффективность «еще предстоит доказать в бедных странах», а Эфиопия отметила, что в стратегии «не </w:t>
      </w:r>
      <w:r w:rsidR="00627A8F">
        <w:t>предусмотрены</w:t>
      </w:r>
      <w:r>
        <w:t xml:space="preserve"> обязательные механизмы для эффективной мобилизации ресурсов, необходимых для достижения целей…». Европейский союз также считает, что эффективность стратегии носит ограниченный характер и что она недостаточно оперативна.</w:t>
      </w:r>
    </w:p>
    <w:p w:rsidR="00E64F8D" w:rsidRPr="00607DE5" w:rsidRDefault="00474082" w:rsidP="00BC5783">
      <w:pPr>
        <w:pStyle w:val="Para1"/>
        <w:suppressLineNumbers/>
        <w:tabs>
          <w:tab w:val="clear" w:pos="360"/>
        </w:tabs>
        <w:suppressAutoHyphens/>
      </w:pPr>
      <w:r>
        <w:t>Было также отмечено, что для мобилизации всех соответствующих ресурсов в масштабе и с использованием методов, необходимых для эффективного и устойчивого преодоления глобального кризиса в области биоразнообразия, мобилизация ресурсов в контексте рамочной программы на период после 2020 года должна включать в себя решение проблемы вредных субсидий и стимулов, которые рассматриваются в Айтинской целевой задаче 3, а не в рамках целей стратегии мобилизации ресурсов как таковой.</w:t>
      </w:r>
    </w:p>
    <w:p w:rsidR="0056299F" w:rsidRPr="00607DE5" w:rsidRDefault="00627A8F" w:rsidP="00BC5783">
      <w:pPr>
        <w:pStyle w:val="Para1"/>
        <w:suppressLineNumbers/>
        <w:tabs>
          <w:tab w:val="clear" w:pos="360"/>
        </w:tabs>
        <w:suppressAutoHyphens/>
        <w:rPr>
          <w:szCs w:val="22"/>
        </w:rPr>
      </w:pPr>
      <w:r w:rsidRPr="00627A8F">
        <w:t>Другие респонденты отметили, что существующая стратегия мобилизации ресурсов недооценивает потенциальную роль негосударственных субъектов в мобилизации ресурсов, особенно частного сектора, и рекомендовали, чтобы в обновленной стратегии более тщательно учитывалось значение инновационного использования государственных финансов; использование глобальных платформ заинтересованных сторон для развития сотрудничества и более масштабное распространение инновационных решений в области финансирования природоохранных мероприятий; а также взаимодействие с целями в области устойчивого развития и финансированием деятельности в области изменения климата для создания беспроигрышных стратегий для всех.</w:t>
      </w:r>
    </w:p>
    <w:p w:rsidR="00E77D68" w:rsidRPr="00607DE5" w:rsidRDefault="00E77D68" w:rsidP="00BC5783">
      <w:pPr>
        <w:pStyle w:val="Para1"/>
        <w:suppressLineNumbers/>
        <w:tabs>
          <w:tab w:val="clear" w:pos="360"/>
        </w:tabs>
        <w:suppressAutoHyphens/>
      </w:pPr>
      <w:r>
        <w:t xml:space="preserve">Всемирный банк считает, что стратегия мобилизации ресурсов имеет ряд недостатков, </w:t>
      </w:r>
      <w:r w:rsidR="00627A8F">
        <w:t>а именно</w:t>
      </w:r>
      <w:r>
        <w:t>: а) отсутствие количественных показателей для мобилизации ресурсов (в стратегии и в Айтинской целевой задаче 20); b) отсутствие определения финансирования биоразнообразия, как частного, так и государственного, и определения «частного сектора»; c) отсутствие плана действий по мобилизации ресурсов с установленными сроками; d) отсутствие информации о том, каким образом можно распределить ресурсы между пятью стратегическими целями текущего Стратегического плана в области биоразнообразия; e) отсутствие акцента на необходимости сокращения инвестиций (государственных и частных), наносящих ущерб биоразнообразию, а также увеличения инвестиций, создающих благоприятные условия для биоразнообразия; g) отсутствие каких-либо ссылок на финансовые рынки и банковский сектор; и h) отсутствие ясности в отношении обязанностей каждой группы заинтересованных сторон.</w:t>
      </w:r>
    </w:p>
    <w:p w:rsidR="00B147CB" w:rsidRPr="00607DE5" w:rsidRDefault="000F270B" w:rsidP="00BC5783">
      <w:pPr>
        <w:pStyle w:val="Para1"/>
        <w:suppressLineNumbers/>
        <w:tabs>
          <w:tab w:val="clear" w:pos="360"/>
        </w:tabs>
        <w:suppressAutoHyphens/>
      </w:pPr>
      <w:r>
        <w:t>Более подробная оценка прогресса в достижении целей стратегии управления ресурсами приводится ниже с указанием выявленных конкретных пробелов и первоначальными предложениями о возможных дальнейших действиях.</w:t>
      </w:r>
    </w:p>
    <w:p w:rsidR="00B147CB" w:rsidRPr="00607DE5" w:rsidRDefault="00B147CB" w:rsidP="00BC5783">
      <w:pPr>
        <w:pStyle w:val="Heading4"/>
        <w:suppressLineNumbers/>
        <w:suppressAutoHyphens/>
        <w:rPr>
          <w:i w:val="0"/>
        </w:rPr>
      </w:pPr>
      <w:r>
        <w:rPr>
          <w:i w:val="0"/>
        </w:rPr>
        <w:t xml:space="preserve">Цель 1. </w:t>
      </w:r>
      <w:r w:rsidR="00627A8F" w:rsidRPr="00627A8F">
        <w:rPr>
          <w:i w:val="0"/>
        </w:rPr>
        <w:t>Усовершенствование информационной базы данных о потребностях, дефиците и приоритетах финансирования</w:t>
      </w:r>
    </w:p>
    <w:p w:rsidR="00B147CB" w:rsidRPr="00607DE5" w:rsidRDefault="00B147CB" w:rsidP="00BC5783">
      <w:pPr>
        <w:pStyle w:val="Para1"/>
        <w:suppressLineNumbers/>
        <w:tabs>
          <w:tab w:val="clear" w:pos="360"/>
        </w:tabs>
        <w:suppressAutoHyphens/>
      </w:pPr>
      <w:r>
        <w:t xml:space="preserve">В связи со значительным добавлением задач по мобилизации ресурсов, принятых в решении </w:t>
      </w:r>
      <w:hyperlink r:id="rId18" w:history="1">
        <w:r>
          <w:rPr>
            <w:rStyle w:val="Hyperlink"/>
            <w:sz w:val="22"/>
          </w:rPr>
          <w:t>X</w:t>
        </w:r>
        <w:bookmarkStart w:id="3" w:name="_GoBack"/>
        <w:bookmarkEnd w:id="3"/>
        <w:r>
          <w:rPr>
            <w:rStyle w:val="Hyperlink"/>
            <w:sz w:val="22"/>
          </w:rPr>
          <w:t>I</w:t>
        </w:r>
        <w:r>
          <w:rPr>
            <w:rStyle w:val="Hyperlink"/>
            <w:sz w:val="22"/>
          </w:rPr>
          <w:t>I/3</w:t>
        </w:r>
      </w:hyperlink>
      <w:r>
        <w:t>, и соответствующей структуры предоставления финансовой отчетности, а также информации из второго доклада Группы высокого уровня по мобилизации ресурсов</w:t>
      </w:r>
      <w:r w:rsidR="00EE7740" w:rsidRPr="00245864">
        <w:footnoteReference w:id="7"/>
      </w:r>
      <w:r>
        <w:t xml:space="preserve">, </w:t>
      </w:r>
      <w:r w:rsidR="00245864">
        <w:t>Глобального эколог</w:t>
      </w:r>
      <w:r w:rsidR="00245864" w:rsidRPr="00245864">
        <w:t>ического фонда (ГЭФ)</w:t>
      </w:r>
      <w:r>
        <w:t>, Финансовой инициативы в области биоразнообразия (БИОФИН) Программы развития Организации Объединенных Наций (ПРООН) и других учреждений, теоретически необходимые инструменты для реализации всех ключевых элементов цели 1</w:t>
      </w:r>
      <w:r w:rsidR="00627A8F">
        <w:t xml:space="preserve"> уже </w:t>
      </w:r>
      <w:r w:rsidR="00627A8F">
        <w:lastRenderedPageBreak/>
        <w:t>существуют</w:t>
      </w:r>
      <w:r>
        <w:t>. Однако общая эффективность достижения цели 1 носила ограниченный характер: лишь около половины Сторон представили информацию о финансировании, меньшая часть Сторон, имеющих право на получение помощи, представила информацию о своих потребностях и приоритетах и менее 75% Сторон представили информацию о выполнении задач. Ограниченность данных, представленных в рамках нынешней структуры финансовой отчетности, также означает, что эти данные вряд ли смогут обеспечить надежную исходную базу для предстоящих лет в рамках глобальной рамочной программы в области биоразнообразия на период после 2020.</w:t>
      </w:r>
    </w:p>
    <w:p w:rsidR="000F1D07" w:rsidRPr="00607DE5" w:rsidRDefault="000F1D07" w:rsidP="00BC5783">
      <w:pPr>
        <w:pStyle w:val="Para1"/>
        <w:suppressLineNumbers/>
        <w:tabs>
          <w:tab w:val="clear" w:pos="360"/>
        </w:tabs>
        <w:suppressAutoHyphens/>
      </w:pPr>
      <w:r>
        <w:t xml:space="preserve">С другой стороны, в реализации подцели 1.2 был достигнут более </w:t>
      </w:r>
      <w:r w:rsidR="00627A8F">
        <w:t>существенный</w:t>
      </w:r>
      <w:r>
        <w:t xml:space="preserve"> прогресс, поскольку для оценки экономических издержек утраты биоразнообразия и связанных с ним экосистемных услуг, а также выгод от принятия соответствующих мер между</w:t>
      </w:r>
      <w:r w:rsidR="00245864">
        <w:t>народными организациями (такими</w:t>
      </w:r>
      <w:r>
        <w:t xml:space="preserve"> как Организация экономического сотрудничества и развития (ОЭСР), ГЭФ, ПРООН и Программа Организации Объединенных Наций по окружающей среде (ЮНЕП)), а также рядом неправительственных организаций и научных учреждений было проведено значительное число исследований.</w:t>
      </w:r>
    </w:p>
    <w:p w:rsidR="00937F99" w:rsidRPr="00607DE5" w:rsidRDefault="005F0B3F" w:rsidP="00936540">
      <w:pPr>
        <w:pStyle w:val="Para1"/>
        <w:suppressLineNumbers/>
        <w:tabs>
          <w:tab w:val="clear" w:pos="360"/>
        </w:tabs>
        <w:suppressAutoHyphens/>
      </w:pPr>
      <w:r>
        <w:t>Была признана необходимост</w:t>
      </w:r>
      <w:r w:rsidR="00936540">
        <w:t>ь</w:t>
      </w:r>
      <w:r>
        <w:t xml:space="preserve"> применения более надежной и транспарентной методологии представления отчетности о мобилизации ресурсов, например, на семинаре в Мехико в 2015 году, однако следует провести дополнительную работу по разработке согласованных добровольных руководящих указаний в целях содействия составлению финансовой отчетности. Сохраняются также некоторые проблемы </w:t>
      </w:r>
      <w:r w:rsidR="00936540">
        <w:t>относительно использования</w:t>
      </w:r>
      <w:r>
        <w:t xml:space="preserve"> Рио-де-Жанейрски</w:t>
      </w:r>
      <w:r w:rsidR="00936540">
        <w:t>х</w:t>
      </w:r>
      <w:r>
        <w:t xml:space="preserve"> показател</w:t>
      </w:r>
      <w:r w:rsidR="00936540">
        <w:t xml:space="preserve">ей </w:t>
      </w:r>
      <w:r>
        <w:t>в рамках Конвенции. Пересмотренное руководство по Рио-де-Жанейрским показател</w:t>
      </w:r>
      <w:r w:rsidR="00936540">
        <w:t>ей</w:t>
      </w:r>
      <w:r>
        <w:t xml:space="preserve"> для отчетности о биоразнообразии Системы отчетности кредиторов, принятой ОЭСР в 2019 году, позволит повысить согласованность отчетности стран ОЭСР по официальной помощи в целях развития (ОПР), выделенной на нужды биоразнообразия. Расширение и активизация использования методологии БИОФИН может также улучшить отчетность о внутреннем финансировании.</w:t>
      </w:r>
    </w:p>
    <w:p w:rsidR="00466935" w:rsidRPr="00607DE5" w:rsidRDefault="00466935" w:rsidP="00BC5783">
      <w:pPr>
        <w:pStyle w:val="Para1"/>
        <w:suppressLineNumbers/>
        <w:tabs>
          <w:tab w:val="clear" w:pos="360"/>
        </w:tabs>
        <w:suppressAutoHyphens/>
      </w:pPr>
      <w:r>
        <w:t xml:space="preserve">Поэтому ключевым вопросом на будущее является вопрос о том, как наилучшим образом обеспечить наиболее последовательную и надежную методологию, которая будет использоваться для отслеживания мобилизации ресурсов на цели биоразнообразия в будущем, и в частности о том, в какой степени сообщество, занимающееся вопросами биоразнообразия, примет решение разработать свой собственный индивидуальный подход или же полностью принять установленные международные статистические стандарты и механизмы отчетности. Следует отметить, что проводимая в настоящее время в директорате по окружающей среде ОЭСР </w:t>
      </w:r>
      <w:r w:rsidR="00627A8F">
        <w:t>деятельность</w:t>
      </w:r>
      <w:r>
        <w:t xml:space="preserve"> по разработке методологии всеобъемлющего обзора глобального финансирования биоразнообразия выявляет существенные различия между странами в том, как они отчитываются как о национальных, так и о международных расходах на цели биоразнообразия.</w:t>
      </w:r>
    </w:p>
    <w:p w:rsidR="00466935" w:rsidRPr="00607DE5" w:rsidRDefault="00466935" w:rsidP="00BC5783">
      <w:pPr>
        <w:pStyle w:val="Para1"/>
        <w:suppressLineNumbers/>
        <w:tabs>
          <w:tab w:val="clear" w:pos="360"/>
        </w:tabs>
        <w:suppressAutoHyphens/>
      </w:pPr>
      <w:r>
        <w:t>Использование Системы отчетности кредиторов ОЭСР и точность методологии Рио-де-Жанейрских показателей можно расширить, если предложить представлять данные на добровольной и последовательной основе субъектам, не являющимся членами Комитета содействия развитию ОЭСР (КСР), а также многосторонним банкам развития.</w:t>
      </w:r>
      <w:r w:rsidR="009A3528">
        <w:t xml:space="preserve"> </w:t>
      </w:r>
    </w:p>
    <w:p w:rsidR="00466935" w:rsidRPr="00607DE5" w:rsidRDefault="00466935" w:rsidP="00BC5783">
      <w:pPr>
        <w:pStyle w:val="Para1"/>
        <w:suppressLineNumbers/>
        <w:tabs>
          <w:tab w:val="clear" w:pos="360"/>
        </w:tabs>
        <w:suppressAutoHyphens/>
      </w:pPr>
      <w:r>
        <w:t xml:space="preserve">Данные о внутренних расходах на биоразнообразие и расходах, косвенно связанных с биоразнообразием, можно улучшить благодаря взаимодействию с системой статистики государственных финансов Международного валютного фонда, Комитетом экспертов Организации Объединенных Наций по эколого-экономическому учету (КЭЭУ) и Статистическим отделом Организации Объединенных Наций. </w:t>
      </w:r>
    </w:p>
    <w:p w:rsidR="004C702C" w:rsidRPr="00607DE5" w:rsidRDefault="00466935" w:rsidP="002D4A62">
      <w:pPr>
        <w:pStyle w:val="Para1"/>
        <w:suppressLineNumbers/>
        <w:tabs>
          <w:tab w:val="clear" w:pos="360"/>
        </w:tabs>
        <w:suppressAutoHyphens/>
      </w:pPr>
      <w:r>
        <w:t xml:space="preserve">Данные о финансовых потоках и субсидиях и их воздействии на биоразнообразие уже включены в соответствующие базы данных ОЭСР, а именно в показатели поддержки производителей в сельском хозяйстве и инструменты политики в области окружающей среды. Представление этих аспектов можно поощрять и расширять, </w:t>
      </w:r>
      <w:r w:rsidR="00411ED2">
        <w:t>в частности</w:t>
      </w:r>
      <w:r>
        <w:t>, путем охвата других экономических секторов, например, через базу данных показателей поддержки рыболовства.</w:t>
      </w:r>
    </w:p>
    <w:p w:rsidR="007177DD" w:rsidRPr="00607DE5" w:rsidRDefault="007177DD" w:rsidP="00BC5783">
      <w:pPr>
        <w:pStyle w:val="Heading4"/>
        <w:suppressLineNumbers/>
        <w:suppressAutoHyphens/>
        <w:rPr>
          <w:i w:val="0"/>
        </w:rPr>
      </w:pPr>
      <w:r>
        <w:rPr>
          <w:i w:val="0"/>
        </w:rPr>
        <w:lastRenderedPageBreak/>
        <w:t xml:space="preserve">Цель 2. </w:t>
      </w:r>
      <w:r w:rsidR="00627A8F" w:rsidRPr="00627A8F">
        <w:rPr>
          <w:i w:val="0"/>
        </w:rPr>
        <w:t>Укрепление национальных возможностей использования ресурсов и мобилизация внутренних финансовых ресурсов для осуществления трех целей Конвенции</w:t>
      </w:r>
    </w:p>
    <w:p w:rsidR="007177DD" w:rsidRPr="00607DE5" w:rsidRDefault="002D6FF3" w:rsidP="00BC5783">
      <w:pPr>
        <w:pStyle w:val="Para1"/>
        <w:suppressLineNumbers/>
        <w:tabs>
          <w:tab w:val="clear" w:pos="360"/>
        </w:tabs>
        <w:suppressAutoHyphens/>
      </w:pPr>
      <w:r>
        <w:t>Что касается прогресса в достижении цели 2, то в анализе структуры финансовой отчетности</w:t>
      </w:r>
      <w:r w:rsidR="00683048" w:rsidRPr="00380B83">
        <w:rPr>
          <w:rStyle w:val="FootnoteReference"/>
        </w:rPr>
        <w:footnoteReference w:id="8"/>
      </w:r>
      <w:r>
        <w:t>, представленн</w:t>
      </w:r>
      <w:r w:rsidR="00627A8F">
        <w:t>ом</w:t>
      </w:r>
      <w:r>
        <w:t xml:space="preserve"> секретариату Конвенции, отмечается, что несмотря на то, что лишь 25 из 78 Сторон (32%), представивших </w:t>
      </w:r>
      <w:r w:rsidR="00627A8F">
        <w:t>доклады,</w:t>
      </w:r>
      <w:r>
        <w:t xml:space="preserve"> всесторонне включили вопрос о биоразнообразии в национальные приоритеты или планы развития, </w:t>
      </w:r>
      <w:r w:rsidR="00411ED2">
        <w:t xml:space="preserve">и </w:t>
      </w:r>
      <w:r>
        <w:t xml:space="preserve">это намного меньше </w:t>
      </w:r>
      <w:r w:rsidR="00411ED2">
        <w:t>целевой задачи</w:t>
      </w:r>
      <w:r>
        <w:t xml:space="preserve"> на 2015 год </w:t>
      </w:r>
      <w:r w:rsidR="00411ED2">
        <w:t xml:space="preserve">о </w:t>
      </w:r>
      <w:r>
        <w:t>«по меньшей мере 75% Сторон», большинство респондентов, упомянутых в этом документе, предприняли определенные усилия в этом направлении. Цель 2 стратегии мобилизации ресурсов также охватывает различные элементы, по каждому из которых был достигнут определенный, хотя и неравномерный прогресс в реализации.</w:t>
      </w:r>
    </w:p>
    <w:p w:rsidR="00FC2C36" w:rsidRPr="00607DE5" w:rsidRDefault="00205C96" w:rsidP="00BC5783">
      <w:pPr>
        <w:pStyle w:val="Para1"/>
        <w:suppressLineNumbers/>
        <w:tabs>
          <w:tab w:val="clear" w:pos="360"/>
        </w:tabs>
        <w:suppressAutoHyphens/>
      </w:pPr>
      <w:r>
        <w:t xml:space="preserve">В целом 76 Сторон сообщили о проведении оценки и/или определении внутренней, экологической, генетической, социально-экономической, научной, образовательной, культурной, рекреационной и эстетической ценности биологического разнообразия и его компонентов. Хотя только четыре Стороны (Нидерланды, Норвегия, Финляндия и Япония), или 5% респондентов, сообщили о проведении комплексной оценки, 88% стран, представивших </w:t>
      </w:r>
      <w:r w:rsidR="00627A8F">
        <w:t>доклады</w:t>
      </w:r>
      <w:r>
        <w:t>, или треть от всех Сторон, сообщили о проведении по меньшей мере некоторых оценок.</w:t>
      </w:r>
    </w:p>
    <w:p w:rsidR="00525756" w:rsidRPr="00607DE5" w:rsidRDefault="00525756" w:rsidP="00BC5783">
      <w:pPr>
        <w:pStyle w:val="Para1"/>
        <w:suppressLineNumbers/>
        <w:tabs>
          <w:tab w:val="clear" w:pos="360"/>
        </w:tabs>
        <w:suppressAutoHyphens/>
      </w:pPr>
      <w:r>
        <w:t>В общей сложности 32 Стороны заявили в своих пересмотренных национальных стратегиях и планах действий по сохранению биоразнообразия (НСПДСБ), что задачи сохранения биоразнообразия были включены в национальные планы развития или аналогичные документы; 21 Сторона сообщила об их включении в планы в области устойчивого развития или аналогичные документы и 44 Стороны указали на связи с борьбой за искоренение нищеты и/или учете этих задач в их принципах работы, целевых задачах и/или мероприятиях</w:t>
      </w:r>
      <w:r w:rsidRPr="00380B83">
        <w:rPr>
          <w:vertAlign w:val="superscript"/>
        </w:rPr>
        <w:footnoteReference w:id="9"/>
      </w:r>
      <w:r>
        <w:t xml:space="preserve">. Некоторые Стороны сообщили о принятии всеобъемлющих мер в соответствии с целью 2. Уганда, к примеру, отметила, что ее национальная стратегия и план действий по сохранению биоразнообразия на 2015-2025 годы стали составной частью Национального плана в области развития. </w:t>
      </w:r>
    </w:p>
    <w:p w:rsidR="00703099" w:rsidRPr="00607DE5" w:rsidRDefault="00703099" w:rsidP="00BC5783">
      <w:pPr>
        <w:pStyle w:val="Para1"/>
        <w:suppressLineNumbers/>
        <w:tabs>
          <w:tab w:val="clear" w:pos="360"/>
        </w:tabs>
        <w:suppressAutoHyphens/>
      </w:pPr>
      <w:r>
        <w:t>Что касается отчетности о внутренних расходах на нужды биоразнообрази</w:t>
      </w:r>
      <w:r w:rsidR="00411ED2">
        <w:t>я</w:t>
      </w:r>
      <w:r>
        <w:t xml:space="preserve">, то почти все Стороны, представившие </w:t>
      </w:r>
      <w:r w:rsidR="00627A8F">
        <w:t xml:space="preserve">доклады </w:t>
      </w:r>
      <w:r>
        <w:t>(77 из 81),</w:t>
      </w:r>
      <w:r w:rsidR="009A3528">
        <w:t xml:space="preserve"> </w:t>
      </w:r>
      <w:r>
        <w:t>включили информацию о</w:t>
      </w:r>
      <w:r w:rsidR="00411ED2">
        <w:t xml:space="preserve"> </w:t>
      </w:r>
      <w:r>
        <w:t xml:space="preserve">ежегодной финансовой поддержке, оказываемой внутренней деятельности, связанной с биоразнообразием. Однако речь идет лишь о 40% всех Сторон; таким образом, </w:t>
      </w:r>
      <w:r w:rsidR="00411ED2">
        <w:t xml:space="preserve">в </w:t>
      </w:r>
      <w:r>
        <w:t>строго</w:t>
      </w:r>
      <w:r w:rsidR="00411ED2">
        <w:t>м смысле слова</w:t>
      </w:r>
      <w:r>
        <w:t xml:space="preserve"> данный элемент целевой задачи 1 с), принятой в решении XII/3, остается невыполненным.</w:t>
      </w:r>
    </w:p>
    <w:p w:rsidR="00703099" w:rsidRPr="00607DE5" w:rsidRDefault="00A56819" w:rsidP="00BC5783">
      <w:pPr>
        <w:pStyle w:val="Para1"/>
        <w:suppressLineNumbers/>
        <w:tabs>
          <w:tab w:val="clear" w:pos="360"/>
        </w:tabs>
        <w:suppressAutoHyphens/>
      </w:pPr>
      <w:r>
        <w:t xml:space="preserve">Можно также выявить некоторые позитивные тенденции в финансировании биоразнообразия на национальном уровне. Например, в Мексике расходы на биоразнообразие с 2006 по 2015 год увеличились на 248% (с 425,6 млн долл. США до 1169,8 млн долл. США); в 2015 году государственные расходы на биоразнообразие составили 0,1% ВВП. В более широком плане приводимая ниже таблица, в которой используются данные, обобщенные для </w:t>
      </w:r>
      <w:r w:rsidR="003F5C23" w:rsidRPr="003F5C23">
        <w:t>записк</w:t>
      </w:r>
      <w:r w:rsidR="003F5C23">
        <w:t>и</w:t>
      </w:r>
      <w:r w:rsidR="003F5C23" w:rsidRPr="003F5C23">
        <w:t xml:space="preserve"> Исполнительного секретаря о мобилизации ресурсов, </w:t>
      </w:r>
      <w:r w:rsidR="003F5C23">
        <w:t xml:space="preserve">подготовленной </w:t>
      </w:r>
      <w:r w:rsidR="003F5C23" w:rsidRPr="003F5C23">
        <w:t xml:space="preserve">для </w:t>
      </w:r>
      <w:r w:rsidR="003F5C23">
        <w:t>14-го</w:t>
      </w:r>
      <w:r w:rsidR="003F5C23" w:rsidRPr="003F5C23">
        <w:t xml:space="preserve"> совещания Конференции Сторон (</w:t>
      </w:r>
      <w:hyperlink r:id="rId19" w:history="1">
        <w:r w:rsidR="003F5C23" w:rsidRPr="00BD1F01">
          <w:rPr>
            <w:rStyle w:val="Hyperlink"/>
            <w:sz w:val="22"/>
          </w:rPr>
          <w:t>CBD/COP/14/6</w:t>
        </w:r>
      </w:hyperlink>
      <w:r w:rsidR="003F5C23" w:rsidRPr="003F5C23">
        <w:t>)</w:t>
      </w:r>
      <w:r w:rsidR="003F5C23">
        <w:t xml:space="preserve"> </w:t>
      </w:r>
      <w:r>
        <w:t xml:space="preserve">и обновленные с учетом последних представленных материалов, а также с учетом методологических ограничений, изложенных в этом документе, указывает на укрепление или по </w:t>
      </w:r>
      <w:r w:rsidR="00627A8F">
        <w:t>мен</w:t>
      </w:r>
      <w:r w:rsidR="003F5C23">
        <w:t>ь</w:t>
      </w:r>
      <w:r w:rsidR="00627A8F">
        <w:t>шей</w:t>
      </w:r>
      <w:r>
        <w:t xml:space="preserve"> мере на нейтральные тенденции в области внутреннего финансирования биоразнообразия в большинстве стран.</w:t>
      </w:r>
    </w:p>
    <w:p w:rsidR="00BF4C8E" w:rsidRPr="00607DE5" w:rsidRDefault="00BF4C8E" w:rsidP="00BC5783">
      <w:pPr>
        <w:pStyle w:val="Para1"/>
        <w:keepNext/>
        <w:numPr>
          <w:ilvl w:val="0"/>
          <w:numId w:val="0"/>
        </w:numPr>
        <w:suppressLineNumbers/>
        <w:suppressAutoHyphens/>
        <w:rPr>
          <w:b/>
        </w:rPr>
      </w:pPr>
      <w:r>
        <w:rPr>
          <w:b/>
        </w:rPr>
        <w:lastRenderedPageBreak/>
        <w:t>Таблица 2. Тенденции в области внутренних расходов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667"/>
        <w:gridCol w:w="1737"/>
        <w:gridCol w:w="1874"/>
        <w:gridCol w:w="955"/>
        <w:gridCol w:w="1289"/>
      </w:tblGrid>
      <w:tr w:rsidR="00BF4C8E" w:rsidRPr="00607DE5" w:rsidTr="003F5C23">
        <w:trPr>
          <w:cantSplit/>
          <w:jc w:val="center"/>
        </w:trPr>
        <w:tc>
          <w:tcPr>
            <w:tcW w:w="2258" w:type="dxa"/>
            <w:shd w:val="clear" w:color="auto" w:fill="auto"/>
          </w:tcPr>
          <w:p w:rsidR="00BF4C8E" w:rsidRPr="00230269" w:rsidRDefault="00230269" w:rsidP="00BC5783">
            <w:pPr>
              <w:keepNext/>
              <w:suppressLineNumbers/>
              <w:suppressAutoHyphens/>
              <w:kinsoku w:val="0"/>
              <w:overflowPunct w:val="0"/>
              <w:autoSpaceDE w:val="0"/>
              <w:autoSpaceDN w:val="0"/>
              <w:adjustRightInd w:val="0"/>
              <w:snapToGrid w:val="0"/>
              <w:ind w:left="360"/>
              <w:rPr>
                <w:i/>
                <w:snapToGrid w:val="0"/>
                <w:kern w:val="22"/>
                <w:szCs w:val="22"/>
              </w:rPr>
            </w:pPr>
            <w:r w:rsidRPr="00230269">
              <w:rPr>
                <w:i/>
                <w:snapToGrid w:val="0"/>
                <w:kern w:val="22"/>
                <w:szCs w:val="22"/>
              </w:rPr>
              <w:t>Страна</w:t>
            </w:r>
          </w:p>
        </w:tc>
        <w:tc>
          <w:tcPr>
            <w:tcW w:w="1670" w:type="dxa"/>
            <w:shd w:val="clear" w:color="auto" w:fill="auto"/>
          </w:tcPr>
          <w:p w:rsidR="00BF4C8E" w:rsidRPr="00607DE5" w:rsidRDefault="00245864" w:rsidP="00BC5783">
            <w:pPr>
              <w:keepNext/>
              <w:suppressLineNumbers/>
              <w:suppressAutoHyphens/>
              <w:kinsoku w:val="0"/>
              <w:overflowPunct w:val="0"/>
              <w:autoSpaceDE w:val="0"/>
              <w:autoSpaceDN w:val="0"/>
              <w:adjustRightInd w:val="0"/>
              <w:snapToGrid w:val="0"/>
              <w:ind w:left="360"/>
              <w:rPr>
                <w:i/>
                <w:snapToGrid w:val="0"/>
                <w:kern w:val="22"/>
                <w:szCs w:val="22"/>
              </w:rPr>
            </w:pPr>
            <w:r>
              <w:rPr>
                <w:i/>
                <w:snapToGrid w:val="0"/>
                <w:szCs w:val="22"/>
              </w:rPr>
              <w:t>Увеличение</w:t>
            </w:r>
          </w:p>
        </w:tc>
        <w:tc>
          <w:tcPr>
            <w:tcW w:w="1684" w:type="dxa"/>
            <w:shd w:val="clear" w:color="auto" w:fill="auto"/>
          </w:tcPr>
          <w:p w:rsidR="00BF4C8E" w:rsidRPr="00607DE5" w:rsidRDefault="00245864" w:rsidP="00BC5783">
            <w:pPr>
              <w:keepNext/>
              <w:suppressLineNumbers/>
              <w:suppressAutoHyphens/>
              <w:kinsoku w:val="0"/>
              <w:overflowPunct w:val="0"/>
              <w:autoSpaceDE w:val="0"/>
              <w:autoSpaceDN w:val="0"/>
              <w:adjustRightInd w:val="0"/>
              <w:snapToGrid w:val="0"/>
              <w:ind w:left="360"/>
              <w:rPr>
                <w:i/>
                <w:snapToGrid w:val="0"/>
                <w:kern w:val="22"/>
                <w:szCs w:val="22"/>
              </w:rPr>
            </w:pPr>
            <w:r>
              <w:rPr>
                <w:i/>
                <w:snapToGrid w:val="0"/>
                <w:szCs w:val="22"/>
              </w:rPr>
              <w:t>Сокращение</w:t>
            </w:r>
          </w:p>
        </w:tc>
        <w:tc>
          <w:tcPr>
            <w:tcW w:w="1874" w:type="dxa"/>
            <w:shd w:val="clear" w:color="auto" w:fill="auto"/>
          </w:tcPr>
          <w:p w:rsidR="00BF4C8E" w:rsidRPr="00607DE5" w:rsidRDefault="00BF4C8E" w:rsidP="00627A8F">
            <w:pPr>
              <w:keepNext/>
              <w:suppressLineNumbers/>
              <w:suppressAutoHyphens/>
              <w:kinsoku w:val="0"/>
              <w:overflowPunct w:val="0"/>
              <w:autoSpaceDE w:val="0"/>
              <w:autoSpaceDN w:val="0"/>
              <w:adjustRightInd w:val="0"/>
              <w:snapToGrid w:val="0"/>
              <w:ind w:left="360"/>
              <w:rPr>
                <w:i/>
                <w:snapToGrid w:val="0"/>
                <w:kern w:val="22"/>
                <w:szCs w:val="22"/>
              </w:rPr>
            </w:pPr>
            <w:r>
              <w:rPr>
                <w:i/>
                <w:snapToGrid w:val="0"/>
                <w:szCs w:val="22"/>
              </w:rPr>
              <w:t>Нейтральн</w:t>
            </w:r>
            <w:r w:rsidR="00627A8F">
              <w:rPr>
                <w:i/>
                <w:snapToGrid w:val="0"/>
                <w:szCs w:val="22"/>
              </w:rPr>
              <w:t>ые тенденции</w:t>
            </w:r>
          </w:p>
        </w:tc>
        <w:tc>
          <w:tcPr>
            <w:tcW w:w="955" w:type="dxa"/>
            <w:shd w:val="clear" w:color="auto" w:fill="auto"/>
          </w:tcPr>
          <w:p w:rsidR="00BF4C8E" w:rsidRPr="00607DE5" w:rsidRDefault="00BF4C8E" w:rsidP="00BC5783">
            <w:pPr>
              <w:keepNext/>
              <w:suppressLineNumbers/>
              <w:suppressAutoHyphens/>
              <w:kinsoku w:val="0"/>
              <w:overflowPunct w:val="0"/>
              <w:autoSpaceDE w:val="0"/>
              <w:autoSpaceDN w:val="0"/>
              <w:adjustRightInd w:val="0"/>
              <w:snapToGrid w:val="0"/>
              <w:ind w:left="360"/>
              <w:rPr>
                <w:i/>
                <w:snapToGrid w:val="0"/>
                <w:kern w:val="22"/>
                <w:szCs w:val="22"/>
              </w:rPr>
            </w:pPr>
            <w:r>
              <w:rPr>
                <w:i/>
                <w:snapToGrid w:val="0"/>
                <w:szCs w:val="22"/>
              </w:rPr>
              <w:t>Н/П</w:t>
            </w:r>
          </w:p>
        </w:tc>
        <w:tc>
          <w:tcPr>
            <w:tcW w:w="1301" w:type="dxa"/>
            <w:shd w:val="clear" w:color="auto" w:fill="auto"/>
          </w:tcPr>
          <w:p w:rsidR="00BF4C8E" w:rsidRPr="00607DE5" w:rsidRDefault="00245864" w:rsidP="00BC5783">
            <w:pPr>
              <w:keepNext/>
              <w:suppressLineNumbers/>
              <w:suppressAutoHyphens/>
              <w:kinsoku w:val="0"/>
              <w:overflowPunct w:val="0"/>
              <w:autoSpaceDE w:val="0"/>
              <w:autoSpaceDN w:val="0"/>
              <w:adjustRightInd w:val="0"/>
              <w:snapToGrid w:val="0"/>
              <w:ind w:left="360"/>
              <w:rPr>
                <w:i/>
                <w:snapToGrid w:val="0"/>
                <w:kern w:val="22"/>
                <w:szCs w:val="22"/>
              </w:rPr>
            </w:pPr>
            <w:r>
              <w:rPr>
                <w:i/>
                <w:snapToGrid w:val="0"/>
                <w:szCs w:val="22"/>
              </w:rPr>
              <w:t>Итого</w:t>
            </w:r>
          </w:p>
        </w:tc>
      </w:tr>
      <w:tr w:rsidR="003F5C23" w:rsidRPr="00607DE5" w:rsidTr="003F5C23">
        <w:trPr>
          <w:cantSplit/>
          <w:jc w:val="center"/>
        </w:trPr>
        <w:tc>
          <w:tcPr>
            <w:tcW w:w="2258" w:type="dxa"/>
            <w:shd w:val="clear" w:color="auto" w:fill="auto"/>
          </w:tcPr>
          <w:p w:rsidR="003F5C23" w:rsidRPr="00607DE5" w:rsidRDefault="003F5C23" w:rsidP="00BC5783">
            <w:pPr>
              <w:keepNext/>
              <w:suppressLineNumbers/>
              <w:suppressAutoHyphens/>
              <w:kinsoku w:val="0"/>
              <w:overflowPunct w:val="0"/>
              <w:autoSpaceDE w:val="0"/>
              <w:autoSpaceDN w:val="0"/>
              <w:adjustRightInd w:val="0"/>
              <w:snapToGrid w:val="0"/>
              <w:rPr>
                <w:snapToGrid w:val="0"/>
                <w:kern w:val="22"/>
                <w:szCs w:val="22"/>
              </w:rPr>
            </w:pPr>
            <w:r>
              <w:rPr>
                <w:snapToGrid w:val="0"/>
                <w:szCs w:val="22"/>
              </w:rPr>
              <w:t>Члены КСР</w:t>
            </w:r>
          </w:p>
        </w:tc>
        <w:tc>
          <w:tcPr>
            <w:tcW w:w="1670" w:type="dxa"/>
            <w:shd w:val="clear" w:color="auto" w:fill="auto"/>
          </w:tcPr>
          <w:p w:rsidR="003F5C23" w:rsidRPr="006C6E40" w:rsidRDefault="003F5C23" w:rsidP="00DD7D49">
            <w:pPr>
              <w:keepNext/>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7</w:t>
            </w:r>
          </w:p>
        </w:tc>
        <w:tc>
          <w:tcPr>
            <w:tcW w:w="1684" w:type="dxa"/>
            <w:shd w:val="clear" w:color="auto" w:fill="auto"/>
          </w:tcPr>
          <w:p w:rsidR="003F5C23" w:rsidRPr="006C6E40" w:rsidRDefault="003F5C23" w:rsidP="00DD7D49">
            <w:pPr>
              <w:keepNext/>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6</w:t>
            </w:r>
          </w:p>
        </w:tc>
        <w:tc>
          <w:tcPr>
            <w:tcW w:w="1874" w:type="dxa"/>
            <w:shd w:val="clear" w:color="auto" w:fill="auto"/>
          </w:tcPr>
          <w:p w:rsidR="003F5C23" w:rsidRPr="006C6E40" w:rsidRDefault="003F5C23" w:rsidP="00DD7D49">
            <w:pPr>
              <w:keepNext/>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7</w:t>
            </w:r>
          </w:p>
        </w:tc>
        <w:tc>
          <w:tcPr>
            <w:tcW w:w="955" w:type="dxa"/>
            <w:shd w:val="clear" w:color="auto" w:fill="auto"/>
          </w:tcPr>
          <w:p w:rsidR="003F5C23" w:rsidRPr="006C6E40" w:rsidRDefault="003F5C23" w:rsidP="00DD7D49">
            <w:pPr>
              <w:keepNext/>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3</w:t>
            </w:r>
          </w:p>
        </w:tc>
        <w:tc>
          <w:tcPr>
            <w:tcW w:w="1301" w:type="dxa"/>
            <w:shd w:val="clear" w:color="auto" w:fill="auto"/>
          </w:tcPr>
          <w:p w:rsidR="003F5C23" w:rsidRPr="006C6E40" w:rsidRDefault="003F5C23" w:rsidP="00DD7D49">
            <w:pPr>
              <w:keepNext/>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23</w:t>
            </w:r>
          </w:p>
        </w:tc>
      </w:tr>
      <w:tr w:rsidR="003F5C23" w:rsidRPr="00607DE5" w:rsidTr="003F5C23">
        <w:trPr>
          <w:cantSplit/>
          <w:jc w:val="center"/>
        </w:trPr>
        <w:tc>
          <w:tcPr>
            <w:tcW w:w="2258" w:type="dxa"/>
            <w:shd w:val="clear" w:color="auto" w:fill="auto"/>
          </w:tcPr>
          <w:p w:rsidR="003F5C23" w:rsidRPr="00607DE5" w:rsidRDefault="003F5C23" w:rsidP="00BC5783">
            <w:pPr>
              <w:keepNext/>
              <w:suppressLineNumbers/>
              <w:suppressAutoHyphens/>
              <w:kinsoku w:val="0"/>
              <w:overflowPunct w:val="0"/>
              <w:autoSpaceDE w:val="0"/>
              <w:autoSpaceDN w:val="0"/>
              <w:adjustRightInd w:val="0"/>
              <w:snapToGrid w:val="0"/>
              <w:rPr>
                <w:snapToGrid w:val="0"/>
                <w:kern w:val="22"/>
                <w:szCs w:val="22"/>
              </w:rPr>
            </w:pPr>
            <w:r>
              <w:rPr>
                <w:snapToGrid w:val="0"/>
                <w:szCs w:val="22"/>
              </w:rPr>
              <w:t>Страны, не являющиеся членами КСР</w:t>
            </w:r>
          </w:p>
        </w:tc>
        <w:tc>
          <w:tcPr>
            <w:tcW w:w="1670" w:type="dxa"/>
            <w:shd w:val="clear" w:color="auto" w:fill="auto"/>
          </w:tcPr>
          <w:p w:rsidR="003F5C23" w:rsidRPr="00B0436C" w:rsidRDefault="003F5C23" w:rsidP="00DD7D49">
            <w:pPr>
              <w:keepNext/>
              <w:suppressLineNumbers/>
              <w:suppressAutoHyphens/>
              <w:kinsoku w:val="0"/>
              <w:overflowPunct w:val="0"/>
              <w:autoSpaceDE w:val="0"/>
              <w:autoSpaceDN w:val="0"/>
              <w:adjustRightInd w:val="0"/>
              <w:snapToGrid w:val="0"/>
              <w:ind w:left="360"/>
              <w:jc w:val="center"/>
              <w:rPr>
                <w:snapToGrid w:val="0"/>
                <w:kern w:val="22"/>
                <w:szCs w:val="22"/>
              </w:rPr>
            </w:pPr>
            <w:r w:rsidRPr="00332F88">
              <w:rPr>
                <w:snapToGrid w:val="0"/>
                <w:kern w:val="22"/>
                <w:szCs w:val="22"/>
              </w:rPr>
              <w:t>2</w:t>
            </w:r>
            <w:r w:rsidRPr="0011290F">
              <w:rPr>
                <w:snapToGrid w:val="0"/>
                <w:kern w:val="22"/>
                <w:szCs w:val="22"/>
              </w:rPr>
              <w:t>1</w:t>
            </w:r>
          </w:p>
        </w:tc>
        <w:tc>
          <w:tcPr>
            <w:tcW w:w="1684" w:type="dxa"/>
            <w:shd w:val="clear" w:color="auto" w:fill="auto"/>
          </w:tcPr>
          <w:p w:rsidR="003F5C23" w:rsidRPr="006C6E40" w:rsidRDefault="003F5C23" w:rsidP="00DD7D49">
            <w:pPr>
              <w:keepNext/>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7</w:t>
            </w:r>
          </w:p>
        </w:tc>
        <w:tc>
          <w:tcPr>
            <w:tcW w:w="1874" w:type="dxa"/>
            <w:shd w:val="clear" w:color="auto" w:fill="auto"/>
          </w:tcPr>
          <w:p w:rsidR="003F5C23" w:rsidRPr="006C6E40" w:rsidRDefault="003F5C23" w:rsidP="00DD7D49">
            <w:pPr>
              <w:keepNext/>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17</w:t>
            </w:r>
          </w:p>
        </w:tc>
        <w:tc>
          <w:tcPr>
            <w:tcW w:w="955" w:type="dxa"/>
            <w:shd w:val="clear" w:color="auto" w:fill="auto"/>
          </w:tcPr>
          <w:p w:rsidR="003F5C23" w:rsidRPr="006C6E40" w:rsidRDefault="003F5C23" w:rsidP="00DD7D49">
            <w:pPr>
              <w:keepNext/>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10</w:t>
            </w:r>
          </w:p>
        </w:tc>
        <w:tc>
          <w:tcPr>
            <w:tcW w:w="1301" w:type="dxa"/>
            <w:shd w:val="clear" w:color="auto" w:fill="auto"/>
          </w:tcPr>
          <w:p w:rsidR="003F5C23" w:rsidRPr="006C6E40" w:rsidRDefault="003F5C23" w:rsidP="00DD7D49">
            <w:pPr>
              <w:keepNext/>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55</w:t>
            </w:r>
          </w:p>
        </w:tc>
      </w:tr>
      <w:tr w:rsidR="003F5C23" w:rsidRPr="00607DE5" w:rsidTr="003F5C23">
        <w:trPr>
          <w:cantSplit/>
          <w:jc w:val="center"/>
        </w:trPr>
        <w:tc>
          <w:tcPr>
            <w:tcW w:w="2258" w:type="dxa"/>
            <w:shd w:val="clear" w:color="auto" w:fill="auto"/>
          </w:tcPr>
          <w:p w:rsidR="003F5C23" w:rsidRDefault="003F5C23" w:rsidP="00BC5783">
            <w:pPr>
              <w:suppressLineNumbers/>
              <w:suppressAutoHyphens/>
              <w:kinsoku w:val="0"/>
              <w:overflowPunct w:val="0"/>
              <w:autoSpaceDE w:val="0"/>
              <w:autoSpaceDN w:val="0"/>
              <w:adjustRightInd w:val="0"/>
              <w:snapToGrid w:val="0"/>
              <w:rPr>
                <w:snapToGrid w:val="0"/>
                <w:szCs w:val="22"/>
              </w:rPr>
            </w:pPr>
            <w:r>
              <w:rPr>
                <w:snapToGrid w:val="0"/>
                <w:szCs w:val="22"/>
              </w:rPr>
              <w:t>Все страны</w:t>
            </w:r>
          </w:p>
        </w:tc>
        <w:tc>
          <w:tcPr>
            <w:tcW w:w="1670" w:type="dxa"/>
            <w:shd w:val="clear" w:color="auto" w:fill="auto"/>
          </w:tcPr>
          <w:p w:rsidR="003F5C23" w:rsidRPr="006C6E40" w:rsidRDefault="003F5C23" w:rsidP="00DD7D49">
            <w:pPr>
              <w:keepNext/>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28</w:t>
            </w:r>
          </w:p>
        </w:tc>
        <w:tc>
          <w:tcPr>
            <w:tcW w:w="1684" w:type="dxa"/>
            <w:shd w:val="clear" w:color="auto" w:fill="auto"/>
          </w:tcPr>
          <w:p w:rsidR="003F5C23" w:rsidRPr="006C6E40" w:rsidRDefault="003F5C23" w:rsidP="00DD7D49">
            <w:pPr>
              <w:keepNext/>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13</w:t>
            </w:r>
          </w:p>
        </w:tc>
        <w:tc>
          <w:tcPr>
            <w:tcW w:w="1874" w:type="dxa"/>
            <w:shd w:val="clear" w:color="auto" w:fill="auto"/>
          </w:tcPr>
          <w:p w:rsidR="003F5C23" w:rsidRPr="006C6E40" w:rsidRDefault="003F5C23" w:rsidP="00DD7D49">
            <w:pPr>
              <w:keepNext/>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24</w:t>
            </w:r>
          </w:p>
        </w:tc>
        <w:tc>
          <w:tcPr>
            <w:tcW w:w="955" w:type="dxa"/>
            <w:shd w:val="clear" w:color="auto" w:fill="auto"/>
          </w:tcPr>
          <w:p w:rsidR="003F5C23" w:rsidRPr="006C6E40" w:rsidRDefault="003F5C23" w:rsidP="00DD7D49">
            <w:pPr>
              <w:keepNext/>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13</w:t>
            </w:r>
          </w:p>
        </w:tc>
        <w:tc>
          <w:tcPr>
            <w:tcW w:w="1301" w:type="dxa"/>
            <w:shd w:val="clear" w:color="auto" w:fill="auto"/>
          </w:tcPr>
          <w:p w:rsidR="003F5C23" w:rsidRPr="006C6E40" w:rsidRDefault="003F5C23" w:rsidP="00DD7D49">
            <w:pPr>
              <w:keepNext/>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78</w:t>
            </w:r>
          </w:p>
        </w:tc>
      </w:tr>
      <w:tr w:rsidR="003F5C23" w:rsidRPr="00607DE5" w:rsidTr="003F5C23">
        <w:trPr>
          <w:cantSplit/>
          <w:jc w:val="center"/>
        </w:trPr>
        <w:tc>
          <w:tcPr>
            <w:tcW w:w="2258" w:type="dxa"/>
            <w:shd w:val="clear" w:color="auto" w:fill="auto"/>
          </w:tcPr>
          <w:p w:rsidR="003F5C23" w:rsidRPr="00607DE5" w:rsidRDefault="003F5C23" w:rsidP="00BC5783">
            <w:pPr>
              <w:suppressLineNumbers/>
              <w:suppressAutoHyphens/>
              <w:kinsoku w:val="0"/>
              <w:overflowPunct w:val="0"/>
              <w:autoSpaceDE w:val="0"/>
              <w:autoSpaceDN w:val="0"/>
              <w:adjustRightInd w:val="0"/>
              <w:snapToGrid w:val="0"/>
              <w:rPr>
                <w:snapToGrid w:val="0"/>
                <w:kern w:val="22"/>
                <w:szCs w:val="22"/>
              </w:rPr>
            </w:pPr>
            <w:r>
              <w:rPr>
                <w:snapToGrid w:val="0"/>
                <w:szCs w:val="22"/>
              </w:rPr>
              <w:t>Страны, располагающие сверхбогатым биоразнообразием</w:t>
            </w:r>
          </w:p>
        </w:tc>
        <w:tc>
          <w:tcPr>
            <w:tcW w:w="1670" w:type="dxa"/>
            <w:shd w:val="clear" w:color="auto" w:fill="auto"/>
          </w:tcPr>
          <w:p w:rsidR="003F5C23" w:rsidRPr="006C6E40" w:rsidRDefault="003F5C23" w:rsidP="00DD7D49">
            <w:pPr>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5</w:t>
            </w:r>
          </w:p>
        </w:tc>
        <w:tc>
          <w:tcPr>
            <w:tcW w:w="1684" w:type="dxa"/>
            <w:shd w:val="clear" w:color="auto" w:fill="auto"/>
          </w:tcPr>
          <w:p w:rsidR="003F5C23" w:rsidRPr="006C6E40" w:rsidRDefault="003F5C23" w:rsidP="00DD7D49">
            <w:pPr>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3</w:t>
            </w:r>
          </w:p>
        </w:tc>
        <w:tc>
          <w:tcPr>
            <w:tcW w:w="1874" w:type="dxa"/>
            <w:shd w:val="clear" w:color="auto" w:fill="auto"/>
          </w:tcPr>
          <w:p w:rsidR="003F5C23" w:rsidRPr="006C6E40" w:rsidRDefault="003F5C23" w:rsidP="00DD7D49">
            <w:pPr>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3</w:t>
            </w:r>
          </w:p>
        </w:tc>
        <w:tc>
          <w:tcPr>
            <w:tcW w:w="955" w:type="dxa"/>
            <w:shd w:val="clear" w:color="auto" w:fill="auto"/>
          </w:tcPr>
          <w:p w:rsidR="003F5C23" w:rsidRPr="006C6E40" w:rsidRDefault="003F5C23" w:rsidP="00DD7D49">
            <w:pPr>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1</w:t>
            </w:r>
          </w:p>
        </w:tc>
        <w:tc>
          <w:tcPr>
            <w:tcW w:w="1301" w:type="dxa"/>
            <w:shd w:val="clear" w:color="auto" w:fill="auto"/>
          </w:tcPr>
          <w:p w:rsidR="003F5C23" w:rsidRPr="006C6E40" w:rsidRDefault="003F5C23" w:rsidP="00DD7D49">
            <w:pPr>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12</w:t>
            </w:r>
          </w:p>
        </w:tc>
      </w:tr>
    </w:tbl>
    <w:p w:rsidR="00F53E2F" w:rsidRPr="00607DE5" w:rsidRDefault="00F53E2F" w:rsidP="00BC5783">
      <w:pPr>
        <w:pStyle w:val="Para1"/>
        <w:suppressLineNumbers/>
        <w:tabs>
          <w:tab w:val="clear" w:pos="360"/>
        </w:tabs>
        <w:suppressAutoHyphens/>
      </w:pPr>
      <w:r>
        <w:t xml:space="preserve">Инициатива ПРООН по финансированию биоразнообразия БИОФИН является наиболее значимой и наиболее успешной инициативой, направленной на удовлетворение потребностей развивающихся стран в комплексном учете биоразнообразия в их национальных стратегиях планирования и финансирования развития, включая их НСПДСБ. Инициатива БИОФИН была запущена в 2012 году и в настоящее время оказывает поддержку 35 странам, из которых 11 являются странами, располагающими сверхбогатым биоразнообразием, 15 стран находятся в Азии, 10 </w:t>
      </w:r>
      <w:r w:rsidR="00627A8F">
        <w:t>–</w:t>
      </w:r>
      <w:r>
        <w:t xml:space="preserve"> в</w:t>
      </w:r>
      <w:r w:rsidR="00627A8F">
        <w:t xml:space="preserve"> </w:t>
      </w:r>
      <w:r>
        <w:t xml:space="preserve">Африке и 10 </w:t>
      </w:r>
      <w:r w:rsidR="00627A8F">
        <w:t>–</w:t>
      </w:r>
      <w:r>
        <w:t xml:space="preserve"> в</w:t>
      </w:r>
      <w:r w:rsidR="00627A8F">
        <w:t xml:space="preserve"> </w:t>
      </w:r>
      <w:r>
        <w:t>Латинской Америке.</w:t>
      </w:r>
    </w:p>
    <w:p w:rsidR="00F53E2F" w:rsidRPr="00607DE5" w:rsidRDefault="00F53E2F" w:rsidP="00BC5783">
      <w:pPr>
        <w:pStyle w:val="Para1"/>
        <w:suppressLineNumbers/>
        <w:tabs>
          <w:tab w:val="clear" w:pos="360"/>
        </w:tabs>
        <w:suppressAutoHyphens/>
      </w:pPr>
      <w:r>
        <w:t>Были предприняты усилия по укреплению национального потенциала в области мобилизации ресурсов, в рамках которых Норвегия оказала поддержку инициативе по Экономике экосистем и биоразнообразия (ЭЭБ), инициативе БИОФИН, партнерству по учету богатства и стоимостной</w:t>
      </w:r>
      <w:r w:rsidR="009A3528">
        <w:t xml:space="preserve"> </w:t>
      </w:r>
      <w:r>
        <w:t>оценке экосистемных услуг (WAVES)</w:t>
      </w:r>
      <w:r w:rsidR="00683048" w:rsidRPr="00683048">
        <w:rPr>
          <w:rStyle w:val="FootnoteReference"/>
        </w:rPr>
        <w:t xml:space="preserve"> </w:t>
      </w:r>
      <w:r w:rsidR="00683048" w:rsidRPr="00380B83">
        <w:rPr>
          <w:rStyle w:val="FootnoteReference"/>
        </w:rPr>
        <w:footnoteReference w:id="10"/>
      </w:r>
      <w:r>
        <w:t xml:space="preserve"> и созданию Центра по политике и праву в области биоразнообразия в Ченнае (Индия).</w:t>
      </w:r>
    </w:p>
    <w:p w:rsidR="00F53E2F" w:rsidRPr="00607DE5" w:rsidRDefault="00F53E2F" w:rsidP="00BC5783">
      <w:pPr>
        <w:pStyle w:val="Para1"/>
        <w:suppressLineNumbers/>
        <w:tabs>
          <w:tab w:val="clear" w:pos="360"/>
        </w:tabs>
        <w:suppressAutoHyphens/>
      </w:pPr>
      <w:r>
        <w:t>Заслуживает упоминания ряд примеров достигнутого прогресса в этой области в развитых странах. К примеру, в 2014 году Европейская комиссия опубликовала общие практические рамки для защиты биоразнообразия</w:t>
      </w:r>
      <w:r w:rsidR="00683048" w:rsidRPr="00380B83">
        <w:rPr>
          <w:vertAlign w:val="superscript"/>
        </w:rPr>
        <w:footnoteReference w:id="11"/>
      </w:r>
      <w:r>
        <w:t xml:space="preserve"> в бюджете Европейского союза, которые включают общие руководящие принципы для национальных и региональных органов власти и служб Европейской комиссии, с тем чтобы гарантировать, что расходы не оказывают негативного воздействия, а оказывают поддержку достижению целей в области биоразнообразия. Впоследствии вопрос биоразнообразия был включен в предложения Европейской комиссии по бюджету Европейского союза (многолетний финансовый план) на 2021-2027 годы и в соответствующие инструменты финансирования Европейского союза, включая значительное увеличение предлагаемого бюджета для программы LIFE</w:t>
      </w:r>
      <w:r w:rsidR="009A3528">
        <w:t xml:space="preserve"> </w:t>
      </w:r>
      <w:r w:rsidR="00627A8F">
        <w:t>–</w:t>
      </w:r>
      <w:r>
        <w:t xml:space="preserve"> специального</w:t>
      </w:r>
      <w:r w:rsidR="00627A8F">
        <w:t xml:space="preserve"> </w:t>
      </w:r>
      <w:r>
        <w:t>инструмента для активизации реализации целей Европейского союза в области окружающей среды и климата.</w:t>
      </w:r>
    </w:p>
    <w:p w:rsidR="009F6C39" w:rsidRPr="00607DE5" w:rsidRDefault="009F6C39" w:rsidP="00BC5783">
      <w:pPr>
        <w:pStyle w:val="Heading4"/>
        <w:suppressLineNumbers/>
        <w:suppressAutoHyphens/>
        <w:rPr>
          <w:i w:val="0"/>
        </w:rPr>
      </w:pPr>
      <w:r>
        <w:rPr>
          <w:i w:val="0"/>
        </w:rPr>
        <w:t xml:space="preserve">Цель 3. </w:t>
      </w:r>
      <w:r w:rsidR="00627A8F" w:rsidRPr="00627A8F">
        <w:rPr>
          <w:i w:val="0"/>
        </w:rPr>
        <w:t>Укрепление существующих финансовых учреждений и стимулирование воспроизведения и расширения масштабов эффективных механизмов и инструментов финансирования</w:t>
      </w:r>
    </w:p>
    <w:p w:rsidR="00116340" w:rsidRPr="00607DE5" w:rsidRDefault="00116340" w:rsidP="00BC5783">
      <w:pPr>
        <w:pStyle w:val="Para1"/>
        <w:suppressLineNumbers/>
        <w:tabs>
          <w:tab w:val="clear" w:pos="360"/>
        </w:tabs>
        <w:suppressAutoHyphens/>
      </w:pPr>
      <w:r>
        <w:t>Цел</w:t>
      </w:r>
      <w:r w:rsidR="00C73B33">
        <w:t>ь</w:t>
      </w:r>
      <w:r>
        <w:t xml:space="preserve"> 3 подразделяется на несколько различных подцелей</w:t>
      </w:r>
      <w:r w:rsidR="009254D4">
        <w:t xml:space="preserve"> и</w:t>
      </w:r>
      <w:r>
        <w:t xml:space="preserve"> включа</w:t>
      </w:r>
      <w:r w:rsidR="009254D4">
        <w:t>ет</w:t>
      </w:r>
      <w:r>
        <w:t xml:space="preserve"> мобилизацию совместного финансирования, увеличение </w:t>
      </w:r>
      <w:r w:rsidR="009254D4">
        <w:t xml:space="preserve">объемов </w:t>
      </w:r>
      <w:r>
        <w:t>официальной помощи развити</w:t>
      </w:r>
      <w:r w:rsidR="009254D4">
        <w:t>ю</w:t>
      </w:r>
      <w:r>
        <w:t xml:space="preserve"> на нужды биоразнообразия (как двусторонней, так и многосторонней), мобилизацию инвестиций государственного и частного секторов в биоразнообразие и экосистемные услуги, а также создание национальных экологических фондов.</w:t>
      </w:r>
    </w:p>
    <w:p w:rsidR="00FA1934" w:rsidRPr="00380B83" w:rsidRDefault="00116340" w:rsidP="00BC5783">
      <w:pPr>
        <w:pStyle w:val="Para1"/>
        <w:suppressLineNumbers/>
        <w:tabs>
          <w:tab w:val="clear" w:pos="360"/>
        </w:tabs>
        <w:suppressAutoHyphens/>
      </w:pPr>
      <w:r>
        <w:lastRenderedPageBreak/>
        <w:t xml:space="preserve">ГЭФ в качестве финансового механизма Конвенции играет ключевую роль в мобилизации ресурсов для осуществления Конвенции, причем объем финансирования </w:t>
      </w:r>
      <w:r w:rsidR="00C73B33">
        <w:t>биоразнообразия ГЭФ</w:t>
      </w:r>
      <w:r>
        <w:t xml:space="preserve"> увеличился примерно на 30% в период между ГЭФ-4 (2006-2010 годы) и ГЭФ-7 (2018-2022 годы). В общей сложности ГЭФ инвестировал более 3,5 млрд долл. США в сохранение биоразнообразия и его устойчивое использование. Эти инвестиции привлекли дополнительные средства в размере более 10 млрд долл. США, оказав поддержку 1300 проектам в более чем 155 странах</w:t>
      </w:r>
      <w:r w:rsidR="00683048" w:rsidRPr="00380B83">
        <w:rPr>
          <w:rStyle w:val="FootnoteReference"/>
        </w:rPr>
        <w:footnoteReference w:id="12"/>
      </w:r>
      <w:r>
        <w:t>.</w:t>
      </w:r>
    </w:p>
    <w:p w:rsidR="009F6C39" w:rsidRPr="00607DE5" w:rsidRDefault="00FA1934" w:rsidP="00BC5783">
      <w:pPr>
        <w:pStyle w:val="Para1"/>
        <w:suppressLineNumbers/>
        <w:tabs>
          <w:tab w:val="clear" w:pos="360"/>
        </w:tabs>
        <w:suppressAutoHyphens/>
      </w:pPr>
      <w:r>
        <w:t>Помимо целевой деятельности в сфере биоразнообразия, ряд других целевых областей ГЭФ (устойчивое лесопользование, изменение климата, международные водные ресурсы) также вносят вклад в выполнение Айтинских целевых задач</w:t>
      </w:r>
      <w:r w:rsidR="009254D4">
        <w:t>. То же можно сказать и о</w:t>
      </w:r>
      <w:r>
        <w:t xml:space="preserve"> некоторы</w:t>
      </w:r>
      <w:r w:rsidR="009254D4">
        <w:t>х</w:t>
      </w:r>
      <w:r>
        <w:t xml:space="preserve"> конкретны</w:t>
      </w:r>
      <w:r w:rsidR="009254D4">
        <w:t>х</w:t>
      </w:r>
      <w:r>
        <w:t xml:space="preserve"> программ</w:t>
      </w:r>
      <w:r w:rsidR="009254D4">
        <w:t xml:space="preserve">ах </w:t>
      </w:r>
      <w:r>
        <w:t>широкого воздействия и други</w:t>
      </w:r>
      <w:r w:rsidR="009254D4">
        <w:t>х</w:t>
      </w:r>
      <w:r>
        <w:t xml:space="preserve"> программ</w:t>
      </w:r>
      <w:r w:rsidR="009254D4">
        <w:t xml:space="preserve">ах, </w:t>
      </w:r>
      <w:r>
        <w:t>например, Глобальн</w:t>
      </w:r>
      <w:r w:rsidR="009254D4">
        <w:t>ой</w:t>
      </w:r>
      <w:r>
        <w:t xml:space="preserve"> программ</w:t>
      </w:r>
      <w:r w:rsidR="009254D4">
        <w:t>е</w:t>
      </w:r>
      <w:r>
        <w:t xml:space="preserve"> по охране дикой природы, Фонд</w:t>
      </w:r>
      <w:r w:rsidR="009254D4">
        <w:t xml:space="preserve">е </w:t>
      </w:r>
      <w:r>
        <w:t>для наименее развитых стран, основной упор в котором делается на адаптацию к изменению климата, но который имеет большое значение</w:t>
      </w:r>
      <w:r w:rsidR="009254D4">
        <w:t xml:space="preserve"> и</w:t>
      </w:r>
      <w:r>
        <w:t xml:space="preserve"> для биоразнообразия, а также программ</w:t>
      </w:r>
      <w:r w:rsidR="009254D4">
        <w:t>е</w:t>
      </w:r>
      <w:r>
        <w:t xml:space="preserve"> малых грантов.</w:t>
      </w:r>
    </w:p>
    <w:p w:rsidR="00AA5F43" w:rsidRPr="00607DE5" w:rsidRDefault="00AA5F43" w:rsidP="00BC5783">
      <w:pPr>
        <w:pStyle w:val="Para1"/>
        <w:suppressLineNumbers/>
        <w:tabs>
          <w:tab w:val="clear" w:pos="360"/>
        </w:tabs>
        <w:suppressAutoHyphens/>
      </w:pPr>
      <w:r>
        <w:t xml:space="preserve">Шестая комплексная оценка деятельности ГЭФ (КОД-6), проведенная </w:t>
      </w:r>
      <w:r w:rsidR="003F5C23">
        <w:t>до</w:t>
      </w:r>
      <w:r>
        <w:t xml:space="preserve"> ГЭФ-7, подчеркивает тесную увязку стратегии ГЭФ в области сохранения биоразнообразия с руководящими принципами КБР. В КОД-6</w:t>
      </w:r>
      <w:r w:rsidR="00683048" w:rsidRPr="00380B83">
        <w:rPr>
          <w:rStyle w:val="FootnoteReference"/>
          <w:szCs w:val="22"/>
        </w:rPr>
        <w:footnoteReference w:id="13"/>
      </w:r>
      <w:r>
        <w:t xml:space="preserve"> сделан вывод о том, что «стратегии ГЭФ по целевым областям в сфере биоразнообразия надлежащим образом отвечают руководящим указаниям и направлениям деятельности КБР». ... Поддержка ГЭФ позволила 189 из 196 (96%) Сторон К</w:t>
      </w:r>
      <w:r w:rsidR="003F5C23">
        <w:t>онвенции</w:t>
      </w:r>
      <w:r>
        <w:t xml:space="preserve"> представить национальные доклады в секретариат. ... Итоговые показатели портфеля проектов в области биоразнообразия сопоставимы с результатами работы ГЭФ в целом, однако их устойчивость остается проблемой (т.</w:t>
      </w:r>
      <w:r w:rsidR="00245864">
        <w:t> </w:t>
      </w:r>
      <w:r>
        <w:t>е. устойчивость или внедрение/продолжение работы странами после завершения проекта ГЭФ).</w:t>
      </w:r>
    </w:p>
    <w:p w:rsidR="00AA5F43" w:rsidRPr="00607DE5" w:rsidRDefault="00A56819" w:rsidP="00BC5783">
      <w:pPr>
        <w:pStyle w:val="Para1"/>
        <w:suppressLineNumbers/>
        <w:tabs>
          <w:tab w:val="clear" w:pos="360"/>
        </w:tabs>
        <w:suppressAutoHyphens/>
      </w:pPr>
      <w:r>
        <w:t>Несколько Сторон, включая Европейский союз, отметили ряд пробелов в стратегии мобилизации ресурсов в рамках этой цели, в</w:t>
      </w:r>
      <w:r w:rsidR="009254D4">
        <w:t xml:space="preserve"> частности</w:t>
      </w:r>
      <w:r>
        <w:t xml:space="preserve">: </w:t>
      </w:r>
      <w:r w:rsidR="003F5C23">
        <w:rPr>
          <w:lang w:val="fr-FR"/>
        </w:rPr>
        <w:t>a</w:t>
      </w:r>
      <w:r w:rsidR="003F5C23" w:rsidRPr="003F5C23">
        <w:t xml:space="preserve">) </w:t>
      </w:r>
      <w:r>
        <w:t xml:space="preserve">важность содействия учету природного капитала; </w:t>
      </w:r>
      <w:r w:rsidR="003F5C23">
        <w:rPr>
          <w:lang w:val="fr-FR"/>
        </w:rPr>
        <w:t>b</w:t>
      </w:r>
      <w:r w:rsidR="003F5C23" w:rsidRPr="003F5C23">
        <w:t xml:space="preserve">) </w:t>
      </w:r>
      <w:r>
        <w:t xml:space="preserve">дальнейшее поощрение устойчивого финансирования для отражения реальной ценности и коллективной отдачи инвестиций в природу и биоразнообразие; </w:t>
      </w:r>
      <w:r w:rsidR="003F5C23">
        <w:rPr>
          <w:lang w:val="fr-FR"/>
        </w:rPr>
        <w:t>c</w:t>
      </w:r>
      <w:r w:rsidR="003F5C23" w:rsidRPr="003F5C23">
        <w:t xml:space="preserve">) </w:t>
      </w:r>
      <w:r>
        <w:t xml:space="preserve">роль многонациональных и национальных банков развития; </w:t>
      </w:r>
      <w:r w:rsidR="003F5C23">
        <w:rPr>
          <w:lang w:val="fr-FR"/>
        </w:rPr>
        <w:t>d</w:t>
      </w:r>
      <w:r w:rsidR="003F5C23" w:rsidRPr="003F5C23">
        <w:t xml:space="preserve">) </w:t>
      </w:r>
      <w:r>
        <w:t xml:space="preserve">недостаточное признание биоразнообразия и экосистем в качестве ключевых факторов, способствующих достижению большинства целей в области устойчивого развития; </w:t>
      </w:r>
      <w:r w:rsidR="003F5C23">
        <w:rPr>
          <w:lang w:val="fr-FR"/>
        </w:rPr>
        <w:t>e</w:t>
      </w:r>
      <w:r w:rsidR="003F5C23" w:rsidRPr="003F5C23">
        <w:t xml:space="preserve">) </w:t>
      </w:r>
      <w:r>
        <w:t>необходимость предоставления инвесторам информации о воздействии на биоразнообразие/результатах деятельности компаний и увязки этой информации с более известными экологическими, социальными и управленческими (ЭСУ) вопросами и климатическими проблемами;</w:t>
      </w:r>
      <w:r w:rsidR="003F5C23" w:rsidRPr="003F5C23">
        <w:t xml:space="preserve"> </w:t>
      </w:r>
      <w:r w:rsidR="003F5C23">
        <w:t>и</w:t>
      </w:r>
      <w:r>
        <w:t xml:space="preserve"> </w:t>
      </w:r>
      <w:r w:rsidR="003F5C23">
        <w:rPr>
          <w:lang w:val="fr-FR"/>
        </w:rPr>
        <w:t>f</w:t>
      </w:r>
      <w:r w:rsidR="003F5C23" w:rsidRPr="003F5C23">
        <w:t xml:space="preserve">) </w:t>
      </w:r>
      <w:r>
        <w:t>ограниченность возможностей ГЭФ по предоставлению безвозмездного финансирования.</w:t>
      </w:r>
    </w:p>
    <w:p w:rsidR="000D3BCF" w:rsidRPr="00607DE5" w:rsidRDefault="001F1CCC" w:rsidP="00BC5783">
      <w:pPr>
        <w:pStyle w:val="Heading4"/>
        <w:suppressLineNumbers/>
        <w:suppressAutoHyphens/>
        <w:rPr>
          <w:i w:val="0"/>
        </w:rPr>
      </w:pPr>
      <w:r>
        <w:rPr>
          <w:i w:val="0"/>
        </w:rPr>
        <w:t xml:space="preserve">Цель 4. </w:t>
      </w:r>
      <w:r w:rsidR="00C73B33" w:rsidRPr="00C73B33">
        <w:rPr>
          <w:i w:val="0"/>
        </w:rPr>
        <w:t>Изучение новых и новаторских механизмов финансирования на всех уровнях с целью повышения объемов финансирования для осуществления трех целей Конвенции</w:t>
      </w:r>
    </w:p>
    <w:p w:rsidR="001F1CCC" w:rsidRPr="00607DE5" w:rsidRDefault="006E77E4" w:rsidP="00BC5783">
      <w:pPr>
        <w:pStyle w:val="Para1"/>
        <w:suppressLineNumbers/>
        <w:tabs>
          <w:tab w:val="clear" w:pos="360"/>
        </w:tabs>
        <w:suppressAutoHyphens/>
        <w:rPr>
          <w:szCs w:val="22"/>
        </w:rPr>
      </w:pPr>
      <w:r>
        <w:t xml:space="preserve">Тема «инновационных финансовых механизмов» вызвала споры на 10-м совещании Конференции Сторон, и в марте 2012 года правительства Индии, Норвегии, Швеции, Эквадора и Японии, а также секретариат Конвенции созвали в Кито диалоговый семинар по расширению финансирования деятельности в области биоразнообразия. Второй «Китский диалог» был проведен в апреле 2014 года в преддверии 12-го совещания Конференции Сторон. Очевидно, что число имеющихся механизмов значительно возросло за годы, прошедшие после согласования стратегии мобилизации ресурсов, равно как и </w:t>
      </w:r>
      <w:r w:rsidR="009254D4">
        <w:t xml:space="preserve">число уроков, извлеченных </w:t>
      </w:r>
      <w:r>
        <w:t>из их осуществления как в области биоразнообразия, так и, что немаловажно, в области климатического финансирования, в том числе в рамках программ СВОД+.</w:t>
      </w:r>
      <w:r>
        <w:rPr>
          <w:i/>
          <w:szCs w:val="22"/>
        </w:rPr>
        <w:t xml:space="preserve"> </w:t>
      </w:r>
      <w:r>
        <w:t>В недавнем докладе ОЭСР «Всеобъемлющий обзор глобального финансирования биоразнообразия»</w:t>
      </w:r>
      <w:r w:rsidR="00683048" w:rsidRPr="002D4A62">
        <w:rPr>
          <w:rStyle w:val="FootnoteReference"/>
          <w:iCs/>
          <w:szCs w:val="22"/>
        </w:rPr>
        <w:footnoteReference w:id="14"/>
      </w:r>
      <w:r>
        <w:t xml:space="preserve"> содержится полезный обзор экономических и других </w:t>
      </w:r>
      <w:r>
        <w:lastRenderedPageBreak/>
        <w:t>финансовых инструментов, инвестиционных подходов и структур, которые в настоящее время используются в области биоразнообразия, а также оценка общего объема ресурсов, мобилизуемых каждым из них на нужды биоразнообразия (см. приложение VI к полной версии настоящего доклада).</w:t>
      </w:r>
    </w:p>
    <w:p w:rsidR="00FC7BD5" w:rsidRPr="00380B83" w:rsidRDefault="00FC7BD5" w:rsidP="00BC5783">
      <w:pPr>
        <w:pStyle w:val="Para1"/>
        <w:suppressLineNumbers/>
        <w:tabs>
          <w:tab w:val="clear" w:pos="360"/>
        </w:tabs>
        <w:suppressAutoHyphens/>
        <w:rPr>
          <w:szCs w:val="22"/>
        </w:rPr>
      </w:pPr>
      <w:r>
        <w:t>Однако группа ученых исследователей из Университета Британской Колумбии и других стран (далее именуемая «группа УБК») выявила доказательства того, что заявления об увеличении финансирования частным сектором биоразнообразия значительно завышены. Например, в случае потоков частного капитала, направляемых на предотвращение обезлесения и восстановление экосистем, группа УБК отмечает, что в соответствии с одним сценарием, смоделированным в обзоре Элиаша в 2008 году, было предсказано, что к 2020 году углеродные рынки могут генерировать 7 млрд долл. США</w:t>
      </w:r>
      <w:r w:rsidR="00683048" w:rsidRPr="00380B83">
        <w:rPr>
          <w:bCs/>
          <w:szCs w:val="22"/>
          <w:vertAlign w:val="superscript"/>
        </w:rPr>
        <w:footnoteReference w:id="15"/>
      </w:r>
      <w:r>
        <w:t xml:space="preserve">. </w:t>
      </w:r>
      <w:r w:rsidR="00C73B33" w:rsidRPr="00C73B33">
        <w:t>На самом деле, согласно последнему докладу Ecosystem Marketplace под названием «Состояние лесного углеродного рынка», рынок сокращения выбросов, обусловленных лесными ресурсами, достиг своего пика в 2014 году с 257 млн долл. США в стоимостном выражении и в 2016 год</w:t>
      </w:r>
      <w:r w:rsidR="00C73B33">
        <w:t>у снизился до 120 млн долл. США</w:t>
      </w:r>
      <w:r w:rsidR="00683048" w:rsidRPr="00380B83">
        <w:rPr>
          <w:bCs/>
          <w:szCs w:val="22"/>
          <w:vertAlign w:val="superscript"/>
        </w:rPr>
        <w:footnoteReference w:id="16"/>
      </w:r>
      <w:r>
        <w:t>.</w:t>
      </w:r>
    </w:p>
    <w:p w:rsidR="00FC7BD5" w:rsidRPr="00380B83" w:rsidRDefault="00FC7BD5" w:rsidP="00BC5783">
      <w:pPr>
        <w:pStyle w:val="Para1"/>
        <w:suppressLineNumbers/>
        <w:tabs>
          <w:tab w:val="clear" w:pos="360"/>
        </w:tabs>
        <w:suppressAutoHyphens/>
        <w:rPr>
          <w:szCs w:val="22"/>
        </w:rPr>
      </w:pPr>
      <w:r>
        <w:t>Аналогичным образом большие ожидания, высказанные в прошлом относительно способности генетических ресурсов, особенно в лесах, генерировать значительные финансовые инвестиции в сохранение биоразнообразия посредством биоразведки, в целом оказались слишком оптимистичными: по одной из недавних оценок, биоразведка приносит лишь 50 млн долл. США финансирования на нужды сохранения биоразнообразия</w:t>
      </w:r>
      <w:r w:rsidR="00683048" w:rsidRPr="00380B83">
        <w:rPr>
          <w:bCs/>
          <w:szCs w:val="22"/>
          <w:vertAlign w:val="superscript"/>
        </w:rPr>
        <w:footnoteReference w:id="17"/>
      </w:r>
      <w:r>
        <w:t xml:space="preserve">. Таким образом, требуется определенная степень реализма в отношении ограничений – по крайней мере, в рамках нынешних экономических и нормативных рамок </w:t>
      </w:r>
      <w:r w:rsidR="00C73B33">
        <w:t>–</w:t>
      </w:r>
      <w:r>
        <w:t xml:space="preserve"> финансирования</w:t>
      </w:r>
      <w:r w:rsidR="00C73B33">
        <w:t xml:space="preserve"> </w:t>
      </w:r>
      <w:r>
        <w:t>частного сектора для восполнения пробелов в финансировании биоразнообразия и сохранения экосистем, оставленных государственным сектором. В соответствии с выводами Альянса по финансированию охраны природы</w:t>
      </w:r>
      <w:r w:rsidR="009A3528">
        <w:t xml:space="preserve"> </w:t>
      </w:r>
      <w:r>
        <w:t>«подавляющее большинство участников финансового сектора еще не проявило интереса к сохранению биоразнообразия»</w:t>
      </w:r>
      <w:r w:rsidR="00683048" w:rsidRPr="00683048">
        <w:rPr>
          <w:bCs/>
          <w:szCs w:val="22"/>
          <w:vertAlign w:val="superscript"/>
        </w:rPr>
        <w:t xml:space="preserve"> </w:t>
      </w:r>
      <w:r w:rsidR="00683048" w:rsidRPr="00380B83">
        <w:rPr>
          <w:bCs/>
          <w:szCs w:val="22"/>
          <w:vertAlign w:val="superscript"/>
        </w:rPr>
        <w:footnoteReference w:id="18"/>
      </w:r>
      <w:r>
        <w:t>. Или, как утверждает издание NatureVest и его соавторы, инвестиции в природоохранную деятельность являются гораздо «менее конкурентоспособными по сравнению с конкурентными рыночными возможностями»</w:t>
      </w:r>
      <w:r w:rsidR="00683048" w:rsidRPr="00683048">
        <w:rPr>
          <w:bCs/>
          <w:szCs w:val="22"/>
          <w:vertAlign w:val="superscript"/>
        </w:rPr>
        <w:t xml:space="preserve"> </w:t>
      </w:r>
      <w:r w:rsidR="00683048" w:rsidRPr="00380B83">
        <w:rPr>
          <w:bCs/>
          <w:szCs w:val="22"/>
          <w:vertAlign w:val="superscript"/>
        </w:rPr>
        <w:footnoteReference w:id="19"/>
      </w:r>
      <w:r>
        <w:t>.</w:t>
      </w:r>
    </w:p>
    <w:p w:rsidR="00D210A1" w:rsidRPr="00607DE5" w:rsidRDefault="003763A7" w:rsidP="00BC5783">
      <w:pPr>
        <w:pStyle w:val="Para1"/>
        <w:suppressLineNumbers/>
        <w:tabs>
          <w:tab w:val="clear" w:pos="360"/>
        </w:tabs>
        <w:suppressAutoHyphens/>
      </w:pPr>
      <w:r>
        <w:t>Вместе с тем некоторые Стороны, такие как Европейский союз, предприняли значительные усилия для поощрения более значительных финансовых взносов частного сектора на цели сохранения биоразнообразия. Платформа по вопросам бизнеса и биоразнообразия</w:t>
      </w:r>
      <w:r w:rsidR="00683048" w:rsidRPr="00380B83">
        <w:rPr>
          <w:vertAlign w:val="superscript"/>
        </w:rPr>
        <w:footnoteReference w:id="20"/>
      </w:r>
      <w:r>
        <w:t xml:space="preserve"> представляет собой форум на уровне Европейского союза для ведения устойчивого и стратегического диалога о связях между бизнесом и биоразнообразием. Третий рабочий поток платформы по доступу к финансированию и инновационным механизмам финансирования сосредоточен на демонстрации преимуществ инвестиций, связанных с биоразнообразием, для бизнеса, включая малые и средние предприятия (МСП).</w:t>
      </w:r>
    </w:p>
    <w:p w:rsidR="006409E9" w:rsidRPr="00607DE5" w:rsidRDefault="003763A7" w:rsidP="00BC5783">
      <w:pPr>
        <w:pStyle w:val="Para1"/>
        <w:suppressLineNumbers/>
        <w:tabs>
          <w:tab w:val="clear" w:pos="360"/>
        </w:tabs>
        <w:suppressAutoHyphens/>
      </w:pPr>
      <w:r>
        <w:t xml:space="preserve">В свете этих выводов некоторые Стороны высказали мнение о том, что реальную ценность будет представлять проведение крупной программы работы по изучению вариантов внедрения и/или расширения финансирования деятельности по сохранению биоразнообразия в рамках каждого </w:t>
      </w:r>
      <w:r>
        <w:lastRenderedPageBreak/>
        <w:t>из шести инновационных финансовых механизмов, определенных в Конвенции</w:t>
      </w:r>
      <w:r w:rsidR="00683048" w:rsidRPr="00380B83">
        <w:rPr>
          <w:rStyle w:val="FootnoteReference"/>
        </w:rPr>
        <w:footnoteReference w:id="21"/>
      </w:r>
      <w:r>
        <w:t>: a) экологическая налоговая реформа; b) оплата экосистемных услуг; c) компенсации неблагоприятных воздействий на биоразнообразие; d) рынки экологически чистых продуктов; e) биоразнообразие в финансировании деятельност</w:t>
      </w:r>
      <w:r w:rsidR="00C73B33">
        <w:t>и</w:t>
      </w:r>
      <w:r>
        <w:t xml:space="preserve"> по борьбе с изменением климата, в том числе с помощью природоохранных решений; и f) биоразнообразие в международном финансировании развития.</w:t>
      </w:r>
    </w:p>
    <w:p w:rsidR="001D3CB8" w:rsidRPr="00607DE5" w:rsidRDefault="001D3CB8" w:rsidP="00BC5783">
      <w:pPr>
        <w:pStyle w:val="Heading4"/>
        <w:suppressLineNumbers/>
        <w:suppressAutoHyphens/>
        <w:rPr>
          <w:i w:val="0"/>
        </w:rPr>
      </w:pPr>
      <w:r>
        <w:rPr>
          <w:i w:val="0"/>
        </w:rPr>
        <w:t>Цель 5. Учет проблематики биологического разнообразия и связанных с ним экосистемных услуг</w:t>
      </w:r>
      <w:r w:rsidR="00C73B33">
        <w:rPr>
          <w:i w:val="0"/>
        </w:rPr>
        <w:t>,</w:t>
      </w:r>
      <w:r w:rsidR="00C73B33" w:rsidRPr="00C73B33">
        <w:rPr>
          <w:i w:val="0"/>
        </w:rPr>
        <w:t xml:space="preserve"> в том числе взаимосвязей между программами работы</w:t>
      </w:r>
      <w:r w:rsidR="00C73B33">
        <w:rPr>
          <w:i w:val="0"/>
        </w:rPr>
        <w:t xml:space="preserve"> Конвенции и целями в области развития, сформулированными в Декларации тысячелетия, </w:t>
      </w:r>
      <w:r>
        <w:rPr>
          <w:i w:val="0"/>
        </w:rPr>
        <w:t>в планах и приоритетах сот</w:t>
      </w:r>
      <w:r w:rsidR="00C73B33">
        <w:rPr>
          <w:i w:val="0"/>
        </w:rPr>
        <w:t>рудничества в целях развития</w:t>
      </w:r>
    </w:p>
    <w:p w:rsidR="00C0141A" w:rsidRPr="00607DE5" w:rsidRDefault="003314D3" w:rsidP="00BC5783">
      <w:pPr>
        <w:pStyle w:val="Para1"/>
        <w:suppressLineNumbers/>
        <w:tabs>
          <w:tab w:val="clear" w:pos="360"/>
        </w:tabs>
        <w:suppressAutoHyphens/>
      </w:pPr>
      <w:r>
        <w:t>Эффективный учет биоразнообразия в инвестициях и других действиях правительств, частного сектора и отдельных лиц является важной предпосылкой для успешной мобилизации ресурсов в будущем, и в настоящее время эта проблема рассматривается неофициальной консультативной группой по учету проблематики биоразнообразия, которая занимается разработкой долгосрочного подхода к учету проблематики биоразнообразия.</w:t>
      </w:r>
      <w:r>
        <w:rPr>
          <w:color w:val="000000" w:themeColor="text1"/>
          <w:szCs w:val="22"/>
        </w:rPr>
        <w:t xml:space="preserve"> </w:t>
      </w:r>
      <w:r>
        <w:t>Как доноры, так и бенефициары помощи должны признать важность полной интеграции вопросов биоразнообразия и экосистемных услуг в свои приоритеты, стратегии, программы и планы. Ряд Сторон активизировали усилия по включению вопросов биоразнообразия в стратегии оказания помощи. Например, инициатива Европейской комиссии «Биоразнообразие для жизни» (B4Life) была создана для поддержки усилий развивающихся стран по прекращению утраты биоразнообразия и устранению его факторов, в частности</w:t>
      </w:r>
      <w:r w:rsidR="00C73B33">
        <w:t>,</w:t>
      </w:r>
      <w:r>
        <w:t xml:space="preserve"> путем увязки сохранения с устойчивым использованием, развитием, безопасностью и борьбой с преступлениями, совершенными против дикой природой и лесов. Инициатива B4Life</w:t>
      </w:r>
      <w:r w:rsidR="00683048" w:rsidRPr="00380B83">
        <w:rPr>
          <w:vertAlign w:val="superscript"/>
        </w:rPr>
        <w:footnoteReference w:id="22"/>
      </w:r>
      <w:r>
        <w:t xml:space="preserve"> объединяет под одной общей структурой все финансируемые ЕС проекты и программы сотрудничества в целях развития, которые направлены на сохранение биоразнообразия в качестве основной цели, для обеспечения лучшей согласованности и координации. </w:t>
      </w:r>
    </w:p>
    <w:p w:rsidR="00A00AE1" w:rsidRPr="00607DE5" w:rsidRDefault="00A00AE1" w:rsidP="00BC5783">
      <w:pPr>
        <w:pStyle w:val="Para1"/>
        <w:suppressLineNumbers/>
        <w:tabs>
          <w:tab w:val="clear" w:pos="360"/>
        </w:tabs>
        <w:suppressAutoHyphens/>
      </w:pPr>
      <w:r>
        <w:t>Защита биоразнообразия в рамках сотрудничества в области развития имеет также жизненно важное значение, и этот вопрос решается в Европейском союзе посредством учета проблематики окружающей среды и изменения климата. Обязательный экологический анализ любых новых мер сотрудничества в области развития направлен на изучение их потенциального воздействия на охраняемые или уязвимые районы, экосистемные услуги, интродукцию чужеродных видов и использование удобрений, пестицидов или других химических веществ.</w:t>
      </w:r>
    </w:p>
    <w:p w:rsidR="00A00AE1" w:rsidRPr="00380B83" w:rsidRDefault="00A00AE1" w:rsidP="00BC5783">
      <w:pPr>
        <w:pStyle w:val="Para1"/>
        <w:suppressLineNumbers/>
        <w:tabs>
          <w:tab w:val="clear" w:pos="360"/>
        </w:tabs>
        <w:suppressAutoHyphens/>
      </w:pPr>
      <w:r>
        <w:t xml:space="preserve">Что касается дальнейших действий, которые можно предпринять в связи с целью 5, то несмотря на достигнутый прогресс в деле учета проблематики биологического разнообразия и связанных с ним экосистемных услуг в планах и приоритетах сотрудничества в области развития, по-прежнему существует необходимость </w:t>
      </w:r>
      <w:r w:rsidR="009254D4">
        <w:t xml:space="preserve">в </w:t>
      </w:r>
      <w:r>
        <w:t>более тесной увязк</w:t>
      </w:r>
      <w:r w:rsidR="009254D4">
        <w:t>е</w:t>
      </w:r>
      <w:r>
        <w:t xml:space="preserve"> </w:t>
      </w:r>
      <w:r w:rsidR="009254D4">
        <w:t xml:space="preserve">между </w:t>
      </w:r>
      <w:r>
        <w:t>повестк</w:t>
      </w:r>
      <w:r w:rsidR="009254D4">
        <w:t>ой дня в области биоразнообразия и</w:t>
      </w:r>
      <w:r>
        <w:t xml:space="preserve"> повесткой дня в области изменения климата</w:t>
      </w:r>
      <w:r w:rsidR="009254D4">
        <w:t>, а также</w:t>
      </w:r>
      <w:r>
        <w:t xml:space="preserve"> более широкой повесткой дня в области развития в рамках целей в области устойчивого развития. Потоки капитала и общая мобилизация ресурсов еще не отражают актуальности биоразнообразия для достижения широкого круга целей в области устойчивого развития, изменения климата, предотвращения рисков и стихийных бедствий и социально-экономических приоритетов на всех уровнях, а также важности положительного внешнего воздействия инвестиций в природу, особенно в долгосрочной перспективе. Ряд организаций провели полезную работу по демонстрации этих связей, в том числе секретариат Конвенции о биологическом разнообразии в сотрудничестве с ЮНЕП, ПРООН, Продовольственной и сельскохозяйственной организацией Объединенных Наций (ФАО) и Всемирным банком</w:t>
      </w:r>
      <w:r w:rsidR="00751B3F" w:rsidRPr="00380B83">
        <w:rPr>
          <w:rStyle w:val="FootnoteReference"/>
        </w:rPr>
        <w:footnoteReference w:id="23"/>
      </w:r>
      <w:r>
        <w:t>.</w:t>
      </w:r>
    </w:p>
    <w:p w:rsidR="00BA4B3F" w:rsidRPr="00607DE5" w:rsidRDefault="00BA4B3F" w:rsidP="00BC5783">
      <w:pPr>
        <w:pStyle w:val="Heading4"/>
        <w:suppressLineNumbers/>
        <w:suppressAutoHyphens/>
        <w:rPr>
          <w:rFonts w:ascii="Times New Roman" w:hAnsi="Times New Roman" w:cs="Times New Roman"/>
          <w:i w:val="0"/>
        </w:rPr>
      </w:pPr>
      <w:r>
        <w:rPr>
          <w:rFonts w:ascii="Times New Roman" w:hAnsi="Times New Roman"/>
          <w:i w:val="0"/>
        </w:rPr>
        <w:lastRenderedPageBreak/>
        <w:t xml:space="preserve">Цель 6. </w:t>
      </w:r>
      <w:r w:rsidR="00C73B33" w:rsidRPr="00C73B33">
        <w:rPr>
          <w:rFonts w:ascii="Times New Roman" w:hAnsi="Times New Roman"/>
          <w:i w:val="0"/>
        </w:rPr>
        <w:t>Создание потенциала для мобилизации и использования ресурсов и стимулирование</w:t>
      </w:r>
      <w:r w:rsidR="00EB5A07">
        <w:rPr>
          <w:rFonts w:ascii="Times New Roman" w:hAnsi="Times New Roman"/>
          <w:i w:val="0"/>
        </w:rPr>
        <w:t xml:space="preserve"> </w:t>
      </w:r>
      <w:r w:rsidR="00C73B33" w:rsidRPr="00C73B33">
        <w:rPr>
          <w:rFonts w:ascii="Times New Roman" w:hAnsi="Times New Roman"/>
          <w:i w:val="0"/>
        </w:rPr>
        <w:t>сотрудничества по линии юг-юг в качестве дополнения к необходимому сотрудничеству по линии север-юг</w:t>
      </w:r>
    </w:p>
    <w:p w:rsidR="00BA4B3F" w:rsidRPr="00607DE5" w:rsidRDefault="00C73B33" w:rsidP="00BC5783">
      <w:pPr>
        <w:pStyle w:val="Para1"/>
        <w:suppressLineNumbers/>
        <w:tabs>
          <w:tab w:val="clear" w:pos="360"/>
        </w:tabs>
        <w:suppressAutoHyphens/>
      </w:pPr>
      <w:r w:rsidRPr="00C73B33">
        <w:t>Что касается финансовых потоков на нужды биоразнообразия по линии юг-юг, то ряд стран, не являющихся членами КСР, представили информацию о своих соответствующих потоках в рамках финансовой отчетности, включая Китай, Индию и Мексику, хотя последние две страны представляют лишь количественную информацию, ссылаясь на свои программы сотрудничества в целях развития и отмечая методологические трудности в выявлении потоков, связанных с биоразнообразием.</w:t>
      </w:r>
    </w:p>
    <w:p w:rsidR="00A00AE1" w:rsidRPr="00607DE5" w:rsidRDefault="00BA4B3F" w:rsidP="00BC5783">
      <w:pPr>
        <w:pStyle w:val="Para1"/>
        <w:suppressLineNumbers/>
        <w:tabs>
          <w:tab w:val="clear" w:pos="360"/>
        </w:tabs>
        <w:suppressAutoHyphens/>
      </w:pPr>
      <w:r>
        <w:t>Китай был в числе Сторон, представивших данные за 2015 год, которы</w:t>
      </w:r>
      <w:r w:rsidR="00C73B33">
        <w:t>й</w:t>
      </w:r>
      <w:r>
        <w:t xml:space="preserve"> по меньшей мере удвоил свои международные финансовые потоки в соответствии с целевым показателем 1 а). Китай также отметил, что он использует ряд нормативных докуме</w:t>
      </w:r>
      <w:r w:rsidR="009254D4">
        <w:t xml:space="preserve">нтов и добровольных руководств для </w:t>
      </w:r>
      <w:r>
        <w:t xml:space="preserve">международных инвестиций и </w:t>
      </w:r>
      <w:r w:rsidR="009254D4">
        <w:t xml:space="preserve">для </w:t>
      </w:r>
      <w:r>
        <w:t>деятельности китайских компаний и предприятий</w:t>
      </w:r>
      <w:r w:rsidR="009254D4">
        <w:t xml:space="preserve">, которые </w:t>
      </w:r>
      <w:r>
        <w:t>способствую</w:t>
      </w:r>
      <w:r w:rsidR="009254D4">
        <w:t>т</w:t>
      </w:r>
      <w:r>
        <w:t xml:space="preserve"> выполнению </w:t>
      </w:r>
      <w:r w:rsidR="009254D4">
        <w:t xml:space="preserve">его </w:t>
      </w:r>
      <w:r>
        <w:t>обязательств по охране окружающей среды, в том числе и по сохранению биоразнообразия.</w:t>
      </w:r>
    </w:p>
    <w:p w:rsidR="009D2041" w:rsidRPr="00607DE5" w:rsidRDefault="009D2041" w:rsidP="00BC5783">
      <w:pPr>
        <w:pStyle w:val="Para1"/>
        <w:suppressLineNumbers/>
        <w:tabs>
          <w:tab w:val="clear" w:pos="360"/>
        </w:tabs>
        <w:suppressAutoHyphens/>
      </w:pPr>
      <w:r>
        <w:t xml:space="preserve">Несмотря на то, что были разработаны отличные методы и программы, деятельность в этой области еще не приобрела крупных масштабов, и мобилизация внутренних ресурсов очень часто не отражает экономическую и социальную важность инвестиций в биоразнообразие и природу. Например, Африканский союз и Новое партнерство в интересах развития Африки (НЕПАД) вложили значительные средства в эту область на африканском уровне и подчеркнули важность продолжения этого сотрудничества в целях содействия более тесному взаимодействию в рамках природоохранных мероприятий по всей Африке. Однако такие </w:t>
      </w:r>
      <w:r w:rsidR="00C73B33">
        <w:t>С</w:t>
      </w:r>
      <w:r>
        <w:t>тороны, как Европейский союз, считают, что осуществление многосторонних природоохранных соглашений остается недостаточным, несмотря на крупные программы сотрудничества и меры по созданию потенциала в этой области.</w:t>
      </w:r>
    </w:p>
    <w:p w:rsidR="009D2041" w:rsidRPr="00607DE5" w:rsidRDefault="009254D4" w:rsidP="00BC5783">
      <w:pPr>
        <w:pStyle w:val="Para1"/>
        <w:suppressLineNumbers/>
        <w:tabs>
          <w:tab w:val="clear" w:pos="360"/>
        </w:tabs>
        <w:suppressAutoHyphens/>
        <w:rPr>
          <w:szCs w:val="22"/>
        </w:rPr>
      </w:pPr>
      <w:r>
        <w:t>Что касается</w:t>
      </w:r>
      <w:r w:rsidR="00C73B33" w:rsidRPr="00C73B33">
        <w:t xml:space="preserve"> дальнейших действий, которые могут быть предприняты в связи с целью 6, то сотрудничество по линии юг-юг может располагать значительным потенциалом для дополнения сотрудничества по линии север-юг, для стимулирования действий на национальном уровне по таким вопросам, как учет природного капитала, его методы и интеграция; разработка национальных сценариев биоразнообразия и их экономика и финансы; оптимизация использования финансирования в области развития и его стимулирующего воздействия; а также обеспечение соблюдения национальных нормативных актов и правоприменительной практики для </w:t>
      </w:r>
      <w:r>
        <w:t>более широкой</w:t>
      </w:r>
      <w:r w:rsidR="00C73B33" w:rsidRPr="00C73B33">
        <w:t xml:space="preserve"> интеграции усилий экономических секторов в области биоразнообразия/учет проблематики в качестве ключевого средства снижения давления на биоразнообразие и, следовательно, затрат на защиту и восстановление.</w:t>
      </w:r>
    </w:p>
    <w:p w:rsidR="0056566D" w:rsidRPr="00607DE5" w:rsidRDefault="0056566D" w:rsidP="00BC5783">
      <w:pPr>
        <w:pStyle w:val="Heading4"/>
        <w:suppressLineNumbers/>
        <w:suppressAutoHyphens/>
        <w:rPr>
          <w:i w:val="0"/>
        </w:rPr>
      </w:pPr>
      <w:r>
        <w:rPr>
          <w:i w:val="0"/>
        </w:rPr>
        <w:t xml:space="preserve">Цель 7. </w:t>
      </w:r>
      <w:r w:rsidR="00C73B33" w:rsidRPr="00C73B33">
        <w:rPr>
          <w:i w:val="0"/>
        </w:rPr>
        <w:t>Обеспечение более эффективной реализации инициатив и механизмов регулирования доступа к генетическим ресурсам и совместного использования выгод в поддержку мобилизации ресурсов</w:t>
      </w:r>
    </w:p>
    <w:p w:rsidR="00DD5B2F" w:rsidRPr="00607DE5" w:rsidRDefault="009D2041" w:rsidP="00BC5783">
      <w:pPr>
        <w:pStyle w:val="Para1"/>
        <w:suppressLineNumbers/>
        <w:tabs>
          <w:tab w:val="clear" w:pos="360"/>
        </w:tabs>
        <w:suppressAutoHyphens/>
      </w:pPr>
      <w:r>
        <w:t xml:space="preserve">Бенин считает, что несмотря на актуальность этого вопроса он нуждается в разъяснении, с тем чтобы лучше понять и оценить оперативные последствия достижения этой цели. Норвегия отмечает, что она уделяет приоритетное внимание осуществлению инициатив в области доступа и совместного использования выгод, включая инициативу ДГРСИВ для Африки, осуществляемую Немецкой ассоциацией международного сотрудничества (GIZ). Однако поток финансирования биоразнообразия </w:t>
      </w:r>
      <w:r w:rsidR="009254D4">
        <w:t xml:space="preserve">за </w:t>
      </w:r>
      <w:r w:rsidR="006D3CF5">
        <w:t>счет</w:t>
      </w:r>
      <w:r>
        <w:t xml:space="preserve"> доступа и совместного использования выгод, как это было предусмотрено в 1992 году, до сих пор не </w:t>
      </w:r>
      <w:r w:rsidR="006D3CF5">
        <w:t>воплощен в жизнь</w:t>
      </w:r>
      <w:r>
        <w:t>.</w:t>
      </w:r>
    </w:p>
    <w:p w:rsidR="00DD5B2F" w:rsidRPr="00607DE5" w:rsidRDefault="00DD5B2F" w:rsidP="00BC5783">
      <w:pPr>
        <w:pStyle w:val="Para1"/>
        <w:suppressLineNumbers/>
        <w:tabs>
          <w:tab w:val="clear" w:pos="360"/>
        </w:tabs>
        <w:suppressAutoHyphens/>
      </w:pPr>
      <w:r>
        <w:t>В настоящее время не</w:t>
      </w:r>
      <w:r w:rsidR="00C73B33">
        <w:t>возможно</w:t>
      </w:r>
      <w:r>
        <w:t xml:space="preserve"> сделать никаких четких выводов о том, способствовало ли и в какой степени осуществление механизмов доступа и совместного использования выгод мобилизации ресурсов, поскольку до настоящего времени не была проведена оценка ценности </w:t>
      </w:r>
      <w:r>
        <w:lastRenderedPageBreak/>
        <w:t>ресурсов, мобилизованных с помощью инициатив и механизмов по обеспечению доступа и совместного использования выгод.</w:t>
      </w:r>
    </w:p>
    <w:p w:rsidR="00A640BE" w:rsidRPr="00607DE5" w:rsidRDefault="006D3CF5" w:rsidP="00BC5783">
      <w:pPr>
        <w:pStyle w:val="Para1"/>
        <w:suppressLineNumbers/>
        <w:tabs>
          <w:tab w:val="clear" w:pos="360"/>
        </w:tabs>
        <w:suppressAutoHyphens/>
      </w:pPr>
      <w:r>
        <w:t>Что касается дальнейших д</w:t>
      </w:r>
      <w:r w:rsidR="00DD5B2F">
        <w:t>ействий, которые могут быть предприняты в связи с целью 7, такая оценка мо</w:t>
      </w:r>
      <w:r w:rsidR="00C73B33">
        <w:t>жет</w:t>
      </w:r>
      <w:r w:rsidR="00DD5B2F">
        <w:t xml:space="preserve"> помочь в выявлении методов доступа и совместного использования выгод, которые будут наиболее </w:t>
      </w:r>
      <w:r w:rsidR="00C73B33">
        <w:t>эффективными</w:t>
      </w:r>
      <w:r w:rsidR="00DD5B2F">
        <w:t xml:space="preserve"> в плане мобилизации ресурсов в будущем.</w:t>
      </w:r>
    </w:p>
    <w:p w:rsidR="00A640BE" w:rsidRPr="00607DE5" w:rsidRDefault="00A640BE" w:rsidP="00BC5783">
      <w:pPr>
        <w:pStyle w:val="Heading4"/>
        <w:suppressLineNumbers/>
        <w:suppressAutoHyphens/>
        <w:rPr>
          <w:i w:val="0"/>
        </w:rPr>
      </w:pPr>
      <w:r>
        <w:rPr>
          <w:i w:val="0"/>
        </w:rPr>
        <w:t xml:space="preserve">Цель 8. </w:t>
      </w:r>
      <w:r w:rsidR="00C73B33" w:rsidRPr="00C73B33">
        <w:rPr>
          <w:i w:val="0"/>
        </w:rPr>
        <w:t>Повышение уровня глобального участия для мобилизации ресурсов в поддержку достижения трех целей Конвенции</w:t>
      </w:r>
    </w:p>
    <w:p w:rsidR="00DD5B2F" w:rsidRPr="00607DE5" w:rsidRDefault="00D47D3E" w:rsidP="00BC5783">
      <w:pPr>
        <w:pStyle w:val="Para1"/>
        <w:suppressLineNumbers/>
        <w:tabs>
          <w:tab w:val="clear" w:pos="360"/>
        </w:tabs>
        <w:suppressAutoHyphens/>
      </w:pPr>
      <w:r>
        <w:t>Со времени принятия стратегии мобилизации ресурсов в 2008 году наше понимание взаимосвязей между биоразнообразием, изменением климата и другими проблемами в области устойчивого развития значительно улучшилось, равно как и наше понимание фундаментальной важности этих взаимосвязей для достижения устойчивого развития. Европейский союз, например, отмечает, что стратеги</w:t>
      </w:r>
      <w:r w:rsidR="006D3CF5">
        <w:t>ю</w:t>
      </w:r>
      <w:r>
        <w:t xml:space="preserve"> мобилизации ресурсов мож</w:t>
      </w:r>
      <w:r w:rsidR="006D3CF5">
        <w:t>но уточнить</w:t>
      </w:r>
      <w:r>
        <w:t xml:space="preserve"> в </w:t>
      </w:r>
      <w:r w:rsidR="006D3CF5">
        <w:t>том, что касается ее</w:t>
      </w:r>
      <w:r>
        <w:t xml:space="preserve"> потенциальных возможностей для взаимодействия с глобальной климатической повесткой дня, повесткой дня в области устойчивого развития на период до 2030 года</w:t>
      </w:r>
      <w:r w:rsidR="00751B3F" w:rsidRPr="00380B83">
        <w:rPr>
          <w:rStyle w:val="FootnoteReference"/>
        </w:rPr>
        <w:footnoteReference w:id="24"/>
      </w:r>
      <w:r>
        <w:t xml:space="preserve"> и ресурсами для поддержки природоохранных решений и их вклада в смягчение последствий изменения климата и адаптацию к нему на глобальном уровне. Как межправительственная группа экспертов по изменению климата, так и МПБЭУ отмечают настоятельную необходимость обеспечения того, чтобы ресурсы приносили пользу как окружающей среде, так и климату, с конкретными усилиями по сведению к минимуму компромиссов, необходимых между ними: хотя усилия в этом направлении продолжаются, например через СВОД+ и Зеленый климатический фонд, нет никаких сомнений в том, что необходимо сделать гораздо больше для расширения взаимных выгод от инвестиций в биоразнообразие и экосистемы, а также инвестиций в деятельность в области адаптации к изменению климата и смягчения его последствий. Усилия в </w:t>
      </w:r>
      <w:r w:rsidR="00C73B33">
        <w:t>интересах</w:t>
      </w:r>
      <w:r>
        <w:t xml:space="preserve"> климата и биоразнообразия не должны рассматриваться как взаимоисключающие, а скорее как возможность обеспечить взаимодействие и сопутствующие выгоды.</w:t>
      </w:r>
    </w:p>
    <w:p w:rsidR="00E35BA4" w:rsidRPr="00380B83" w:rsidRDefault="00E35BA4" w:rsidP="002D4A62">
      <w:pPr>
        <w:pStyle w:val="Para1"/>
        <w:keepNext/>
        <w:numPr>
          <w:ilvl w:val="0"/>
          <w:numId w:val="0"/>
        </w:numPr>
        <w:suppressLineNumbers/>
        <w:suppressAutoHyphens/>
        <w:spacing w:before="240"/>
        <w:jc w:val="center"/>
        <w:outlineLvl w:val="0"/>
        <w:rPr>
          <w:b/>
        </w:rPr>
      </w:pPr>
      <w:bookmarkStart w:id="4" w:name="_Hlk41329391"/>
      <w:r>
        <w:rPr>
          <w:b/>
        </w:rPr>
        <w:t>III.</w:t>
      </w:r>
      <w:r>
        <w:rPr>
          <w:b/>
        </w:rPr>
        <w:tab/>
      </w:r>
      <w:r>
        <w:rPr>
          <w:rFonts w:ascii="Times New Roman Bold" w:hAnsi="Times New Roman Bold"/>
          <w:b/>
          <w:caps/>
        </w:rPr>
        <w:t>Оценка прогресса в реализации Айтинской целевой задачи 20</w:t>
      </w:r>
    </w:p>
    <w:p w:rsidR="00A640BE" w:rsidRPr="00607DE5" w:rsidRDefault="00A640BE" w:rsidP="00BC5783">
      <w:pPr>
        <w:pStyle w:val="Para1"/>
        <w:suppressLineNumbers/>
        <w:tabs>
          <w:tab w:val="clear" w:pos="360"/>
        </w:tabs>
        <w:suppressAutoHyphens/>
      </w:pPr>
      <w:r>
        <w:t xml:space="preserve">Как объясняется во введении, на 12-м совещании Конференции Сторон (пункт 1 решения XII/3) в рамках Айтинской целевой задачи 20 был принят ряд показателей для мобилизации ресурсов (полностью перечисленных в приложении) в качестве согласованной основы для определения прогресса в достижении Айтинской целевой задачи 20. В том же решении Конференция Сторон приняла структуру предоставления финансовой отчетности и предложила Сторонам использовать ее для сообщения о своем прогрессе в </w:t>
      </w:r>
      <w:r w:rsidR="00813E7D">
        <w:t>реализации</w:t>
      </w:r>
      <w:r>
        <w:t xml:space="preserve"> задач по мобилизации ресурсов.</w:t>
      </w:r>
    </w:p>
    <w:p w:rsidR="00F936CA" w:rsidRPr="00607DE5" w:rsidRDefault="00F936CA" w:rsidP="00BC5783">
      <w:pPr>
        <w:pStyle w:val="Para1"/>
        <w:suppressLineNumbers/>
        <w:tabs>
          <w:tab w:val="clear" w:pos="360"/>
        </w:tabs>
        <w:suppressAutoHyphens/>
      </w:pPr>
      <w:r>
        <w:t xml:space="preserve">Последний всеобъемлющий анализ полученных финансовых </w:t>
      </w:r>
      <w:r w:rsidR="003F5C23">
        <w:t>докладов</w:t>
      </w:r>
      <w:r>
        <w:t xml:space="preserve"> был </w:t>
      </w:r>
      <w:r w:rsidR="003F5C23">
        <w:t>подготовлен</w:t>
      </w:r>
      <w:r>
        <w:t xml:space="preserve"> </w:t>
      </w:r>
      <w:r w:rsidR="003F5C23">
        <w:t xml:space="preserve">для 14-го совещания </w:t>
      </w:r>
      <w:r>
        <w:t>Конференции Сторон (</w:t>
      </w:r>
      <w:hyperlink r:id="rId20" w:history="1">
        <w:r w:rsidRPr="00BD1F01">
          <w:rPr>
            <w:rStyle w:val="Hyperlink"/>
            <w:sz w:val="22"/>
          </w:rPr>
          <w:t>CBD/COP/14/6</w:t>
        </w:r>
      </w:hyperlink>
      <w:r>
        <w:t xml:space="preserve">). К 10 марта 2020 года еще четыре Стороны представили информацию о базовых показателях и ходе работы до 2015 года, в результате чего общее число Сторон, представивших доклады, достигло 81. Из них 17 Сторон представили информацию о дальнейшем прогрессе (до 2020 года). В свете ограниченного числа новых материалов содержащиеся в документе CBD/COP/14/6 выводы по-прежнему </w:t>
      </w:r>
      <w:r w:rsidR="00813E7D">
        <w:t>актуальны</w:t>
      </w:r>
      <w:r>
        <w:t xml:space="preserve"> и отражаются ниже, в то время как приведенные цифры были обновлены с учетом последних полученных материалов.</w:t>
      </w:r>
    </w:p>
    <w:p w:rsidR="005D4CBB" w:rsidRPr="00607DE5" w:rsidRDefault="00F936CA" w:rsidP="00BC5783">
      <w:pPr>
        <w:pStyle w:val="Para1"/>
        <w:tabs>
          <w:tab w:val="clear" w:pos="360"/>
        </w:tabs>
      </w:pPr>
      <w:r>
        <w:t xml:space="preserve">В целом, представление </w:t>
      </w:r>
      <w:r w:rsidR="00813E7D">
        <w:t>докладов о реализации</w:t>
      </w:r>
      <w:r>
        <w:t xml:space="preserve"> задач по мобилизации ресурсов, выполняется, но носит неоднородный характер. Что касается международного финансирования, то из 31 Стороны, представившей данные по целевому показателю 1 a), большинство Сторон (но не </w:t>
      </w:r>
      <w:r>
        <w:lastRenderedPageBreak/>
        <w:t xml:space="preserve">все), составляющих 98% от исходного базового уровня, представили свои данные за 2015 год, а 11 Сторон также сообщили о последующих годах. </w:t>
      </w:r>
      <w:r w:rsidR="003F5C23" w:rsidRPr="003F5C23">
        <w:t>Четыре члена КСР, являющиеся Сторонами Конвенции, еще не сообщили о дате завершения настоящего анализа</w:t>
      </w:r>
      <w:r w:rsidR="003F5C23" w:rsidRPr="007A278E">
        <w:rPr>
          <w:rStyle w:val="FootnoteReference"/>
          <w:kern w:val="22"/>
        </w:rPr>
        <w:footnoteReference w:id="25"/>
      </w:r>
      <w:r w:rsidR="003F5C23" w:rsidRPr="003F5C23">
        <w:t>.</w:t>
      </w:r>
      <w:r>
        <w:t xml:space="preserve"> Что касается других целевых задач, то медленный прогресс в представлении отчетности, вероятно</w:t>
      </w:r>
      <w:r w:rsidR="003F5C23">
        <w:t>,</w:t>
      </w:r>
      <w:r>
        <w:t xml:space="preserve"> не связан с пробелами в отчетных данных как таковых: сопоставление с НСПДБ, представленными Сторонами, показывает, что лишь немногие Стороны, подготовившие, например, смету расходов по своим пересмотренным </w:t>
      </w:r>
      <w:r w:rsidR="006D3CF5">
        <w:t xml:space="preserve">НСПДБ </w:t>
      </w:r>
      <w:r>
        <w:t>или элементы стратегии мобилизации ресурсов, еще не представили свою финансовую отчетность. В этой связи следует отметить, что важным сдерживающим фактором являются</w:t>
      </w:r>
      <w:r w:rsidR="009A3528">
        <w:t xml:space="preserve"> </w:t>
      </w:r>
      <w:r>
        <w:t xml:space="preserve">по всей видимости трудности в </w:t>
      </w:r>
      <w:r w:rsidR="006D3CF5">
        <w:t>выполнении</w:t>
      </w:r>
      <w:r>
        <w:t xml:space="preserve"> отдельных задач, в частности 1 с) и 1 d), связанны</w:t>
      </w:r>
      <w:r w:rsidR="00813E7D">
        <w:t>х</w:t>
      </w:r>
      <w:r>
        <w:t xml:space="preserve"> с общим отсутствием потенциала в частности в странах, не участвующих в инициативе БИОФИН. Страны, участвующие в инициативе БИОФИН, достигли прогресса и в настоящее время находятся на продвинутой стадии подготовки своих национальных финансовых планов. Оценки прогресса в достижении каждой целевой задачи приводятся ниже.</w:t>
      </w:r>
    </w:p>
    <w:p w:rsidR="005D4CBB" w:rsidRPr="00607DE5" w:rsidRDefault="005D4CBB" w:rsidP="002D4A62">
      <w:pPr>
        <w:pStyle w:val="Para1"/>
        <w:keepNext/>
        <w:keepLines/>
        <w:tabs>
          <w:tab w:val="clear" w:pos="360"/>
        </w:tabs>
      </w:pPr>
      <w:bookmarkStart w:id="5" w:name="_Hlk41326240"/>
      <w:r w:rsidRPr="00697952">
        <w:rPr>
          <w:i/>
          <w:iCs/>
        </w:rPr>
        <w:t>Целевая задача 1 a) решения</w:t>
      </w:r>
      <w:r w:rsidR="009A3528" w:rsidRPr="00697952">
        <w:rPr>
          <w:i/>
          <w:iCs/>
        </w:rPr>
        <w:t xml:space="preserve"> </w:t>
      </w:r>
      <w:r w:rsidRPr="00697952">
        <w:rPr>
          <w:i/>
          <w:iCs/>
        </w:rPr>
        <w:t>XII/3 (</w:t>
      </w:r>
      <w:r w:rsidR="00682CAE" w:rsidRPr="00697952">
        <w:rPr>
          <w:i/>
          <w:iCs/>
        </w:rPr>
        <w:t>увеличение</w:t>
      </w:r>
      <w:r w:rsidR="00E65147" w:rsidRPr="00697952">
        <w:rPr>
          <w:i/>
          <w:iCs/>
        </w:rPr>
        <w:t xml:space="preserve"> вдвое к 2015 году объем</w:t>
      </w:r>
      <w:r w:rsidR="00682CAE" w:rsidRPr="00697952">
        <w:rPr>
          <w:i/>
          <w:iCs/>
        </w:rPr>
        <w:t>а</w:t>
      </w:r>
      <w:r w:rsidRPr="00697952">
        <w:rPr>
          <w:i/>
          <w:iCs/>
        </w:rPr>
        <w:t xml:space="preserve"> международных </w:t>
      </w:r>
      <w:r w:rsidR="00E65147" w:rsidRPr="00697952">
        <w:rPr>
          <w:i/>
          <w:iCs/>
        </w:rPr>
        <w:t xml:space="preserve">потоков </w:t>
      </w:r>
      <w:r w:rsidRPr="00697952">
        <w:rPr>
          <w:i/>
          <w:iCs/>
        </w:rPr>
        <w:t xml:space="preserve">финансовых </w:t>
      </w:r>
      <w:r w:rsidR="00E65147" w:rsidRPr="00697952">
        <w:rPr>
          <w:i/>
          <w:iCs/>
        </w:rPr>
        <w:t xml:space="preserve">ресурсов </w:t>
      </w:r>
      <w:r w:rsidRPr="00697952">
        <w:rPr>
          <w:i/>
          <w:iCs/>
        </w:rPr>
        <w:t>и поддерж</w:t>
      </w:r>
      <w:r w:rsidR="00682CAE" w:rsidRPr="00697952">
        <w:rPr>
          <w:i/>
          <w:iCs/>
        </w:rPr>
        <w:t>ание</w:t>
      </w:r>
      <w:r w:rsidR="00E65147" w:rsidRPr="00697952">
        <w:rPr>
          <w:i/>
          <w:iCs/>
        </w:rPr>
        <w:t xml:space="preserve"> это</w:t>
      </w:r>
      <w:r w:rsidR="00682CAE" w:rsidRPr="00697952">
        <w:rPr>
          <w:i/>
          <w:iCs/>
        </w:rPr>
        <w:t>го</w:t>
      </w:r>
      <w:r w:rsidR="00E65147" w:rsidRPr="00697952">
        <w:rPr>
          <w:i/>
          <w:iCs/>
        </w:rPr>
        <w:t xml:space="preserve"> </w:t>
      </w:r>
      <w:r w:rsidRPr="00697952">
        <w:rPr>
          <w:i/>
          <w:iCs/>
        </w:rPr>
        <w:t>уров</w:t>
      </w:r>
      <w:r w:rsidR="00682CAE" w:rsidRPr="00697952">
        <w:rPr>
          <w:i/>
          <w:iCs/>
        </w:rPr>
        <w:t>ня</w:t>
      </w:r>
      <w:r w:rsidR="00E65147" w:rsidRPr="00697952">
        <w:rPr>
          <w:i/>
          <w:iCs/>
        </w:rPr>
        <w:t xml:space="preserve"> </w:t>
      </w:r>
      <w:r w:rsidRPr="00697952">
        <w:rPr>
          <w:i/>
          <w:iCs/>
        </w:rPr>
        <w:t>до 2020 года):</w:t>
      </w:r>
      <w:r w:rsidRPr="00697952">
        <w:t xml:space="preserve"> Стороны, своевременно представившие данные за 2015 год для подготовки настоящего доклада, которые в целом составляют 98% от всех представлен</w:t>
      </w:r>
      <w:r>
        <w:t>ных исходных данных, к 2015 году в совокупности увеличили финансирование на 104% по сравнению с их исходными данными</w:t>
      </w:r>
      <w:r w:rsidR="00697952" w:rsidRPr="00697952">
        <w:t xml:space="preserve"> </w:t>
      </w:r>
      <w:r w:rsidR="00697952">
        <w:t>(</w:t>
      </w:r>
      <w:r w:rsidR="00697952" w:rsidRPr="00697952">
        <w:t>среднегодовое финансирование биоразнообразия за 2006-2010 годы)</w:t>
      </w:r>
      <w:r>
        <w:t xml:space="preserve"> </w:t>
      </w:r>
      <w:r w:rsidR="006D3CF5">
        <w:t xml:space="preserve">с поправкой на колебания </w:t>
      </w:r>
      <w:r>
        <w:t>курса обмена валют.</w:t>
      </w:r>
      <w:r w:rsidR="00697952">
        <w:t xml:space="preserve"> </w:t>
      </w:r>
      <w:r w:rsidR="00697952" w:rsidRPr="00697952">
        <w:t xml:space="preserve">Международные потоки выросли до 5,5 </w:t>
      </w:r>
      <w:r w:rsidR="00697952">
        <w:t>млрд долл. США</w:t>
      </w:r>
      <w:r w:rsidR="00697952" w:rsidRPr="00697952">
        <w:t xml:space="preserve"> в 2015 году по сравнению с </w:t>
      </w:r>
      <w:r w:rsidR="00245864">
        <w:t>базовым уровнем</w:t>
      </w:r>
      <w:r w:rsidR="00697952" w:rsidRPr="00697952">
        <w:t xml:space="preserve"> </w:t>
      </w:r>
      <w:r w:rsidR="00697952">
        <w:t xml:space="preserve">в объеме </w:t>
      </w:r>
      <w:r w:rsidR="00697952" w:rsidRPr="00697952">
        <w:t xml:space="preserve">2,7 </w:t>
      </w:r>
      <w:r w:rsidR="00697952">
        <w:t>млрд долл. США</w:t>
      </w:r>
      <w:r w:rsidR="00697952" w:rsidRPr="00697952">
        <w:t>. Этот</w:t>
      </w:r>
      <w:r w:rsidR="00697952">
        <w:t xml:space="preserve"> </w:t>
      </w:r>
      <w:r w:rsidR="00697952" w:rsidRPr="00697952">
        <w:t>результат подтверждает</w:t>
      </w:r>
      <w:r w:rsidR="00697952">
        <w:t>ся н</w:t>
      </w:r>
      <w:r w:rsidR="00697952" w:rsidRPr="00697952">
        <w:t>едавни</w:t>
      </w:r>
      <w:r w:rsidR="00697952">
        <w:t>м</w:t>
      </w:r>
      <w:r w:rsidR="00697952" w:rsidRPr="00697952">
        <w:t xml:space="preserve"> анализ</w:t>
      </w:r>
      <w:r w:rsidR="00697952">
        <w:t>ом</w:t>
      </w:r>
      <w:r w:rsidR="00697952" w:rsidRPr="00697952">
        <w:t xml:space="preserve"> данных ОЭСР, проведенны</w:t>
      </w:r>
      <w:r w:rsidR="00697952">
        <w:t>м</w:t>
      </w:r>
      <w:r w:rsidR="00697952" w:rsidRPr="00697952">
        <w:t xml:space="preserve"> Всемирным фондом </w:t>
      </w:r>
      <w:r w:rsidR="00697952">
        <w:t xml:space="preserve">дикой </w:t>
      </w:r>
      <w:r w:rsidR="00697952" w:rsidRPr="00697952">
        <w:t>природы (WWF Германия) в его Барометре стратегии КБР по моб</w:t>
      </w:r>
      <w:r w:rsidR="00697952">
        <w:t>илизации ресурсов.</w:t>
      </w:r>
    </w:p>
    <w:p w:rsidR="00697952" w:rsidRDefault="00697952" w:rsidP="00D02435">
      <w:pPr>
        <w:pStyle w:val="Para1"/>
        <w:suppressLineNumbers/>
        <w:tabs>
          <w:tab w:val="clear" w:pos="360"/>
        </w:tabs>
        <w:suppressAutoHyphens/>
      </w:pPr>
      <w:bookmarkStart w:id="6" w:name="_Hlk41326193"/>
      <w:r w:rsidRPr="00697952">
        <w:t xml:space="preserve">Кроме того, в общей сложности 10 членов КСР сообщили о прогрессе в </w:t>
      </w:r>
      <w:r>
        <w:t xml:space="preserve">реализации </w:t>
      </w:r>
      <w:r w:rsidRPr="00697952">
        <w:t xml:space="preserve">этой </w:t>
      </w:r>
      <w:r w:rsidR="00024BCF">
        <w:t xml:space="preserve">целевой </w:t>
      </w:r>
      <w:r>
        <w:t>задачи</w:t>
      </w:r>
      <w:r w:rsidRPr="00697952">
        <w:t xml:space="preserve"> </w:t>
      </w:r>
      <w:r>
        <w:t xml:space="preserve">в последующие </w:t>
      </w:r>
      <w:r w:rsidR="00024BCF">
        <w:t xml:space="preserve">годы после </w:t>
      </w:r>
      <w:r w:rsidRPr="00697952">
        <w:t>2015 год</w:t>
      </w:r>
      <w:r w:rsidR="00024BCF">
        <w:t>а</w:t>
      </w:r>
      <w:r w:rsidRPr="00697952">
        <w:t xml:space="preserve"> (всего 13 Сторон). Хотя это ограниченное число не поддается статистическому анализу, некоторые данные, представленные за 2016 и 2017 годы, показали </w:t>
      </w:r>
      <w:r>
        <w:t xml:space="preserve">сокращение </w:t>
      </w:r>
      <w:r w:rsidR="00024BCF">
        <w:t xml:space="preserve">финансирования </w:t>
      </w:r>
      <w:r w:rsidRPr="00697952">
        <w:t xml:space="preserve">по сравнению с данными </w:t>
      </w:r>
      <w:r w:rsidR="00245864">
        <w:t xml:space="preserve">за </w:t>
      </w:r>
      <w:r w:rsidRPr="00697952">
        <w:t xml:space="preserve">2015 год. Недавний анализ данных ОЭСР, проведенный для пятого издания Глобальной перспективы в области биоразнообразия, подтверждает это </w:t>
      </w:r>
      <w:r w:rsidR="00024BCF">
        <w:t xml:space="preserve">сокращение </w:t>
      </w:r>
      <w:r w:rsidRPr="00697952">
        <w:t xml:space="preserve">на 2016 год, </w:t>
      </w:r>
      <w:r w:rsidR="00024BCF">
        <w:t>однако оно</w:t>
      </w:r>
      <w:r w:rsidRPr="00697952">
        <w:t xml:space="preserve"> также показывает, что члены КСР</w:t>
      </w:r>
      <w:r w:rsidR="00245864">
        <w:t xml:space="preserve"> обеспечивали </w:t>
      </w:r>
      <w:r w:rsidR="00024BCF">
        <w:t>полностью и</w:t>
      </w:r>
      <w:r w:rsidRPr="00697952">
        <w:t xml:space="preserve">ли </w:t>
      </w:r>
      <w:r w:rsidR="00024BCF">
        <w:t xml:space="preserve">практически полностью </w:t>
      </w:r>
      <w:r w:rsidR="00245864">
        <w:t xml:space="preserve">увеличение </w:t>
      </w:r>
      <w:r w:rsidRPr="00697952">
        <w:t xml:space="preserve">потоков ресурсов </w:t>
      </w:r>
      <w:r w:rsidR="00024BCF">
        <w:t xml:space="preserve">в два раза </w:t>
      </w:r>
      <w:r w:rsidRPr="00697952">
        <w:t>в 2017</w:t>
      </w:r>
      <w:r w:rsidR="00024BCF">
        <w:t>-</w:t>
      </w:r>
      <w:r w:rsidRPr="00697952">
        <w:t>2018</w:t>
      </w:r>
      <w:r w:rsidR="00024BCF">
        <w:t xml:space="preserve"> годах. </w:t>
      </w:r>
    </w:p>
    <w:bookmarkEnd w:id="5"/>
    <w:bookmarkEnd w:id="6"/>
    <w:p w:rsidR="000E687F" w:rsidRPr="00607DE5" w:rsidRDefault="000E687F" w:rsidP="002D4A62">
      <w:pPr>
        <w:pStyle w:val="Para1"/>
        <w:tabs>
          <w:tab w:val="clear" w:pos="360"/>
        </w:tabs>
      </w:pPr>
      <w:r>
        <w:rPr>
          <w:i/>
        </w:rPr>
        <w:t>Целевая задача 1 b), принятая в решении XII/3 (учет задач сохранения биоразнообразия к 2015 году).</w:t>
      </w:r>
      <w:r>
        <w:t xml:space="preserve"> На вопрос о включении проблематики биоразнообразия в национальные приоритеты или планы развития ответили в целом 78 Сторон и все они сообщили о достижении по крайней мере некоторого прогресса в этой области: </w:t>
      </w:r>
      <w:r w:rsidR="00E65147" w:rsidRPr="00E65147">
        <w:t>53 Стороны, или 68 % респондентов, отметили, что вопросы биоразнообразия частично учтены, а 25 Сторон, или 32% респондентов, сообщили о их полном учете.</w:t>
      </w:r>
      <w:r>
        <w:t xml:space="preserve"> Учитывая в целом ограниченное количество полученных докладов, прогресс, достигнутый в выполнении этой целевой задачи, представляется достаточно обнадеживающим.</w:t>
      </w:r>
    </w:p>
    <w:p w:rsidR="000E687F" w:rsidRPr="00607DE5" w:rsidRDefault="00682CAE" w:rsidP="00245864">
      <w:pPr>
        <w:pStyle w:val="Para1"/>
        <w:tabs>
          <w:tab w:val="clear" w:pos="360"/>
        </w:tabs>
      </w:pPr>
      <w:r w:rsidRPr="00B915D8">
        <w:rPr>
          <w:i/>
        </w:rPr>
        <w:t>Целевая задача 1 c), принятая в решении XII/3 (представление отчетности о внутренних расходах на цели, связанные с биоразнообразием, а также о потребностях, дефиците и приоритетах финансирования к 2015 году).</w:t>
      </w:r>
      <w:r w:rsidR="000E687F">
        <w:t xml:space="preserve"> </w:t>
      </w:r>
      <w:r w:rsidR="00B915D8">
        <w:t>Э</w:t>
      </w:r>
      <w:r w:rsidR="000E687F">
        <w:t xml:space="preserve">та целевая задача </w:t>
      </w:r>
      <w:r w:rsidR="00B915D8">
        <w:t xml:space="preserve">на 2015 год </w:t>
      </w:r>
      <w:r w:rsidR="000E687F">
        <w:t xml:space="preserve">не была выполнена, </w:t>
      </w:r>
      <w:r w:rsidR="00B915D8" w:rsidRPr="00B915D8">
        <w:t xml:space="preserve">поскольку </w:t>
      </w:r>
      <w:r w:rsidR="00B915D8">
        <w:t>лишь</w:t>
      </w:r>
      <w:r w:rsidR="00B915D8" w:rsidRPr="00B915D8">
        <w:t xml:space="preserve"> 78 Сторон сообщили о </w:t>
      </w:r>
      <w:r w:rsidR="00B915D8">
        <w:t xml:space="preserve">своих </w:t>
      </w:r>
      <w:r w:rsidR="00B915D8" w:rsidRPr="00B915D8">
        <w:t xml:space="preserve">внутренних расходах, связанных с биоразнообразием, а 44 Стороны сообщили о финансовых потребностях, </w:t>
      </w:r>
      <w:r w:rsidR="00B915D8">
        <w:t xml:space="preserve">дефиците </w:t>
      </w:r>
      <w:r w:rsidR="00B915D8" w:rsidRPr="00B915D8">
        <w:t>и приор</w:t>
      </w:r>
      <w:r w:rsidR="00B915D8">
        <w:t xml:space="preserve">итетах, что значительно меньше показателя </w:t>
      </w:r>
      <w:r w:rsidR="00B915D8" w:rsidRPr="00B915D8">
        <w:t>75</w:t>
      </w:r>
      <w:r w:rsidR="00B915D8">
        <w:t>% Сторон, требующихся</w:t>
      </w:r>
      <w:r w:rsidR="00B915D8" w:rsidRPr="00B915D8">
        <w:t xml:space="preserve"> для достижения целево</w:t>
      </w:r>
      <w:r w:rsidR="00B915D8">
        <w:t>й задачи</w:t>
      </w:r>
      <w:r w:rsidR="00B915D8" w:rsidRPr="00B915D8">
        <w:t>.</w:t>
      </w:r>
      <w:r>
        <w:t xml:space="preserve"> Однако</w:t>
      </w:r>
      <w:r w:rsidR="000E687F">
        <w:t xml:space="preserve"> результаты отчетных данных о расходах, связанных с биоразнообразием, представляются обнадеживающими, учитывая </w:t>
      </w:r>
      <w:r w:rsidR="00B915D8">
        <w:t xml:space="preserve">в частности </w:t>
      </w:r>
      <w:r w:rsidR="000E687F">
        <w:t xml:space="preserve">то, что половина этих Сторон указала, что они располагают достаточными финансовыми ресурсами для представления отчетных данных о внутренних расходах на нужды </w:t>
      </w:r>
      <w:r w:rsidR="000E687F">
        <w:lastRenderedPageBreak/>
        <w:t xml:space="preserve">биоразнообразия. Семь Сторон сообщили о проведении ряда оценок роли коллективных действий. Однако представление отчетности о потребностях, дефиците и приоритетах финансирования оказалось, по всей видимости, более сложной задачей, учитывая то, что более половины Сторон, представивших </w:t>
      </w:r>
      <w:r w:rsidRPr="00682CAE">
        <w:t>доклады</w:t>
      </w:r>
      <w:r w:rsidR="000E687F">
        <w:t>, не располагают достаточными финансовыми ресурсами для представления отчетных данных о потребностях, дефиците и приоритетах финансирования.</w:t>
      </w:r>
    </w:p>
    <w:p w:rsidR="000E687F" w:rsidRPr="00607DE5" w:rsidRDefault="000E687F" w:rsidP="002D4A62">
      <w:pPr>
        <w:pStyle w:val="Para1"/>
        <w:keepLines/>
        <w:tabs>
          <w:tab w:val="clear" w:pos="360"/>
        </w:tabs>
      </w:pPr>
      <w:r w:rsidRPr="00637FA7">
        <w:rPr>
          <w:i/>
        </w:rPr>
        <w:t xml:space="preserve">Целевая задача 1 d), принятая в решении XII/3 (подготовка к 2015 году национальных планов </w:t>
      </w:r>
      <w:r w:rsidR="00682CAE" w:rsidRPr="00637FA7">
        <w:rPr>
          <w:i/>
          <w:kern w:val="20"/>
        </w:rPr>
        <w:t>финансиров</w:t>
      </w:r>
      <w:r w:rsidR="00682CAE" w:rsidRPr="00682CAE">
        <w:rPr>
          <w:i/>
          <w:kern w:val="20"/>
        </w:rPr>
        <w:t>ания</w:t>
      </w:r>
      <w:r w:rsidR="00682CAE">
        <w:rPr>
          <w:kern w:val="20"/>
        </w:rPr>
        <w:t xml:space="preserve"> </w:t>
      </w:r>
      <w:r>
        <w:rPr>
          <w:i/>
        </w:rPr>
        <w:t xml:space="preserve">и </w:t>
      </w:r>
      <w:r w:rsidR="00682CAE">
        <w:rPr>
          <w:i/>
        </w:rPr>
        <w:t>определение ценности</w:t>
      </w:r>
      <w:r>
        <w:rPr>
          <w:i/>
        </w:rPr>
        <w:t>).</w:t>
      </w:r>
      <w:r>
        <w:t xml:space="preserve"> В целом 76 Сторон сообщили о проведении оценки и/или определении внутренней, экологической, генетической, социально-экономической, научной, образовательной, культурной, рекреационной и эстетической ценности биологического разнообразия и его компонентов, в то время как 85% стран, представивших </w:t>
      </w:r>
      <w:r w:rsidR="00682CAE" w:rsidRPr="00682CAE">
        <w:t>доклады</w:t>
      </w:r>
      <w:r>
        <w:t xml:space="preserve">, провели по крайней мере некоторые оценки, что как представляется, свидетельствует, о достаточно удовлетворительном прогрессе в реализации соответствующих элементов целевой задачи 1 d). Однако, только 23 Стороны, или 25% всех представивших доклады Сторон, представили элементы национальных планов </w:t>
      </w:r>
      <w:r w:rsidR="00637FA7" w:rsidRPr="00637FA7">
        <w:rPr>
          <w:kern w:val="20"/>
        </w:rPr>
        <w:t>финансирования</w:t>
      </w:r>
      <w:r w:rsidR="00637FA7">
        <w:rPr>
          <w:kern w:val="20"/>
        </w:rPr>
        <w:t xml:space="preserve"> </w:t>
      </w:r>
      <w:r>
        <w:t>в соответствующей таблице финансовой отчетности, в основном указав совокупные объемы внутренних и международных ресурсов, которые они планируют мобилизовать. Принимая также во внимание небольшое количество обновленных и новых докладов, это по всей видимости говорит о систематических трудностях в разработке и представлении национальных планов</w:t>
      </w:r>
      <w:r w:rsidR="00637FA7">
        <w:t xml:space="preserve"> </w:t>
      </w:r>
      <w:r w:rsidR="00637FA7" w:rsidRPr="00637FA7">
        <w:rPr>
          <w:kern w:val="20"/>
        </w:rPr>
        <w:t>финансирования</w:t>
      </w:r>
      <w:r>
        <w:t xml:space="preserve">. Соответственно, две трети Сторон, представивших </w:t>
      </w:r>
      <w:r w:rsidR="00637FA7">
        <w:t>доклады</w:t>
      </w:r>
      <w:r>
        <w:t>, указали на отсутствие необходимых финансовых ресурсов на подготовку планов</w:t>
      </w:r>
      <w:r w:rsidR="00637FA7">
        <w:t xml:space="preserve"> </w:t>
      </w:r>
      <w:r w:rsidR="00637FA7" w:rsidRPr="00637FA7">
        <w:rPr>
          <w:kern w:val="20"/>
        </w:rPr>
        <w:t>финансирования</w:t>
      </w:r>
      <w:r>
        <w:t xml:space="preserve">. Однако только две страны </w:t>
      </w:r>
      <w:r w:rsidR="00637FA7">
        <w:t>–</w:t>
      </w:r>
      <w:r>
        <w:t xml:space="preserve"> члены</w:t>
      </w:r>
      <w:r w:rsidR="00637FA7">
        <w:t xml:space="preserve"> </w:t>
      </w:r>
      <w:r>
        <w:t>ОЭСР (Мексика и Швейцария) представили элементы план</w:t>
      </w:r>
      <w:r w:rsidR="00637FA7">
        <w:t>ов</w:t>
      </w:r>
      <w:r>
        <w:t xml:space="preserve"> </w:t>
      </w:r>
      <w:r w:rsidR="00637FA7" w:rsidRPr="00637FA7">
        <w:rPr>
          <w:kern w:val="20"/>
        </w:rPr>
        <w:t>финансирования</w:t>
      </w:r>
      <w:r w:rsidR="00637FA7">
        <w:rPr>
          <w:kern w:val="20"/>
        </w:rPr>
        <w:t xml:space="preserve"> </w:t>
      </w:r>
      <w:r>
        <w:t>в соответствующей таблице.</w:t>
      </w:r>
    </w:p>
    <w:p w:rsidR="000E687F" w:rsidRPr="001216DE" w:rsidRDefault="000E687F" w:rsidP="00245864">
      <w:pPr>
        <w:pStyle w:val="Para1"/>
        <w:keepLines/>
        <w:tabs>
          <w:tab w:val="clear" w:pos="360"/>
        </w:tabs>
        <w:rPr>
          <w:szCs w:val="22"/>
        </w:rPr>
      </w:pPr>
      <w:r w:rsidRPr="001216DE">
        <w:rPr>
          <w:i/>
          <w:szCs w:val="22"/>
        </w:rPr>
        <w:t xml:space="preserve">Целевая задача 1 e), принятая в решении XII/3 (мобилизация внутренних финансовых ресурсов). </w:t>
      </w:r>
      <w:r w:rsidR="00B915D8" w:rsidRPr="001216DE">
        <w:rPr>
          <w:szCs w:val="22"/>
        </w:rPr>
        <w:t xml:space="preserve">Информация, представленная в рамках системы финансовой отчетности, указывает на то, что 28 Сторон увеличивали </w:t>
      </w:r>
      <w:r w:rsidR="00B915D8" w:rsidRPr="00245864">
        <w:t>свои</w:t>
      </w:r>
      <w:r w:rsidR="00B915D8" w:rsidRPr="001216DE">
        <w:rPr>
          <w:szCs w:val="22"/>
        </w:rPr>
        <w:t xml:space="preserve"> внутренние ресурсы на нужды биоразнообразия, в то время как 24 Стороны не изменили </w:t>
      </w:r>
      <w:r w:rsidR="001216DE" w:rsidRPr="001216DE">
        <w:rPr>
          <w:szCs w:val="22"/>
        </w:rPr>
        <w:t xml:space="preserve">объема </w:t>
      </w:r>
      <w:r w:rsidR="00B915D8" w:rsidRPr="001216DE">
        <w:rPr>
          <w:szCs w:val="22"/>
        </w:rPr>
        <w:t>финансировани</w:t>
      </w:r>
      <w:r w:rsidR="001216DE" w:rsidRPr="001216DE">
        <w:rPr>
          <w:szCs w:val="22"/>
        </w:rPr>
        <w:t>я</w:t>
      </w:r>
      <w:r w:rsidR="00B915D8" w:rsidRPr="001216DE">
        <w:rPr>
          <w:szCs w:val="22"/>
        </w:rPr>
        <w:t xml:space="preserve">, а в 13 Сторонах наблюдались тенденции к </w:t>
      </w:r>
      <w:r w:rsidR="001216DE" w:rsidRPr="001216DE">
        <w:rPr>
          <w:szCs w:val="22"/>
        </w:rPr>
        <w:t xml:space="preserve">его </w:t>
      </w:r>
      <w:r w:rsidR="00B915D8" w:rsidRPr="001216DE">
        <w:rPr>
          <w:szCs w:val="22"/>
        </w:rPr>
        <w:t>сокр</w:t>
      </w:r>
      <w:r w:rsidR="001216DE" w:rsidRPr="001216DE">
        <w:rPr>
          <w:szCs w:val="22"/>
        </w:rPr>
        <w:t>а</w:t>
      </w:r>
      <w:r w:rsidR="00B915D8" w:rsidRPr="001216DE">
        <w:rPr>
          <w:szCs w:val="22"/>
        </w:rPr>
        <w:t xml:space="preserve">щению. </w:t>
      </w:r>
      <w:r w:rsidR="001216DE" w:rsidRPr="001216DE">
        <w:rPr>
          <w:szCs w:val="22"/>
        </w:rPr>
        <w:t>В отношении</w:t>
      </w:r>
      <w:r w:rsidR="00B915D8" w:rsidRPr="001216DE">
        <w:rPr>
          <w:szCs w:val="22"/>
        </w:rPr>
        <w:t xml:space="preserve"> 13 Сторон </w:t>
      </w:r>
      <w:r w:rsidR="001216DE" w:rsidRPr="001216DE">
        <w:rPr>
          <w:szCs w:val="22"/>
        </w:rPr>
        <w:t>было сложно проследить тенденции, либо они</w:t>
      </w:r>
      <w:r w:rsidR="00B915D8" w:rsidRPr="001216DE">
        <w:rPr>
          <w:szCs w:val="22"/>
        </w:rPr>
        <w:t xml:space="preserve"> были не</w:t>
      </w:r>
      <w:r w:rsidR="001216DE" w:rsidRPr="001216DE">
        <w:rPr>
          <w:szCs w:val="22"/>
        </w:rPr>
        <w:t>однозначными</w:t>
      </w:r>
      <w:r w:rsidR="00B915D8" w:rsidRPr="001216DE">
        <w:rPr>
          <w:szCs w:val="22"/>
        </w:rPr>
        <w:t xml:space="preserve"> (см. </w:t>
      </w:r>
      <w:r w:rsidR="001216DE" w:rsidRPr="001216DE">
        <w:rPr>
          <w:szCs w:val="22"/>
        </w:rPr>
        <w:t>п</w:t>
      </w:r>
      <w:r w:rsidR="00B915D8" w:rsidRPr="001216DE">
        <w:rPr>
          <w:szCs w:val="22"/>
        </w:rPr>
        <w:t xml:space="preserve">ункт 22 выше и таблицу 2). Таким образом, </w:t>
      </w:r>
      <w:r w:rsidR="001216DE" w:rsidRPr="001216DE">
        <w:rPr>
          <w:szCs w:val="22"/>
        </w:rPr>
        <w:t xml:space="preserve">выявленные </w:t>
      </w:r>
      <w:r w:rsidR="00B915D8" w:rsidRPr="001216DE">
        <w:rPr>
          <w:szCs w:val="22"/>
        </w:rPr>
        <w:t xml:space="preserve">тенденции в расходах, связанных с биоразнообразием, в целом </w:t>
      </w:r>
      <w:r w:rsidR="001216DE">
        <w:t>носят позитивный характер</w:t>
      </w:r>
      <w:r w:rsidR="00B915D8" w:rsidRPr="001216DE">
        <w:rPr>
          <w:szCs w:val="22"/>
        </w:rPr>
        <w:t xml:space="preserve">, </w:t>
      </w:r>
      <w:r w:rsidR="001216DE" w:rsidRPr="001216DE">
        <w:rPr>
          <w:szCs w:val="22"/>
        </w:rPr>
        <w:t>в частности</w:t>
      </w:r>
      <w:r w:rsidR="00B915D8" w:rsidRPr="001216DE">
        <w:rPr>
          <w:szCs w:val="22"/>
        </w:rPr>
        <w:t xml:space="preserve"> в странах, не являющихся членами КСР, </w:t>
      </w:r>
      <w:r w:rsidR="001216DE" w:rsidRPr="001216DE">
        <w:rPr>
          <w:szCs w:val="22"/>
        </w:rPr>
        <w:t>хотя</w:t>
      </w:r>
      <w:r w:rsidR="00B915D8" w:rsidRPr="001216DE">
        <w:rPr>
          <w:szCs w:val="22"/>
        </w:rPr>
        <w:t xml:space="preserve"> отчетность о расходах обычно основывается </w:t>
      </w:r>
      <w:r w:rsidR="001216DE" w:rsidRPr="001216DE">
        <w:rPr>
          <w:szCs w:val="22"/>
        </w:rPr>
        <w:t>лишь</w:t>
      </w:r>
      <w:r w:rsidR="00B915D8" w:rsidRPr="001216DE">
        <w:rPr>
          <w:szCs w:val="22"/>
        </w:rPr>
        <w:t xml:space="preserve"> на нескольких годах, и поэтому любая очевидная тенденция не обязательно является </w:t>
      </w:r>
      <w:r w:rsidR="001216DE">
        <w:t xml:space="preserve">надежной. </w:t>
      </w:r>
      <w:r w:rsidR="00245864">
        <w:t>Однако д</w:t>
      </w:r>
      <w:r>
        <w:t>ля того чтобы оценить, способствовала ли мобилизация дополнительных финансовых ресурсов сокращению финансового дефицита, следует определить наличие такого финансового дефицита и представить соответствующую отчетность. Ограниченный прогресс в определении дефицита финансирования и представлении отчетных данных о нем и о подготовке национальных планов</w:t>
      </w:r>
      <w:r w:rsidR="004539FC">
        <w:t xml:space="preserve"> </w:t>
      </w:r>
      <w:r w:rsidR="004539FC" w:rsidRPr="001216DE">
        <w:rPr>
          <w:kern w:val="20"/>
        </w:rPr>
        <w:t>финансирования</w:t>
      </w:r>
      <w:r>
        <w:t xml:space="preserve">, как объяснено выше, также отразится на оценке прогресса в выполнении этой целевой задачи. </w:t>
      </w:r>
    </w:p>
    <w:bookmarkEnd w:id="4"/>
    <w:p w:rsidR="00012146" w:rsidRPr="00607DE5" w:rsidRDefault="001165A5" w:rsidP="002D4A62">
      <w:pPr>
        <w:pStyle w:val="Para1"/>
        <w:keepLines/>
        <w:suppressLineNumbers/>
        <w:tabs>
          <w:tab w:val="clear" w:pos="360"/>
        </w:tabs>
        <w:suppressAutoHyphens/>
        <w:rPr>
          <w:szCs w:val="22"/>
        </w:rPr>
      </w:pPr>
      <w:r>
        <w:t>П</w:t>
      </w:r>
      <w:r w:rsidR="008E1EC9" w:rsidRPr="001165A5">
        <w:t>оследний доклад по оценке финансирования глобального биоразнообразия, подготовленный</w:t>
      </w:r>
      <w:r w:rsidR="008E1EC9">
        <w:t xml:space="preserve"> ОЭСР в ответ на просьбу участников совещания министров окружающей среды стран Большой семерки в мае 2019 года, был представлен в промежуточном варианте для тематического семинара по мобилизации ресурсов для глобальной рамочной программы в области биоразнообразия на период после 2020 года, состоявшегося в январе 2020 года, и был опубликован в окончательном виде в апреле 2020 года. В докладе ОЭСР «Всеобъемлющий обзор глобального финансирования биоразнообразия»</w:t>
      </w:r>
      <w:r w:rsidR="00751B3F" w:rsidRPr="00751B3F">
        <w:rPr>
          <w:rStyle w:val="FootnoteReference"/>
          <w:iCs/>
          <w:szCs w:val="22"/>
        </w:rPr>
        <w:t xml:space="preserve"> </w:t>
      </w:r>
      <w:r w:rsidR="00751B3F" w:rsidRPr="002D4A62">
        <w:rPr>
          <w:rStyle w:val="FootnoteReference"/>
          <w:iCs/>
          <w:szCs w:val="22"/>
        </w:rPr>
        <w:footnoteReference w:id="26"/>
      </w:r>
      <w:r w:rsidR="008E1EC9">
        <w:t xml:space="preserve"> содержится </w:t>
      </w:r>
      <w:r>
        <w:t xml:space="preserve">новая </w:t>
      </w:r>
      <w:r w:rsidR="008E1EC9">
        <w:t>важная информация о текущей ситуации. Некоторые основные выводы доклада, важные по мнению группы эксперт</w:t>
      </w:r>
      <w:r w:rsidR="006D3CF5">
        <w:t>ов</w:t>
      </w:r>
      <w:r w:rsidR="008E1EC9">
        <w:t>, представлены в пунктах 5</w:t>
      </w:r>
      <w:r w:rsidR="001216DE">
        <w:t>7</w:t>
      </w:r>
      <w:r w:rsidR="008E1EC9">
        <w:t>-6</w:t>
      </w:r>
      <w:r w:rsidR="001216DE">
        <w:t>3</w:t>
      </w:r>
      <w:r w:rsidR="008E1EC9">
        <w:t xml:space="preserve"> ниже.</w:t>
      </w:r>
    </w:p>
    <w:p w:rsidR="00012146" w:rsidRPr="00607DE5" w:rsidRDefault="00012146" w:rsidP="00BC5783">
      <w:pPr>
        <w:pStyle w:val="Para1"/>
        <w:suppressLineNumbers/>
        <w:tabs>
          <w:tab w:val="clear" w:pos="360"/>
        </w:tabs>
        <w:suppressAutoHyphens/>
        <w:rPr>
          <w:szCs w:val="22"/>
        </w:rPr>
      </w:pPr>
      <w:r>
        <w:t xml:space="preserve">Исходя из имеющихся данных, в анализе ОЭСР оценивается общий объем ежегодного финансирования глобального биоразнообразия в размере от 78 до 91 млрд долл. США. Эта оценка </w:t>
      </w:r>
      <w:r>
        <w:lastRenderedPageBreak/>
        <w:t>включает в себя среднегодовые государственные расходы с 2015 по 2017 год и самые последние имеющиеся данные о расходах частного сектора за тот же период.</w:t>
      </w:r>
    </w:p>
    <w:p w:rsidR="001408A1" w:rsidRPr="00607DE5" w:rsidRDefault="00012146" w:rsidP="00BC5783">
      <w:pPr>
        <w:pStyle w:val="Para1"/>
        <w:suppressLineNumbers/>
        <w:tabs>
          <w:tab w:val="clear" w:pos="360"/>
        </w:tabs>
        <w:suppressAutoHyphens/>
        <w:rPr>
          <w:szCs w:val="22"/>
        </w:rPr>
      </w:pPr>
      <w:r>
        <w:t xml:space="preserve">Международные государственные расходы на биоразнообразие, в частности, официальная помощь в целях развития (ОПР), а также другие официальные потоки (ДОП), представляют собой важную часть глобального финансирования биоразнообразия и, по оценкам, составляют в общей сложности от 3,9 млрд долл. США до 9,3 млрд долл. США в год, исходя из среднего объема потоков с 2015 </w:t>
      </w:r>
      <w:r w:rsidR="001165A5">
        <w:t xml:space="preserve">года </w:t>
      </w:r>
      <w:r>
        <w:t>по 2017 год</w:t>
      </w:r>
      <w:r w:rsidR="00751B3F" w:rsidRPr="00380B83">
        <w:rPr>
          <w:vertAlign w:val="superscript"/>
        </w:rPr>
        <w:footnoteReference w:id="27"/>
      </w:r>
      <w:r>
        <w:t xml:space="preserve">. Это финансирование включает в себя двусторонние потоки в размере от 3,5 до 8,4 млрд долл. США и многосторонние потоки в размере от 0,3 до 0,9 млрд долл. США. </w:t>
      </w:r>
    </w:p>
    <w:p w:rsidR="00012146" w:rsidRPr="00607DE5" w:rsidRDefault="00012146" w:rsidP="00BC5783">
      <w:pPr>
        <w:pStyle w:val="Para1"/>
        <w:suppressLineNumbers/>
        <w:tabs>
          <w:tab w:val="clear" w:pos="360"/>
        </w:tabs>
        <w:suppressAutoHyphens/>
        <w:rPr>
          <w:szCs w:val="22"/>
        </w:rPr>
      </w:pPr>
      <w:r>
        <w:t xml:space="preserve">Однако </w:t>
      </w:r>
      <w:r w:rsidR="000F6F0D">
        <w:t>значительная</w:t>
      </w:r>
      <w:r>
        <w:t xml:space="preserve"> доля глобальных расходов на биоразнообразие приходится на внутренние государственные расходы. В период 2015</w:t>
      </w:r>
      <w:r w:rsidR="001165A5">
        <w:t>-</w:t>
      </w:r>
      <w:r>
        <w:t>2017 год</w:t>
      </w:r>
      <w:r w:rsidR="001165A5">
        <w:t>ы</w:t>
      </w:r>
      <w:r>
        <w:t xml:space="preserve"> 81 страна в совокупности тратила в среднем 67,8 млрд долл. США в год внутри страны на сохранение и устойчивое использование биоразнообразия</w:t>
      </w:r>
      <w:r w:rsidR="00A13640" w:rsidRPr="00637FA7">
        <w:rPr>
          <w:rStyle w:val="FootnoteReference"/>
          <w:szCs w:val="22"/>
        </w:rPr>
        <w:footnoteReference w:id="28"/>
      </w:r>
      <w:r w:rsidRPr="00637FA7">
        <w:t>.</w:t>
      </w:r>
      <w:r>
        <w:t xml:space="preserve"> Эта оценка основана главным образом на данных, содержащихся в системе финансовой отчетности Конвенции о биологическом разнообразии, классификациях функций органов государственного управления (COFOG)</w:t>
      </w:r>
      <w:r w:rsidRPr="00380B83">
        <w:rPr>
          <w:szCs w:val="22"/>
          <w:vertAlign w:val="superscript"/>
        </w:rPr>
        <w:footnoteReference w:id="29"/>
      </w:r>
      <w:r>
        <w:t xml:space="preserve"> и национальных обзорах расходов на биологическое разнообразие инициативы ПРООН БИОФИН. Она охватывает прямые и косвенные потоки примерно для 25 стран и только прямые потоки для остальных стран. Субнациональные государственные расходы </w:t>
      </w:r>
      <w:r w:rsidR="006D3CF5">
        <w:t xml:space="preserve">отражены </w:t>
      </w:r>
      <w:r>
        <w:t>в этой оценке лишь частично.</w:t>
      </w:r>
    </w:p>
    <w:p w:rsidR="00012146" w:rsidRPr="00607DE5" w:rsidRDefault="00012146" w:rsidP="00BC5783">
      <w:pPr>
        <w:pStyle w:val="Para1"/>
        <w:suppressLineNumbers/>
        <w:tabs>
          <w:tab w:val="clear" w:pos="360"/>
        </w:tabs>
        <w:suppressAutoHyphens/>
        <w:rPr>
          <w:szCs w:val="22"/>
        </w:rPr>
      </w:pPr>
      <w:r>
        <w:t xml:space="preserve">По оценкам ОЭСР, частный сектор тратит на биоразнообразие от 6,6 до 13,6 млрд долл. США в год. Эта оценка основана на различных источниках данных за период </w:t>
      </w:r>
      <w:r w:rsidR="001165A5">
        <w:t xml:space="preserve">с </w:t>
      </w:r>
      <w:r>
        <w:t>2015</w:t>
      </w:r>
      <w:r w:rsidR="001165A5">
        <w:t xml:space="preserve"> года по </w:t>
      </w:r>
      <w:r>
        <w:t>2017 год о компенсациях</w:t>
      </w:r>
      <w:r w:rsidR="009A3528">
        <w:t xml:space="preserve"> </w:t>
      </w:r>
      <w:r>
        <w:t>неблагоприятных воздействий на биоразнообразие, устойчивых сырьевых товарах, финансировании углеродных ресурсов лесов, платежах за экосистемные услуги, торговле и компенсациях за качество воды, благотворительных расходах и частном финансировании, привлеченном двусторонним и многосторонним финансированием развития. Она не отражает полного положения дел (например, с точки зрения охватываемых секторов, домашних хозяйств, корпораций и финансовых организаций) и поэтому носит ориентировочный характер. В докладе ОЭСР также содержится полезный обзор экономических и других финансовых инструментов, инвестиционных подходов и структур, которые в настоящее время используются в области биоразнообразия, а также оценка общего объема ресурсов, мобилизуемых каждым из них на нужды биоразнообразия (см. приложение VI к документу CBD/SBI/3/INF/2).</w:t>
      </w:r>
    </w:p>
    <w:p w:rsidR="00012146" w:rsidRPr="00607DE5" w:rsidRDefault="001165A5" w:rsidP="002D4A62">
      <w:pPr>
        <w:pStyle w:val="Para1"/>
        <w:suppressLineNumbers/>
        <w:tabs>
          <w:tab w:val="clear" w:pos="360"/>
        </w:tabs>
        <w:suppressAutoHyphens/>
        <w:rPr>
          <w:szCs w:val="22"/>
        </w:rPr>
      </w:pPr>
      <w:r w:rsidRPr="00AB65A8">
        <w:t xml:space="preserve">Кроме того, в </w:t>
      </w:r>
      <w:r w:rsidR="00012146" w:rsidRPr="00AB65A8">
        <w:t xml:space="preserve">докладе ОЭСР содержится полезная информация, подчеркивающая важность для мобилизации ресурсов, а также для более широкого учета проблематики биоразнообразия, рассмотрения Айтинской целевой задачи 3 в области биоразнообразия (об устранении вредных стимулов, включая субсидии) </w:t>
      </w:r>
      <w:r w:rsidR="009B4844" w:rsidRPr="00AB65A8">
        <w:t>–</w:t>
      </w:r>
      <w:r w:rsidR="00012146" w:rsidRPr="00AB65A8">
        <w:t xml:space="preserve"> темы, по которой уже была проведена плодотворная работа в рамках Конвенции</w:t>
      </w:r>
      <w:r w:rsidR="00751B3F" w:rsidRPr="00AB65A8">
        <w:rPr>
          <w:rStyle w:val="FootnoteReference"/>
          <w:szCs w:val="22"/>
        </w:rPr>
        <w:footnoteReference w:id="30"/>
      </w:r>
      <w:r w:rsidR="00012146" w:rsidRPr="00AB65A8">
        <w:t>.</w:t>
      </w:r>
      <w:r w:rsidR="00012146">
        <w:t xml:space="preserve"> Кроме того, ОЭСР отмечает, что сокращение финансирования, наносящего вред биоразнообразию, столь же важно, как и увеличение финансирования для достижения положительного воздействия</w:t>
      </w:r>
      <w:r w:rsidR="009B4844" w:rsidRPr="009B4844">
        <w:t xml:space="preserve"> </w:t>
      </w:r>
      <w:r w:rsidR="009B4844">
        <w:t>биоразнообразия</w:t>
      </w:r>
      <w:r w:rsidR="00012146">
        <w:t xml:space="preserve">. Правительства ежегодно тратят примерно 500 млрд долл. США на меры поддержки, потенциально вредные для биоразнообразия, то есть в 5-6 раз больше, чем общие расходы на биоразнообразие. В 2017 году 76 стран, в основном входящих в ОЭСР и G-20, потратили на меры в поддержку добычи ископаемого топлива 340 млрд долл. США </w:t>
      </w:r>
      <w:r w:rsidR="00012146">
        <w:lastRenderedPageBreak/>
        <w:t>(</w:t>
      </w:r>
      <w:r w:rsidR="009B4844">
        <w:t>ОЭСР</w:t>
      </w:r>
      <w:r w:rsidR="00012146">
        <w:t>/</w:t>
      </w:r>
      <w:r w:rsidR="009B4844">
        <w:rPr>
          <w:rStyle w:val="acronym"/>
        </w:rPr>
        <w:t>МЭА</w:t>
      </w:r>
      <w:r w:rsidR="00012146">
        <w:t>, 2019 г.). В том же году только страны ОЭСР предоставили фермерам поддержку в размере 228 млрд долл. США, из которых 116 млрд долл. США (т.е. 51%) считаются потенциально наиболее вредными для биоразнообразия по сравнению с другими мерами поддержки (</w:t>
      </w:r>
      <w:r w:rsidR="009B4844">
        <w:t>ОЭСР</w:t>
      </w:r>
      <w:r w:rsidR="00012146">
        <w:t>, 2013</w:t>
      </w:r>
      <w:r w:rsidR="009B4844">
        <w:rPr>
          <w:lang w:val="fr-FR"/>
        </w:rPr>
        <w:t> </w:t>
      </w:r>
      <w:r w:rsidR="00012146">
        <w:t>г.). Хотя общая доля мер поддержки фермерам, признанных потенциально наиболее вредными для окружающей среды, значительно сократилась с 1990 года, в течение последнего десятилетия она остается на относительно постоянном уровне.</w:t>
      </w:r>
    </w:p>
    <w:p w:rsidR="00012146" w:rsidRPr="00607DE5" w:rsidRDefault="00012146" w:rsidP="00BE1721">
      <w:pPr>
        <w:pStyle w:val="Para1"/>
        <w:suppressLineNumbers/>
        <w:tabs>
          <w:tab w:val="clear" w:pos="360"/>
        </w:tabs>
        <w:suppressAutoHyphens/>
        <w:rPr>
          <w:szCs w:val="22"/>
        </w:rPr>
      </w:pPr>
      <w:r>
        <w:t xml:space="preserve">Субсидии в других секторах, таких как добыча полезных ископаемых и рыболовство, также могут наносить ущерб биоразнообразию. В 2017 году 27 стран ОЭСР, которые представляют данные в базу данных ОЭСР по оценке мер поддержки рыболовства, оказали прямую поддержку частным лицам или компаниям в области рыболовства на сумму 700 млн долл. США. Переориентация мер поддержки с политики, стимулирующей более интенсивный промысел, на деятельность, повышающую устойчивость рыболовного промысла, может принести значительные выгоды для окружающей среды, а также для источников жизнеобеспечения рыбаков (Martini and Innes, 2018 г.). </w:t>
      </w:r>
    </w:p>
    <w:p w:rsidR="00012146" w:rsidRPr="00607DE5" w:rsidRDefault="00BE1721" w:rsidP="00BC5783">
      <w:pPr>
        <w:pStyle w:val="Para1"/>
        <w:suppressLineNumbers/>
        <w:tabs>
          <w:tab w:val="clear" w:pos="360"/>
        </w:tabs>
        <w:suppressAutoHyphens/>
        <w:rPr>
          <w:szCs w:val="22"/>
        </w:rPr>
      </w:pPr>
      <w:r>
        <w:t>Наконец, в докладе ОЭСР подчеркивается, что реформирование субсидий, наносящих вред биоразнообразию, будет также способствовать сокращению потребностей в финансировании биоразнообразия за счет снижения нагрузки на биоразнообразие. Поэтому учет проблематики биоразнообразия и мобилизацию ресурсов необходимо рассматривать как две взаимосвязанные и взаимодополняющие повестки дня в рамках Конвенции о биологическом разнообразии, с чем группа экспертов полностью согласна.</w:t>
      </w:r>
    </w:p>
    <w:p w:rsidR="0050425F" w:rsidRPr="00607DE5" w:rsidRDefault="002411ED" w:rsidP="005E780D">
      <w:pPr>
        <w:pStyle w:val="Para1"/>
        <w:keepNext/>
        <w:numPr>
          <w:ilvl w:val="0"/>
          <w:numId w:val="0"/>
        </w:numPr>
        <w:suppressLineNumbers/>
        <w:suppressAutoHyphens/>
        <w:spacing w:before="240"/>
        <w:jc w:val="center"/>
        <w:outlineLvl w:val="0"/>
        <w:rPr>
          <w:b/>
        </w:rPr>
      </w:pPr>
      <w:r>
        <w:rPr>
          <w:b/>
        </w:rPr>
        <w:t>IV.</w:t>
      </w:r>
      <w:r>
        <w:rPr>
          <w:b/>
        </w:rPr>
        <w:tab/>
      </w:r>
      <w:r>
        <w:rPr>
          <w:rFonts w:ascii="Times New Roman Bold" w:hAnsi="Times New Roman Bold"/>
          <w:b/>
          <w:caps/>
        </w:rPr>
        <w:t>Необходимость дальнейших действий в контексте рамочной программы на период после 2020 года</w:t>
      </w:r>
    </w:p>
    <w:p w:rsidR="004C7710" w:rsidRPr="00607DE5" w:rsidRDefault="00724C35" w:rsidP="00BC5783">
      <w:pPr>
        <w:pStyle w:val="Para1"/>
        <w:suppressLineNumbers/>
        <w:tabs>
          <w:tab w:val="clear" w:pos="360"/>
        </w:tabs>
        <w:suppressAutoHyphens/>
        <w:rPr>
          <w:szCs w:val="22"/>
        </w:rPr>
      </w:pPr>
      <w:r>
        <w:t xml:space="preserve">В настоящем резюме первого доклада группы экспертов в соответствующих пунктах освещаются дальнейшие действия, которые помогут устранить недостатки в стратегии мобилизации ресурсов и </w:t>
      </w:r>
      <w:r w:rsidR="006D3CF5">
        <w:t xml:space="preserve">способствовать </w:t>
      </w:r>
      <w:r>
        <w:t>реализации Айтинской целевой задачи 20 в области биоразнообразия. Эти вопросы подробно рассматриваются в полной версии доклада, в его заключительном разделе посвященном следующим темам:</w:t>
      </w:r>
    </w:p>
    <w:p w:rsidR="004C7710" w:rsidRPr="00607DE5" w:rsidRDefault="004C7710" w:rsidP="00C366D6">
      <w:pPr>
        <w:pStyle w:val="Para1"/>
        <w:numPr>
          <w:ilvl w:val="0"/>
          <w:numId w:val="7"/>
        </w:numPr>
        <w:suppressLineNumbers/>
        <w:suppressAutoHyphens/>
        <w:ind w:left="0" w:firstLine="720"/>
      </w:pPr>
      <w:r>
        <w:t>общий подход к мобилизации ресурсов в глобальной рамочной программе в области биоразнообразия на период после 2020 года;</w:t>
      </w:r>
    </w:p>
    <w:p w:rsidR="004C7710" w:rsidRPr="00607DE5" w:rsidRDefault="004C7710" w:rsidP="00C366D6">
      <w:pPr>
        <w:pStyle w:val="Para1"/>
        <w:numPr>
          <w:ilvl w:val="0"/>
          <w:numId w:val="7"/>
        </w:numPr>
        <w:suppressLineNumbers/>
        <w:suppressAutoHyphens/>
        <w:ind w:left="0" w:firstLine="720"/>
      </w:pPr>
      <w:r>
        <w:t>учет проблематики биоразнообразия как средство повышения эффективности мобилизации ресурсов;</w:t>
      </w:r>
    </w:p>
    <w:p w:rsidR="004C7710" w:rsidRPr="00607DE5" w:rsidRDefault="006500E9" w:rsidP="00C366D6">
      <w:pPr>
        <w:pStyle w:val="Para1"/>
        <w:numPr>
          <w:ilvl w:val="0"/>
          <w:numId w:val="7"/>
        </w:numPr>
        <w:suppressLineNumbers/>
        <w:suppressAutoHyphens/>
        <w:ind w:left="0" w:firstLine="720"/>
      </w:pPr>
      <w:r>
        <w:t>международное финансирование развития, Конвенция о биологическом разнообразии и повестка дня в области развития и климата;</w:t>
      </w:r>
    </w:p>
    <w:p w:rsidR="004C7710" w:rsidRPr="00607DE5" w:rsidRDefault="004C7710" w:rsidP="00C366D6">
      <w:pPr>
        <w:pStyle w:val="Para1"/>
        <w:numPr>
          <w:ilvl w:val="0"/>
          <w:numId w:val="7"/>
        </w:numPr>
        <w:suppressLineNumbers/>
        <w:suppressAutoHyphens/>
        <w:ind w:left="0" w:firstLine="720"/>
      </w:pPr>
      <w:r>
        <w:t>мобилизация внутренних финансовых ресурсов;</w:t>
      </w:r>
    </w:p>
    <w:p w:rsidR="004C7710" w:rsidRPr="00607DE5" w:rsidRDefault="004C7710" w:rsidP="00C366D6">
      <w:pPr>
        <w:pStyle w:val="Para1"/>
        <w:numPr>
          <w:ilvl w:val="0"/>
          <w:numId w:val="7"/>
        </w:numPr>
        <w:suppressLineNumbers/>
        <w:suppressAutoHyphens/>
        <w:ind w:left="0" w:firstLine="720"/>
      </w:pPr>
      <w:r>
        <w:t>частный и финансовый сектора;</w:t>
      </w:r>
    </w:p>
    <w:p w:rsidR="004C7710" w:rsidRPr="00607DE5" w:rsidRDefault="004C7710" w:rsidP="00C366D6">
      <w:pPr>
        <w:pStyle w:val="Para1"/>
        <w:numPr>
          <w:ilvl w:val="0"/>
          <w:numId w:val="7"/>
        </w:numPr>
        <w:suppressLineNumbers/>
        <w:suppressAutoHyphens/>
        <w:ind w:left="0" w:firstLine="720"/>
      </w:pPr>
      <w:r>
        <w:t>финансовые инструменты и механизмы;</w:t>
      </w:r>
    </w:p>
    <w:p w:rsidR="004C7710" w:rsidRPr="00607DE5" w:rsidRDefault="004C7710" w:rsidP="00C366D6">
      <w:pPr>
        <w:pStyle w:val="Para1"/>
        <w:numPr>
          <w:ilvl w:val="0"/>
          <w:numId w:val="7"/>
        </w:numPr>
        <w:suppressLineNumbers/>
        <w:suppressAutoHyphens/>
        <w:ind w:left="0" w:firstLine="720"/>
      </w:pPr>
      <w:r>
        <w:t>доступ к генетическим ресурсам и совместное использование выгод;</w:t>
      </w:r>
    </w:p>
    <w:p w:rsidR="004C7710" w:rsidRPr="00607DE5" w:rsidRDefault="006500E9" w:rsidP="00C366D6">
      <w:pPr>
        <w:pStyle w:val="Para1"/>
        <w:numPr>
          <w:ilvl w:val="0"/>
          <w:numId w:val="7"/>
        </w:numPr>
        <w:suppressLineNumbers/>
        <w:suppressAutoHyphens/>
        <w:ind w:left="0" w:firstLine="720"/>
      </w:pPr>
      <w:r>
        <w:t>роль коренных народов и местных общин;</w:t>
      </w:r>
    </w:p>
    <w:p w:rsidR="004C7710" w:rsidRPr="00607DE5" w:rsidRDefault="004C7710" w:rsidP="00C366D6">
      <w:pPr>
        <w:pStyle w:val="Para1"/>
        <w:numPr>
          <w:ilvl w:val="0"/>
          <w:numId w:val="7"/>
        </w:numPr>
        <w:suppressLineNumbers/>
        <w:suppressAutoHyphens/>
        <w:ind w:left="0" w:firstLine="720"/>
      </w:pPr>
      <w:r>
        <w:t>развитие потенциала;</w:t>
      </w:r>
    </w:p>
    <w:p w:rsidR="004C7710" w:rsidRPr="00607DE5" w:rsidRDefault="004C7710" w:rsidP="00C366D6">
      <w:pPr>
        <w:pStyle w:val="Para1"/>
        <w:numPr>
          <w:ilvl w:val="0"/>
          <w:numId w:val="7"/>
        </w:numPr>
        <w:suppressLineNumbers/>
        <w:suppressAutoHyphens/>
        <w:ind w:left="0" w:firstLine="720"/>
      </w:pPr>
      <w:r>
        <w:t>отчетность о мобилизации ресурсов.</w:t>
      </w:r>
    </w:p>
    <w:p w:rsidR="004C7710" w:rsidRPr="00380B83" w:rsidRDefault="004C7710" w:rsidP="005E780D">
      <w:pPr>
        <w:pStyle w:val="Para1"/>
        <w:keepNext/>
        <w:suppressLineNumbers/>
        <w:tabs>
          <w:tab w:val="clear" w:pos="360"/>
        </w:tabs>
        <w:suppressAutoHyphens/>
        <w:rPr>
          <w:szCs w:val="22"/>
        </w:rPr>
      </w:pPr>
      <w:r>
        <w:t>Что касается приоритетов, определенных для дальнейших действий в рамках глобальной рамочной программы в области биоразнообразия на период после 2020 года, то здесь четко прослеживается мысль о том, что в настоящее время необходимо уделять внимание трем взаимодополняющим компонентам мобилизации ресурсов:</w:t>
      </w:r>
    </w:p>
    <w:p w:rsidR="004C7710" w:rsidRPr="002D4A62" w:rsidRDefault="004C7710" w:rsidP="00C366D6">
      <w:pPr>
        <w:pStyle w:val="Para1"/>
        <w:numPr>
          <w:ilvl w:val="0"/>
          <w:numId w:val="8"/>
        </w:numPr>
        <w:suppressLineNumbers/>
        <w:suppressAutoHyphens/>
        <w:ind w:left="0" w:firstLine="720"/>
        <w:rPr>
          <w:szCs w:val="22"/>
        </w:rPr>
      </w:pPr>
      <w:r>
        <w:t>перенаправление или сокращение ресурсов, наносящих ущерб биоразнообразию;</w:t>
      </w:r>
    </w:p>
    <w:p w:rsidR="004C7710" w:rsidRPr="002D4A62" w:rsidRDefault="004C7710" w:rsidP="00C366D6">
      <w:pPr>
        <w:pStyle w:val="Para1"/>
        <w:numPr>
          <w:ilvl w:val="0"/>
          <w:numId w:val="8"/>
        </w:numPr>
        <w:suppressLineNumbers/>
        <w:suppressAutoHyphens/>
        <w:ind w:left="0" w:firstLine="720"/>
        <w:rPr>
          <w:szCs w:val="22"/>
        </w:rPr>
      </w:pPr>
      <w:r>
        <w:lastRenderedPageBreak/>
        <w:t>получение дополнительных ресурсов из всех источников;</w:t>
      </w:r>
    </w:p>
    <w:p w:rsidR="004C7710" w:rsidRPr="002D4A62" w:rsidRDefault="004C7710" w:rsidP="00C366D6">
      <w:pPr>
        <w:pStyle w:val="Para1"/>
        <w:numPr>
          <w:ilvl w:val="0"/>
          <w:numId w:val="8"/>
        </w:numPr>
        <w:suppressLineNumbers/>
        <w:suppressAutoHyphens/>
        <w:ind w:left="0" w:firstLine="720"/>
        <w:rPr>
          <w:szCs w:val="22"/>
        </w:rPr>
      </w:pPr>
      <w:r>
        <w:t>повышение эффективности и результативности использования средств на всех уровнях.</w:t>
      </w:r>
    </w:p>
    <w:p w:rsidR="000132F2" w:rsidRPr="00607DE5" w:rsidRDefault="004C7710" w:rsidP="00BC5783">
      <w:pPr>
        <w:pStyle w:val="Para1"/>
        <w:suppressLineNumbers/>
        <w:tabs>
          <w:tab w:val="clear" w:pos="360"/>
        </w:tabs>
        <w:suppressAutoHyphens/>
        <w:rPr>
          <w:szCs w:val="22"/>
        </w:rPr>
      </w:pPr>
      <w:r>
        <w:t>Была также четко признана необходимость укрепления взаимодействия между ресурсами, мобилизуемыми на цели биоразнообразия, и ресурсами, мобилизуемыми на борьбу с изменениями климата, а также на реализацию целей в области устойчивого развития в более широком плане, с тем чтобы избежать расходов, наносящих ущерб биоразнообразию, а также более широко интегрировать финансирование биоразнообразия в повестку дня финансирования устойчивого развития.</w:t>
      </w:r>
    </w:p>
    <w:p w:rsidR="00D32E03" w:rsidRPr="00607DE5" w:rsidRDefault="00D32E03" w:rsidP="00BC5783">
      <w:pPr>
        <w:pStyle w:val="Para1"/>
        <w:suppressLineNumbers/>
        <w:tabs>
          <w:tab w:val="clear" w:pos="360"/>
        </w:tabs>
        <w:suppressAutoHyphens/>
        <w:rPr>
          <w:szCs w:val="22"/>
        </w:rPr>
      </w:pPr>
      <w:r>
        <w:t>Учет проблематики биоразнообразия во всех планах, бюджетах и мероприятиях государственного и частного секторов как на национальном, так и на международном уровнях, рассматривался в качестве важнейшей предпосылки для успешной мобилизации ресурсов в будущем. Это подход включает в себя учет проблематики в национальных бюджетах, планах развития, а также инвестициях и деятельности частного сектора. Существует важная взаимосвязь между работой неофициальной консультативной группы КБР по учету проблематики биоразнообразия, которая занимается разработкой долгосрочного подхода к учету проблематики биоразнообразия, и работой группы, которая более подробно рассматривается в третьем докладе группы.</w:t>
      </w:r>
    </w:p>
    <w:p w:rsidR="00744485" w:rsidRPr="00607DE5" w:rsidRDefault="00744485" w:rsidP="00BC5783">
      <w:pPr>
        <w:pStyle w:val="Para1"/>
        <w:tabs>
          <w:tab w:val="clear" w:pos="360"/>
        </w:tabs>
      </w:pPr>
      <w:r>
        <w:t xml:space="preserve">Внутренние финансовые ресурсы на нужды биоразнообразия в настоящее время составляют </w:t>
      </w:r>
      <w:r w:rsidR="009B4844">
        <w:t>значительную</w:t>
      </w:r>
      <w:r>
        <w:t xml:space="preserve"> долю (более трех четвертей) от общего объема ежегодно мобилизуемых ресурсов и будут по-прежнему иметь крайне важное значение. Необходимо расширить учет проблематики биоразнообразия в национальном планировании и бюджетах и укрепить национальный потенциал для эффективного и результативного использования ресурсов. </w:t>
      </w:r>
    </w:p>
    <w:p w:rsidR="00903827" w:rsidRPr="00607DE5" w:rsidRDefault="00303F13" w:rsidP="00BC5783">
      <w:pPr>
        <w:pStyle w:val="Para1"/>
        <w:tabs>
          <w:tab w:val="clear" w:pos="360"/>
        </w:tabs>
      </w:pPr>
      <w:r>
        <w:t xml:space="preserve">Еще одним ключевым приоритетом для глобальной рамочной программы в области биоразнообразия на период после 2020 года будет всеобъемлющее рассмотрение роли делового и финансового секторов, с тем чтобы увеличить потоки финансирования для реализации трех целей Конвенции и сократить объем финансирования, наносящего ущерб биоразнообразию (по данным ОЭСР, в настоящее время </w:t>
      </w:r>
      <w:r w:rsidR="009B4844">
        <w:t xml:space="preserve">он </w:t>
      </w:r>
      <w:r>
        <w:t xml:space="preserve">в 5-6 раз превышает объем финансирования, положительно воздействующего на биоразнообразие). Эти действия должны подкрепляться более активными усилиями по разработке механизмов для измерения, управления и представления стандартизированной отчетности о том, насколько деловой сектор сокращает расходы, наносящие вред биоразнообразию, и насколько он увеличивает инвестиции, положительно воздействующие на биоразнообразие. </w:t>
      </w:r>
    </w:p>
    <w:p w:rsidR="000132F2" w:rsidRPr="00607DE5" w:rsidRDefault="00903827" w:rsidP="002D4A62">
      <w:pPr>
        <w:pStyle w:val="Para1"/>
        <w:tabs>
          <w:tab w:val="clear" w:pos="360"/>
        </w:tabs>
      </w:pPr>
      <w:r>
        <w:t xml:space="preserve">Правительства должны играть решающую роль в этой деятельности, подавая пример, создавая благоприятные условия для других субъектов, обеспечивая потенциал, изыскивая при необходимости внешнюю поддержку для разработки национальных планов финансирования биоразнообразия и точно и последовательно отчитываться о финансовых ресурсах, мобилизуемых на нужды биоразнообразия. </w:t>
      </w:r>
    </w:p>
    <w:p w:rsidR="0057317A" w:rsidRPr="00607DE5" w:rsidRDefault="00B71D0C" w:rsidP="00BC5783">
      <w:pPr>
        <w:pStyle w:val="Para1"/>
        <w:suppressLineNumbers/>
        <w:tabs>
          <w:tab w:val="clear" w:pos="360"/>
        </w:tabs>
        <w:suppressAutoHyphens/>
      </w:pPr>
      <w:r>
        <w:t xml:space="preserve">Третий доклад группы в значительной степени опирается на эту оценку, подробно излагая вклад группы в проект </w:t>
      </w:r>
      <w:r w:rsidR="009B4844">
        <w:t xml:space="preserve">разработки </w:t>
      </w:r>
      <w:r>
        <w:t>компонента мобилизации ресурсов для глобальной рамочной программы в области биоразнообразия на период после 2020 года.</w:t>
      </w:r>
    </w:p>
    <w:p w:rsidR="00BD0533" w:rsidRPr="00607DE5" w:rsidRDefault="00BD0533">
      <w:pPr>
        <w:jc w:val="left"/>
        <w:rPr>
          <w:snapToGrid w:val="0"/>
          <w:szCs w:val="22"/>
        </w:rPr>
      </w:pPr>
      <w:r>
        <w:br w:type="page"/>
      </w:r>
    </w:p>
    <w:p w:rsidR="00BD0533" w:rsidRPr="00607DE5" w:rsidRDefault="00BD0533" w:rsidP="002D4A62">
      <w:pPr>
        <w:pStyle w:val="Para1"/>
        <w:keepNext/>
        <w:numPr>
          <w:ilvl w:val="0"/>
          <w:numId w:val="0"/>
        </w:numPr>
        <w:suppressLineNumbers/>
        <w:suppressAutoHyphens/>
        <w:spacing w:before="240"/>
        <w:jc w:val="center"/>
        <w:outlineLvl w:val="2"/>
        <w:rPr>
          <w:bCs/>
          <w:i/>
          <w:iCs/>
        </w:rPr>
      </w:pPr>
      <w:r>
        <w:rPr>
          <w:bCs/>
          <w:i/>
          <w:iCs/>
        </w:rPr>
        <w:lastRenderedPageBreak/>
        <w:t>Приложение</w:t>
      </w:r>
    </w:p>
    <w:p w:rsidR="00BD0533" w:rsidRPr="00607DE5" w:rsidRDefault="00BD0533" w:rsidP="002D4A62">
      <w:pPr>
        <w:pStyle w:val="Heading1"/>
        <w:keepNext w:val="0"/>
        <w:suppressLineNumbers/>
        <w:tabs>
          <w:tab w:val="clear" w:pos="720"/>
        </w:tabs>
        <w:suppressAutoHyphens/>
        <w:kinsoku w:val="0"/>
        <w:overflowPunct w:val="0"/>
        <w:autoSpaceDE w:val="0"/>
        <w:autoSpaceDN w:val="0"/>
        <w:adjustRightInd w:val="0"/>
        <w:snapToGrid w:val="0"/>
        <w:rPr>
          <w:snapToGrid w:val="0"/>
          <w:kern w:val="22"/>
          <w:szCs w:val="22"/>
        </w:rPr>
      </w:pPr>
      <w:r>
        <w:rPr>
          <w:snapToGrid w:val="0"/>
          <w:szCs w:val="22"/>
        </w:rPr>
        <w:t>Целевые задачи по мобилизации ресурсов</w:t>
      </w:r>
    </w:p>
    <w:p w:rsidR="00BD0533" w:rsidRPr="00607DE5" w:rsidRDefault="00BD0533" w:rsidP="00BD0533">
      <w:pPr>
        <w:suppressLineNumbers/>
        <w:suppressAutoHyphens/>
        <w:kinsoku w:val="0"/>
        <w:overflowPunct w:val="0"/>
        <w:autoSpaceDE w:val="0"/>
        <w:autoSpaceDN w:val="0"/>
        <w:adjustRightInd w:val="0"/>
        <w:snapToGrid w:val="0"/>
        <w:spacing w:after="120"/>
        <w:rPr>
          <w:snapToGrid w:val="0"/>
          <w:kern w:val="22"/>
          <w:szCs w:val="22"/>
        </w:rPr>
      </w:pPr>
      <w:r>
        <w:rPr>
          <w:snapToGrid w:val="0"/>
          <w:szCs w:val="22"/>
        </w:rPr>
        <w:t>1.</w:t>
      </w:r>
      <w:r>
        <w:rPr>
          <w:snapToGrid w:val="0"/>
          <w:szCs w:val="22"/>
        </w:rPr>
        <w:tab/>
      </w:r>
      <w:r>
        <w:t xml:space="preserve">В пункте 1 решения </w:t>
      </w:r>
      <w:hyperlink r:id="rId21" w:history="1">
        <w:r>
          <w:rPr>
            <w:rStyle w:val="Hyperlink"/>
            <w:snapToGrid w:val="0"/>
            <w:sz w:val="22"/>
            <w:szCs w:val="22"/>
          </w:rPr>
          <w:t>XII/3</w:t>
        </w:r>
      </w:hyperlink>
      <w:r>
        <w:t xml:space="preserve"> Конференция Сторон вновь подтвердила свою приверженность значительному совокупному увеличению общего объема </w:t>
      </w:r>
      <w:r w:rsidR="00A938FF">
        <w:t xml:space="preserve">связанного с биоразнообразием </w:t>
      </w:r>
      <w:r>
        <w:t>финансирования из различных источников для осуществления Стратегического плана в области сохранения и устойчивого использования биоразнообразия на 2011-2020 годы и приняла следующие целевые задачи по мобилизации ресурсов в рамках Айтинской целевой задачи 20 в области биоразнообразия:</w:t>
      </w:r>
    </w:p>
    <w:p w:rsidR="00BD0533" w:rsidRPr="00607DE5" w:rsidRDefault="00BD0533" w:rsidP="00C366D6">
      <w:pPr>
        <w:pStyle w:val="aident"/>
        <w:numPr>
          <w:ilvl w:val="0"/>
          <w:numId w:val="6"/>
        </w:numPr>
        <w:suppressLineNumbers/>
        <w:tabs>
          <w:tab w:val="clear" w:pos="1211"/>
          <w:tab w:val="left" w:pos="720"/>
        </w:tabs>
        <w:suppressAutoHyphens/>
        <w:kinsoku w:val="0"/>
        <w:overflowPunct w:val="0"/>
        <w:adjustRightInd w:val="0"/>
        <w:ind w:left="0" w:firstLine="720"/>
        <w:rPr>
          <w:rFonts w:cs="Times New Roman"/>
          <w:kern w:val="22"/>
          <w:szCs w:val="22"/>
        </w:rPr>
      </w:pPr>
      <w:r>
        <w:t xml:space="preserve">используя в качестве основного показателя среднегодовые объемы финансирования биоразнообразия </w:t>
      </w:r>
      <w:r w:rsidR="00A938FF">
        <w:t>за</w:t>
      </w:r>
      <w:r>
        <w:t xml:space="preserve"> 2006-2010 годы, увеличить вдвое к 2015 году совокупный объем международных потоков финансовых ресурсов на цели финансирования биоразнообразия в развивающиеся страны, и</w:t>
      </w:r>
      <w:r w:rsidR="00A938FF">
        <w:t>,</w:t>
      </w:r>
      <w:r>
        <w:t xml:space="preserve"> в частности</w:t>
      </w:r>
      <w:r w:rsidR="00A938FF">
        <w:t>,</w:t>
      </w:r>
      <w:r>
        <w:t xml:space="preserve"> в наименее развитые страны и малые островные развивающиеся государства, а также в страны с переходной экономикой, в соответствии со статьей 20 Конвенции, и как минимум поддерживать их на этом уровне до 2020 года для оказания содействия достижению трех целей Конвенции, в том числе посредством приоритизации по инициативе самих стран сохранения биоразнообразия в планах развития стран-бенефициаров помощи;</w:t>
      </w:r>
    </w:p>
    <w:p w:rsidR="00BD0533" w:rsidRPr="00607DE5" w:rsidRDefault="00BD0533" w:rsidP="00C366D6">
      <w:pPr>
        <w:pStyle w:val="aident"/>
        <w:numPr>
          <w:ilvl w:val="0"/>
          <w:numId w:val="6"/>
        </w:numPr>
        <w:suppressLineNumbers/>
        <w:tabs>
          <w:tab w:val="clear" w:pos="1211"/>
          <w:tab w:val="left" w:pos="720"/>
        </w:tabs>
        <w:suppressAutoHyphens/>
        <w:kinsoku w:val="0"/>
        <w:overflowPunct w:val="0"/>
        <w:adjustRightInd w:val="0"/>
        <w:ind w:left="0" w:firstLine="720"/>
        <w:rPr>
          <w:rFonts w:cs="Times New Roman"/>
          <w:kern w:val="22"/>
          <w:szCs w:val="22"/>
        </w:rPr>
      </w:pPr>
      <w:r>
        <w:t>предположительно 100%, но не менее 75% Сторон, должны включить вопросы биоразнообразия в свои национальные приоритеты или планы развития к 2015 году, обеспечив в связи с этим надлежащие внутренние финансовые ресурсы;</w:t>
      </w:r>
    </w:p>
    <w:p w:rsidR="00BD0533" w:rsidRPr="00607DE5" w:rsidRDefault="00BD0533" w:rsidP="00C366D6">
      <w:pPr>
        <w:pStyle w:val="aident"/>
        <w:numPr>
          <w:ilvl w:val="0"/>
          <w:numId w:val="6"/>
        </w:numPr>
        <w:suppressLineNumbers/>
        <w:tabs>
          <w:tab w:val="clear" w:pos="1211"/>
          <w:tab w:val="left" w:pos="720"/>
        </w:tabs>
        <w:suppressAutoHyphens/>
        <w:kinsoku w:val="0"/>
        <w:overflowPunct w:val="0"/>
        <w:adjustRightInd w:val="0"/>
        <w:ind w:left="0" w:firstLine="720"/>
        <w:rPr>
          <w:rFonts w:cs="Times New Roman"/>
          <w:kern w:val="22"/>
          <w:szCs w:val="22"/>
        </w:rPr>
      </w:pPr>
      <w:r>
        <w:t>предположительно 100%, но не менее 75% Сторон, при наличии адекватных финансовых ресурсов, должны представить информацию о внутренних расходах на нужды биоразнообразия, а также о потребностях, дефиците и приоритетах финансирования до 2015 года в целях улучшения устойчивости основного показателя;</w:t>
      </w:r>
    </w:p>
    <w:p w:rsidR="00BD0533" w:rsidRPr="00607DE5" w:rsidRDefault="00BD0533" w:rsidP="00C366D6">
      <w:pPr>
        <w:pStyle w:val="aident"/>
        <w:numPr>
          <w:ilvl w:val="0"/>
          <w:numId w:val="6"/>
        </w:numPr>
        <w:suppressLineNumbers/>
        <w:tabs>
          <w:tab w:val="clear" w:pos="1211"/>
          <w:tab w:val="left" w:pos="720"/>
        </w:tabs>
        <w:suppressAutoHyphens/>
        <w:kinsoku w:val="0"/>
        <w:overflowPunct w:val="0"/>
        <w:adjustRightInd w:val="0"/>
        <w:ind w:left="0" w:firstLine="720"/>
        <w:rPr>
          <w:rFonts w:cs="Times New Roman"/>
          <w:kern w:val="22"/>
          <w:szCs w:val="22"/>
        </w:rPr>
      </w:pPr>
      <w:r>
        <w:t>предположительно 100%, но не менее 75% Сторон, при наличии адекватных финансовых ресурсов, должны подготовить национальные планы финансирования биоразнообразия до 2015 года и 30% таких Сторон должны оценить и/или определить внутреннюю стоимость, экологическую, генетическую, социально-экономическую, научную, образовательную, культурную, рекреационную и эстетическую ценность биологического разнообразия и его компонентов;</w:t>
      </w:r>
    </w:p>
    <w:p w:rsidR="00BD0533" w:rsidRPr="00607DE5" w:rsidRDefault="00BD0533" w:rsidP="00C366D6">
      <w:pPr>
        <w:pStyle w:val="aident"/>
        <w:numPr>
          <w:ilvl w:val="0"/>
          <w:numId w:val="6"/>
        </w:numPr>
        <w:suppressLineNumbers/>
        <w:tabs>
          <w:tab w:val="left" w:pos="720"/>
        </w:tabs>
        <w:suppressAutoHyphens/>
        <w:kinsoku w:val="0"/>
        <w:overflowPunct w:val="0"/>
        <w:adjustRightInd w:val="0"/>
        <w:ind w:left="0" w:firstLine="720"/>
        <w:rPr>
          <w:rFonts w:cs="Times New Roman"/>
          <w:kern w:val="22"/>
          <w:szCs w:val="22"/>
        </w:rPr>
      </w:pPr>
      <w:r>
        <w:t xml:space="preserve">мобилизовать внутренние финансовые ресурсы из всех источников для сокращения пробела между выявленными потребностями и доступными ресурсами на национальном уровне в целях эффективного осуществления к 2020 году национальных стратегий и планов действий в области сохранения биоразнообразия в соответствии со статьей 20. </w:t>
      </w:r>
    </w:p>
    <w:p w:rsidR="00BD0533" w:rsidRPr="00607DE5" w:rsidRDefault="00BD0533" w:rsidP="00BD0533">
      <w:pPr>
        <w:suppressLineNumbers/>
        <w:suppressAutoHyphens/>
        <w:kinsoku w:val="0"/>
        <w:overflowPunct w:val="0"/>
        <w:autoSpaceDE w:val="0"/>
        <w:autoSpaceDN w:val="0"/>
        <w:adjustRightInd w:val="0"/>
        <w:snapToGrid w:val="0"/>
        <w:spacing w:after="120"/>
        <w:rPr>
          <w:snapToGrid w:val="0"/>
          <w:kern w:val="22"/>
          <w:szCs w:val="22"/>
        </w:rPr>
      </w:pPr>
      <w:r>
        <w:rPr>
          <w:snapToGrid w:val="0"/>
          <w:szCs w:val="22"/>
        </w:rPr>
        <w:t>2.</w:t>
      </w:r>
      <w:r>
        <w:rPr>
          <w:snapToGrid w:val="0"/>
          <w:szCs w:val="22"/>
        </w:rPr>
        <w:tab/>
        <w:t>В пункте 2 данного решения Конференция Сторон, ссылаясь на статью 20 Конвенции, постановила, что целевые задачи, приведенные выше в подпунктах a) - e), следует рассматривать как взаимодополняющие, и в пункте 4 настоятельно призвала Стороны и другие правительства разработать при поддержке соответствующих международных и региональных организаций свои национальные стратегии мобилизации ресурсов или планы финансирования в соответствии с выявленными потребностями и приоритетами, используя в качестве гибкой структуры вышеупомянутые целевые задачи по мобилизации ресурсов</w:t>
      </w:r>
      <w:r w:rsidR="009B4844">
        <w:rPr>
          <w:snapToGrid w:val="0"/>
          <w:szCs w:val="22"/>
        </w:rPr>
        <w:t>.</w:t>
      </w:r>
    </w:p>
    <w:p w:rsidR="00986764" w:rsidRPr="00E873EE" w:rsidRDefault="00387B0B" w:rsidP="002D4A62">
      <w:pPr>
        <w:pStyle w:val="Para1"/>
        <w:numPr>
          <w:ilvl w:val="0"/>
          <w:numId w:val="0"/>
        </w:numPr>
        <w:suppressLineNumbers/>
        <w:jc w:val="center"/>
      </w:pPr>
      <w:r>
        <w:t>______</w:t>
      </w:r>
    </w:p>
    <w:sectPr w:rsidR="00986764" w:rsidRPr="00E873EE" w:rsidSect="005F63FF">
      <w:headerReference w:type="even" r:id="rId22"/>
      <w:headerReference w:type="default" r:id="rId23"/>
      <w:type w:val="continuous"/>
      <w:pgSz w:w="12240" w:h="15840"/>
      <w:pgMar w:top="567" w:right="1325" w:bottom="1134" w:left="1389" w:header="563"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4229" w16cex:dateUtc="2020-05-25T12: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6D6" w:rsidRDefault="00C366D6" w:rsidP="00CF1848">
      <w:r>
        <w:separator/>
      </w:r>
    </w:p>
  </w:endnote>
  <w:endnote w:type="continuationSeparator" w:id="0">
    <w:p w:rsidR="00C366D6" w:rsidRDefault="00C366D6" w:rsidP="00CF1848">
      <w:r>
        <w:continuationSeparator/>
      </w:r>
    </w:p>
  </w:endnote>
  <w:endnote w:type="continuationNotice" w:id="1">
    <w:p w:rsidR="00C366D6" w:rsidRDefault="00C36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6D6" w:rsidRDefault="00C366D6" w:rsidP="00CF1848">
      <w:r>
        <w:separator/>
      </w:r>
    </w:p>
  </w:footnote>
  <w:footnote w:type="continuationSeparator" w:id="0">
    <w:p w:rsidR="00C366D6" w:rsidRDefault="00C366D6" w:rsidP="00CF1848">
      <w:r>
        <w:continuationSeparator/>
      </w:r>
    </w:p>
  </w:footnote>
  <w:footnote w:type="continuationNotice" w:id="1">
    <w:p w:rsidR="00C366D6" w:rsidRDefault="00C366D6"/>
  </w:footnote>
  <w:footnote w:id="2">
    <w:p w:rsidR="00637FA7" w:rsidRPr="00834C88" w:rsidRDefault="00637FA7" w:rsidP="00342241">
      <w:pPr>
        <w:pStyle w:val="FootnoteText"/>
        <w:suppressLineNumbers/>
        <w:suppressAutoHyphens/>
        <w:ind w:firstLine="0"/>
        <w:rPr>
          <w:kern w:val="18"/>
          <w:szCs w:val="18"/>
        </w:rPr>
      </w:pPr>
      <w:r w:rsidRPr="00387B0B">
        <w:rPr>
          <w:rStyle w:val="FootnoteReference"/>
          <w:kern w:val="18"/>
          <w:szCs w:val="18"/>
          <w:vertAlign w:val="baseline"/>
        </w:rPr>
        <w:t>*</w:t>
      </w:r>
      <w:r w:rsidRPr="00387B0B">
        <w:rPr>
          <w:kern w:val="18"/>
          <w:szCs w:val="18"/>
        </w:rPr>
        <w:t xml:space="preserve"> </w:t>
      </w:r>
      <w:r w:rsidRPr="00834C88">
        <w:rPr>
          <w:kern w:val="18"/>
          <w:szCs w:val="18"/>
        </w:rPr>
        <w:t>CBD/SBI/3/1.</w:t>
      </w:r>
    </w:p>
  </w:footnote>
  <w:footnote w:id="3">
    <w:p w:rsidR="00637FA7" w:rsidRPr="001F22CE" w:rsidRDefault="00637FA7" w:rsidP="002D4A62">
      <w:pPr>
        <w:pStyle w:val="FootnoteText"/>
        <w:ind w:firstLine="0"/>
        <w:rPr>
          <w:szCs w:val="18"/>
        </w:rPr>
      </w:pPr>
      <w:r>
        <w:rPr>
          <w:rStyle w:val="FootnoteReference"/>
          <w:sz w:val="18"/>
          <w:szCs w:val="18"/>
        </w:rPr>
        <w:footnoteRef/>
      </w:r>
      <w:r>
        <w:t xml:space="preserve"> Полный текст доклада приводится в </w:t>
      </w:r>
      <w:r>
        <w:t>качестве информационного документа CBD/SBI/3/INF/2.</w:t>
      </w:r>
      <w:r w:rsidR="00BA7FCB">
        <w:t xml:space="preserve"> </w:t>
      </w:r>
      <w:r w:rsidR="00BA7FCB" w:rsidRPr="00BA7FCB">
        <w:t xml:space="preserve">Второй и третий доклады группы будут представлены в документах </w:t>
      </w:r>
      <w:r w:rsidR="00BA7FCB" w:rsidRPr="0059228B">
        <w:rPr>
          <w:kern w:val="18"/>
          <w:szCs w:val="18"/>
        </w:rPr>
        <w:t>CBD/SBI/3/5/Add.2</w:t>
      </w:r>
      <w:r w:rsidR="00BA7FCB">
        <w:rPr>
          <w:kern w:val="18"/>
          <w:szCs w:val="18"/>
        </w:rPr>
        <w:t xml:space="preserve"> и</w:t>
      </w:r>
      <w:r w:rsidR="00BA7FCB" w:rsidRPr="0059228B">
        <w:rPr>
          <w:kern w:val="18"/>
          <w:szCs w:val="18"/>
        </w:rPr>
        <w:t xml:space="preserve"> CBD/SBI/3/5/Add.3</w:t>
      </w:r>
      <w:r w:rsidR="00BA7FCB" w:rsidRPr="00BA7FCB">
        <w:t>.</w:t>
      </w:r>
    </w:p>
  </w:footnote>
  <w:footnote w:id="4">
    <w:p w:rsidR="00637FA7" w:rsidRPr="007967F5" w:rsidRDefault="00637FA7" w:rsidP="00342241">
      <w:pPr>
        <w:pStyle w:val="FootnoteText"/>
        <w:ind w:firstLine="0"/>
        <w:rPr>
          <w:szCs w:val="18"/>
        </w:rPr>
      </w:pPr>
      <w:r w:rsidRPr="002D4A62">
        <w:rPr>
          <w:rStyle w:val="FootnoteReference"/>
          <w:sz w:val="18"/>
          <w:szCs w:val="18"/>
        </w:rPr>
        <w:footnoteRef/>
      </w:r>
      <w:r w:rsidRPr="007967F5">
        <w:rPr>
          <w:szCs w:val="18"/>
        </w:rPr>
        <w:t xml:space="preserve"> </w:t>
      </w:r>
      <w:r>
        <w:rPr>
          <w:szCs w:val="18"/>
        </w:rPr>
        <w:t>Решение</w:t>
      </w:r>
      <w:r w:rsidRPr="007967F5">
        <w:rPr>
          <w:szCs w:val="18"/>
        </w:rPr>
        <w:t xml:space="preserve"> </w:t>
      </w:r>
      <w:r w:rsidRPr="00825B7D">
        <w:rPr>
          <w:szCs w:val="18"/>
          <w:lang w:val="en-CA"/>
        </w:rPr>
        <w:t>IX</w:t>
      </w:r>
      <w:r w:rsidRPr="007967F5">
        <w:rPr>
          <w:szCs w:val="18"/>
        </w:rPr>
        <w:t>/11</w:t>
      </w:r>
      <w:r w:rsidRPr="00825B7D">
        <w:rPr>
          <w:szCs w:val="18"/>
          <w:lang w:val="en-CA"/>
        </w:rPr>
        <w:t> B</w:t>
      </w:r>
      <w:r w:rsidRPr="007967F5">
        <w:rPr>
          <w:szCs w:val="18"/>
        </w:rPr>
        <w:t>.</w:t>
      </w:r>
    </w:p>
  </w:footnote>
  <w:footnote w:id="5">
    <w:p w:rsidR="00637FA7" w:rsidRPr="00D36EE2" w:rsidRDefault="00637FA7" w:rsidP="00683048">
      <w:pPr>
        <w:pStyle w:val="FootnoteText"/>
        <w:ind w:firstLine="0"/>
        <w:jc w:val="left"/>
        <w:rPr>
          <w:szCs w:val="18"/>
        </w:rPr>
      </w:pPr>
      <w:r w:rsidRPr="002D4A62">
        <w:rPr>
          <w:rStyle w:val="FootnoteReference"/>
          <w:sz w:val="18"/>
          <w:szCs w:val="18"/>
        </w:rPr>
        <w:footnoteRef/>
      </w:r>
      <w:r w:rsidRPr="00D36EE2">
        <w:rPr>
          <w:szCs w:val="18"/>
        </w:rPr>
        <w:t xml:space="preserve"> </w:t>
      </w:r>
      <w:r w:rsidRPr="00D36EE2">
        <w:rPr>
          <w:szCs w:val="18"/>
        </w:rPr>
        <w:t>Айтинская целевая задача 20 в области биоразнообразия касается мобилизации ресурсов: «к 2020 году, но не позднее этого срока, должна значительно расшириться по сравнению с нынешними уровнями мобилизация финансовых ресурсов для эффективного осуществления Стратегического плана в области сохранения и устойчивого использования биоразнообразия на 2011-2010 годы из всех источников и в соответствии с обобщенным и согласованным процессом в рамках Стратегии мобилизации ресурсов».</w:t>
      </w:r>
    </w:p>
  </w:footnote>
  <w:footnote w:id="6">
    <w:p w:rsidR="00637FA7" w:rsidRPr="001D6F49" w:rsidRDefault="00637FA7" w:rsidP="00683048">
      <w:pPr>
        <w:pStyle w:val="FootnoteText"/>
        <w:ind w:firstLine="0"/>
        <w:rPr>
          <w:szCs w:val="18"/>
        </w:rPr>
      </w:pPr>
      <w:r w:rsidRPr="002D4A62">
        <w:rPr>
          <w:rStyle w:val="FootnoteReference"/>
          <w:sz w:val="18"/>
          <w:szCs w:val="18"/>
        </w:rPr>
        <w:footnoteRef/>
      </w:r>
      <w:r w:rsidRPr="001D6F49">
        <w:rPr>
          <w:szCs w:val="18"/>
        </w:rPr>
        <w:t xml:space="preserve"> </w:t>
      </w:r>
      <w:r>
        <w:rPr>
          <w:szCs w:val="18"/>
        </w:rPr>
        <w:t>Решение</w:t>
      </w:r>
      <w:r w:rsidRPr="001D6F49">
        <w:rPr>
          <w:szCs w:val="18"/>
        </w:rPr>
        <w:t xml:space="preserve"> XII/3. </w:t>
      </w:r>
    </w:p>
  </w:footnote>
  <w:footnote w:id="7">
    <w:p w:rsidR="00637FA7" w:rsidRPr="00411ED2" w:rsidRDefault="00637FA7" w:rsidP="008163E4">
      <w:pPr>
        <w:pStyle w:val="FootnoteText"/>
        <w:ind w:firstLine="0"/>
        <w:rPr>
          <w:kern w:val="18"/>
          <w:szCs w:val="18"/>
        </w:rPr>
      </w:pPr>
      <w:r>
        <w:rPr>
          <w:rStyle w:val="FootnoteReference"/>
          <w:sz w:val="18"/>
          <w:szCs w:val="18"/>
        </w:rPr>
        <w:footnoteRef/>
      </w:r>
      <w:r>
        <w:t xml:space="preserve"> Группа высокого уровня КБР (2014</w:t>
      </w:r>
      <w:r w:rsidR="00BA7FCB">
        <w:t> </w:t>
      </w:r>
      <w:r>
        <w:t>г.). Обеспечение ресурсами Айтинских целевых задач в области биоразнообразия, оценка выгод, инвестиций и потребностей в ресурсах для осуществления Стратегического плана в области сохранения и устойчивого использования биоразнообразия на 2011-2020 годы. Второй доклад Группы высокого уровня по глобальной оценке ресурсов для осуществления Стратегического плана в области сохранения и устойчивого использования биоразнообразия на 2011-2020 годы. Монреаль</w:t>
      </w:r>
      <w:r w:rsidRPr="00411ED2">
        <w:t xml:space="preserve">, </w:t>
      </w:r>
      <w:r>
        <w:t>Канада</w:t>
      </w:r>
      <w:r w:rsidRPr="00411ED2">
        <w:t>.</w:t>
      </w:r>
    </w:p>
    <w:p w:rsidR="00637FA7" w:rsidRPr="00411ED2" w:rsidRDefault="00637FA7" w:rsidP="002D4A62">
      <w:pPr>
        <w:pStyle w:val="FootnoteText"/>
        <w:ind w:firstLine="0"/>
      </w:pPr>
    </w:p>
  </w:footnote>
  <w:footnote w:id="8">
    <w:p w:rsidR="00637FA7" w:rsidRPr="00D36EE2" w:rsidRDefault="00637FA7" w:rsidP="00683048">
      <w:pPr>
        <w:pStyle w:val="FootnoteText"/>
        <w:ind w:firstLine="0"/>
        <w:jc w:val="left"/>
      </w:pPr>
      <w:r>
        <w:rPr>
          <w:rStyle w:val="FootnoteReference"/>
        </w:rPr>
        <w:footnoteRef/>
      </w:r>
      <w:r w:rsidRPr="00D36EE2">
        <w:t xml:space="preserve"> </w:t>
      </w:r>
      <w:r w:rsidRPr="00D36EE2">
        <w:t>Приведенные выше цифры взяты из онлайн-анализатора финансовой отчетности, отражающего последние полученные обновления (</w:t>
      </w:r>
      <w:r w:rsidR="00650CD6">
        <w:fldChar w:fldCharType="begin"/>
      </w:r>
      <w:r w:rsidR="00650CD6">
        <w:instrText xml:space="preserve"> HYPERLINK "https://chm.cbd.int</w:instrText>
      </w:r>
      <w:r w:rsidR="00650CD6">
        <w:instrText xml:space="preserve">/search/financial-analyzer" </w:instrText>
      </w:r>
      <w:r w:rsidR="00650CD6">
        <w:fldChar w:fldCharType="separate"/>
      </w:r>
      <w:r w:rsidRPr="005220E5">
        <w:rPr>
          <w:rStyle w:val="Hyperlink"/>
          <w:lang w:val="en-US"/>
        </w:rPr>
        <w:t>https</w:t>
      </w:r>
      <w:r w:rsidRPr="00D36EE2">
        <w:rPr>
          <w:rStyle w:val="Hyperlink"/>
        </w:rPr>
        <w:t>://</w:t>
      </w:r>
      <w:r w:rsidRPr="005220E5">
        <w:rPr>
          <w:rStyle w:val="Hyperlink"/>
          <w:lang w:val="en-US"/>
        </w:rPr>
        <w:t>chm</w:t>
      </w:r>
      <w:r w:rsidRPr="00D36EE2">
        <w:rPr>
          <w:rStyle w:val="Hyperlink"/>
        </w:rPr>
        <w:t>.</w:t>
      </w:r>
      <w:proofErr w:type="spellStart"/>
      <w:r w:rsidRPr="005220E5">
        <w:rPr>
          <w:rStyle w:val="Hyperlink"/>
          <w:lang w:val="en-US"/>
        </w:rPr>
        <w:t>cbd</w:t>
      </w:r>
      <w:proofErr w:type="spellEnd"/>
      <w:r w:rsidRPr="00D36EE2">
        <w:rPr>
          <w:rStyle w:val="Hyperlink"/>
        </w:rPr>
        <w:t>.</w:t>
      </w:r>
      <w:r w:rsidRPr="005220E5">
        <w:rPr>
          <w:rStyle w:val="Hyperlink"/>
          <w:lang w:val="en-US"/>
        </w:rPr>
        <w:t>int</w:t>
      </w:r>
      <w:r w:rsidRPr="00D36EE2">
        <w:rPr>
          <w:rStyle w:val="Hyperlink"/>
        </w:rPr>
        <w:t>/</w:t>
      </w:r>
      <w:r w:rsidRPr="005220E5">
        <w:rPr>
          <w:rStyle w:val="Hyperlink"/>
          <w:lang w:val="en-US"/>
        </w:rPr>
        <w:t>search</w:t>
      </w:r>
      <w:r w:rsidRPr="00D36EE2">
        <w:rPr>
          <w:rStyle w:val="Hyperlink"/>
        </w:rPr>
        <w:t>/</w:t>
      </w:r>
      <w:r w:rsidRPr="005220E5">
        <w:rPr>
          <w:rStyle w:val="Hyperlink"/>
          <w:lang w:val="en-US"/>
        </w:rPr>
        <w:t>financial</w:t>
      </w:r>
      <w:r w:rsidRPr="00D36EE2">
        <w:rPr>
          <w:rStyle w:val="Hyperlink"/>
        </w:rPr>
        <w:t>-</w:t>
      </w:r>
      <w:r w:rsidRPr="005220E5">
        <w:rPr>
          <w:rStyle w:val="Hyperlink"/>
          <w:lang w:val="en-US"/>
        </w:rPr>
        <w:t>analyzer</w:t>
      </w:r>
      <w:r w:rsidR="00650CD6">
        <w:rPr>
          <w:rStyle w:val="Hyperlink"/>
          <w:lang w:val="en-US"/>
        </w:rPr>
        <w:fldChar w:fldCharType="end"/>
      </w:r>
      <w:r w:rsidRPr="00D36EE2">
        <w:t xml:space="preserve">). </w:t>
      </w:r>
      <w:r w:rsidR="00411ED2">
        <w:t>Д</w:t>
      </w:r>
      <w:r w:rsidR="00411ED2" w:rsidRPr="00D36EE2">
        <w:t xml:space="preserve">ля получения дополнительной информации о прогрессе в области финансовой отчетности </w:t>
      </w:r>
      <w:r w:rsidR="00411ED2">
        <w:t>с</w:t>
      </w:r>
      <w:r w:rsidRPr="00D36EE2">
        <w:t xml:space="preserve">м. </w:t>
      </w:r>
      <w:r w:rsidR="00411ED2">
        <w:t>анализ, представленный ниже.</w:t>
      </w:r>
    </w:p>
  </w:footnote>
  <w:footnote w:id="9">
    <w:p w:rsidR="00637FA7" w:rsidRPr="00693F93" w:rsidRDefault="00637FA7" w:rsidP="002D4A62">
      <w:pPr>
        <w:pStyle w:val="FootnoteText"/>
        <w:suppressLineNumbers/>
        <w:tabs>
          <w:tab w:val="left" w:pos="7131"/>
        </w:tab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См. </w:t>
      </w:r>
      <w:r>
        <w:rPr>
          <w:snapToGrid w:val="0"/>
          <w:szCs w:val="18"/>
        </w:rPr>
        <w:t>документ</w:t>
      </w:r>
      <w:r w:rsidR="00650CD6">
        <w:fldChar w:fldCharType="begin"/>
      </w:r>
      <w:r w:rsidR="00650CD6">
        <w:instrText xml:space="preserve"> HYPERLINK "https://www.cbd.int/doc/c/3ec7/f69</w:instrText>
      </w:r>
      <w:r w:rsidR="00650CD6">
        <w:instrText xml:space="preserve">6/872dec759a85906e3c796520/cop-14-05-add1-ru.pdf" </w:instrText>
      </w:r>
      <w:r w:rsidR="00650CD6">
        <w:fldChar w:fldCharType="separate"/>
      </w:r>
      <w:r w:rsidRPr="00BA7FCB">
        <w:rPr>
          <w:rStyle w:val="Hyperlink"/>
          <w:snapToGrid w:val="0"/>
          <w:szCs w:val="18"/>
        </w:rPr>
        <w:t xml:space="preserve"> CBD/COP/14/5/Add.1</w:t>
      </w:r>
      <w:r w:rsidR="00650CD6">
        <w:rPr>
          <w:rStyle w:val="Hyperlink"/>
          <w:snapToGrid w:val="0"/>
          <w:szCs w:val="18"/>
        </w:rPr>
        <w:fldChar w:fldCharType="end"/>
      </w:r>
      <w:r>
        <w:rPr>
          <w:snapToGrid w:val="0"/>
          <w:szCs w:val="18"/>
        </w:rPr>
        <w:t xml:space="preserve"> и приведенные в нем примеры.</w:t>
      </w:r>
      <w:r>
        <w:rPr>
          <w:snapToGrid w:val="0"/>
          <w:szCs w:val="18"/>
        </w:rPr>
        <w:tab/>
      </w:r>
    </w:p>
  </w:footnote>
  <w:footnote w:id="10">
    <w:p w:rsidR="00637FA7" w:rsidRPr="00D36EE2" w:rsidRDefault="00637FA7" w:rsidP="00683048">
      <w:pPr>
        <w:pStyle w:val="FootnoteText"/>
        <w:ind w:firstLine="0"/>
        <w:rPr>
          <w:szCs w:val="18"/>
        </w:rPr>
      </w:pPr>
      <w:r w:rsidRPr="002D4A62">
        <w:rPr>
          <w:rStyle w:val="FootnoteReference"/>
          <w:sz w:val="18"/>
          <w:szCs w:val="18"/>
        </w:rPr>
        <w:footnoteRef/>
      </w:r>
      <w:r w:rsidRPr="00D36EE2">
        <w:rPr>
          <w:szCs w:val="18"/>
        </w:rPr>
        <w:t xml:space="preserve"> </w:t>
      </w:r>
      <w:r w:rsidRPr="00D36EE2">
        <w:rPr>
          <w:szCs w:val="18"/>
          <w:lang w:val="en-CA"/>
        </w:rPr>
        <w:t>WAVES</w:t>
      </w:r>
      <w:r w:rsidRPr="00D36EE2">
        <w:rPr>
          <w:szCs w:val="18"/>
        </w:rPr>
        <w:t xml:space="preserve"> </w:t>
      </w:r>
      <w:r w:rsidRPr="00D36EE2">
        <w:rPr>
          <w:szCs w:val="18"/>
        </w:rPr>
        <w:t>(Партнерство по учету богатства и стоимостной оценке экосистемных услуг) - это глобальное партнерство, возглавляемое Всемирным банком, «которое направлено на содействие устойчивому развитию путем учета природных ресурсов в планировании развития и национальных экономических счетах» (</w:t>
      </w:r>
      <w:r w:rsidR="00650CD6">
        <w:fldChar w:fldCharType="begin"/>
      </w:r>
      <w:r w:rsidR="00650CD6">
        <w:instrText xml:space="preserve"> HYPERLINK "https://www.wavespartnership.org/en" </w:instrText>
      </w:r>
      <w:r w:rsidR="00650CD6">
        <w:fldChar w:fldCharType="separate"/>
      </w:r>
      <w:r w:rsidRPr="00A80CE5">
        <w:rPr>
          <w:rStyle w:val="Hyperlink"/>
          <w:szCs w:val="18"/>
          <w:lang w:val="en-CA"/>
        </w:rPr>
        <w:t>https</w:t>
      </w:r>
      <w:r w:rsidRPr="00D36EE2">
        <w:rPr>
          <w:rStyle w:val="Hyperlink"/>
          <w:szCs w:val="18"/>
        </w:rPr>
        <w:t>://</w:t>
      </w:r>
      <w:r w:rsidRPr="00A80CE5">
        <w:rPr>
          <w:rStyle w:val="Hyperlink"/>
          <w:szCs w:val="18"/>
          <w:lang w:val="en-CA"/>
        </w:rPr>
        <w:t>www</w:t>
      </w:r>
      <w:r w:rsidRPr="00D36EE2">
        <w:rPr>
          <w:rStyle w:val="Hyperlink"/>
          <w:szCs w:val="18"/>
        </w:rPr>
        <w:t>.</w:t>
      </w:r>
      <w:proofErr w:type="spellStart"/>
      <w:r w:rsidRPr="00A80CE5">
        <w:rPr>
          <w:rStyle w:val="Hyperlink"/>
          <w:szCs w:val="18"/>
          <w:lang w:val="en-CA"/>
        </w:rPr>
        <w:t>wavespartnership</w:t>
      </w:r>
      <w:proofErr w:type="spellEnd"/>
      <w:r w:rsidRPr="00D36EE2">
        <w:rPr>
          <w:rStyle w:val="Hyperlink"/>
          <w:szCs w:val="18"/>
        </w:rPr>
        <w:t>.</w:t>
      </w:r>
      <w:r w:rsidRPr="00A80CE5">
        <w:rPr>
          <w:rStyle w:val="Hyperlink"/>
          <w:szCs w:val="18"/>
          <w:lang w:val="en-CA"/>
        </w:rPr>
        <w:t>org</w:t>
      </w:r>
      <w:r w:rsidRPr="00D36EE2">
        <w:rPr>
          <w:rStyle w:val="Hyperlink"/>
          <w:szCs w:val="18"/>
        </w:rPr>
        <w:t>/</w:t>
      </w:r>
      <w:proofErr w:type="spellStart"/>
      <w:r w:rsidRPr="00A80CE5">
        <w:rPr>
          <w:rStyle w:val="Hyperlink"/>
          <w:szCs w:val="18"/>
          <w:lang w:val="en-CA"/>
        </w:rPr>
        <w:t>en</w:t>
      </w:r>
      <w:proofErr w:type="spellEnd"/>
      <w:r w:rsidR="00650CD6">
        <w:rPr>
          <w:rStyle w:val="Hyperlink"/>
          <w:szCs w:val="18"/>
          <w:lang w:val="en-CA"/>
        </w:rPr>
        <w:fldChar w:fldCharType="end"/>
      </w:r>
      <w:r w:rsidRPr="00D36EE2">
        <w:rPr>
          <w:kern w:val="18"/>
          <w:szCs w:val="18"/>
        </w:rPr>
        <w:t>).</w:t>
      </w:r>
    </w:p>
  </w:footnote>
  <w:footnote w:id="11">
    <w:p w:rsidR="00637FA7" w:rsidRPr="001165A5" w:rsidRDefault="00637FA7" w:rsidP="00683048">
      <w:pPr>
        <w:pStyle w:val="FootnoteText"/>
        <w:suppressLineNumbers/>
        <w:suppressAutoHyphens/>
        <w:ind w:firstLine="0"/>
        <w:jc w:val="left"/>
        <w:rPr>
          <w:rFonts w:asciiTheme="minorHAnsi" w:hAnsiTheme="minorHAnsi" w:cstheme="minorBidi"/>
          <w:kern w:val="18"/>
          <w:szCs w:val="18"/>
        </w:rPr>
      </w:pPr>
      <w:r w:rsidRPr="00E722F0">
        <w:rPr>
          <w:rStyle w:val="FootnoteReference"/>
          <w:kern w:val="18"/>
          <w:sz w:val="18"/>
          <w:szCs w:val="18"/>
        </w:rPr>
        <w:footnoteRef/>
      </w:r>
      <w:r w:rsidRPr="001165A5">
        <w:rPr>
          <w:kern w:val="18"/>
          <w:szCs w:val="18"/>
        </w:rPr>
        <w:t xml:space="preserve"> </w:t>
      </w:r>
      <w:hyperlink r:id="rId1" w:history="1">
        <w:r w:rsidRPr="008C41FC">
          <w:rPr>
            <w:rStyle w:val="Hyperlink"/>
            <w:kern w:val="18"/>
            <w:szCs w:val="18"/>
            <w:lang w:val="en-CA"/>
          </w:rPr>
          <w:t>https</w:t>
        </w:r>
        <w:r w:rsidRPr="001165A5">
          <w:rPr>
            <w:rStyle w:val="Hyperlink"/>
            <w:kern w:val="18"/>
            <w:szCs w:val="18"/>
          </w:rPr>
          <w:t>://</w:t>
        </w:r>
        <w:r w:rsidRPr="008C41FC">
          <w:rPr>
            <w:rStyle w:val="Hyperlink"/>
            <w:kern w:val="18"/>
            <w:szCs w:val="18"/>
            <w:lang w:val="en-CA"/>
          </w:rPr>
          <w:t>ec</w:t>
        </w:r>
        <w:r w:rsidRPr="001165A5">
          <w:rPr>
            <w:rStyle w:val="Hyperlink"/>
            <w:kern w:val="18"/>
            <w:szCs w:val="18"/>
          </w:rPr>
          <w:t>.</w:t>
        </w:r>
        <w:r w:rsidRPr="008C41FC">
          <w:rPr>
            <w:rStyle w:val="Hyperlink"/>
            <w:kern w:val="18"/>
            <w:szCs w:val="18"/>
            <w:lang w:val="en-CA"/>
          </w:rPr>
          <w:t>europa</w:t>
        </w:r>
        <w:r w:rsidRPr="001165A5">
          <w:rPr>
            <w:rStyle w:val="Hyperlink"/>
            <w:kern w:val="18"/>
            <w:szCs w:val="18"/>
          </w:rPr>
          <w:t>.</w:t>
        </w:r>
        <w:r w:rsidRPr="008C41FC">
          <w:rPr>
            <w:rStyle w:val="Hyperlink"/>
            <w:kern w:val="18"/>
            <w:szCs w:val="18"/>
            <w:lang w:val="en-CA"/>
          </w:rPr>
          <w:t>eu</w:t>
        </w:r>
        <w:r w:rsidRPr="001165A5">
          <w:rPr>
            <w:rStyle w:val="Hyperlink"/>
            <w:kern w:val="18"/>
            <w:szCs w:val="18"/>
          </w:rPr>
          <w:t>/</w:t>
        </w:r>
        <w:r w:rsidRPr="008C41FC">
          <w:rPr>
            <w:rStyle w:val="Hyperlink"/>
            <w:kern w:val="18"/>
            <w:szCs w:val="18"/>
            <w:lang w:val="en-CA"/>
          </w:rPr>
          <w:t>environment</w:t>
        </w:r>
        <w:r w:rsidRPr="001165A5">
          <w:rPr>
            <w:rStyle w:val="Hyperlink"/>
            <w:kern w:val="18"/>
            <w:szCs w:val="18"/>
          </w:rPr>
          <w:t>/</w:t>
        </w:r>
        <w:r w:rsidRPr="008C41FC">
          <w:rPr>
            <w:rStyle w:val="Hyperlink"/>
            <w:kern w:val="18"/>
            <w:szCs w:val="18"/>
            <w:lang w:val="en-CA"/>
          </w:rPr>
          <w:t>nature</w:t>
        </w:r>
        <w:r w:rsidRPr="001165A5">
          <w:rPr>
            <w:rStyle w:val="Hyperlink"/>
            <w:kern w:val="18"/>
            <w:szCs w:val="18"/>
          </w:rPr>
          <w:t>/</w:t>
        </w:r>
        <w:r w:rsidRPr="008C41FC">
          <w:rPr>
            <w:rStyle w:val="Hyperlink"/>
            <w:kern w:val="18"/>
            <w:szCs w:val="18"/>
            <w:lang w:val="en-CA"/>
          </w:rPr>
          <w:t>biodiversity</w:t>
        </w:r>
        <w:r w:rsidRPr="001165A5">
          <w:rPr>
            <w:rStyle w:val="Hyperlink"/>
            <w:kern w:val="18"/>
            <w:szCs w:val="18"/>
          </w:rPr>
          <w:t>/</w:t>
        </w:r>
        <w:r w:rsidRPr="008C41FC">
          <w:rPr>
            <w:rStyle w:val="Hyperlink"/>
            <w:kern w:val="18"/>
            <w:szCs w:val="18"/>
            <w:lang w:val="en-CA"/>
          </w:rPr>
          <w:t>financing</w:t>
        </w:r>
        <w:r w:rsidRPr="001165A5">
          <w:rPr>
            <w:rStyle w:val="Hyperlink"/>
            <w:kern w:val="18"/>
            <w:szCs w:val="18"/>
          </w:rPr>
          <w:t>_</w:t>
        </w:r>
        <w:r w:rsidRPr="008C41FC">
          <w:rPr>
            <w:rStyle w:val="Hyperlink"/>
            <w:kern w:val="18"/>
            <w:szCs w:val="18"/>
            <w:lang w:val="en-CA"/>
          </w:rPr>
          <w:t>en</w:t>
        </w:r>
        <w:r w:rsidRPr="001165A5">
          <w:rPr>
            <w:rStyle w:val="Hyperlink"/>
            <w:kern w:val="18"/>
            <w:szCs w:val="18"/>
          </w:rPr>
          <w:t>.</w:t>
        </w:r>
        <w:r w:rsidRPr="008C41FC">
          <w:rPr>
            <w:rStyle w:val="Hyperlink"/>
            <w:kern w:val="18"/>
            <w:szCs w:val="18"/>
            <w:lang w:val="en-CA"/>
          </w:rPr>
          <w:t>htm</w:t>
        </w:r>
      </w:hyperlink>
      <w:r w:rsidRPr="001165A5">
        <w:rPr>
          <w:kern w:val="18"/>
          <w:szCs w:val="18"/>
        </w:rPr>
        <w:t>.</w:t>
      </w:r>
    </w:p>
  </w:footnote>
  <w:footnote w:id="12">
    <w:p w:rsidR="00637FA7" w:rsidRPr="001165A5" w:rsidRDefault="00637FA7" w:rsidP="00683048">
      <w:pPr>
        <w:pStyle w:val="FootnoteText"/>
        <w:suppressLineNumbers/>
        <w:suppressAutoHyphens/>
        <w:ind w:firstLine="0"/>
        <w:jc w:val="left"/>
        <w:rPr>
          <w:kern w:val="18"/>
          <w:szCs w:val="18"/>
        </w:rPr>
      </w:pPr>
      <w:r w:rsidRPr="00E722F0">
        <w:rPr>
          <w:rStyle w:val="FootnoteReference"/>
          <w:kern w:val="18"/>
          <w:sz w:val="18"/>
          <w:szCs w:val="18"/>
        </w:rPr>
        <w:footnoteRef/>
      </w:r>
      <w:r w:rsidRPr="001165A5">
        <w:rPr>
          <w:kern w:val="18"/>
          <w:szCs w:val="18"/>
        </w:rPr>
        <w:t xml:space="preserve"> </w:t>
      </w:r>
      <w:hyperlink r:id="rId2" w:history="1">
        <w:r w:rsidRPr="008C41FC">
          <w:rPr>
            <w:rStyle w:val="Hyperlink"/>
            <w:kern w:val="18"/>
            <w:szCs w:val="18"/>
            <w:lang w:val="en-CA"/>
          </w:rPr>
          <w:t>https</w:t>
        </w:r>
        <w:r w:rsidRPr="001165A5">
          <w:rPr>
            <w:rStyle w:val="Hyperlink"/>
            <w:kern w:val="18"/>
            <w:szCs w:val="18"/>
          </w:rPr>
          <w:t>://</w:t>
        </w:r>
        <w:r w:rsidRPr="008C41FC">
          <w:rPr>
            <w:rStyle w:val="Hyperlink"/>
            <w:kern w:val="18"/>
            <w:szCs w:val="18"/>
            <w:lang w:val="en-CA"/>
          </w:rPr>
          <w:t>www</w:t>
        </w:r>
        <w:r w:rsidRPr="001165A5">
          <w:rPr>
            <w:rStyle w:val="Hyperlink"/>
            <w:kern w:val="18"/>
            <w:szCs w:val="18"/>
          </w:rPr>
          <w:t>.</w:t>
        </w:r>
        <w:r w:rsidRPr="008C41FC">
          <w:rPr>
            <w:rStyle w:val="Hyperlink"/>
            <w:kern w:val="18"/>
            <w:szCs w:val="18"/>
            <w:lang w:val="en-CA"/>
          </w:rPr>
          <w:t>thegef</w:t>
        </w:r>
        <w:r w:rsidRPr="001165A5">
          <w:rPr>
            <w:rStyle w:val="Hyperlink"/>
            <w:kern w:val="18"/>
            <w:szCs w:val="18"/>
          </w:rPr>
          <w:t>.</w:t>
        </w:r>
        <w:r w:rsidRPr="008C41FC">
          <w:rPr>
            <w:rStyle w:val="Hyperlink"/>
            <w:kern w:val="18"/>
            <w:szCs w:val="18"/>
            <w:lang w:val="en-CA"/>
          </w:rPr>
          <w:t>org</w:t>
        </w:r>
        <w:r w:rsidRPr="001165A5">
          <w:rPr>
            <w:rStyle w:val="Hyperlink"/>
            <w:kern w:val="18"/>
            <w:szCs w:val="18"/>
          </w:rPr>
          <w:t>/</w:t>
        </w:r>
        <w:r w:rsidRPr="008C41FC">
          <w:rPr>
            <w:rStyle w:val="Hyperlink"/>
            <w:kern w:val="18"/>
            <w:szCs w:val="18"/>
            <w:lang w:val="en-CA"/>
          </w:rPr>
          <w:t>topics</w:t>
        </w:r>
        <w:r w:rsidRPr="001165A5">
          <w:rPr>
            <w:rStyle w:val="Hyperlink"/>
            <w:kern w:val="18"/>
            <w:szCs w:val="18"/>
          </w:rPr>
          <w:t>/</w:t>
        </w:r>
        <w:r w:rsidRPr="008C41FC">
          <w:rPr>
            <w:rStyle w:val="Hyperlink"/>
            <w:kern w:val="18"/>
            <w:szCs w:val="18"/>
            <w:lang w:val="en-CA"/>
          </w:rPr>
          <w:t>biodiversity</w:t>
        </w:r>
      </w:hyperlink>
      <w:r w:rsidRPr="001165A5">
        <w:rPr>
          <w:kern w:val="18"/>
          <w:szCs w:val="18"/>
        </w:rPr>
        <w:t>.</w:t>
      </w:r>
    </w:p>
  </w:footnote>
  <w:footnote w:id="13">
    <w:p w:rsidR="00637FA7" w:rsidRPr="001165A5" w:rsidRDefault="00637FA7" w:rsidP="00683048">
      <w:pPr>
        <w:pStyle w:val="FootnoteText"/>
        <w:suppressLineNumbers/>
        <w:suppressAutoHyphens/>
        <w:ind w:firstLine="0"/>
        <w:jc w:val="left"/>
        <w:rPr>
          <w:rFonts w:asciiTheme="minorHAnsi" w:hAnsiTheme="minorHAnsi" w:cstheme="minorBidi"/>
          <w:kern w:val="18"/>
          <w:szCs w:val="18"/>
        </w:rPr>
      </w:pPr>
      <w:r w:rsidRPr="00E722F0">
        <w:rPr>
          <w:rStyle w:val="FootnoteReference"/>
          <w:kern w:val="18"/>
          <w:sz w:val="18"/>
          <w:szCs w:val="18"/>
        </w:rPr>
        <w:footnoteRef/>
      </w:r>
      <w:r w:rsidRPr="001165A5">
        <w:rPr>
          <w:kern w:val="18"/>
          <w:szCs w:val="18"/>
        </w:rPr>
        <w:t xml:space="preserve"> </w:t>
      </w:r>
      <w:hyperlink r:id="rId3" w:history="1">
        <w:r w:rsidRPr="008C41FC">
          <w:rPr>
            <w:rStyle w:val="Hyperlink"/>
            <w:kern w:val="18"/>
            <w:szCs w:val="18"/>
            <w:lang w:val="en-CA"/>
          </w:rPr>
          <w:t>https</w:t>
        </w:r>
        <w:r w:rsidRPr="001165A5">
          <w:rPr>
            <w:rStyle w:val="Hyperlink"/>
            <w:kern w:val="18"/>
            <w:szCs w:val="18"/>
          </w:rPr>
          <w:t>://</w:t>
        </w:r>
        <w:r w:rsidRPr="008C41FC">
          <w:rPr>
            <w:rStyle w:val="Hyperlink"/>
            <w:kern w:val="18"/>
            <w:szCs w:val="18"/>
            <w:lang w:val="en-CA"/>
          </w:rPr>
          <w:t>www</w:t>
        </w:r>
        <w:r w:rsidRPr="001165A5">
          <w:rPr>
            <w:rStyle w:val="Hyperlink"/>
            <w:kern w:val="18"/>
            <w:szCs w:val="18"/>
          </w:rPr>
          <w:t>.</w:t>
        </w:r>
        <w:r w:rsidRPr="008C41FC">
          <w:rPr>
            <w:rStyle w:val="Hyperlink"/>
            <w:kern w:val="18"/>
            <w:szCs w:val="18"/>
            <w:lang w:val="en-CA"/>
          </w:rPr>
          <w:t>thegef</w:t>
        </w:r>
        <w:r w:rsidRPr="001165A5">
          <w:rPr>
            <w:rStyle w:val="Hyperlink"/>
            <w:kern w:val="18"/>
            <w:szCs w:val="18"/>
          </w:rPr>
          <w:t>.</w:t>
        </w:r>
        <w:r w:rsidRPr="008C41FC">
          <w:rPr>
            <w:rStyle w:val="Hyperlink"/>
            <w:kern w:val="18"/>
            <w:szCs w:val="18"/>
            <w:lang w:val="en-CA"/>
          </w:rPr>
          <w:t>org</w:t>
        </w:r>
        <w:r w:rsidRPr="001165A5">
          <w:rPr>
            <w:rStyle w:val="Hyperlink"/>
            <w:kern w:val="18"/>
            <w:szCs w:val="18"/>
          </w:rPr>
          <w:t>/</w:t>
        </w:r>
        <w:r w:rsidRPr="008C41FC">
          <w:rPr>
            <w:rStyle w:val="Hyperlink"/>
            <w:kern w:val="18"/>
            <w:szCs w:val="18"/>
            <w:lang w:val="en-CA"/>
          </w:rPr>
          <w:t>sites</w:t>
        </w:r>
        <w:r w:rsidRPr="001165A5">
          <w:rPr>
            <w:rStyle w:val="Hyperlink"/>
            <w:kern w:val="18"/>
            <w:szCs w:val="18"/>
          </w:rPr>
          <w:t>/</w:t>
        </w:r>
        <w:r w:rsidRPr="008C41FC">
          <w:rPr>
            <w:rStyle w:val="Hyperlink"/>
            <w:kern w:val="18"/>
            <w:szCs w:val="18"/>
            <w:lang w:val="en-CA"/>
          </w:rPr>
          <w:t>default</w:t>
        </w:r>
        <w:r w:rsidRPr="001165A5">
          <w:rPr>
            <w:rStyle w:val="Hyperlink"/>
            <w:kern w:val="18"/>
            <w:szCs w:val="18"/>
          </w:rPr>
          <w:t>/</w:t>
        </w:r>
        <w:r w:rsidRPr="008C41FC">
          <w:rPr>
            <w:rStyle w:val="Hyperlink"/>
            <w:kern w:val="18"/>
            <w:szCs w:val="18"/>
            <w:lang w:val="en-CA"/>
          </w:rPr>
          <w:t>files</w:t>
        </w:r>
        <w:r w:rsidRPr="001165A5">
          <w:rPr>
            <w:rStyle w:val="Hyperlink"/>
            <w:kern w:val="18"/>
            <w:szCs w:val="18"/>
          </w:rPr>
          <w:t>/</w:t>
        </w:r>
        <w:r w:rsidRPr="008C41FC">
          <w:rPr>
            <w:rStyle w:val="Hyperlink"/>
            <w:kern w:val="18"/>
            <w:szCs w:val="18"/>
            <w:lang w:val="en-CA"/>
          </w:rPr>
          <w:t>council</w:t>
        </w:r>
        <w:r w:rsidRPr="001165A5">
          <w:rPr>
            <w:rStyle w:val="Hyperlink"/>
            <w:kern w:val="18"/>
            <w:szCs w:val="18"/>
          </w:rPr>
          <w:t>-</w:t>
        </w:r>
        <w:r w:rsidRPr="008C41FC">
          <w:rPr>
            <w:rStyle w:val="Hyperlink"/>
            <w:kern w:val="18"/>
            <w:szCs w:val="18"/>
            <w:lang w:val="en-CA"/>
          </w:rPr>
          <w:t>meeting</w:t>
        </w:r>
        <w:r w:rsidRPr="001165A5">
          <w:rPr>
            <w:rStyle w:val="Hyperlink"/>
            <w:kern w:val="18"/>
            <w:szCs w:val="18"/>
          </w:rPr>
          <w:t>-</w:t>
        </w:r>
        <w:r w:rsidRPr="008C41FC">
          <w:rPr>
            <w:rStyle w:val="Hyperlink"/>
            <w:kern w:val="18"/>
            <w:szCs w:val="18"/>
            <w:lang w:val="en-CA"/>
          </w:rPr>
          <w:t>documents</w:t>
        </w:r>
        <w:r w:rsidRPr="001165A5">
          <w:rPr>
            <w:rStyle w:val="Hyperlink"/>
            <w:kern w:val="18"/>
            <w:szCs w:val="18"/>
          </w:rPr>
          <w:t>/</w:t>
        </w:r>
        <w:r w:rsidRPr="008C41FC">
          <w:rPr>
            <w:rStyle w:val="Hyperlink"/>
            <w:kern w:val="18"/>
            <w:szCs w:val="18"/>
            <w:lang w:val="en-CA"/>
          </w:rPr>
          <w:t>c</w:t>
        </w:r>
        <w:r w:rsidRPr="001165A5">
          <w:rPr>
            <w:rStyle w:val="Hyperlink"/>
            <w:kern w:val="18"/>
            <w:szCs w:val="18"/>
          </w:rPr>
          <w:t>-53-</w:t>
        </w:r>
        <w:r w:rsidRPr="008C41FC">
          <w:rPr>
            <w:rStyle w:val="Hyperlink"/>
            <w:kern w:val="18"/>
            <w:szCs w:val="18"/>
            <w:lang w:val="en-CA"/>
          </w:rPr>
          <w:t>me</w:t>
        </w:r>
        <w:r w:rsidRPr="001165A5">
          <w:rPr>
            <w:rStyle w:val="Hyperlink"/>
            <w:kern w:val="18"/>
            <w:szCs w:val="18"/>
          </w:rPr>
          <w:t>-</w:t>
        </w:r>
        <w:r w:rsidRPr="008C41FC">
          <w:rPr>
            <w:rStyle w:val="Hyperlink"/>
            <w:kern w:val="18"/>
            <w:szCs w:val="18"/>
            <w:lang w:val="en-CA"/>
          </w:rPr>
          <w:t>inf</w:t>
        </w:r>
        <w:r w:rsidRPr="001165A5">
          <w:rPr>
            <w:rStyle w:val="Hyperlink"/>
            <w:kern w:val="18"/>
            <w:szCs w:val="18"/>
          </w:rPr>
          <w:t>-01%20-%20</w:t>
        </w:r>
        <w:r w:rsidRPr="008C41FC">
          <w:rPr>
            <w:rStyle w:val="Hyperlink"/>
            <w:kern w:val="18"/>
            <w:szCs w:val="18"/>
            <w:lang w:val="en-CA"/>
          </w:rPr>
          <w:t>DEC</w:t>
        </w:r>
        <w:r w:rsidRPr="001165A5">
          <w:rPr>
            <w:rStyle w:val="Hyperlink"/>
            <w:kern w:val="18"/>
            <w:szCs w:val="18"/>
          </w:rPr>
          <w:t>17.</w:t>
        </w:r>
        <w:r w:rsidRPr="008C41FC">
          <w:rPr>
            <w:rStyle w:val="Hyperlink"/>
            <w:kern w:val="18"/>
            <w:szCs w:val="18"/>
            <w:lang w:val="en-CA"/>
          </w:rPr>
          <w:t>pdf</w:t>
        </w:r>
      </w:hyperlink>
      <w:r w:rsidRPr="001165A5">
        <w:rPr>
          <w:kern w:val="18"/>
          <w:szCs w:val="18"/>
        </w:rPr>
        <w:t>.</w:t>
      </w:r>
    </w:p>
  </w:footnote>
  <w:footnote w:id="14">
    <w:p w:rsidR="00637FA7" w:rsidRPr="001165A5" w:rsidRDefault="00637FA7" w:rsidP="00683048">
      <w:pPr>
        <w:pStyle w:val="FootnoteText"/>
        <w:suppressLineNumbers/>
        <w:suppressAutoHyphens/>
        <w:ind w:firstLine="0"/>
        <w:jc w:val="left"/>
        <w:rPr>
          <w:rFonts w:asciiTheme="minorHAnsi" w:hAnsiTheme="minorHAnsi" w:cstheme="minorBidi"/>
          <w:kern w:val="18"/>
          <w:szCs w:val="18"/>
        </w:rPr>
      </w:pPr>
      <w:r w:rsidRPr="00E722F0">
        <w:rPr>
          <w:rStyle w:val="FootnoteReference"/>
          <w:kern w:val="18"/>
          <w:sz w:val="18"/>
          <w:szCs w:val="18"/>
        </w:rPr>
        <w:footnoteRef/>
      </w:r>
      <w:r w:rsidRPr="001165A5">
        <w:rPr>
          <w:kern w:val="18"/>
          <w:szCs w:val="18"/>
        </w:rPr>
        <w:t xml:space="preserve"> </w:t>
      </w:r>
      <w:hyperlink r:id="rId4" w:history="1">
        <w:r w:rsidRPr="008C41FC">
          <w:rPr>
            <w:rStyle w:val="Hyperlink"/>
            <w:kern w:val="18"/>
            <w:szCs w:val="18"/>
            <w:lang w:val="en-CA"/>
          </w:rPr>
          <w:t>https</w:t>
        </w:r>
        <w:r w:rsidRPr="001165A5">
          <w:rPr>
            <w:rStyle w:val="Hyperlink"/>
            <w:kern w:val="18"/>
            <w:szCs w:val="18"/>
          </w:rPr>
          <w:t>://</w:t>
        </w:r>
        <w:r w:rsidRPr="008C41FC">
          <w:rPr>
            <w:rStyle w:val="Hyperlink"/>
            <w:kern w:val="18"/>
            <w:szCs w:val="18"/>
            <w:lang w:val="en-CA"/>
          </w:rPr>
          <w:t>www</w:t>
        </w:r>
        <w:r w:rsidRPr="001165A5">
          <w:rPr>
            <w:rStyle w:val="Hyperlink"/>
            <w:kern w:val="18"/>
            <w:szCs w:val="18"/>
          </w:rPr>
          <w:t>.</w:t>
        </w:r>
        <w:r w:rsidRPr="008C41FC">
          <w:rPr>
            <w:rStyle w:val="Hyperlink"/>
            <w:kern w:val="18"/>
            <w:szCs w:val="18"/>
            <w:lang w:val="en-CA"/>
          </w:rPr>
          <w:t>oecd</w:t>
        </w:r>
        <w:r w:rsidRPr="001165A5">
          <w:rPr>
            <w:rStyle w:val="Hyperlink"/>
            <w:kern w:val="18"/>
            <w:szCs w:val="18"/>
          </w:rPr>
          <w:t>.</w:t>
        </w:r>
        <w:r w:rsidRPr="008C41FC">
          <w:rPr>
            <w:rStyle w:val="Hyperlink"/>
            <w:kern w:val="18"/>
            <w:szCs w:val="18"/>
            <w:lang w:val="en-CA"/>
          </w:rPr>
          <w:t>org</w:t>
        </w:r>
        <w:r w:rsidRPr="001165A5">
          <w:rPr>
            <w:rStyle w:val="Hyperlink"/>
            <w:kern w:val="18"/>
            <w:szCs w:val="18"/>
          </w:rPr>
          <w:t>/</w:t>
        </w:r>
        <w:r w:rsidRPr="008C41FC">
          <w:rPr>
            <w:rStyle w:val="Hyperlink"/>
            <w:kern w:val="18"/>
            <w:szCs w:val="18"/>
            <w:lang w:val="en-CA"/>
          </w:rPr>
          <w:t>environment</w:t>
        </w:r>
        <w:r w:rsidRPr="001165A5">
          <w:rPr>
            <w:rStyle w:val="Hyperlink"/>
            <w:kern w:val="18"/>
            <w:szCs w:val="18"/>
          </w:rPr>
          <w:t>/</w:t>
        </w:r>
        <w:r w:rsidRPr="008C41FC">
          <w:rPr>
            <w:rStyle w:val="Hyperlink"/>
            <w:kern w:val="18"/>
            <w:szCs w:val="18"/>
            <w:lang w:val="en-CA"/>
          </w:rPr>
          <w:t>resources</w:t>
        </w:r>
        <w:r w:rsidRPr="001165A5">
          <w:rPr>
            <w:rStyle w:val="Hyperlink"/>
            <w:kern w:val="18"/>
            <w:szCs w:val="18"/>
          </w:rPr>
          <w:t>/</w:t>
        </w:r>
        <w:r w:rsidRPr="008C41FC">
          <w:rPr>
            <w:rStyle w:val="Hyperlink"/>
            <w:kern w:val="18"/>
            <w:szCs w:val="18"/>
            <w:lang w:val="en-CA"/>
          </w:rPr>
          <w:t>biodiversity</w:t>
        </w:r>
        <w:r w:rsidRPr="001165A5">
          <w:rPr>
            <w:rStyle w:val="Hyperlink"/>
            <w:kern w:val="18"/>
            <w:szCs w:val="18"/>
          </w:rPr>
          <w:t>/</w:t>
        </w:r>
        <w:r w:rsidRPr="008C41FC">
          <w:rPr>
            <w:rStyle w:val="Hyperlink"/>
            <w:kern w:val="18"/>
            <w:szCs w:val="18"/>
            <w:lang w:val="en-CA"/>
          </w:rPr>
          <w:t>report</w:t>
        </w:r>
        <w:r w:rsidRPr="001165A5">
          <w:rPr>
            <w:rStyle w:val="Hyperlink"/>
            <w:kern w:val="18"/>
            <w:szCs w:val="18"/>
          </w:rPr>
          <w:t>-</w:t>
        </w:r>
        <w:r w:rsidRPr="008C41FC">
          <w:rPr>
            <w:rStyle w:val="Hyperlink"/>
            <w:kern w:val="18"/>
            <w:szCs w:val="18"/>
            <w:lang w:val="en-CA"/>
          </w:rPr>
          <w:t>a</w:t>
        </w:r>
        <w:r w:rsidRPr="001165A5">
          <w:rPr>
            <w:rStyle w:val="Hyperlink"/>
            <w:kern w:val="18"/>
            <w:szCs w:val="18"/>
          </w:rPr>
          <w:t>-</w:t>
        </w:r>
        <w:r w:rsidRPr="008C41FC">
          <w:rPr>
            <w:rStyle w:val="Hyperlink"/>
            <w:kern w:val="18"/>
            <w:szCs w:val="18"/>
            <w:lang w:val="en-CA"/>
          </w:rPr>
          <w:t>comprehensive</w:t>
        </w:r>
        <w:r w:rsidRPr="001165A5">
          <w:rPr>
            <w:rStyle w:val="Hyperlink"/>
            <w:kern w:val="18"/>
            <w:szCs w:val="18"/>
          </w:rPr>
          <w:t>-</w:t>
        </w:r>
        <w:r w:rsidRPr="008C41FC">
          <w:rPr>
            <w:rStyle w:val="Hyperlink"/>
            <w:kern w:val="18"/>
            <w:szCs w:val="18"/>
            <w:lang w:val="en-CA"/>
          </w:rPr>
          <w:t>overview</w:t>
        </w:r>
        <w:r w:rsidRPr="001165A5">
          <w:rPr>
            <w:rStyle w:val="Hyperlink"/>
            <w:kern w:val="18"/>
            <w:szCs w:val="18"/>
          </w:rPr>
          <w:t>-</w:t>
        </w:r>
        <w:r w:rsidRPr="008C41FC">
          <w:rPr>
            <w:rStyle w:val="Hyperlink"/>
            <w:kern w:val="18"/>
            <w:szCs w:val="18"/>
            <w:lang w:val="en-CA"/>
          </w:rPr>
          <w:t>of</w:t>
        </w:r>
        <w:r w:rsidRPr="001165A5">
          <w:rPr>
            <w:rStyle w:val="Hyperlink"/>
            <w:kern w:val="18"/>
            <w:szCs w:val="18"/>
          </w:rPr>
          <w:t>-</w:t>
        </w:r>
        <w:r w:rsidRPr="008C41FC">
          <w:rPr>
            <w:rStyle w:val="Hyperlink"/>
            <w:kern w:val="18"/>
            <w:szCs w:val="18"/>
            <w:lang w:val="en-CA"/>
          </w:rPr>
          <w:t>global</w:t>
        </w:r>
        <w:r w:rsidRPr="001165A5">
          <w:rPr>
            <w:rStyle w:val="Hyperlink"/>
            <w:kern w:val="18"/>
            <w:szCs w:val="18"/>
          </w:rPr>
          <w:t>-</w:t>
        </w:r>
        <w:r w:rsidRPr="008C41FC">
          <w:rPr>
            <w:rStyle w:val="Hyperlink"/>
            <w:kern w:val="18"/>
            <w:szCs w:val="18"/>
            <w:lang w:val="en-CA"/>
          </w:rPr>
          <w:t>biodiversity</w:t>
        </w:r>
        <w:r w:rsidRPr="001165A5">
          <w:rPr>
            <w:rStyle w:val="Hyperlink"/>
            <w:kern w:val="18"/>
            <w:szCs w:val="18"/>
          </w:rPr>
          <w:t>-</w:t>
        </w:r>
        <w:r w:rsidRPr="008C41FC">
          <w:rPr>
            <w:rStyle w:val="Hyperlink"/>
            <w:kern w:val="18"/>
            <w:szCs w:val="18"/>
            <w:lang w:val="en-CA"/>
          </w:rPr>
          <w:t>finance</w:t>
        </w:r>
        <w:r w:rsidRPr="001165A5">
          <w:rPr>
            <w:rStyle w:val="Hyperlink"/>
            <w:kern w:val="18"/>
            <w:szCs w:val="18"/>
          </w:rPr>
          <w:t>.</w:t>
        </w:r>
        <w:r w:rsidRPr="008C41FC">
          <w:rPr>
            <w:rStyle w:val="Hyperlink"/>
            <w:kern w:val="18"/>
            <w:szCs w:val="18"/>
            <w:lang w:val="en-CA"/>
          </w:rPr>
          <w:t>pdf</w:t>
        </w:r>
      </w:hyperlink>
      <w:r w:rsidRPr="001165A5">
        <w:rPr>
          <w:kern w:val="18"/>
          <w:szCs w:val="18"/>
        </w:rPr>
        <w:t>.</w:t>
      </w:r>
    </w:p>
  </w:footnote>
  <w:footnote w:id="15">
    <w:p w:rsidR="00637FA7" w:rsidRPr="00BA7FCB" w:rsidRDefault="00637FA7" w:rsidP="00683048">
      <w:pPr>
        <w:keepLines/>
        <w:suppressLineNumbers/>
        <w:suppressAutoHyphens/>
        <w:spacing w:after="60"/>
        <w:jc w:val="left"/>
        <w:rPr>
          <w:rFonts w:cs="Calibri"/>
          <w:kern w:val="18"/>
          <w:sz w:val="18"/>
          <w:szCs w:val="18"/>
        </w:rPr>
      </w:pPr>
      <w:r w:rsidRPr="00E722F0">
        <w:rPr>
          <w:kern w:val="18"/>
          <w:sz w:val="18"/>
          <w:szCs w:val="18"/>
          <w:vertAlign w:val="superscript"/>
        </w:rPr>
        <w:footnoteRef/>
      </w:r>
      <w:r w:rsidRPr="00D36EE2">
        <w:rPr>
          <w:rFonts w:cs="Calibri"/>
          <w:kern w:val="18"/>
          <w:sz w:val="18"/>
          <w:szCs w:val="18"/>
        </w:rPr>
        <w:t xml:space="preserve"> </w:t>
      </w:r>
      <w:r>
        <w:rPr>
          <w:rFonts w:cs="Calibri"/>
          <w:kern w:val="18"/>
          <w:sz w:val="18"/>
          <w:szCs w:val="18"/>
        </w:rPr>
        <w:t>См.</w:t>
      </w:r>
      <w:r w:rsidRPr="00D36EE2">
        <w:rPr>
          <w:rFonts w:cs="Calibri"/>
          <w:kern w:val="18"/>
          <w:sz w:val="18"/>
          <w:szCs w:val="18"/>
        </w:rPr>
        <w:t xml:space="preserve"> </w:t>
      </w:r>
      <w:r w:rsidRPr="007967F5">
        <w:rPr>
          <w:rFonts w:cs="Calibri"/>
          <w:kern w:val="18"/>
          <w:sz w:val="18"/>
          <w:szCs w:val="18"/>
          <w:lang w:val="en-GB"/>
        </w:rPr>
        <w:t>Eliasch</w:t>
      </w:r>
      <w:r w:rsidRPr="00D36EE2">
        <w:rPr>
          <w:rFonts w:cs="Calibri"/>
          <w:kern w:val="18"/>
          <w:sz w:val="18"/>
          <w:szCs w:val="18"/>
        </w:rPr>
        <w:t xml:space="preserve"> </w:t>
      </w:r>
      <w:r w:rsidRPr="00D36EE2">
        <w:rPr>
          <w:rFonts w:cs="Calibri"/>
          <w:kern w:val="18"/>
          <w:sz w:val="18"/>
          <w:szCs w:val="18"/>
        </w:rPr>
        <w:t>(2008</w:t>
      </w:r>
      <w:r>
        <w:rPr>
          <w:rFonts w:cs="Calibri"/>
          <w:kern w:val="18"/>
          <w:sz w:val="18"/>
          <w:szCs w:val="18"/>
        </w:rPr>
        <w:t xml:space="preserve"> г.</w:t>
      </w:r>
      <w:r w:rsidRPr="00D36EE2">
        <w:rPr>
          <w:rFonts w:cs="Calibri"/>
          <w:kern w:val="18"/>
          <w:sz w:val="18"/>
          <w:szCs w:val="18"/>
        </w:rPr>
        <w:t>). (Справочная информация для этой и следующих четырех сносок содержится в материалах группы У</w:t>
      </w:r>
      <w:r>
        <w:rPr>
          <w:rFonts w:cs="Calibri"/>
          <w:kern w:val="18"/>
          <w:sz w:val="18"/>
          <w:szCs w:val="18"/>
        </w:rPr>
        <w:t>Б</w:t>
      </w:r>
      <w:r w:rsidRPr="00D36EE2">
        <w:rPr>
          <w:rFonts w:cs="Calibri"/>
          <w:kern w:val="18"/>
          <w:sz w:val="18"/>
          <w:szCs w:val="18"/>
        </w:rPr>
        <w:t>К)</w:t>
      </w:r>
      <w:r w:rsidR="00BA7FCB">
        <w:rPr>
          <w:rFonts w:cs="Calibri"/>
          <w:kern w:val="18"/>
          <w:sz w:val="18"/>
          <w:szCs w:val="18"/>
        </w:rPr>
        <w:t>.</w:t>
      </w:r>
    </w:p>
  </w:footnote>
  <w:footnote w:id="16">
    <w:p w:rsidR="00637FA7" w:rsidRPr="00716352" w:rsidRDefault="00637FA7" w:rsidP="00683048">
      <w:pPr>
        <w:keepLines/>
        <w:suppressLineNumbers/>
        <w:suppressAutoHyphens/>
        <w:spacing w:after="60"/>
        <w:jc w:val="left"/>
        <w:rPr>
          <w:rFonts w:cs="Calibri"/>
          <w:kern w:val="18"/>
          <w:sz w:val="18"/>
          <w:szCs w:val="18"/>
        </w:rPr>
      </w:pPr>
      <w:r w:rsidRPr="00E722F0">
        <w:rPr>
          <w:kern w:val="18"/>
          <w:sz w:val="18"/>
          <w:szCs w:val="18"/>
          <w:vertAlign w:val="superscript"/>
        </w:rPr>
        <w:footnoteRef/>
      </w:r>
      <w:r w:rsidRPr="003F5C23">
        <w:rPr>
          <w:rFonts w:cs="Calibri"/>
          <w:kern w:val="18"/>
          <w:sz w:val="18"/>
          <w:szCs w:val="18"/>
          <w:lang w:val="en-GB"/>
        </w:rPr>
        <w:t xml:space="preserve"> </w:t>
      </w:r>
      <w:r>
        <w:rPr>
          <w:rFonts w:cs="Calibri"/>
          <w:kern w:val="18"/>
          <w:sz w:val="18"/>
          <w:szCs w:val="18"/>
        </w:rPr>
        <w:t>См</w:t>
      </w:r>
      <w:r w:rsidRPr="003F5C23">
        <w:rPr>
          <w:rFonts w:cs="Calibri"/>
          <w:kern w:val="18"/>
          <w:sz w:val="18"/>
          <w:szCs w:val="18"/>
          <w:lang w:val="en-GB"/>
        </w:rPr>
        <w:t xml:space="preserve">. </w:t>
      </w:r>
      <w:r w:rsidRPr="007967F5">
        <w:rPr>
          <w:rFonts w:cs="Calibri"/>
          <w:kern w:val="18"/>
          <w:sz w:val="18"/>
          <w:szCs w:val="18"/>
          <w:lang w:val="en-GB"/>
        </w:rPr>
        <w:t>Hamrick</w:t>
      </w:r>
      <w:r w:rsidRPr="003F5C23">
        <w:rPr>
          <w:rFonts w:cs="Calibri"/>
          <w:kern w:val="18"/>
          <w:sz w:val="18"/>
          <w:szCs w:val="18"/>
          <w:lang w:val="en-GB"/>
        </w:rPr>
        <w:t xml:space="preserve"> </w:t>
      </w:r>
      <w:r w:rsidR="003F5C23" w:rsidRPr="003F5C23">
        <w:rPr>
          <w:rFonts w:cs="Calibri"/>
          <w:kern w:val="18"/>
          <w:sz w:val="18"/>
          <w:szCs w:val="18"/>
          <w:lang w:val="en-GB"/>
        </w:rPr>
        <w:t>and</w:t>
      </w:r>
      <w:r w:rsidR="003F5C23">
        <w:rPr>
          <w:rFonts w:cs="Calibri"/>
          <w:kern w:val="18"/>
          <w:sz w:val="18"/>
          <w:szCs w:val="18"/>
          <w:lang w:val="en-GB"/>
        </w:rPr>
        <w:t xml:space="preserve"> </w:t>
      </w:r>
      <w:r w:rsidRPr="007967F5">
        <w:rPr>
          <w:rFonts w:cs="Calibri"/>
          <w:kern w:val="18"/>
          <w:sz w:val="18"/>
          <w:szCs w:val="18"/>
          <w:lang w:val="en-GB"/>
        </w:rPr>
        <w:t>Grant</w:t>
      </w:r>
      <w:r w:rsidRPr="003F5C23">
        <w:rPr>
          <w:rFonts w:cs="Calibri"/>
          <w:kern w:val="18"/>
          <w:sz w:val="18"/>
          <w:szCs w:val="18"/>
          <w:lang w:val="en-GB"/>
        </w:rPr>
        <w:t xml:space="preserve"> (2017 </w:t>
      </w:r>
      <w:r>
        <w:rPr>
          <w:rFonts w:cs="Calibri"/>
          <w:kern w:val="18"/>
          <w:sz w:val="18"/>
          <w:szCs w:val="18"/>
        </w:rPr>
        <w:t>г</w:t>
      </w:r>
      <w:r w:rsidRPr="003F5C23">
        <w:rPr>
          <w:rFonts w:cs="Calibri"/>
          <w:kern w:val="18"/>
          <w:sz w:val="18"/>
          <w:szCs w:val="18"/>
          <w:lang w:val="en-GB"/>
        </w:rPr>
        <w:t xml:space="preserve">.). </w:t>
      </w:r>
      <w:r w:rsidRPr="00D36EE2">
        <w:rPr>
          <w:rFonts w:cs="Calibri"/>
          <w:kern w:val="18"/>
          <w:sz w:val="18"/>
          <w:szCs w:val="18"/>
        </w:rPr>
        <w:t>Эти цифры, приведенные за 2016 год, не включают поступления из Австралийского фонда сокращения выбросов, который прове</w:t>
      </w:r>
      <w:r w:rsidR="00BA7FCB">
        <w:rPr>
          <w:rFonts w:cs="Calibri"/>
          <w:kern w:val="18"/>
          <w:sz w:val="18"/>
          <w:szCs w:val="18"/>
        </w:rPr>
        <w:t>л операции на сумму в 509,5 млн</w:t>
      </w:r>
      <w:r w:rsidRPr="00D36EE2">
        <w:rPr>
          <w:rFonts w:cs="Calibri"/>
          <w:kern w:val="18"/>
          <w:sz w:val="18"/>
          <w:szCs w:val="18"/>
        </w:rPr>
        <w:t xml:space="preserve"> долл. </w:t>
      </w:r>
      <w:r w:rsidRPr="00716352">
        <w:rPr>
          <w:rFonts w:cs="Calibri"/>
          <w:kern w:val="18"/>
          <w:sz w:val="18"/>
          <w:szCs w:val="18"/>
        </w:rPr>
        <w:t>США. Однако это не традиционный рынок, поскольку единственным покупателем является правительство Австралии, которое заключает контракты о сокращении выбросов на реверсивном аукционе.</w:t>
      </w:r>
    </w:p>
  </w:footnote>
  <w:footnote w:id="17">
    <w:p w:rsidR="00637FA7" w:rsidRPr="00E722F0" w:rsidRDefault="00637FA7" w:rsidP="00683048">
      <w:pPr>
        <w:keepLines/>
        <w:suppressLineNumbers/>
        <w:suppressAutoHyphens/>
        <w:spacing w:after="60"/>
        <w:jc w:val="left"/>
        <w:rPr>
          <w:rFonts w:cs="Calibri"/>
          <w:kern w:val="18"/>
          <w:sz w:val="18"/>
          <w:szCs w:val="18"/>
          <w:lang w:val="fr-CA"/>
        </w:rPr>
      </w:pPr>
      <w:r w:rsidRPr="00E722F0">
        <w:rPr>
          <w:kern w:val="18"/>
          <w:sz w:val="18"/>
          <w:szCs w:val="18"/>
          <w:vertAlign w:val="superscript"/>
        </w:rPr>
        <w:footnoteRef/>
      </w:r>
      <w:r w:rsidRPr="00E722F0">
        <w:rPr>
          <w:rFonts w:cs="Calibri"/>
          <w:kern w:val="18"/>
          <w:sz w:val="18"/>
          <w:szCs w:val="18"/>
          <w:lang w:val="fr-CA"/>
        </w:rPr>
        <w:t xml:space="preserve"> Parker, C. et al. (2012</w:t>
      </w:r>
      <w:r w:rsidRPr="00716352">
        <w:rPr>
          <w:rFonts w:cs="Calibri"/>
          <w:kern w:val="18"/>
          <w:sz w:val="18"/>
          <w:szCs w:val="18"/>
          <w:lang w:val="fr-FR"/>
        </w:rPr>
        <w:t xml:space="preserve"> </w:t>
      </w:r>
      <w:r>
        <w:rPr>
          <w:rFonts w:cs="Calibri"/>
          <w:kern w:val="18"/>
          <w:sz w:val="18"/>
          <w:szCs w:val="18"/>
        </w:rPr>
        <w:t>г</w:t>
      </w:r>
      <w:r w:rsidRPr="00716352">
        <w:rPr>
          <w:rFonts w:cs="Calibri"/>
          <w:kern w:val="18"/>
          <w:sz w:val="18"/>
          <w:szCs w:val="18"/>
          <w:lang w:val="fr-FR"/>
        </w:rPr>
        <w:t>.</w:t>
      </w:r>
      <w:r w:rsidRPr="00E722F0">
        <w:rPr>
          <w:rFonts w:cs="Calibri"/>
          <w:kern w:val="18"/>
          <w:sz w:val="18"/>
          <w:szCs w:val="18"/>
          <w:lang w:val="fr-CA"/>
        </w:rPr>
        <w:t xml:space="preserve">). </w:t>
      </w:r>
    </w:p>
  </w:footnote>
  <w:footnote w:id="18">
    <w:p w:rsidR="00637FA7" w:rsidRPr="00E722F0" w:rsidRDefault="00637FA7" w:rsidP="00683048">
      <w:pPr>
        <w:keepLines/>
        <w:suppressLineNumbers/>
        <w:suppressAutoHyphens/>
        <w:spacing w:after="60"/>
        <w:jc w:val="left"/>
        <w:rPr>
          <w:rFonts w:cs="Calibri"/>
          <w:kern w:val="18"/>
          <w:sz w:val="18"/>
          <w:szCs w:val="18"/>
          <w:lang w:val="fr-CA"/>
        </w:rPr>
      </w:pPr>
      <w:r w:rsidRPr="00E722F0">
        <w:rPr>
          <w:kern w:val="18"/>
          <w:sz w:val="18"/>
          <w:szCs w:val="18"/>
          <w:vertAlign w:val="superscript"/>
        </w:rPr>
        <w:footnoteRef/>
      </w:r>
      <w:r w:rsidRPr="00E722F0">
        <w:rPr>
          <w:rFonts w:cs="Calibri"/>
          <w:kern w:val="18"/>
          <w:sz w:val="18"/>
          <w:szCs w:val="18"/>
          <w:lang w:val="fr-CA"/>
        </w:rPr>
        <w:t xml:space="preserve"> </w:t>
      </w:r>
      <w:r w:rsidRPr="00716352">
        <w:rPr>
          <w:rFonts w:cs="Calibri"/>
          <w:kern w:val="18"/>
          <w:sz w:val="18"/>
          <w:szCs w:val="18"/>
          <w:lang w:val="fr-CA"/>
        </w:rPr>
        <w:t xml:space="preserve">Conservation Finance Alliance (2014 г.), </w:t>
      </w:r>
      <w:proofErr w:type="spellStart"/>
      <w:r w:rsidRPr="00716352">
        <w:rPr>
          <w:rFonts w:cs="Calibri"/>
          <w:kern w:val="18"/>
          <w:sz w:val="18"/>
          <w:szCs w:val="18"/>
          <w:lang w:val="fr-CA"/>
        </w:rPr>
        <w:t>стр</w:t>
      </w:r>
      <w:proofErr w:type="spellEnd"/>
      <w:r w:rsidRPr="00716352">
        <w:rPr>
          <w:rFonts w:cs="Calibri"/>
          <w:kern w:val="18"/>
          <w:sz w:val="18"/>
          <w:szCs w:val="18"/>
          <w:lang w:val="fr-CA"/>
        </w:rPr>
        <w:t>. 4.</w:t>
      </w:r>
    </w:p>
  </w:footnote>
  <w:footnote w:id="19">
    <w:p w:rsidR="00637FA7" w:rsidRPr="002D4A62" w:rsidRDefault="00637FA7" w:rsidP="00683048">
      <w:pPr>
        <w:keepLines/>
        <w:suppressLineNumbers/>
        <w:suppressAutoHyphens/>
        <w:spacing w:after="60"/>
        <w:jc w:val="left"/>
        <w:rPr>
          <w:rFonts w:cs="Calibri"/>
          <w:kern w:val="18"/>
          <w:sz w:val="18"/>
          <w:szCs w:val="18"/>
          <w:lang w:val="en-CA"/>
        </w:rPr>
      </w:pPr>
      <w:r w:rsidRPr="00E722F0">
        <w:rPr>
          <w:kern w:val="18"/>
          <w:sz w:val="18"/>
          <w:szCs w:val="18"/>
          <w:vertAlign w:val="superscript"/>
        </w:rPr>
        <w:footnoteRef/>
      </w:r>
      <w:r w:rsidRPr="002D4A62">
        <w:rPr>
          <w:rFonts w:cs="Calibri"/>
          <w:kern w:val="18"/>
          <w:sz w:val="18"/>
          <w:szCs w:val="18"/>
          <w:lang w:val="en-CA"/>
        </w:rPr>
        <w:t xml:space="preserve"> </w:t>
      </w:r>
      <w:proofErr w:type="spellStart"/>
      <w:r w:rsidRPr="00716352">
        <w:rPr>
          <w:rFonts w:cs="Calibri"/>
          <w:kern w:val="18"/>
          <w:sz w:val="18"/>
          <w:szCs w:val="18"/>
          <w:lang w:val="en-CA"/>
        </w:rPr>
        <w:t>NatureVest</w:t>
      </w:r>
      <w:proofErr w:type="spellEnd"/>
      <w:r w:rsidRPr="00716352">
        <w:rPr>
          <w:rFonts w:cs="Calibri"/>
          <w:kern w:val="18"/>
          <w:sz w:val="18"/>
          <w:szCs w:val="18"/>
          <w:lang w:val="en-CA"/>
        </w:rPr>
        <w:t xml:space="preserve"> </w:t>
      </w:r>
      <w:r w:rsidR="003F5C23" w:rsidRPr="003F5C23">
        <w:rPr>
          <w:rFonts w:cs="Calibri"/>
          <w:kern w:val="18"/>
          <w:sz w:val="18"/>
          <w:szCs w:val="18"/>
          <w:lang w:val="en-GB"/>
        </w:rPr>
        <w:t>and</w:t>
      </w:r>
      <w:r w:rsidR="003F5C23">
        <w:rPr>
          <w:rFonts w:cs="Calibri"/>
          <w:kern w:val="18"/>
          <w:sz w:val="18"/>
          <w:szCs w:val="18"/>
          <w:lang w:val="en-GB"/>
        </w:rPr>
        <w:t xml:space="preserve"> </w:t>
      </w:r>
      <w:r w:rsidRPr="00716352">
        <w:rPr>
          <w:rFonts w:cs="Calibri"/>
          <w:kern w:val="18"/>
          <w:sz w:val="18"/>
          <w:szCs w:val="18"/>
          <w:lang w:val="en-CA"/>
        </w:rPr>
        <w:t xml:space="preserve">EKO Asset Management Partners (2014 г.), </w:t>
      </w:r>
      <w:proofErr w:type="spellStart"/>
      <w:r w:rsidRPr="00716352">
        <w:rPr>
          <w:rFonts w:cs="Calibri"/>
          <w:kern w:val="18"/>
          <w:sz w:val="18"/>
          <w:szCs w:val="18"/>
          <w:lang w:val="en-CA"/>
        </w:rPr>
        <w:t>стр</w:t>
      </w:r>
      <w:proofErr w:type="spellEnd"/>
      <w:r w:rsidRPr="00716352">
        <w:rPr>
          <w:rFonts w:cs="Calibri"/>
          <w:kern w:val="18"/>
          <w:sz w:val="18"/>
          <w:szCs w:val="18"/>
          <w:lang w:val="en-CA"/>
        </w:rPr>
        <w:t>. 12.</w:t>
      </w:r>
    </w:p>
  </w:footnote>
  <w:footnote w:id="20">
    <w:p w:rsidR="00637FA7" w:rsidRPr="002D4A62" w:rsidRDefault="00637FA7" w:rsidP="00683048">
      <w:pPr>
        <w:pStyle w:val="FootnoteText"/>
        <w:suppressLineNumbers/>
        <w:suppressAutoHyphens/>
        <w:ind w:firstLine="0"/>
        <w:jc w:val="left"/>
        <w:rPr>
          <w:rFonts w:asciiTheme="minorHAnsi" w:hAnsiTheme="minorHAnsi" w:cstheme="minorBidi"/>
          <w:kern w:val="18"/>
          <w:szCs w:val="18"/>
          <w:lang w:val="en-CA"/>
        </w:rPr>
      </w:pPr>
      <w:r w:rsidRPr="00E722F0">
        <w:rPr>
          <w:rStyle w:val="FootnoteReference"/>
          <w:kern w:val="18"/>
          <w:sz w:val="18"/>
          <w:szCs w:val="18"/>
        </w:rPr>
        <w:footnoteRef/>
      </w:r>
      <w:r w:rsidRPr="002D4A62">
        <w:rPr>
          <w:kern w:val="18"/>
          <w:szCs w:val="18"/>
          <w:lang w:val="en-CA"/>
        </w:rPr>
        <w:t xml:space="preserve"> </w:t>
      </w:r>
      <w:r w:rsidR="00650CD6">
        <w:fldChar w:fldCharType="begin"/>
      </w:r>
      <w:r w:rsidR="00650CD6" w:rsidRPr="00404EF5">
        <w:rPr>
          <w:lang w:val="en-CA"/>
        </w:rPr>
        <w:instrText xml:space="preserve"> HYPERLINK "http://ec.europa.eu/environment/biodiversity/business/index_en.htm" </w:instrText>
      </w:r>
      <w:r w:rsidR="00650CD6">
        <w:fldChar w:fldCharType="separate"/>
      </w:r>
      <w:r w:rsidRPr="002D4A62">
        <w:rPr>
          <w:rStyle w:val="Hyperlink"/>
          <w:kern w:val="18"/>
          <w:szCs w:val="18"/>
          <w:lang w:val="en-CA"/>
        </w:rPr>
        <w:t>http://ec.europa.eu/environment/biodiversity/business/index_en.htm</w:t>
      </w:r>
      <w:r w:rsidR="00650CD6">
        <w:rPr>
          <w:rStyle w:val="Hyperlink"/>
          <w:kern w:val="18"/>
          <w:szCs w:val="18"/>
          <w:lang w:val="en-CA"/>
        </w:rPr>
        <w:fldChar w:fldCharType="end"/>
      </w:r>
      <w:r w:rsidRPr="002D4A62">
        <w:rPr>
          <w:kern w:val="18"/>
          <w:szCs w:val="18"/>
          <w:lang w:val="en-CA"/>
        </w:rPr>
        <w:t xml:space="preserve">. </w:t>
      </w:r>
    </w:p>
  </w:footnote>
  <w:footnote w:id="21">
    <w:p w:rsidR="00637FA7" w:rsidRPr="00697952" w:rsidRDefault="00637FA7" w:rsidP="00683048">
      <w:pPr>
        <w:pStyle w:val="FootnoteText"/>
        <w:ind w:firstLine="0"/>
        <w:rPr>
          <w:szCs w:val="18"/>
        </w:rPr>
      </w:pPr>
      <w:r w:rsidRPr="002D4A62">
        <w:rPr>
          <w:rStyle w:val="FootnoteReference"/>
          <w:sz w:val="18"/>
          <w:szCs w:val="18"/>
        </w:rPr>
        <w:footnoteRef/>
      </w:r>
      <w:r w:rsidRPr="00697952">
        <w:rPr>
          <w:szCs w:val="18"/>
        </w:rPr>
        <w:t xml:space="preserve"> </w:t>
      </w:r>
      <w:r w:rsidRPr="00716352">
        <w:rPr>
          <w:szCs w:val="18"/>
        </w:rPr>
        <w:t>См</w:t>
      </w:r>
      <w:r w:rsidRPr="00697952">
        <w:rPr>
          <w:szCs w:val="18"/>
        </w:rPr>
        <w:t xml:space="preserve">. </w:t>
      </w:r>
      <w:r w:rsidRPr="00716352">
        <w:rPr>
          <w:szCs w:val="18"/>
        </w:rPr>
        <w:t>цель</w:t>
      </w:r>
      <w:r w:rsidRPr="00697952">
        <w:rPr>
          <w:szCs w:val="18"/>
        </w:rPr>
        <w:t xml:space="preserve"> 4 </w:t>
      </w:r>
      <w:r w:rsidRPr="00716352">
        <w:rPr>
          <w:szCs w:val="18"/>
        </w:rPr>
        <w:t>приложения</w:t>
      </w:r>
      <w:r w:rsidRPr="00697952">
        <w:rPr>
          <w:szCs w:val="18"/>
        </w:rPr>
        <w:t xml:space="preserve"> </w:t>
      </w:r>
      <w:r w:rsidRPr="00716352">
        <w:rPr>
          <w:szCs w:val="18"/>
        </w:rPr>
        <w:t>к</w:t>
      </w:r>
      <w:r w:rsidRPr="00697952">
        <w:rPr>
          <w:szCs w:val="18"/>
        </w:rPr>
        <w:t xml:space="preserve"> </w:t>
      </w:r>
      <w:r w:rsidRPr="00716352">
        <w:rPr>
          <w:szCs w:val="18"/>
        </w:rPr>
        <w:t>решению</w:t>
      </w:r>
      <w:r w:rsidRPr="00697952">
        <w:rPr>
          <w:szCs w:val="18"/>
        </w:rPr>
        <w:t xml:space="preserve"> </w:t>
      </w:r>
      <w:r w:rsidRPr="00716352">
        <w:rPr>
          <w:szCs w:val="18"/>
          <w:lang w:val="en-CA"/>
        </w:rPr>
        <w:t>IX</w:t>
      </w:r>
      <w:r w:rsidRPr="00697952">
        <w:rPr>
          <w:szCs w:val="18"/>
        </w:rPr>
        <w:t>/11</w:t>
      </w:r>
      <w:r w:rsidRPr="00716352">
        <w:rPr>
          <w:szCs w:val="18"/>
          <w:lang w:val="en-CA"/>
        </w:rPr>
        <w:t> B</w:t>
      </w:r>
      <w:r w:rsidRPr="00697952">
        <w:rPr>
          <w:szCs w:val="18"/>
        </w:rPr>
        <w:t>.</w:t>
      </w:r>
    </w:p>
  </w:footnote>
  <w:footnote w:id="22">
    <w:p w:rsidR="00637FA7" w:rsidRPr="00697952" w:rsidRDefault="00637FA7" w:rsidP="00683048">
      <w:pPr>
        <w:pStyle w:val="FootnoteText"/>
        <w:suppressLineNumbers/>
        <w:suppressAutoHyphens/>
        <w:ind w:firstLine="0"/>
        <w:jc w:val="left"/>
        <w:rPr>
          <w:rFonts w:asciiTheme="minorHAnsi" w:hAnsiTheme="minorHAnsi" w:cstheme="minorBidi"/>
          <w:kern w:val="18"/>
          <w:szCs w:val="18"/>
        </w:rPr>
      </w:pPr>
      <w:r w:rsidRPr="00E722F0">
        <w:rPr>
          <w:rStyle w:val="FootnoteReference"/>
          <w:kern w:val="18"/>
          <w:sz w:val="18"/>
          <w:szCs w:val="18"/>
        </w:rPr>
        <w:footnoteRef/>
      </w:r>
      <w:r w:rsidRPr="00697952">
        <w:t xml:space="preserve"> </w:t>
      </w:r>
      <w:hyperlink r:id="rId5" w:history="1">
        <w:r w:rsidRPr="002D4A62">
          <w:rPr>
            <w:rStyle w:val="Hyperlink"/>
            <w:lang w:val="en-CA"/>
          </w:rPr>
          <w:t>https</w:t>
        </w:r>
        <w:r w:rsidRPr="00697952">
          <w:rPr>
            <w:rStyle w:val="Hyperlink"/>
          </w:rPr>
          <w:t>://</w:t>
        </w:r>
        <w:proofErr w:type="spellStart"/>
        <w:r w:rsidRPr="002D4A62">
          <w:rPr>
            <w:rStyle w:val="Hyperlink"/>
            <w:lang w:val="en-CA"/>
          </w:rPr>
          <w:t>europa</w:t>
        </w:r>
        <w:proofErr w:type="spellEnd"/>
        <w:r w:rsidRPr="00697952">
          <w:rPr>
            <w:rStyle w:val="Hyperlink"/>
          </w:rPr>
          <w:t>.</w:t>
        </w:r>
        <w:proofErr w:type="spellStart"/>
        <w:r w:rsidRPr="002D4A62">
          <w:rPr>
            <w:rStyle w:val="Hyperlink"/>
            <w:lang w:val="en-CA"/>
          </w:rPr>
          <w:t>eu</w:t>
        </w:r>
        <w:proofErr w:type="spellEnd"/>
        <w:r w:rsidRPr="00697952">
          <w:rPr>
            <w:rStyle w:val="Hyperlink"/>
          </w:rPr>
          <w:t>/</w:t>
        </w:r>
        <w:r w:rsidRPr="002D4A62">
          <w:rPr>
            <w:rStyle w:val="Hyperlink"/>
            <w:lang w:val="en-CA"/>
          </w:rPr>
          <w:t>capacity</w:t>
        </w:r>
        <w:r w:rsidRPr="00697952">
          <w:rPr>
            <w:rStyle w:val="Hyperlink"/>
          </w:rPr>
          <w:t>4</w:t>
        </w:r>
        <w:r w:rsidRPr="002D4A62">
          <w:rPr>
            <w:rStyle w:val="Hyperlink"/>
            <w:lang w:val="en-CA"/>
          </w:rPr>
          <w:t>dev</w:t>
        </w:r>
        <w:r w:rsidRPr="00697952">
          <w:rPr>
            <w:rStyle w:val="Hyperlink"/>
          </w:rPr>
          <w:t>/</w:t>
        </w:r>
        <w:r w:rsidRPr="002D4A62">
          <w:rPr>
            <w:rStyle w:val="Hyperlink"/>
            <w:lang w:val="en-CA"/>
          </w:rPr>
          <w:t>b</w:t>
        </w:r>
        <w:r w:rsidRPr="00697952">
          <w:rPr>
            <w:rStyle w:val="Hyperlink"/>
          </w:rPr>
          <w:t>4</w:t>
        </w:r>
        <w:r w:rsidRPr="002D4A62">
          <w:rPr>
            <w:rStyle w:val="Hyperlink"/>
            <w:lang w:val="en-CA"/>
          </w:rPr>
          <w:t>life</w:t>
        </w:r>
        <w:r w:rsidRPr="00697952">
          <w:rPr>
            <w:rStyle w:val="Hyperlink"/>
          </w:rPr>
          <w:t>/</w:t>
        </w:r>
        <w:r w:rsidRPr="002D4A62">
          <w:rPr>
            <w:rStyle w:val="Hyperlink"/>
            <w:lang w:val="en-CA"/>
          </w:rPr>
          <w:t>wiki</w:t>
        </w:r>
        <w:r w:rsidRPr="00697952">
          <w:rPr>
            <w:rStyle w:val="Hyperlink"/>
          </w:rPr>
          <w:t>/</w:t>
        </w:r>
        <w:r w:rsidRPr="002D4A62">
          <w:rPr>
            <w:rStyle w:val="Hyperlink"/>
            <w:lang w:val="en-CA"/>
          </w:rPr>
          <w:t>biodiversity</w:t>
        </w:r>
        <w:r w:rsidRPr="00697952">
          <w:rPr>
            <w:rStyle w:val="Hyperlink"/>
          </w:rPr>
          <w:t>-</w:t>
        </w:r>
        <w:r w:rsidRPr="002D4A62">
          <w:rPr>
            <w:rStyle w:val="Hyperlink"/>
            <w:lang w:val="en-CA"/>
          </w:rPr>
          <w:t>life</w:t>
        </w:r>
        <w:r w:rsidRPr="00697952">
          <w:rPr>
            <w:rStyle w:val="Hyperlink"/>
          </w:rPr>
          <w:t>-</w:t>
        </w:r>
        <w:r w:rsidRPr="002D4A62">
          <w:rPr>
            <w:rStyle w:val="Hyperlink"/>
            <w:lang w:val="en-CA"/>
          </w:rPr>
          <w:t>b</w:t>
        </w:r>
        <w:r w:rsidRPr="00697952">
          <w:rPr>
            <w:rStyle w:val="Hyperlink"/>
          </w:rPr>
          <w:t>4</w:t>
        </w:r>
        <w:r w:rsidRPr="002D4A62">
          <w:rPr>
            <w:rStyle w:val="Hyperlink"/>
            <w:lang w:val="en-CA"/>
          </w:rPr>
          <w:t>life</w:t>
        </w:r>
      </w:hyperlink>
      <w:r w:rsidRPr="00697952">
        <w:rPr>
          <w:kern w:val="18"/>
          <w:szCs w:val="18"/>
        </w:rPr>
        <w:t>.</w:t>
      </w:r>
    </w:p>
  </w:footnote>
  <w:footnote w:id="23">
    <w:p w:rsidR="00637FA7" w:rsidRPr="00697952" w:rsidRDefault="00637FA7" w:rsidP="00751B3F">
      <w:pPr>
        <w:pStyle w:val="FootnoteText"/>
        <w:suppressLineNumbers/>
        <w:suppressAutoHyphens/>
        <w:ind w:firstLine="0"/>
        <w:jc w:val="left"/>
        <w:rPr>
          <w:kern w:val="18"/>
          <w:szCs w:val="18"/>
        </w:rPr>
      </w:pPr>
      <w:r w:rsidRPr="000C46D9">
        <w:rPr>
          <w:rStyle w:val="FootnoteReference"/>
          <w:kern w:val="18"/>
          <w:sz w:val="18"/>
          <w:szCs w:val="18"/>
        </w:rPr>
        <w:footnoteRef/>
      </w:r>
      <w:r w:rsidRPr="00697952">
        <w:rPr>
          <w:kern w:val="18"/>
          <w:szCs w:val="18"/>
        </w:rPr>
        <w:t xml:space="preserve"> </w:t>
      </w:r>
      <w:hyperlink r:id="rId6" w:history="1">
        <w:r w:rsidRPr="002D4A62">
          <w:rPr>
            <w:rStyle w:val="Hyperlink"/>
            <w:kern w:val="18"/>
            <w:szCs w:val="18"/>
            <w:lang w:val="en-CA"/>
          </w:rPr>
          <w:t>https</w:t>
        </w:r>
        <w:r w:rsidRPr="00697952">
          <w:rPr>
            <w:rStyle w:val="Hyperlink"/>
            <w:kern w:val="18"/>
            <w:szCs w:val="18"/>
          </w:rPr>
          <w:t>://</w:t>
        </w:r>
        <w:r w:rsidRPr="002D4A62">
          <w:rPr>
            <w:rStyle w:val="Hyperlink"/>
            <w:kern w:val="18"/>
            <w:szCs w:val="18"/>
            <w:lang w:val="en-CA"/>
          </w:rPr>
          <w:t>www</w:t>
        </w:r>
        <w:r w:rsidRPr="00697952">
          <w:rPr>
            <w:rStyle w:val="Hyperlink"/>
            <w:kern w:val="18"/>
            <w:szCs w:val="18"/>
          </w:rPr>
          <w:t>.</w:t>
        </w:r>
        <w:proofErr w:type="spellStart"/>
        <w:r w:rsidRPr="002D4A62">
          <w:rPr>
            <w:rStyle w:val="Hyperlink"/>
            <w:kern w:val="18"/>
            <w:szCs w:val="18"/>
            <w:lang w:val="en-CA"/>
          </w:rPr>
          <w:t>cbd</w:t>
        </w:r>
        <w:proofErr w:type="spellEnd"/>
        <w:r w:rsidRPr="00697952">
          <w:rPr>
            <w:rStyle w:val="Hyperlink"/>
            <w:kern w:val="18"/>
            <w:szCs w:val="18"/>
          </w:rPr>
          <w:t>.</w:t>
        </w:r>
        <w:r w:rsidRPr="002D4A62">
          <w:rPr>
            <w:rStyle w:val="Hyperlink"/>
            <w:kern w:val="18"/>
            <w:szCs w:val="18"/>
            <w:lang w:val="en-CA"/>
          </w:rPr>
          <w:t>int</w:t>
        </w:r>
        <w:r w:rsidRPr="00697952">
          <w:rPr>
            <w:rStyle w:val="Hyperlink"/>
            <w:kern w:val="18"/>
            <w:szCs w:val="18"/>
          </w:rPr>
          <w:t>/</w:t>
        </w:r>
        <w:r w:rsidRPr="002D4A62">
          <w:rPr>
            <w:rStyle w:val="Hyperlink"/>
            <w:kern w:val="18"/>
            <w:szCs w:val="18"/>
            <w:lang w:val="en-CA"/>
          </w:rPr>
          <w:t>development</w:t>
        </w:r>
        <w:r w:rsidRPr="00697952">
          <w:rPr>
            <w:rStyle w:val="Hyperlink"/>
            <w:kern w:val="18"/>
            <w:szCs w:val="18"/>
          </w:rPr>
          <w:t>/</w:t>
        </w:r>
        <w:r w:rsidRPr="002D4A62">
          <w:rPr>
            <w:rStyle w:val="Hyperlink"/>
            <w:kern w:val="18"/>
            <w:szCs w:val="18"/>
            <w:lang w:val="en-CA"/>
          </w:rPr>
          <w:t>doc</w:t>
        </w:r>
        <w:r w:rsidRPr="00697952">
          <w:rPr>
            <w:rStyle w:val="Hyperlink"/>
            <w:kern w:val="18"/>
            <w:szCs w:val="18"/>
          </w:rPr>
          <w:t>/</w:t>
        </w:r>
        <w:r w:rsidRPr="002D4A62">
          <w:rPr>
            <w:rStyle w:val="Hyperlink"/>
            <w:kern w:val="18"/>
            <w:szCs w:val="18"/>
            <w:lang w:val="en-CA"/>
          </w:rPr>
          <w:t>biodiversity</w:t>
        </w:r>
        <w:r w:rsidRPr="00697952">
          <w:rPr>
            <w:rStyle w:val="Hyperlink"/>
            <w:kern w:val="18"/>
            <w:szCs w:val="18"/>
          </w:rPr>
          <w:t>-2030-</w:t>
        </w:r>
        <w:r w:rsidRPr="002D4A62">
          <w:rPr>
            <w:rStyle w:val="Hyperlink"/>
            <w:kern w:val="18"/>
            <w:szCs w:val="18"/>
            <w:lang w:val="en-CA"/>
          </w:rPr>
          <w:t>agenda</w:t>
        </w:r>
        <w:r w:rsidRPr="00697952">
          <w:rPr>
            <w:rStyle w:val="Hyperlink"/>
            <w:kern w:val="18"/>
            <w:szCs w:val="18"/>
          </w:rPr>
          <w:t>-</w:t>
        </w:r>
        <w:r w:rsidRPr="002D4A62">
          <w:rPr>
            <w:rStyle w:val="Hyperlink"/>
            <w:kern w:val="18"/>
            <w:szCs w:val="18"/>
            <w:lang w:val="en-CA"/>
          </w:rPr>
          <w:t>technical</w:t>
        </w:r>
        <w:r w:rsidRPr="00697952">
          <w:rPr>
            <w:rStyle w:val="Hyperlink"/>
            <w:kern w:val="18"/>
            <w:szCs w:val="18"/>
          </w:rPr>
          <w:t>-</w:t>
        </w:r>
        <w:r w:rsidRPr="002D4A62">
          <w:rPr>
            <w:rStyle w:val="Hyperlink"/>
            <w:kern w:val="18"/>
            <w:szCs w:val="18"/>
            <w:lang w:val="en-CA"/>
          </w:rPr>
          <w:t>note</w:t>
        </w:r>
        <w:r w:rsidRPr="00697952">
          <w:rPr>
            <w:rStyle w:val="Hyperlink"/>
            <w:kern w:val="18"/>
            <w:szCs w:val="18"/>
          </w:rPr>
          <w:t>-</w:t>
        </w:r>
        <w:proofErr w:type="spellStart"/>
        <w:r w:rsidRPr="002D4A62">
          <w:rPr>
            <w:rStyle w:val="Hyperlink"/>
            <w:kern w:val="18"/>
            <w:szCs w:val="18"/>
            <w:lang w:val="en-CA"/>
          </w:rPr>
          <w:t>en</w:t>
        </w:r>
        <w:proofErr w:type="spellEnd"/>
        <w:r w:rsidRPr="00697952">
          <w:rPr>
            <w:rStyle w:val="Hyperlink"/>
            <w:kern w:val="18"/>
            <w:szCs w:val="18"/>
          </w:rPr>
          <w:t>.</w:t>
        </w:r>
        <w:r w:rsidRPr="002D4A62">
          <w:rPr>
            <w:rStyle w:val="Hyperlink"/>
            <w:kern w:val="18"/>
            <w:szCs w:val="18"/>
            <w:lang w:val="en-CA"/>
          </w:rPr>
          <w:t>pdf</w:t>
        </w:r>
      </w:hyperlink>
      <w:r w:rsidRPr="00697952">
        <w:rPr>
          <w:kern w:val="18"/>
          <w:szCs w:val="18"/>
        </w:rPr>
        <w:t>.</w:t>
      </w:r>
    </w:p>
  </w:footnote>
  <w:footnote w:id="24">
    <w:p w:rsidR="00637FA7" w:rsidRPr="00716352" w:rsidRDefault="00637FA7" w:rsidP="00751B3F">
      <w:pPr>
        <w:pStyle w:val="FootnoteText"/>
        <w:ind w:firstLine="0"/>
      </w:pPr>
      <w:r>
        <w:rPr>
          <w:rStyle w:val="FootnoteReference"/>
        </w:rPr>
        <w:footnoteRef/>
      </w:r>
      <w:r w:rsidRPr="00716352">
        <w:t xml:space="preserve"> </w:t>
      </w:r>
      <w:r w:rsidRPr="00716352">
        <w:rPr>
          <w:kern w:val="18"/>
          <w:szCs w:val="18"/>
        </w:rPr>
        <w:t xml:space="preserve">Резолюция Генеральной Ассамблеи </w:t>
      </w:r>
      <w:hyperlink r:id="rId7" w:history="1">
        <w:r w:rsidRPr="00716352">
          <w:rPr>
            <w:rStyle w:val="Hyperlink"/>
            <w:kern w:val="18"/>
            <w:szCs w:val="18"/>
          </w:rPr>
          <w:t>70/1</w:t>
        </w:r>
      </w:hyperlink>
      <w:r w:rsidRPr="00716352">
        <w:rPr>
          <w:kern w:val="18"/>
          <w:szCs w:val="18"/>
        </w:rPr>
        <w:t xml:space="preserve"> под названием «Преобразование нашего мира: повестка дня в области устойчивого развития на период до 2030 года».</w:t>
      </w:r>
    </w:p>
    <w:p w:rsidR="00637FA7" w:rsidRPr="00716352" w:rsidRDefault="00637FA7" w:rsidP="00751B3F">
      <w:pPr>
        <w:pStyle w:val="FootnoteText"/>
      </w:pPr>
    </w:p>
  </w:footnote>
  <w:footnote w:id="25">
    <w:p w:rsidR="003F5C23" w:rsidRPr="003F5C23" w:rsidRDefault="003F5C23" w:rsidP="003F5C23">
      <w:pPr>
        <w:pStyle w:val="FootnoteText"/>
        <w:suppressLineNumbers/>
        <w:suppressAutoHyphens/>
        <w:ind w:firstLine="0"/>
        <w:jc w:val="left"/>
        <w:rPr>
          <w:kern w:val="18"/>
          <w:szCs w:val="18"/>
        </w:rPr>
      </w:pPr>
      <w:r w:rsidRPr="007A278E">
        <w:rPr>
          <w:rStyle w:val="FootnoteReference"/>
          <w:kern w:val="18"/>
          <w:sz w:val="18"/>
          <w:szCs w:val="18"/>
        </w:rPr>
        <w:footnoteRef/>
      </w:r>
      <w:r w:rsidRPr="003F5C23">
        <w:rPr>
          <w:kern w:val="18"/>
          <w:szCs w:val="18"/>
        </w:rPr>
        <w:t xml:space="preserve"> Бельгия, Исландия и Португалия. Австралия сообщила после установленной даты.</w:t>
      </w:r>
    </w:p>
  </w:footnote>
  <w:footnote w:id="26">
    <w:p w:rsidR="00637FA7" w:rsidRPr="00A13ED7" w:rsidRDefault="00637FA7" w:rsidP="00751B3F">
      <w:pPr>
        <w:pStyle w:val="FootnoteText"/>
        <w:suppressLineNumbers/>
        <w:ind w:firstLine="0"/>
        <w:jc w:val="left"/>
        <w:rPr>
          <w:kern w:val="18"/>
          <w:szCs w:val="18"/>
        </w:rPr>
      </w:pPr>
      <w:r w:rsidRPr="00755FFA">
        <w:rPr>
          <w:rStyle w:val="FootnoteReference"/>
          <w:kern w:val="18"/>
          <w:sz w:val="18"/>
          <w:szCs w:val="18"/>
        </w:rPr>
        <w:footnoteRef/>
      </w:r>
      <w:r w:rsidR="001216DE">
        <w:rPr>
          <w:kern w:val="18"/>
          <w:szCs w:val="18"/>
        </w:rPr>
        <w:t xml:space="preserve"> </w:t>
      </w:r>
      <w:r w:rsidR="001216DE">
        <w:rPr>
          <w:kern w:val="18"/>
          <w:szCs w:val="18"/>
        </w:rPr>
        <w:t>О</w:t>
      </w:r>
      <w:r w:rsidR="001216DE" w:rsidRPr="001216DE">
        <w:rPr>
          <w:kern w:val="18"/>
          <w:szCs w:val="18"/>
        </w:rPr>
        <w:t>рганизация экономического сотрудничества и развития, апрель 2020</w:t>
      </w:r>
      <w:r w:rsidR="001216DE">
        <w:rPr>
          <w:kern w:val="18"/>
          <w:szCs w:val="18"/>
        </w:rPr>
        <w:t xml:space="preserve"> года (</w:t>
      </w:r>
      <w:r w:rsidR="00650CD6">
        <w:fldChar w:fldCharType="begin"/>
      </w:r>
      <w:r w:rsidR="00650CD6">
        <w:instrText xml:space="preserve"> HYPERLINK "https://www.oecd.org/environment/resources/biodiversity/report-a-comprehensive-overview-of-global-biodiversity-finance.pdf" </w:instrText>
      </w:r>
      <w:r w:rsidR="00650CD6">
        <w:fldChar w:fldCharType="separate"/>
      </w:r>
      <w:r w:rsidRPr="008C41FC">
        <w:rPr>
          <w:rStyle w:val="Hyperlink"/>
          <w:kern w:val="18"/>
          <w:szCs w:val="18"/>
          <w:lang w:val="en-CA"/>
        </w:rPr>
        <w:t>https</w:t>
      </w:r>
      <w:r w:rsidRPr="00A13ED7">
        <w:rPr>
          <w:rStyle w:val="Hyperlink"/>
          <w:kern w:val="18"/>
          <w:szCs w:val="18"/>
        </w:rPr>
        <w:t>://</w:t>
      </w:r>
      <w:r w:rsidRPr="008C41FC">
        <w:rPr>
          <w:rStyle w:val="Hyperlink"/>
          <w:kern w:val="18"/>
          <w:szCs w:val="18"/>
          <w:lang w:val="en-CA"/>
        </w:rPr>
        <w:t>www</w:t>
      </w:r>
      <w:r w:rsidRPr="00A13ED7">
        <w:rPr>
          <w:rStyle w:val="Hyperlink"/>
          <w:kern w:val="18"/>
          <w:szCs w:val="18"/>
        </w:rPr>
        <w:t>.</w:t>
      </w:r>
      <w:proofErr w:type="spellStart"/>
      <w:r w:rsidRPr="008C41FC">
        <w:rPr>
          <w:rStyle w:val="Hyperlink"/>
          <w:kern w:val="18"/>
          <w:szCs w:val="18"/>
          <w:lang w:val="en-CA"/>
        </w:rPr>
        <w:t>oecd</w:t>
      </w:r>
      <w:proofErr w:type="spellEnd"/>
      <w:r w:rsidRPr="00A13ED7">
        <w:rPr>
          <w:rStyle w:val="Hyperlink"/>
          <w:kern w:val="18"/>
          <w:szCs w:val="18"/>
        </w:rPr>
        <w:t>.</w:t>
      </w:r>
      <w:r w:rsidRPr="008C41FC">
        <w:rPr>
          <w:rStyle w:val="Hyperlink"/>
          <w:kern w:val="18"/>
          <w:szCs w:val="18"/>
          <w:lang w:val="en-CA"/>
        </w:rPr>
        <w:t>org</w:t>
      </w:r>
      <w:r w:rsidRPr="00A13ED7">
        <w:rPr>
          <w:rStyle w:val="Hyperlink"/>
          <w:kern w:val="18"/>
          <w:szCs w:val="18"/>
        </w:rPr>
        <w:t>/</w:t>
      </w:r>
      <w:r w:rsidRPr="008C41FC">
        <w:rPr>
          <w:rStyle w:val="Hyperlink"/>
          <w:kern w:val="18"/>
          <w:szCs w:val="18"/>
          <w:lang w:val="en-CA"/>
        </w:rPr>
        <w:t>environment</w:t>
      </w:r>
      <w:r w:rsidRPr="00A13ED7">
        <w:rPr>
          <w:rStyle w:val="Hyperlink"/>
          <w:kern w:val="18"/>
          <w:szCs w:val="18"/>
        </w:rPr>
        <w:t>/</w:t>
      </w:r>
      <w:r w:rsidRPr="008C41FC">
        <w:rPr>
          <w:rStyle w:val="Hyperlink"/>
          <w:kern w:val="18"/>
          <w:szCs w:val="18"/>
          <w:lang w:val="en-CA"/>
        </w:rPr>
        <w:t>resources</w:t>
      </w:r>
      <w:r w:rsidRPr="00A13ED7">
        <w:rPr>
          <w:rStyle w:val="Hyperlink"/>
          <w:kern w:val="18"/>
          <w:szCs w:val="18"/>
        </w:rPr>
        <w:t>/</w:t>
      </w:r>
      <w:r w:rsidRPr="008C41FC">
        <w:rPr>
          <w:rStyle w:val="Hyperlink"/>
          <w:kern w:val="18"/>
          <w:szCs w:val="18"/>
          <w:lang w:val="en-CA"/>
        </w:rPr>
        <w:t>biodiversity</w:t>
      </w:r>
      <w:r w:rsidRPr="00A13ED7">
        <w:rPr>
          <w:rStyle w:val="Hyperlink"/>
          <w:kern w:val="18"/>
          <w:szCs w:val="18"/>
        </w:rPr>
        <w:t>/</w:t>
      </w:r>
      <w:r w:rsidRPr="008C41FC">
        <w:rPr>
          <w:rStyle w:val="Hyperlink"/>
          <w:kern w:val="18"/>
          <w:szCs w:val="18"/>
          <w:lang w:val="en-CA"/>
        </w:rPr>
        <w:t>report</w:t>
      </w:r>
      <w:r w:rsidRPr="00A13ED7">
        <w:rPr>
          <w:rStyle w:val="Hyperlink"/>
          <w:kern w:val="18"/>
          <w:szCs w:val="18"/>
        </w:rPr>
        <w:t>-</w:t>
      </w:r>
      <w:r w:rsidRPr="008C41FC">
        <w:rPr>
          <w:rStyle w:val="Hyperlink"/>
          <w:kern w:val="18"/>
          <w:szCs w:val="18"/>
          <w:lang w:val="en-CA"/>
        </w:rPr>
        <w:t>a</w:t>
      </w:r>
      <w:r w:rsidRPr="00A13ED7">
        <w:rPr>
          <w:rStyle w:val="Hyperlink"/>
          <w:kern w:val="18"/>
          <w:szCs w:val="18"/>
        </w:rPr>
        <w:t>-</w:t>
      </w:r>
      <w:r w:rsidRPr="008C41FC">
        <w:rPr>
          <w:rStyle w:val="Hyperlink"/>
          <w:kern w:val="18"/>
          <w:szCs w:val="18"/>
          <w:lang w:val="en-CA"/>
        </w:rPr>
        <w:t>comprehensive</w:t>
      </w:r>
      <w:r w:rsidRPr="00A13ED7">
        <w:rPr>
          <w:rStyle w:val="Hyperlink"/>
          <w:kern w:val="18"/>
          <w:szCs w:val="18"/>
        </w:rPr>
        <w:t>-</w:t>
      </w:r>
      <w:r w:rsidRPr="008C41FC">
        <w:rPr>
          <w:rStyle w:val="Hyperlink"/>
          <w:kern w:val="18"/>
          <w:szCs w:val="18"/>
          <w:lang w:val="en-CA"/>
        </w:rPr>
        <w:t>overview</w:t>
      </w:r>
      <w:r w:rsidRPr="00A13ED7">
        <w:rPr>
          <w:rStyle w:val="Hyperlink"/>
          <w:kern w:val="18"/>
          <w:szCs w:val="18"/>
        </w:rPr>
        <w:t>-</w:t>
      </w:r>
      <w:r w:rsidRPr="008C41FC">
        <w:rPr>
          <w:rStyle w:val="Hyperlink"/>
          <w:kern w:val="18"/>
          <w:szCs w:val="18"/>
          <w:lang w:val="en-CA"/>
        </w:rPr>
        <w:t>of</w:t>
      </w:r>
      <w:r w:rsidRPr="00A13ED7">
        <w:rPr>
          <w:rStyle w:val="Hyperlink"/>
          <w:kern w:val="18"/>
          <w:szCs w:val="18"/>
        </w:rPr>
        <w:t>-</w:t>
      </w:r>
      <w:r w:rsidRPr="008C41FC">
        <w:rPr>
          <w:rStyle w:val="Hyperlink"/>
          <w:kern w:val="18"/>
          <w:szCs w:val="18"/>
          <w:lang w:val="en-CA"/>
        </w:rPr>
        <w:t>global</w:t>
      </w:r>
      <w:r w:rsidRPr="00A13ED7">
        <w:rPr>
          <w:rStyle w:val="Hyperlink"/>
          <w:kern w:val="18"/>
          <w:szCs w:val="18"/>
        </w:rPr>
        <w:t>-</w:t>
      </w:r>
      <w:r w:rsidRPr="008C41FC">
        <w:rPr>
          <w:rStyle w:val="Hyperlink"/>
          <w:kern w:val="18"/>
          <w:szCs w:val="18"/>
          <w:lang w:val="en-CA"/>
        </w:rPr>
        <w:t>biodiversity</w:t>
      </w:r>
      <w:r w:rsidRPr="00A13ED7">
        <w:rPr>
          <w:rStyle w:val="Hyperlink"/>
          <w:kern w:val="18"/>
          <w:szCs w:val="18"/>
        </w:rPr>
        <w:t>-</w:t>
      </w:r>
      <w:r w:rsidRPr="008C41FC">
        <w:rPr>
          <w:rStyle w:val="Hyperlink"/>
          <w:kern w:val="18"/>
          <w:szCs w:val="18"/>
          <w:lang w:val="en-CA"/>
        </w:rPr>
        <w:t>finance</w:t>
      </w:r>
      <w:r w:rsidRPr="00A13ED7">
        <w:rPr>
          <w:rStyle w:val="Hyperlink"/>
          <w:kern w:val="18"/>
          <w:szCs w:val="18"/>
        </w:rPr>
        <w:t>.</w:t>
      </w:r>
      <w:r w:rsidRPr="008C41FC">
        <w:rPr>
          <w:rStyle w:val="Hyperlink"/>
          <w:kern w:val="18"/>
          <w:szCs w:val="18"/>
          <w:lang w:val="en-CA"/>
        </w:rPr>
        <w:t>pdf</w:t>
      </w:r>
      <w:r w:rsidR="00650CD6">
        <w:rPr>
          <w:rStyle w:val="Hyperlink"/>
          <w:kern w:val="18"/>
          <w:szCs w:val="18"/>
          <w:lang w:val="en-CA"/>
        </w:rPr>
        <w:fldChar w:fldCharType="end"/>
      </w:r>
      <w:r w:rsidR="001216DE">
        <w:rPr>
          <w:kern w:val="18"/>
          <w:szCs w:val="18"/>
        </w:rPr>
        <w:t>)</w:t>
      </w:r>
    </w:p>
  </w:footnote>
  <w:footnote w:id="27">
    <w:p w:rsidR="00637FA7" w:rsidRPr="00716352" w:rsidRDefault="00637FA7" w:rsidP="00751B3F">
      <w:pPr>
        <w:pStyle w:val="FootnoteText"/>
        <w:suppressLineNumbers/>
        <w:suppressAutoHyphens/>
        <w:ind w:firstLine="0"/>
        <w:jc w:val="left"/>
        <w:rPr>
          <w:kern w:val="18"/>
          <w:szCs w:val="18"/>
        </w:rPr>
      </w:pPr>
      <w:r w:rsidRPr="00755FFA">
        <w:rPr>
          <w:rStyle w:val="FootnoteReference"/>
          <w:kern w:val="18"/>
          <w:sz w:val="18"/>
          <w:szCs w:val="18"/>
        </w:rPr>
        <w:footnoteRef/>
      </w:r>
      <w:r w:rsidRPr="00716352">
        <w:rPr>
          <w:kern w:val="18"/>
          <w:szCs w:val="18"/>
        </w:rPr>
        <w:t xml:space="preserve"> </w:t>
      </w:r>
      <w:r w:rsidRPr="00716352">
        <w:rPr>
          <w:kern w:val="18"/>
          <w:szCs w:val="18"/>
        </w:rPr>
        <w:t xml:space="preserve">Существует потенциальное дублирование между заявленными внутренними расходами развивающихся стран на </w:t>
      </w:r>
      <w:r w:rsidRPr="00716352">
        <w:rPr>
          <w:kern w:val="18"/>
          <w:szCs w:val="18"/>
        </w:rPr>
        <w:t>биоразнообразие и заявленной ОПР от официальных поставщиков.</w:t>
      </w:r>
      <w:r>
        <w:rPr>
          <w:kern w:val="18"/>
          <w:szCs w:val="18"/>
        </w:rPr>
        <w:t xml:space="preserve"> </w:t>
      </w:r>
      <w:r w:rsidRPr="00716352">
        <w:rPr>
          <w:kern w:val="18"/>
          <w:szCs w:val="18"/>
        </w:rPr>
        <w:t>Это учитывается в общей оценке финансирования глобального биоразнообразия.</w:t>
      </w:r>
    </w:p>
  </w:footnote>
  <w:footnote w:id="28">
    <w:p w:rsidR="00637FA7" w:rsidRPr="00755FFA" w:rsidRDefault="00637FA7" w:rsidP="002D4A62">
      <w:pPr>
        <w:pStyle w:val="FootnoteText"/>
        <w:ind w:firstLine="0"/>
      </w:pPr>
      <w:r>
        <w:rPr>
          <w:rStyle w:val="FootnoteReference"/>
        </w:rPr>
        <w:footnoteRef/>
      </w:r>
      <w:r>
        <w:t xml:space="preserve"> На Китай</w:t>
      </w:r>
      <w:r w:rsidR="001216DE">
        <w:t xml:space="preserve"> </w:t>
      </w:r>
      <w:r>
        <w:t>приходится более одной трети этой оценки.</w:t>
      </w:r>
    </w:p>
  </w:footnote>
  <w:footnote w:id="29">
    <w:p w:rsidR="00637FA7" w:rsidRPr="000C46D9" w:rsidRDefault="00637FA7" w:rsidP="000C46D9">
      <w:pPr>
        <w:pStyle w:val="FootnoteText"/>
        <w:suppressLineNumbers/>
        <w:suppressAutoHyphens/>
        <w:ind w:firstLine="0"/>
        <w:jc w:val="left"/>
        <w:rPr>
          <w:kern w:val="18"/>
          <w:szCs w:val="18"/>
        </w:rPr>
      </w:pPr>
      <w:r>
        <w:rPr>
          <w:rStyle w:val="FootnoteReference"/>
          <w:kern w:val="18"/>
          <w:sz w:val="18"/>
          <w:szCs w:val="18"/>
        </w:rPr>
        <w:footnoteRef/>
      </w:r>
      <w:r>
        <w:t xml:space="preserve"> COFOG был разработан в 1999 году ОЭСР и опубликован статистическим отделом Организации Объединенных Наций в качестве стандарта для классификации целей (функций) деятельности органов государственного управления.</w:t>
      </w:r>
    </w:p>
  </w:footnote>
  <w:footnote w:id="30">
    <w:p w:rsidR="00637FA7" w:rsidRPr="00716352" w:rsidRDefault="00637FA7" w:rsidP="00751B3F">
      <w:pPr>
        <w:pStyle w:val="FootnoteText"/>
        <w:suppressLineNumbers/>
        <w:suppressAutoHyphens/>
        <w:ind w:firstLine="0"/>
        <w:jc w:val="left"/>
        <w:rPr>
          <w:kern w:val="18"/>
          <w:sz w:val="14"/>
          <w:szCs w:val="14"/>
        </w:rPr>
      </w:pPr>
      <w:r w:rsidRPr="000C46D9">
        <w:rPr>
          <w:rStyle w:val="FootnoteReference"/>
          <w:kern w:val="18"/>
          <w:sz w:val="18"/>
          <w:szCs w:val="18"/>
        </w:rPr>
        <w:footnoteRef/>
      </w:r>
      <w:r w:rsidRPr="00716352">
        <w:rPr>
          <w:kern w:val="18"/>
          <w:szCs w:val="18"/>
        </w:rPr>
        <w:t xml:space="preserve"> См. </w:t>
      </w:r>
      <w:r w:rsidRPr="00716352">
        <w:rPr>
          <w:kern w:val="18"/>
          <w:szCs w:val="18"/>
        </w:rPr>
        <w:t xml:space="preserve">основные этапы осуществления Айтинской целевой задачи 3, принятой в решении </w:t>
      </w:r>
      <w:r w:rsidRPr="00716352">
        <w:rPr>
          <w:kern w:val="18"/>
          <w:szCs w:val="18"/>
          <w:lang w:val="en-GB"/>
        </w:rPr>
        <w:t>XII</w:t>
      </w:r>
      <w:r w:rsidRPr="00716352">
        <w:rPr>
          <w:kern w:val="18"/>
          <w:szCs w:val="18"/>
        </w:rPr>
        <w:t xml:space="preserve"> / 3 о мобилизации ресурсов, и анализ того, каким образом Айтинская целевая задача 3 способствует осуществлению Айтинской целевой задачи 20 в области биоразнообразия, подготовленные для Вспомогательного органа по осуществлению на его втором совещании (</w:t>
      </w:r>
      <w:r w:rsidR="00650CD6">
        <w:fldChar w:fldCharType="begin"/>
      </w:r>
      <w:r w:rsidR="00650CD6">
        <w:instrText xml:space="preserve"> HYPERLINK "https://www.cbd.int/meetings/SBI-03" </w:instrText>
      </w:r>
      <w:r w:rsidR="00650CD6">
        <w:fldChar w:fldCharType="separate"/>
      </w:r>
      <w:r w:rsidRPr="008C41FC">
        <w:rPr>
          <w:rStyle w:val="Hyperlink"/>
          <w:kern w:val="18"/>
          <w:szCs w:val="18"/>
          <w:lang w:val="en-GB"/>
        </w:rPr>
        <w:t>https</w:t>
      </w:r>
      <w:r w:rsidRPr="00716352">
        <w:rPr>
          <w:rStyle w:val="Hyperlink"/>
          <w:kern w:val="18"/>
          <w:szCs w:val="18"/>
        </w:rPr>
        <w:t>://</w:t>
      </w:r>
      <w:r w:rsidRPr="008C41FC">
        <w:rPr>
          <w:rStyle w:val="Hyperlink"/>
          <w:kern w:val="18"/>
          <w:szCs w:val="18"/>
          <w:lang w:val="en-GB"/>
        </w:rPr>
        <w:t>www</w:t>
      </w:r>
      <w:r w:rsidRPr="00716352">
        <w:rPr>
          <w:rStyle w:val="Hyperlink"/>
          <w:kern w:val="18"/>
          <w:szCs w:val="18"/>
        </w:rPr>
        <w:t>.</w:t>
      </w:r>
      <w:proofErr w:type="spellStart"/>
      <w:r w:rsidRPr="008C41FC">
        <w:rPr>
          <w:rStyle w:val="Hyperlink"/>
          <w:kern w:val="18"/>
          <w:szCs w:val="18"/>
          <w:lang w:val="en-GB"/>
        </w:rPr>
        <w:t>cbd</w:t>
      </w:r>
      <w:proofErr w:type="spellEnd"/>
      <w:r w:rsidRPr="00716352">
        <w:rPr>
          <w:rStyle w:val="Hyperlink"/>
          <w:kern w:val="18"/>
          <w:szCs w:val="18"/>
        </w:rPr>
        <w:t>.</w:t>
      </w:r>
      <w:r w:rsidRPr="008C41FC">
        <w:rPr>
          <w:rStyle w:val="Hyperlink"/>
          <w:kern w:val="18"/>
          <w:szCs w:val="18"/>
          <w:lang w:val="en-GB"/>
        </w:rPr>
        <w:t>int</w:t>
      </w:r>
      <w:r w:rsidRPr="00716352">
        <w:rPr>
          <w:rStyle w:val="Hyperlink"/>
          <w:kern w:val="18"/>
          <w:szCs w:val="18"/>
        </w:rPr>
        <w:t>/</w:t>
      </w:r>
      <w:r w:rsidRPr="008C41FC">
        <w:rPr>
          <w:rStyle w:val="Hyperlink"/>
          <w:kern w:val="18"/>
          <w:szCs w:val="18"/>
          <w:lang w:val="en-GB"/>
        </w:rPr>
        <w:t>meetings</w:t>
      </w:r>
      <w:r w:rsidRPr="00716352">
        <w:rPr>
          <w:rStyle w:val="Hyperlink"/>
          <w:kern w:val="18"/>
          <w:szCs w:val="18"/>
        </w:rPr>
        <w:t>/</w:t>
      </w:r>
      <w:r w:rsidRPr="008C41FC">
        <w:rPr>
          <w:rStyle w:val="Hyperlink"/>
          <w:kern w:val="18"/>
          <w:szCs w:val="18"/>
          <w:lang w:val="en-GB"/>
        </w:rPr>
        <w:t>SBI</w:t>
      </w:r>
      <w:r w:rsidRPr="00716352">
        <w:rPr>
          <w:rStyle w:val="Hyperlink"/>
          <w:kern w:val="18"/>
          <w:szCs w:val="18"/>
        </w:rPr>
        <w:t>-03</w:t>
      </w:r>
      <w:r w:rsidR="00650CD6">
        <w:rPr>
          <w:rStyle w:val="Hyperlink"/>
          <w:kern w:val="18"/>
          <w:szCs w:val="18"/>
        </w:rPr>
        <w:fldChar w:fldCharType="end"/>
      </w:r>
      <w:r w:rsidRPr="00716352">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FA7" w:rsidRPr="00367EEE" w:rsidRDefault="00650CD6" w:rsidP="000C46D9">
    <w:pPr>
      <w:pStyle w:val="Header"/>
      <w:keepLines/>
      <w:suppressLineNumbers/>
      <w:tabs>
        <w:tab w:val="clear" w:pos="4320"/>
        <w:tab w:val="clear" w:pos="8640"/>
      </w:tabs>
      <w:suppressAutoHyphens/>
      <w:jc w:val="left"/>
      <w:rPr>
        <w:noProof/>
        <w:kern w:val="22"/>
      </w:rPr>
    </w:pPr>
    <w:sdt>
      <w:sdtPr>
        <w:rPr>
          <w:noProof/>
          <w:kern w:val="22"/>
        </w:rPr>
        <w:alias w:val="Предмет"/>
        <w:tag w:val=""/>
        <w:id w:val="587965855"/>
        <w:dataBinding w:prefixMappings="xmlns:ns0='http://purl.org/dc/elements/1.1/' xmlns:ns1='http://schemas.openxmlformats.org/package/2006/metadata/core-properties' " w:xpath="/ns1:coreProperties[1]/ns0:subject[1]" w:storeItemID="{6C3C8BC8-F283-45AE-878A-BAB7291924A1}"/>
        <w:text/>
      </w:sdtPr>
      <w:sdtEndPr/>
      <w:sdtContent>
        <w:r w:rsidR="00637FA7">
          <w:rPr>
            <w:noProof/>
            <w:kern w:val="22"/>
          </w:rPr>
          <w:t>CBD/SBI/3/5/Add.1</w:t>
        </w:r>
      </w:sdtContent>
    </w:sdt>
  </w:p>
  <w:p w:rsidR="00637FA7" w:rsidRPr="00367EEE" w:rsidRDefault="00637FA7" w:rsidP="000C46D9">
    <w:pPr>
      <w:pStyle w:val="Header"/>
      <w:keepLines/>
      <w:suppressLineNumbers/>
      <w:tabs>
        <w:tab w:val="clear" w:pos="4320"/>
        <w:tab w:val="clear" w:pos="8640"/>
      </w:tabs>
      <w:suppressAutoHyphens/>
      <w:jc w:val="left"/>
      <w:rPr>
        <w:noProof/>
        <w:kern w:val="22"/>
      </w:rPr>
    </w:pPr>
    <w:r>
      <w:t xml:space="preserve">Страница </w:t>
    </w:r>
    <w:r w:rsidR="00650CD6">
      <w:fldChar w:fldCharType="begin"/>
    </w:r>
    <w:r w:rsidR="00650CD6">
      <w:instrText xml:space="preserve"> PAGE   \* MERGEFORMAT </w:instrText>
    </w:r>
    <w:r w:rsidR="00650CD6">
      <w:fldChar w:fldCharType="separate"/>
    </w:r>
    <w:r w:rsidR="00EB5A07">
      <w:rPr>
        <w:noProof/>
      </w:rPr>
      <w:t>2</w:t>
    </w:r>
    <w:r w:rsidR="00650CD6">
      <w:rPr>
        <w:noProof/>
      </w:rPr>
      <w:fldChar w:fldCharType="end"/>
    </w:r>
  </w:p>
  <w:p w:rsidR="00637FA7" w:rsidRPr="00367EEE" w:rsidRDefault="00637FA7" w:rsidP="000C46D9">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FA7" w:rsidRPr="00367EEE" w:rsidRDefault="00650CD6" w:rsidP="000C46D9">
    <w:pPr>
      <w:pStyle w:val="Header"/>
      <w:keepLines/>
      <w:suppressLineNumbers/>
      <w:tabs>
        <w:tab w:val="clear" w:pos="4320"/>
        <w:tab w:val="clear" w:pos="8640"/>
      </w:tabs>
      <w:suppressAutoHyphens/>
      <w:jc w:val="right"/>
      <w:rPr>
        <w:noProof/>
        <w:kern w:val="22"/>
      </w:rPr>
    </w:pPr>
    <w:sdt>
      <w:sdtPr>
        <w:rPr>
          <w:noProof/>
          <w:kern w:val="22"/>
        </w:rPr>
        <w:alias w:val="Предмет"/>
        <w:tag w:val=""/>
        <w:id w:val="722414850"/>
        <w:dataBinding w:prefixMappings="xmlns:ns0='http://purl.org/dc/elements/1.1/' xmlns:ns1='http://schemas.openxmlformats.org/package/2006/metadata/core-properties' " w:xpath="/ns1:coreProperties[1]/ns0:subject[1]" w:storeItemID="{6C3C8BC8-F283-45AE-878A-BAB7291924A1}"/>
        <w:text/>
      </w:sdtPr>
      <w:sdtEndPr/>
      <w:sdtContent>
        <w:r w:rsidR="00637FA7">
          <w:rPr>
            <w:noProof/>
            <w:kern w:val="22"/>
          </w:rPr>
          <w:t>CBD/SBI/3/5/Add.1</w:t>
        </w:r>
      </w:sdtContent>
    </w:sdt>
  </w:p>
  <w:p w:rsidR="00637FA7" w:rsidRPr="00367EEE" w:rsidRDefault="00637FA7" w:rsidP="000C46D9">
    <w:pPr>
      <w:pStyle w:val="Header"/>
      <w:keepLines/>
      <w:suppressLineNumbers/>
      <w:tabs>
        <w:tab w:val="clear" w:pos="4320"/>
        <w:tab w:val="clear" w:pos="8640"/>
      </w:tabs>
      <w:suppressAutoHyphens/>
      <w:jc w:val="right"/>
      <w:rPr>
        <w:noProof/>
        <w:kern w:val="22"/>
      </w:rPr>
    </w:pPr>
    <w:r>
      <w:t xml:space="preserve">Страница </w:t>
    </w:r>
    <w:r w:rsidR="00650CD6">
      <w:fldChar w:fldCharType="begin"/>
    </w:r>
    <w:r w:rsidR="00650CD6">
      <w:instrText xml:space="preserve"> PAGE   \* MERGEFORMAT </w:instrText>
    </w:r>
    <w:r w:rsidR="00650CD6">
      <w:fldChar w:fldCharType="separate"/>
    </w:r>
    <w:r w:rsidR="00EB5A07">
      <w:rPr>
        <w:noProof/>
      </w:rPr>
      <w:t>3</w:t>
    </w:r>
    <w:r w:rsidR="00650CD6">
      <w:rPr>
        <w:noProof/>
      </w:rPr>
      <w:fldChar w:fldCharType="end"/>
    </w:r>
  </w:p>
  <w:p w:rsidR="00637FA7" w:rsidRPr="00367EEE" w:rsidRDefault="00637FA7" w:rsidP="000C46D9">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6F8"/>
    <w:multiLevelType w:val="hybridMultilevel"/>
    <w:tmpl w:val="69FC5E78"/>
    <w:lvl w:ilvl="0" w:tplc="040C0017">
      <w:start w:val="1"/>
      <w:numFmt w:val="lowerLetter"/>
      <w:lvlText w:val="%1)"/>
      <w:lvlJc w:val="left"/>
      <w:pPr>
        <w:tabs>
          <w:tab w:val="num" w:pos="1211"/>
        </w:tabs>
        <w:ind w:left="1211"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481FC8"/>
    <w:multiLevelType w:val="hybridMultilevel"/>
    <w:tmpl w:val="5EC64F08"/>
    <w:lvl w:ilvl="0" w:tplc="040C0017">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 w15:restartNumberingAfterBreak="0">
    <w:nsid w:val="2CB42A18"/>
    <w:multiLevelType w:val="hybridMultilevel"/>
    <w:tmpl w:val="A6463ED8"/>
    <w:lvl w:ilvl="0" w:tplc="040C0017">
      <w:start w:val="1"/>
      <w:numFmt w:val="lowerLetter"/>
      <w:lvlText w:val="%1)"/>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082053B"/>
    <w:multiLevelType w:val="hybridMultilevel"/>
    <w:tmpl w:val="4FDADD94"/>
    <w:lvl w:ilvl="0" w:tplc="040C0017">
      <w:start w:val="1"/>
      <w:numFmt w:val="lowerLetter"/>
      <w:lvlText w:val="%1)"/>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1"/>
  </w:num>
  <w:num w:numId="6">
    <w:abstractNumId w:val="0"/>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7649"/>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9161D"/>
    <w:rsid w:val="00000BDB"/>
    <w:rsid w:val="000018AB"/>
    <w:rsid w:val="000038D4"/>
    <w:rsid w:val="000044F7"/>
    <w:rsid w:val="00006C9D"/>
    <w:rsid w:val="00006D6A"/>
    <w:rsid w:val="00007999"/>
    <w:rsid w:val="00007C20"/>
    <w:rsid w:val="00007E44"/>
    <w:rsid w:val="00007F9F"/>
    <w:rsid w:val="000108A1"/>
    <w:rsid w:val="0001127F"/>
    <w:rsid w:val="000113E0"/>
    <w:rsid w:val="00012146"/>
    <w:rsid w:val="00013098"/>
    <w:rsid w:val="000132F2"/>
    <w:rsid w:val="00013672"/>
    <w:rsid w:val="000145D1"/>
    <w:rsid w:val="00014FAD"/>
    <w:rsid w:val="00016019"/>
    <w:rsid w:val="000169E4"/>
    <w:rsid w:val="00016DF3"/>
    <w:rsid w:val="00017495"/>
    <w:rsid w:val="00017639"/>
    <w:rsid w:val="000177FC"/>
    <w:rsid w:val="00017E6E"/>
    <w:rsid w:val="00020FE5"/>
    <w:rsid w:val="0002133D"/>
    <w:rsid w:val="00023F34"/>
    <w:rsid w:val="0002422F"/>
    <w:rsid w:val="00024BCF"/>
    <w:rsid w:val="00024C09"/>
    <w:rsid w:val="00024FA0"/>
    <w:rsid w:val="0002660A"/>
    <w:rsid w:val="00026D18"/>
    <w:rsid w:val="00030209"/>
    <w:rsid w:val="00030301"/>
    <w:rsid w:val="00030584"/>
    <w:rsid w:val="00030784"/>
    <w:rsid w:val="00030CD3"/>
    <w:rsid w:val="00030D28"/>
    <w:rsid w:val="0003178A"/>
    <w:rsid w:val="00031B98"/>
    <w:rsid w:val="000329FC"/>
    <w:rsid w:val="00032DA4"/>
    <w:rsid w:val="00032F1B"/>
    <w:rsid w:val="00034825"/>
    <w:rsid w:val="00034840"/>
    <w:rsid w:val="00035780"/>
    <w:rsid w:val="00035908"/>
    <w:rsid w:val="00035A03"/>
    <w:rsid w:val="00035C80"/>
    <w:rsid w:val="00036254"/>
    <w:rsid w:val="000368AA"/>
    <w:rsid w:val="00036F0E"/>
    <w:rsid w:val="000372D5"/>
    <w:rsid w:val="000373EF"/>
    <w:rsid w:val="000377BC"/>
    <w:rsid w:val="00037FEB"/>
    <w:rsid w:val="000401FC"/>
    <w:rsid w:val="000409F3"/>
    <w:rsid w:val="00041483"/>
    <w:rsid w:val="000416BC"/>
    <w:rsid w:val="00041FF8"/>
    <w:rsid w:val="00043171"/>
    <w:rsid w:val="000437AF"/>
    <w:rsid w:val="0004393D"/>
    <w:rsid w:val="00044060"/>
    <w:rsid w:val="00045363"/>
    <w:rsid w:val="00047762"/>
    <w:rsid w:val="000477A0"/>
    <w:rsid w:val="0005032B"/>
    <w:rsid w:val="00050542"/>
    <w:rsid w:val="00050B7A"/>
    <w:rsid w:val="00051D7D"/>
    <w:rsid w:val="00051E45"/>
    <w:rsid w:val="000523EA"/>
    <w:rsid w:val="00053170"/>
    <w:rsid w:val="00053427"/>
    <w:rsid w:val="00054401"/>
    <w:rsid w:val="0005441C"/>
    <w:rsid w:val="00054725"/>
    <w:rsid w:val="00055C88"/>
    <w:rsid w:val="0006041C"/>
    <w:rsid w:val="00062BE2"/>
    <w:rsid w:val="00062F01"/>
    <w:rsid w:val="0006491F"/>
    <w:rsid w:val="000656D1"/>
    <w:rsid w:val="0006573F"/>
    <w:rsid w:val="000660B1"/>
    <w:rsid w:val="000664D8"/>
    <w:rsid w:val="0006689E"/>
    <w:rsid w:val="00066FB2"/>
    <w:rsid w:val="00067E3C"/>
    <w:rsid w:val="00070B1F"/>
    <w:rsid w:val="0007277B"/>
    <w:rsid w:val="000730E8"/>
    <w:rsid w:val="0007337A"/>
    <w:rsid w:val="00073DED"/>
    <w:rsid w:val="00074025"/>
    <w:rsid w:val="00075178"/>
    <w:rsid w:val="000760AA"/>
    <w:rsid w:val="00076C79"/>
    <w:rsid w:val="00076DE8"/>
    <w:rsid w:val="0008242E"/>
    <w:rsid w:val="00082606"/>
    <w:rsid w:val="00082849"/>
    <w:rsid w:val="000829B1"/>
    <w:rsid w:val="00083C94"/>
    <w:rsid w:val="00083CD8"/>
    <w:rsid w:val="0008408D"/>
    <w:rsid w:val="00084CC5"/>
    <w:rsid w:val="00084EF5"/>
    <w:rsid w:val="00085E68"/>
    <w:rsid w:val="000864A1"/>
    <w:rsid w:val="00086AC2"/>
    <w:rsid w:val="0008784B"/>
    <w:rsid w:val="00087EA4"/>
    <w:rsid w:val="00090948"/>
    <w:rsid w:val="000909A0"/>
    <w:rsid w:val="00091D77"/>
    <w:rsid w:val="00093548"/>
    <w:rsid w:val="00093599"/>
    <w:rsid w:val="000946B9"/>
    <w:rsid w:val="00094D84"/>
    <w:rsid w:val="00094ECA"/>
    <w:rsid w:val="000955EF"/>
    <w:rsid w:val="000960BA"/>
    <w:rsid w:val="00096F36"/>
    <w:rsid w:val="0009706F"/>
    <w:rsid w:val="000976AF"/>
    <w:rsid w:val="00097A28"/>
    <w:rsid w:val="00097A7C"/>
    <w:rsid w:val="000A096D"/>
    <w:rsid w:val="000A1ABD"/>
    <w:rsid w:val="000A1B80"/>
    <w:rsid w:val="000A2762"/>
    <w:rsid w:val="000A2A1B"/>
    <w:rsid w:val="000A383A"/>
    <w:rsid w:val="000A4ADA"/>
    <w:rsid w:val="000A569E"/>
    <w:rsid w:val="000A62DA"/>
    <w:rsid w:val="000A6873"/>
    <w:rsid w:val="000A6926"/>
    <w:rsid w:val="000A6F48"/>
    <w:rsid w:val="000A7121"/>
    <w:rsid w:val="000A7C67"/>
    <w:rsid w:val="000A7CD0"/>
    <w:rsid w:val="000B1315"/>
    <w:rsid w:val="000B1B1F"/>
    <w:rsid w:val="000B1BF9"/>
    <w:rsid w:val="000B3752"/>
    <w:rsid w:val="000B389B"/>
    <w:rsid w:val="000B3C12"/>
    <w:rsid w:val="000B3CCF"/>
    <w:rsid w:val="000B3DB8"/>
    <w:rsid w:val="000B4156"/>
    <w:rsid w:val="000B487C"/>
    <w:rsid w:val="000B4DA0"/>
    <w:rsid w:val="000B4FD5"/>
    <w:rsid w:val="000B6F07"/>
    <w:rsid w:val="000B70F6"/>
    <w:rsid w:val="000B7D45"/>
    <w:rsid w:val="000C0565"/>
    <w:rsid w:val="000C0D36"/>
    <w:rsid w:val="000C104E"/>
    <w:rsid w:val="000C1C8B"/>
    <w:rsid w:val="000C2771"/>
    <w:rsid w:val="000C28E6"/>
    <w:rsid w:val="000C3182"/>
    <w:rsid w:val="000C334E"/>
    <w:rsid w:val="000C392A"/>
    <w:rsid w:val="000C46D9"/>
    <w:rsid w:val="000C5366"/>
    <w:rsid w:val="000C6FC9"/>
    <w:rsid w:val="000C74F8"/>
    <w:rsid w:val="000C7BA2"/>
    <w:rsid w:val="000D1171"/>
    <w:rsid w:val="000D1951"/>
    <w:rsid w:val="000D1B36"/>
    <w:rsid w:val="000D24F5"/>
    <w:rsid w:val="000D2CD9"/>
    <w:rsid w:val="000D3546"/>
    <w:rsid w:val="000D3BCF"/>
    <w:rsid w:val="000D3F2A"/>
    <w:rsid w:val="000D4F3B"/>
    <w:rsid w:val="000D58FE"/>
    <w:rsid w:val="000D719F"/>
    <w:rsid w:val="000D73E9"/>
    <w:rsid w:val="000D77CA"/>
    <w:rsid w:val="000D7845"/>
    <w:rsid w:val="000D7864"/>
    <w:rsid w:val="000E2652"/>
    <w:rsid w:val="000E28E6"/>
    <w:rsid w:val="000E2AFC"/>
    <w:rsid w:val="000E2B54"/>
    <w:rsid w:val="000E2DD4"/>
    <w:rsid w:val="000E2E12"/>
    <w:rsid w:val="000E3178"/>
    <w:rsid w:val="000E34B8"/>
    <w:rsid w:val="000E3C84"/>
    <w:rsid w:val="000E48E0"/>
    <w:rsid w:val="000E58B2"/>
    <w:rsid w:val="000E5EA3"/>
    <w:rsid w:val="000E673A"/>
    <w:rsid w:val="000E687F"/>
    <w:rsid w:val="000E69B6"/>
    <w:rsid w:val="000E7836"/>
    <w:rsid w:val="000F056B"/>
    <w:rsid w:val="000F1120"/>
    <w:rsid w:val="000F1D07"/>
    <w:rsid w:val="000F1FE7"/>
    <w:rsid w:val="000F22FF"/>
    <w:rsid w:val="000F270B"/>
    <w:rsid w:val="000F27EA"/>
    <w:rsid w:val="000F2A49"/>
    <w:rsid w:val="000F2C59"/>
    <w:rsid w:val="000F3774"/>
    <w:rsid w:val="000F3A3D"/>
    <w:rsid w:val="000F3AD5"/>
    <w:rsid w:val="000F3E71"/>
    <w:rsid w:val="000F50F6"/>
    <w:rsid w:val="000F575F"/>
    <w:rsid w:val="000F5FED"/>
    <w:rsid w:val="000F6C65"/>
    <w:rsid w:val="000F6F0D"/>
    <w:rsid w:val="000F74F5"/>
    <w:rsid w:val="00100288"/>
    <w:rsid w:val="00101A28"/>
    <w:rsid w:val="0010243F"/>
    <w:rsid w:val="001025B3"/>
    <w:rsid w:val="00102C5F"/>
    <w:rsid w:val="00103618"/>
    <w:rsid w:val="00104B57"/>
    <w:rsid w:val="00105372"/>
    <w:rsid w:val="001058A3"/>
    <w:rsid w:val="001064D4"/>
    <w:rsid w:val="00107036"/>
    <w:rsid w:val="00110811"/>
    <w:rsid w:val="00110DEE"/>
    <w:rsid w:val="00111115"/>
    <w:rsid w:val="00111B1E"/>
    <w:rsid w:val="00112A42"/>
    <w:rsid w:val="00112EB4"/>
    <w:rsid w:val="001134D6"/>
    <w:rsid w:val="001143B5"/>
    <w:rsid w:val="00115046"/>
    <w:rsid w:val="00116340"/>
    <w:rsid w:val="0011645D"/>
    <w:rsid w:val="001165A5"/>
    <w:rsid w:val="0011778B"/>
    <w:rsid w:val="00117862"/>
    <w:rsid w:val="00117B63"/>
    <w:rsid w:val="00121337"/>
    <w:rsid w:val="001215D5"/>
    <w:rsid w:val="001216DE"/>
    <w:rsid w:val="00124236"/>
    <w:rsid w:val="00124985"/>
    <w:rsid w:val="00124F1F"/>
    <w:rsid w:val="00125043"/>
    <w:rsid w:val="0012507C"/>
    <w:rsid w:val="00125604"/>
    <w:rsid w:val="0012581E"/>
    <w:rsid w:val="00127305"/>
    <w:rsid w:val="00130E9F"/>
    <w:rsid w:val="00131E7A"/>
    <w:rsid w:val="0013387A"/>
    <w:rsid w:val="00134028"/>
    <w:rsid w:val="0013407A"/>
    <w:rsid w:val="001345CA"/>
    <w:rsid w:val="00134E96"/>
    <w:rsid w:val="00134F7F"/>
    <w:rsid w:val="00135B06"/>
    <w:rsid w:val="00135B32"/>
    <w:rsid w:val="00135F6B"/>
    <w:rsid w:val="00136BB4"/>
    <w:rsid w:val="00137D95"/>
    <w:rsid w:val="001408A1"/>
    <w:rsid w:val="00141059"/>
    <w:rsid w:val="00141112"/>
    <w:rsid w:val="0014155A"/>
    <w:rsid w:val="00141566"/>
    <w:rsid w:val="00141BC1"/>
    <w:rsid w:val="00142B33"/>
    <w:rsid w:val="00142C8C"/>
    <w:rsid w:val="00142D14"/>
    <w:rsid w:val="00143EDD"/>
    <w:rsid w:val="001460E0"/>
    <w:rsid w:val="001462F8"/>
    <w:rsid w:val="00146753"/>
    <w:rsid w:val="001469C3"/>
    <w:rsid w:val="00146C92"/>
    <w:rsid w:val="00146F42"/>
    <w:rsid w:val="00147B06"/>
    <w:rsid w:val="00147E1E"/>
    <w:rsid w:val="00150599"/>
    <w:rsid w:val="00150F9E"/>
    <w:rsid w:val="001515AE"/>
    <w:rsid w:val="00151677"/>
    <w:rsid w:val="00154D30"/>
    <w:rsid w:val="001558EE"/>
    <w:rsid w:val="0015653E"/>
    <w:rsid w:val="001570B4"/>
    <w:rsid w:val="00157830"/>
    <w:rsid w:val="0016124E"/>
    <w:rsid w:val="001618FE"/>
    <w:rsid w:val="0016276A"/>
    <w:rsid w:val="00163989"/>
    <w:rsid w:val="00163CBC"/>
    <w:rsid w:val="00164155"/>
    <w:rsid w:val="00164BD9"/>
    <w:rsid w:val="0016543C"/>
    <w:rsid w:val="001661EB"/>
    <w:rsid w:val="00170292"/>
    <w:rsid w:val="001706AE"/>
    <w:rsid w:val="00170A1F"/>
    <w:rsid w:val="00172AF6"/>
    <w:rsid w:val="001733A6"/>
    <w:rsid w:val="001741FE"/>
    <w:rsid w:val="0017454A"/>
    <w:rsid w:val="00174DDC"/>
    <w:rsid w:val="00174E7E"/>
    <w:rsid w:val="00176CEE"/>
    <w:rsid w:val="00176FEF"/>
    <w:rsid w:val="00177124"/>
    <w:rsid w:val="0017732E"/>
    <w:rsid w:val="00180389"/>
    <w:rsid w:val="001810E0"/>
    <w:rsid w:val="001811AC"/>
    <w:rsid w:val="0018199E"/>
    <w:rsid w:val="00182761"/>
    <w:rsid w:val="00182981"/>
    <w:rsid w:val="00183895"/>
    <w:rsid w:val="00183ACA"/>
    <w:rsid w:val="001845D4"/>
    <w:rsid w:val="001854DD"/>
    <w:rsid w:val="00185C65"/>
    <w:rsid w:val="00186207"/>
    <w:rsid w:val="00186534"/>
    <w:rsid w:val="0018694E"/>
    <w:rsid w:val="0018714B"/>
    <w:rsid w:val="001874FC"/>
    <w:rsid w:val="00187730"/>
    <w:rsid w:val="00187CD8"/>
    <w:rsid w:val="00187E2F"/>
    <w:rsid w:val="00192B70"/>
    <w:rsid w:val="00193119"/>
    <w:rsid w:val="00193BCC"/>
    <w:rsid w:val="00194D44"/>
    <w:rsid w:val="0019501C"/>
    <w:rsid w:val="00195F0A"/>
    <w:rsid w:val="00195FAF"/>
    <w:rsid w:val="00197AB5"/>
    <w:rsid w:val="001A09B8"/>
    <w:rsid w:val="001A0B2E"/>
    <w:rsid w:val="001A1E0C"/>
    <w:rsid w:val="001A1F90"/>
    <w:rsid w:val="001A2B71"/>
    <w:rsid w:val="001A2EF9"/>
    <w:rsid w:val="001A530C"/>
    <w:rsid w:val="001A6140"/>
    <w:rsid w:val="001A615D"/>
    <w:rsid w:val="001A7132"/>
    <w:rsid w:val="001B0800"/>
    <w:rsid w:val="001B08F3"/>
    <w:rsid w:val="001B1686"/>
    <w:rsid w:val="001B23B3"/>
    <w:rsid w:val="001B52DB"/>
    <w:rsid w:val="001B6A44"/>
    <w:rsid w:val="001B70A9"/>
    <w:rsid w:val="001B70DE"/>
    <w:rsid w:val="001C039F"/>
    <w:rsid w:val="001C0D67"/>
    <w:rsid w:val="001C0D9C"/>
    <w:rsid w:val="001C295A"/>
    <w:rsid w:val="001C2F57"/>
    <w:rsid w:val="001C36CB"/>
    <w:rsid w:val="001C370C"/>
    <w:rsid w:val="001C4E60"/>
    <w:rsid w:val="001C67E4"/>
    <w:rsid w:val="001C7B61"/>
    <w:rsid w:val="001D00CD"/>
    <w:rsid w:val="001D0E39"/>
    <w:rsid w:val="001D1228"/>
    <w:rsid w:val="001D1C0D"/>
    <w:rsid w:val="001D28A7"/>
    <w:rsid w:val="001D3336"/>
    <w:rsid w:val="001D3CB8"/>
    <w:rsid w:val="001D4089"/>
    <w:rsid w:val="001D4535"/>
    <w:rsid w:val="001D459E"/>
    <w:rsid w:val="001D600F"/>
    <w:rsid w:val="001D67BA"/>
    <w:rsid w:val="001D6F49"/>
    <w:rsid w:val="001D7F21"/>
    <w:rsid w:val="001E23A5"/>
    <w:rsid w:val="001E3BB5"/>
    <w:rsid w:val="001E433D"/>
    <w:rsid w:val="001E4A9E"/>
    <w:rsid w:val="001E4DD5"/>
    <w:rsid w:val="001E5A7F"/>
    <w:rsid w:val="001E5D55"/>
    <w:rsid w:val="001E77B1"/>
    <w:rsid w:val="001F0703"/>
    <w:rsid w:val="001F0943"/>
    <w:rsid w:val="001F1BA3"/>
    <w:rsid w:val="001F1CCC"/>
    <w:rsid w:val="001F2220"/>
    <w:rsid w:val="001F22CE"/>
    <w:rsid w:val="001F2657"/>
    <w:rsid w:val="001F2E93"/>
    <w:rsid w:val="001F3850"/>
    <w:rsid w:val="001F3A4E"/>
    <w:rsid w:val="001F3E2D"/>
    <w:rsid w:val="001F457C"/>
    <w:rsid w:val="001F4687"/>
    <w:rsid w:val="001F4B58"/>
    <w:rsid w:val="001F7AC3"/>
    <w:rsid w:val="00200F25"/>
    <w:rsid w:val="00201A66"/>
    <w:rsid w:val="002028D3"/>
    <w:rsid w:val="00203B57"/>
    <w:rsid w:val="00203D37"/>
    <w:rsid w:val="00204360"/>
    <w:rsid w:val="00205439"/>
    <w:rsid w:val="00205738"/>
    <w:rsid w:val="0020582D"/>
    <w:rsid w:val="002059BB"/>
    <w:rsid w:val="00205C96"/>
    <w:rsid w:val="00206D7E"/>
    <w:rsid w:val="0020747C"/>
    <w:rsid w:val="002077CC"/>
    <w:rsid w:val="002104A3"/>
    <w:rsid w:val="002108F1"/>
    <w:rsid w:val="00210E42"/>
    <w:rsid w:val="00211A81"/>
    <w:rsid w:val="00211DBF"/>
    <w:rsid w:val="002126DB"/>
    <w:rsid w:val="00212C36"/>
    <w:rsid w:val="00212DE7"/>
    <w:rsid w:val="002131AD"/>
    <w:rsid w:val="00213C91"/>
    <w:rsid w:val="0021524C"/>
    <w:rsid w:val="0021552D"/>
    <w:rsid w:val="0021557B"/>
    <w:rsid w:val="00215687"/>
    <w:rsid w:val="002175C2"/>
    <w:rsid w:val="00220C32"/>
    <w:rsid w:val="002214F9"/>
    <w:rsid w:val="002230E3"/>
    <w:rsid w:val="00223C52"/>
    <w:rsid w:val="00224138"/>
    <w:rsid w:val="002245AC"/>
    <w:rsid w:val="002245CC"/>
    <w:rsid w:val="00225170"/>
    <w:rsid w:val="00225683"/>
    <w:rsid w:val="00225911"/>
    <w:rsid w:val="00226AB7"/>
    <w:rsid w:val="00230269"/>
    <w:rsid w:val="00230874"/>
    <w:rsid w:val="00231661"/>
    <w:rsid w:val="00232D45"/>
    <w:rsid w:val="0023458C"/>
    <w:rsid w:val="002353CD"/>
    <w:rsid w:val="00236DC6"/>
    <w:rsid w:val="002411ED"/>
    <w:rsid w:val="00242476"/>
    <w:rsid w:val="00245864"/>
    <w:rsid w:val="0024594C"/>
    <w:rsid w:val="00246243"/>
    <w:rsid w:val="002468B4"/>
    <w:rsid w:val="00246B42"/>
    <w:rsid w:val="00246DAD"/>
    <w:rsid w:val="00246F3E"/>
    <w:rsid w:val="0024707E"/>
    <w:rsid w:val="002470F5"/>
    <w:rsid w:val="0024742B"/>
    <w:rsid w:val="00247E27"/>
    <w:rsid w:val="002501A8"/>
    <w:rsid w:val="002506A0"/>
    <w:rsid w:val="00250713"/>
    <w:rsid w:val="00250722"/>
    <w:rsid w:val="002508B3"/>
    <w:rsid w:val="0025098A"/>
    <w:rsid w:val="0025134D"/>
    <w:rsid w:val="00252793"/>
    <w:rsid w:val="0025345D"/>
    <w:rsid w:val="00253905"/>
    <w:rsid w:val="00253DA0"/>
    <w:rsid w:val="00253F7A"/>
    <w:rsid w:val="0025499B"/>
    <w:rsid w:val="002562C9"/>
    <w:rsid w:val="00256647"/>
    <w:rsid w:val="0025694D"/>
    <w:rsid w:val="00257D28"/>
    <w:rsid w:val="00257FA2"/>
    <w:rsid w:val="002601B5"/>
    <w:rsid w:val="002613A7"/>
    <w:rsid w:val="002619EA"/>
    <w:rsid w:val="00263569"/>
    <w:rsid w:val="00263822"/>
    <w:rsid w:val="00263D69"/>
    <w:rsid w:val="00263E3F"/>
    <w:rsid w:val="00264142"/>
    <w:rsid w:val="002644E4"/>
    <w:rsid w:val="002645B2"/>
    <w:rsid w:val="00264BE6"/>
    <w:rsid w:val="00272F42"/>
    <w:rsid w:val="00273254"/>
    <w:rsid w:val="002736AB"/>
    <w:rsid w:val="00273A3D"/>
    <w:rsid w:val="00274836"/>
    <w:rsid w:val="002754BD"/>
    <w:rsid w:val="002760CA"/>
    <w:rsid w:val="0027621C"/>
    <w:rsid w:val="00276AB2"/>
    <w:rsid w:val="00276BB0"/>
    <w:rsid w:val="00277D70"/>
    <w:rsid w:val="00280254"/>
    <w:rsid w:val="002811E3"/>
    <w:rsid w:val="002817F8"/>
    <w:rsid w:val="0028186D"/>
    <w:rsid w:val="002822D1"/>
    <w:rsid w:val="00282969"/>
    <w:rsid w:val="00282A13"/>
    <w:rsid w:val="00285045"/>
    <w:rsid w:val="002857CC"/>
    <w:rsid w:val="00286F0A"/>
    <w:rsid w:val="0029082A"/>
    <w:rsid w:val="00291B18"/>
    <w:rsid w:val="00291D4D"/>
    <w:rsid w:val="00292B3A"/>
    <w:rsid w:val="00293A1C"/>
    <w:rsid w:val="00295C43"/>
    <w:rsid w:val="00297800"/>
    <w:rsid w:val="00297841"/>
    <w:rsid w:val="002A059E"/>
    <w:rsid w:val="002A0C6C"/>
    <w:rsid w:val="002A0D19"/>
    <w:rsid w:val="002A1E02"/>
    <w:rsid w:val="002A26E9"/>
    <w:rsid w:val="002A29EE"/>
    <w:rsid w:val="002A385F"/>
    <w:rsid w:val="002A3906"/>
    <w:rsid w:val="002A4187"/>
    <w:rsid w:val="002A418F"/>
    <w:rsid w:val="002A4858"/>
    <w:rsid w:val="002A51CC"/>
    <w:rsid w:val="002A5912"/>
    <w:rsid w:val="002A5940"/>
    <w:rsid w:val="002A5ACD"/>
    <w:rsid w:val="002A5B97"/>
    <w:rsid w:val="002A6924"/>
    <w:rsid w:val="002A6C03"/>
    <w:rsid w:val="002A7ECB"/>
    <w:rsid w:val="002B035D"/>
    <w:rsid w:val="002B13E1"/>
    <w:rsid w:val="002B1626"/>
    <w:rsid w:val="002B187F"/>
    <w:rsid w:val="002B1EC8"/>
    <w:rsid w:val="002B249B"/>
    <w:rsid w:val="002B27A0"/>
    <w:rsid w:val="002B2E58"/>
    <w:rsid w:val="002B333B"/>
    <w:rsid w:val="002B418A"/>
    <w:rsid w:val="002B4272"/>
    <w:rsid w:val="002B4C6E"/>
    <w:rsid w:val="002B5980"/>
    <w:rsid w:val="002B5AB8"/>
    <w:rsid w:val="002B636E"/>
    <w:rsid w:val="002B67E0"/>
    <w:rsid w:val="002B6BD9"/>
    <w:rsid w:val="002B7F1D"/>
    <w:rsid w:val="002C1649"/>
    <w:rsid w:val="002C198E"/>
    <w:rsid w:val="002C1B55"/>
    <w:rsid w:val="002C1FF1"/>
    <w:rsid w:val="002C30CC"/>
    <w:rsid w:val="002C3C36"/>
    <w:rsid w:val="002C4190"/>
    <w:rsid w:val="002C506B"/>
    <w:rsid w:val="002C5167"/>
    <w:rsid w:val="002C6BFB"/>
    <w:rsid w:val="002C78F8"/>
    <w:rsid w:val="002D0106"/>
    <w:rsid w:val="002D0893"/>
    <w:rsid w:val="002D3431"/>
    <w:rsid w:val="002D41A0"/>
    <w:rsid w:val="002D4A22"/>
    <w:rsid w:val="002D4A62"/>
    <w:rsid w:val="002D5AB0"/>
    <w:rsid w:val="002D65E5"/>
    <w:rsid w:val="002D6637"/>
    <w:rsid w:val="002D6FF3"/>
    <w:rsid w:val="002E0A60"/>
    <w:rsid w:val="002E0CEF"/>
    <w:rsid w:val="002E1394"/>
    <w:rsid w:val="002E3550"/>
    <w:rsid w:val="002E5414"/>
    <w:rsid w:val="002E6A54"/>
    <w:rsid w:val="002E72A4"/>
    <w:rsid w:val="002E7C95"/>
    <w:rsid w:val="002F2A05"/>
    <w:rsid w:val="002F477B"/>
    <w:rsid w:val="002F4A6C"/>
    <w:rsid w:val="002F56E7"/>
    <w:rsid w:val="002F5BCD"/>
    <w:rsid w:val="00300055"/>
    <w:rsid w:val="0030026C"/>
    <w:rsid w:val="00300592"/>
    <w:rsid w:val="00300970"/>
    <w:rsid w:val="00301F39"/>
    <w:rsid w:val="00302848"/>
    <w:rsid w:val="00303090"/>
    <w:rsid w:val="003032D3"/>
    <w:rsid w:val="00303F13"/>
    <w:rsid w:val="003042F7"/>
    <w:rsid w:val="0030452E"/>
    <w:rsid w:val="003045EA"/>
    <w:rsid w:val="00304606"/>
    <w:rsid w:val="0030466D"/>
    <w:rsid w:val="00304AFB"/>
    <w:rsid w:val="00304D9E"/>
    <w:rsid w:val="003053BF"/>
    <w:rsid w:val="003057BC"/>
    <w:rsid w:val="00305A78"/>
    <w:rsid w:val="003061F2"/>
    <w:rsid w:val="00306EDF"/>
    <w:rsid w:val="003075B5"/>
    <w:rsid w:val="00310F36"/>
    <w:rsid w:val="00311A9C"/>
    <w:rsid w:val="003141DC"/>
    <w:rsid w:val="003144AD"/>
    <w:rsid w:val="003156FE"/>
    <w:rsid w:val="00315C25"/>
    <w:rsid w:val="003161F3"/>
    <w:rsid w:val="003163D9"/>
    <w:rsid w:val="003174B7"/>
    <w:rsid w:val="00317A9A"/>
    <w:rsid w:val="003201BC"/>
    <w:rsid w:val="003205BD"/>
    <w:rsid w:val="00320AEF"/>
    <w:rsid w:val="00321C1D"/>
    <w:rsid w:val="00321FA1"/>
    <w:rsid w:val="00322F57"/>
    <w:rsid w:val="003230E7"/>
    <w:rsid w:val="00323521"/>
    <w:rsid w:val="00324BA1"/>
    <w:rsid w:val="00326605"/>
    <w:rsid w:val="0032779A"/>
    <w:rsid w:val="003314D3"/>
    <w:rsid w:val="00332019"/>
    <w:rsid w:val="00332281"/>
    <w:rsid w:val="00332C8A"/>
    <w:rsid w:val="00332E24"/>
    <w:rsid w:val="003364A0"/>
    <w:rsid w:val="0033750D"/>
    <w:rsid w:val="00337A17"/>
    <w:rsid w:val="00337C74"/>
    <w:rsid w:val="00337E7C"/>
    <w:rsid w:val="00340780"/>
    <w:rsid w:val="00342241"/>
    <w:rsid w:val="00342B19"/>
    <w:rsid w:val="00343609"/>
    <w:rsid w:val="00343BE9"/>
    <w:rsid w:val="003440C9"/>
    <w:rsid w:val="003443F9"/>
    <w:rsid w:val="0034478F"/>
    <w:rsid w:val="003465D7"/>
    <w:rsid w:val="00346B20"/>
    <w:rsid w:val="00350EB2"/>
    <w:rsid w:val="00350F43"/>
    <w:rsid w:val="00351C30"/>
    <w:rsid w:val="003527A0"/>
    <w:rsid w:val="003528D5"/>
    <w:rsid w:val="00352D1C"/>
    <w:rsid w:val="0035412D"/>
    <w:rsid w:val="003541AC"/>
    <w:rsid w:val="0035462A"/>
    <w:rsid w:val="00355B48"/>
    <w:rsid w:val="003568E6"/>
    <w:rsid w:val="00357138"/>
    <w:rsid w:val="00357A68"/>
    <w:rsid w:val="00357C96"/>
    <w:rsid w:val="003603A4"/>
    <w:rsid w:val="0036109B"/>
    <w:rsid w:val="00362A3B"/>
    <w:rsid w:val="00363013"/>
    <w:rsid w:val="00363A8F"/>
    <w:rsid w:val="00363EC9"/>
    <w:rsid w:val="003643C6"/>
    <w:rsid w:val="003651BA"/>
    <w:rsid w:val="00365E2E"/>
    <w:rsid w:val="0036618F"/>
    <w:rsid w:val="0036695B"/>
    <w:rsid w:val="00366C76"/>
    <w:rsid w:val="00367072"/>
    <w:rsid w:val="003672A8"/>
    <w:rsid w:val="00367EE0"/>
    <w:rsid w:val="00367EEE"/>
    <w:rsid w:val="00371202"/>
    <w:rsid w:val="0037128D"/>
    <w:rsid w:val="00371528"/>
    <w:rsid w:val="00372F74"/>
    <w:rsid w:val="003759B8"/>
    <w:rsid w:val="00375AEC"/>
    <w:rsid w:val="003763A7"/>
    <w:rsid w:val="003764F7"/>
    <w:rsid w:val="00376872"/>
    <w:rsid w:val="00376D9B"/>
    <w:rsid w:val="003805ED"/>
    <w:rsid w:val="00380B83"/>
    <w:rsid w:val="00380DAD"/>
    <w:rsid w:val="00380FA5"/>
    <w:rsid w:val="003816ED"/>
    <w:rsid w:val="00381A85"/>
    <w:rsid w:val="00382344"/>
    <w:rsid w:val="00382E55"/>
    <w:rsid w:val="00382E56"/>
    <w:rsid w:val="00383D16"/>
    <w:rsid w:val="0038426E"/>
    <w:rsid w:val="00385855"/>
    <w:rsid w:val="00386502"/>
    <w:rsid w:val="00386B4F"/>
    <w:rsid w:val="00387B0B"/>
    <w:rsid w:val="003907E5"/>
    <w:rsid w:val="00390E1A"/>
    <w:rsid w:val="00390E45"/>
    <w:rsid w:val="00391585"/>
    <w:rsid w:val="00391D28"/>
    <w:rsid w:val="00392956"/>
    <w:rsid w:val="0039337B"/>
    <w:rsid w:val="003934CD"/>
    <w:rsid w:val="003939FC"/>
    <w:rsid w:val="0039485C"/>
    <w:rsid w:val="003949F1"/>
    <w:rsid w:val="00396BF3"/>
    <w:rsid w:val="00396CBF"/>
    <w:rsid w:val="00397C95"/>
    <w:rsid w:val="00397D5B"/>
    <w:rsid w:val="003A070A"/>
    <w:rsid w:val="003A0E55"/>
    <w:rsid w:val="003A3D2B"/>
    <w:rsid w:val="003A5729"/>
    <w:rsid w:val="003A6B12"/>
    <w:rsid w:val="003B0094"/>
    <w:rsid w:val="003B05A8"/>
    <w:rsid w:val="003B07E7"/>
    <w:rsid w:val="003B0BFC"/>
    <w:rsid w:val="003B0D21"/>
    <w:rsid w:val="003B1F56"/>
    <w:rsid w:val="003B276C"/>
    <w:rsid w:val="003B2810"/>
    <w:rsid w:val="003B2DB3"/>
    <w:rsid w:val="003B3F5A"/>
    <w:rsid w:val="003B4446"/>
    <w:rsid w:val="003B47AD"/>
    <w:rsid w:val="003B4921"/>
    <w:rsid w:val="003B5425"/>
    <w:rsid w:val="003C0605"/>
    <w:rsid w:val="003C09F5"/>
    <w:rsid w:val="003C2B0F"/>
    <w:rsid w:val="003C2DCB"/>
    <w:rsid w:val="003C32F6"/>
    <w:rsid w:val="003C3975"/>
    <w:rsid w:val="003C46B0"/>
    <w:rsid w:val="003C5934"/>
    <w:rsid w:val="003C5ECA"/>
    <w:rsid w:val="003C78D6"/>
    <w:rsid w:val="003C7E51"/>
    <w:rsid w:val="003D0BB0"/>
    <w:rsid w:val="003D15FC"/>
    <w:rsid w:val="003D2AC0"/>
    <w:rsid w:val="003D2FE7"/>
    <w:rsid w:val="003D31A4"/>
    <w:rsid w:val="003D3C56"/>
    <w:rsid w:val="003D6067"/>
    <w:rsid w:val="003D6725"/>
    <w:rsid w:val="003D7B3B"/>
    <w:rsid w:val="003E00AB"/>
    <w:rsid w:val="003E04A5"/>
    <w:rsid w:val="003E070D"/>
    <w:rsid w:val="003E1508"/>
    <w:rsid w:val="003E1511"/>
    <w:rsid w:val="003E1B93"/>
    <w:rsid w:val="003E1D27"/>
    <w:rsid w:val="003E262F"/>
    <w:rsid w:val="003E32A8"/>
    <w:rsid w:val="003E4130"/>
    <w:rsid w:val="003E618B"/>
    <w:rsid w:val="003F06F8"/>
    <w:rsid w:val="003F2347"/>
    <w:rsid w:val="003F27C1"/>
    <w:rsid w:val="003F41B5"/>
    <w:rsid w:val="003F5524"/>
    <w:rsid w:val="003F5C23"/>
    <w:rsid w:val="003F6DC6"/>
    <w:rsid w:val="003F6F17"/>
    <w:rsid w:val="003F7224"/>
    <w:rsid w:val="003F78F2"/>
    <w:rsid w:val="00400502"/>
    <w:rsid w:val="0040057A"/>
    <w:rsid w:val="004013FB"/>
    <w:rsid w:val="00402771"/>
    <w:rsid w:val="00402E99"/>
    <w:rsid w:val="004031EF"/>
    <w:rsid w:val="00403569"/>
    <w:rsid w:val="00404EF5"/>
    <w:rsid w:val="00405483"/>
    <w:rsid w:val="00405799"/>
    <w:rsid w:val="00405961"/>
    <w:rsid w:val="00405ECB"/>
    <w:rsid w:val="004063DA"/>
    <w:rsid w:val="00406995"/>
    <w:rsid w:val="00406D1B"/>
    <w:rsid w:val="00406DD1"/>
    <w:rsid w:val="004077CD"/>
    <w:rsid w:val="00407E47"/>
    <w:rsid w:val="004107FC"/>
    <w:rsid w:val="0041134B"/>
    <w:rsid w:val="00411ED2"/>
    <w:rsid w:val="00413C44"/>
    <w:rsid w:val="00413DCF"/>
    <w:rsid w:val="00414F2C"/>
    <w:rsid w:val="00415114"/>
    <w:rsid w:val="00415215"/>
    <w:rsid w:val="00415987"/>
    <w:rsid w:val="004161D3"/>
    <w:rsid w:val="00417ADA"/>
    <w:rsid w:val="00420FE8"/>
    <w:rsid w:val="004218D4"/>
    <w:rsid w:val="00421C48"/>
    <w:rsid w:val="004238FC"/>
    <w:rsid w:val="00423FEB"/>
    <w:rsid w:val="00424EBE"/>
    <w:rsid w:val="00425518"/>
    <w:rsid w:val="00425926"/>
    <w:rsid w:val="00425BC0"/>
    <w:rsid w:val="0042659F"/>
    <w:rsid w:val="004266F7"/>
    <w:rsid w:val="00426A7B"/>
    <w:rsid w:val="0042749F"/>
    <w:rsid w:val="0042784B"/>
    <w:rsid w:val="00427BDB"/>
    <w:rsid w:val="00427D21"/>
    <w:rsid w:val="00427FB2"/>
    <w:rsid w:val="0043173D"/>
    <w:rsid w:val="0043175F"/>
    <w:rsid w:val="00431B52"/>
    <w:rsid w:val="00431F11"/>
    <w:rsid w:val="00432208"/>
    <w:rsid w:val="00432952"/>
    <w:rsid w:val="00433330"/>
    <w:rsid w:val="00433860"/>
    <w:rsid w:val="00434FBC"/>
    <w:rsid w:val="00435DF4"/>
    <w:rsid w:val="00441CA7"/>
    <w:rsid w:val="0044236C"/>
    <w:rsid w:val="00442F37"/>
    <w:rsid w:val="00443BDE"/>
    <w:rsid w:val="00443FFF"/>
    <w:rsid w:val="004440C0"/>
    <w:rsid w:val="0044419E"/>
    <w:rsid w:val="00444312"/>
    <w:rsid w:val="004444C9"/>
    <w:rsid w:val="00445C3E"/>
    <w:rsid w:val="004467D1"/>
    <w:rsid w:val="00447291"/>
    <w:rsid w:val="0044737F"/>
    <w:rsid w:val="00447AD9"/>
    <w:rsid w:val="00450F92"/>
    <w:rsid w:val="00451483"/>
    <w:rsid w:val="00451D9F"/>
    <w:rsid w:val="00451FC5"/>
    <w:rsid w:val="00452EE7"/>
    <w:rsid w:val="004539FC"/>
    <w:rsid w:val="004541A7"/>
    <w:rsid w:val="00454208"/>
    <w:rsid w:val="00454375"/>
    <w:rsid w:val="00454879"/>
    <w:rsid w:val="00454BCE"/>
    <w:rsid w:val="00455068"/>
    <w:rsid w:val="0045618A"/>
    <w:rsid w:val="004577C3"/>
    <w:rsid w:val="004607AD"/>
    <w:rsid w:val="00461A51"/>
    <w:rsid w:val="00461CD8"/>
    <w:rsid w:val="00462363"/>
    <w:rsid w:val="004636C3"/>
    <w:rsid w:val="004644C2"/>
    <w:rsid w:val="004648D1"/>
    <w:rsid w:val="00466019"/>
    <w:rsid w:val="00466935"/>
    <w:rsid w:val="00466AFD"/>
    <w:rsid w:val="004677B4"/>
    <w:rsid w:val="00467F9C"/>
    <w:rsid w:val="00470209"/>
    <w:rsid w:val="00471969"/>
    <w:rsid w:val="00471E17"/>
    <w:rsid w:val="00473224"/>
    <w:rsid w:val="004733AF"/>
    <w:rsid w:val="004733D3"/>
    <w:rsid w:val="00473B26"/>
    <w:rsid w:val="00473E2A"/>
    <w:rsid w:val="00474082"/>
    <w:rsid w:val="00475E18"/>
    <w:rsid w:val="004814A3"/>
    <w:rsid w:val="00481DAA"/>
    <w:rsid w:val="004823C5"/>
    <w:rsid w:val="004824A2"/>
    <w:rsid w:val="0048417A"/>
    <w:rsid w:val="004853EE"/>
    <w:rsid w:val="004863CF"/>
    <w:rsid w:val="00487306"/>
    <w:rsid w:val="00487475"/>
    <w:rsid w:val="00487543"/>
    <w:rsid w:val="00487A97"/>
    <w:rsid w:val="00487D80"/>
    <w:rsid w:val="00490B5A"/>
    <w:rsid w:val="00490BEA"/>
    <w:rsid w:val="00490D74"/>
    <w:rsid w:val="0049205F"/>
    <w:rsid w:val="004928C2"/>
    <w:rsid w:val="00492902"/>
    <w:rsid w:val="00492A2F"/>
    <w:rsid w:val="00493D32"/>
    <w:rsid w:val="00493DA8"/>
    <w:rsid w:val="0049451E"/>
    <w:rsid w:val="004977AE"/>
    <w:rsid w:val="004A02EE"/>
    <w:rsid w:val="004A1464"/>
    <w:rsid w:val="004A1B8A"/>
    <w:rsid w:val="004A2752"/>
    <w:rsid w:val="004A2F2F"/>
    <w:rsid w:val="004A3995"/>
    <w:rsid w:val="004A3B07"/>
    <w:rsid w:val="004A4A3C"/>
    <w:rsid w:val="004A4E14"/>
    <w:rsid w:val="004A7213"/>
    <w:rsid w:val="004B0D33"/>
    <w:rsid w:val="004B13E7"/>
    <w:rsid w:val="004B14AC"/>
    <w:rsid w:val="004B18EC"/>
    <w:rsid w:val="004B2800"/>
    <w:rsid w:val="004B2AFC"/>
    <w:rsid w:val="004B3264"/>
    <w:rsid w:val="004B34E4"/>
    <w:rsid w:val="004B383A"/>
    <w:rsid w:val="004B397F"/>
    <w:rsid w:val="004B5B5E"/>
    <w:rsid w:val="004B6104"/>
    <w:rsid w:val="004B6C8C"/>
    <w:rsid w:val="004B6D8B"/>
    <w:rsid w:val="004C0454"/>
    <w:rsid w:val="004C19E4"/>
    <w:rsid w:val="004C31AB"/>
    <w:rsid w:val="004C352F"/>
    <w:rsid w:val="004C3568"/>
    <w:rsid w:val="004C387F"/>
    <w:rsid w:val="004C4A6D"/>
    <w:rsid w:val="004C5D12"/>
    <w:rsid w:val="004C5F21"/>
    <w:rsid w:val="004C6F61"/>
    <w:rsid w:val="004C702C"/>
    <w:rsid w:val="004C76B9"/>
    <w:rsid w:val="004C7710"/>
    <w:rsid w:val="004D0423"/>
    <w:rsid w:val="004D2922"/>
    <w:rsid w:val="004D2C0D"/>
    <w:rsid w:val="004D36FD"/>
    <w:rsid w:val="004D4818"/>
    <w:rsid w:val="004D49A3"/>
    <w:rsid w:val="004D4CE7"/>
    <w:rsid w:val="004D58B7"/>
    <w:rsid w:val="004D65BE"/>
    <w:rsid w:val="004D6D72"/>
    <w:rsid w:val="004E0ACA"/>
    <w:rsid w:val="004E0D71"/>
    <w:rsid w:val="004E1795"/>
    <w:rsid w:val="004E4093"/>
    <w:rsid w:val="004F0C3C"/>
    <w:rsid w:val="004F1C28"/>
    <w:rsid w:val="004F3012"/>
    <w:rsid w:val="004F3B68"/>
    <w:rsid w:val="004F5080"/>
    <w:rsid w:val="00500C13"/>
    <w:rsid w:val="00501002"/>
    <w:rsid w:val="005016CE"/>
    <w:rsid w:val="00502337"/>
    <w:rsid w:val="00503AF7"/>
    <w:rsid w:val="00503F1A"/>
    <w:rsid w:val="0050425F"/>
    <w:rsid w:val="0050466C"/>
    <w:rsid w:val="00505813"/>
    <w:rsid w:val="00505B93"/>
    <w:rsid w:val="00505F67"/>
    <w:rsid w:val="00506235"/>
    <w:rsid w:val="0050646C"/>
    <w:rsid w:val="005070F3"/>
    <w:rsid w:val="00507C3F"/>
    <w:rsid w:val="00507CEF"/>
    <w:rsid w:val="00511007"/>
    <w:rsid w:val="00512F93"/>
    <w:rsid w:val="0051363A"/>
    <w:rsid w:val="00514161"/>
    <w:rsid w:val="00514BA9"/>
    <w:rsid w:val="00514C07"/>
    <w:rsid w:val="00514ECC"/>
    <w:rsid w:val="0051766B"/>
    <w:rsid w:val="005201E0"/>
    <w:rsid w:val="00520396"/>
    <w:rsid w:val="00520F7B"/>
    <w:rsid w:val="00520FAC"/>
    <w:rsid w:val="00522104"/>
    <w:rsid w:val="0052210C"/>
    <w:rsid w:val="0052216B"/>
    <w:rsid w:val="0052296C"/>
    <w:rsid w:val="005233AD"/>
    <w:rsid w:val="00523589"/>
    <w:rsid w:val="00523EE1"/>
    <w:rsid w:val="00525190"/>
    <w:rsid w:val="00525756"/>
    <w:rsid w:val="00525A27"/>
    <w:rsid w:val="00525FDE"/>
    <w:rsid w:val="00530E0D"/>
    <w:rsid w:val="00530F14"/>
    <w:rsid w:val="00531771"/>
    <w:rsid w:val="005317AE"/>
    <w:rsid w:val="00532C49"/>
    <w:rsid w:val="00532F5C"/>
    <w:rsid w:val="00533665"/>
    <w:rsid w:val="00533F1E"/>
    <w:rsid w:val="00534681"/>
    <w:rsid w:val="00534C03"/>
    <w:rsid w:val="0053549E"/>
    <w:rsid w:val="00536969"/>
    <w:rsid w:val="005375B4"/>
    <w:rsid w:val="00540183"/>
    <w:rsid w:val="00540F60"/>
    <w:rsid w:val="00541D0B"/>
    <w:rsid w:val="0054386A"/>
    <w:rsid w:val="005442AA"/>
    <w:rsid w:val="00544599"/>
    <w:rsid w:val="00544F60"/>
    <w:rsid w:val="00545126"/>
    <w:rsid w:val="0054674B"/>
    <w:rsid w:val="00547CAA"/>
    <w:rsid w:val="00550169"/>
    <w:rsid w:val="00552DA3"/>
    <w:rsid w:val="005537BC"/>
    <w:rsid w:val="00553905"/>
    <w:rsid w:val="00553B2B"/>
    <w:rsid w:val="00553C72"/>
    <w:rsid w:val="00554681"/>
    <w:rsid w:val="00556B71"/>
    <w:rsid w:val="00557371"/>
    <w:rsid w:val="00557677"/>
    <w:rsid w:val="00557C7E"/>
    <w:rsid w:val="00561E4F"/>
    <w:rsid w:val="005620EA"/>
    <w:rsid w:val="005626D6"/>
    <w:rsid w:val="0056299F"/>
    <w:rsid w:val="00564E10"/>
    <w:rsid w:val="005652D4"/>
    <w:rsid w:val="0056566D"/>
    <w:rsid w:val="00566A74"/>
    <w:rsid w:val="0056716C"/>
    <w:rsid w:val="00567CF6"/>
    <w:rsid w:val="00567F2F"/>
    <w:rsid w:val="00570487"/>
    <w:rsid w:val="00570852"/>
    <w:rsid w:val="00570F55"/>
    <w:rsid w:val="005715A1"/>
    <w:rsid w:val="00571D9B"/>
    <w:rsid w:val="0057279E"/>
    <w:rsid w:val="00572D87"/>
    <w:rsid w:val="0057317A"/>
    <w:rsid w:val="0057373E"/>
    <w:rsid w:val="00573CEF"/>
    <w:rsid w:val="00573E69"/>
    <w:rsid w:val="005744D1"/>
    <w:rsid w:val="00574BA5"/>
    <w:rsid w:val="00574BC5"/>
    <w:rsid w:val="00575640"/>
    <w:rsid w:val="00575E9C"/>
    <w:rsid w:val="00576DC8"/>
    <w:rsid w:val="00577850"/>
    <w:rsid w:val="00580C92"/>
    <w:rsid w:val="00581540"/>
    <w:rsid w:val="00582196"/>
    <w:rsid w:val="00582AB2"/>
    <w:rsid w:val="00582D83"/>
    <w:rsid w:val="005835A4"/>
    <w:rsid w:val="0058411F"/>
    <w:rsid w:val="0058541B"/>
    <w:rsid w:val="00586AB6"/>
    <w:rsid w:val="00587596"/>
    <w:rsid w:val="00587BFC"/>
    <w:rsid w:val="005902FB"/>
    <w:rsid w:val="00590D8C"/>
    <w:rsid w:val="005913E5"/>
    <w:rsid w:val="0059187F"/>
    <w:rsid w:val="00592DAA"/>
    <w:rsid w:val="005947D9"/>
    <w:rsid w:val="00594E6B"/>
    <w:rsid w:val="00596900"/>
    <w:rsid w:val="005971EF"/>
    <w:rsid w:val="00597A7C"/>
    <w:rsid w:val="00597AC2"/>
    <w:rsid w:val="005A0174"/>
    <w:rsid w:val="005A0276"/>
    <w:rsid w:val="005A1555"/>
    <w:rsid w:val="005A17F0"/>
    <w:rsid w:val="005A40EE"/>
    <w:rsid w:val="005A4110"/>
    <w:rsid w:val="005A4B90"/>
    <w:rsid w:val="005A4DF8"/>
    <w:rsid w:val="005A5406"/>
    <w:rsid w:val="005A5A10"/>
    <w:rsid w:val="005A6154"/>
    <w:rsid w:val="005A619D"/>
    <w:rsid w:val="005A6804"/>
    <w:rsid w:val="005A6E4F"/>
    <w:rsid w:val="005A715F"/>
    <w:rsid w:val="005A7B5D"/>
    <w:rsid w:val="005B00D7"/>
    <w:rsid w:val="005B01C4"/>
    <w:rsid w:val="005B0579"/>
    <w:rsid w:val="005B1536"/>
    <w:rsid w:val="005B1B2B"/>
    <w:rsid w:val="005B1C43"/>
    <w:rsid w:val="005B26E3"/>
    <w:rsid w:val="005B271E"/>
    <w:rsid w:val="005B2EE7"/>
    <w:rsid w:val="005B530B"/>
    <w:rsid w:val="005B5633"/>
    <w:rsid w:val="005B56A7"/>
    <w:rsid w:val="005B6A07"/>
    <w:rsid w:val="005B7D3B"/>
    <w:rsid w:val="005C0AC8"/>
    <w:rsid w:val="005C183B"/>
    <w:rsid w:val="005C26FE"/>
    <w:rsid w:val="005C331A"/>
    <w:rsid w:val="005C39FD"/>
    <w:rsid w:val="005C3A7D"/>
    <w:rsid w:val="005C5511"/>
    <w:rsid w:val="005C55AC"/>
    <w:rsid w:val="005C729A"/>
    <w:rsid w:val="005C7AC9"/>
    <w:rsid w:val="005D0A3E"/>
    <w:rsid w:val="005D29CD"/>
    <w:rsid w:val="005D30AE"/>
    <w:rsid w:val="005D3F65"/>
    <w:rsid w:val="005D4CBB"/>
    <w:rsid w:val="005D58D7"/>
    <w:rsid w:val="005D6E5B"/>
    <w:rsid w:val="005E00C8"/>
    <w:rsid w:val="005E063C"/>
    <w:rsid w:val="005E091A"/>
    <w:rsid w:val="005E172E"/>
    <w:rsid w:val="005E1D62"/>
    <w:rsid w:val="005E37E4"/>
    <w:rsid w:val="005E3B58"/>
    <w:rsid w:val="005E3BF0"/>
    <w:rsid w:val="005E589B"/>
    <w:rsid w:val="005E5AAE"/>
    <w:rsid w:val="005E60C9"/>
    <w:rsid w:val="005E623F"/>
    <w:rsid w:val="005E780D"/>
    <w:rsid w:val="005E7E90"/>
    <w:rsid w:val="005F0B3F"/>
    <w:rsid w:val="005F194D"/>
    <w:rsid w:val="005F2A48"/>
    <w:rsid w:val="005F2D4E"/>
    <w:rsid w:val="005F2E53"/>
    <w:rsid w:val="005F2F6E"/>
    <w:rsid w:val="005F33BE"/>
    <w:rsid w:val="005F34D7"/>
    <w:rsid w:val="005F439B"/>
    <w:rsid w:val="005F43C7"/>
    <w:rsid w:val="005F47B3"/>
    <w:rsid w:val="005F5EEE"/>
    <w:rsid w:val="005F60FF"/>
    <w:rsid w:val="005F63FF"/>
    <w:rsid w:val="005F6494"/>
    <w:rsid w:val="005F668B"/>
    <w:rsid w:val="005F675A"/>
    <w:rsid w:val="005F6EF5"/>
    <w:rsid w:val="005F6F08"/>
    <w:rsid w:val="0060041C"/>
    <w:rsid w:val="00601560"/>
    <w:rsid w:val="006016A2"/>
    <w:rsid w:val="00602773"/>
    <w:rsid w:val="00602D97"/>
    <w:rsid w:val="006047C1"/>
    <w:rsid w:val="00604A4A"/>
    <w:rsid w:val="00606F94"/>
    <w:rsid w:val="00607DE5"/>
    <w:rsid w:val="00610E06"/>
    <w:rsid w:val="0061187A"/>
    <w:rsid w:val="006122BA"/>
    <w:rsid w:val="006134D7"/>
    <w:rsid w:val="0061352B"/>
    <w:rsid w:val="006147B9"/>
    <w:rsid w:val="00614C17"/>
    <w:rsid w:val="006150C8"/>
    <w:rsid w:val="00615865"/>
    <w:rsid w:val="00615E88"/>
    <w:rsid w:val="0061649D"/>
    <w:rsid w:val="006168A7"/>
    <w:rsid w:val="00616C26"/>
    <w:rsid w:val="00617255"/>
    <w:rsid w:val="00617AC5"/>
    <w:rsid w:val="006200BA"/>
    <w:rsid w:val="006202B0"/>
    <w:rsid w:val="00620421"/>
    <w:rsid w:val="00621881"/>
    <w:rsid w:val="00621A95"/>
    <w:rsid w:val="0062495C"/>
    <w:rsid w:val="006270EC"/>
    <w:rsid w:val="00627A0B"/>
    <w:rsid w:val="00627A8F"/>
    <w:rsid w:val="00631F3D"/>
    <w:rsid w:val="00632957"/>
    <w:rsid w:val="00632CDD"/>
    <w:rsid w:val="0063364F"/>
    <w:rsid w:val="00634439"/>
    <w:rsid w:val="00635469"/>
    <w:rsid w:val="00636CDF"/>
    <w:rsid w:val="00636EE8"/>
    <w:rsid w:val="00636EF8"/>
    <w:rsid w:val="00636FE2"/>
    <w:rsid w:val="00637F14"/>
    <w:rsid w:val="00637FA7"/>
    <w:rsid w:val="0064056C"/>
    <w:rsid w:val="006409E9"/>
    <w:rsid w:val="00642476"/>
    <w:rsid w:val="00643DC9"/>
    <w:rsid w:val="0064466D"/>
    <w:rsid w:val="00644CC1"/>
    <w:rsid w:val="00644F4D"/>
    <w:rsid w:val="00646377"/>
    <w:rsid w:val="00646C06"/>
    <w:rsid w:val="006478F0"/>
    <w:rsid w:val="00647F51"/>
    <w:rsid w:val="006500E9"/>
    <w:rsid w:val="00650CD6"/>
    <w:rsid w:val="00650D15"/>
    <w:rsid w:val="00651253"/>
    <w:rsid w:val="00651A8E"/>
    <w:rsid w:val="00651F80"/>
    <w:rsid w:val="00653EF8"/>
    <w:rsid w:val="00654051"/>
    <w:rsid w:val="006557A5"/>
    <w:rsid w:val="00655FC4"/>
    <w:rsid w:val="006565E3"/>
    <w:rsid w:val="00656694"/>
    <w:rsid w:val="00656D75"/>
    <w:rsid w:val="00656DE2"/>
    <w:rsid w:val="00657714"/>
    <w:rsid w:val="00657A64"/>
    <w:rsid w:val="006600E9"/>
    <w:rsid w:val="00661913"/>
    <w:rsid w:val="00661E57"/>
    <w:rsid w:val="00662011"/>
    <w:rsid w:val="006629EA"/>
    <w:rsid w:val="00663B24"/>
    <w:rsid w:val="00663BCA"/>
    <w:rsid w:val="00665D6E"/>
    <w:rsid w:val="00666040"/>
    <w:rsid w:val="00666A19"/>
    <w:rsid w:val="00666DAC"/>
    <w:rsid w:val="00667066"/>
    <w:rsid w:val="0066732F"/>
    <w:rsid w:val="00667510"/>
    <w:rsid w:val="00670525"/>
    <w:rsid w:val="0067066E"/>
    <w:rsid w:val="00670ADB"/>
    <w:rsid w:val="00670BB5"/>
    <w:rsid w:val="00670C8C"/>
    <w:rsid w:val="006710E9"/>
    <w:rsid w:val="006711A7"/>
    <w:rsid w:val="006726E9"/>
    <w:rsid w:val="00672758"/>
    <w:rsid w:val="006738DE"/>
    <w:rsid w:val="00673C79"/>
    <w:rsid w:val="00674DDF"/>
    <w:rsid w:val="00675501"/>
    <w:rsid w:val="00676F77"/>
    <w:rsid w:val="00677B38"/>
    <w:rsid w:val="00680D55"/>
    <w:rsid w:val="00681F58"/>
    <w:rsid w:val="0068234A"/>
    <w:rsid w:val="00682CAE"/>
    <w:rsid w:val="00683048"/>
    <w:rsid w:val="00683DCD"/>
    <w:rsid w:val="00683E0F"/>
    <w:rsid w:val="006845F5"/>
    <w:rsid w:val="00684BBC"/>
    <w:rsid w:val="00685365"/>
    <w:rsid w:val="0068619E"/>
    <w:rsid w:val="00686C9D"/>
    <w:rsid w:val="00686FE1"/>
    <w:rsid w:val="006870AC"/>
    <w:rsid w:val="006872E6"/>
    <w:rsid w:val="0068799C"/>
    <w:rsid w:val="00687D2A"/>
    <w:rsid w:val="00690042"/>
    <w:rsid w:val="0069193D"/>
    <w:rsid w:val="00691F40"/>
    <w:rsid w:val="00693280"/>
    <w:rsid w:val="006932DC"/>
    <w:rsid w:val="00693741"/>
    <w:rsid w:val="00693F93"/>
    <w:rsid w:val="00694029"/>
    <w:rsid w:val="00694702"/>
    <w:rsid w:val="006947C0"/>
    <w:rsid w:val="00694F23"/>
    <w:rsid w:val="00696D15"/>
    <w:rsid w:val="006977FE"/>
    <w:rsid w:val="00697952"/>
    <w:rsid w:val="006A0AAA"/>
    <w:rsid w:val="006A25AA"/>
    <w:rsid w:val="006A2D2F"/>
    <w:rsid w:val="006A3744"/>
    <w:rsid w:val="006A4967"/>
    <w:rsid w:val="006A5E25"/>
    <w:rsid w:val="006A64F2"/>
    <w:rsid w:val="006A6D33"/>
    <w:rsid w:val="006A6E6E"/>
    <w:rsid w:val="006B0B2A"/>
    <w:rsid w:val="006B0F31"/>
    <w:rsid w:val="006B145F"/>
    <w:rsid w:val="006B2290"/>
    <w:rsid w:val="006B3EE4"/>
    <w:rsid w:val="006B4C3C"/>
    <w:rsid w:val="006B4EEF"/>
    <w:rsid w:val="006B614A"/>
    <w:rsid w:val="006B7F44"/>
    <w:rsid w:val="006C0283"/>
    <w:rsid w:val="006C0991"/>
    <w:rsid w:val="006C0C9E"/>
    <w:rsid w:val="006C181F"/>
    <w:rsid w:val="006C1888"/>
    <w:rsid w:val="006C18BE"/>
    <w:rsid w:val="006C27CA"/>
    <w:rsid w:val="006C2A7C"/>
    <w:rsid w:val="006C2ABE"/>
    <w:rsid w:val="006C3313"/>
    <w:rsid w:val="006C3B42"/>
    <w:rsid w:val="006C3BBF"/>
    <w:rsid w:val="006C4A8E"/>
    <w:rsid w:val="006C4C4B"/>
    <w:rsid w:val="006C4F30"/>
    <w:rsid w:val="006C50C1"/>
    <w:rsid w:val="006C5291"/>
    <w:rsid w:val="006C5943"/>
    <w:rsid w:val="006C696E"/>
    <w:rsid w:val="006C7762"/>
    <w:rsid w:val="006C77B4"/>
    <w:rsid w:val="006D05D4"/>
    <w:rsid w:val="006D084B"/>
    <w:rsid w:val="006D0D6C"/>
    <w:rsid w:val="006D2B18"/>
    <w:rsid w:val="006D2D18"/>
    <w:rsid w:val="006D3ABF"/>
    <w:rsid w:val="006D3AC4"/>
    <w:rsid w:val="006D3CF5"/>
    <w:rsid w:val="006D3DA1"/>
    <w:rsid w:val="006D5438"/>
    <w:rsid w:val="006D6183"/>
    <w:rsid w:val="006D6916"/>
    <w:rsid w:val="006D79B8"/>
    <w:rsid w:val="006D7E87"/>
    <w:rsid w:val="006E0358"/>
    <w:rsid w:val="006E05D9"/>
    <w:rsid w:val="006E2321"/>
    <w:rsid w:val="006E3811"/>
    <w:rsid w:val="006E6E07"/>
    <w:rsid w:val="006E77E4"/>
    <w:rsid w:val="006F0C60"/>
    <w:rsid w:val="006F1764"/>
    <w:rsid w:val="006F20BD"/>
    <w:rsid w:val="006F4227"/>
    <w:rsid w:val="006F4C34"/>
    <w:rsid w:val="006F4D23"/>
    <w:rsid w:val="006F5427"/>
    <w:rsid w:val="006F6083"/>
    <w:rsid w:val="006F60EB"/>
    <w:rsid w:val="006F7E92"/>
    <w:rsid w:val="00700490"/>
    <w:rsid w:val="0070075F"/>
    <w:rsid w:val="007014B0"/>
    <w:rsid w:val="00703099"/>
    <w:rsid w:val="007049AA"/>
    <w:rsid w:val="00704DD7"/>
    <w:rsid w:val="0070615F"/>
    <w:rsid w:val="00707DA1"/>
    <w:rsid w:val="00710B92"/>
    <w:rsid w:val="00710DCB"/>
    <w:rsid w:val="007120F6"/>
    <w:rsid w:val="007129BF"/>
    <w:rsid w:val="00713236"/>
    <w:rsid w:val="00716352"/>
    <w:rsid w:val="00716EAB"/>
    <w:rsid w:val="007177DD"/>
    <w:rsid w:val="00717D65"/>
    <w:rsid w:val="00717D88"/>
    <w:rsid w:val="007202DB"/>
    <w:rsid w:val="007211ED"/>
    <w:rsid w:val="0072135C"/>
    <w:rsid w:val="00721F41"/>
    <w:rsid w:val="0072389D"/>
    <w:rsid w:val="00723EF1"/>
    <w:rsid w:val="0072425C"/>
    <w:rsid w:val="00724740"/>
    <w:rsid w:val="00724C35"/>
    <w:rsid w:val="00724E53"/>
    <w:rsid w:val="0072623A"/>
    <w:rsid w:val="007266FA"/>
    <w:rsid w:val="00730B70"/>
    <w:rsid w:val="00731C43"/>
    <w:rsid w:val="007325F1"/>
    <w:rsid w:val="00732EE1"/>
    <w:rsid w:val="007405A5"/>
    <w:rsid w:val="007441F0"/>
    <w:rsid w:val="00744485"/>
    <w:rsid w:val="007447C9"/>
    <w:rsid w:val="0074659E"/>
    <w:rsid w:val="00747421"/>
    <w:rsid w:val="007500E1"/>
    <w:rsid w:val="00750820"/>
    <w:rsid w:val="007518C2"/>
    <w:rsid w:val="00751B3F"/>
    <w:rsid w:val="007531C9"/>
    <w:rsid w:val="00753249"/>
    <w:rsid w:val="00754272"/>
    <w:rsid w:val="00754B69"/>
    <w:rsid w:val="00754F85"/>
    <w:rsid w:val="007551CD"/>
    <w:rsid w:val="00755513"/>
    <w:rsid w:val="00755C5A"/>
    <w:rsid w:val="00755FFA"/>
    <w:rsid w:val="007566A1"/>
    <w:rsid w:val="007600AB"/>
    <w:rsid w:val="0076160B"/>
    <w:rsid w:val="00763339"/>
    <w:rsid w:val="007637A4"/>
    <w:rsid w:val="00763A20"/>
    <w:rsid w:val="00763BDB"/>
    <w:rsid w:val="00764242"/>
    <w:rsid w:val="00764547"/>
    <w:rsid w:val="00764D27"/>
    <w:rsid w:val="00764DA9"/>
    <w:rsid w:val="007655DC"/>
    <w:rsid w:val="007657FE"/>
    <w:rsid w:val="00765A89"/>
    <w:rsid w:val="00765C00"/>
    <w:rsid w:val="00766077"/>
    <w:rsid w:val="00771653"/>
    <w:rsid w:val="00772A6A"/>
    <w:rsid w:val="007732E8"/>
    <w:rsid w:val="00773511"/>
    <w:rsid w:val="00774A0D"/>
    <w:rsid w:val="00774A15"/>
    <w:rsid w:val="00774C67"/>
    <w:rsid w:val="007762DC"/>
    <w:rsid w:val="00776380"/>
    <w:rsid w:val="007769DC"/>
    <w:rsid w:val="00776B2A"/>
    <w:rsid w:val="007773F0"/>
    <w:rsid w:val="0078139C"/>
    <w:rsid w:val="007825A1"/>
    <w:rsid w:val="007829A3"/>
    <w:rsid w:val="00786A2F"/>
    <w:rsid w:val="0079002D"/>
    <w:rsid w:val="00790576"/>
    <w:rsid w:val="00790F23"/>
    <w:rsid w:val="00791070"/>
    <w:rsid w:val="00791D8A"/>
    <w:rsid w:val="0079259E"/>
    <w:rsid w:val="00792EC1"/>
    <w:rsid w:val="00793A4A"/>
    <w:rsid w:val="00793FCE"/>
    <w:rsid w:val="007942D3"/>
    <w:rsid w:val="00794B4E"/>
    <w:rsid w:val="007957EA"/>
    <w:rsid w:val="007965F0"/>
    <w:rsid w:val="007967F5"/>
    <w:rsid w:val="00797177"/>
    <w:rsid w:val="00797265"/>
    <w:rsid w:val="007A1650"/>
    <w:rsid w:val="007A2E3D"/>
    <w:rsid w:val="007A2E57"/>
    <w:rsid w:val="007A32CE"/>
    <w:rsid w:val="007A401F"/>
    <w:rsid w:val="007A4519"/>
    <w:rsid w:val="007A48B9"/>
    <w:rsid w:val="007A532C"/>
    <w:rsid w:val="007A53E6"/>
    <w:rsid w:val="007A5A6E"/>
    <w:rsid w:val="007A5D7A"/>
    <w:rsid w:val="007A5E3E"/>
    <w:rsid w:val="007A67D3"/>
    <w:rsid w:val="007B0369"/>
    <w:rsid w:val="007B2E63"/>
    <w:rsid w:val="007B4E3E"/>
    <w:rsid w:val="007B5098"/>
    <w:rsid w:val="007B59D9"/>
    <w:rsid w:val="007B5C8D"/>
    <w:rsid w:val="007B6159"/>
    <w:rsid w:val="007B6C09"/>
    <w:rsid w:val="007B7082"/>
    <w:rsid w:val="007B7797"/>
    <w:rsid w:val="007B79D4"/>
    <w:rsid w:val="007B7A17"/>
    <w:rsid w:val="007C046E"/>
    <w:rsid w:val="007C101E"/>
    <w:rsid w:val="007C10B9"/>
    <w:rsid w:val="007C208B"/>
    <w:rsid w:val="007C2173"/>
    <w:rsid w:val="007C232E"/>
    <w:rsid w:val="007C23E5"/>
    <w:rsid w:val="007C3D91"/>
    <w:rsid w:val="007C49A9"/>
    <w:rsid w:val="007C67AF"/>
    <w:rsid w:val="007C7659"/>
    <w:rsid w:val="007C78B5"/>
    <w:rsid w:val="007D03C1"/>
    <w:rsid w:val="007D26B4"/>
    <w:rsid w:val="007D3942"/>
    <w:rsid w:val="007D40C6"/>
    <w:rsid w:val="007D430A"/>
    <w:rsid w:val="007D4340"/>
    <w:rsid w:val="007D4BF9"/>
    <w:rsid w:val="007D578A"/>
    <w:rsid w:val="007D5A3D"/>
    <w:rsid w:val="007D5DAA"/>
    <w:rsid w:val="007D610E"/>
    <w:rsid w:val="007D643F"/>
    <w:rsid w:val="007D65B0"/>
    <w:rsid w:val="007D7008"/>
    <w:rsid w:val="007E09DA"/>
    <w:rsid w:val="007E0A54"/>
    <w:rsid w:val="007E0A6B"/>
    <w:rsid w:val="007E0F25"/>
    <w:rsid w:val="007E259B"/>
    <w:rsid w:val="007E261B"/>
    <w:rsid w:val="007E3C4E"/>
    <w:rsid w:val="007E3E34"/>
    <w:rsid w:val="007E482E"/>
    <w:rsid w:val="007E530E"/>
    <w:rsid w:val="007E5501"/>
    <w:rsid w:val="007E5514"/>
    <w:rsid w:val="007E621A"/>
    <w:rsid w:val="007E7634"/>
    <w:rsid w:val="007E7C8E"/>
    <w:rsid w:val="007F000F"/>
    <w:rsid w:val="007F028B"/>
    <w:rsid w:val="007F372F"/>
    <w:rsid w:val="007F3838"/>
    <w:rsid w:val="007F48EF"/>
    <w:rsid w:val="007F76A0"/>
    <w:rsid w:val="00800A21"/>
    <w:rsid w:val="00800A69"/>
    <w:rsid w:val="00801295"/>
    <w:rsid w:val="00801BC4"/>
    <w:rsid w:val="00802A20"/>
    <w:rsid w:val="00803191"/>
    <w:rsid w:val="0080358E"/>
    <w:rsid w:val="00806332"/>
    <w:rsid w:val="00806A19"/>
    <w:rsid w:val="008071BD"/>
    <w:rsid w:val="00810292"/>
    <w:rsid w:val="00811490"/>
    <w:rsid w:val="00812914"/>
    <w:rsid w:val="00812DDC"/>
    <w:rsid w:val="00813063"/>
    <w:rsid w:val="008133E0"/>
    <w:rsid w:val="00813E2F"/>
    <w:rsid w:val="00813E7D"/>
    <w:rsid w:val="00813FD5"/>
    <w:rsid w:val="0081454F"/>
    <w:rsid w:val="00815048"/>
    <w:rsid w:val="00815BC8"/>
    <w:rsid w:val="008162AF"/>
    <w:rsid w:val="008163E4"/>
    <w:rsid w:val="008168AC"/>
    <w:rsid w:val="008171D6"/>
    <w:rsid w:val="008178B6"/>
    <w:rsid w:val="008211FF"/>
    <w:rsid w:val="008216BB"/>
    <w:rsid w:val="008218FE"/>
    <w:rsid w:val="00821E5D"/>
    <w:rsid w:val="00822E21"/>
    <w:rsid w:val="00823C6E"/>
    <w:rsid w:val="00825A91"/>
    <w:rsid w:val="00825B73"/>
    <w:rsid w:val="00825B7D"/>
    <w:rsid w:val="00827E44"/>
    <w:rsid w:val="00830029"/>
    <w:rsid w:val="0083015F"/>
    <w:rsid w:val="00831E8B"/>
    <w:rsid w:val="00833D58"/>
    <w:rsid w:val="008341D3"/>
    <w:rsid w:val="008356BC"/>
    <w:rsid w:val="008361D3"/>
    <w:rsid w:val="00837045"/>
    <w:rsid w:val="008370B9"/>
    <w:rsid w:val="0083731C"/>
    <w:rsid w:val="00837BA2"/>
    <w:rsid w:val="008400C9"/>
    <w:rsid w:val="00840157"/>
    <w:rsid w:val="0084082B"/>
    <w:rsid w:val="00840B11"/>
    <w:rsid w:val="00840D72"/>
    <w:rsid w:val="0084119D"/>
    <w:rsid w:val="0084173E"/>
    <w:rsid w:val="00841B7C"/>
    <w:rsid w:val="00841E57"/>
    <w:rsid w:val="00842CD0"/>
    <w:rsid w:val="008436DD"/>
    <w:rsid w:val="008438B9"/>
    <w:rsid w:val="00844263"/>
    <w:rsid w:val="0084479A"/>
    <w:rsid w:val="008448B2"/>
    <w:rsid w:val="008452A0"/>
    <w:rsid w:val="0084543B"/>
    <w:rsid w:val="008458C3"/>
    <w:rsid w:val="008462E3"/>
    <w:rsid w:val="00846677"/>
    <w:rsid w:val="00846DB0"/>
    <w:rsid w:val="008477A2"/>
    <w:rsid w:val="00850E65"/>
    <w:rsid w:val="00850FAB"/>
    <w:rsid w:val="008524C8"/>
    <w:rsid w:val="00854DC7"/>
    <w:rsid w:val="00855666"/>
    <w:rsid w:val="008561CF"/>
    <w:rsid w:val="008561FE"/>
    <w:rsid w:val="00857A9A"/>
    <w:rsid w:val="00860955"/>
    <w:rsid w:val="0086139F"/>
    <w:rsid w:val="00861EBF"/>
    <w:rsid w:val="00863852"/>
    <w:rsid w:val="00863A14"/>
    <w:rsid w:val="00864217"/>
    <w:rsid w:val="00865832"/>
    <w:rsid w:val="00865AC7"/>
    <w:rsid w:val="00865B74"/>
    <w:rsid w:val="00867B0C"/>
    <w:rsid w:val="00867B7C"/>
    <w:rsid w:val="00870F4C"/>
    <w:rsid w:val="008714D1"/>
    <w:rsid w:val="00871BA4"/>
    <w:rsid w:val="00871C01"/>
    <w:rsid w:val="00872801"/>
    <w:rsid w:val="00873080"/>
    <w:rsid w:val="00873771"/>
    <w:rsid w:val="008737D5"/>
    <w:rsid w:val="00874D77"/>
    <w:rsid w:val="00874F92"/>
    <w:rsid w:val="0087665B"/>
    <w:rsid w:val="00877648"/>
    <w:rsid w:val="00881F47"/>
    <w:rsid w:val="00885D8C"/>
    <w:rsid w:val="00885FC0"/>
    <w:rsid w:val="008866A4"/>
    <w:rsid w:val="00886DC8"/>
    <w:rsid w:val="00887EF9"/>
    <w:rsid w:val="008914EE"/>
    <w:rsid w:val="0089169A"/>
    <w:rsid w:val="00892279"/>
    <w:rsid w:val="008940F0"/>
    <w:rsid w:val="008960DE"/>
    <w:rsid w:val="0089675D"/>
    <w:rsid w:val="008968AB"/>
    <w:rsid w:val="008978CD"/>
    <w:rsid w:val="00897C38"/>
    <w:rsid w:val="008A0685"/>
    <w:rsid w:val="008A11A8"/>
    <w:rsid w:val="008A33F8"/>
    <w:rsid w:val="008A3964"/>
    <w:rsid w:val="008A39D3"/>
    <w:rsid w:val="008A3CB9"/>
    <w:rsid w:val="008A4014"/>
    <w:rsid w:val="008A4397"/>
    <w:rsid w:val="008A642A"/>
    <w:rsid w:val="008A6627"/>
    <w:rsid w:val="008A6841"/>
    <w:rsid w:val="008B016F"/>
    <w:rsid w:val="008B0E67"/>
    <w:rsid w:val="008B0E70"/>
    <w:rsid w:val="008B283E"/>
    <w:rsid w:val="008B3598"/>
    <w:rsid w:val="008B76A4"/>
    <w:rsid w:val="008B78FB"/>
    <w:rsid w:val="008B7B7F"/>
    <w:rsid w:val="008C0634"/>
    <w:rsid w:val="008C0817"/>
    <w:rsid w:val="008C0E94"/>
    <w:rsid w:val="008C2FE3"/>
    <w:rsid w:val="008C3468"/>
    <w:rsid w:val="008C34E0"/>
    <w:rsid w:val="008C379B"/>
    <w:rsid w:val="008C3AE1"/>
    <w:rsid w:val="008C3DB9"/>
    <w:rsid w:val="008C4017"/>
    <w:rsid w:val="008C41E2"/>
    <w:rsid w:val="008C41FC"/>
    <w:rsid w:val="008C660A"/>
    <w:rsid w:val="008C6F9A"/>
    <w:rsid w:val="008C7270"/>
    <w:rsid w:val="008D1D10"/>
    <w:rsid w:val="008D2299"/>
    <w:rsid w:val="008D22FD"/>
    <w:rsid w:val="008D24ED"/>
    <w:rsid w:val="008D2780"/>
    <w:rsid w:val="008D28D6"/>
    <w:rsid w:val="008D2BEE"/>
    <w:rsid w:val="008D2C01"/>
    <w:rsid w:val="008D2FA2"/>
    <w:rsid w:val="008D5C0C"/>
    <w:rsid w:val="008D7535"/>
    <w:rsid w:val="008D7922"/>
    <w:rsid w:val="008D7965"/>
    <w:rsid w:val="008E11DA"/>
    <w:rsid w:val="008E12C0"/>
    <w:rsid w:val="008E1EC9"/>
    <w:rsid w:val="008E2727"/>
    <w:rsid w:val="008E4134"/>
    <w:rsid w:val="008E45CE"/>
    <w:rsid w:val="008E4635"/>
    <w:rsid w:val="008E4C61"/>
    <w:rsid w:val="008E608F"/>
    <w:rsid w:val="008E60B5"/>
    <w:rsid w:val="008E6B28"/>
    <w:rsid w:val="008F0336"/>
    <w:rsid w:val="008F037C"/>
    <w:rsid w:val="008F1617"/>
    <w:rsid w:val="008F193C"/>
    <w:rsid w:val="008F1DBE"/>
    <w:rsid w:val="008F2151"/>
    <w:rsid w:val="008F249C"/>
    <w:rsid w:val="008F29BD"/>
    <w:rsid w:val="008F43AA"/>
    <w:rsid w:val="008F4922"/>
    <w:rsid w:val="008F4AA0"/>
    <w:rsid w:val="008F4ABD"/>
    <w:rsid w:val="008F5058"/>
    <w:rsid w:val="008F5116"/>
    <w:rsid w:val="008F5156"/>
    <w:rsid w:val="008F532F"/>
    <w:rsid w:val="008F6447"/>
    <w:rsid w:val="008F691D"/>
    <w:rsid w:val="008F6D93"/>
    <w:rsid w:val="008F7A38"/>
    <w:rsid w:val="008F7D0B"/>
    <w:rsid w:val="00901287"/>
    <w:rsid w:val="009012A1"/>
    <w:rsid w:val="009017C7"/>
    <w:rsid w:val="00902549"/>
    <w:rsid w:val="00902A18"/>
    <w:rsid w:val="00902C3B"/>
    <w:rsid w:val="00903485"/>
    <w:rsid w:val="00903827"/>
    <w:rsid w:val="00903E47"/>
    <w:rsid w:val="00904870"/>
    <w:rsid w:val="00904D92"/>
    <w:rsid w:val="0090521A"/>
    <w:rsid w:val="00906A13"/>
    <w:rsid w:val="0090719B"/>
    <w:rsid w:val="00907F35"/>
    <w:rsid w:val="009102DF"/>
    <w:rsid w:val="00910347"/>
    <w:rsid w:val="00910663"/>
    <w:rsid w:val="00911503"/>
    <w:rsid w:val="0091235B"/>
    <w:rsid w:val="0091306D"/>
    <w:rsid w:val="00914248"/>
    <w:rsid w:val="009144CC"/>
    <w:rsid w:val="00915A98"/>
    <w:rsid w:val="009160DF"/>
    <w:rsid w:val="00916325"/>
    <w:rsid w:val="0092054D"/>
    <w:rsid w:val="00920BAA"/>
    <w:rsid w:val="00921147"/>
    <w:rsid w:val="00922D7A"/>
    <w:rsid w:val="0092366A"/>
    <w:rsid w:val="009252CF"/>
    <w:rsid w:val="0092539F"/>
    <w:rsid w:val="009254D4"/>
    <w:rsid w:val="009259D0"/>
    <w:rsid w:val="00925B75"/>
    <w:rsid w:val="00926107"/>
    <w:rsid w:val="00926BE9"/>
    <w:rsid w:val="00926EDA"/>
    <w:rsid w:val="00927C4F"/>
    <w:rsid w:val="0093031A"/>
    <w:rsid w:val="00930B7C"/>
    <w:rsid w:val="00930BA1"/>
    <w:rsid w:val="0093169E"/>
    <w:rsid w:val="0093171F"/>
    <w:rsid w:val="00933D01"/>
    <w:rsid w:val="00934C65"/>
    <w:rsid w:val="00935B31"/>
    <w:rsid w:val="00935F48"/>
    <w:rsid w:val="00936540"/>
    <w:rsid w:val="00936F4B"/>
    <w:rsid w:val="00937F99"/>
    <w:rsid w:val="009404EA"/>
    <w:rsid w:val="009413F4"/>
    <w:rsid w:val="009416EA"/>
    <w:rsid w:val="00941BD8"/>
    <w:rsid w:val="00941C00"/>
    <w:rsid w:val="00942295"/>
    <w:rsid w:val="0094389D"/>
    <w:rsid w:val="00943A4E"/>
    <w:rsid w:val="00945778"/>
    <w:rsid w:val="00945D60"/>
    <w:rsid w:val="00946540"/>
    <w:rsid w:val="00947455"/>
    <w:rsid w:val="009505C9"/>
    <w:rsid w:val="00951D15"/>
    <w:rsid w:val="00952E08"/>
    <w:rsid w:val="00953088"/>
    <w:rsid w:val="009544C7"/>
    <w:rsid w:val="00954965"/>
    <w:rsid w:val="00954F42"/>
    <w:rsid w:val="00955136"/>
    <w:rsid w:val="00956231"/>
    <w:rsid w:val="00956AD0"/>
    <w:rsid w:val="00956C91"/>
    <w:rsid w:val="00956F04"/>
    <w:rsid w:val="00957123"/>
    <w:rsid w:val="009578D6"/>
    <w:rsid w:val="00957DB9"/>
    <w:rsid w:val="00957E88"/>
    <w:rsid w:val="009601C3"/>
    <w:rsid w:val="00960336"/>
    <w:rsid w:val="00960419"/>
    <w:rsid w:val="00960A9A"/>
    <w:rsid w:val="009615E2"/>
    <w:rsid w:val="009616D1"/>
    <w:rsid w:val="009648FE"/>
    <w:rsid w:val="009653C9"/>
    <w:rsid w:val="00965F7C"/>
    <w:rsid w:val="00966767"/>
    <w:rsid w:val="00966BC9"/>
    <w:rsid w:val="00966EB4"/>
    <w:rsid w:val="00967485"/>
    <w:rsid w:val="00967953"/>
    <w:rsid w:val="00967CA6"/>
    <w:rsid w:val="00970410"/>
    <w:rsid w:val="00970BD4"/>
    <w:rsid w:val="00970DD1"/>
    <w:rsid w:val="009717ED"/>
    <w:rsid w:val="0097276D"/>
    <w:rsid w:val="00974999"/>
    <w:rsid w:val="00974BC1"/>
    <w:rsid w:val="00974C85"/>
    <w:rsid w:val="00975CDB"/>
    <w:rsid w:val="00980808"/>
    <w:rsid w:val="00980E54"/>
    <w:rsid w:val="00981962"/>
    <w:rsid w:val="00982283"/>
    <w:rsid w:val="009827BA"/>
    <w:rsid w:val="00983A8C"/>
    <w:rsid w:val="009846DB"/>
    <w:rsid w:val="00984A7D"/>
    <w:rsid w:val="00984EEE"/>
    <w:rsid w:val="009850DB"/>
    <w:rsid w:val="0098587A"/>
    <w:rsid w:val="0098671B"/>
    <w:rsid w:val="00986764"/>
    <w:rsid w:val="00990320"/>
    <w:rsid w:val="009917F9"/>
    <w:rsid w:val="00991C3B"/>
    <w:rsid w:val="00991CC9"/>
    <w:rsid w:val="00992C56"/>
    <w:rsid w:val="00992D86"/>
    <w:rsid w:val="00993093"/>
    <w:rsid w:val="00993DC0"/>
    <w:rsid w:val="00994B0F"/>
    <w:rsid w:val="0099737A"/>
    <w:rsid w:val="0099739A"/>
    <w:rsid w:val="009975FF"/>
    <w:rsid w:val="009979E9"/>
    <w:rsid w:val="009A019C"/>
    <w:rsid w:val="009A08AC"/>
    <w:rsid w:val="009A0977"/>
    <w:rsid w:val="009A1208"/>
    <w:rsid w:val="009A1608"/>
    <w:rsid w:val="009A2720"/>
    <w:rsid w:val="009A3528"/>
    <w:rsid w:val="009A378B"/>
    <w:rsid w:val="009A4500"/>
    <w:rsid w:val="009A4B1C"/>
    <w:rsid w:val="009A4D21"/>
    <w:rsid w:val="009A53B7"/>
    <w:rsid w:val="009A57F0"/>
    <w:rsid w:val="009A7DA5"/>
    <w:rsid w:val="009B0A78"/>
    <w:rsid w:val="009B1111"/>
    <w:rsid w:val="009B1920"/>
    <w:rsid w:val="009B1ABB"/>
    <w:rsid w:val="009B221D"/>
    <w:rsid w:val="009B358E"/>
    <w:rsid w:val="009B3BAC"/>
    <w:rsid w:val="009B418E"/>
    <w:rsid w:val="009B4844"/>
    <w:rsid w:val="009B490E"/>
    <w:rsid w:val="009B5572"/>
    <w:rsid w:val="009B5913"/>
    <w:rsid w:val="009B591F"/>
    <w:rsid w:val="009B6883"/>
    <w:rsid w:val="009B75CC"/>
    <w:rsid w:val="009B7F37"/>
    <w:rsid w:val="009C0063"/>
    <w:rsid w:val="009C0487"/>
    <w:rsid w:val="009C0A05"/>
    <w:rsid w:val="009C14DE"/>
    <w:rsid w:val="009C1595"/>
    <w:rsid w:val="009C35E0"/>
    <w:rsid w:val="009C4127"/>
    <w:rsid w:val="009C4B0C"/>
    <w:rsid w:val="009C4B71"/>
    <w:rsid w:val="009C58FD"/>
    <w:rsid w:val="009C5F37"/>
    <w:rsid w:val="009C62C9"/>
    <w:rsid w:val="009C6B93"/>
    <w:rsid w:val="009C7BB4"/>
    <w:rsid w:val="009D075C"/>
    <w:rsid w:val="009D0FF3"/>
    <w:rsid w:val="009D154D"/>
    <w:rsid w:val="009D1769"/>
    <w:rsid w:val="009D1B59"/>
    <w:rsid w:val="009D2041"/>
    <w:rsid w:val="009D29FE"/>
    <w:rsid w:val="009D30DE"/>
    <w:rsid w:val="009D3435"/>
    <w:rsid w:val="009D42CA"/>
    <w:rsid w:val="009D6222"/>
    <w:rsid w:val="009D6C73"/>
    <w:rsid w:val="009E12E1"/>
    <w:rsid w:val="009E1423"/>
    <w:rsid w:val="009E2851"/>
    <w:rsid w:val="009E2DB2"/>
    <w:rsid w:val="009E2F4F"/>
    <w:rsid w:val="009E3325"/>
    <w:rsid w:val="009E3EC8"/>
    <w:rsid w:val="009E50D3"/>
    <w:rsid w:val="009E6687"/>
    <w:rsid w:val="009E6A86"/>
    <w:rsid w:val="009E6D2C"/>
    <w:rsid w:val="009E763C"/>
    <w:rsid w:val="009E7F63"/>
    <w:rsid w:val="009F0E1D"/>
    <w:rsid w:val="009F0E74"/>
    <w:rsid w:val="009F14BF"/>
    <w:rsid w:val="009F17E2"/>
    <w:rsid w:val="009F4DC2"/>
    <w:rsid w:val="009F4F79"/>
    <w:rsid w:val="009F6C39"/>
    <w:rsid w:val="00A00AE1"/>
    <w:rsid w:val="00A016A8"/>
    <w:rsid w:val="00A017BB"/>
    <w:rsid w:val="00A01A8E"/>
    <w:rsid w:val="00A01DA2"/>
    <w:rsid w:val="00A02225"/>
    <w:rsid w:val="00A03095"/>
    <w:rsid w:val="00A03320"/>
    <w:rsid w:val="00A03528"/>
    <w:rsid w:val="00A03B22"/>
    <w:rsid w:val="00A0418A"/>
    <w:rsid w:val="00A04567"/>
    <w:rsid w:val="00A05C57"/>
    <w:rsid w:val="00A06384"/>
    <w:rsid w:val="00A06EFB"/>
    <w:rsid w:val="00A07301"/>
    <w:rsid w:val="00A1048D"/>
    <w:rsid w:val="00A1196A"/>
    <w:rsid w:val="00A11D35"/>
    <w:rsid w:val="00A123F4"/>
    <w:rsid w:val="00A128AE"/>
    <w:rsid w:val="00A13640"/>
    <w:rsid w:val="00A13ED7"/>
    <w:rsid w:val="00A1430A"/>
    <w:rsid w:val="00A15F47"/>
    <w:rsid w:val="00A16F8A"/>
    <w:rsid w:val="00A17023"/>
    <w:rsid w:val="00A205ED"/>
    <w:rsid w:val="00A20FEC"/>
    <w:rsid w:val="00A2265D"/>
    <w:rsid w:val="00A22DF0"/>
    <w:rsid w:val="00A25D6F"/>
    <w:rsid w:val="00A273E9"/>
    <w:rsid w:val="00A2766E"/>
    <w:rsid w:val="00A307DE"/>
    <w:rsid w:val="00A30BBD"/>
    <w:rsid w:val="00A3136D"/>
    <w:rsid w:val="00A321C0"/>
    <w:rsid w:val="00A3226F"/>
    <w:rsid w:val="00A330AF"/>
    <w:rsid w:val="00A35AC4"/>
    <w:rsid w:val="00A35B93"/>
    <w:rsid w:val="00A35FBE"/>
    <w:rsid w:val="00A372F8"/>
    <w:rsid w:val="00A37C24"/>
    <w:rsid w:val="00A4039C"/>
    <w:rsid w:val="00A403CB"/>
    <w:rsid w:val="00A40588"/>
    <w:rsid w:val="00A419AC"/>
    <w:rsid w:val="00A419FC"/>
    <w:rsid w:val="00A4279D"/>
    <w:rsid w:val="00A428BE"/>
    <w:rsid w:val="00A435DD"/>
    <w:rsid w:val="00A44D87"/>
    <w:rsid w:val="00A45A58"/>
    <w:rsid w:val="00A465DA"/>
    <w:rsid w:val="00A46786"/>
    <w:rsid w:val="00A47BE5"/>
    <w:rsid w:val="00A5175A"/>
    <w:rsid w:val="00A5177C"/>
    <w:rsid w:val="00A51E02"/>
    <w:rsid w:val="00A530B0"/>
    <w:rsid w:val="00A532EC"/>
    <w:rsid w:val="00A54989"/>
    <w:rsid w:val="00A54AE2"/>
    <w:rsid w:val="00A56012"/>
    <w:rsid w:val="00A56819"/>
    <w:rsid w:val="00A577B9"/>
    <w:rsid w:val="00A57E0A"/>
    <w:rsid w:val="00A601F4"/>
    <w:rsid w:val="00A60BB5"/>
    <w:rsid w:val="00A60EED"/>
    <w:rsid w:val="00A61DEC"/>
    <w:rsid w:val="00A628A1"/>
    <w:rsid w:val="00A62A0C"/>
    <w:rsid w:val="00A640BE"/>
    <w:rsid w:val="00A646FF"/>
    <w:rsid w:val="00A64F28"/>
    <w:rsid w:val="00A704EB"/>
    <w:rsid w:val="00A706A1"/>
    <w:rsid w:val="00A715EC"/>
    <w:rsid w:val="00A71826"/>
    <w:rsid w:val="00A71B77"/>
    <w:rsid w:val="00A71E85"/>
    <w:rsid w:val="00A72AF3"/>
    <w:rsid w:val="00A74287"/>
    <w:rsid w:val="00A74351"/>
    <w:rsid w:val="00A75DC5"/>
    <w:rsid w:val="00A75E55"/>
    <w:rsid w:val="00A76499"/>
    <w:rsid w:val="00A80B0D"/>
    <w:rsid w:val="00A80C67"/>
    <w:rsid w:val="00A80CE5"/>
    <w:rsid w:val="00A80E2E"/>
    <w:rsid w:val="00A811C8"/>
    <w:rsid w:val="00A8189C"/>
    <w:rsid w:val="00A82642"/>
    <w:rsid w:val="00A8278E"/>
    <w:rsid w:val="00A82A97"/>
    <w:rsid w:val="00A837CA"/>
    <w:rsid w:val="00A83CAF"/>
    <w:rsid w:val="00A9131D"/>
    <w:rsid w:val="00A91483"/>
    <w:rsid w:val="00A91537"/>
    <w:rsid w:val="00A92636"/>
    <w:rsid w:val="00A93381"/>
    <w:rsid w:val="00A938FF"/>
    <w:rsid w:val="00A93A9B"/>
    <w:rsid w:val="00A93CC3"/>
    <w:rsid w:val="00A951F8"/>
    <w:rsid w:val="00A95817"/>
    <w:rsid w:val="00A958B9"/>
    <w:rsid w:val="00A962BD"/>
    <w:rsid w:val="00A97484"/>
    <w:rsid w:val="00A9749A"/>
    <w:rsid w:val="00A97ABE"/>
    <w:rsid w:val="00A97CAC"/>
    <w:rsid w:val="00AA0F3F"/>
    <w:rsid w:val="00AA1036"/>
    <w:rsid w:val="00AA103A"/>
    <w:rsid w:val="00AA14B7"/>
    <w:rsid w:val="00AA1AF9"/>
    <w:rsid w:val="00AA1F7A"/>
    <w:rsid w:val="00AA2DBF"/>
    <w:rsid w:val="00AA35C1"/>
    <w:rsid w:val="00AA38ED"/>
    <w:rsid w:val="00AA4033"/>
    <w:rsid w:val="00AA5F43"/>
    <w:rsid w:val="00AA61E8"/>
    <w:rsid w:val="00AA7AD1"/>
    <w:rsid w:val="00AA7FE0"/>
    <w:rsid w:val="00AB0820"/>
    <w:rsid w:val="00AB1922"/>
    <w:rsid w:val="00AB19C0"/>
    <w:rsid w:val="00AB1B63"/>
    <w:rsid w:val="00AB2559"/>
    <w:rsid w:val="00AB27B8"/>
    <w:rsid w:val="00AB2DC5"/>
    <w:rsid w:val="00AB33AF"/>
    <w:rsid w:val="00AB3840"/>
    <w:rsid w:val="00AB466F"/>
    <w:rsid w:val="00AB5E36"/>
    <w:rsid w:val="00AB625C"/>
    <w:rsid w:val="00AB6460"/>
    <w:rsid w:val="00AB65A8"/>
    <w:rsid w:val="00AC00FA"/>
    <w:rsid w:val="00AC1A55"/>
    <w:rsid w:val="00AC2A7D"/>
    <w:rsid w:val="00AC2C0A"/>
    <w:rsid w:val="00AC3027"/>
    <w:rsid w:val="00AC3BE3"/>
    <w:rsid w:val="00AC4FBD"/>
    <w:rsid w:val="00AC58E6"/>
    <w:rsid w:val="00AC591C"/>
    <w:rsid w:val="00AC5ED7"/>
    <w:rsid w:val="00AC7472"/>
    <w:rsid w:val="00AC79DD"/>
    <w:rsid w:val="00AC7BA1"/>
    <w:rsid w:val="00AD1226"/>
    <w:rsid w:val="00AD1380"/>
    <w:rsid w:val="00AD147E"/>
    <w:rsid w:val="00AD2AEA"/>
    <w:rsid w:val="00AD36C5"/>
    <w:rsid w:val="00AD39EE"/>
    <w:rsid w:val="00AD42F9"/>
    <w:rsid w:val="00AD4530"/>
    <w:rsid w:val="00AD4ADB"/>
    <w:rsid w:val="00AD4CA9"/>
    <w:rsid w:val="00AD4D9D"/>
    <w:rsid w:val="00AE0911"/>
    <w:rsid w:val="00AE0DD3"/>
    <w:rsid w:val="00AE1219"/>
    <w:rsid w:val="00AE1461"/>
    <w:rsid w:val="00AE1725"/>
    <w:rsid w:val="00AE1D47"/>
    <w:rsid w:val="00AE2713"/>
    <w:rsid w:val="00AE35E5"/>
    <w:rsid w:val="00AE3FDF"/>
    <w:rsid w:val="00AE54BE"/>
    <w:rsid w:val="00AE5C76"/>
    <w:rsid w:val="00AE6BB5"/>
    <w:rsid w:val="00AE7009"/>
    <w:rsid w:val="00AE7843"/>
    <w:rsid w:val="00AF0168"/>
    <w:rsid w:val="00AF06B8"/>
    <w:rsid w:val="00AF11BD"/>
    <w:rsid w:val="00AF126A"/>
    <w:rsid w:val="00AF1515"/>
    <w:rsid w:val="00AF18F8"/>
    <w:rsid w:val="00AF1917"/>
    <w:rsid w:val="00AF1BF6"/>
    <w:rsid w:val="00AF1DB4"/>
    <w:rsid w:val="00AF1F9A"/>
    <w:rsid w:val="00AF3855"/>
    <w:rsid w:val="00AF3F24"/>
    <w:rsid w:val="00AF42A3"/>
    <w:rsid w:val="00AF464C"/>
    <w:rsid w:val="00AF46BC"/>
    <w:rsid w:val="00B008A8"/>
    <w:rsid w:val="00B0161A"/>
    <w:rsid w:val="00B0205B"/>
    <w:rsid w:val="00B02D93"/>
    <w:rsid w:val="00B03003"/>
    <w:rsid w:val="00B035E9"/>
    <w:rsid w:val="00B04085"/>
    <w:rsid w:val="00B04C75"/>
    <w:rsid w:val="00B04D39"/>
    <w:rsid w:val="00B0517B"/>
    <w:rsid w:val="00B100D4"/>
    <w:rsid w:val="00B13089"/>
    <w:rsid w:val="00B13E93"/>
    <w:rsid w:val="00B147CB"/>
    <w:rsid w:val="00B14C26"/>
    <w:rsid w:val="00B14F1B"/>
    <w:rsid w:val="00B1555C"/>
    <w:rsid w:val="00B15682"/>
    <w:rsid w:val="00B173D1"/>
    <w:rsid w:val="00B20E01"/>
    <w:rsid w:val="00B22F76"/>
    <w:rsid w:val="00B232CC"/>
    <w:rsid w:val="00B23BC4"/>
    <w:rsid w:val="00B23D62"/>
    <w:rsid w:val="00B24091"/>
    <w:rsid w:val="00B247CC"/>
    <w:rsid w:val="00B27611"/>
    <w:rsid w:val="00B31729"/>
    <w:rsid w:val="00B32032"/>
    <w:rsid w:val="00B3360C"/>
    <w:rsid w:val="00B3369F"/>
    <w:rsid w:val="00B338B8"/>
    <w:rsid w:val="00B33B91"/>
    <w:rsid w:val="00B33CD2"/>
    <w:rsid w:val="00B34E8C"/>
    <w:rsid w:val="00B35079"/>
    <w:rsid w:val="00B351A7"/>
    <w:rsid w:val="00B3633A"/>
    <w:rsid w:val="00B37889"/>
    <w:rsid w:val="00B40FC9"/>
    <w:rsid w:val="00B414F5"/>
    <w:rsid w:val="00B41D3B"/>
    <w:rsid w:val="00B432D6"/>
    <w:rsid w:val="00B4408C"/>
    <w:rsid w:val="00B44476"/>
    <w:rsid w:val="00B4541E"/>
    <w:rsid w:val="00B45D75"/>
    <w:rsid w:val="00B4661F"/>
    <w:rsid w:val="00B47175"/>
    <w:rsid w:val="00B47624"/>
    <w:rsid w:val="00B479A1"/>
    <w:rsid w:val="00B47B3E"/>
    <w:rsid w:val="00B5104E"/>
    <w:rsid w:val="00B5139D"/>
    <w:rsid w:val="00B51774"/>
    <w:rsid w:val="00B51DF4"/>
    <w:rsid w:val="00B52329"/>
    <w:rsid w:val="00B52665"/>
    <w:rsid w:val="00B5281D"/>
    <w:rsid w:val="00B52832"/>
    <w:rsid w:val="00B52ACF"/>
    <w:rsid w:val="00B53726"/>
    <w:rsid w:val="00B53A07"/>
    <w:rsid w:val="00B53FC1"/>
    <w:rsid w:val="00B5475C"/>
    <w:rsid w:val="00B55BB7"/>
    <w:rsid w:val="00B561DA"/>
    <w:rsid w:val="00B56474"/>
    <w:rsid w:val="00B56A83"/>
    <w:rsid w:val="00B56DBE"/>
    <w:rsid w:val="00B56FEA"/>
    <w:rsid w:val="00B572E8"/>
    <w:rsid w:val="00B5785F"/>
    <w:rsid w:val="00B61B93"/>
    <w:rsid w:val="00B62991"/>
    <w:rsid w:val="00B62EFE"/>
    <w:rsid w:val="00B63AE2"/>
    <w:rsid w:val="00B63B05"/>
    <w:rsid w:val="00B63FFF"/>
    <w:rsid w:val="00B64333"/>
    <w:rsid w:val="00B662A2"/>
    <w:rsid w:val="00B6638B"/>
    <w:rsid w:val="00B6692A"/>
    <w:rsid w:val="00B70148"/>
    <w:rsid w:val="00B708B0"/>
    <w:rsid w:val="00B71029"/>
    <w:rsid w:val="00B71D0C"/>
    <w:rsid w:val="00B72873"/>
    <w:rsid w:val="00B72929"/>
    <w:rsid w:val="00B7472C"/>
    <w:rsid w:val="00B74F74"/>
    <w:rsid w:val="00B7677E"/>
    <w:rsid w:val="00B7754A"/>
    <w:rsid w:val="00B77A86"/>
    <w:rsid w:val="00B77CEF"/>
    <w:rsid w:val="00B77D81"/>
    <w:rsid w:val="00B81003"/>
    <w:rsid w:val="00B82A24"/>
    <w:rsid w:val="00B83C03"/>
    <w:rsid w:val="00B85935"/>
    <w:rsid w:val="00B85AA6"/>
    <w:rsid w:val="00B86C40"/>
    <w:rsid w:val="00B87896"/>
    <w:rsid w:val="00B87F67"/>
    <w:rsid w:val="00B910C4"/>
    <w:rsid w:val="00B915D8"/>
    <w:rsid w:val="00B91B8F"/>
    <w:rsid w:val="00B91B9C"/>
    <w:rsid w:val="00B9237B"/>
    <w:rsid w:val="00B928E7"/>
    <w:rsid w:val="00B92930"/>
    <w:rsid w:val="00B93BBD"/>
    <w:rsid w:val="00B9468B"/>
    <w:rsid w:val="00B947C2"/>
    <w:rsid w:val="00B954E0"/>
    <w:rsid w:val="00B95505"/>
    <w:rsid w:val="00B96F0B"/>
    <w:rsid w:val="00BA045C"/>
    <w:rsid w:val="00BA2B53"/>
    <w:rsid w:val="00BA2F32"/>
    <w:rsid w:val="00BA3A32"/>
    <w:rsid w:val="00BA4A1C"/>
    <w:rsid w:val="00BA4A5A"/>
    <w:rsid w:val="00BA4B3F"/>
    <w:rsid w:val="00BA4BDE"/>
    <w:rsid w:val="00BA65BD"/>
    <w:rsid w:val="00BA7FCB"/>
    <w:rsid w:val="00BB1A8D"/>
    <w:rsid w:val="00BB1EF2"/>
    <w:rsid w:val="00BB2042"/>
    <w:rsid w:val="00BB2222"/>
    <w:rsid w:val="00BB2C6D"/>
    <w:rsid w:val="00BB2D72"/>
    <w:rsid w:val="00BB2F35"/>
    <w:rsid w:val="00BB2FD8"/>
    <w:rsid w:val="00BB4331"/>
    <w:rsid w:val="00BB4987"/>
    <w:rsid w:val="00BB4CF2"/>
    <w:rsid w:val="00BB54B2"/>
    <w:rsid w:val="00BB7D12"/>
    <w:rsid w:val="00BB7D48"/>
    <w:rsid w:val="00BC1A0F"/>
    <w:rsid w:val="00BC22B6"/>
    <w:rsid w:val="00BC26C4"/>
    <w:rsid w:val="00BC4440"/>
    <w:rsid w:val="00BC5640"/>
    <w:rsid w:val="00BC5783"/>
    <w:rsid w:val="00BC5EC0"/>
    <w:rsid w:val="00BC78D9"/>
    <w:rsid w:val="00BC798D"/>
    <w:rsid w:val="00BD0079"/>
    <w:rsid w:val="00BD0533"/>
    <w:rsid w:val="00BD0B3A"/>
    <w:rsid w:val="00BD15D5"/>
    <w:rsid w:val="00BD1F01"/>
    <w:rsid w:val="00BD2036"/>
    <w:rsid w:val="00BE0315"/>
    <w:rsid w:val="00BE1721"/>
    <w:rsid w:val="00BE1E87"/>
    <w:rsid w:val="00BE3C2A"/>
    <w:rsid w:val="00BE4069"/>
    <w:rsid w:val="00BE5A23"/>
    <w:rsid w:val="00BE7BD4"/>
    <w:rsid w:val="00BF0E54"/>
    <w:rsid w:val="00BF30EB"/>
    <w:rsid w:val="00BF3534"/>
    <w:rsid w:val="00BF359E"/>
    <w:rsid w:val="00BF3CB4"/>
    <w:rsid w:val="00BF4710"/>
    <w:rsid w:val="00BF4C8E"/>
    <w:rsid w:val="00BF58BF"/>
    <w:rsid w:val="00BF6120"/>
    <w:rsid w:val="00BF7987"/>
    <w:rsid w:val="00BF7F36"/>
    <w:rsid w:val="00C001F4"/>
    <w:rsid w:val="00C00E30"/>
    <w:rsid w:val="00C00F8A"/>
    <w:rsid w:val="00C0141A"/>
    <w:rsid w:val="00C01C9C"/>
    <w:rsid w:val="00C01F8F"/>
    <w:rsid w:val="00C031AD"/>
    <w:rsid w:val="00C04F31"/>
    <w:rsid w:val="00C0586D"/>
    <w:rsid w:val="00C072E7"/>
    <w:rsid w:val="00C077FE"/>
    <w:rsid w:val="00C1012B"/>
    <w:rsid w:val="00C10474"/>
    <w:rsid w:val="00C110E7"/>
    <w:rsid w:val="00C1239C"/>
    <w:rsid w:val="00C1273A"/>
    <w:rsid w:val="00C13C8F"/>
    <w:rsid w:val="00C140AB"/>
    <w:rsid w:val="00C140AF"/>
    <w:rsid w:val="00C1420F"/>
    <w:rsid w:val="00C146A0"/>
    <w:rsid w:val="00C14A0E"/>
    <w:rsid w:val="00C15242"/>
    <w:rsid w:val="00C16B09"/>
    <w:rsid w:val="00C1726C"/>
    <w:rsid w:val="00C177E9"/>
    <w:rsid w:val="00C21F62"/>
    <w:rsid w:val="00C21FE7"/>
    <w:rsid w:val="00C221AB"/>
    <w:rsid w:val="00C244E5"/>
    <w:rsid w:val="00C24563"/>
    <w:rsid w:val="00C24C10"/>
    <w:rsid w:val="00C25F57"/>
    <w:rsid w:val="00C262DE"/>
    <w:rsid w:val="00C26F46"/>
    <w:rsid w:val="00C32709"/>
    <w:rsid w:val="00C33DB6"/>
    <w:rsid w:val="00C34276"/>
    <w:rsid w:val="00C34E1E"/>
    <w:rsid w:val="00C366D6"/>
    <w:rsid w:val="00C369ED"/>
    <w:rsid w:val="00C373E5"/>
    <w:rsid w:val="00C40653"/>
    <w:rsid w:val="00C40AB4"/>
    <w:rsid w:val="00C40FF6"/>
    <w:rsid w:val="00C41517"/>
    <w:rsid w:val="00C41756"/>
    <w:rsid w:val="00C41BE0"/>
    <w:rsid w:val="00C4260D"/>
    <w:rsid w:val="00C4298A"/>
    <w:rsid w:val="00C42D76"/>
    <w:rsid w:val="00C442B8"/>
    <w:rsid w:val="00C45BCA"/>
    <w:rsid w:val="00C45DA1"/>
    <w:rsid w:val="00C518BD"/>
    <w:rsid w:val="00C51D27"/>
    <w:rsid w:val="00C52498"/>
    <w:rsid w:val="00C53950"/>
    <w:rsid w:val="00C53B09"/>
    <w:rsid w:val="00C54C83"/>
    <w:rsid w:val="00C54D64"/>
    <w:rsid w:val="00C55D54"/>
    <w:rsid w:val="00C571AA"/>
    <w:rsid w:val="00C579F9"/>
    <w:rsid w:val="00C6053B"/>
    <w:rsid w:val="00C60766"/>
    <w:rsid w:val="00C60A12"/>
    <w:rsid w:val="00C619DA"/>
    <w:rsid w:val="00C62EF4"/>
    <w:rsid w:val="00C63813"/>
    <w:rsid w:val="00C64633"/>
    <w:rsid w:val="00C64843"/>
    <w:rsid w:val="00C64BEE"/>
    <w:rsid w:val="00C6640B"/>
    <w:rsid w:val="00C668D7"/>
    <w:rsid w:val="00C678AE"/>
    <w:rsid w:val="00C71E54"/>
    <w:rsid w:val="00C72437"/>
    <w:rsid w:val="00C727E6"/>
    <w:rsid w:val="00C72F22"/>
    <w:rsid w:val="00C73B25"/>
    <w:rsid w:val="00C73B33"/>
    <w:rsid w:val="00C73B39"/>
    <w:rsid w:val="00C74354"/>
    <w:rsid w:val="00C747F8"/>
    <w:rsid w:val="00C751C2"/>
    <w:rsid w:val="00C75330"/>
    <w:rsid w:val="00C75BBF"/>
    <w:rsid w:val="00C7657F"/>
    <w:rsid w:val="00C765A7"/>
    <w:rsid w:val="00C76C09"/>
    <w:rsid w:val="00C77298"/>
    <w:rsid w:val="00C77D52"/>
    <w:rsid w:val="00C804B2"/>
    <w:rsid w:val="00C80C28"/>
    <w:rsid w:val="00C80EDD"/>
    <w:rsid w:val="00C810E3"/>
    <w:rsid w:val="00C8132F"/>
    <w:rsid w:val="00C81C9A"/>
    <w:rsid w:val="00C81FB8"/>
    <w:rsid w:val="00C827F1"/>
    <w:rsid w:val="00C85FD1"/>
    <w:rsid w:val="00C8674D"/>
    <w:rsid w:val="00C87004"/>
    <w:rsid w:val="00C87101"/>
    <w:rsid w:val="00C903CE"/>
    <w:rsid w:val="00C9161D"/>
    <w:rsid w:val="00C91E6F"/>
    <w:rsid w:val="00C92124"/>
    <w:rsid w:val="00C92C5C"/>
    <w:rsid w:val="00C9388F"/>
    <w:rsid w:val="00C939F5"/>
    <w:rsid w:val="00C93ED8"/>
    <w:rsid w:val="00C94451"/>
    <w:rsid w:val="00C94869"/>
    <w:rsid w:val="00C94C62"/>
    <w:rsid w:val="00C94CD7"/>
    <w:rsid w:val="00C96044"/>
    <w:rsid w:val="00C970CF"/>
    <w:rsid w:val="00CA0077"/>
    <w:rsid w:val="00CA09A5"/>
    <w:rsid w:val="00CA0D0D"/>
    <w:rsid w:val="00CA0F6C"/>
    <w:rsid w:val="00CA1000"/>
    <w:rsid w:val="00CA1950"/>
    <w:rsid w:val="00CA4284"/>
    <w:rsid w:val="00CA4977"/>
    <w:rsid w:val="00CA554C"/>
    <w:rsid w:val="00CA5760"/>
    <w:rsid w:val="00CA638B"/>
    <w:rsid w:val="00CA73C1"/>
    <w:rsid w:val="00CA7B4B"/>
    <w:rsid w:val="00CA7F43"/>
    <w:rsid w:val="00CB0AFC"/>
    <w:rsid w:val="00CB0B76"/>
    <w:rsid w:val="00CB0E3D"/>
    <w:rsid w:val="00CB3D84"/>
    <w:rsid w:val="00CB4842"/>
    <w:rsid w:val="00CB4BF4"/>
    <w:rsid w:val="00CB6565"/>
    <w:rsid w:val="00CB65BA"/>
    <w:rsid w:val="00CB727A"/>
    <w:rsid w:val="00CB776B"/>
    <w:rsid w:val="00CC08AC"/>
    <w:rsid w:val="00CC0B14"/>
    <w:rsid w:val="00CC1B1B"/>
    <w:rsid w:val="00CC35EA"/>
    <w:rsid w:val="00CC6EBB"/>
    <w:rsid w:val="00CC7537"/>
    <w:rsid w:val="00CD025F"/>
    <w:rsid w:val="00CD0D4D"/>
    <w:rsid w:val="00CD3546"/>
    <w:rsid w:val="00CD41BE"/>
    <w:rsid w:val="00CD4D1B"/>
    <w:rsid w:val="00CD4D59"/>
    <w:rsid w:val="00CD5E60"/>
    <w:rsid w:val="00CD6005"/>
    <w:rsid w:val="00CD68D3"/>
    <w:rsid w:val="00CD715C"/>
    <w:rsid w:val="00CD71AC"/>
    <w:rsid w:val="00CD7569"/>
    <w:rsid w:val="00CD7CD4"/>
    <w:rsid w:val="00CD7D18"/>
    <w:rsid w:val="00CE0C4B"/>
    <w:rsid w:val="00CE1D02"/>
    <w:rsid w:val="00CE1E85"/>
    <w:rsid w:val="00CE2D1B"/>
    <w:rsid w:val="00CE2E9A"/>
    <w:rsid w:val="00CE2FFC"/>
    <w:rsid w:val="00CE3E94"/>
    <w:rsid w:val="00CE42C8"/>
    <w:rsid w:val="00CE44FA"/>
    <w:rsid w:val="00CE581E"/>
    <w:rsid w:val="00CE5C00"/>
    <w:rsid w:val="00CE642A"/>
    <w:rsid w:val="00CE64C2"/>
    <w:rsid w:val="00CE680C"/>
    <w:rsid w:val="00CE71B8"/>
    <w:rsid w:val="00CE71E6"/>
    <w:rsid w:val="00CE75C7"/>
    <w:rsid w:val="00CF1848"/>
    <w:rsid w:val="00CF21AA"/>
    <w:rsid w:val="00CF3479"/>
    <w:rsid w:val="00CF3CAC"/>
    <w:rsid w:val="00CF3DD0"/>
    <w:rsid w:val="00CF4B58"/>
    <w:rsid w:val="00CF4E4C"/>
    <w:rsid w:val="00CF5CCF"/>
    <w:rsid w:val="00CF663A"/>
    <w:rsid w:val="00CF6746"/>
    <w:rsid w:val="00CF74E1"/>
    <w:rsid w:val="00CF796E"/>
    <w:rsid w:val="00D00C5C"/>
    <w:rsid w:val="00D01954"/>
    <w:rsid w:val="00D01B20"/>
    <w:rsid w:val="00D02435"/>
    <w:rsid w:val="00D03D29"/>
    <w:rsid w:val="00D06176"/>
    <w:rsid w:val="00D06510"/>
    <w:rsid w:val="00D07050"/>
    <w:rsid w:val="00D07A62"/>
    <w:rsid w:val="00D101DE"/>
    <w:rsid w:val="00D10D60"/>
    <w:rsid w:val="00D112C6"/>
    <w:rsid w:val="00D12044"/>
    <w:rsid w:val="00D12067"/>
    <w:rsid w:val="00D12232"/>
    <w:rsid w:val="00D12347"/>
    <w:rsid w:val="00D12980"/>
    <w:rsid w:val="00D130D8"/>
    <w:rsid w:val="00D14785"/>
    <w:rsid w:val="00D14A9B"/>
    <w:rsid w:val="00D158A8"/>
    <w:rsid w:val="00D161AA"/>
    <w:rsid w:val="00D16A11"/>
    <w:rsid w:val="00D210A1"/>
    <w:rsid w:val="00D21FE3"/>
    <w:rsid w:val="00D2253B"/>
    <w:rsid w:val="00D22802"/>
    <w:rsid w:val="00D23019"/>
    <w:rsid w:val="00D23CEF"/>
    <w:rsid w:val="00D24094"/>
    <w:rsid w:val="00D25393"/>
    <w:rsid w:val="00D257AB"/>
    <w:rsid w:val="00D25AB9"/>
    <w:rsid w:val="00D26AC0"/>
    <w:rsid w:val="00D27123"/>
    <w:rsid w:val="00D27958"/>
    <w:rsid w:val="00D27A7C"/>
    <w:rsid w:val="00D31948"/>
    <w:rsid w:val="00D32E03"/>
    <w:rsid w:val="00D34849"/>
    <w:rsid w:val="00D3654E"/>
    <w:rsid w:val="00D36EE2"/>
    <w:rsid w:val="00D3704F"/>
    <w:rsid w:val="00D37B60"/>
    <w:rsid w:val="00D37C3C"/>
    <w:rsid w:val="00D40B1C"/>
    <w:rsid w:val="00D41A09"/>
    <w:rsid w:val="00D4202D"/>
    <w:rsid w:val="00D423CC"/>
    <w:rsid w:val="00D440FC"/>
    <w:rsid w:val="00D4448A"/>
    <w:rsid w:val="00D44B36"/>
    <w:rsid w:val="00D459CB"/>
    <w:rsid w:val="00D45A1B"/>
    <w:rsid w:val="00D45CF4"/>
    <w:rsid w:val="00D46469"/>
    <w:rsid w:val="00D47C59"/>
    <w:rsid w:val="00D47D3E"/>
    <w:rsid w:val="00D47FC1"/>
    <w:rsid w:val="00D47FFC"/>
    <w:rsid w:val="00D52D3E"/>
    <w:rsid w:val="00D52D59"/>
    <w:rsid w:val="00D5418F"/>
    <w:rsid w:val="00D54DE3"/>
    <w:rsid w:val="00D55362"/>
    <w:rsid w:val="00D55722"/>
    <w:rsid w:val="00D5592F"/>
    <w:rsid w:val="00D55BF0"/>
    <w:rsid w:val="00D5657D"/>
    <w:rsid w:val="00D56A8C"/>
    <w:rsid w:val="00D607A5"/>
    <w:rsid w:val="00D60B2B"/>
    <w:rsid w:val="00D62C1C"/>
    <w:rsid w:val="00D63314"/>
    <w:rsid w:val="00D634E1"/>
    <w:rsid w:val="00D63F60"/>
    <w:rsid w:val="00D64057"/>
    <w:rsid w:val="00D64ED2"/>
    <w:rsid w:val="00D658FC"/>
    <w:rsid w:val="00D67B31"/>
    <w:rsid w:val="00D67D4A"/>
    <w:rsid w:val="00D704D9"/>
    <w:rsid w:val="00D713A1"/>
    <w:rsid w:val="00D71590"/>
    <w:rsid w:val="00D7369F"/>
    <w:rsid w:val="00D7399D"/>
    <w:rsid w:val="00D73AA7"/>
    <w:rsid w:val="00D76A18"/>
    <w:rsid w:val="00D7792D"/>
    <w:rsid w:val="00D8096E"/>
    <w:rsid w:val="00D82165"/>
    <w:rsid w:val="00D8280E"/>
    <w:rsid w:val="00D83357"/>
    <w:rsid w:val="00D84159"/>
    <w:rsid w:val="00D847ED"/>
    <w:rsid w:val="00D84C03"/>
    <w:rsid w:val="00D84D4C"/>
    <w:rsid w:val="00D84DEB"/>
    <w:rsid w:val="00D84FAD"/>
    <w:rsid w:val="00D86ABA"/>
    <w:rsid w:val="00D86EFF"/>
    <w:rsid w:val="00D8745B"/>
    <w:rsid w:val="00D8754B"/>
    <w:rsid w:val="00D87AF3"/>
    <w:rsid w:val="00D906AE"/>
    <w:rsid w:val="00D90A58"/>
    <w:rsid w:val="00D91F32"/>
    <w:rsid w:val="00D94727"/>
    <w:rsid w:val="00D94884"/>
    <w:rsid w:val="00D9491C"/>
    <w:rsid w:val="00D950B5"/>
    <w:rsid w:val="00D97B68"/>
    <w:rsid w:val="00DA2692"/>
    <w:rsid w:val="00DA4097"/>
    <w:rsid w:val="00DA4303"/>
    <w:rsid w:val="00DA4674"/>
    <w:rsid w:val="00DB0DC2"/>
    <w:rsid w:val="00DB10B5"/>
    <w:rsid w:val="00DB1C6C"/>
    <w:rsid w:val="00DB1CB4"/>
    <w:rsid w:val="00DB26CA"/>
    <w:rsid w:val="00DB3909"/>
    <w:rsid w:val="00DB3AA7"/>
    <w:rsid w:val="00DB53DB"/>
    <w:rsid w:val="00DB6B53"/>
    <w:rsid w:val="00DB6BBD"/>
    <w:rsid w:val="00DC0E93"/>
    <w:rsid w:val="00DC220B"/>
    <w:rsid w:val="00DC25F9"/>
    <w:rsid w:val="00DC489C"/>
    <w:rsid w:val="00DC4E96"/>
    <w:rsid w:val="00DC5D4F"/>
    <w:rsid w:val="00DC5DF1"/>
    <w:rsid w:val="00DC6711"/>
    <w:rsid w:val="00DC7BB3"/>
    <w:rsid w:val="00DD0300"/>
    <w:rsid w:val="00DD0622"/>
    <w:rsid w:val="00DD08D8"/>
    <w:rsid w:val="00DD118C"/>
    <w:rsid w:val="00DD12FD"/>
    <w:rsid w:val="00DD1AFD"/>
    <w:rsid w:val="00DD1B1F"/>
    <w:rsid w:val="00DD1EDC"/>
    <w:rsid w:val="00DD33C4"/>
    <w:rsid w:val="00DD49F2"/>
    <w:rsid w:val="00DD5974"/>
    <w:rsid w:val="00DD5B2F"/>
    <w:rsid w:val="00DD6259"/>
    <w:rsid w:val="00DD649D"/>
    <w:rsid w:val="00DD69D6"/>
    <w:rsid w:val="00DD7AFB"/>
    <w:rsid w:val="00DE0931"/>
    <w:rsid w:val="00DE1FD6"/>
    <w:rsid w:val="00DE2E8D"/>
    <w:rsid w:val="00DE31F6"/>
    <w:rsid w:val="00DE41AB"/>
    <w:rsid w:val="00DE465E"/>
    <w:rsid w:val="00DE64A5"/>
    <w:rsid w:val="00DE660A"/>
    <w:rsid w:val="00DF036E"/>
    <w:rsid w:val="00DF0480"/>
    <w:rsid w:val="00DF145A"/>
    <w:rsid w:val="00DF184E"/>
    <w:rsid w:val="00DF1C57"/>
    <w:rsid w:val="00DF2FC5"/>
    <w:rsid w:val="00DF34C1"/>
    <w:rsid w:val="00DF3BF5"/>
    <w:rsid w:val="00DF46B2"/>
    <w:rsid w:val="00DF4C70"/>
    <w:rsid w:val="00DF5292"/>
    <w:rsid w:val="00DF5C78"/>
    <w:rsid w:val="00DF61C0"/>
    <w:rsid w:val="00E00E34"/>
    <w:rsid w:val="00E03D0A"/>
    <w:rsid w:val="00E04454"/>
    <w:rsid w:val="00E047A8"/>
    <w:rsid w:val="00E04BE7"/>
    <w:rsid w:val="00E069D0"/>
    <w:rsid w:val="00E118AB"/>
    <w:rsid w:val="00E11CE3"/>
    <w:rsid w:val="00E11FA5"/>
    <w:rsid w:val="00E12492"/>
    <w:rsid w:val="00E14119"/>
    <w:rsid w:val="00E145E8"/>
    <w:rsid w:val="00E14EC5"/>
    <w:rsid w:val="00E16C3A"/>
    <w:rsid w:val="00E173E7"/>
    <w:rsid w:val="00E20288"/>
    <w:rsid w:val="00E214B5"/>
    <w:rsid w:val="00E22922"/>
    <w:rsid w:val="00E23806"/>
    <w:rsid w:val="00E23F29"/>
    <w:rsid w:val="00E24313"/>
    <w:rsid w:val="00E245B9"/>
    <w:rsid w:val="00E25104"/>
    <w:rsid w:val="00E253B6"/>
    <w:rsid w:val="00E25779"/>
    <w:rsid w:val="00E25B0A"/>
    <w:rsid w:val="00E2605A"/>
    <w:rsid w:val="00E2655F"/>
    <w:rsid w:val="00E267D8"/>
    <w:rsid w:val="00E27915"/>
    <w:rsid w:val="00E27E00"/>
    <w:rsid w:val="00E30B12"/>
    <w:rsid w:val="00E30D25"/>
    <w:rsid w:val="00E30EF8"/>
    <w:rsid w:val="00E323D6"/>
    <w:rsid w:val="00E32EC8"/>
    <w:rsid w:val="00E34EE8"/>
    <w:rsid w:val="00E354E6"/>
    <w:rsid w:val="00E35BA4"/>
    <w:rsid w:val="00E37005"/>
    <w:rsid w:val="00E37046"/>
    <w:rsid w:val="00E37328"/>
    <w:rsid w:val="00E37662"/>
    <w:rsid w:val="00E3782E"/>
    <w:rsid w:val="00E4089A"/>
    <w:rsid w:val="00E40A14"/>
    <w:rsid w:val="00E40C0D"/>
    <w:rsid w:val="00E42330"/>
    <w:rsid w:val="00E4234A"/>
    <w:rsid w:val="00E42EE2"/>
    <w:rsid w:val="00E431B9"/>
    <w:rsid w:val="00E431DC"/>
    <w:rsid w:val="00E43551"/>
    <w:rsid w:val="00E45144"/>
    <w:rsid w:val="00E45374"/>
    <w:rsid w:val="00E466D3"/>
    <w:rsid w:val="00E5035F"/>
    <w:rsid w:val="00E50731"/>
    <w:rsid w:val="00E51AAA"/>
    <w:rsid w:val="00E54398"/>
    <w:rsid w:val="00E54405"/>
    <w:rsid w:val="00E56958"/>
    <w:rsid w:val="00E60843"/>
    <w:rsid w:val="00E608B9"/>
    <w:rsid w:val="00E62FE7"/>
    <w:rsid w:val="00E630F6"/>
    <w:rsid w:val="00E63222"/>
    <w:rsid w:val="00E641E7"/>
    <w:rsid w:val="00E64F8D"/>
    <w:rsid w:val="00E65147"/>
    <w:rsid w:val="00E651AF"/>
    <w:rsid w:val="00E6526F"/>
    <w:rsid w:val="00E66235"/>
    <w:rsid w:val="00E66B25"/>
    <w:rsid w:val="00E71F3F"/>
    <w:rsid w:val="00E722F0"/>
    <w:rsid w:val="00E72300"/>
    <w:rsid w:val="00E72491"/>
    <w:rsid w:val="00E724D9"/>
    <w:rsid w:val="00E72D75"/>
    <w:rsid w:val="00E73BBA"/>
    <w:rsid w:val="00E7597E"/>
    <w:rsid w:val="00E76AEF"/>
    <w:rsid w:val="00E76BB8"/>
    <w:rsid w:val="00E77D68"/>
    <w:rsid w:val="00E8054B"/>
    <w:rsid w:val="00E80EAE"/>
    <w:rsid w:val="00E814F8"/>
    <w:rsid w:val="00E81A07"/>
    <w:rsid w:val="00E83468"/>
    <w:rsid w:val="00E8379F"/>
    <w:rsid w:val="00E83C24"/>
    <w:rsid w:val="00E842AF"/>
    <w:rsid w:val="00E85068"/>
    <w:rsid w:val="00E85698"/>
    <w:rsid w:val="00E85AE3"/>
    <w:rsid w:val="00E86B62"/>
    <w:rsid w:val="00E873EE"/>
    <w:rsid w:val="00E87C19"/>
    <w:rsid w:val="00E907C1"/>
    <w:rsid w:val="00E90933"/>
    <w:rsid w:val="00E9198B"/>
    <w:rsid w:val="00E91BDB"/>
    <w:rsid w:val="00E92630"/>
    <w:rsid w:val="00E92753"/>
    <w:rsid w:val="00E9296E"/>
    <w:rsid w:val="00E9318D"/>
    <w:rsid w:val="00E94720"/>
    <w:rsid w:val="00E9481E"/>
    <w:rsid w:val="00E9522F"/>
    <w:rsid w:val="00E9571F"/>
    <w:rsid w:val="00E96B90"/>
    <w:rsid w:val="00E97F99"/>
    <w:rsid w:val="00EA271D"/>
    <w:rsid w:val="00EA2EA4"/>
    <w:rsid w:val="00EA31C8"/>
    <w:rsid w:val="00EA37E9"/>
    <w:rsid w:val="00EA464A"/>
    <w:rsid w:val="00EA728E"/>
    <w:rsid w:val="00EA72D2"/>
    <w:rsid w:val="00EA7D02"/>
    <w:rsid w:val="00EA7F56"/>
    <w:rsid w:val="00EB00D8"/>
    <w:rsid w:val="00EB1890"/>
    <w:rsid w:val="00EB1B35"/>
    <w:rsid w:val="00EB268F"/>
    <w:rsid w:val="00EB381A"/>
    <w:rsid w:val="00EB4A30"/>
    <w:rsid w:val="00EB563C"/>
    <w:rsid w:val="00EB5A07"/>
    <w:rsid w:val="00EB6784"/>
    <w:rsid w:val="00EB6818"/>
    <w:rsid w:val="00EB6BAE"/>
    <w:rsid w:val="00EB6D87"/>
    <w:rsid w:val="00EB7324"/>
    <w:rsid w:val="00EB77C0"/>
    <w:rsid w:val="00EC033E"/>
    <w:rsid w:val="00EC0370"/>
    <w:rsid w:val="00EC1393"/>
    <w:rsid w:val="00EC1B27"/>
    <w:rsid w:val="00EC2508"/>
    <w:rsid w:val="00EC3043"/>
    <w:rsid w:val="00EC53E4"/>
    <w:rsid w:val="00EC7B01"/>
    <w:rsid w:val="00ED0849"/>
    <w:rsid w:val="00ED0DF1"/>
    <w:rsid w:val="00ED1AC9"/>
    <w:rsid w:val="00ED2A51"/>
    <w:rsid w:val="00ED34A3"/>
    <w:rsid w:val="00ED3A9A"/>
    <w:rsid w:val="00ED3B71"/>
    <w:rsid w:val="00ED3D29"/>
    <w:rsid w:val="00ED4239"/>
    <w:rsid w:val="00ED4D36"/>
    <w:rsid w:val="00ED4ECA"/>
    <w:rsid w:val="00ED51E0"/>
    <w:rsid w:val="00ED5AFA"/>
    <w:rsid w:val="00ED7990"/>
    <w:rsid w:val="00EE00D6"/>
    <w:rsid w:val="00EE07DB"/>
    <w:rsid w:val="00EE127B"/>
    <w:rsid w:val="00EE146B"/>
    <w:rsid w:val="00EE195C"/>
    <w:rsid w:val="00EE2618"/>
    <w:rsid w:val="00EE43C7"/>
    <w:rsid w:val="00EE4669"/>
    <w:rsid w:val="00EE4A81"/>
    <w:rsid w:val="00EE530F"/>
    <w:rsid w:val="00EE5619"/>
    <w:rsid w:val="00EE5FD0"/>
    <w:rsid w:val="00EE6366"/>
    <w:rsid w:val="00EE6697"/>
    <w:rsid w:val="00EE7740"/>
    <w:rsid w:val="00EF0DFC"/>
    <w:rsid w:val="00EF15A7"/>
    <w:rsid w:val="00EF2E4D"/>
    <w:rsid w:val="00EF350E"/>
    <w:rsid w:val="00EF3EBB"/>
    <w:rsid w:val="00EF41BF"/>
    <w:rsid w:val="00EF4554"/>
    <w:rsid w:val="00EF482C"/>
    <w:rsid w:val="00EF502C"/>
    <w:rsid w:val="00EF5664"/>
    <w:rsid w:val="00EF5787"/>
    <w:rsid w:val="00EF5DF2"/>
    <w:rsid w:val="00EF6437"/>
    <w:rsid w:val="00EF6A29"/>
    <w:rsid w:val="00EF6E0A"/>
    <w:rsid w:val="00EF7DA4"/>
    <w:rsid w:val="00F01DD3"/>
    <w:rsid w:val="00F023B7"/>
    <w:rsid w:val="00F03932"/>
    <w:rsid w:val="00F03F8D"/>
    <w:rsid w:val="00F04630"/>
    <w:rsid w:val="00F05231"/>
    <w:rsid w:val="00F06D01"/>
    <w:rsid w:val="00F07BB8"/>
    <w:rsid w:val="00F10EFB"/>
    <w:rsid w:val="00F12660"/>
    <w:rsid w:val="00F1268C"/>
    <w:rsid w:val="00F13215"/>
    <w:rsid w:val="00F132E5"/>
    <w:rsid w:val="00F14EBA"/>
    <w:rsid w:val="00F15D2A"/>
    <w:rsid w:val="00F15DB5"/>
    <w:rsid w:val="00F16155"/>
    <w:rsid w:val="00F17BA0"/>
    <w:rsid w:val="00F20607"/>
    <w:rsid w:val="00F216F7"/>
    <w:rsid w:val="00F21C86"/>
    <w:rsid w:val="00F21D68"/>
    <w:rsid w:val="00F23206"/>
    <w:rsid w:val="00F233E3"/>
    <w:rsid w:val="00F23AF9"/>
    <w:rsid w:val="00F23D5D"/>
    <w:rsid w:val="00F2419A"/>
    <w:rsid w:val="00F24E8F"/>
    <w:rsid w:val="00F27410"/>
    <w:rsid w:val="00F303D7"/>
    <w:rsid w:val="00F310CC"/>
    <w:rsid w:val="00F3115A"/>
    <w:rsid w:val="00F315E0"/>
    <w:rsid w:val="00F31CEA"/>
    <w:rsid w:val="00F3449E"/>
    <w:rsid w:val="00F364AB"/>
    <w:rsid w:val="00F36AF6"/>
    <w:rsid w:val="00F3755E"/>
    <w:rsid w:val="00F37BF2"/>
    <w:rsid w:val="00F37D13"/>
    <w:rsid w:val="00F4085A"/>
    <w:rsid w:val="00F41C33"/>
    <w:rsid w:val="00F424C4"/>
    <w:rsid w:val="00F424CA"/>
    <w:rsid w:val="00F439BC"/>
    <w:rsid w:val="00F43F47"/>
    <w:rsid w:val="00F44073"/>
    <w:rsid w:val="00F446EC"/>
    <w:rsid w:val="00F4495C"/>
    <w:rsid w:val="00F45259"/>
    <w:rsid w:val="00F452E4"/>
    <w:rsid w:val="00F45556"/>
    <w:rsid w:val="00F45B2D"/>
    <w:rsid w:val="00F45C0A"/>
    <w:rsid w:val="00F4607D"/>
    <w:rsid w:val="00F46DA9"/>
    <w:rsid w:val="00F4748C"/>
    <w:rsid w:val="00F50174"/>
    <w:rsid w:val="00F50256"/>
    <w:rsid w:val="00F520E3"/>
    <w:rsid w:val="00F525DE"/>
    <w:rsid w:val="00F532B8"/>
    <w:rsid w:val="00F5391D"/>
    <w:rsid w:val="00F53C99"/>
    <w:rsid w:val="00F53E2F"/>
    <w:rsid w:val="00F54783"/>
    <w:rsid w:val="00F54853"/>
    <w:rsid w:val="00F54E18"/>
    <w:rsid w:val="00F55C23"/>
    <w:rsid w:val="00F56E62"/>
    <w:rsid w:val="00F5754E"/>
    <w:rsid w:val="00F57C77"/>
    <w:rsid w:val="00F57D94"/>
    <w:rsid w:val="00F608EA"/>
    <w:rsid w:val="00F61526"/>
    <w:rsid w:val="00F62CAB"/>
    <w:rsid w:val="00F64C3F"/>
    <w:rsid w:val="00F6561B"/>
    <w:rsid w:val="00F65B56"/>
    <w:rsid w:val="00F65F13"/>
    <w:rsid w:val="00F661E2"/>
    <w:rsid w:val="00F667ED"/>
    <w:rsid w:val="00F67013"/>
    <w:rsid w:val="00F67484"/>
    <w:rsid w:val="00F674E5"/>
    <w:rsid w:val="00F67648"/>
    <w:rsid w:val="00F70505"/>
    <w:rsid w:val="00F7223F"/>
    <w:rsid w:val="00F74DF9"/>
    <w:rsid w:val="00F7583E"/>
    <w:rsid w:val="00F76CA0"/>
    <w:rsid w:val="00F773A5"/>
    <w:rsid w:val="00F80A86"/>
    <w:rsid w:val="00F8105B"/>
    <w:rsid w:val="00F82932"/>
    <w:rsid w:val="00F82C81"/>
    <w:rsid w:val="00F82F50"/>
    <w:rsid w:val="00F832E2"/>
    <w:rsid w:val="00F83B93"/>
    <w:rsid w:val="00F85601"/>
    <w:rsid w:val="00F86620"/>
    <w:rsid w:val="00F86A2E"/>
    <w:rsid w:val="00F86BB1"/>
    <w:rsid w:val="00F90397"/>
    <w:rsid w:val="00F905CA"/>
    <w:rsid w:val="00F906B9"/>
    <w:rsid w:val="00F90C0E"/>
    <w:rsid w:val="00F91248"/>
    <w:rsid w:val="00F91457"/>
    <w:rsid w:val="00F936CA"/>
    <w:rsid w:val="00F946A6"/>
    <w:rsid w:val="00F946AB"/>
    <w:rsid w:val="00F94774"/>
    <w:rsid w:val="00F94C5B"/>
    <w:rsid w:val="00F94CC5"/>
    <w:rsid w:val="00F95190"/>
    <w:rsid w:val="00F951DF"/>
    <w:rsid w:val="00F959B4"/>
    <w:rsid w:val="00F96179"/>
    <w:rsid w:val="00F96443"/>
    <w:rsid w:val="00F96BD6"/>
    <w:rsid w:val="00F977DC"/>
    <w:rsid w:val="00F97AFE"/>
    <w:rsid w:val="00FA0148"/>
    <w:rsid w:val="00FA1925"/>
    <w:rsid w:val="00FA1934"/>
    <w:rsid w:val="00FA2041"/>
    <w:rsid w:val="00FA36C8"/>
    <w:rsid w:val="00FA3DEE"/>
    <w:rsid w:val="00FA3E21"/>
    <w:rsid w:val="00FA3EDF"/>
    <w:rsid w:val="00FA5306"/>
    <w:rsid w:val="00FA5586"/>
    <w:rsid w:val="00FB0746"/>
    <w:rsid w:val="00FB22A8"/>
    <w:rsid w:val="00FB29C8"/>
    <w:rsid w:val="00FB2F4F"/>
    <w:rsid w:val="00FB3284"/>
    <w:rsid w:val="00FB391C"/>
    <w:rsid w:val="00FB4366"/>
    <w:rsid w:val="00FB5450"/>
    <w:rsid w:val="00FB5A60"/>
    <w:rsid w:val="00FB5DF9"/>
    <w:rsid w:val="00FB646C"/>
    <w:rsid w:val="00FB6677"/>
    <w:rsid w:val="00FB6CEE"/>
    <w:rsid w:val="00FB77D8"/>
    <w:rsid w:val="00FB7CB4"/>
    <w:rsid w:val="00FC0A3E"/>
    <w:rsid w:val="00FC0F43"/>
    <w:rsid w:val="00FC2C36"/>
    <w:rsid w:val="00FC3310"/>
    <w:rsid w:val="00FC36D0"/>
    <w:rsid w:val="00FC493E"/>
    <w:rsid w:val="00FC502A"/>
    <w:rsid w:val="00FC53DB"/>
    <w:rsid w:val="00FC573D"/>
    <w:rsid w:val="00FC5A8B"/>
    <w:rsid w:val="00FC6126"/>
    <w:rsid w:val="00FC6ECC"/>
    <w:rsid w:val="00FC6F9C"/>
    <w:rsid w:val="00FC7BD5"/>
    <w:rsid w:val="00FC7C19"/>
    <w:rsid w:val="00FD0E52"/>
    <w:rsid w:val="00FD1872"/>
    <w:rsid w:val="00FD2CAE"/>
    <w:rsid w:val="00FD2EAC"/>
    <w:rsid w:val="00FD49FB"/>
    <w:rsid w:val="00FD504D"/>
    <w:rsid w:val="00FD50F6"/>
    <w:rsid w:val="00FD5BE3"/>
    <w:rsid w:val="00FD66FD"/>
    <w:rsid w:val="00FD6A93"/>
    <w:rsid w:val="00FD6BC6"/>
    <w:rsid w:val="00FD6DB0"/>
    <w:rsid w:val="00FD6E31"/>
    <w:rsid w:val="00FD74D6"/>
    <w:rsid w:val="00FD7D81"/>
    <w:rsid w:val="00FE0320"/>
    <w:rsid w:val="00FE07F6"/>
    <w:rsid w:val="00FE17EA"/>
    <w:rsid w:val="00FE1C10"/>
    <w:rsid w:val="00FE2DFE"/>
    <w:rsid w:val="00FE33B9"/>
    <w:rsid w:val="00FE4DFF"/>
    <w:rsid w:val="00FE6148"/>
    <w:rsid w:val="00FE6F58"/>
    <w:rsid w:val="00FF03B8"/>
    <w:rsid w:val="00FF0B8F"/>
    <w:rsid w:val="00FF2267"/>
    <w:rsid w:val="00FF29C5"/>
    <w:rsid w:val="00FF29CF"/>
    <w:rsid w:val="00FF4A53"/>
    <w:rsid w:val="00FF546F"/>
    <w:rsid w:val="00FF6114"/>
    <w:rsid w:val="00FF6951"/>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15:docId w15:val="{B5C6C1F6-2A5B-4BCB-B443-8B7FB142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573F"/>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ru-RU"/>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ru-RU"/>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ru-RU"/>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ru-RU"/>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ru-RU"/>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ru-RU"/>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ru-RU"/>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ru-RU"/>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ru-RU"/>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ru-RU"/>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ru-RU"/>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ru-RU"/>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ru-RU"/>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ru-RU"/>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ru-RU"/>
    </w:rPr>
  </w:style>
  <w:style w:type="character" w:customStyle="1" w:styleId="Heading7Char">
    <w:name w:val="Heading 7 Char"/>
    <w:basedOn w:val="DefaultParagraphFont"/>
    <w:link w:val="Heading7"/>
    <w:rsid w:val="007E09DA"/>
    <w:rPr>
      <w:rFonts w:ascii="Univers" w:eastAsia="Times New Roman" w:hAnsi="Univers" w:cs="Times New Roman"/>
      <w:b/>
      <w:sz w:val="28"/>
      <w:lang w:val="ru-RU"/>
    </w:rPr>
  </w:style>
  <w:style w:type="character" w:customStyle="1" w:styleId="Heading8Char">
    <w:name w:val="Heading 8 Char"/>
    <w:basedOn w:val="DefaultParagraphFont"/>
    <w:link w:val="Heading8"/>
    <w:rsid w:val="007E09DA"/>
    <w:rPr>
      <w:rFonts w:ascii="Univers" w:eastAsia="Times New Roman" w:hAnsi="Univers" w:cs="Times New Roman"/>
      <w:b/>
      <w:sz w:val="32"/>
      <w:lang w:val="ru-RU"/>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ru-RU"/>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BE1E87"/>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BE1E87"/>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174E7E"/>
    <w:rPr>
      <w:color w:val="808080"/>
      <w:shd w:val="clear" w:color="auto" w:fill="E6E6E6"/>
    </w:rPr>
  </w:style>
  <w:style w:type="paragraph" w:styleId="Revision">
    <w:name w:val="Revision"/>
    <w:hidden/>
    <w:uiPriority w:val="99"/>
    <w:semiHidden/>
    <w:rsid w:val="007C7659"/>
    <w:rPr>
      <w:rFonts w:ascii="Times New Roman" w:eastAsia="Times New Roman" w:hAnsi="Times New Roman" w:cs="Times New Roman"/>
      <w:sz w:val="22"/>
    </w:rPr>
  </w:style>
  <w:style w:type="character" w:customStyle="1" w:styleId="ListParagraphChar">
    <w:name w:val="List Paragraph Char"/>
    <w:basedOn w:val="DefaultParagraphFont"/>
    <w:link w:val="ListParagraph"/>
    <w:uiPriority w:val="34"/>
    <w:qFormat/>
    <w:locked/>
    <w:rsid w:val="00405799"/>
    <w:rPr>
      <w:rFonts w:ascii="Times New Roman" w:eastAsia="Times New Roman" w:hAnsi="Times New Roman" w:cs="Times New Roman"/>
      <w:sz w:val="22"/>
      <w:lang w:val="ru-RU"/>
    </w:rPr>
  </w:style>
  <w:style w:type="paragraph" w:customStyle="1" w:styleId="Default">
    <w:name w:val="Default"/>
    <w:rsid w:val="002D6637"/>
    <w:pPr>
      <w:autoSpaceDE w:val="0"/>
      <w:autoSpaceDN w:val="0"/>
      <w:adjustRightInd w:val="0"/>
    </w:pPr>
    <w:rPr>
      <w:rFonts w:ascii="Times New Roman" w:hAnsi="Times New Roman" w:cs="Times New Roman"/>
      <w:color w:val="000000"/>
    </w:rPr>
  </w:style>
  <w:style w:type="character" w:customStyle="1" w:styleId="UnresolvedMention2">
    <w:name w:val="Unresolved Mention2"/>
    <w:basedOn w:val="DefaultParagraphFont"/>
    <w:uiPriority w:val="99"/>
    <w:semiHidden/>
    <w:unhideWhenUsed/>
    <w:rsid w:val="005B26E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56231"/>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56231"/>
    <w:rPr>
      <w:rFonts w:ascii="Times New Roman" w:eastAsia="Times New Roman" w:hAnsi="Times New Roman" w:cs="Times New Roman"/>
      <w:b/>
      <w:bCs/>
      <w:sz w:val="20"/>
      <w:szCs w:val="20"/>
      <w:lang w:val="ru-RU"/>
    </w:rPr>
  </w:style>
  <w:style w:type="character" w:customStyle="1" w:styleId="UnresolvedMention3">
    <w:name w:val="Unresolved Mention3"/>
    <w:basedOn w:val="DefaultParagraphFont"/>
    <w:uiPriority w:val="99"/>
    <w:semiHidden/>
    <w:unhideWhenUsed/>
    <w:rsid w:val="00D5418F"/>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72389D"/>
    <w:pPr>
      <w:spacing w:after="160" w:line="240" w:lineRule="exact"/>
    </w:pPr>
    <w:rPr>
      <w:rFonts w:asciiTheme="minorHAnsi" w:eastAsiaTheme="minorEastAsia" w:hAnsiTheme="minorHAnsi" w:cstheme="minorBidi"/>
      <w:vertAlign w:val="superscript"/>
    </w:rPr>
  </w:style>
  <w:style w:type="paragraph" w:customStyle="1" w:styleId="CBD-Para-i">
    <w:name w:val="CBD-Para-i"/>
    <w:basedOn w:val="Normal"/>
    <w:rsid w:val="000E687F"/>
    <w:pPr>
      <w:tabs>
        <w:tab w:val="num" w:pos="1814"/>
        <w:tab w:val="left" w:pos="2160"/>
        <w:tab w:val="left" w:pos="2880"/>
      </w:tabs>
      <w:spacing w:before="80" w:after="80"/>
      <w:ind w:left="1814" w:hanging="170"/>
    </w:pPr>
    <w:rPr>
      <w:szCs w:val="20"/>
    </w:rPr>
  </w:style>
  <w:style w:type="paragraph" w:customStyle="1" w:styleId="aident">
    <w:name w:val="(a) ident"/>
    <w:basedOn w:val="Normal"/>
    <w:rsid w:val="00A4039C"/>
    <w:pPr>
      <w:tabs>
        <w:tab w:val="num" w:pos="1077"/>
      </w:tabs>
      <w:autoSpaceDE w:val="0"/>
      <w:autoSpaceDN w:val="0"/>
      <w:snapToGrid w:val="0"/>
      <w:spacing w:before="120" w:after="120"/>
      <w:ind w:left="1077" w:hanging="357"/>
    </w:pPr>
    <w:rPr>
      <w:rFonts w:eastAsia="MS Mincho" w:cs="Angsana New"/>
      <w:szCs w:val="18"/>
    </w:rPr>
  </w:style>
  <w:style w:type="character" w:styleId="Strong">
    <w:name w:val="Strong"/>
    <w:basedOn w:val="DefaultParagraphFont"/>
    <w:qFormat/>
    <w:rsid w:val="00A4039C"/>
    <w:rPr>
      <w:b/>
      <w:bCs/>
    </w:rPr>
  </w:style>
  <w:style w:type="character" w:customStyle="1" w:styleId="UnresolvedMention4">
    <w:name w:val="Unresolved Mention4"/>
    <w:basedOn w:val="DefaultParagraphFont"/>
    <w:uiPriority w:val="99"/>
    <w:semiHidden/>
    <w:unhideWhenUsed/>
    <w:rsid w:val="00CE680C"/>
    <w:rPr>
      <w:color w:val="605E5C"/>
      <w:shd w:val="clear" w:color="auto" w:fill="E1DFDD"/>
    </w:rPr>
  </w:style>
  <w:style w:type="paragraph" w:customStyle="1" w:styleId="Para">
    <w:name w:val="Para"/>
    <w:link w:val="ParaChar"/>
    <w:uiPriority w:val="4"/>
    <w:qFormat/>
    <w:rsid w:val="00AB466F"/>
    <w:pPr>
      <w:spacing w:before="120" w:after="120" w:line="260" w:lineRule="atLeast"/>
      <w:jc w:val="both"/>
    </w:pPr>
    <w:rPr>
      <w:rFonts w:eastAsiaTheme="minorHAnsi"/>
      <w:color w:val="000000" w:themeColor="text1"/>
      <w:sz w:val="20"/>
      <w:szCs w:val="22"/>
    </w:rPr>
  </w:style>
  <w:style w:type="character" w:customStyle="1" w:styleId="ParaChar">
    <w:name w:val="Para Char"/>
    <w:basedOn w:val="DefaultParagraphFont"/>
    <w:link w:val="Para"/>
    <w:uiPriority w:val="4"/>
    <w:rsid w:val="00AB466F"/>
    <w:rPr>
      <w:rFonts w:eastAsiaTheme="minorHAnsi"/>
      <w:color w:val="000000" w:themeColor="text1"/>
      <w:sz w:val="20"/>
      <w:szCs w:val="22"/>
      <w:lang w:val="ru-RU"/>
    </w:rPr>
  </w:style>
  <w:style w:type="paragraph" w:customStyle="1" w:styleId="Sourcenotes">
    <w:name w:val="Source &amp; notes"/>
    <w:uiPriority w:val="16"/>
    <w:qFormat/>
    <w:rsid w:val="00AB466F"/>
    <w:pPr>
      <w:keepLines/>
      <w:spacing w:before="120" w:after="360" w:line="220" w:lineRule="exact"/>
      <w:contextualSpacing/>
      <w:jc w:val="both"/>
    </w:pPr>
    <w:rPr>
      <w:rFonts w:asciiTheme="majorHAnsi" w:eastAsiaTheme="minorHAnsi" w:hAnsiTheme="majorHAnsi"/>
      <w:color w:val="000000" w:themeColor="text1"/>
      <w:sz w:val="18"/>
      <w:szCs w:val="22"/>
    </w:rPr>
  </w:style>
  <w:style w:type="paragraph" w:customStyle="1" w:styleId="BoxHeading2">
    <w:name w:val="Box Heading 2"/>
    <w:next w:val="Para"/>
    <w:uiPriority w:val="14"/>
    <w:qFormat/>
    <w:rsid w:val="00AB466F"/>
    <w:pPr>
      <w:spacing w:before="180" w:after="120"/>
    </w:pPr>
    <w:rPr>
      <w:rFonts w:asciiTheme="majorHAnsi" w:eastAsiaTheme="minorHAnsi" w:hAnsiTheme="majorHAnsi"/>
      <w:b/>
      <w:i/>
      <w:color w:val="000000" w:themeColor="text1"/>
      <w:sz w:val="22"/>
      <w:szCs w:val="22"/>
    </w:rPr>
  </w:style>
  <w:style w:type="table" w:customStyle="1" w:styleId="TableGrid1">
    <w:name w:val="Table Grid1"/>
    <w:basedOn w:val="TableNormal"/>
    <w:next w:val="TableGrid"/>
    <w:uiPriority w:val="59"/>
    <w:rsid w:val="00A03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1E433D"/>
    <w:rPr>
      <w:i/>
    </w:rPr>
  </w:style>
  <w:style w:type="character" w:customStyle="1" w:styleId="UnresolvedMention5">
    <w:name w:val="Unresolved Mention5"/>
    <w:basedOn w:val="DefaultParagraphFont"/>
    <w:uiPriority w:val="99"/>
    <w:semiHidden/>
    <w:unhideWhenUsed/>
    <w:rsid w:val="002108F1"/>
    <w:rPr>
      <w:color w:val="605E5C"/>
      <w:shd w:val="clear" w:color="auto" w:fill="E1DFDD"/>
    </w:rPr>
  </w:style>
  <w:style w:type="paragraph" w:styleId="NormalWeb">
    <w:name w:val="Normal (Web)"/>
    <w:basedOn w:val="Normal"/>
    <w:uiPriority w:val="99"/>
    <w:semiHidden/>
    <w:unhideWhenUsed/>
    <w:rsid w:val="00A13640"/>
    <w:rPr>
      <w:sz w:val="24"/>
    </w:rPr>
  </w:style>
  <w:style w:type="character" w:customStyle="1" w:styleId="acronym">
    <w:name w:val="acronym"/>
    <w:basedOn w:val="DefaultParagraphFont"/>
    <w:rsid w:val="009B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0123">
      <w:bodyDiv w:val="1"/>
      <w:marLeft w:val="0"/>
      <w:marRight w:val="0"/>
      <w:marTop w:val="0"/>
      <w:marBottom w:val="0"/>
      <w:divBdr>
        <w:top w:val="none" w:sz="0" w:space="0" w:color="auto"/>
        <w:left w:val="none" w:sz="0" w:space="0" w:color="auto"/>
        <w:bottom w:val="none" w:sz="0" w:space="0" w:color="auto"/>
        <w:right w:val="none" w:sz="0" w:space="0" w:color="auto"/>
      </w:divBdr>
    </w:div>
    <w:div w:id="25061494">
      <w:bodyDiv w:val="1"/>
      <w:marLeft w:val="0"/>
      <w:marRight w:val="0"/>
      <w:marTop w:val="0"/>
      <w:marBottom w:val="0"/>
      <w:divBdr>
        <w:top w:val="none" w:sz="0" w:space="0" w:color="auto"/>
        <w:left w:val="none" w:sz="0" w:space="0" w:color="auto"/>
        <w:bottom w:val="none" w:sz="0" w:space="0" w:color="auto"/>
        <w:right w:val="none" w:sz="0" w:space="0" w:color="auto"/>
      </w:divBdr>
    </w:div>
    <w:div w:id="25915250">
      <w:bodyDiv w:val="1"/>
      <w:marLeft w:val="0"/>
      <w:marRight w:val="0"/>
      <w:marTop w:val="0"/>
      <w:marBottom w:val="0"/>
      <w:divBdr>
        <w:top w:val="none" w:sz="0" w:space="0" w:color="auto"/>
        <w:left w:val="none" w:sz="0" w:space="0" w:color="auto"/>
        <w:bottom w:val="none" w:sz="0" w:space="0" w:color="auto"/>
        <w:right w:val="none" w:sz="0" w:space="0" w:color="auto"/>
      </w:divBdr>
    </w:div>
    <w:div w:id="43795078">
      <w:bodyDiv w:val="1"/>
      <w:marLeft w:val="0"/>
      <w:marRight w:val="0"/>
      <w:marTop w:val="0"/>
      <w:marBottom w:val="0"/>
      <w:divBdr>
        <w:top w:val="none" w:sz="0" w:space="0" w:color="auto"/>
        <w:left w:val="none" w:sz="0" w:space="0" w:color="auto"/>
        <w:bottom w:val="none" w:sz="0" w:space="0" w:color="auto"/>
        <w:right w:val="none" w:sz="0" w:space="0" w:color="auto"/>
      </w:divBdr>
    </w:div>
    <w:div w:id="59641069">
      <w:bodyDiv w:val="1"/>
      <w:marLeft w:val="0"/>
      <w:marRight w:val="0"/>
      <w:marTop w:val="0"/>
      <w:marBottom w:val="0"/>
      <w:divBdr>
        <w:top w:val="none" w:sz="0" w:space="0" w:color="auto"/>
        <w:left w:val="none" w:sz="0" w:space="0" w:color="auto"/>
        <w:bottom w:val="none" w:sz="0" w:space="0" w:color="auto"/>
        <w:right w:val="none" w:sz="0" w:space="0" w:color="auto"/>
      </w:divBdr>
    </w:div>
    <w:div w:id="104930764">
      <w:bodyDiv w:val="1"/>
      <w:marLeft w:val="0"/>
      <w:marRight w:val="0"/>
      <w:marTop w:val="0"/>
      <w:marBottom w:val="0"/>
      <w:divBdr>
        <w:top w:val="none" w:sz="0" w:space="0" w:color="auto"/>
        <w:left w:val="none" w:sz="0" w:space="0" w:color="auto"/>
        <w:bottom w:val="none" w:sz="0" w:space="0" w:color="auto"/>
        <w:right w:val="none" w:sz="0" w:space="0" w:color="auto"/>
      </w:divBdr>
    </w:div>
    <w:div w:id="131097804">
      <w:bodyDiv w:val="1"/>
      <w:marLeft w:val="0"/>
      <w:marRight w:val="0"/>
      <w:marTop w:val="0"/>
      <w:marBottom w:val="0"/>
      <w:divBdr>
        <w:top w:val="none" w:sz="0" w:space="0" w:color="auto"/>
        <w:left w:val="none" w:sz="0" w:space="0" w:color="auto"/>
        <w:bottom w:val="none" w:sz="0" w:space="0" w:color="auto"/>
        <w:right w:val="none" w:sz="0" w:space="0" w:color="auto"/>
      </w:divBdr>
    </w:div>
    <w:div w:id="143209095">
      <w:bodyDiv w:val="1"/>
      <w:marLeft w:val="0"/>
      <w:marRight w:val="0"/>
      <w:marTop w:val="0"/>
      <w:marBottom w:val="0"/>
      <w:divBdr>
        <w:top w:val="none" w:sz="0" w:space="0" w:color="auto"/>
        <w:left w:val="none" w:sz="0" w:space="0" w:color="auto"/>
        <w:bottom w:val="none" w:sz="0" w:space="0" w:color="auto"/>
        <w:right w:val="none" w:sz="0" w:space="0" w:color="auto"/>
      </w:divBdr>
    </w:div>
    <w:div w:id="166209988">
      <w:bodyDiv w:val="1"/>
      <w:marLeft w:val="0"/>
      <w:marRight w:val="0"/>
      <w:marTop w:val="0"/>
      <w:marBottom w:val="0"/>
      <w:divBdr>
        <w:top w:val="none" w:sz="0" w:space="0" w:color="auto"/>
        <w:left w:val="none" w:sz="0" w:space="0" w:color="auto"/>
        <w:bottom w:val="none" w:sz="0" w:space="0" w:color="auto"/>
        <w:right w:val="none" w:sz="0" w:space="0" w:color="auto"/>
      </w:divBdr>
    </w:div>
    <w:div w:id="193008779">
      <w:bodyDiv w:val="1"/>
      <w:marLeft w:val="0"/>
      <w:marRight w:val="0"/>
      <w:marTop w:val="0"/>
      <w:marBottom w:val="0"/>
      <w:divBdr>
        <w:top w:val="none" w:sz="0" w:space="0" w:color="auto"/>
        <w:left w:val="none" w:sz="0" w:space="0" w:color="auto"/>
        <w:bottom w:val="none" w:sz="0" w:space="0" w:color="auto"/>
        <w:right w:val="none" w:sz="0" w:space="0" w:color="auto"/>
      </w:divBdr>
    </w:div>
    <w:div w:id="210923547">
      <w:bodyDiv w:val="1"/>
      <w:marLeft w:val="0"/>
      <w:marRight w:val="0"/>
      <w:marTop w:val="0"/>
      <w:marBottom w:val="0"/>
      <w:divBdr>
        <w:top w:val="none" w:sz="0" w:space="0" w:color="auto"/>
        <w:left w:val="none" w:sz="0" w:space="0" w:color="auto"/>
        <w:bottom w:val="none" w:sz="0" w:space="0" w:color="auto"/>
        <w:right w:val="none" w:sz="0" w:space="0" w:color="auto"/>
      </w:divBdr>
    </w:div>
    <w:div w:id="243730373">
      <w:bodyDiv w:val="1"/>
      <w:marLeft w:val="0"/>
      <w:marRight w:val="0"/>
      <w:marTop w:val="0"/>
      <w:marBottom w:val="0"/>
      <w:divBdr>
        <w:top w:val="none" w:sz="0" w:space="0" w:color="auto"/>
        <w:left w:val="none" w:sz="0" w:space="0" w:color="auto"/>
        <w:bottom w:val="none" w:sz="0" w:space="0" w:color="auto"/>
        <w:right w:val="none" w:sz="0" w:space="0" w:color="auto"/>
      </w:divBdr>
    </w:div>
    <w:div w:id="311326094">
      <w:bodyDiv w:val="1"/>
      <w:marLeft w:val="0"/>
      <w:marRight w:val="0"/>
      <w:marTop w:val="0"/>
      <w:marBottom w:val="0"/>
      <w:divBdr>
        <w:top w:val="none" w:sz="0" w:space="0" w:color="auto"/>
        <w:left w:val="none" w:sz="0" w:space="0" w:color="auto"/>
        <w:bottom w:val="none" w:sz="0" w:space="0" w:color="auto"/>
        <w:right w:val="none" w:sz="0" w:space="0" w:color="auto"/>
      </w:divBdr>
    </w:div>
    <w:div w:id="340740729">
      <w:bodyDiv w:val="1"/>
      <w:marLeft w:val="0"/>
      <w:marRight w:val="0"/>
      <w:marTop w:val="0"/>
      <w:marBottom w:val="0"/>
      <w:divBdr>
        <w:top w:val="none" w:sz="0" w:space="0" w:color="auto"/>
        <w:left w:val="none" w:sz="0" w:space="0" w:color="auto"/>
        <w:bottom w:val="none" w:sz="0" w:space="0" w:color="auto"/>
        <w:right w:val="none" w:sz="0" w:space="0" w:color="auto"/>
      </w:divBdr>
    </w:div>
    <w:div w:id="342364986">
      <w:bodyDiv w:val="1"/>
      <w:marLeft w:val="0"/>
      <w:marRight w:val="0"/>
      <w:marTop w:val="0"/>
      <w:marBottom w:val="0"/>
      <w:divBdr>
        <w:top w:val="none" w:sz="0" w:space="0" w:color="auto"/>
        <w:left w:val="none" w:sz="0" w:space="0" w:color="auto"/>
        <w:bottom w:val="none" w:sz="0" w:space="0" w:color="auto"/>
        <w:right w:val="none" w:sz="0" w:space="0" w:color="auto"/>
      </w:divBdr>
    </w:div>
    <w:div w:id="405300070">
      <w:bodyDiv w:val="1"/>
      <w:marLeft w:val="0"/>
      <w:marRight w:val="0"/>
      <w:marTop w:val="0"/>
      <w:marBottom w:val="0"/>
      <w:divBdr>
        <w:top w:val="none" w:sz="0" w:space="0" w:color="auto"/>
        <w:left w:val="none" w:sz="0" w:space="0" w:color="auto"/>
        <w:bottom w:val="none" w:sz="0" w:space="0" w:color="auto"/>
        <w:right w:val="none" w:sz="0" w:space="0" w:color="auto"/>
      </w:divBdr>
    </w:div>
    <w:div w:id="428432662">
      <w:bodyDiv w:val="1"/>
      <w:marLeft w:val="0"/>
      <w:marRight w:val="0"/>
      <w:marTop w:val="0"/>
      <w:marBottom w:val="0"/>
      <w:divBdr>
        <w:top w:val="none" w:sz="0" w:space="0" w:color="auto"/>
        <w:left w:val="none" w:sz="0" w:space="0" w:color="auto"/>
        <w:bottom w:val="none" w:sz="0" w:space="0" w:color="auto"/>
        <w:right w:val="none" w:sz="0" w:space="0" w:color="auto"/>
      </w:divBdr>
    </w:div>
    <w:div w:id="437726074">
      <w:bodyDiv w:val="1"/>
      <w:marLeft w:val="0"/>
      <w:marRight w:val="0"/>
      <w:marTop w:val="0"/>
      <w:marBottom w:val="0"/>
      <w:divBdr>
        <w:top w:val="none" w:sz="0" w:space="0" w:color="auto"/>
        <w:left w:val="none" w:sz="0" w:space="0" w:color="auto"/>
        <w:bottom w:val="none" w:sz="0" w:space="0" w:color="auto"/>
        <w:right w:val="none" w:sz="0" w:space="0" w:color="auto"/>
      </w:divBdr>
    </w:div>
    <w:div w:id="456221852">
      <w:bodyDiv w:val="1"/>
      <w:marLeft w:val="0"/>
      <w:marRight w:val="0"/>
      <w:marTop w:val="0"/>
      <w:marBottom w:val="0"/>
      <w:divBdr>
        <w:top w:val="none" w:sz="0" w:space="0" w:color="auto"/>
        <w:left w:val="none" w:sz="0" w:space="0" w:color="auto"/>
        <w:bottom w:val="none" w:sz="0" w:space="0" w:color="auto"/>
        <w:right w:val="none" w:sz="0" w:space="0" w:color="auto"/>
      </w:divBdr>
    </w:div>
    <w:div w:id="476261340">
      <w:bodyDiv w:val="1"/>
      <w:marLeft w:val="0"/>
      <w:marRight w:val="0"/>
      <w:marTop w:val="0"/>
      <w:marBottom w:val="0"/>
      <w:divBdr>
        <w:top w:val="none" w:sz="0" w:space="0" w:color="auto"/>
        <w:left w:val="none" w:sz="0" w:space="0" w:color="auto"/>
        <w:bottom w:val="none" w:sz="0" w:space="0" w:color="auto"/>
        <w:right w:val="none" w:sz="0" w:space="0" w:color="auto"/>
      </w:divBdr>
    </w:div>
    <w:div w:id="481311191">
      <w:bodyDiv w:val="1"/>
      <w:marLeft w:val="0"/>
      <w:marRight w:val="0"/>
      <w:marTop w:val="0"/>
      <w:marBottom w:val="0"/>
      <w:divBdr>
        <w:top w:val="none" w:sz="0" w:space="0" w:color="auto"/>
        <w:left w:val="none" w:sz="0" w:space="0" w:color="auto"/>
        <w:bottom w:val="none" w:sz="0" w:space="0" w:color="auto"/>
        <w:right w:val="none" w:sz="0" w:space="0" w:color="auto"/>
      </w:divBdr>
    </w:div>
    <w:div w:id="531922590">
      <w:bodyDiv w:val="1"/>
      <w:marLeft w:val="0"/>
      <w:marRight w:val="0"/>
      <w:marTop w:val="0"/>
      <w:marBottom w:val="0"/>
      <w:divBdr>
        <w:top w:val="none" w:sz="0" w:space="0" w:color="auto"/>
        <w:left w:val="none" w:sz="0" w:space="0" w:color="auto"/>
        <w:bottom w:val="none" w:sz="0" w:space="0" w:color="auto"/>
        <w:right w:val="none" w:sz="0" w:space="0" w:color="auto"/>
      </w:divBdr>
    </w:div>
    <w:div w:id="572741217">
      <w:bodyDiv w:val="1"/>
      <w:marLeft w:val="0"/>
      <w:marRight w:val="0"/>
      <w:marTop w:val="0"/>
      <w:marBottom w:val="0"/>
      <w:divBdr>
        <w:top w:val="none" w:sz="0" w:space="0" w:color="auto"/>
        <w:left w:val="none" w:sz="0" w:space="0" w:color="auto"/>
        <w:bottom w:val="none" w:sz="0" w:space="0" w:color="auto"/>
        <w:right w:val="none" w:sz="0" w:space="0" w:color="auto"/>
      </w:divBdr>
    </w:div>
    <w:div w:id="585653747">
      <w:bodyDiv w:val="1"/>
      <w:marLeft w:val="0"/>
      <w:marRight w:val="0"/>
      <w:marTop w:val="0"/>
      <w:marBottom w:val="0"/>
      <w:divBdr>
        <w:top w:val="none" w:sz="0" w:space="0" w:color="auto"/>
        <w:left w:val="none" w:sz="0" w:space="0" w:color="auto"/>
        <w:bottom w:val="none" w:sz="0" w:space="0" w:color="auto"/>
        <w:right w:val="none" w:sz="0" w:space="0" w:color="auto"/>
      </w:divBdr>
    </w:div>
    <w:div w:id="587271463">
      <w:bodyDiv w:val="1"/>
      <w:marLeft w:val="0"/>
      <w:marRight w:val="0"/>
      <w:marTop w:val="0"/>
      <w:marBottom w:val="0"/>
      <w:divBdr>
        <w:top w:val="none" w:sz="0" w:space="0" w:color="auto"/>
        <w:left w:val="none" w:sz="0" w:space="0" w:color="auto"/>
        <w:bottom w:val="none" w:sz="0" w:space="0" w:color="auto"/>
        <w:right w:val="none" w:sz="0" w:space="0" w:color="auto"/>
      </w:divBdr>
    </w:div>
    <w:div w:id="607087097">
      <w:bodyDiv w:val="1"/>
      <w:marLeft w:val="0"/>
      <w:marRight w:val="0"/>
      <w:marTop w:val="0"/>
      <w:marBottom w:val="0"/>
      <w:divBdr>
        <w:top w:val="none" w:sz="0" w:space="0" w:color="auto"/>
        <w:left w:val="none" w:sz="0" w:space="0" w:color="auto"/>
        <w:bottom w:val="none" w:sz="0" w:space="0" w:color="auto"/>
        <w:right w:val="none" w:sz="0" w:space="0" w:color="auto"/>
      </w:divBdr>
    </w:div>
    <w:div w:id="610749544">
      <w:bodyDiv w:val="1"/>
      <w:marLeft w:val="0"/>
      <w:marRight w:val="0"/>
      <w:marTop w:val="0"/>
      <w:marBottom w:val="0"/>
      <w:divBdr>
        <w:top w:val="none" w:sz="0" w:space="0" w:color="auto"/>
        <w:left w:val="none" w:sz="0" w:space="0" w:color="auto"/>
        <w:bottom w:val="none" w:sz="0" w:space="0" w:color="auto"/>
        <w:right w:val="none" w:sz="0" w:space="0" w:color="auto"/>
      </w:divBdr>
    </w:div>
    <w:div w:id="653415756">
      <w:bodyDiv w:val="1"/>
      <w:marLeft w:val="0"/>
      <w:marRight w:val="0"/>
      <w:marTop w:val="0"/>
      <w:marBottom w:val="0"/>
      <w:divBdr>
        <w:top w:val="none" w:sz="0" w:space="0" w:color="auto"/>
        <w:left w:val="none" w:sz="0" w:space="0" w:color="auto"/>
        <w:bottom w:val="none" w:sz="0" w:space="0" w:color="auto"/>
        <w:right w:val="none" w:sz="0" w:space="0" w:color="auto"/>
      </w:divBdr>
    </w:div>
    <w:div w:id="654604399">
      <w:bodyDiv w:val="1"/>
      <w:marLeft w:val="0"/>
      <w:marRight w:val="0"/>
      <w:marTop w:val="0"/>
      <w:marBottom w:val="0"/>
      <w:divBdr>
        <w:top w:val="none" w:sz="0" w:space="0" w:color="auto"/>
        <w:left w:val="none" w:sz="0" w:space="0" w:color="auto"/>
        <w:bottom w:val="none" w:sz="0" w:space="0" w:color="auto"/>
        <w:right w:val="none" w:sz="0" w:space="0" w:color="auto"/>
      </w:divBdr>
    </w:div>
    <w:div w:id="708603663">
      <w:bodyDiv w:val="1"/>
      <w:marLeft w:val="0"/>
      <w:marRight w:val="0"/>
      <w:marTop w:val="0"/>
      <w:marBottom w:val="0"/>
      <w:divBdr>
        <w:top w:val="none" w:sz="0" w:space="0" w:color="auto"/>
        <w:left w:val="none" w:sz="0" w:space="0" w:color="auto"/>
        <w:bottom w:val="none" w:sz="0" w:space="0" w:color="auto"/>
        <w:right w:val="none" w:sz="0" w:space="0" w:color="auto"/>
      </w:divBdr>
    </w:div>
    <w:div w:id="717120696">
      <w:bodyDiv w:val="1"/>
      <w:marLeft w:val="0"/>
      <w:marRight w:val="0"/>
      <w:marTop w:val="0"/>
      <w:marBottom w:val="0"/>
      <w:divBdr>
        <w:top w:val="none" w:sz="0" w:space="0" w:color="auto"/>
        <w:left w:val="none" w:sz="0" w:space="0" w:color="auto"/>
        <w:bottom w:val="none" w:sz="0" w:space="0" w:color="auto"/>
        <w:right w:val="none" w:sz="0" w:space="0" w:color="auto"/>
      </w:divBdr>
    </w:div>
    <w:div w:id="742723472">
      <w:bodyDiv w:val="1"/>
      <w:marLeft w:val="0"/>
      <w:marRight w:val="0"/>
      <w:marTop w:val="0"/>
      <w:marBottom w:val="0"/>
      <w:divBdr>
        <w:top w:val="none" w:sz="0" w:space="0" w:color="auto"/>
        <w:left w:val="none" w:sz="0" w:space="0" w:color="auto"/>
        <w:bottom w:val="none" w:sz="0" w:space="0" w:color="auto"/>
        <w:right w:val="none" w:sz="0" w:space="0" w:color="auto"/>
      </w:divBdr>
    </w:div>
    <w:div w:id="791368605">
      <w:bodyDiv w:val="1"/>
      <w:marLeft w:val="0"/>
      <w:marRight w:val="0"/>
      <w:marTop w:val="0"/>
      <w:marBottom w:val="0"/>
      <w:divBdr>
        <w:top w:val="none" w:sz="0" w:space="0" w:color="auto"/>
        <w:left w:val="none" w:sz="0" w:space="0" w:color="auto"/>
        <w:bottom w:val="none" w:sz="0" w:space="0" w:color="auto"/>
        <w:right w:val="none" w:sz="0" w:space="0" w:color="auto"/>
      </w:divBdr>
    </w:div>
    <w:div w:id="797725104">
      <w:bodyDiv w:val="1"/>
      <w:marLeft w:val="0"/>
      <w:marRight w:val="0"/>
      <w:marTop w:val="0"/>
      <w:marBottom w:val="0"/>
      <w:divBdr>
        <w:top w:val="none" w:sz="0" w:space="0" w:color="auto"/>
        <w:left w:val="none" w:sz="0" w:space="0" w:color="auto"/>
        <w:bottom w:val="none" w:sz="0" w:space="0" w:color="auto"/>
        <w:right w:val="none" w:sz="0" w:space="0" w:color="auto"/>
      </w:divBdr>
    </w:div>
    <w:div w:id="811797181">
      <w:bodyDiv w:val="1"/>
      <w:marLeft w:val="0"/>
      <w:marRight w:val="0"/>
      <w:marTop w:val="0"/>
      <w:marBottom w:val="0"/>
      <w:divBdr>
        <w:top w:val="none" w:sz="0" w:space="0" w:color="auto"/>
        <w:left w:val="none" w:sz="0" w:space="0" w:color="auto"/>
        <w:bottom w:val="none" w:sz="0" w:space="0" w:color="auto"/>
        <w:right w:val="none" w:sz="0" w:space="0" w:color="auto"/>
      </w:divBdr>
    </w:div>
    <w:div w:id="814417360">
      <w:bodyDiv w:val="1"/>
      <w:marLeft w:val="0"/>
      <w:marRight w:val="0"/>
      <w:marTop w:val="0"/>
      <w:marBottom w:val="0"/>
      <w:divBdr>
        <w:top w:val="none" w:sz="0" w:space="0" w:color="auto"/>
        <w:left w:val="none" w:sz="0" w:space="0" w:color="auto"/>
        <w:bottom w:val="none" w:sz="0" w:space="0" w:color="auto"/>
        <w:right w:val="none" w:sz="0" w:space="0" w:color="auto"/>
      </w:divBdr>
    </w:div>
    <w:div w:id="859123244">
      <w:bodyDiv w:val="1"/>
      <w:marLeft w:val="0"/>
      <w:marRight w:val="0"/>
      <w:marTop w:val="0"/>
      <w:marBottom w:val="0"/>
      <w:divBdr>
        <w:top w:val="none" w:sz="0" w:space="0" w:color="auto"/>
        <w:left w:val="none" w:sz="0" w:space="0" w:color="auto"/>
        <w:bottom w:val="none" w:sz="0" w:space="0" w:color="auto"/>
        <w:right w:val="none" w:sz="0" w:space="0" w:color="auto"/>
      </w:divBdr>
    </w:div>
    <w:div w:id="862406312">
      <w:bodyDiv w:val="1"/>
      <w:marLeft w:val="0"/>
      <w:marRight w:val="0"/>
      <w:marTop w:val="0"/>
      <w:marBottom w:val="0"/>
      <w:divBdr>
        <w:top w:val="none" w:sz="0" w:space="0" w:color="auto"/>
        <w:left w:val="none" w:sz="0" w:space="0" w:color="auto"/>
        <w:bottom w:val="none" w:sz="0" w:space="0" w:color="auto"/>
        <w:right w:val="none" w:sz="0" w:space="0" w:color="auto"/>
      </w:divBdr>
    </w:div>
    <w:div w:id="864757237">
      <w:bodyDiv w:val="1"/>
      <w:marLeft w:val="0"/>
      <w:marRight w:val="0"/>
      <w:marTop w:val="0"/>
      <w:marBottom w:val="0"/>
      <w:divBdr>
        <w:top w:val="none" w:sz="0" w:space="0" w:color="auto"/>
        <w:left w:val="none" w:sz="0" w:space="0" w:color="auto"/>
        <w:bottom w:val="none" w:sz="0" w:space="0" w:color="auto"/>
        <w:right w:val="none" w:sz="0" w:space="0" w:color="auto"/>
      </w:divBdr>
    </w:div>
    <w:div w:id="870537530">
      <w:bodyDiv w:val="1"/>
      <w:marLeft w:val="0"/>
      <w:marRight w:val="0"/>
      <w:marTop w:val="0"/>
      <w:marBottom w:val="0"/>
      <w:divBdr>
        <w:top w:val="none" w:sz="0" w:space="0" w:color="auto"/>
        <w:left w:val="none" w:sz="0" w:space="0" w:color="auto"/>
        <w:bottom w:val="none" w:sz="0" w:space="0" w:color="auto"/>
        <w:right w:val="none" w:sz="0" w:space="0" w:color="auto"/>
      </w:divBdr>
    </w:div>
    <w:div w:id="876358207">
      <w:bodyDiv w:val="1"/>
      <w:marLeft w:val="0"/>
      <w:marRight w:val="0"/>
      <w:marTop w:val="0"/>
      <w:marBottom w:val="0"/>
      <w:divBdr>
        <w:top w:val="none" w:sz="0" w:space="0" w:color="auto"/>
        <w:left w:val="none" w:sz="0" w:space="0" w:color="auto"/>
        <w:bottom w:val="none" w:sz="0" w:space="0" w:color="auto"/>
        <w:right w:val="none" w:sz="0" w:space="0" w:color="auto"/>
      </w:divBdr>
    </w:div>
    <w:div w:id="891356003">
      <w:bodyDiv w:val="1"/>
      <w:marLeft w:val="0"/>
      <w:marRight w:val="0"/>
      <w:marTop w:val="0"/>
      <w:marBottom w:val="0"/>
      <w:divBdr>
        <w:top w:val="none" w:sz="0" w:space="0" w:color="auto"/>
        <w:left w:val="none" w:sz="0" w:space="0" w:color="auto"/>
        <w:bottom w:val="none" w:sz="0" w:space="0" w:color="auto"/>
        <w:right w:val="none" w:sz="0" w:space="0" w:color="auto"/>
      </w:divBdr>
    </w:div>
    <w:div w:id="894632213">
      <w:bodyDiv w:val="1"/>
      <w:marLeft w:val="0"/>
      <w:marRight w:val="0"/>
      <w:marTop w:val="0"/>
      <w:marBottom w:val="0"/>
      <w:divBdr>
        <w:top w:val="none" w:sz="0" w:space="0" w:color="auto"/>
        <w:left w:val="none" w:sz="0" w:space="0" w:color="auto"/>
        <w:bottom w:val="none" w:sz="0" w:space="0" w:color="auto"/>
        <w:right w:val="none" w:sz="0" w:space="0" w:color="auto"/>
      </w:divBdr>
    </w:div>
    <w:div w:id="912274638">
      <w:bodyDiv w:val="1"/>
      <w:marLeft w:val="0"/>
      <w:marRight w:val="0"/>
      <w:marTop w:val="0"/>
      <w:marBottom w:val="0"/>
      <w:divBdr>
        <w:top w:val="none" w:sz="0" w:space="0" w:color="auto"/>
        <w:left w:val="none" w:sz="0" w:space="0" w:color="auto"/>
        <w:bottom w:val="none" w:sz="0" w:space="0" w:color="auto"/>
        <w:right w:val="none" w:sz="0" w:space="0" w:color="auto"/>
      </w:divBdr>
    </w:div>
    <w:div w:id="940531401">
      <w:bodyDiv w:val="1"/>
      <w:marLeft w:val="0"/>
      <w:marRight w:val="0"/>
      <w:marTop w:val="0"/>
      <w:marBottom w:val="0"/>
      <w:divBdr>
        <w:top w:val="none" w:sz="0" w:space="0" w:color="auto"/>
        <w:left w:val="none" w:sz="0" w:space="0" w:color="auto"/>
        <w:bottom w:val="none" w:sz="0" w:space="0" w:color="auto"/>
        <w:right w:val="none" w:sz="0" w:space="0" w:color="auto"/>
      </w:divBdr>
    </w:div>
    <w:div w:id="954101224">
      <w:bodyDiv w:val="1"/>
      <w:marLeft w:val="0"/>
      <w:marRight w:val="0"/>
      <w:marTop w:val="0"/>
      <w:marBottom w:val="0"/>
      <w:divBdr>
        <w:top w:val="none" w:sz="0" w:space="0" w:color="auto"/>
        <w:left w:val="none" w:sz="0" w:space="0" w:color="auto"/>
        <w:bottom w:val="none" w:sz="0" w:space="0" w:color="auto"/>
        <w:right w:val="none" w:sz="0" w:space="0" w:color="auto"/>
      </w:divBdr>
    </w:div>
    <w:div w:id="959335712">
      <w:bodyDiv w:val="1"/>
      <w:marLeft w:val="0"/>
      <w:marRight w:val="0"/>
      <w:marTop w:val="0"/>
      <w:marBottom w:val="0"/>
      <w:divBdr>
        <w:top w:val="none" w:sz="0" w:space="0" w:color="auto"/>
        <w:left w:val="none" w:sz="0" w:space="0" w:color="auto"/>
        <w:bottom w:val="none" w:sz="0" w:space="0" w:color="auto"/>
        <w:right w:val="none" w:sz="0" w:space="0" w:color="auto"/>
      </w:divBdr>
    </w:div>
    <w:div w:id="962880369">
      <w:bodyDiv w:val="1"/>
      <w:marLeft w:val="0"/>
      <w:marRight w:val="0"/>
      <w:marTop w:val="0"/>
      <w:marBottom w:val="0"/>
      <w:divBdr>
        <w:top w:val="none" w:sz="0" w:space="0" w:color="auto"/>
        <w:left w:val="none" w:sz="0" w:space="0" w:color="auto"/>
        <w:bottom w:val="none" w:sz="0" w:space="0" w:color="auto"/>
        <w:right w:val="none" w:sz="0" w:space="0" w:color="auto"/>
      </w:divBdr>
    </w:div>
    <w:div w:id="973213813">
      <w:bodyDiv w:val="1"/>
      <w:marLeft w:val="0"/>
      <w:marRight w:val="0"/>
      <w:marTop w:val="0"/>
      <w:marBottom w:val="0"/>
      <w:divBdr>
        <w:top w:val="none" w:sz="0" w:space="0" w:color="auto"/>
        <w:left w:val="none" w:sz="0" w:space="0" w:color="auto"/>
        <w:bottom w:val="none" w:sz="0" w:space="0" w:color="auto"/>
        <w:right w:val="none" w:sz="0" w:space="0" w:color="auto"/>
      </w:divBdr>
    </w:div>
    <w:div w:id="1001346733">
      <w:bodyDiv w:val="1"/>
      <w:marLeft w:val="0"/>
      <w:marRight w:val="0"/>
      <w:marTop w:val="0"/>
      <w:marBottom w:val="0"/>
      <w:divBdr>
        <w:top w:val="none" w:sz="0" w:space="0" w:color="auto"/>
        <w:left w:val="none" w:sz="0" w:space="0" w:color="auto"/>
        <w:bottom w:val="none" w:sz="0" w:space="0" w:color="auto"/>
        <w:right w:val="none" w:sz="0" w:space="0" w:color="auto"/>
      </w:divBdr>
    </w:div>
    <w:div w:id="1013846859">
      <w:bodyDiv w:val="1"/>
      <w:marLeft w:val="0"/>
      <w:marRight w:val="0"/>
      <w:marTop w:val="0"/>
      <w:marBottom w:val="0"/>
      <w:divBdr>
        <w:top w:val="none" w:sz="0" w:space="0" w:color="auto"/>
        <w:left w:val="none" w:sz="0" w:space="0" w:color="auto"/>
        <w:bottom w:val="none" w:sz="0" w:space="0" w:color="auto"/>
        <w:right w:val="none" w:sz="0" w:space="0" w:color="auto"/>
      </w:divBdr>
    </w:div>
    <w:div w:id="1035470685">
      <w:bodyDiv w:val="1"/>
      <w:marLeft w:val="0"/>
      <w:marRight w:val="0"/>
      <w:marTop w:val="0"/>
      <w:marBottom w:val="0"/>
      <w:divBdr>
        <w:top w:val="none" w:sz="0" w:space="0" w:color="auto"/>
        <w:left w:val="none" w:sz="0" w:space="0" w:color="auto"/>
        <w:bottom w:val="none" w:sz="0" w:space="0" w:color="auto"/>
        <w:right w:val="none" w:sz="0" w:space="0" w:color="auto"/>
      </w:divBdr>
    </w:div>
    <w:div w:id="1054893698">
      <w:bodyDiv w:val="1"/>
      <w:marLeft w:val="0"/>
      <w:marRight w:val="0"/>
      <w:marTop w:val="0"/>
      <w:marBottom w:val="0"/>
      <w:divBdr>
        <w:top w:val="none" w:sz="0" w:space="0" w:color="auto"/>
        <w:left w:val="none" w:sz="0" w:space="0" w:color="auto"/>
        <w:bottom w:val="none" w:sz="0" w:space="0" w:color="auto"/>
        <w:right w:val="none" w:sz="0" w:space="0" w:color="auto"/>
      </w:divBdr>
    </w:div>
    <w:div w:id="1075205029">
      <w:bodyDiv w:val="1"/>
      <w:marLeft w:val="0"/>
      <w:marRight w:val="0"/>
      <w:marTop w:val="0"/>
      <w:marBottom w:val="0"/>
      <w:divBdr>
        <w:top w:val="none" w:sz="0" w:space="0" w:color="auto"/>
        <w:left w:val="none" w:sz="0" w:space="0" w:color="auto"/>
        <w:bottom w:val="none" w:sz="0" w:space="0" w:color="auto"/>
        <w:right w:val="none" w:sz="0" w:space="0" w:color="auto"/>
      </w:divBdr>
    </w:div>
    <w:div w:id="1076630666">
      <w:bodyDiv w:val="1"/>
      <w:marLeft w:val="0"/>
      <w:marRight w:val="0"/>
      <w:marTop w:val="0"/>
      <w:marBottom w:val="0"/>
      <w:divBdr>
        <w:top w:val="none" w:sz="0" w:space="0" w:color="auto"/>
        <w:left w:val="none" w:sz="0" w:space="0" w:color="auto"/>
        <w:bottom w:val="none" w:sz="0" w:space="0" w:color="auto"/>
        <w:right w:val="none" w:sz="0" w:space="0" w:color="auto"/>
      </w:divBdr>
    </w:div>
    <w:div w:id="1091007294">
      <w:bodyDiv w:val="1"/>
      <w:marLeft w:val="0"/>
      <w:marRight w:val="0"/>
      <w:marTop w:val="0"/>
      <w:marBottom w:val="0"/>
      <w:divBdr>
        <w:top w:val="none" w:sz="0" w:space="0" w:color="auto"/>
        <w:left w:val="none" w:sz="0" w:space="0" w:color="auto"/>
        <w:bottom w:val="none" w:sz="0" w:space="0" w:color="auto"/>
        <w:right w:val="none" w:sz="0" w:space="0" w:color="auto"/>
      </w:divBdr>
    </w:div>
    <w:div w:id="1108037722">
      <w:bodyDiv w:val="1"/>
      <w:marLeft w:val="0"/>
      <w:marRight w:val="0"/>
      <w:marTop w:val="0"/>
      <w:marBottom w:val="0"/>
      <w:divBdr>
        <w:top w:val="none" w:sz="0" w:space="0" w:color="auto"/>
        <w:left w:val="none" w:sz="0" w:space="0" w:color="auto"/>
        <w:bottom w:val="none" w:sz="0" w:space="0" w:color="auto"/>
        <w:right w:val="none" w:sz="0" w:space="0" w:color="auto"/>
      </w:divBdr>
    </w:div>
    <w:div w:id="1155606181">
      <w:bodyDiv w:val="1"/>
      <w:marLeft w:val="0"/>
      <w:marRight w:val="0"/>
      <w:marTop w:val="0"/>
      <w:marBottom w:val="0"/>
      <w:divBdr>
        <w:top w:val="none" w:sz="0" w:space="0" w:color="auto"/>
        <w:left w:val="none" w:sz="0" w:space="0" w:color="auto"/>
        <w:bottom w:val="none" w:sz="0" w:space="0" w:color="auto"/>
        <w:right w:val="none" w:sz="0" w:space="0" w:color="auto"/>
      </w:divBdr>
    </w:div>
    <w:div w:id="1164852502">
      <w:bodyDiv w:val="1"/>
      <w:marLeft w:val="0"/>
      <w:marRight w:val="0"/>
      <w:marTop w:val="0"/>
      <w:marBottom w:val="0"/>
      <w:divBdr>
        <w:top w:val="none" w:sz="0" w:space="0" w:color="auto"/>
        <w:left w:val="none" w:sz="0" w:space="0" w:color="auto"/>
        <w:bottom w:val="none" w:sz="0" w:space="0" w:color="auto"/>
        <w:right w:val="none" w:sz="0" w:space="0" w:color="auto"/>
      </w:divBdr>
    </w:div>
    <w:div w:id="1173105800">
      <w:bodyDiv w:val="1"/>
      <w:marLeft w:val="0"/>
      <w:marRight w:val="0"/>
      <w:marTop w:val="0"/>
      <w:marBottom w:val="0"/>
      <w:divBdr>
        <w:top w:val="none" w:sz="0" w:space="0" w:color="auto"/>
        <w:left w:val="none" w:sz="0" w:space="0" w:color="auto"/>
        <w:bottom w:val="none" w:sz="0" w:space="0" w:color="auto"/>
        <w:right w:val="none" w:sz="0" w:space="0" w:color="auto"/>
      </w:divBdr>
    </w:div>
    <w:div w:id="1256793029">
      <w:bodyDiv w:val="1"/>
      <w:marLeft w:val="0"/>
      <w:marRight w:val="0"/>
      <w:marTop w:val="0"/>
      <w:marBottom w:val="0"/>
      <w:divBdr>
        <w:top w:val="none" w:sz="0" w:space="0" w:color="auto"/>
        <w:left w:val="none" w:sz="0" w:space="0" w:color="auto"/>
        <w:bottom w:val="none" w:sz="0" w:space="0" w:color="auto"/>
        <w:right w:val="none" w:sz="0" w:space="0" w:color="auto"/>
      </w:divBdr>
    </w:div>
    <w:div w:id="1260674553">
      <w:bodyDiv w:val="1"/>
      <w:marLeft w:val="0"/>
      <w:marRight w:val="0"/>
      <w:marTop w:val="0"/>
      <w:marBottom w:val="0"/>
      <w:divBdr>
        <w:top w:val="none" w:sz="0" w:space="0" w:color="auto"/>
        <w:left w:val="none" w:sz="0" w:space="0" w:color="auto"/>
        <w:bottom w:val="none" w:sz="0" w:space="0" w:color="auto"/>
        <w:right w:val="none" w:sz="0" w:space="0" w:color="auto"/>
      </w:divBdr>
    </w:div>
    <w:div w:id="1263144821">
      <w:bodyDiv w:val="1"/>
      <w:marLeft w:val="0"/>
      <w:marRight w:val="0"/>
      <w:marTop w:val="0"/>
      <w:marBottom w:val="0"/>
      <w:divBdr>
        <w:top w:val="none" w:sz="0" w:space="0" w:color="auto"/>
        <w:left w:val="none" w:sz="0" w:space="0" w:color="auto"/>
        <w:bottom w:val="none" w:sz="0" w:space="0" w:color="auto"/>
        <w:right w:val="none" w:sz="0" w:space="0" w:color="auto"/>
      </w:divBdr>
    </w:div>
    <w:div w:id="1265114943">
      <w:bodyDiv w:val="1"/>
      <w:marLeft w:val="0"/>
      <w:marRight w:val="0"/>
      <w:marTop w:val="0"/>
      <w:marBottom w:val="0"/>
      <w:divBdr>
        <w:top w:val="none" w:sz="0" w:space="0" w:color="auto"/>
        <w:left w:val="none" w:sz="0" w:space="0" w:color="auto"/>
        <w:bottom w:val="none" w:sz="0" w:space="0" w:color="auto"/>
        <w:right w:val="none" w:sz="0" w:space="0" w:color="auto"/>
      </w:divBdr>
    </w:div>
    <w:div w:id="1269194670">
      <w:bodyDiv w:val="1"/>
      <w:marLeft w:val="0"/>
      <w:marRight w:val="0"/>
      <w:marTop w:val="0"/>
      <w:marBottom w:val="0"/>
      <w:divBdr>
        <w:top w:val="none" w:sz="0" w:space="0" w:color="auto"/>
        <w:left w:val="none" w:sz="0" w:space="0" w:color="auto"/>
        <w:bottom w:val="none" w:sz="0" w:space="0" w:color="auto"/>
        <w:right w:val="none" w:sz="0" w:space="0" w:color="auto"/>
      </w:divBdr>
    </w:div>
    <w:div w:id="1286619694">
      <w:bodyDiv w:val="1"/>
      <w:marLeft w:val="0"/>
      <w:marRight w:val="0"/>
      <w:marTop w:val="0"/>
      <w:marBottom w:val="0"/>
      <w:divBdr>
        <w:top w:val="none" w:sz="0" w:space="0" w:color="auto"/>
        <w:left w:val="none" w:sz="0" w:space="0" w:color="auto"/>
        <w:bottom w:val="none" w:sz="0" w:space="0" w:color="auto"/>
        <w:right w:val="none" w:sz="0" w:space="0" w:color="auto"/>
      </w:divBdr>
    </w:div>
    <w:div w:id="1324897270">
      <w:bodyDiv w:val="1"/>
      <w:marLeft w:val="0"/>
      <w:marRight w:val="0"/>
      <w:marTop w:val="0"/>
      <w:marBottom w:val="0"/>
      <w:divBdr>
        <w:top w:val="none" w:sz="0" w:space="0" w:color="auto"/>
        <w:left w:val="none" w:sz="0" w:space="0" w:color="auto"/>
        <w:bottom w:val="none" w:sz="0" w:space="0" w:color="auto"/>
        <w:right w:val="none" w:sz="0" w:space="0" w:color="auto"/>
      </w:divBdr>
    </w:div>
    <w:div w:id="1349940232">
      <w:bodyDiv w:val="1"/>
      <w:marLeft w:val="0"/>
      <w:marRight w:val="0"/>
      <w:marTop w:val="0"/>
      <w:marBottom w:val="0"/>
      <w:divBdr>
        <w:top w:val="none" w:sz="0" w:space="0" w:color="auto"/>
        <w:left w:val="none" w:sz="0" w:space="0" w:color="auto"/>
        <w:bottom w:val="none" w:sz="0" w:space="0" w:color="auto"/>
        <w:right w:val="none" w:sz="0" w:space="0" w:color="auto"/>
      </w:divBdr>
    </w:div>
    <w:div w:id="1361471894">
      <w:bodyDiv w:val="1"/>
      <w:marLeft w:val="0"/>
      <w:marRight w:val="0"/>
      <w:marTop w:val="0"/>
      <w:marBottom w:val="0"/>
      <w:divBdr>
        <w:top w:val="none" w:sz="0" w:space="0" w:color="auto"/>
        <w:left w:val="none" w:sz="0" w:space="0" w:color="auto"/>
        <w:bottom w:val="none" w:sz="0" w:space="0" w:color="auto"/>
        <w:right w:val="none" w:sz="0" w:space="0" w:color="auto"/>
      </w:divBdr>
      <w:divsChild>
        <w:div w:id="1313363833">
          <w:marLeft w:val="0"/>
          <w:marRight w:val="0"/>
          <w:marTop w:val="0"/>
          <w:marBottom w:val="0"/>
          <w:divBdr>
            <w:top w:val="none" w:sz="0" w:space="0" w:color="auto"/>
            <w:left w:val="none" w:sz="0" w:space="0" w:color="auto"/>
            <w:bottom w:val="none" w:sz="0" w:space="0" w:color="auto"/>
            <w:right w:val="none" w:sz="0" w:space="0" w:color="auto"/>
          </w:divBdr>
          <w:divsChild>
            <w:div w:id="2051489975">
              <w:marLeft w:val="0"/>
              <w:marRight w:val="0"/>
              <w:marTop w:val="0"/>
              <w:marBottom w:val="0"/>
              <w:divBdr>
                <w:top w:val="none" w:sz="0" w:space="0" w:color="auto"/>
                <w:left w:val="none" w:sz="0" w:space="0" w:color="auto"/>
                <w:bottom w:val="none" w:sz="0" w:space="0" w:color="auto"/>
                <w:right w:val="none" w:sz="0" w:space="0" w:color="auto"/>
              </w:divBdr>
              <w:divsChild>
                <w:div w:id="10691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9996">
      <w:bodyDiv w:val="1"/>
      <w:marLeft w:val="0"/>
      <w:marRight w:val="0"/>
      <w:marTop w:val="0"/>
      <w:marBottom w:val="0"/>
      <w:divBdr>
        <w:top w:val="none" w:sz="0" w:space="0" w:color="auto"/>
        <w:left w:val="none" w:sz="0" w:space="0" w:color="auto"/>
        <w:bottom w:val="none" w:sz="0" w:space="0" w:color="auto"/>
        <w:right w:val="none" w:sz="0" w:space="0" w:color="auto"/>
      </w:divBdr>
    </w:div>
    <w:div w:id="1370379787">
      <w:bodyDiv w:val="1"/>
      <w:marLeft w:val="0"/>
      <w:marRight w:val="0"/>
      <w:marTop w:val="0"/>
      <w:marBottom w:val="0"/>
      <w:divBdr>
        <w:top w:val="none" w:sz="0" w:space="0" w:color="auto"/>
        <w:left w:val="none" w:sz="0" w:space="0" w:color="auto"/>
        <w:bottom w:val="none" w:sz="0" w:space="0" w:color="auto"/>
        <w:right w:val="none" w:sz="0" w:space="0" w:color="auto"/>
      </w:divBdr>
    </w:div>
    <w:div w:id="1371372565">
      <w:bodyDiv w:val="1"/>
      <w:marLeft w:val="0"/>
      <w:marRight w:val="0"/>
      <w:marTop w:val="0"/>
      <w:marBottom w:val="0"/>
      <w:divBdr>
        <w:top w:val="none" w:sz="0" w:space="0" w:color="auto"/>
        <w:left w:val="none" w:sz="0" w:space="0" w:color="auto"/>
        <w:bottom w:val="none" w:sz="0" w:space="0" w:color="auto"/>
        <w:right w:val="none" w:sz="0" w:space="0" w:color="auto"/>
      </w:divBdr>
    </w:div>
    <w:div w:id="1376810671">
      <w:bodyDiv w:val="1"/>
      <w:marLeft w:val="0"/>
      <w:marRight w:val="0"/>
      <w:marTop w:val="0"/>
      <w:marBottom w:val="0"/>
      <w:divBdr>
        <w:top w:val="none" w:sz="0" w:space="0" w:color="auto"/>
        <w:left w:val="none" w:sz="0" w:space="0" w:color="auto"/>
        <w:bottom w:val="none" w:sz="0" w:space="0" w:color="auto"/>
        <w:right w:val="none" w:sz="0" w:space="0" w:color="auto"/>
      </w:divBdr>
    </w:div>
    <w:div w:id="1399984496">
      <w:bodyDiv w:val="1"/>
      <w:marLeft w:val="0"/>
      <w:marRight w:val="0"/>
      <w:marTop w:val="0"/>
      <w:marBottom w:val="0"/>
      <w:divBdr>
        <w:top w:val="none" w:sz="0" w:space="0" w:color="auto"/>
        <w:left w:val="none" w:sz="0" w:space="0" w:color="auto"/>
        <w:bottom w:val="none" w:sz="0" w:space="0" w:color="auto"/>
        <w:right w:val="none" w:sz="0" w:space="0" w:color="auto"/>
      </w:divBdr>
    </w:div>
    <w:div w:id="1444495834">
      <w:bodyDiv w:val="1"/>
      <w:marLeft w:val="0"/>
      <w:marRight w:val="0"/>
      <w:marTop w:val="0"/>
      <w:marBottom w:val="0"/>
      <w:divBdr>
        <w:top w:val="none" w:sz="0" w:space="0" w:color="auto"/>
        <w:left w:val="none" w:sz="0" w:space="0" w:color="auto"/>
        <w:bottom w:val="none" w:sz="0" w:space="0" w:color="auto"/>
        <w:right w:val="none" w:sz="0" w:space="0" w:color="auto"/>
      </w:divBdr>
    </w:div>
    <w:div w:id="1481580928">
      <w:bodyDiv w:val="1"/>
      <w:marLeft w:val="0"/>
      <w:marRight w:val="0"/>
      <w:marTop w:val="0"/>
      <w:marBottom w:val="0"/>
      <w:divBdr>
        <w:top w:val="none" w:sz="0" w:space="0" w:color="auto"/>
        <w:left w:val="none" w:sz="0" w:space="0" w:color="auto"/>
        <w:bottom w:val="none" w:sz="0" w:space="0" w:color="auto"/>
        <w:right w:val="none" w:sz="0" w:space="0" w:color="auto"/>
      </w:divBdr>
    </w:div>
    <w:div w:id="1505778074">
      <w:bodyDiv w:val="1"/>
      <w:marLeft w:val="0"/>
      <w:marRight w:val="0"/>
      <w:marTop w:val="0"/>
      <w:marBottom w:val="0"/>
      <w:divBdr>
        <w:top w:val="none" w:sz="0" w:space="0" w:color="auto"/>
        <w:left w:val="none" w:sz="0" w:space="0" w:color="auto"/>
        <w:bottom w:val="none" w:sz="0" w:space="0" w:color="auto"/>
        <w:right w:val="none" w:sz="0" w:space="0" w:color="auto"/>
      </w:divBdr>
    </w:div>
    <w:div w:id="1509251828">
      <w:bodyDiv w:val="1"/>
      <w:marLeft w:val="0"/>
      <w:marRight w:val="0"/>
      <w:marTop w:val="0"/>
      <w:marBottom w:val="0"/>
      <w:divBdr>
        <w:top w:val="none" w:sz="0" w:space="0" w:color="auto"/>
        <w:left w:val="none" w:sz="0" w:space="0" w:color="auto"/>
        <w:bottom w:val="none" w:sz="0" w:space="0" w:color="auto"/>
        <w:right w:val="none" w:sz="0" w:space="0" w:color="auto"/>
      </w:divBdr>
    </w:div>
    <w:div w:id="1524242140">
      <w:bodyDiv w:val="1"/>
      <w:marLeft w:val="0"/>
      <w:marRight w:val="0"/>
      <w:marTop w:val="0"/>
      <w:marBottom w:val="0"/>
      <w:divBdr>
        <w:top w:val="none" w:sz="0" w:space="0" w:color="auto"/>
        <w:left w:val="none" w:sz="0" w:space="0" w:color="auto"/>
        <w:bottom w:val="none" w:sz="0" w:space="0" w:color="auto"/>
        <w:right w:val="none" w:sz="0" w:space="0" w:color="auto"/>
      </w:divBdr>
    </w:div>
    <w:div w:id="1560245854">
      <w:bodyDiv w:val="1"/>
      <w:marLeft w:val="0"/>
      <w:marRight w:val="0"/>
      <w:marTop w:val="0"/>
      <w:marBottom w:val="0"/>
      <w:divBdr>
        <w:top w:val="none" w:sz="0" w:space="0" w:color="auto"/>
        <w:left w:val="none" w:sz="0" w:space="0" w:color="auto"/>
        <w:bottom w:val="none" w:sz="0" w:space="0" w:color="auto"/>
        <w:right w:val="none" w:sz="0" w:space="0" w:color="auto"/>
      </w:divBdr>
    </w:div>
    <w:div w:id="1625384338">
      <w:bodyDiv w:val="1"/>
      <w:marLeft w:val="0"/>
      <w:marRight w:val="0"/>
      <w:marTop w:val="0"/>
      <w:marBottom w:val="0"/>
      <w:divBdr>
        <w:top w:val="none" w:sz="0" w:space="0" w:color="auto"/>
        <w:left w:val="none" w:sz="0" w:space="0" w:color="auto"/>
        <w:bottom w:val="none" w:sz="0" w:space="0" w:color="auto"/>
        <w:right w:val="none" w:sz="0" w:space="0" w:color="auto"/>
      </w:divBdr>
    </w:div>
    <w:div w:id="1636594551">
      <w:bodyDiv w:val="1"/>
      <w:marLeft w:val="0"/>
      <w:marRight w:val="0"/>
      <w:marTop w:val="0"/>
      <w:marBottom w:val="0"/>
      <w:divBdr>
        <w:top w:val="none" w:sz="0" w:space="0" w:color="auto"/>
        <w:left w:val="none" w:sz="0" w:space="0" w:color="auto"/>
        <w:bottom w:val="none" w:sz="0" w:space="0" w:color="auto"/>
        <w:right w:val="none" w:sz="0" w:space="0" w:color="auto"/>
      </w:divBdr>
    </w:div>
    <w:div w:id="1668898758">
      <w:bodyDiv w:val="1"/>
      <w:marLeft w:val="0"/>
      <w:marRight w:val="0"/>
      <w:marTop w:val="0"/>
      <w:marBottom w:val="0"/>
      <w:divBdr>
        <w:top w:val="none" w:sz="0" w:space="0" w:color="auto"/>
        <w:left w:val="none" w:sz="0" w:space="0" w:color="auto"/>
        <w:bottom w:val="none" w:sz="0" w:space="0" w:color="auto"/>
        <w:right w:val="none" w:sz="0" w:space="0" w:color="auto"/>
      </w:divBdr>
    </w:div>
    <w:div w:id="1696731500">
      <w:bodyDiv w:val="1"/>
      <w:marLeft w:val="0"/>
      <w:marRight w:val="0"/>
      <w:marTop w:val="0"/>
      <w:marBottom w:val="0"/>
      <w:divBdr>
        <w:top w:val="none" w:sz="0" w:space="0" w:color="auto"/>
        <w:left w:val="none" w:sz="0" w:space="0" w:color="auto"/>
        <w:bottom w:val="none" w:sz="0" w:space="0" w:color="auto"/>
        <w:right w:val="none" w:sz="0" w:space="0" w:color="auto"/>
      </w:divBdr>
    </w:div>
    <w:div w:id="1713114138">
      <w:bodyDiv w:val="1"/>
      <w:marLeft w:val="0"/>
      <w:marRight w:val="0"/>
      <w:marTop w:val="0"/>
      <w:marBottom w:val="0"/>
      <w:divBdr>
        <w:top w:val="none" w:sz="0" w:space="0" w:color="auto"/>
        <w:left w:val="none" w:sz="0" w:space="0" w:color="auto"/>
        <w:bottom w:val="none" w:sz="0" w:space="0" w:color="auto"/>
        <w:right w:val="none" w:sz="0" w:space="0" w:color="auto"/>
      </w:divBdr>
    </w:div>
    <w:div w:id="1728917534">
      <w:bodyDiv w:val="1"/>
      <w:marLeft w:val="0"/>
      <w:marRight w:val="0"/>
      <w:marTop w:val="0"/>
      <w:marBottom w:val="0"/>
      <w:divBdr>
        <w:top w:val="none" w:sz="0" w:space="0" w:color="auto"/>
        <w:left w:val="none" w:sz="0" w:space="0" w:color="auto"/>
        <w:bottom w:val="none" w:sz="0" w:space="0" w:color="auto"/>
        <w:right w:val="none" w:sz="0" w:space="0" w:color="auto"/>
      </w:divBdr>
    </w:div>
    <w:div w:id="1795128268">
      <w:bodyDiv w:val="1"/>
      <w:marLeft w:val="0"/>
      <w:marRight w:val="0"/>
      <w:marTop w:val="0"/>
      <w:marBottom w:val="0"/>
      <w:divBdr>
        <w:top w:val="none" w:sz="0" w:space="0" w:color="auto"/>
        <w:left w:val="none" w:sz="0" w:space="0" w:color="auto"/>
        <w:bottom w:val="none" w:sz="0" w:space="0" w:color="auto"/>
        <w:right w:val="none" w:sz="0" w:space="0" w:color="auto"/>
      </w:divBdr>
    </w:div>
    <w:div w:id="1811827864">
      <w:bodyDiv w:val="1"/>
      <w:marLeft w:val="0"/>
      <w:marRight w:val="0"/>
      <w:marTop w:val="0"/>
      <w:marBottom w:val="0"/>
      <w:divBdr>
        <w:top w:val="none" w:sz="0" w:space="0" w:color="auto"/>
        <w:left w:val="none" w:sz="0" w:space="0" w:color="auto"/>
        <w:bottom w:val="none" w:sz="0" w:space="0" w:color="auto"/>
        <w:right w:val="none" w:sz="0" w:space="0" w:color="auto"/>
      </w:divBdr>
    </w:div>
    <w:div w:id="1909922905">
      <w:bodyDiv w:val="1"/>
      <w:marLeft w:val="0"/>
      <w:marRight w:val="0"/>
      <w:marTop w:val="0"/>
      <w:marBottom w:val="0"/>
      <w:divBdr>
        <w:top w:val="none" w:sz="0" w:space="0" w:color="auto"/>
        <w:left w:val="none" w:sz="0" w:space="0" w:color="auto"/>
        <w:bottom w:val="none" w:sz="0" w:space="0" w:color="auto"/>
        <w:right w:val="none" w:sz="0" w:space="0" w:color="auto"/>
      </w:divBdr>
    </w:div>
    <w:div w:id="1927953018">
      <w:bodyDiv w:val="1"/>
      <w:marLeft w:val="0"/>
      <w:marRight w:val="0"/>
      <w:marTop w:val="0"/>
      <w:marBottom w:val="0"/>
      <w:divBdr>
        <w:top w:val="none" w:sz="0" w:space="0" w:color="auto"/>
        <w:left w:val="none" w:sz="0" w:space="0" w:color="auto"/>
        <w:bottom w:val="none" w:sz="0" w:space="0" w:color="auto"/>
        <w:right w:val="none" w:sz="0" w:space="0" w:color="auto"/>
      </w:divBdr>
    </w:div>
    <w:div w:id="1929729398">
      <w:bodyDiv w:val="1"/>
      <w:marLeft w:val="0"/>
      <w:marRight w:val="0"/>
      <w:marTop w:val="0"/>
      <w:marBottom w:val="0"/>
      <w:divBdr>
        <w:top w:val="none" w:sz="0" w:space="0" w:color="auto"/>
        <w:left w:val="none" w:sz="0" w:space="0" w:color="auto"/>
        <w:bottom w:val="none" w:sz="0" w:space="0" w:color="auto"/>
        <w:right w:val="none" w:sz="0" w:space="0" w:color="auto"/>
      </w:divBdr>
    </w:div>
    <w:div w:id="1938832383">
      <w:bodyDiv w:val="1"/>
      <w:marLeft w:val="0"/>
      <w:marRight w:val="0"/>
      <w:marTop w:val="0"/>
      <w:marBottom w:val="0"/>
      <w:divBdr>
        <w:top w:val="none" w:sz="0" w:space="0" w:color="auto"/>
        <w:left w:val="none" w:sz="0" w:space="0" w:color="auto"/>
        <w:bottom w:val="none" w:sz="0" w:space="0" w:color="auto"/>
        <w:right w:val="none" w:sz="0" w:space="0" w:color="auto"/>
      </w:divBdr>
    </w:div>
    <w:div w:id="1950695721">
      <w:bodyDiv w:val="1"/>
      <w:marLeft w:val="0"/>
      <w:marRight w:val="0"/>
      <w:marTop w:val="0"/>
      <w:marBottom w:val="0"/>
      <w:divBdr>
        <w:top w:val="none" w:sz="0" w:space="0" w:color="auto"/>
        <w:left w:val="none" w:sz="0" w:space="0" w:color="auto"/>
        <w:bottom w:val="none" w:sz="0" w:space="0" w:color="auto"/>
        <w:right w:val="none" w:sz="0" w:space="0" w:color="auto"/>
      </w:divBdr>
    </w:div>
    <w:div w:id="1964994091">
      <w:bodyDiv w:val="1"/>
      <w:marLeft w:val="0"/>
      <w:marRight w:val="0"/>
      <w:marTop w:val="0"/>
      <w:marBottom w:val="0"/>
      <w:divBdr>
        <w:top w:val="none" w:sz="0" w:space="0" w:color="auto"/>
        <w:left w:val="none" w:sz="0" w:space="0" w:color="auto"/>
        <w:bottom w:val="none" w:sz="0" w:space="0" w:color="auto"/>
        <w:right w:val="none" w:sz="0" w:space="0" w:color="auto"/>
      </w:divBdr>
    </w:div>
    <w:div w:id="1965848262">
      <w:bodyDiv w:val="1"/>
      <w:marLeft w:val="0"/>
      <w:marRight w:val="0"/>
      <w:marTop w:val="0"/>
      <w:marBottom w:val="0"/>
      <w:divBdr>
        <w:top w:val="none" w:sz="0" w:space="0" w:color="auto"/>
        <w:left w:val="none" w:sz="0" w:space="0" w:color="auto"/>
        <w:bottom w:val="none" w:sz="0" w:space="0" w:color="auto"/>
        <w:right w:val="none" w:sz="0" w:space="0" w:color="auto"/>
      </w:divBdr>
    </w:div>
    <w:div w:id="1982540897">
      <w:bodyDiv w:val="1"/>
      <w:marLeft w:val="0"/>
      <w:marRight w:val="0"/>
      <w:marTop w:val="0"/>
      <w:marBottom w:val="0"/>
      <w:divBdr>
        <w:top w:val="none" w:sz="0" w:space="0" w:color="auto"/>
        <w:left w:val="none" w:sz="0" w:space="0" w:color="auto"/>
        <w:bottom w:val="none" w:sz="0" w:space="0" w:color="auto"/>
        <w:right w:val="none" w:sz="0" w:space="0" w:color="auto"/>
      </w:divBdr>
    </w:div>
    <w:div w:id="1996030635">
      <w:bodyDiv w:val="1"/>
      <w:marLeft w:val="0"/>
      <w:marRight w:val="0"/>
      <w:marTop w:val="0"/>
      <w:marBottom w:val="0"/>
      <w:divBdr>
        <w:top w:val="none" w:sz="0" w:space="0" w:color="auto"/>
        <w:left w:val="none" w:sz="0" w:space="0" w:color="auto"/>
        <w:bottom w:val="none" w:sz="0" w:space="0" w:color="auto"/>
        <w:right w:val="none" w:sz="0" w:space="0" w:color="auto"/>
      </w:divBdr>
    </w:div>
    <w:div w:id="2004964294">
      <w:bodyDiv w:val="1"/>
      <w:marLeft w:val="0"/>
      <w:marRight w:val="0"/>
      <w:marTop w:val="0"/>
      <w:marBottom w:val="0"/>
      <w:divBdr>
        <w:top w:val="none" w:sz="0" w:space="0" w:color="auto"/>
        <w:left w:val="none" w:sz="0" w:space="0" w:color="auto"/>
        <w:bottom w:val="none" w:sz="0" w:space="0" w:color="auto"/>
        <w:right w:val="none" w:sz="0" w:space="0" w:color="auto"/>
      </w:divBdr>
    </w:div>
    <w:div w:id="2007975944">
      <w:bodyDiv w:val="1"/>
      <w:marLeft w:val="0"/>
      <w:marRight w:val="0"/>
      <w:marTop w:val="0"/>
      <w:marBottom w:val="0"/>
      <w:divBdr>
        <w:top w:val="none" w:sz="0" w:space="0" w:color="auto"/>
        <w:left w:val="none" w:sz="0" w:space="0" w:color="auto"/>
        <w:bottom w:val="none" w:sz="0" w:space="0" w:color="auto"/>
        <w:right w:val="none" w:sz="0" w:space="0" w:color="auto"/>
      </w:divBdr>
    </w:div>
    <w:div w:id="2012563271">
      <w:bodyDiv w:val="1"/>
      <w:marLeft w:val="0"/>
      <w:marRight w:val="0"/>
      <w:marTop w:val="0"/>
      <w:marBottom w:val="0"/>
      <w:divBdr>
        <w:top w:val="none" w:sz="0" w:space="0" w:color="auto"/>
        <w:left w:val="none" w:sz="0" w:space="0" w:color="auto"/>
        <w:bottom w:val="none" w:sz="0" w:space="0" w:color="auto"/>
        <w:right w:val="none" w:sz="0" w:space="0" w:color="auto"/>
      </w:divBdr>
    </w:div>
    <w:div w:id="2017607812">
      <w:bodyDiv w:val="1"/>
      <w:marLeft w:val="0"/>
      <w:marRight w:val="0"/>
      <w:marTop w:val="0"/>
      <w:marBottom w:val="0"/>
      <w:divBdr>
        <w:top w:val="none" w:sz="0" w:space="0" w:color="auto"/>
        <w:left w:val="none" w:sz="0" w:space="0" w:color="auto"/>
        <w:bottom w:val="none" w:sz="0" w:space="0" w:color="auto"/>
        <w:right w:val="none" w:sz="0" w:space="0" w:color="auto"/>
      </w:divBdr>
    </w:div>
    <w:div w:id="2048942397">
      <w:bodyDiv w:val="1"/>
      <w:marLeft w:val="0"/>
      <w:marRight w:val="0"/>
      <w:marTop w:val="0"/>
      <w:marBottom w:val="0"/>
      <w:divBdr>
        <w:top w:val="none" w:sz="0" w:space="0" w:color="auto"/>
        <w:left w:val="none" w:sz="0" w:space="0" w:color="auto"/>
        <w:bottom w:val="none" w:sz="0" w:space="0" w:color="auto"/>
        <w:right w:val="none" w:sz="0" w:space="0" w:color="auto"/>
      </w:divBdr>
    </w:div>
    <w:div w:id="2060083930">
      <w:bodyDiv w:val="1"/>
      <w:marLeft w:val="0"/>
      <w:marRight w:val="0"/>
      <w:marTop w:val="0"/>
      <w:marBottom w:val="0"/>
      <w:divBdr>
        <w:top w:val="none" w:sz="0" w:space="0" w:color="auto"/>
        <w:left w:val="none" w:sz="0" w:space="0" w:color="auto"/>
        <w:bottom w:val="none" w:sz="0" w:space="0" w:color="auto"/>
        <w:right w:val="none" w:sz="0" w:space="0" w:color="auto"/>
      </w:divBdr>
    </w:div>
    <w:div w:id="2071489327">
      <w:bodyDiv w:val="1"/>
      <w:marLeft w:val="0"/>
      <w:marRight w:val="0"/>
      <w:marTop w:val="0"/>
      <w:marBottom w:val="0"/>
      <w:divBdr>
        <w:top w:val="none" w:sz="0" w:space="0" w:color="auto"/>
        <w:left w:val="none" w:sz="0" w:space="0" w:color="auto"/>
        <w:bottom w:val="none" w:sz="0" w:space="0" w:color="auto"/>
        <w:right w:val="none" w:sz="0" w:space="0" w:color="auto"/>
      </w:divBdr>
    </w:div>
    <w:div w:id="2082213922">
      <w:bodyDiv w:val="1"/>
      <w:marLeft w:val="0"/>
      <w:marRight w:val="0"/>
      <w:marTop w:val="0"/>
      <w:marBottom w:val="0"/>
      <w:divBdr>
        <w:top w:val="none" w:sz="0" w:space="0" w:color="auto"/>
        <w:left w:val="none" w:sz="0" w:space="0" w:color="auto"/>
        <w:bottom w:val="none" w:sz="0" w:space="0" w:color="auto"/>
        <w:right w:val="none" w:sz="0" w:space="0" w:color="auto"/>
      </w:divBdr>
    </w:div>
    <w:div w:id="2088185662">
      <w:bodyDiv w:val="1"/>
      <w:marLeft w:val="0"/>
      <w:marRight w:val="0"/>
      <w:marTop w:val="0"/>
      <w:marBottom w:val="0"/>
      <w:divBdr>
        <w:top w:val="none" w:sz="0" w:space="0" w:color="auto"/>
        <w:left w:val="none" w:sz="0" w:space="0" w:color="auto"/>
        <w:bottom w:val="none" w:sz="0" w:space="0" w:color="auto"/>
        <w:right w:val="none" w:sz="0" w:space="0" w:color="auto"/>
      </w:divBdr>
    </w:div>
    <w:div w:id="2095854742">
      <w:bodyDiv w:val="1"/>
      <w:marLeft w:val="0"/>
      <w:marRight w:val="0"/>
      <w:marTop w:val="0"/>
      <w:marBottom w:val="0"/>
      <w:divBdr>
        <w:top w:val="none" w:sz="0" w:space="0" w:color="auto"/>
        <w:left w:val="none" w:sz="0" w:space="0" w:color="auto"/>
        <w:bottom w:val="none" w:sz="0" w:space="0" w:color="auto"/>
        <w:right w:val="none" w:sz="0" w:space="0" w:color="auto"/>
      </w:divBdr>
    </w:div>
    <w:div w:id="2103139737">
      <w:bodyDiv w:val="1"/>
      <w:marLeft w:val="0"/>
      <w:marRight w:val="0"/>
      <w:marTop w:val="0"/>
      <w:marBottom w:val="0"/>
      <w:divBdr>
        <w:top w:val="none" w:sz="0" w:space="0" w:color="auto"/>
        <w:left w:val="none" w:sz="0" w:space="0" w:color="auto"/>
        <w:bottom w:val="none" w:sz="0" w:space="0" w:color="auto"/>
        <w:right w:val="none" w:sz="0" w:space="0" w:color="auto"/>
      </w:divBdr>
    </w:div>
    <w:div w:id="2121534175">
      <w:bodyDiv w:val="1"/>
      <w:marLeft w:val="0"/>
      <w:marRight w:val="0"/>
      <w:marTop w:val="0"/>
      <w:marBottom w:val="0"/>
      <w:divBdr>
        <w:top w:val="none" w:sz="0" w:space="0" w:color="auto"/>
        <w:left w:val="none" w:sz="0" w:space="0" w:color="auto"/>
        <w:bottom w:val="none" w:sz="0" w:space="0" w:color="auto"/>
        <w:right w:val="none" w:sz="0" w:space="0" w:color="auto"/>
      </w:divBdr>
      <w:divsChild>
        <w:div w:id="349793981">
          <w:marLeft w:val="0"/>
          <w:marRight w:val="0"/>
          <w:marTop w:val="0"/>
          <w:marBottom w:val="0"/>
          <w:divBdr>
            <w:top w:val="none" w:sz="0" w:space="0" w:color="auto"/>
            <w:left w:val="none" w:sz="0" w:space="0" w:color="auto"/>
            <w:bottom w:val="none" w:sz="0" w:space="0" w:color="auto"/>
            <w:right w:val="none" w:sz="0" w:space="0" w:color="auto"/>
          </w:divBdr>
          <w:divsChild>
            <w:div w:id="1117680772">
              <w:marLeft w:val="0"/>
              <w:marRight w:val="0"/>
              <w:marTop w:val="0"/>
              <w:marBottom w:val="0"/>
              <w:divBdr>
                <w:top w:val="none" w:sz="0" w:space="0" w:color="auto"/>
                <w:left w:val="none" w:sz="0" w:space="0" w:color="auto"/>
                <w:bottom w:val="none" w:sz="0" w:space="0" w:color="auto"/>
                <w:right w:val="none" w:sz="0" w:space="0" w:color="auto"/>
              </w:divBdr>
              <w:divsChild>
                <w:div w:id="9591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87655">
      <w:bodyDiv w:val="1"/>
      <w:marLeft w:val="0"/>
      <w:marRight w:val="0"/>
      <w:marTop w:val="0"/>
      <w:marBottom w:val="0"/>
      <w:divBdr>
        <w:top w:val="none" w:sz="0" w:space="0" w:color="auto"/>
        <w:left w:val="none" w:sz="0" w:space="0" w:color="auto"/>
        <w:bottom w:val="none" w:sz="0" w:space="0" w:color="auto"/>
        <w:right w:val="none" w:sz="0" w:space="0" w:color="auto"/>
      </w:divBdr>
    </w:div>
    <w:div w:id="2136606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2/cop-12-dec-03-ru.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bd.int/doc/decisions/cop-12/cop-12-dec-03-ru.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financial/rm2020.s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notifications/2019/ntf-2019-086-resource-mobilization-en.pdf" TargetMode="External"/><Relationship Id="rId20" Type="http://schemas.openxmlformats.org/officeDocument/2006/relationships/hyperlink" Target="https://www.cbd.int/doc/c/7e72/3b41/4510f152d0190c678f96858c/cop-14-06-ru.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bd.int/doc/decisions/cop-14/cop-14-dec-22-ru.pdf"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cbd.int/doc/c/7e72/3b41/4510f152d0190c678f96858c/cop-14-06-ru.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thegef.org/sites/default/files/council-meeting-documents/c-53-me-inf-01%20-%20DEC17.pdf" TargetMode="External"/><Relationship Id="rId7" Type="http://schemas.openxmlformats.org/officeDocument/2006/relationships/hyperlink" Target="https://undocs.org/ru/A/RES/70/1" TargetMode="External"/><Relationship Id="rId2" Type="http://schemas.openxmlformats.org/officeDocument/2006/relationships/hyperlink" Target="https://www.thegef.org/topics/biodiversity" TargetMode="External"/><Relationship Id="rId1" Type="http://schemas.openxmlformats.org/officeDocument/2006/relationships/hyperlink" Target="https://ec.europa.eu/environment/nature/biodiversity/financing_en.htm" TargetMode="External"/><Relationship Id="rId6" Type="http://schemas.openxmlformats.org/officeDocument/2006/relationships/hyperlink" Target="https://www.cbd.int/development/doc/biodiversity-2030-agenda-technical-note-en.pdf" TargetMode="External"/><Relationship Id="rId5" Type="http://schemas.openxmlformats.org/officeDocument/2006/relationships/hyperlink" Target="https://europa.eu/capacity4dev/b4life/wiki/biodiversity-life-b4life" TargetMode="External"/><Relationship Id="rId4" Type="http://schemas.openxmlformats.org/officeDocument/2006/relationships/hyperlink" Target="https://www.oecd.org/environment/resources/biodiversity/report-a-comprehensive-overview-of-global-biodiversity-financ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00F7D"/>
    <w:rsid w:val="000053D1"/>
    <w:rsid w:val="0009467D"/>
    <w:rsid w:val="000D7615"/>
    <w:rsid w:val="00115491"/>
    <w:rsid w:val="0012760D"/>
    <w:rsid w:val="00153D53"/>
    <w:rsid w:val="00175F79"/>
    <w:rsid w:val="0017712A"/>
    <w:rsid w:val="00180298"/>
    <w:rsid w:val="00186006"/>
    <w:rsid w:val="00207678"/>
    <w:rsid w:val="00217B00"/>
    <w:rsid w:val="00261CA4"/>
    <w:rsid w:val="00276B4E"/>
    <w:rsid w:val="002855C6"/>
    <w:rsid w:val="002D2142"/>
    <w:rsid w:val="002E1630"/>
    <w:rsid w:val="002F2C5E"/>
    <w:rsid w:val="00305D68"/>
    <w:rsid w:val="00315797"/>
    <w:rsid w:val="0035249F"/>
    <w:rsid w:val="003545BC"/>
    <w:rsid w:val="0036274C"/>
    <w:rsid w:val="00363723"/>
    <w:rsid w:val="00376705"/>
    <w:rsid w:val="003B7BD5"/>
    <w:rsid w:val="003E5AAB"/>
    <w:rsid w:val="004251E2"/>
    <w:rsid w:val="00446EF8"/>
    <w:rsid w:val="00461E54"/>
    <w:rsid w:val="004705E0"/>
    <w:rsid w:val="00474089"/>
    <w:rsid w:val="00480921"/>
    <w:rsid w:val="004B58B9"/>
    <w:rsid w:val="004D6406"/>
    <w:rsid w:val="004F2C39"/>
    <w:rsid w:val="004F7AD4"/>
    <w:rsid w:val="00500A2B"/>
    <w:rsid w:val="00527D02"/>
    <w:rsid w:val="00560E6F"/>
    <w:rsid w:val="00560E81"/>
    <w:rsid w:val="00567126"/>
    <w:rsid w:val="0058288D"/>
    <w:rsid w:val="005F0755"/>
    <w:rsid w:val="005F6D2B"/>
    <w:rsid w:val="00610BA3"/>
    <w:rsid w:val="006136A9"/>
    <w:rsid w:val="00651002"/>
    <w:rsid w:val="00657DA6"/>
    <w:rsid w:val="006605B1"/>
    <w:rsid w:val="006801B3"/>
    <w:rsid w:val="0068258B"/>
    <w:rsid w:val="006A45D8"/>
    <w:rsid w:val="0072190A"/>
    <w:rsid w:val="00741286"/>
    <w:rsid w:val="007618C1"/>
    <w:rsid w:val="00781534"/>
    <w:rsid w:val="007A1AEB"/>
    <w:rsid w:val="007A33D5"/>
    <w:rsid w:val="007B51D7"/>
    <w:rsid w:val="007C3902"/>
    <w:rsid w:val="007F1B05"/>
    <w:rsid w:val="007F3126"/>
    <w:rsid w:val="007F44CD"/>
    <w:rsid w:val="00810A55"/>
    <w:rsid w:val="00836848"/>
    <w:rsid w:val="008576BD"/>
    <w:rsid w:val="00865505"/>
    <w:rsid w:val="008674BE"/>
    <w:rsid w:val="008B01D9"/>
    <w:rsid w:val="008C2933"/>
    <w:rsid w:val="008C6619"/>
    <w:rsid w:val="008D1917"/>
    <w:rsid w:val="008D1C42"/>
    <w:rsid w:val="008D420E"/>
    <w:rsid w:val="00904343"/>
    <w:rsid w:val="00916B79"/>
    <w:rsid w:val="00921FFE"/>
    <w:rsid w:val="00932B4F"/>
    <w:rsid w:val="00975686"/>
    <w:rsid w:val="0098642F"/>
    <w:rsid w:val="009B1129"/>
    <w:rsid w:val="009C0324"/>
    <w:rsid w:val="009E72FA"/>
    <w:rsid w:val="00A0349F"/>
    <w:rsid w:val="00A07BA9"/>
    <w:rsid w:val="00A22E29"/>
    <w:rsid w:val="00A42DDB"/>
    <w:rsid w:val="00A46588"/>
    <w:rsid w:val="00A470B9"/>
    <w:rsid w:val="00A53DC0"/>
    <w:rsid w:val="00A724DA"/>
    <w:rsid w:val="00A7434E"/>
    <w:rsid w:val="00A902A7"/>
    <w:rsid w:val="00AA0B38"/>
    <w:rsid w:val="00AA0D21"/>
    <w:rsid w:val="00AA67A2"/>
    <w:rsid w:val="00AB6230"/>
    <w:rsid w:val="00AD6361"/>
    <w:rsid w:val="00B1296F"/>
    <w:rsid w:val="00B156DC"/>
    <w:rsid w:val="00B157A5"/>
    <w:rsid w:val="00B30251"/>
    <w:rsid w:val="00B941E7"/>
    <w:rsid w:val="00C12A3E"/>
    <w:rsid w:val="00C41C7E"/>
    <w:rsid w:val="00C56B9A"/>
    <w:rsid w:val="00C91A85"/>
    <w:rsid w:val="00C92790"/>
    <w:rsid w:val="00CC3AD5"/>
    <w:rsid w:val="00D02897"/>
    <w:rsid w:val="00D60ABC"/>
    <w:rsid w:val="00D6197E"/>
    <w:rsid w:val="00D81311"/>
    <w:rsid w:val="00DC28B0"/>
    <w:rsid w:val="00E248B2"/>
    <w:rsid w:val="00E5016F"/>
    <w:rsid w:val="00EE3C8F"/>
    <w:rsid w:val="00F001BC"/>
    <w:rsid w:val="00F365FA"/>
    <w:rsid w:val="00F37E12"/>
    <w:rsid w:val="00F806ED"/>
    <w:rsid w:val="00F95DB3"/>
    <w:rsid w:val="00FA2101"/>
    <w:rsid w:val="00FB6196"/>
    <w:rsid w:val="00FD5232"/>
    <w:rsid w:val="00FF08E1"/>
    <w:rsid w:val="00FF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1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FD5232"/>
    <w:rPr>
      <w:color w:val="808080"/>
    </w:rPr>
  </w:style>
  <w:style w:type="paragraph" w:customStyle="1" w:styleId="7195B827B75242CFA3286B75B15DE087">
    <w:name w:val="7195B827B75242CFA3286B75B15DE087"/>
    <w:rsid w:val="00A470B9"/>
    <w:pPr>
      <w:spacing w:after="160" w:line="259" w:lineRule="auto"/>
    </w:pPr>
  </w:style>
  <w:style w:type="paragraph" w:customStyle="1" w:styleId="A08F36319AE44C0880EED12923A533F5">
    <w:name w:val="A08F36319AE44C0880EED12923A533F5"/>
    <w:rsid w:val="00A0349F"/>
  </w:style>
  <w:style w:type="paragraph" w:customStyle="1" w:styleId="58E1C128959B4AD5BD7F63DF87BA6BD0">
    <w:name w:val="58E1C128959B4AD5BD7F63DF87BA6BD0"/>
    <w:rsid w:val="00FD5232"/>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8 Juin 2020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Mendeley_aclwWTQFdDuqg5ALUeTTNA</b:Tag>
    <b:SourceType>InternetSite</b:SourceType>
    <b:Guid>{2970A13F-09A4-40AD-B359-DE1072A03CC7}</b:Guid>
    <b:Title>Green bond issuance tops $200bn milestone</b:Title>
    <b:YearAccessed>2019</b:YearAccessed>
    <b:MonthAccessed>12</b:MonthAccessed>
    <b:DayAccessed>05</b:DayAccessed>
    <b:URL>https://www.climatebonds.net/2019/10/green-bond-issuance-tops-200bn-milestone-new-global-record-green-finance-latest-climate</b:URL>
    <b:LCID>en-US</b:LCID>
    <b:Version>Mendeley</b:Version>
    <b:Year>2019</b:Year>
    <b:Author>
      <b:Author>
        <b:NameList>
          <b:Person>
            <b:Last>Climate Bonds Initiative</b:Last>
          </b:Person>
        </b:NameList>
      </b:Author>
    </b:Author>
    <b:RefOrder>1</b:RefOrder>
  </b:Source>
  <b:Source>
    <b:Tag>Cli171</b:Tag>
    <b:SourceType>Book</b:SourceType>
    <b:Guid>{E3E19380-31E8-4072-934D-1D97962C5A33}</b:Guid>
    <b:Title>Green Bond Highlights 2016</b:Title>
    <b:Year>2017</b:Year>
    <b:Author>
      <b:Author>
        <b:NameList>
          <b:Person>
            <b:Last>Climate Bond Initiative</b:Last>
          </b:Person>
        </b:NameList>
      </b:Author>
    </b:Author>
    <b:RefOrder>2</b:RefOrder>
  </b:Source>
  <b:Source>
    <b:Tag>Cli181</b:Tag>
    <b:SourceType>Book</b:SourceType>
    <b:Guid>{1107BD2C-B9A9-42F8-BBA4-3AB0AC448B09}</b:Guid>
    <b:Title>Bonds and Climate Change: The State of the Market</b:Title>
    <b:Year>2018</b:Year>
    <b:URL>www.climatebonds.net/files/reports/cbi_sotm_2018_final_01k-web.pdf</b:URL>
    <b:Author>
      <b:Author>
        <b:NameList>
          <b:Person>
            <b:Last>Climate Bonds Initiative</b:Last>
          </b:Person>
        </b:NameList>
      </b:Author>
    </b:Author>
    <b:RefOrder>3</b:RefOrder>
  </b:Source>
  <b:Source>
    <b:Tag>Mud191</b:Tag>
    <b:SourceType>Report</b:SourceType>
    <b:Guid>{588D0C52-820B-4336-A702-428E84F07F9E}</b:Guid>
    <b:Title>2019 Annual Impact Investor Survey</b:Title>
    <b:Year>2019</b:Year>
    <b:Author>
      <b:Author>
        <b:NameList>
          <b:Person>
            <b:Last>Mudaliar</b:Last>
            <b:First>A.</b:First>
          </b:Person>
          <b:Person>
            <b:Last>Bass</b:Last>
            <b:First>R.</b:First>
          </b:Person>
          <b:Person>
            <b:Last>Dithrich</b:Last>
            <b:First>H.</b:First>
          </b:Person>
          <b:Person>
            <b:Last>Nova</b:Last>
            <b:First>N.</b:First>
          </b:Person>
        </b:NameList>
      </b:Author>
    </b:Author>
    <b:Institution>Global Impact Investing Network (GIIN)</b:Institution>
    <b:RefOrder>4</b:RefOrder>
  </b:Source>
  <b:Source>
    <b:Tag>Mud19</b:Tag>
    <b:SourceType>Report</b:SourceType>
    <b:Guid>{116001A4-4990-43BB-942A-C0CD96B9A440}</b:Guid>
    <b:Title>Sizing the Impact Investing Market</b:Title>
    <b:Year>2019</b:Year>
    <b:Author>
      <b:Author>
        <b:NameList>
          <b:Person>
            <b:Last>Mudaliar</b:Last>
            <b:First>A.</b:First>
          </b:Person>
          <b:Person>
            <b:Last>Dithrich</b:Last>
            <b:First>H.</b:First>
          </b:Person>
        </b:NameList>
      </b:Author>
    </b:Author>
    <b:Publisher>Global Impact Investing Network</b:Publisher>
    <b:RefOrder>5</b:RefOrder>
  </b:Source>
  <b:Source>
    <b:Tag>OEC191</b:Tag>
    <b:SourceType>Report</b:SourceType>
    <b:Guid>{67710E29-CCED-4D92-AEA4-4F29A7021E74}</b:Guid>
    <b:Author>
      <b:Author>
        <b:NameList>
          <b:Person>
            <b:Last>OECD</b:Last>
          </b:Person>
        </b:NameList>
      </b:Author>
    </b:Author>
    <b:Title>OECD DAC Blended Finance Principles for Unlocking Commerical Finance for the Sustainable Development Goals</b:Title>
    <b:Year>2019</b:Year>
    <b:Publisher>OECD Publishing</b:Publisher>
    <b:City>Paris</b:City>
    <b:RefOrder>6</b:RefOrder>
  </b:Source>
  <b:Source>
    <b:Tag>Con19</b:Tag>
    <b:SourceType>DocumentFromInternetSite</b:SourceType>
    <b:Guid>{868E0D6B-241A-4F83-843A-5D641D0835D4}</b:Guid>
    <b:Title>Data Brief: Blending in Conservation Finance, October 2019</b:Title>
    <b:Year>2019</b:Year>
    <b:Author>
      <b:Author>
        <b:NameList>
          <b:Person>
            <b:Last>Convergence</b:Last>
          </b:Person>
        </b:NameList>
      </b:Author>
    </b:Author>
    <b:RefOrder>7</b:RefOrder>
  </b:Source>
  <b:Source>
    <b:Tag>Con18</b:Tag>
    <b:SourceType>DocumentFromInternetSite</b:SourceType>
    <b:Guid>{48A2ED9F-719A-41CF-B76B-2FBB91A82FF5}</b:Guid>
    <b:Title>Data Brief: Leverage of Concessional Capital, October 2018</b:Title>
    <b:Year>2018</b:Year>
    <b:Author>
      <b:Author>
        <b:NameList>
          <b:Person>
            <b:Last>Convergence</b:Last>
          </b:Person>
        </b:NameList>
      </b:Author>
    </b:Author>
    <b:RefOrder>8</b:RefOrder>
  </b:Source>
  <b:Source>
    <b:Tag>Cli19</b:Tag>
    <b:SourceType>Book</b:SourceType>
    <b:Guid>{247729A9-00D5-4BC4-BDB7-CE5C8151282B}</b:Guid>
    <b:Title>Green Bonds the State of the Market 2018</b:Title>
    <b:Year>2019</b:Year>
    <b:URL>www.climatebonds.net/files/reports/cbi_gbm_final_032019_web.pdf</b:URL>
    <b:Author>
      <b:Author>
        <b:NameList>
          <b:Person>
            <b:Last>Climate Bonds Initiative</b:Last>
          </b:Person>
        </b:NameList>
      </b:Author>
    </b:Author>
    <b:RefOrder>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B08625-26E3-4292-BD79-C25A028821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0017D0-0FB5-4329-99BF-2BBF6DFF98C1}">
  <ds:schemaRefs>
    <ds:schemaRef ds:uri="http://schemas.microsoft.com/sharepoint/v3/contenttype/forms"/>
  </ds:schemaRefs>
</ds:datastoreItem>
</file>

<file path=customXml/itemProps4.xml><?xml version="1.0" encoding="utf-8"?>
<ds:datastoreItem xmlns:ds="http://schemas.openxmlformats.org/officeDocument/2006/customXml" ds:itemID="{60DF153D-40E7-48E3-939D-04D773AE3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14E517-9133-4132-878A-D4656930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17</Pages>
  <Words>8520</Words>
  <Characters>48569</Characters>
  <Application>Microsoft Office Word</Application>
  <DocSecurity>0</DocSecurity>
  <Lines>404</Lines>
  <Paragraphs>113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Evaluation and review of the Strategy for Resource Mobilization and Aichi Biodiversity Target 20</vt:lpstr>
      <vt:lpstr>Evaluation and review of the Strategy for Resource Mobilization and Aichi Biodiversity Target 20</vt:lpstr>
    </vt:vector>
  </TitlesOfParts>
  <Company>SCBD</Company>
  <LinksUpToDate>false</LinksUpToDate>
  <CharactersWithSpaces>56976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and review of the Strategy for Resource Mobilization and Aichi Biodiversity Target 20</dc:title>
  <dc:subject>CBD/SBI/3/5/Add.1</dc:subject>
  <dc:creator>SCBD</dc:creator>
  <cp:keywords>Subsidiary Body on Implementation, third meeting, Convention on Biological Diversity</cp:keywords>
  <cp:lastModifiedBy>Tatiana Zavarzina</cp:lastModifiedBy>
  <cp:revision>10</cp:revision>
  <cp:lastPrinted>2020-05-25T19:18:00Z</cp:lastPrinted>
  <dcterms:created xsi:type="dcterms:W3CDTF">2020-06-27T13:24:00Z</dcterms:created>
  <dcterms:modified xsi:type="dcterms:W3CDTF">2020-06-30T20:16:00Z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