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aconcuadrcula"/>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5141"/>
        <w:gridCol w:w="4090"/>
      </w:tblGrid>
      <w:tr w:rsidR="005B2641" w:rsidRPr="005B2641" w14:paraId="6B1CF4A6" w14:textId="77777777" w:rsidTr="005B2641">
        <w:trPr>
          <w:trHeight w:val="851"/>
        </w:trPr>
        <w:tc>
          <w:tcPr>
            <w:tcW w:w="976" w:type="dxa"/>
            <w:tcBorders>
              <w:bottom w:val="single" w:sz="12" w:space="0" w:color="auto"/>
            </w:tcBorders>
          </w:tcPr>
          <w:p w14:paraId="0324BDE6" w14:textId="77777777" w:rsidR="005B2641" w:rsidRPr="005B2641" w:rsidRDefault="005B2641" w:rsidP="00952C91">
            <w:pPr>
              <w:suppressLineNumbers/>
              <w:suppressAutoHyphens/>
              <w:rPr>
                <w:kern w:val="22"/>
              </w:rPr>
            </w:pPr>
            <w:r w:rsidRPr="005B2641">
              <w:rPr>
                <w:noProof/>
                <w:lang w:eastAsia="es-ES"/>
              </w:rPr>
              <w:drawing>
                <wp:anchor distT="0" distB="0" distL="114300" distR="114300" simplePos="0" relativeHeight="251670016" behindDoc="0" locked="0" layoutInCell="1" allowOverlap="1" wp14:anchorId="50E273A6" wp14:editId="1A7B7E26">
                  <wp:simplePos x="0" y="0"/>
                  <wp:positionH relativeFrom="column">
                    <wp:posOffset>0</wp:posOffset>
                  </wp:positionH>
                  <wp:positionV relativeFrom="page">
                    <wp:posOffset>47625</wp:posOffset>
                  </wp:positionV>
                  <wp:extent cx="476250" cy="402590"/>
                  <wp:effectExtent l="0" t="0" r="0" b="0"/>
                  <wp:wrapNone/>
                  <wp:docPr id="1" name="Picture 1" descr="Macintosh HD:Users:bilodeau:Desktop:logos:template 2017:u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odeau:Desktop:logos:template 2017:un.e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0" cy="402590"/>
                          </a:xfrm>
                          <a:prstGeom prst="rect">
                            <a:avLst/>
                          </a:prstGeom>
                          <a:noFill/>
                          <a:ln>
                            <a:noFill/>
                          </a:ln>
                        </pic:spPr>
                      </pic:pic>
                    </a:graphicData>
                  </a:graphic>
                </wp:anchor>
              </w:drawing>
            </w:r>
          </w:p>
        </w:tc>
        <w:tc>
          <w:tcPr>
            <w:tcW w:w="5141" w:type="dxa"/>
            <w:tcBorders>
              <w:bottom w:val="single" w:sz="12" w:space="0" w:color="auto"/>
            </w:tcBorders>
            <w:shd w:val="clear" w:color="auto" w:fill="auto"/>
            <w:tcFitText/>
          </w:tcPr>
          <w:p w14:paraId="3395E424" w14:textId="77777777" w:rsidR="005B2641" w:rsidRPr="005B2641" w:rsidRDefault="005B2641" w:rsidP="00952C91">
            <w:pPr>
              <w:suppressLineNumbers/>
              <w:suppressAutoHyphens/>
              <w:rPr>
                <w:kern w:val="22"/>
              </w:rPr>
            </w:pPr>
            <w:r w:rsidRPr="005B2641">
              <w:rPr>
                <w:noProof/>
                <w:lang w:eastAsia="es-ES"/>
              </w:rPr>
              <w:drawing>
                <wp:anchor distT="0" distB="0" distL="114300" distR="114300" simplePos="0" relativeHeight="251671040" behindDoc="0" locked="0" layoutInCell="1" allowOverlap="1" wp14:anchorId="0EA33F4A" wp14:editId="27BFB84D">
                  <wp:simplePos x="0" y="0"/>
                  <wp:positionH relativeFrom="column">
                    <wp:posOffset>22225</wp:posOffset>
                  </wp:positionH>
                  <wp:positionV relativeFrom="paragraph">
                    <wp:posOffset>69850</wp:posOffset>
                  </wp:positionV>
                  <wp:extent cx="676275" cy="38608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386080"/>
                          </a:xfrm>
                          <a:prstGeom prst="rect">
                            <a:avLst/>
                          </a:prstGeom>
                          <a:noFill/>
                        </pic:spPr>
                      </pic:pic>
                    </a:graphicData>
                  </a:graphic>
                  <wp14:sizeRelH relativeFrom="page">
                    <wp14:pctWidth>0</wp14:pctWidth>
                  </wp14:sizeRelH>
                  <wp14:sizeRelV relativeFrom="page">
                    <wp14:pctHeight>0</wp14:pctHeight>
                  </wp14:sizeRelV>
                </wp:anchor>
              </w:drawing>
            </w:r>
          </w:p>
        </w:tc>
        <w:tc>
          <w:tcPr>
            <w:tcW w:w="4090" w:type="dxa"/>
            <w:tcBorders>
              <w:bottom w:val="single" w:sz="12" w:space="0" w:color="auto"/>
            </w:tcBorders>
          </w:tcPr>
          <w:p w14:paraId="185E0CC7" w14:textId="77777777" w:rsidR="005B2641" w:rsidRPr="005B2641" w:rsidRDefault="005B2641" w:rsidP="00952C91">
            <w:pPr>
              <w:suppressLineNumbers/>
              <w:suppressAutoHyphens/>
              <w:jc w:val="right"/>
              <w:rPr>
                <w:rFonts w:ascii="Arial" w:hAnsi="Arial" w:cs="Arial"/>
                <w:b/>
                <w:kern w:val="22"/>
                <w:sz w:val="32"/>
                <w:szCs w:val="32"/>
              </w:rPr>
            </w:pPr>
            <w:r w:rsidRPr="005B2641">
              <w:rPr>
                <w:rFonts w:ascii="Arial" w:hAnsi="Arial"/>
                <w:b/>
                <w:sz w:val="32"/>
                <w:szCs w:val="32"/>
              </w:rPr>
              <w:t>CBD</w:t>
            </w:r>
          </w:p>
        </w:tc>
      </w:tr>
    </w:tbl>
    <w:tbl>
      <w:tblPr>
        <w:tblW w:w="10207" w:type="dxa"/>
        <w:tblInd w:w="-318" w:type="dxa"/>
        <w:tblBorders>
          <w:bottom w:val="single" w:sz="36" w:space="0" w:color="000000"/>
        </w:tblBorders>
        <w:tblLayout w:type="fixed"/>
        <w:tblLook w:val="0000" w:firstRow="0" w:lastRow="0" w:firstColumn="0" w:lastColumn="0" w:noHBand="0" w:noVBand="0"/>
      </w:tblPr>
      <w:tblGrid>
        <w:gridCol w:w="6086"/>
        <w:gridCol w:w="1144"/>
        <w:gridCol w:w="2977"/>
      </w:tblGrid>
      <w:tr w:rsidR="00AF2846" w:rsidRPr="005B2641" w14:paraId="583E800C" w14:textId="77777777" w:rsidTr="00CF5ABA">
        <w:trPr>
          <w:trHeight w:val="1693"/>
        </w:trPr>
        <w:tc>
          <w:tcPr>
            <w:tcW w:w="6086" w:type="dxa"/>
            <w:tcBorders>
              <w:top w:val="nil"/>
              <w:bottom w:val="single" w:sz="36" w:space="0" w:color="000000"/>
            </w:tcBorders>
          </w:tcPr>
          <w:p w14:paraId="379F5FA0" w14:textId="3D3A92DB" w:rsidR="00AF2846" w:rsidRPr="005B2641" w:rsidRDefault="005B2641" w:rsidP="00AF2846">
            <w:pPr>
              <w:suppressLineNumbers/>
              <w:suppressAutoHyphens/>
              <w:spacing w:after="0" w:line="240" w:lineRule="auto"/>
              <w:rPr>
                <w:rFonts w:ascii="Times New Roman" w:hAnsi="Times New Roman" w:cs="Times New Roman"/>
                <w:snapToGrid w:val="0"/>
                <w:kern w:val="22"/>
              </w:rPr>
            </w:pPr>
            <w:bookmarkStart w:id="0" w:name="_Toc462934071"/>
            <w:bookmarkStart w:id="1" w:name="_Toc480714127"/>
            <w:r w:rsidRPr="005B2641">
              <w:rPr>
                <w:rFonts w:ascii="Times New Roman" w:hAnsi="Times New Roman"/>
                <w:noProof/>
              </w:rPr>
              <w:drawing>
                <wp:inline distT="0" distB="0" distL="0" distR="0" wp14:anchorId="40005E5E" wp14:editId="77747DED">
                  <wp:extent cx="2910205" cy="1081405"/>
                  <wp:effectExtent l="0" t="0" r="444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0205" cy="1081405"/>
                          </a:xfrm>
                          <a:prstGeom prst="rect">
                            <a:avLst/>
                          </a:prstGeom>
                          <a:noFill/>
                          <a:ln>
                            <a:noFill/>
                          </a:ln>
                        </pic:spPr>
                      </pic:pic>
                    </a:graphicData>
                  </a:graphic>
                </wp:inline>
              </w:drawing>
            </w:r>
          </w:p>
        </w:tc>
        <w:tc>
          <w:tcPr>
            <w:tcW w:w="1144" w:type="dxa"/>
            <w:tcBorders>
              <w:top w:val="nil"/>
              <w:bottom w:val="single" w:sz="36" w:space="0" w:color="000000"/>
            </w:tcBorders>
          </w:tcPr>
          <w:p w14:paraId="78244ECB" w14:textId="77777777" w:rsidR="00AF2846" w:rsidRPr="005B2641" w:rsidRDefault="00AF2846" w:rsidP="00AF2846">
            <w:pPr>
              <w:pStyle w:val="Encabezado"/>
              <w:suppressLineNumbers/>
              <w:suppressAutoHyphens/>
              <w:jc w:val="both"/>
              <w:rPr>
                <w:rFonts w:ascii="Times New Roman" w:eastAsia="MS Mincho" w:hAnsi="Times New Roman" w:cs="Times New Roman"/>
                <w:bCs/>
                <w:snapToGrid w:val="0"/>
                <w:kern w:val="22"/>
              </w:rPr>
            </w:pPr>
          </w:p>
        </w:tc>
        <w:tc>
          <w:tcPr>
            <w:tcW w:w="2977" w:type="dxa"/>
            <w:tcBorders>
              <w:top w:val="nil"/>
              <w:bottom w:val="single" w:sz="36" w:space="0" w:color="000000"/>
            </w:tcBorders>
          </w:tcPr>
          <w:p w14:paraId="23EFC180" w14:textId="77777777" w:rsidR="00AF2846" w:rsidRPr="005B2641" w:rsidRDefault="00AF2846" w:rsidP="00AF2846">
            <w:pPr>
              <w:suppressLineNumbers/>
              <w:suppressAutoHyphens/>
              <w:spacing w:after="0" w:line="240" w:lineRule="auto"/>
              <w:ind w:left="318"/>
              <w:rPr>
                <w:rFonts w:ascii="Times New Roman" w:hAnsi="Times New Roman" w:cs="Times New Roman"/>
                <w:snapToGrid w:val="0"/>
                <w:kern w:val="22"/>
              </w:rPr>
            </w:pPr>
            <w:r w:rsidRPr="005B2641">
              <w:rPr>
                <w:rFonts w:ascii="Times New Roman" w:hAnsi="Times New Roman"/>
                <w:snapToGrid w:val="0"/>
              </w:rPr>
              <w:t>Distr.</w:t>
            </w:r>
          </w:p>
          <w:p w14:paraId="3FDF19CD" w14:textId="77777777" w:rsidR="00AF2846" w:rsidRPr="005B2641" w:rsidRDefault="00AF2846" w:rsidP="00AF2846">
            <w:pPr>
              <w:suppressLineNumbers/>
              <w:suppressAutoHyphens/>
              <w:spacing w:after="0" w:line="240" w:lineRule="auto"/>
              <w:ind w:left="318"/>
              <w:rPr>
                <w:rFonts w:ascii="Times New Roman" w:hAnsi="Times New Roman" w:cs="Times New Roman"/>
                <w:snapToGrid w:val="0"/>
                <w:kern w:val="22"/>
              </w:rPr>
            </w:pPr>
            <w:r w:rsidRPr="005B2641">
              <w:rPr>
                <w:rFonts w:ascii="Times New Roman" w:hAnsi="Times New Roman"/>
                <w:snapToGrid w:val="0"/>
              </w:rPr>
              <w:t>GENERAL</w:t>
            </w:r>
          </w:p>
          <w:p w14:paraId="6CEDA031" w14:textId="77777777" w:rsidR="00AF2846" w:rsidRPr="005B2641" w:rsidRDefault="00AF2846" w:rsidP="00AF2846">
            <w:pPr>
              <w:suppressLineNumbers/>
              <w:suppressAutoHyphens/>
              <w:spacing w:after="0" w:line="240" w:lineRule="auto"/>
              <w:ind w:left="318"/>
              <w:rPr>
                <w:rFonts w:ascii="Times New Roman" w:hAnsi="Times New Roman" w:cs="Times New Roman"/>
                <w:snapToGrid w:val="0"/>
                <w:kern w:val="22"/>
              </w:rPr>
            </w:pPr>
          </w:p>
          <w:bookmarkStart w:id="2" w:name="_Hlk22815168" w:displacedByCustomXml="next"/>
          <w:sdt>
            <w:sdtPr>
              <w:rPr>
                <w:rFonts w:ascii="Times New Roman" w:hAnsi="Times New Roman" w:cs="Times New Roman"/>
                <w:snapToGrid w:val="0"/>
                <w:kern w:val="22"/>
              </w:rPr>
              <w:alias w:val="Subject"/>
              <w:tag w:val=""/>
              <w:id w:val="-1155982080"/>
              <w:placeholder>
                <w:docPart w:val="7207C0693C2141E48CF6787E265A3927"/>
              </w:placeholder>
              <w:dataBinding w:prefixMappings="xmlns:ns0='http://purl.org/dc/elements/1.1/' xmlns:ns1='http://schemas.openxmlformats.org/package/2006/metadata/core-properties' " w:xpath="/ns1:coreProperties[1]/ns0:subject[1]" w:storeItemID="{6C3C8BC8-F283-45AE-878A-BAB7291924A1}"/>
              <w:text/>
            </w:sdtPr>
            <w:sdtEndPr/>
            <w:sdtContent>
              <w:bookmarkEnd w:id="2" w:displacedByCustomXml="prev"/>
              <w:p w14:paraId="73276604" w14:textId="5B24FE4C" w:rsidR="00AF2846" w:rsidRPr="005B2641" w:rsidRDefault="00247801" w:rsidP="00AF2846">
                <w:pPr>
                  <w:suppressLineNumbers/>
                  <w:suppressAutoHyphens/>
                  <w:spacing w:after="0" w:line="240" w:lineRule="auto"/>
                  <w:ind w:left="318"/>
                  <w:rPr>
                    <w:rFonts w:ascii="Times New Roman" w:hAnsi="Times New Roman" w:cs="Times New Roman"/>
                    <w:snapToGrid w:val="0"/>
                    <w:kern w:val="22"/>
                  </w:rPr>
                </w:pPr>
                <w:r w:rsidRPr="005B2641">
                  <w:rPr>
                    <w:rFonts w:ascii="Times New Roman" w:hAnsi="Times New Roman" w:cs="Times New Roman"/>
                    <w:snapToGrid w:val="0"/>
                    <w:kern w:val="22"/>
                  </w:rPr>
                  <w:t>CBD/SBI/</w:t>
                </w:r>
                <w:r w:rsidR="00FE08E5" w:rsidRPr="005B2641">
                  <w:rPr>
                    <w:rFonts w:ascii="Times New Roman" w:hAnsi="Times New Roman" w:cs="Times New Roman"/>
                    <w:snapToGrid w:val="0"/>
                    <w:kern w:val="22"/>
                  </w:rPr>
                  <w:t>3/6/Add.1</w:t>
                </w:r>
              </w:p>
            </w:sdtContent>
          </w:sdt>
          <w:p w14:paraId="4981AF26" w14:textId="3D99CFAE" w:rsidR="00AF2846" w:rsidRPr="005B2641" w:rsidRDefault="00AF2846" w:rsidP="00AF2846">
            <w:pPr>
              <w:suppressLineNumbers/>
              <w:suppressAutoHyphens/>
              <w:spacing w:after="0" w:line="240" w:lineRule="auto"/>
              <w:ind w:left="318"/>
              <w:rPr>
                <w:rFonts w:ascii="Times New Roman" w:hAnsi="Times New Roman" w:cs="Times New Roman"/>
                <w:snapToGrid w:val="0"/>
                <w:kern w:val="22"/>
              </w:rPr>
            </w:pPr>
            <w:r w:rsidRPr="005B2641">
              <w:rPr>
                <w:rFonts w:ascii="Times New Roman" w:hAnsi="Times New Roman"/>
                <w:snapToGrid w:val="0"/>
              </w:rPr>
              <w:t>12</w:t>
            </w:r>
            <w:r w:rsidR="00544305">
              <w:rPr>
                <w:rFonts w:ascii="Times New Roman" w:hAnsi="Times New Roman"/>
                <w:snapToGrid w:val="0"/>
              </w:rPr>
              <w:t> </w:t>
            </w:r>
            <w:r w:rsidRPr="005B2641">
              <w:rPr>
                <w:rFonts w:ascii="Times New Roman" w:hAnsi="Times New Roman"/>
                <w:snapToGrid w:val="0"/>
              </w:rPr>
              <w:t>de junio de 2020</w:t>
            </w:r>
          </w:p>
          <w:p w14:paraId="0F291CD9" w14:textId="77777777" w:rsidR="00AF2846" w:rsidRPr="005B2641" w:rsidRDefault="00AF2846" w:rsidP="00AF2846">
            <w:pPr>
              <w:suppressLineNumbers/>
              <w:suppressAutoHyphens/>
              <w:spacing w:after="0" w:line="240" w:lineRule="auto"/>
              <w:ind w:left="318"/>
              <w:rPr>
                <w:rFonts w:ascii="Times New Roman" w:hAnsi="Times New Roman" w:cs="Times New Roman"/>
                <w:snapToGrid w:val="0"/>
                <w:kern w:val="22"/>
              </w:rPr>
            </w:pPr>
          </w:p>
          <w:p w14:paraId="42F44480" w14:textId="77777777" w:rsidR="005B2641" w:rsidRPr="005B2641" w:rsidRDefault="00AF2846" w:rsidP="00AF2846">
            <w:pPr>
              <w:suppressLineNumbers/>
              <w:suppressAutoHyphens/>
              <w:spacing w:after="0" w:line="240" w:lineRule="auto"/>
              <w:ind w:left="318"/>
              <w:rPr>
                <w:rFonts w:ascii="Times New Roman" w:hAnsi="Times New Roman"/>
                <w:snapToGrid w:val="0"/>
              </w:rPr>
            </w:pPr>
            <w:r w:rsidRPr="005B2641">
              <w:rPr>
                <w:rFonts w:ascii="Times New Roman" w:hAnsi="Times New Roman"/>
                <w:snapToGrid w:val="0"/>
              </w:rPr>
              <w:t>ESPAÑOL</w:t>
            </w:r>
          </w:p>
          <w:p w14:paraId="374474B8" w14:textId="7F5D8CEC" w:rsidR="00AF2846" w:rsidRPr="005B2641" w:rsidRDefault="00AF2846" w:rsidP="00AF2846">
            <w:pPr>
              <w:suppressLineNumbers/>
              <w:suppressAutoHyphens/>
              <w:spacing w:after="0" w:line="240" w:lineRule="auto"/>
              <w:ind w:left="318"/>
              <w:rPr>
                <w:rFonts w:ascii="Times New Roman" w:hAnsi="Times New Roman" w:cs="Times New Roman"/>
                <w:snapToGrid w:val="0"/>
                <w:kern w:val="22"/>
                <w:u w:val="single"/>
              </w:rPr>
            </w:pPr>
            <w:r w:rsidRPr="005B2641">
              <w:rPr>
                <w:rFonts w:ascii="Times New Roman" w:hAnsi="Times New Roman"/>
                <w:snapToGrid w:val="0"/>
              </w:rPr>
              <w:t>ORIGINAL: INGLÉS</w:t>
            </w:r>
          </w:p>
        </w:tc>
      </w:tr>
    </w:tbl>
    <w:p w14:paraId="70C337F4" w14:textId="77777777" w:rsidR="00AF2846" w:rsidRPr="005B2641" w:rsidRDefault="00AF2846" w:rsidP="004B7D03">
      <w:pPr>
        <w:pStyle w:val="meetingname"/>
        <w:suppressLineNumbers/>
        <w:suppressAutoHyphens/>
        <w:ind w:left="-180" w:right="4398" w:firstLine="0"/>
        <w:rPr>
          <w:kern w:val="22"/>
          <w:sz w:val="22"/>
          <w:szCs w:val="22"/>
        </w:rPr>
      </w:pPr>
      <w:bookmarkStart w:id="3" w:name="Meeting"/>
      <w:r w:rsidRPr="005B2641">
        <w:rPr>
          <w:sz w:val="22"/>
          <w:szCs w:val="22"/>
        </w:rPr>
        <w:t>ÓRGANO SUBSIDIARIO SOBRE LA APLICACIÓN</w:t>
      </w:r>
      <w:bookmarkEnd w:id="3"/>
    </w:p>
    <w:p w14:paraId="0C46858D" w14:textId="77777777" w:rsidR="00AF2846" w:rsidRPr="005B2641" w:rsidRDefault="00AF2846" w:rsidP="004B7D03">
      <w:pPr>
        <w:suppressLineNumbers/>
        <w:suppressAutoHyphens/>
        <w:spacing w:after="0" w:line="240" w:lineRule="auto"/>
        <w:rPr>
          <w:rFonts w:ascii="Times New Roman" w:hAnsi="Times New Roman" w:cs="Times New Roman"/>
          <w:snapToGrid w:val="0"/>
          <w:kern w:val="22"/>
        </w:rPr>
      </w:pPr>
      <w:r w:rsidRPr="005B2641">
        <w:rPr>
          <w:rFonts w:ascii="Times New Roman" w:hAnsi="Times New Roman"/>
          <w:snapToGrid w:val="0"/>
        </w:rPr>
        <w:t>Tercera reunión</w:t>
      </w:r>
    </w:p>
    <w:p w14:paraId="087E3A15" w14:textId="2096EAFA" w:rsidR="00AF2846" w:rsidRPr="005B2641" w:rsidRDefault="00F73AA3" w:rsidP="004B7D03">
      <w:pPr>
        <w:suppressLineNumbers/>
        <w:suppressAutoHyphens/>
        <w:spacing w:after="0" w:line="240" w:lineRule="auto"/>
        <w:rPr>
          <w:rFonts w:ascii="Times New Roman" w:hAnsi="Times New Roman" w:cs="Times New Roman"/>
          <w:snapToGrid w:val="0"/>
          <w:kern w:val="22"/>
        </w:rPr>
      </w:pPr>
      <w:r w:rsidRPr="005B2641">
        <w:rPr>
          <w:rFonts w:ascii="Times New Roman" w:hAnsi="Times New Roman"/>
          <w:snapToGrid w:val="0"/>
        </w:rPr>
        <w:t>Ciudad de Quebec (por confirmar) (Canadá), 9</w:t>
      </w:r>
      <w:r w:rsidR="000837FE">
        <w:rPr>
          <w:rFonts w:ascii="Times New Roman" w:hAnsi="Times New Roman"/>
          <w:snapToGrid w:val="0"/>
        </w:rPr>
        <w:t> </w:t>
      </w:r>
      <w:r w:rsidRPr="005B2641">
        <w:rPr>
          <w:rFonts w:ascii="Times New Roman" w:hAnsi="Times New Roman"/>
          <w:snapToGrid w:val="0"/>
        </w:rPr>
        <w:t>a 14 de noviembre de 2020</w:t>
      </w:r>
    </w:p>
    <w:p w14:paraId="6D86F285" w14:textId="77777777" w:rsidR="00AF2846" w:rsidRPr="005B2641" w:rsidRDefault="00AF2846" w:rsidP="004B7D03">
      <w:pPr>
        <w:pStyle w:val="Encabezado"/>
        <w:suppressLineNumbers/>
        <w:suppressAutoHyphens/>
        <w:rPr>
          <w:rFonts w:ascii="Times New Roman" w:hAnsi="Times New Roman" w:cs="Times New Roman"/>
          <w:snapToGrid w:val="0"/>
          <w:kern w:val="22"/>
        </w:rPr>
      </w:pPr>
      <w:r w:rsidRPr="005B2641">
        <w:rPr>
          <w:rFonts w:ascii="Times New Roman" w:hAnsi="Times New Roman"/>
          <w:snapToGrid w:val="0"/>
        </w:rPr>
        <w:t>Tema 6 del programa provisional</w:t>
      </w:r>
      <w:r w:rsidRPr="005B2641">
        <w:rPr>
          <w:rStyle w:val="Refdenotaalpie"/>
          <w:rFonts w:ascii="Times New Roman" w:hAnsi="Times New Roman" w:cs="Times New Roman"/>
          <w:snapToGrid w:val="0"/>
          <w:kern w:val="22"/>
        </w:rPr>
        <w:footnoteReference w:customMarkFollows="1" w:id="2"/>
        <w:t>*</w:t>
      </w:r>
    </w:p>
    <w:sdt>
      <w:sdtPr>
        <w:alias w:val="Título"/>
        <w:tag w:val=""/>
        <w:id w:val="1423067625"/>
        <w:placeholder>
          <w:docPart w:val="B16882D3CD1D4AF581A165F293A75A9E"/>
        </w:placeholder>
        <w:dataBinding w:prefixMappings="xmlns:ns0='http://purl.org/dc/elements/1.1/' xmlns:ns1='http://schemas.openxmlformats.org/package/2006/metadata/core-properties' " w:xpath="/ns1:coreProperties[1]/ns0:title[1]" w:storeItemID="{6C3C8BC8-F283-45AE-878A-BAB7291924A1}"/>
        <w:text/>
      </w:sdtPr>
      <w:sdtContent>
        <w:p w14:paraId="6D12CFAD" w14:textId="1D6117EE" w:rsidR="00AF2846" w:rsidRPr="005B2641" w:rsidRDefault="00544305" w:rsidP="000C09D1">
          <w:pPr>
            <w:pStyle w:val="HEADINGNOTFORTOC"/>
          </w:pPr>
          <w:r w:rsidRPr="005B2641">
            <w:t>MECANISMO FINANCIERO</w:t>
          </w:r>
          <w:r>
            <w:t xml:space="preserve"> - INFORME PRELIMINAR DEL FONDO PARA EL MEDIO AMBIENTE MUNDIAL</w:t>
          </w:r>
        </w:p>
      </w:sdtContent>
    </w:sdt>
    <w:p w14:paraId="3343CF26" w14:textId="02FF64B8" w:rsidR="00AF2846" w:rsidRPr="00544305" w:rsidRDefault="00247801" w:rsidP="00247801">
      <w:pPr>
        <w:spacing w:before="120" w:after="120" w:line="240" w:lineRule="auto"/>
        <w:jc w:val="center"/>
        <w:rPr>
          <w:rFonts w:ascii="Times New Roman" w:hAnsi="Times New Roman" w:cs="Times New Roman"/>
          <w:b/>
          <w:i/>
          <w:iCs/>
          <w:caps/>
          <w:snapToGrid w:val="0"/>
        </w:rPr>
      </w:pPr>
      <w:r w:rsidRPr="00544305">
        <w:rPr>
          <w:rFonts w:ascii="Times New Roman" w:hAnsi="Times New Roman"/>
          <w:i/>
          <w:iCs/>
        </w:rPr>
        <w:t>Nota de la Secretaria Ejecutiva</w:t>
      </w:r>
    </w:p>
    <w:p w14:paraId="4B6EB008" w14:textId="77777777" w:rsidR="00AF2846" w:rsidRPr="005B2641" w:rsidRDefault="00AF2846" w:rsidP="000C09D1">
      <w:pPr>
        <w:pStyle w:val="Ttulo1"/>
        <w:rPr>
          <w:caps/>
        </w:rPr>
      </w:pPr>
      <w:r w:rsidRPr="005B2641">
        <w:t>INTRODUCCIÓN</w:t>
      </w:r>
    </w:p>
    <w:p w14:paraId="70640AD4" w14:textId="77777777" w:rsidR="00AF2846" w:rsidRPr="005B2641" w:rsidRDefault="00AF2846" w:rsidP="00AF2846">
      <w:pPr>
        <w:pStyle w:val="Para1"/>
        <w:numPr>
          <w:ilvl w:val="0"/>
          <w:numId w:val="30"/>
        </w:numPr>
        <w:suppressLineNumbers/>
        <w:suppressAutoHyphens/>
        <w:spacing w:before="120"/>
        <w:ind w:left="0" w:firstLine="0"/>
        <w:jc w:val="both"/>
        <w:rPr>
          <w:kern w:val="22"/>
          <w:szCs w:val="22"/>
        </w:rPr>
      </w:pPr>
      <w:r w:rsidRPr="005B2641">
        <w:rPr>
          <w:snapToGrid/>
          <w:szCs w:val="22"/>
        </w:rPr>
        <w:t>En el memorando de entendimiento entre la Conferencia de las Partes en el Convenio sobre la Diversidad Biológica y el Consejo del Fondo para el Medio Ambiente Mundial se acordó que el Consejo prepararía y presentaría un informe a cada reunión ordinaria de la Conferencia de las Partes (véase la decisión III/8, anexo, párr. 3).</w:t>
      </w:r>
    </w:p>
    <w:p w14:paraId="490064BF" w14:textId="77777777" w:rsidR="00AF2846" w:rsidRPr="005B2641" w:rsidRDefault="00AF2846" w:rsidP="00AF2846">
      <w:pPr>
        <w:pStyle w:val="Para1"/>
        <w:numPr>
          <w:ilvl w:val="0"/>
          <w:numId w:val="30"/>
        </w:numPr>
        <w:suppressLineNumbers/>
        <w:suppressAutoHyphens/>
        <w:spacing w:before="120"/>
        <w:ind w:left="0" w:firstLine="0"/>
        <w:jc w:val="both"/>
        <w:rPr>
          <w:kern w:val="22"/>
          <w:szCs w:val="22"/>
        </w:rPr>
      </w:pPr>
      <w:r w:rsidRPr="005B2641">
        <w:t xml:space="preserve">En la decisión </w:t>
      </w:r>
      <w:hyperlink r:id="rId14" w:history="1">
        <w:r w:rsidRPr="005B2641">
          <w:rPr>
            <w:rStyle w:val="Hipervnculo"/>
            <w:snapToGrid/>
            <w:szCs w:val="22"/>
          </w:rPr>
          <w:t>XII/30</w:t>
        </w:r>
      </w:hyperlink>
      <w:r w:rsidRPr="005B2641">
        <w:t>, párrafo 8 e), la Conferencia de las Partes decidió que el Fondo para el Medio Ambiente Mundial debía “poner a disposición del Órgano Subsidiario sobre la Aplicación una versión preliminar de su informe a la Conferencia de las Partes, centrándose en particular en la respuesta del Fondo para el Medio Ambiente Mundial a la orientación anterior de la Conferencia de las Partes, con anterioridad a la reunión de la Conferencia de las Partes en la que se ha de considerar el informe oficialmente, con miras a promover la consideración efectiva y oportuna de la información proporcionada en el informe”.</w:t>
      </w:r>
    </w:p>
    <w:p w14:paraId="2F25C56F" w14:textId="131580AB" w:rsidR="00AF2846" w:rsidRPr="005B2641" w:rsidRDefault="00DD2EDE" w:rsidP="00AF2846">
      <w:pPr>
        <w:pStyle w:val="Para1"/>
        <w:numPr>
          <w:ilvl w:val="0"/>
          <w:numId w:val="30"/>
        </w:numPr>
        <w:suppressLineNumbers/>
        <w:suppressAutoHyphens/>
        <w:spacing w:before="120"/>
        <w:ind w:left="0" w:firstLine="0"/>
        <w:jc w:val="both"/>
        <w:rPr>
          <w:snapToGrid/>
          <w:kern w:val="22"/>
          <w:szCs w:val="22"/>
        </w:rPr>
      </w:pPr>
      <w:r w:rsidRPr="005B2641">
        <w:t>De conformidad con lo expuesto, la Secretaria Ejecutiva distribuye en el presente documento el informe preliminar del Consejo del Fondo para el Medio Ambiente Mundial a la tercera reunión del Órgano Subsidiario sobre la Aplicación. El informe, disponible en español, francés e inglés, se reproduce tal como lo recibió la Secretaría, con la excepción de la lista de proyectos y programas aprobados durante el período analizado que se adjuntaba, que se publica en forma separada en un documento de información (CBD/SBI/3/INF/7). El presente documento también se publicará en árabe, chino y ruso.</w:t>
      </w:r>
    </w:p>
    <w:p w14:paraId="36B17CC9" w14:textId="77777777" w:rsidR="00AF2846" w:rsidRPr="005B2641" w:rsidRDefault="00AF2846" w:rsidP="00AF2846">
      <w:pPr>
        <w:pStyle w:val="Para1"/>
        <w:numPr>
          <w:ilvl w:val="0"/>
          <w:numId w:val="0"/>
        </w:numPr>
        <w:suppressLineNumbers/>
        <w:suppressAutoHyphens/>
        <w:spacing w:after="0"/>
        <w:rPr>
          <w:kern w:val="22"/>
          <w:szCs w:val="22"/>
        </w:rPr>
      </w:pPr>
    </w:p>
    <w:p w14:paraId="1C7F541D" w14:textId="77777777" w:rsidR="005B2641" w:rsidRPr="005B2641" w:rsidRDefault="00AF2846" w:rsidP="005B2641">
      <w:pPr>
        <w:jc w:val="center"/>
        <w:rPr>
          <w:b/>
          <w:smallCaps/>
          <w:sz w:val="32"/>
          <w:szCs w:val="32"/>
        </w:rPr>
      </w:pPr>
      <w:r w:rsidRPr="005B2641">
        <w:br w:type="page"/>
      </w:r>
      <w:bookmarkEnd w:id="0"/>
      <w:bookmarkEnd w:id="1"/>
      <w:r w:rsidR="005B2641" w:rsidRPr="005B2641">
        <w:rPr>
          <w:b/>
          <w:smallCaps/>
          <w:noProof/>
          <w:sz w:val="32"/>
          <w:szCs w:val="32"/>
          <w:lang w:eastAsia="es-AR"/>
        </w:rPr>
        <w:lastRenderedPageBreak/>
        <w:drawing>
          <wp:anchor distT="0" distB="0" distL="114300" distR="114300" simplePos="0" relativeHeight="251673088" behindDoc="0" locked="0" layoutInCell="1" allowOverlap="1" wp14:anchorId="7A62B52E" wp14:editId="37CD9F06">
            <wp:simplePos x="0" y="0"/>
            <wp:positionH relativeFrom="column">
              <wp:posOffset>1068705</wp:posOffset>
            </wp:positionH>
            <wp:positionV relativeFrom="paragraph">
              <wp:posOffset>-190500</wp:posOffset>
            </wp:positionV>
            <wp:extent cx="4367530" cy="769620"/>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753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5B2641" w:rsidRPr="005B2641">
        <w:rPr>
          <w:b/>
          <w:smallCaps/>
          <w:sz w:val="32"/>
          <w:szCs w:val="32"/>
          <w:lang w:eastAsia="es-AR"/>
        </w:rPr>
        <w:t xml:space="preserve"> </w:t>
      </w:r>
    </w:p>
    <w:tbl>
      <w:tblPr>
        <w:tblStyle w:val="Tablaconcuadrcula"/>
        <w:tblW w:w="0" w:type="auto"/>
        <w:tblLook w:val="04A0" w:firstRow="1" w:lastRow="0" w:firstColumn="1" w:lastColumn="0" w:noHBand="0" w:noVBand="1"/>
      </w:tblPr>
      <w:tblGrid>
        <w:gridCol w:w="9350"/>
      </w:tblGrid>
      <w:tr w:rsidR="005B2641" w:rsidRPr="005B2641" w14:paraId="08FD26FC" w14:textId="77777777" w:rsidTr="00952C91">
        <w:tc>
          <w:tcPr>
            <w:tcW w:w="9350" w:type="dxa"/>
            <w:tcBorders>
              <w:top w:val="single" w:sz="12" w:space="0" w:color="auto"/>
              <w:left w:val="nil"/>
              <w:bottom w:val="nil"/>
              <w:right w:val="nil"/>
            </w:tcBorders>
          </w:tcPr>
          <w:p w14:paraId="5BCAAA89" w14:textId="77777777" w:rsidR="005B2641" w:rsidRPr="005B2641" w:rsidRDefault="005B2641" w:rsidP="00952C91">
            <w:pPr>
              <w:jc w:val="center"/>
              <w:rPr>
                <w:b/>
                <w:smallCaps/>
                <w:sz w:val="2"/>
                <w:szCs w:val="32"/>
              </w:rPr>
            </w:pPr>
          </w:p>
        </w:tc>
      </w:tr>
    </w:tbl>
    <w:p w14:paraId="72CD4385" w14:textId="77777777" w:rsidR="005B2641" w:rsidRPr="005B2641" w:rsidRDefault="005B2641" w:rsidP="005B2641">
      <w:pPr>
        <w:jc w:val="center"/>
        <w:rPr>
          <w:b/>
          <w:smallCaps/>
          <w:sz w:val="32"/>
          <w:szCs w:val="32"/>
        </w:rPr>
      </w:pPr>
    </w:p>
    <w:p w14:paraId="47A44B70" w14:textId="77777777" w:rsidR="005B2641" w:rsidRPr="005B2641" w:rsidRDefault="005B2641" w:rsidP="005B2641">
      <w:pPr>
        <w:jc w:val="center"/>
        <w:rPr>
          <w:b/>
          <w:smallCaps/>
          <w:sz w:val="32"/>
          <w:szCs w:val="32"/>
        </w:rPr>
      </w:pPr>
    </w:p>
    <w:p w14:paraId="04EEE6ED" w14:textId="77777777" w:rsidR="005B2641" w:rsidRPr="005B2641" w:rsidRDefault="005B2641" w:rsidP="005B2641">
      <w:pPr>
        <w:jc w:val="center"/>
        <w:rPr>
          <w:b/>
          <w:smallCaps/>
          <w:sz w:val="32"/>
          <w:szCs w:val="32"/>
        </w:rPr>
      </w:pPr>
    </w:p>
    <w:p w14:paraId="5C1DC067" w14:textId="77777777" w:rsidR="005B2641" w:rsidRPr="005B2641" w:rsidRDefault="005B2641" w:rsidP="005B2641">
      <w:pPr>
        <w:jc w:val="center"/>
        <w:rPr>
          <w:b/>
          <w:smallCaps/>
          <w:sz w:val="32"/>
          <w:szCs w:val="32"/>
        </w:rPr>
      </w:pPr>
    </w:p>
    <w:p w14:paraId="7C6B12FF" w14:textId="77777777" w:rsidR="005B2641" w:rsidRPr="005B2641" w:rsidRDefault="005B2641" w:rsidP="005B2641">
      <w:pPr>
        <w:jc w:val="center"/>
        <w:rPr>
          <w:b/>
          <w:smallCaps/>
          <w:sz w:val="32"/>
          <w:szCs w:val="32"/>
        </w:rPr>
      </w:pPr>
    </w:p>
    <w:p w14:paraId="32C4A9D6" w14:textId="77777777" w:rsidR="005B2641" w:rsidRPr="005B2641" w:rsidRDefault="005B2641" w:rsidP="005B2641">
      <w:pPr>
        <w:jc w:val="center"/>
        <w:rPr>
          <w:b/>
          <w:smallCaps/>
          <w:sz w:val="32"/>
          <w:szCs w:val="32"/>
        </w:rPr>
      </w:pPr>
    </w:p>
    <w:p w14:paraId="3DB4517B" w14:textId="77777777" w:rsidR="005B2641" w:rsidRPr="005B2641" w:rsidRDefault="005B2641" w:rsidP="005B2641">
      <w:pPr>
        <w:jc w:val="center"/>
        <w:rPr>
          <w:b/>
          <w:smallCaps/>
          <w:sz w:val="32"/>
          <w:szCs w:val="32"/>
        </w:rPr>
      </w:pPr>
    </w:p>
    <w:p w14:paraId="49A6B440" w14:textId="77777777" w:rsidR="005B2641" w:rsidRPr="005B2641" w:rsidRDefault="005B2641" w:rsidP="005B2641">
      <w:pPr>
        <w:jc w:val="center"/>
        <w:rPr>
          <w:b/>
          <w:smallCaps/>
          <w:sz w:val="32"/>
          <w:szCs w:val="32"/>
        </w:rPr>
      </w:pPr>
      <w:r w:rsidRPr="005B2641">
        <w:rPr>
          <w:b/>
          <w:smallCaps/>
          <w:sz w:val="32"/>
          <w:szCs w:val="32"/>
        </w:rPr>
        <w:t>Informe preliminar del Fondo para el Medio Ambiente Mundial para la 15.</w:t>
      </w:r>
      <w:r w:rsidRPr="005B2641">
        <w:rPr>
          <w:b/>
          <w:smallCaps/>
          <w:sz w:val="32"/>
          <w:szCs w:val="32"/>
          <w:vertAlign w:val="superscript"/>
        </w:rPr>
        <w:t>a</w:t>
      </w:r>
      <w:r w:rsidRPr="005B2641">
        <w:rPr>
          <w:b/>
          <w:smallCaps/>
          <w:sz w:val="32"/>
          <w:szCs w:val="32"/>
        </w:rPr>
        <w:t xml:space="preserve"> Conferencia de las Partes presentado en la tercera reunión</w:t>
      </w:r>
      <w:r w:rsidRPr="005B2641">
        <w:rPr>
          <w:b/>
          <w:smallCaps/>
          <w:sz w:val="32"/>
          <w:szCs w:val="32"/>
        </w:rPr>
        <w:br/>
        <w:t>del Órgano Subsidiario sobre la Implementación del Convenio</w:t>
      </w:r>
      <w:r w:rsidRPr="005B2641">
        <w:rPr>
          <w:b/>
          <w:smallCaps/>
          <w:sz w:val="32"/>
          <w:szCs w:val="32"/>
        </w:rPr>
        <w:br/>
        <w:t>sobre la Diversidad Biológica</w:t>
      </w:r>
    </w:p>
    <w:p w14:paraId="1B5DC98D" w14:textId="77777777" w:rsidR="005B2641" w:rsidRPr="005B2641" w:rsidRDefault="005B2641" w:rsidP="005B2641">
      <w:pPr>
        <w:jc w:val="center"/>
        <w:rPr>
          <w:b/>
          <w:sz w:val="32"/>
          <w:szCs w:val="32"/>
        </w:rPr>
      </w:pPr>
    </w:p>
    <w:p w14:paraId="7809F8F1" w14:textId="77777777" w:rsidR="005B2641" w:rsidRPr="005B2641" w:rsidRDefault="005B2641" w:rsidP="005B2641">
      <w:pPr>
        <w:jc w:val="center"/>
        <w:rPr>
          <w:b/>
          <w:sz w:val="28"/>
          <w:szCs w:val="32"/>
        </w:rPr>
      </w:pPr>
      <w:r w:rsidRPr="005B2641">
        <w:rPr>
          <w:b/>
          <w:sz w:val="28"/>
          <w:szCs w:val="32"/>
        </w:rPr>
        <w:t>14 de febrero de 2020</w:t>
      </w:r>
    </w:p>
    <w:p w14:paraId="31A023C6" w14:textId="77777777" w:rsidR="005B2641" w:rsidRPr="005B2641" w:rsidRDefault="005B2641" w:rsidP="005B2641">
      <w:pPr>
        <w:spacing w:after="0" w:line="240" w:lineRule="auto"/>
        <w:jc w:val="center"/>
        <w:rPr>
          <w:rFonts w:ascii="Calibri" w:eastAsia="MS Mincho" w:hAnsi="Calibri" w:cs="Angsana New"/>
          <w:b/>
          <w:sz w:val="24"/>
          <w:szCs w:val="24"/>
          <w:u w:val="single"/>
        </w:rPr>
        <w:sectPr w:rsidR="005B2641" w:rsidRPr="005B2641" w:rsidSect="00CA5440">
          <w:footerReference w:type="even" r:id="rId16"/>
          <w:footerReference w:type="default" r:id="rId17"/>
          <w:footerReference w:type="first" r:id="rId18"/>
          <w:pgSz w:w="12240" w:h="15840"/>
          <w:pgMar w:top="1440" w:right="1440" w:bottom="1440" w:left="1440" w:header="720" w:footer="720" w:gutter="0"/>
          <w:pgNumType w:fmt="lowerRoman" w:start="1"/>
          <w:cols w:space="720"/>
          <w:docGrid w:linePitch="360"/>
        </w:sectPr>
      </w:pPr>
    </w:p>
    <w:p w14:paraId="67891DE5" w14:textId="77777777" w:rsidR="005B2641" w:rsidRPr="005B2641" w:rsidRDefault="005B2641" w:rsidP="005B2641">
      <w:pPr>
        <w:spacing w:after="0" w:line="240" w:lineRule="auto"/>
        <w:jc w:val="center"/>
        <w:rPr>
          <w:rFonts w:ascii="Calibri" w:eastAsia="MS Mincho" w:hAnsi="Calibri" w:cs="Angsana New"/>
          <w:b/>
          <w:smallCaps/>
          <w:sz w:val="24"/>
          <w:szCs w:val="24"/>
        </w:rPr>
      </w:pPr>
      <w:r w:rsidRPr="005B2641">
        <w:rPr>
          <w:rFonts w:ascii="Calibri" w:hAnsi="Calibri"/>
          <w:b/>
          <w:smallCaps/>
          <w:sz w:val="24"/>
          <w:szCs w:val="24"/>
        </w:rPr>
        <w:lastRenderedPageBreak/>
        <w:t>Índice</w:t>
      </w:r>
    </w:p>
    <w:p w14:paraId="124CD886" w14:textId="77777777" w:rsidR="005B2641" w:rsidRPr="005B2641" w:rsidRDefault="005B2641" w:rsidP="005B2641">
      <w:pPr>
        <w:spacing w:after="0" w:line="240" w:lineRule="auto"/>
        <w:rPr>
          <w:rFonts w:ascii="Calibri" w:eastAsia="MS Mincho" w:hAnsi="Calibri" w:cs="Angsana New"/>
          <w:sz w:val="24"/>
          <w:szCs w:val="24"/>
        </w:rPr>
      </w:pPr>
    </w:p>
    <w:p w14:paraId="291B4999" w14:textId="77777777" w:rsidR="005B2641" w:rsidRPr="005B2641" w:rsidRDefault="005B2641" w:rsidP="005B2641">
      <w:pPr>
        <w:spacing w:after="0" w:line="240" w:lineRule="auto"/>
        <w:rPr>
          <w:rFonts w:ascii="Calibri" w:eastAsia="MS Mincho" w:hAnsi="Calibri" w:cs="Angsana New"/>
          <w:sz w:val="24"/>
          <w:szCs w:val="24"/>
        </w:rPr>
      </w:pPr>
    </w:p>
    <w:p w14:paraId="16E33FE9" w14:textId="77777777" w:rsidR="005B2641" w:rsidRPr="005B2641" w:rsidRDefault="005B2641" w:rsidP="005B2641">
      <w:pPr>
        <w:pStyle w:val="TDC1"/>
        <w:spacing w:line="240" w:lineRule="auto"/>
        <w:rPr>
          <w:rFonts w:eastAsiaTheme="minorEastAsia"/>
        </w:rPr>
      </w:pPr>
      <w:r w:rsidRPr="005B2641">
        <w:rPr>
          <w:rFonts w:ascii="Calibri" w:eastAsia="MS Mincho" w:hAnsi="Calibri" w:cs="Angsana New"/>
          <w:sz w:val="24"/>
          <w:szCs w:val="24"/>
        </w:rPr>
        <w:fldChar w:fldCharType="begin"/>
      </w:r>
      <w:r w:rsidRPr="005B2641">
        <w:rPr>
          <w:rFonts w:ascii="Calibri" w:eastAsia="MS Mincho" w:hAnsi="Calibri" w:cs="Angsana New"/>
          <w:sz w:val="24"/>
          <w:szCs w:val="24"/>
        </w:rPr>
        <w:instrText xml:space="preserve"> TOC \o "1-3" \h \z \u </w:instrText>
      </w:r>
      <w:r w:rsidRPr="005B2641">
        <w:rPr>
          <w:rFonts w:ascii="Calibri" w:eastAsia="MS Mincho" w:hAnsi="Calibri" w:cs="Angsana New"/>
          <w:sz w:val="24"/>
          <w:szCs w:val="24"/>
        </w:rPr>
        <w:fldChar w:fldCharType="separate"/>
      </w:r>
      <w:hyperlink w:anchor="_Toc35815682" w:history="1">
        <w:r w:rsidRPr="005B2641">
          <w:rPr>
            <w:rStyle w:val="Hipervnculo"/>
          </w:rPr>
          <w:t>Resumen</w:t>
        </w:r>
        <w:r w:rsidRPr="005B2641">
          <w:rPr>
            <w:webHidden/>
          </w:rPr>
          <w:tab/>
        </w:r>
        <w:r w:rsidRPr="005B2641">
          <w:rPr>
            <w:webHidden/>
          </w:rPr>
          <w:fldChar w:fldCharType="begin"/>
        </w:r>
        <w:r w:rsidRPr="005B2641">
          <w:rPr>
            <w:webHidden/>
          </w:rPr>
          <w:instrText xml:space="preserve"> PAGEREF _Toc35815682 \h </w:instrText>
        </w:r>
        <w:r w:rsidRPr="005B2641">
          <w:rPr>
            <w:webHidden/>
          </w:rPr>
        </w:r>
        <w:r w:rsidRPr="005B2641">
          <w:rPr>
            <w:webHidden/>
          </w:rPr>
          <w:fldChar w:fldCharType="separate"/>
        </w:r>
        <w:r w:rsidRPr="005B2641">
          <w:rPr>
            <w:webHidden/>
          </w:rPr>
          <w:t>iii</w:t>
        </w:r>
        <w:r w:rsidRPr="005B2641">
          <w:rPr>
            <w:webHidden/>
          </w:rPr>
          <w:fldChar w:fldCharType="end"/>
        </w:r>
      </w:hyperlink>
    </w:p>
    <w:p w14:paraId="27179281" w14:textId="77777777" w:rsidR="005B2641" w:rsidRPr="005B2641" w:rsidRDefault="00D63773" w:rsidP="005B2641">
      <w:pPr>
        <w:pStyle w:val="TDC1"/>
        <w:spacing w:line="240" w:lineRule="auto"/>
        <w:rPr>
          <w:rFonts w:eastAsiaTheme="minorEastAsia"/>
        </w:rPr>
      </w:pPr>
      <w:hyperlink w:anchor="_Toc35815683" w:history="1">
        <w:r w:rsidR="005B2641" w:rsidRPr="005B2641">
          <w:rPr>
            <w:rStyle w:val="Hipervnculo"/>
          </w:rPr>
          <w:t>I.</w:t>
        </w:r>
        <w:r w:rsidR="005B2641" w:rsidRPr="005B2641">
          <w:rPr>
            <w:rFonts w:eastAsiaTheme="minorEastAsia"/>
          </w:rPr>
          <w:tab/>
        </w:r>
        <w:r w:rsidR="005B2641" w:rsidRPr="005B2641">
          <w:rPr>
            <w:rStyle w:val="Hipervnculo"/>
          </w:rPr>
          <w:t>Actividades de los proyectos para respaldar la aplicación del CDB</w:t>
        </w:r>
        <w:r w:rsidR="005B2641" w:rsidRPr="005B2641">
          <w:rPr>
            <w:webHidden/>
          </w:rPr>
          <w:tab/>
        </w:r>
        <w:r w:rsidR="005B2641" w:rsidRPr="005B2641">
          <w:rPr>
            <w:webHidden/>
          </w:rPr>
          <w:fldChar w:fldCharType="begin"/>
        </w:r>
        <w:r w:rsidR="005B2641" w:rsidRPr="005B2641">
          <w:rPr>
            <w:webHidden/>
          </w:rPr>
          <w:instrText xml:space="preserve"> PAGEREF _Toc35815683 \h </w:instrText>
        </w:r>
        <w:r w:rsidR="005B2641" w:rsidRPr="005B2641">
          <w:rPr>
            <w:webHidden/>
          </w:rPr>
        </w:r>
        <w:r w:rsidR="005B2641" w:rsidRPr="005B2641">
          <w:rPr>
            <w:webHidden/>
          </w:rPr>
          <w:fldChar w:fldCharType="separate"/>
        </w:r>
        <w:r w:rsidR="005B2641" w:rsidRPr="005B2641">
          <w:rPr>
            <w:webHidden/>
          </w:rPr>
          <w:t>1</w:t>
        </w:r>
        <w:r w:rsidR="005B2641" w:rsidRPr="005B2641">
          <w:rPr>
            <w:webHidden/>
          </w:rPr>
          <w:fldChar w:fldCharType="end"/>
        </w:r>
      </w:hyperlink>
    </w:p>
    <w:p w14:paraId="4E5C35EE" w14:textId="77777777" w:rsidR="005B2641" w:rsidRPr="005B2641" w:rsidRDefault="00D63773" w:rsidP="005B2641">
      <w:pPr>
        <w:pStyle w:val="TDC2"/>
        <w:spacing w:line="240" w:lineRule="auto"/>
        <w:rPr>
          <w:rFonts w:eastAsiaTheme="minorEastAsia"/>
        </w:rPr>
      </w:pPr>
      <w:hyperlink w:anchor="_Toc35815684" w:history="1">
        <w:r w:rsidR="005B2641" w:rsidRPr="005B2641">
          <w:rPr>
            <w:rStyle w:val="Hipervnculo"/>
          </w:rPr>
          <w:t>La estrategia sobre biodiversidad para el FMAM-7</w:t>
        </w:r>
        <w:r w:rsidR="005B2641" w:rsidRPr="005B2641">
          <w:rPr>
            <w:webHidden/>
          </w:rPr>
          <w:tab/>
        </w:r>
        <w:r w:rsidR="005B2641" w:rsidRPr="005B2641">
          <w:rPr>
            <w:webHidden/>
          </w:rPr>
          <w:fldChar w:fldCharType="begin"/>
        </w:r>
        <w:r w:rsidR="005B2641" w:rsidRPr="005B2641">
          <w:rPr>
            <w:webHidden/>
          </w:rPr>
          <w:instrText xml:space="preserve"> PAGEREF _Toc35815684 \h </w:instrText>
        </w:r>
        <w:r w:rsidR="005B2641" w:rsidRPr="005B2641">
          <w:rPr>
            <w:webHidden/>
          </w:rPr>
        </w:r>
        <w:r w:rsidR="005B2641" w:rsidRPr="005B2641">
          <w:rPr>
            <w:webHidden/>
          </w:rPr>
          <w:fldChar w:fldCharType="separate"/>
        </w:r>
        <w:r w:rsidR="005B2641" w:rsidRPr="005B2641">
          <w:rPr>
            <w:webHidden/>
          </w:rPr>
          <w:t>1</w:t>
        </w:r>
        <w:r w:rsidR="005B2641" w:rsidRPr="005B2641">
          <w:rPr>
            <w:webHidden/>
          </w:rPr>
          <w:fldChar w:fldCharType="end"/>
        </w:r>
      </w:hyperlink>
    </w:p>
    <w:p w14:paraId="428DC7D9" w14:textId="77777777" w:rsidR="005B2641" w:rsidRPr="005B2641" w:rsidRDefault="00D63773" w:rsidP="005B2641">
      <w:pPr>
        <w:pStyle w:val="TDC2"/>
        <w:spacing w:line="240" w:lineRule="auto"/>
        <w:rPr>
          <w:rFonts w:eastAsiaTheme="minorEastAsia"/>
        </w:rPr>
      </w:pPr>
      <w:hyperlink w:anchor="_Toc35815685" w:history="1">
        <w:r w:rsidR="005B2641" w:rsidRPr="005B2641">
          <w:rPr>
            <w:rStyle w:val="Hipervnculo"/>
          </w:rPr>
          <w:t>Programación para el FMAM-7</w:t>
        </w:r>
        <w:r w:rsidR="005B2641" w:rsidRPr="005B2641">
          <w:rPr>
            <w:webHidden/>
          </w:rPr>
          <w:tab/>
        </w:r>
        <w:r w:rsidR="005B2641" w:rsidRPr="005B2641">
          <w:rPr>
            <w:webHidden/>
          </w:rPr>
          <w:fldChar w:fldCharType="begin"/>
        </w:r>
        <w:r w:rsidR="005B2641" w:rsidRPr="005B2641">
          <w:rPr>
            <w:webHidden/>
          </w:rPr>
          <w:instrText xml:space="preserve"> PAGEREF _Toc35815685 \h </w:instrText>
        </w:r>
        <w:r w:rsidR="005B2641" w:rsidRPr="005B2641">
          <w:rPr>
            <w:webHidden/>
          </w:rPr>
        </w:r>
        <w:r w:rsidR="005B2641" w:rsidRPr="005B2641">
          <w:rPr>
            <w:webHidden/>
          </w:rPr>
          <w:fldChar w:fldCharType="separate"/>
        </w:r>
        <w:r w:rsidR="005B2641" w:rsidRPr="005B2641">
          <w:rPr>
            <w:webHidden/>
          </w:rPr>
          <w:t>3</w:t>
        </w:r>
        <w:r w:rsidR="005B2641" w:rsidRPr="005B2641">
          <w:rPr>
            <w:webHidden/>
          </w:rPr>
          <w:fldChar w:fldCharType="end"/>
        </w:r>
      </w:hyperlink>
    </w:p>
    <w:p w14:paraId="5438A83F" w14:textId="77777777" w:rsidR="005B2641" w:rsidRPr="005B2641" w:rsidRDefault="00D63773" w:rsidP="005B2641">
      <w:pPr>
        <w:pStyle w:val="TDC2"/>
        <w:spacing w:line="240" w:lineRule="auto"/>
        <w:rPr>
          <w:rFonts w:eastAsiaTheme="minorEastAsia"/>
        </w:rPr>
      </w:pPr>
      <w:hyperlink w:anchor="_Toc35815686" w:history="1">
        <w:r w:rsidR="005B2641" w:rsidRPr="005B2641">
          <w:rPr>
            <w:rStyle w:val="Hipervnculo"/>
          </w:rPr>
          <w:t>Contribuciones al cumplimiento de las Metas de Aichi para la Diversidad Biológica en el marco del FMAM-7</w:t>
        </w:r>
        <w:r w:rsidR="005B2641" w:rsidRPr="005B2641">
          <w:rPr>
            <w:webHidden/>
          </w:rPr>
          <w:tab/>
        </w:r>
        <w:r w:rsidR="005B2641" w:rsidRPr="005B2641">
          <w:rPr>
            <w:webHidden/>
          </w:rPr>
          <w:fldChar w:fldCharType="begin"/>
        </w:r>
        <w:r w:rsidR="005B2641" w:rsidRPr="005B2641">
          <w:rPr>
            <w:webHidden/>
          </w:rPr>
          <w:instrText xml:space="preserve"> PAGEREF _Toc35815686 \h </w:instrText>
        </w:r>
        <w:r w:rsidR="005B2641" w:rsidRPr="005B2641">
          <w:rPr>
            <w:webHidden/>
          </w:rPr>
        </w:r>
        <w:r w:rsidR="005B2641" w:rsidRPr="005B2641">
          <w:rPr>
            <w:webHidden/>
          </w:rPr>
          <w:fldChar w:fldCharType="separate"/>
        </w:r>
        <w:r w:rsidR="005B2641" w:rsidRPr="005B2641">
          <w:rPr>
            <w:webHidden/>
          </w:rPr>
          <w:t>4</w:t>
        </w:r>
        <w:r w:rsidR="005B2641" w:rsidRPr="005B2641">
          <w:rPr>
            <w:webHidden/>
          </w:rPr>
          <w:fldChar w:fldCharType="end"/>
        </w:r>
      </w:hyperlink>
    </w:p>
    <w:p w14:paraId="1C9B5F9E" w14:textId="77777777" w:rsidR="005B2641" w:rsidRPr="005B2641" w:rsidRDefault="00D63773" w:rsidP="005B2641">
      <w:pPr>
        <w:pStyle w:val="TDC2"/>
        <w:spacing w:line="240" w:lineRule="auto"/>
        <w:rPr>
          <w:rFonts w:eastAsiaTheme="minorEastAsia"/>
        </w:rPr>
      </w:pPr>
      <w:hyperlink w:anchor="_Toc35815687" w:history="1">
        <w:r w:rsidR="005B2641" w:rsidRPr="005B2641">
          <w:rPr>
            <w:rStyle w:val="Hipervnculo"/>
          </w:rPr>
          <w:t>Contribuciones de la estrategia del área focal de biodiversidad al cumplimiento de las Metas de Aichi para la Diversidad Biológica en el marco del FMAM-7</w:t>
        </w:r>
        <w:r w:rsidR="005B2641" w:rsidRPr="005B2641">
          <w:rPr>
            <w:webHidden/>
          </w:rPr>
          <w:tab/>
        </w:r>
        <w:r w:rsidR="005B2641" w:rsidRPr="005B2641">
          <w:rPr>
            <w:webHidden/>
          </w:rPr>
          <w:fldChar w:fldCharType="begin"/>
        </w:r>
        <w:r w:rsidR="005B2641" w:rsidRPr="005B2641">
          <w:rPr>
            <w:webHidden/>
          </w:rPr>
          <w:instrText xml:space="preserve"> PAGEREF _Toc35815687 \h </w:instrText>
        </w:r>
        <w:r w:rsidR="005B2641" w:rsidRPr="005B2641">
          <w:rPr>
            <w:webHidden/>
          </w:rPr>
        </w:r>
        <w:r w:rsidR="005B2641" w:rsidRPr="005B2641">
          <w:rPr>
            <w:webHidden/>
          </w:rPr>
          <w:fldChar w:fldCharType="separate"/>
        </w:r>
        <w:r w:rsidR="005B2641" w:rsidRPr="005B2641">
          <w:rPr>
            <w:webHidden/>
          </w:rPr>
          <w:t>8</w:t>
        </w:r>
        <w:r w:rsidR="005B2641" w:rsidRPr="005B2641">
          <w:rPr>
            <w:webHidden/>
          </w:rPr>
          <w:fldChar w:fldCharType="end"/>
        </w:r>
      </w:hyperlink>
    </w:p>
    <w:p w14:paraId="0FAFE500" w14:textId="77777777" w:rsidR="005B2641" w:rsidRPr="005B2641" w:rsidRDefault="00D63773" w:rsidP="005B2641">
      <w:pPr>
        <w:pStyle w:val="TDC3"/>
        <w:spacing w:line="240" w:lineRule="auto"/>
        <w:rPr>
          <w:rFonts w:eastAsiaTheme="minorEastAsia"/>
          <w:b/>
        </w:rPr>
      </w:pPr>
      <w:hyperlink w:anchor="_Toc35815688" w:history="1">
        <w:r w:rsidR="005B2641" w:rsidRPr="005B2641">
          <w:rPr>
            <w:rStyle w:val="Hipervnculo"/>
          </w:rPr>
          <w:t>Donaciones para la preparación de proyectos</w:t>
        </w:r>
        <w:r w:rsidR="005B2641" w:rsidRPr="005B2641">
          <w:rPr>
            <w:webHidden/>
          </w:rPr>
          <w:tab/>
        </w:r>
        <w:r w:rsidR="005B2641" w:rsidRPr="005B2641">
          <w:rPr>
            <w:b/>
            <w:webHidden/>
          </w:rPr>
          <w:fldChar w:fldCharType="begin"/>
        </w:r>
        <w:r w:rsidR="005B2641" w:rsidRPr="005B2641">
          <w:rPr>
            <w:webHidden/>
          </w:rPr>
          <w:instrText xml:space="preserve"> PAGEREF _Toc35815688 \h </w:instrText>
        </w:r>
        <w:r w:rsidR="005B2641" w:rsidRPr="005B2641">
          <w:rPr>
            <w:b/>
            <w:webHidden/>
          </w:rPr>
        </w:r>
        <w:r w:rsidR="005B2641" w:rsidRPr="005B2641">
          <w:rPr>
            <w:b/>
            <w:webHidden/>
          </w:rPr>
          <w:fldChar w:fldCharType="separate"/>
        </w:r>
        <w:r w:rsidR="005B2641" w:rsidRPr="005B2641">
          <w:rPr>
            <w:webHidden/>
          </w:rPr>
          <w:t>10</w:t>
        </w:r>
        <w:r w:rsidR="005B2641" w:rsidRPr="005B2641">
          <w:rPr>
            <w:b/>
            <w:webHidden/>
          </w:rPr>
          <w:fldChar w:fldCharType="end"/>
        </w:r>
      </w:hyperlink>
    </w:p>
    <w:p w14:paraId="69F0F81B" w14:textId="77777777" w:rsidR="005B2641" w:rsidRPr="005B2641" w:rsidRDefault="00D63773" w:rsidP="005B2641">
      <w:pPr>
        <w:pStyle w:val="TDC3"/>
        <w:spacing w:line="240" w:lineRule="auto"/>
        <w:rPr>
          <w:rFonts w:eastAsiaTheme="minorEastAsia"/>
          <w:b/>
        </w:rPr>
      </w:pPr>
      <w:hyperlink w:anchor="_Toc35815689" w:history="1">
        <w:r w:rsidR="005B2641" w:rsidRPr="005B2641">
          <w:rPr>
            <w:rStyle w:val="Hipervnculo"/>
          </w:rPr>
          <w:t>Respaldo a la aplicación del Protocolo de Cartagena sobre Seguridad de la Biotecnología del Convenio sobre la Diversidad Biológica</w:t>
        </w:r>
        <w:r w:rsidR="005B2641" w:rsidRPr="005B2641">
          <w:rPr>
            <w:webHidden/>
          </w:rPr>
          <w:tab/>
        </w:r>
        <w:r w:rsidR="005B2641" w:rsidRPr="005B2641">
          <w:rPr>
            <w:b/>
            <w:webHidden/>
          </w:rPr>
          <w:fldChar w:fldCharType="begin"/>
        </w:r>
        <w:r w:rsidR="005B2641" w:rsidRPr="005B2641">
          <w:rPr>
            <w:webHidden/>
          </w:rPr>
          <w:instrText xml:space="preserve"> PAGEREF _Toc35815689 \h </w:instrText>
        </w:r>
        <w:r w:rsidR="005B2641" w:rsidRPr="005B2641">
          <w:rPr>
            <w:b/>
            <w:webHidden/>
          </w:rPr>
        </w:r>
        <w:r w:rsidR="005B2641" w:rsidRPr="005B2641">
          <w:rPr>
            <w:b/>
            <w:webHidden/>
          </w:rPr>
          <w:fldChar w:fldCharType="separate"/>
        </w:r>
        <w:r w:rsidR="005B2641" w:rsidRPr="005B2641">
          <w:rPr>
            <w:webHidden/>
          </w:rPr>
          <w:t>10</w:t>
        </w:r>
        <w:r w:rsidR="005B2641" w:rsidRPr="005B2641">
          <w:rPr>
            <w:b/>
            <w:webHidden/>
          </w:rPr>
          <w:fldChar w:fldCharType="end"/>
        </w:r>
      </w:hyperlink>
    </w:p>
    <w:p w14:paraId="5C6B0C1B" w14:textId="77777777" w:rsidR="005B2641" w:rsidRPr="005B2641" w:rsidRDefault="00D63773" w:rsidP="005B2641">
      <w:pPr>
        <w:pStyle w:val="TDC3"/>
        <w:spacing w:line="240" w:lineRule="auto"/>
        <w:rPr>
          <w:rFonts w:eastAsiaTheme="minorEastAsia"/>
          <w:b/>
        </w:rPr>
      </w:pPr>
      <w:hyperlink w:anchor="_Toc35815690" w:history="1">
        <w:r w:rsidR="005B2641" w:rsidRPr="005B2641">
          <w:rPr>
            <w:rStyle w:val="Hipervnculo"/>
          </w:rPr>
          <w:t>Apoyo a la ratificación y aplicación del Protocolo de Nagoya sobre Acceso a los Recursos Genéticos y Participación Justa y Equitativa en los Beneficios que se Deriven de su Utilización al Convenio sobre la Diversidad Biológica</w:t>
        </w:r>
        <w:r w:rsidR="005B2641" w:rsidRPr="005B2641">
          <w:rPr>
            <w:webHidden/>
          </w:rPr>
          <w:tab/>
        </w:r>
        <w:r w:rsidR="005B2641" w:rsidRPr="005B2641">
          <w:rPr>
            <w:b/>
            <w:webHidden/>
          </w:rPr>
          <w:fldChar w:fldCharType="begin"/>
        </w:r>
        <w:r w:rsidR="005B2641" w:rsidRPr="005B2641">
          <w:rPr>
            <w:webHidden/>
          </w:rPr>
          <w:instrText xml:space="preserve"> PAGEREF _Toc35815690 \h </w:instrText>
        </w:r>
        <w:r w:rsidR="005B2641" w:rsidRPr="005B2641">
          <w:rPr>
            <w:b/>
            <w:webHidden/>
          </w:rPr>
        </w:r>
        <w:r w:rsidR="005B2641" w:rsidRPr="005B2641">
          <w:rPr>
            <w:b/>
            <w:webHidden/>
          </w:rPr>
          <w:fldChar w:fldCharType="separate"/>
        </w:r>
        <w:r w:rsidR="005B2641" w:rsidRPr="005B2641">
          <w:rPr>
            <w:webHidden/>
          </w:rPr>
          <w:t>10</w:t>
        </w:r>
        <w:r w:rsidR="005B2641" w:rsidRPr="005B2641">
          <w:rPr>
            <w:b/>
            <w:webHidden/>
          </w:rPr>
          <w:fldChar w:fldCharType="end"/>
        </w:r>
      </w:hyperlink>
    </w:p>
    <w:p w14:paraId="11BC6205" w14:textId="77777777" w:rsidR="005B2641" w:rsidRPr="005B2641" w:rsidRDefault="00D63773" w:rsidP="005B2641">
      <w:pPr>
        <w:pStyle w:val="TDC2"/>
        <w:spacing w:line="240" w:lineRule="auto"/>
        <w:rPr>
          <w:rFonts w:eastAsiaTheme="minorEastAsia"/>
        </w:rPr>
      </w:pPr>
      <w:hyperlink w:anchor="_Toc35815691" w:history="1">
        <w:r w:rsidR="005B2641" w:rsidRPr="005B2641">
          <w:rPr>
            <w:rStyle w:val="Hipervnculo"/>
            <w:snapToGrid w:val="0"/>
          </w:rPr>
          <w:t>Contribuciones de los programas de impacto al cumplimiento de las Metas de Aichi para la Diversidad Biológica</w:t>
        </w:r>
        <w:r w:rsidR="005B2641" w:rsidRPr="005B2641">
          <w:rPr>
            <w:webHidden/>
          </w:rPr>
          <w:tab/>
        </w:r>
        <w:r w:rsidR="005B2641" w:rsidRPr="005B2641">
          <w:rPr>
            <w:webHidden/>
          </w:rPr>
          <w:fldChar w:fldCharType="begin"/>
        </w:r>
        <w:r w:rsidR="005B2641" w:rsidRPr="005B2641">
          <w:rPr>
            <w:webHidden/>
          </w:rPr>
          <w:instrText xml:space="preserve"> PAGEREF _Toc35815691 \h </w:instrText>
        </w:r>
        <w:r w:rsidR="005B2641" w:rsidRPr="005B2641">
          <w:rPr>
            <w:webHidden/>
          </w:rPr>
        </w:r>
        <w:r w:rsidR="005B2641" w:rsidRPr="005B2641">
          <w:rPr>
            <w:webHidden/>
          </w:rPr>
          <w:fldChar w:fldCharType="separate"/>
        </w:r>
        <w:r w:rsidR="005B2641" w:rsidRPr="005B2641">
          <w:rPr>
            <w:webHidden/>
          </w:rPr>
          <w:t>10</w:t>
        </w:r>
        <w:r w:rsidR="005B2641" w:rsidRPr="005B2641">
          <w:rPr>
            <w:webHidden/>
          </w:rPr>
          <w:fldChar w:fldCharType="end"/>
        </w:r>
      </w:hyperlink>
    </w:p>
    <w:p w14:paraId="0309171D" w14:textId="77777777" w:rsidR="005B2641" w:rsidRPr="005B2641" w:rsidRDefault="00D63773" w:rsidP="005B2641">
      <w:pPr>
        <w:pStyle w:val="TDC3"/>
        <w:spacing w:line="240" w:lineRule="auto"/>
        <w:rPr>
          <w:rFonts w:eastAsiaTheme="minorEastAsia"/>
          <w:b/>
        </w:rPr>
      </w:pPr>
      <w:hyperlink w:anchor="_Toc35815692" w:history="1">
        <w:r w:rsidR="005B2641" w:rsidRPr="005B2641">
          <w:rPr>
            <w:rStyle w:val="Hipervnculo"/>
            <w:snapToGrid w:val="0"/>
          </w:rPr>
          <w:t>Sistemas alimentarios, y uso y recuperación de la tierra</w:t>
        </w:r>
        <w:r w:rsidR="005B2641" w:rsidRPr="005B2641">
          <w:rPr>
            <w:webHidden/>
          </w:rPr>
          <w:tab/>
        </w:r>
        <w:r w:rsidR="005B2641" w:rsidRPr="005B2641">
          <w:rPr>
            <w:b/>
            <w:webHidden/>
          </w:rPr>
          <w:fldChar w:fldCharType="begin"/>
        </w:r>
        <w:r w:rsidR="005B2641" w:rsidRPr="005B2641">
          <w:rPr>
            <w:webHidden/>
          </w:rPr>
          <w:instrText xml:space="preserve"> PAGEREF _Toc35815692 \h </w:instrText>
        </w:r>
        <w:r w:rsidR="005B2641" w:rsidRPr="005B2641">
          <w:rPr>
            <w:b/>
            <w:webHidden/>
          </w:rPr>
        </w:r>
        <w:r w:rsidR="005B2641" w:rsidRPr="005B2641">
          <w:rPr>
            <w:b/>
            <w:webHidden/>
          </w:rPr>
          <w:fldChar w:fldCharType="separate"/>
        </w:r>
        <w:r w:rsidR="005B2641" w:rsidRPr="005B2641">
          <w:rPr>
            <w:webHidden/>
          </w:rPr>
          <w:t>10</w:t>
        </w:r>
        <w:r w:rsidR="005B2641" w:rsidRPr="005B2641">
          <w:rPr>
            <w:b/>
            <w:webHidden/>
          </w:rPr>
          <w:fldChar w:fldCharType="end"/>
        </w:r>
      </w:hyperlink>
    </w:p>
    <w:p w14:paraId="0EC856FB" w14:textId="77777777" w:rsidR="005B2641" w:rsidRPr="005B2641" w:rsidRDefault="00D63773" w:rsidP="005B2641">
      <w:pPr>
        <w:pStyle w:val="TDC3"/>
        <w:spacing w:line="240" w:lineRule="auto"/>
        <w:rPr>
          <w:rFonts w:eastAsiaTheme="minorEastAsia"/>
          <w:b/>
        </w:rPr>
      </w:pPr>
      <w:hyperlink w:anchor="_Toc35815693" w:history="1">
        <w:r w:rsidR="005B2641" w:rsidRPr="005B2641">
          <w:rPr>
            <w:rStyle w:val="Hipervnculo"/>
            <w:snapToGrid w:val="0"/>
          </w:rPr>
          <w:t>Gestión forestal sostenible</w:t>
        </w:r>
        <w:r w:rsidR="005B2641" w:rsidRPr="005B2641">
          <w:rPr>
            <w:webHidden/>
          </w:rPr>
          <w:tab/>
        </w:r>
        <w:r w:rsidR="005B2641" w:rsidRPr="005B2641">
          <w:rPr>
            <w:b/>
            <w:webHidden/>
          </w:rPr>
          <w:fldChar w:fldCharType="begin"/>
        </w:r>
        <w:r w:rsidR="005B2641" w:rsidRPr="005B2641">
          <w:rPr>
            <w:webHidden/>
          </w:rPr>
          <w:instrText xml:space="preserve"> PAGEREF _Toc35815693 \h </w:instrText>
        </w:r>
        <w:r w:rsidR="005B2641" w:rsidRPr="005B2641">
          <w:rPr>
            <w:b/>
            <w:webHidden/>
          </w:rPr>
        </w:r>
        <w:r w:rsidR="005B2641" w:rsidRPr="005B2641">
          <w:rPr>
            <w:b/>
            <w:webHidden/>
          </w:rPr>
          <w:fldChar w:fldCharType="separate"/>
        </w:r>
        <w:r w:rsidR="005B2641" w:rsidRPr="005B2641">
          <w:rPr>
            <w:webHidden/>
          </w:rPr>
          <w:t>11</w:t>
        </w:r>
        <w:r w:rsidR="005B2641" w:rsidRPr="005B2641">
          <w:rPr>
            <w:b/>
            <w:webHidden/>
          </w:rPr>
          <w:fldChar w:fldCharType="end"/>
        </w:r>
      </w:hyperlink>
    </w:p>
    <w:p w14:paraId="36BD8B71" w14:textId="77777777" w:rsidR="005B2641" w:rsidRPr="005B2641" w:rsidRDefault="00D63773" w:rsidP="005B2641">
      <w:pPr>
        <w:pStyle w:val="TDC3"/>
        <w:spacing w:line="240" w:lineRule="auto"/>
        <w:rPr>
          <w:rFonts w:eastAsiaTheme="minorEastAsia"/>
          <w:b/>
        </w:rPr>
      </w:pPr>
      <w:hyperlink w:anchor="_Toc35815694" w:history="1">
        <w:r w:rsidR="005B2641" w:rsidRPr="005B2641">
          <w:rPr>
            <w:rStyle w:val="Hipervnculo"/>
            <w:snapToGrid w:val="0"/>
          </w:rPr>
          <w:t>Ciudades sostenibles</w:t>
        </w:r>
        <w:r w:rsidR="005B2641" w:rsidRPr="005B2641">
          <w:rPr>
            <w:webHidden/>
          </w:rPr>
          <w:tab/>
        </w:r>
        <w:r w:rsidR="005B2641" w:rsidRPr="005B2641">
          <w:rPr>
            <w:b/>
            <w:webHidden/>
          </w:rPr>
          <w:fldChar w:fldCharType="begin"/>
        </w:r>
        <w:r w:rsidR="005B2641" w:rsidRPr="005B2641">
          <w:rPr>
            <w:webHidden/>
          </w:rPr>
          <w:instrText xml:space="preserve"> PAGEREF _Toc35815694 \h </w:instrText>
        </w:r>
        <w:r w:rsidR="005B2641" w:rsidRPr="005B2641">
          <w:rPr>
            <w:b/>
            <w:webHidden/>
          </w:rPr>
        </w:r>
        <w:r w:rsidR="005B2641" w:rsidRPr="005B2641">
          <w:rPr>
            <w:b/>
            <w:webHidden/>
          </w:rPr>
          <w:fldChar w:fldCharType="separate"/>
        </w:r>
        <w:r w:rsidR="005B2641" w:rsidRPr="005B2641">
          <w:rPr>
            <w:webHidden/>
          </w:rPr>
          <w:t>12</w:t>
        </w:r>
        <w:r w:rsidR="005B2641" w:rsidRPr="005B2641">
          <w:rPr>
            <w:b/>
            <w:webHidden/>
          </w:rPr>
          <w:fldChar w:fldCharType="end"/>
        </w:r>
      </w:hyperlink>
    </w:p>
    <w:p w14:paraId="209B37A2" w14:textId="77777777" w:rsidR="005B2641" w:rsidRPr="005B2641" w:rsidRDefault="00D63773" w:rsidP="005B2641">
      <w:pPr>
        <w:pStyle w:val="TDC2"/>
        <w:spacing w:line="240" w:lineRule="auto"/>
        <w:rPr>
          <w:rFonts w:eastAsiaTheme="minorEastAsia"/>
        </w:rPr>
      </w:pPr>
      <w:hyperlink w:anchor="_Toc35815695" w:history="1">
        <w:r w:rsidR="005B2641" w:rsidRPr="005B2641">
          <w:rPr>
            <w:rStyle w:val="Hipervnculo"/>
            <w:snapToGrid w:val="0"/>
          </w:rPr>
          <w:t>Otras contribuciones del FMAM al cumplimiento de las Metas de Aichi para la Diversidad Biológica</w:t>
        </w:r>
        <w:r w:rsidR="005B2641" w:rsidRPr="005B2641">
          <w:rPr>
            <w:webHidden/>
          </w:rPr>
          <w:tab/>
        </w:r>
        <w:r w:rsidR="005B2641" w:rsidRPr="005B2641">
          <w:rPr>
            <w:webHidden/>
          </w:rPr>
          <w:fldChar w:fldCharType="begin"/>
        </w:r>
        <w:r w:rsidR="005B2641" w:rsidRPr="005B2641">
          <w:rPr>
            <w:webHidden/>
          </w:rPr>
          <w:instrText xml:space="preserve"> PAGEREF _Toc35815695 \h </w:instrText>
        </w:r>
        <w:r w:rsidR="005B2641" w:rsidRPr="005B2641">
          <w:rPr>
            <w:webHidden/>
          </w:rPr>
        </w:r>
        <w:r w:rsidR="005B2641" w:rsidRPr="005B2641">
          <w:rPr>
            <w:webHidden/>
          </w:rPr>
          <w:fldChar w:fldCharType="separate"/>
        </w:r>
        <w:r w:rsidR="005B2641" w:rsidRPr="005B2641">
          <w:rPr>
            <w:webHidden/>
          </w:rPr>
          <w:t>13</w:t>
        </w:r>
        <w:r w:rsidR="005B2641" w:rsidRPr="005B2641">
          <w:rPr>
            <w:webHidden/>
          </w:rPr>
          <w:fldChar w:fldCharType="end"/>
        </w:r>
      </w:hyperlink>
    </w:p>
    <w:p w14:paraId="7DB2038F" w14:textId="77777777" w:rsidR="005B2641" w:rsidRPr="005B2641" w:rsidRDefault="00D63773" w:rsidP="005B2641">
      <w:pPr>
        <w:pStyle w:val="TDC3"/>
        <w:spacing w:line="240" w:lineRule="auto"/>
        <w:rPr>
          <w:rFonts w:eastAsiaTheme="minorEastAsia"/>
          <w:b/>
        </w:rPr>
      </w:pPr>
      <w:hyperlink w:anchor="_Toc35815696" w:history="1">
        <w:r w:rsidR="005B2641" w:rsidRPr="005B2641">
          <w:rPr>
            <w:rStyle w:val="Hipervnculo"/>
            <w:snapToGrid w:val="0"/>
          </w:rPr>
          <w:t>Adaptación al cambio climático</w:t>
        </w:r>
        <w:r w:rsidR="005B2641" w:rsidRPr="005B2641">
          <w:rPr>
            <w:webHidden/>
          </w:rPr>
          <w:tab/>
        </w:r>
        <w:r w:rsidR="005B2641" w:rsidRPr="005B2641">
          <w:rPr>
            <w:b/>
            <w:webHidden/>
          </w:rPr>
          <w:fldChar w:fldCharType="begin"/>
        </w:r>
        <w:r w:rsidR="005B2641" w:rsidRPr="005B2641">
          <w:rPr>
            <w:webHidden/>
          </w:rPr>
          <w:instrText xml:space="preserve"> PAGEREF _Toc35815696 \h </w:instrText>
        </w:r>
        <w:r w:rsidR="005B2641" w:rsidRPr="005B2641">
          <w:rPr>
            <w:b/>
            <w:webHidden/>
          </w:rPr>
        </w:r>
        <w:r w:rsidR="005B2641" w:rsidRPr="005B2641">
          <w:rPr>
            <w:b/>
            <w:webHidden/>
          </w:rPr>
          <w:fldChar w:fldCharType="separate"/>
        </w:r>
        <w:r w:rsidR="005B2641" w:rsidRPr="005B2641">
          <w:rPr>
            <w:webHidden/>
          </w:rPr>
          <w:t>13</w:t>
        </w:r>
        <w:r w:rsidR="005B2641" w:rsidRPr="005B2641">
          <w:rPr>
            <w:b/>
            <w:webHidden/>
          </w:rPr>
          <w:fldChar w:fldCharType="end"/>
        </w:r>
      </w:hyperlink>
    </w:p>
    <w:p w14:paraId="313F909E" w14:textId="77777777" w:rsidR="005B2641" w:rsidRPr="005B2641" w:rsidRDefault="00D63773" w:rsidP="005B2641">
      <w:pPr>
        <w:pStyle w:val="TDC3"/>
        <w:spacing w:line="240" w:lineRule="auto"/>
        <w:rPr>
          <w:rFonts w:eastAsiaTheme="minorEastAsia"/>
          <w:b/>
        </w:rPr>
      </w:pPr>
      <w:hyperlink w:anchor="_Toc35815697" w:history="1">
        <w:r w:rsidR="005B2641" w:rsidRPr="005B2641">
          <w:rPr>
            <w:rStyle w:val="Hipervnculo"/>
            <w:snapToGrid w:val="0"/>
          </w:rPr>
          <w:t>Área focal de aguas internacionales</w:t>
        </w:r>
        <w:r w:rsidR="005B2641" w:rsidRPr="005B2641">
          <w:rPr>
            <w:webHidden/>
          </w:rPr>
          <w:tab/>
        </w:r>
        <w:r w:rsidR="005B2641" w:rsidRPr="005B2641">
          <w:rPr>
            <w:b/>
            <w:webHidden/>
          </w:rPr>
          <w:fldChar w:fldCharType="begin"/>
        </w:r>
        <w:r w:rsidR="005B2641" w:rsidRPr="005B2641">
          <w:rPr>
            <w:webHidden/>
          </w:rPr>
          <w:instrText xml:space="preserve"> PAGEREF _Toc35815697 \h </w:instrText>
        </w:r>
        <w:r w:rsidR="005B2641" w:rsidRPr="005B2641">
          <w:rPr>
            <w:b/>
            <w:webHidden/>
          </w:rPr>
        </w:r>
        <w:r w:rsidR="005B2641" w:rsidRPr="005B2641">
          <w:rPr>
            <w:b/>
            <w:webHidden/>
          </w:rPr>
          <w:fldChar w:fldCharType="separate"/>
        </w:r>
        <w:r w:rsidR="005B2641" w:rsidRPr="005B2641">
          <w:rPr>
            <w:webHidden/>
          </w:rPr>
          <w:t>14</w:t>
        </w:r>
        <w:r w:rsidR="005B2641" w:rsidRPr="005B2641">
          <w:rPr>
            <w:b/>
            <w:webHidden/>
          </w:rPr>
          <w:fldChar w:fldCharType="end"/>
        </w:r>
      </w:hyperlink>
    </w:p>
    <w:p w14:paraId="6E9BC70D" w14:textId="77777777" w:rsidR="005B2641" w:rsidRPr="005B2641" w:rsidRDefault="00D63773" w:rsidP="005B2641">
      <w:pPr>
        <w:pStyle w:val="TDC3"/>
        <w:spacing w:line="240" w:lineRule="auto"/>
        <w:rPr>
          <w:rFonts w:eastAsiaTheme="minorEastAsia"/>
          <w:b/>
        </w:rPr>
      </w:pPr>
      <w:hyperlink w:anchor="_Toc35815698" w:history="1">
        <w:r w:rsidR="005B2641" w:rsidRPr="005B2641">
          <w:rPr>
            <w:rStyle w:val="Hipervnculo"/>
            <w:snapToGrid w:val="0"/>
          </w:rPr>
          <w:t>Instrumento distinto de las donaciones</w:t>
        </w:r>
        <w:r w:rsidR="005B2641" w:rsidRPr="005B2641">
          <w:rPr>
            <w:webHidden/>
          </w:rPr>
          <w:tab/>
        </w:r>
        <w:r w:rsidR="005B2641" w:rsidRPr="005B2641">
          <w:rPr>
            <w:b/>
            <w:webHidden/>
          </w:rPr>
          <w:fldChar w:fldCharType="begin"/>
        </w:r>
        <w:r w:rsidR="005B2641" w:rsidRPr="005B2641">
          <w:rPr>
            <w:webHidden/>
          </w:rPr>
          <w:instrText xml:space="preserve"> PAGEREF _Toc35815698 \h </w:instrText>
        </w:r>
        <w:r w:rsidR="005B2641" w:rsidRPr="005B2641">
          <w:rPr>
            <w:b/>
            <w:webHidden/>
          </w:rPr>
        </w:r>
        <w:r w:rsidR="005B2641" w:rsidRPr="005B2641">
          <w:rPr>
            <w:b/>
            <w:webHidden/>
          </w:rPr>
          <w:fldChar w:fldCharType="separate"/>
        </w:r>
        <w:r w:rsidR="005B2641" w:rsidRPr="005B2641">
          <w:rPr>
            <w:webHidden/>
          </w:rPr>
          <w:t>15</w:t>
        </w:r>
        <w:r w:rsidR="005B2641" w:rsidRPr="005B2641">
          <w:rPr>
            <w:b/>
            <w:webHidden/>
          </w:rPr>
          <w:fldChar w:fldCharType="end"/>
        </w:r>
      </w:hyperlink>
    </w:p>
    <w:p w14:paraId="69302CC4" w14:textId="77777777" w:rsidR="005B2641" w:rsidRPr="005B2641" w:rsidRDefault="00D63773" w:rsidP="005B2641">
      <w:pPr>
        <w:pStyle w:val="TDC3"/>
        <w:spacing w:line="240" w:lineRule="auto"/>
        <w:rPr>
          <w:rFonts w:eastAsiaTheme="minorEastAsia"/>
          <w:b/>
        </w:rPr>
      </w:pPr>
      <w:hyperlink w:anchor="_Toc35815699" w:history="1">
        <w:r w:rsidR="005B2641" w:rsidRPr="005B2641">
          <w:rPr>
            <w:rStyle w:val="Hipervnculo"/>
            <w:snapToGrid w:val="0"/>
          </w:rPr>
          <w:t>Programa de Pequeñas Donaciones</w:t>
        </w:r>
        <w:r w:rsidR="005B2641" w:rsidRPr="005B2641">
          <w:rPr>
            <w:webHidden/>
          </w:rPr>
          <w:tab/>
        </w:r>
        <w:r w:rsidR="005B2641" w:rsidRPr="005B2641">
          <w:rPr>
            <w:b/>
            <w:webHidden/>
          </w:rPr>
          <w:fldChar w:fldCharType="begin"/>
        </w:r>
        <w:r w:rsidR="005B2641" w:rsidRPr="005B2641">
          <w:rPr>
            <w:webHidden/>
          </w:rPr>
          <w:instrText xml:space="preserve"> PAGEREF _Toc35815699 \h </w:instrText>
        </w:r>
        <w:r w:rsidR="005B2641" w:rsidRPr="005B2641">
          <w:rPr>
            <w:b/>
            <w:webHidden/>
          </w:rPr>
        </w:r>
        <w:r w:rsidR="005B2641" w:rsidRPr="005B2641">
          <w:rPr>
            <w:b/>
            <w:webHidden/>
          </w:rPr>
          <w:fldChar w:fldCharType="separate"/>
        </w:r>
        <w:r w:rsidR="005B2641" w:rsidRPr="005B2641">
          <w:rPr>
            <w:webHidden/>
          </w:rPr>
          <w:t>16</w:t>
        </w:r>
        <w:r w:rsidR="005B2641" w:rsidRPr="005B2641">
          <w:rPr>
            <w:b/>
            <w:webHidden/>
          </w:rPr>
          <w:fldChar w:fldCharType="end"/>
        </w:r>
      </w:hyperlink>
    </w:p>
    <w:p w14:paraId="78323C88" w14:textId="77777777" w:rsidR="005B2641" w:rsidRPr="005B2641" w:rsidRDefault="00D63773" w:rsidP="005B2641">
      <w:pPr>
        <w:pStyle w:val="TDC1"/>
        <w:spacing w:line="240" w:lineRule="auto"/>
        <w:rPr>
          <w:rFonts w:eastAsiaTheme="minorEastAsia"/>
        </w:rPr>
      </w:pPr>
      <w:hyperlink w:anchor="_Toc35815700" w:history="1">
        <w:r w:rsidR="005B2641" w:rsidRPr="005B2641">
          <w:rPr>
            <w:rStyle w:val="Hipervnculo"/>
          </w:rPr>
          <w:t>II.</w:t>
        </w:r>
        <w:r w:rsidR="005B2641" w:rsidRPr="005B2641">
          <w:rPr>
            <w:rFonts w:eastAsiaTheme="minorEastAsia"/>
          </w:rPr>
          <w:tab/>
        </w:r>
        <w:r w:rsidR="005B2641" w:rsidRPr="005B2641">
          <w:rPr>
            <w:rStyle w:val="Hipervnculo"/>
          </w:rPr>
          <w:t>Respuesta del FMAM a las orientaciones de la COP</w:t>
        </w:r>
        <w:r w:rsidR="005B2641" w:rsidRPr="005B2641">
          <w:rPr>
            <w:rStyle w:val="Hipervnculo"/>
          </w:rPr>
          <w:noBreakHyphen/>
          <w:t>14 en el CDB</w:t>
        </w:r>
        <w:r w:rsidR="005B2641" w:rsidRPr="005B2641">
          <w:rPr>
            <w:webHidden/>
          </w:rPr>
          <w:tab/>
        </w:r>
        <w:r w:rsidR="005B2641" w:rsidRPr="005B2641">
          <w:rPr>
            <w:webHidden/>
          </w:rPr>
          <w:fldChar w:fldCharType="begin"/>
        </w:r>
        <w:r w:rsidR="005B2641" w:rsidRPr="005B2641">
          <w:rPr>
            <w:webHidden/>
          </w:rPr>
          <w:instrText xml:space="preserve"> PAGEREF _Toc35815700 \h </w:instrText>
        </w:r>
        <w:r w:rsidR="005B2641" w:rsidRPr="005B2641">
          <w:rPr>
            <w:webHidden/>
          </w:rPr>
        </w:r>
        <w:r w:rsidR="005B2641" w:rsidRPr="005B2641">
          <w:rPr>
            <w:webHidden/>
          </w:rPr>
          <w:fldChar w:fldCharType="separate"/>
        </w:r>
        <w:r w:rsidR="005B2641" w:rsidRPr="005B2641">
          <w:rPr>
            <w:webHidden/>
          </w:rPr>
          <w:t>19</w:t>
        </w:r>
        <w:r w:rsidR="005B2641" w:rsidRPr="005B2641">
          <w:rPr>
            <w:webHidden/>
          </w:rPr>
          <w:fldChar w:fldCharType="end"/>
        </w:r>
      </w:hyperlink>
    </w:p>
    <w:p w14:paraId="3A492BBC" w14:textId="77777777" w:rsidR="005B2641" w:rsidRPr="005B2641" w:rsidRDefault="00D63773" w:rsidP="005B2641">
      <w:pPr>
        <w:pStyle w:val="TDC1"/>
        <w:spacing w:line="240" w:lineRule="auto"/>
        <w:rPr>
          <w:rFonts w:eastAsiaTheme="minorEastAsia"/>
        </w:rPr>
      </w:pPr>
      <w:hyperlink w:anchor="_Toc35815701" w:history="1">
        <w:r w:rsidR="005B2641" w:rsidRPr="005B2641">
          <w:rPr>
            <w:rStyle w:val="Hipervnculo"/>
          </w:rPr>
          <w:t>III.</w:t>
        </w:r>
        <w:r w:rsidR="005B2641" w:rsidRPr="005B2641">
          <w:rPr>
            <w:rFonts w:eastAsiaTheme="minorEastAsia"/>
          </w:rPr>
          <w:tab/>
        </w:r>
        <w:r w:rsidR="005B2641" w:rsidRPr="005B2641">
          <w:rPr>
            <w:rStyle w:val="Hipervnculo"/>
          </w:rPr>
          <w:t>Ejecución de la cartera</w:t>
        </w:r>
        <w:r w:rsidR="005B2641" w:rsidRPr="005B2641">
          <w:rPr>
            <w:webHidden/>
          </w:rPr>
          <w:tab/>
        </w:r>
        <w:r w:rsidR="005B2641" w:rsidRPr="005B2641">
          <w:rPr>
            <w:webHidden/>
          </w:rPr>
          <w:fldChar w:fldCharType="begin"/>
        </w:r>
        <w:r w:rsidR="005B2641" w:rsidRPr="005B2641">
          <w:rPr>
            <w:webHidden/>
          </w:rPr>
          <w:instrText xml:space="preserve"> PAGEREF _Toc35815701 \h </w:instrText>
        </w:r>
        <w:r w:rsidR="005B2641" w:rsidRPr="005B2641">
          <w:rPr>
            <w:webHidden/>
          </w:rPr>
        </w:r>
        <w:r w:rsidR="005B2641" w:rsidRPr="005B2641">
          <w:rPr>
            <w:webHidden/>
          </w:rPr>
          <w:fldChar w:fldCharType="separate"/>
        </w:r>
        <w:r w:rsidR="005B2641" w:rsidRPr="005B2641">
          <w:rPr>
            <w:webHidden/>
          </w:rPr>
          <w:t>25</w:t>
        </w:r>
        <w:r w:rsidR="005B2641" w:rsidRPr="005B2641">
          <w:rPr>
            <w:webHidden/>
          </w:rPr>
          <w:fldChar w:fldCharType="end"/>
        </w:r>
      </w:hyperlink>
    </w:p>
    <w:p w14:paraId="241FAEBB" w14:textId="77777777" w:rsidR="005B2641" w:rsidRPr="005B2641" w:rsidRDefault="00D63773" w:rsidP="005B2641">
      <w:pPr>
        <w:pStyle w:val="TDC2"/>
        <w:spacing w:line="240" w:lineRule="auto"/>
        <w:rPr>
          <w:rFonts w:eastAsiaTheme="minorEastAsia"/>
        </w:rPr>
      </w:pPr>
      <w:hyperlink w:anchor="_Toc35815702" w:history="1">
        <w:r w:rsidR="005B2641" w:rsidRPr="005B2641">
          <w:rPr>
            <w:rStyle w:val="Hipervnculo"/>
          </w:rPr>
          <w:t>Lograr los objetivos de desarrollo del proyecto y avances en la ejecución</w:t>
        </w:r>
        <w:r w:rsidR="005B2641" w:rsidRPr="005B2641">
          <w:rPr>
            <w:webHidden/>
          </w:rPr>
          <w:tab/>
        </w:r>
        <w:r w:rsidR="005B2641" w:rsidRPr="005B2641">
          <w:rPr>
            <w:webHidden/>
          </w:rPr>
          <w:fldChar w:fldCharType="begin"/>
        </w:r>
        <w:r w:rsidR="005B2641" w:rsidRPr="005B2641">
          <w:rPr>
            <w:webHidden/>
          </w:rPr>
          <w:instrText xml:space="preserve"> PAGEREF _Toc35815702 \h </w:instrText>
        </w:r>
        <w:r w:rsidR="005B2641" w:rsidRPr="005B2641">
          <w:rPr>
            <w:webHidden/>
          </w:rPr>
        </w:r>
        <w:r w:rsidR="005B2641" w:rsidRPr="005B2641">
          <w:rPr>
            <w:webHidden/>
          </w:rPr>
          <w:fldChar w:fldCharType="separate"/>
        </w:r>
        <w:r w:rsidR="005B2641" w:rsidRPr="005B2641">
          <w:rPr>
            <w:webHidden/>
          </w:rPr>
          <w:t>25</w:t>
        </w:r>
        <w:r w:rsidR="005B2641" w:rsidRPr="005B2641">
          <w:rPr>
            <w:webHidden/>
          </w:rPr>
          <w:fldChar w:fldCharType="end"/>
        </w:r>
      </w:hyperlink>
    </w:p>
    <w:p w14:paraId="6E7EF0D5" w14:textId="77777777" w:rsidR="005B2641" w:rsidRPr="005B2641" w:rsidRDefault="00D63773" w:rsidP="005B2641">
      <w:pPr>
        <w:pStyle w:val="TDC2"/>
        <w:spacing w:line="240" w:lineRule="auto"/>
        <w:rPr>
          <w:rFonts w:eastAsiaTheme="minorEastAsia"/>
        </w:rPr>
      </w:pPr>
      <w:hyperlink w:anchor="_Toc35815703" w:history="1">
        <w:r w:rsidR="005B2641" w:rsidRPr="005B2641">
          <w:rPr>
            <w:rStyle w:val="Hipervnculo"/>
          </w:rPr>
          <w:t>Aumentar el cofinanciamiento en toda la cartera</w:t>
        </w:r>
        <w:r w:rsidR="005B2641" w:rsidRPr="005B2641">
          <w:rPr>
            <w:webHidden/>
          </w:rPr>
          <w:tab/>
        </w:r>
        <w:r w:rsidR="005B2641" w:rsidRPr="005B2641">
          <w:rPr>
            <w:webHidden/>
          </w:rPr>
          <w:fldChar w:fldCharType="begin"/>
        </w:r>
        <w:r w:rsidR="005B2641" w:rsidRPr="005B2641">
          <w:rPr>
            <w:webHidden/>
          </w:rPr>
          <w:instrText xml:space="preserve"> PAGEREF _Toc35815703 \h </w:instrText>
        </w:r>
        <w:r w:rsidR="005B2641" w:rsidRPr="005B2641">
          <w:rPr>
            <w:webHidden/>
          </w:rPr>
        </w:r>
        <w:r w:rsidR="005B2641" w:rsidRPr="005B2641">
          <w:rPr>
            <w:webHidden/>
          </w:rPr>
          <w:fldChar w:fldCharType="separate"/>
        </w:r>
        <w:r w:rsidR="005B2641" w:rsidRPr="005B2641">
          <w:rPr>
            <w:webHidden/>
          </w:rPr>
          <w:t>29</w:t>
        </w:r>
        <w:r w:rsidR="005B2641" w:rsidRPr="005B2641">
          <w:rPr>
            <w:webHidden/>
          </w:rPr>
          <w:fldChar w:fldCharType="end"/>
        </w:r>
      </w:hyperlink>
    </w:p>
    <w:p w14:paraId="16E9FE5D" w14:textId="77777777" w:rsidR="005B2641" w:rsidRPr="005B2641" w:rsidRDefault="00D63773" w:rsidP="005B2641">
      <w:pPr>
        <w:pStyle w:val="TDC1"/>
        <w:spacing w:line="240" w:lineRule="auto"/>
        <w:rPr>
          <w:rFonts w:eastAsiaTheme="minorEastAsia"/>
        </w:rPr>
      </w:pPr>
      <w:hyperlink w:anchor="_Toc35815704" w:history="1">
        <w:r w:rsidR="005B2641" w:rsidRPr="005B2641">
          <w:rPr>
            <w:rStyle w:val="Hipervnculo"/>
          </w:rPr>
          <w:t>IV.</w:t>
        </w:r>
        <w:r w:rsidR="005B2641" w:rsidRPr="005B2641">
          <w:rPr>
            <w:rFonts w:eastAsiaTheme="minorEastAsia"/>
          </w:rPr>
          <w:tab/>
        </w:r>
        <w:r w:rsidR="005B2641" w:rsidRPr="005B2641">
          <w:rPr>
            <w:rStyle w:val="Hipervnculo"/>
          </w:rPr>
          <w:t>Informe de situación sobre los resultados y las metas institucionales del FMAM-7</w:t>
        </w:r>
        <w:r w:rsidR="005B2641" w:rsidRPr="005B2641">
          <w:rPr>
            <w:webHidden/>
          </w:rPr>
          <w:tab/>
        </w:r>
        <w:r w:rsidR="005B2641" w:rsidRPr="005B2641">
          <w:rPr>
            <w:webHidden/>
          </w:rPr>
          <w:fldChar w:fldCharType="begin"/>
        </w:r>
        <w:r w:rsidR="005B2641" w:rsidRPr="005B2641">
          <w:rPr>
            <w:webHidden/>
          </w:rPr>
          <w:instrText xml:space="preserve"> PAGEREF _Toc35815704 \h </w:instrText>
        </w:r>
        <w:r w:rsidR="005B2641" w:rsidRPr="005B2641">
          <w:rPr>
            <w:webHidden/>
          </w:rPr>
        </w:r>
        <w:r w:rsidR="005B2641" w:rsidRPr="005B2641">
          <w:rPr>
            <w:webHidden/>
          </w:rPr>
          <w:fldChar w:fldCharType="separate"/>
        </w:r>
        <w:r w:rsidR="005B2641" w:rsidRPr="005B2641">
          <w:rPr>
            <w:webHidden/>
          </w:rPr>
          <w:t>30</w:t>
        </w:r>
        <w:r w:rsidR="005B2641" w:rsidRPr="005B2641">
          <w:rPr>
            <w:webHidden/>
          </w:rPr>
          <w:fldChar w:fldCharType="end"/>
        </w:r>
      </w:hyperlink>
    </w:p>
    <w:p w14:paraId="29CFE750" w14:textId="77777777" w:rsidR="005B2641" w:rsidRPr="005B2641" w:rsidRDefault="00D63773" w:rsidP="005B2641">
      <w:pPr>
        <w:pStyle w:val="TDC1"/>
        <w:spacing w:line="240" w:lineRule="auto"/>
        <w:rPr>
          <w:rFonts w:eastAsiaTheme="minorEastAsia"/>
        </w:rPr>
      </w:pPr>
      <w:hyperlink w:anchor="_Toc35815705" w:history="1">
        <w:r w:rsidR="005B2641" w:rsidRPr="005B2641">
          <w:rPr>
            <w:rStyle w:val="Hipervnculo"/>
          </w:rPr>
          <w:t>V.</w:t>
        </w:r>
        <w:r w:rsidR="005B2641" w:rsidRPr="005B2641">
          <w:rPr>
            <w:rFonts w:eastAsiaTheme="minorEastAsia"/>
          </w:rPr>
          <w:tab/>
        </w:r>
        <w:r w:rsidR="005B2641" w:rsidRPr="005B2641">
          <w:rPr>
            <w:rStyle w:val="Hipervnculo"/>
          </w:rPr>
          <w:t>Resultados de la Oficina de Evaluación Independiente del FMAM</w:t>
        </w:r>
        <w:r w:rsidR="005B2641" w:rsidRPr="005B2641">
          <w:rPr>
            <w:webHidden/>
          </w:rPr>
          <w:tab/>
        </w:r>
        <w:r w:rsidR="005B2641" w:rsidRPr="005B2641">
          <w:rPr>
            <w:webHidden/>
          </w:rPr>
          <w:fldChar w:fldCharType="begin"/>
        </w:r>
        <w:r w:rsidR="005B2641" w:rsidRPr="005B2641">
          <w:rPr>
            <w:webHidden/>
          </w:rPr>
          <w:instrText xml:space="preserve"> PAGEREF _Toc35815705 \h </w:instrText>
        </w:r>
        <w:r w:rsidR="005B2641" w:rsidRPr="005B2641">
          <w:rPr>
            <w:webHidden/>
          </w:rPr>
        </w:r>
        <w:r w:rsidR="005B2641" w:rsidRPr="005B2641">
          <w:rPr>
            <w:webHidden/>
          </w:rPr>
          <w:fldChar w:fldCharType="separate"/>
        </w:r>
        <w:r w:rsidR="005B2641" w:rsidRPr="005B2641">
          <w:rPr>
            <w:webHidden/>
          </w:rPr>
          <w:t>33</w:t>
        </w:r>
        <w:r w:rsidR="005B2641" w:rsidRPr="005B2641">
          <w:rPr>
            <w:webHidden/>
          </w:rPr>
          <w:fldChar w:fldCharType="end"/>
        </w:r>
      </w:hyperlink>
    </w:p>
    <w:p w14:paraId="27E9C460" w14:textId="77777777" w:rsidR="005B2641" w:rsidRPr="005B2641" w:rsidRDefault="00D63773" w:rsidP="005B2641">
      <w:pPr>
        <w:pStyle w:val="TDC3"/>
        <w:spacing w:line="240" w:lineRule="auto"/>
        <w:rPr>
          <w:rFonts w:eastAsiaTheme="minorEastAsia"/>
          <w:b/>
        </w:rPr>
      </w:pPr>
      <w:hyperlink w:anchor="_Toc35815706" w:history="1">
        <w:r w:rsidR="005B2641" w:rsidRPr="005B2641">
          <w:rPr>
            <w:rStyle w:val="Hipervnculo"/>
          </w:rPr>
          <w:t>Evaluación del apoyo del FMAM a la incorporación de la biodiversidad 2018</w:t>
        </w:r>
        <w:r w:rsidR="005B2641" w:rsidRPr="005B2641">
          <w:rPr>
            <w:webHidden/>
          </w:rPr>
          <w:tab/>
        </w:r>
        <w:r w:rsidR="005B2641" w:rsidRPr="005B2641">
          <w:rPr>
            <w:b/>
            <w:webHidden/>
          </w:rPr>
          <w:fldChar w:fldCharType="begin"/>
        </w:r>
        <w:r w:rsidR="005B2641" w:rsidRPr="005B2641">
          <w:rPr>
            <w:webHidden/>
          </w:rPr>
          <w:instrText xml:space="preserve"> PAGEREF _Toc35815706 \h </w:instrText>
        </w:r>
        <w:r w:rsidR="005B2641" w:rsidRPr="005B2641">
          <w:rPr>
            <w:b/>
            <w:webHidden/>
          </w:rPr>
        </w:r>
        <w:r w:rsidR="005B2641" w:rsidRPr="005B2641">
          <w:rPr>
            <w:b/>
            <w:webHidden/>
          </w:rPr>
          <w:fldChar w:fldCharType="separate"/>
        </w:r>
        <w:r w:rsidR="005B2641" w:rsidRPr="005B2641">
          <w:rPr>
            <w:webHidden/>
          </w:rPr>
          <w:t>33</w:t>
        </w:r>
        <w:r w:rsidR="005B2641" w:rsidRPr="005B2641">
          <w:rPr>
            <w:b/>
            <w:webHidden/>
          </w:rPr>
          <w:fldChar w:fldCharType="end"/>
        </w:r>
      </w:hyperlink>
    </w:p>
    <w:p w14:paraId="4E1F6852" w14:textId="77777777" w:rsidR="005B2641" w:rsidRPr="005B2641" w:rsidRDefault="00D63773" w:rsidP="005B2641">
      <w:pPr>
        <w:pStyle w:val="TDC2"/>
        <w:spacing w:line="240" w:lineRule="auto"/>
        <w:rPr>
          <w:rFonts w:eastAsiaTheme="minorEastAsia"/>
        </w:rPr>
      </w:pPr>
      <w:hyperlink w:anchor="_Toc35815707" w:history="1">
        <w:r w:rsidR="005B2641" w:rsidRPr="005B2641">
          <w:rPr>
            <w:rStyle w:val="Hipervnculo"/>
          </w:rPr>
          <w:t>Evaluación del apoyo del FMAM para el cambio transformador</w:t>
        </w:r>
        <w:r w:rsidR="005B2641" w:rsidRPr="005B2641">
          <w:rPr>
            <w:webHidden/>
          </w:rPr>
          <w:tab/>
        </w:r>
        <w:r w:rsidR="005B2641" w:rsidRPr="005B2641">
          <w:rPr>
            <w:webHidden/>
          </w:rPr>
          <w:fldChar w:fldCharType="begin"/>
        </w:r>
        <w:r w:rsidR="005B2641" w:rsidRPr="005B2641">
          <w:rPr>
            <w:webHidden/>
          </w:rPr>
          <w:instrText xml:space="preserve"> PAGEREF _Toc35815707 \h </w:instrText>
        </w:r>
        <w:r w:rsidR="005B2641" w:rsidRPr="005B2641">
          <w:rPr>
            <w:webHidden/>
          </w:rPr>
        </w:r>
        <w:r w:rsidR="005B2641" w:rsidRPr="005B2641">
          <w:rPr>
            <w:webHidden/>
          </w:rPr>
          <w:fldChar w:fldCharType="separate"/>
        </w:r>
        <w:r w:rsidR="005B2641" w:rsidRPr="005B2641">
          <w:rPr>
            <w:webHidden/>
          </w:rPr>
          <w:t>36</w:t>
        </w:r>
        <w:r w:rsidR="005B2641" w:rsidRPr="005B2641">
          <w:rPr>
            <w:webHidden/>
          </w:rPr>
          <w:fldChar w:fldCharType="end"/>
        </w:r>
      </w:hyperlink>
    </w:p>
    <w:p w14:paraId="25F1FCA4" w14:textId="0FAB5CFB" w:rsidR="005B2641" w:rsidRPr="005B2641" w:rsidRDefault="00D63773" w:rsidP="005B2641">
      <w:pPr>
        <w:pStyle w:val="TDC2"/>
        <w:spacing w:line="240" w:lineRule="auto"/>
      </w:pPr>
      <w:hyperlink w:anchor="_Toc35815708" w:history="1">
        <w:r w:rsidR="005B2641" w:rsidRPr="005B2641">
          <w:rPr>
            <w:rStyle w:val="Hipervnculo"/>
          </w:rPr>
          <w:t>Evaluación del apoyo del FMAM a la ampliación del impacto 2019</w:t>
        </w:r>
        <w:r w:rsidR="005B2641" w:rsidRPr="005B2641">
          <w:rPr>
            <w:webHidden/>
          </w:rPr>
          <w:tab/>
        </w:r>
        <w:r w:rsidR="005B2641" w:rsidRPr="005B2641">
          <w:rPr>
            <w:webHidden/>
          </w:rPr>
          <w:fldChar w:fldCharType="begin"/>
        </w:r>
        <w:r w:rsidR="005B2641" w:rsidRPr="005B2641">
          <w:rPr>
            <w:webHidden/>
          </w:rPr>
          <w:instrText xml:space="preserve"> PAGEREF _Toc35815708 \h </w:instrText>
        </w:r>
        <w:r w:rsidR="005B2641" w:rsidRPr="005B2641">
          <w:rPr>
            <w:webHidden/>
          </w:rPr>
        </w:r>
        <w:r w:rsidR="005B2641" w:rsidRPr="005B2641">
          <w:rPr>
            <w:webHidden/>
          </w:rPr>
          <w:fldChar w:fldCharType="separate"/>
        </w:r>
        <w:r w:rsidR="005B2641" w:rsidRPr="005B2641">
          <w:rPr>
            <w:webHidden/>
          </w:rPr>
          <w:t>37</w:t>
        </w:r>
        <w:r w:rsidR="005B2641" w:rsidRPr="005B2641">
          <w:rPr>
            <w:webHidden/>
          </w:rPr>
          <w:fldChar w:fldCharType="end"/>
        </w:r>
      </w:hyperlink>
    </w:p>
    <w:p w14:paraId="764B5076" w14:textId="1FEC944E" w:rsidR="005B2641" w:rsidRPr="005B2641" w:rsidRDefault="005B2641" w:rsidP="005B2641">
      <w:pPr>
        <w:spacing w:line="240" w:lineRule="auto"/>
        <w:rPr>
          <w:rFonts w:ascii="Calibri" w:eastAsiaTheme="majorEastAsia" w:hAnsi="Calibri" w:cstheme="majorBidi"/>
          <w:b/>
          <w:smallCaps/>
          <w:sz w:val="24"/>
          <w:szCs w:val="32"/>
        </w:rPr>
      </w:pPr>
      <w:r w:rsidRPr="005B2641">
        <w:rPr>
          <w:rFonts w:ascii="Calibri" w:eastAsia="MS Mincho" w:hAnsi="Calibri" w:cs="Angsana New"/>
          <w:sz w:val="24"/>
          <w:szCs w:val="24"/>
        </w:rPr>
        <w:lastRenderedPageBreak/>
        <w:fldChar w:fldCharType="end"/>
      </w:r>
    </w:p>
    <w:p w14:paraId="425ABBC6" w14:textId="77777777" w:rsidR="005B2641" w:rsidRPr="005B2641" w:rsidRDefault="005B2641" w:rsidP="005B2641">
      <w:pPr>
        <w:pStyle w:val="Ttulo1"/>
      </w:pPr>
      <w:bookmarkStart w:id="4" w:name="_Toc35815682"/>
      <w:r w:rsidRPr="005B2641">
        <w:t>Resumen</w:t>
      </w:r>
      <w:bookmarkEnd w:id="4"/>
      <w:r w:rsidRPr="005B2641">
        <w:t xml:space="preserve"> </w:t>
      </w:r>
    </w:p>
    <w:p w14:paraId="2DE26CFA" w14:textId="77777777" w:rsidR="005B2641" w:rsidRPr="005B2641" w:rsidRDefault="005B2641" w:rsidP="005B2641">
      <w:pPr>
        <w:pStyle w:val="Prrafodelista"/>
        <w:numPr>
          <w:ilvl w:val="0"/>
          <w:numId w:val="23"/>
        </w:numPr>
        <w:spacing w:before="240" w:after="240" w:line="240" w:lineRule="auto"/>
        <w:ind w:left="0" w:firstLine="0"/>
        <w:contextualSpacing w:val="0"/>
        <w:rPr>
          <w:sz w:val="24"/>
          <w:szCs w:val="24"/>
        </w:rPr>
      </w:pPr>
      <w:r w:rsidRPr="005B2641">
        <w:rPr>
          <w:sz w:val="24"/>
          <w:szCs w:val="24"/>
        </w:rPr>
        <w:t>En este informe preliminar destinado a la Conferencia de las Partes (COP) en el Convenio sobre la Diversidad Biológica (CDB), se brinda información sobre las actividades desarrolladas por el Fondo para el Medio Ambiente Mundial (FMAM) en el área focal de biodiversidad en respuesta a las orientaciones que le fueron impartidas en la COP</w:t>
      </w:r>
      <w:r w:rsidRPr="005B2641">
        <w:rPr>
          <w:sz w:val="24"/>
          <w:szCs w:val="24"/>
        </w:rPr>
        <w:noBreakHyphen/>
        <w:t>14, recibidas en noviembre de 2018. El documento abarca el período comprendido entre el 1 de julio de 2018 y el 31 de diciembre de 2019. El informe final, que se presentará a la COP</w:t>
      </w:r>
      <w:r w:rsidRPr="005B2641">
        <w:rPr>
          <w:sz w:val="24"/>
          <w:szCs w:val="24"/>
        </w:rPr>
        <w:noBreakHyphen/>
        <w:t>15, abarcará el período comprendido entre el 1 de julio de 2018 y el 30 de junio de 2020, correspondiente a los primeros dos años del séptimo período de reposición de recursos del FMAM (FMAM-7), que se extiende del 1 de julio de 2018 al 30 de junio de 2022.</w:t>
      </w:r>
    </w:p>
    <w:p w14:paraId="627B88B0" w14:textId="77777777" w:rsidR="005B2641" w:rsidRPr="005B2641" w:rsidRDefault="005B2641" w:rsidP="005B2641">
      <w:pPr>
        <w:pStyle w:val="Prrafodelista"/>
        <w:numPr>
          <w:ilvl w:val="0"/>
          <w:numId w:val="23"/>
        </w:numPr>
        <w:spacing w:before="240" w:after="240" w:line="240" w:lineRule="auto"/>
        <w:ind w:left="0" w:firstLine="0"/>
        <w:contextualSpacing w:val="0"/>
        <w:rPr>
          <w:sz w:val="24"/>
          <w:szCs w:val="24"/>
        </w:rPr>
      </w:pPr>
      <w:r w:rsidRPr="005B2641">
        <w:rPr>
          <w:sz w:val="24"/>
          <w:szCs w:val="24"/>
        </w:rPr>
        <w:t>El objetivo de la estrategia del área focal de biodiversidad para el FMAM</w:t>
      </w:r>
      <w:r w:rsidRPr="005B2641">
        <w:rPr>
          <w:sz w:val="24"/>
          <w:szCs w:val="24"/>
        </w:rPr>
        <w:noBreakHyphen/>
        <w:t>7 es preservar la biodiversidad de importancia mundial en los paisajes terrestres y marinos. Para alcanzarlo, las inversiones del FMAM ayudan a los países a cumplir los tres objetivos identificados en las orientaciones de la COP-13 para el FMAM, de diciembre de 2016, presentadas en el marco cuatrienal de prioridades programáticas:</w:t>
      </w:r>
    </w:p>
    <w:p w14:paraId="3837A7EC" w14:textId="77777777" w:rsidR="005B2641" w:rsidRPr="005B2641" w:rsidRDefault="005B2641" w:rsidP="005B2641">
      <w:pPr>
        <w:numPr>
          <w:ilvl w:val="0"/>
          <w:numId w:val="8"/>
        </w:numPr>
        <w:spacing w:before="120" w:after="120" w:line="240" w:lineRule="auto"/>
        <w:ind w:left="1080"/>
        <w:rPr>
          <w:sz w:val="24"/>
          <w:szCs w:val="24"/>
        </w:rPr>
      </w:pPr>
      <w:r w:rsidRPr="005B2641">
        <w:rPr>
          <w:sz w:val="24"/>
          <w:szCs w:val="24"/>
        </w:rPr>
        <w:t>incorporar la biodiversidad en todos los sectores y en todos los paisajes terrestres y marinos;</w:t>
      </w:r>
    </w:p>
    <w:p w14:paraId="4A31D65C" w14:textId="77777777" w:rsidR="005B2641" w:rsidRPr="005B2641" w:rsidRDefault="005B2641" w:rsidP="005B2641">
      <w:pPr>
        <w:numPr>
          <w:ilvl w:val="0"/>
          <w:numId w:val="8"/>
        </w:numPr>
        <w:spacing w:before="120" w:after="120" w:line="240" w:lineRule="auto"/>
        <w:ind w:left="1080"/>
        <w:rPr>
          <w:sz w:val="24"/>
          <w:szCs w:val="24"/>
        </w:rPr>
      </w:pPr>
      <w:r w:rsidRPr="005B2641">
        <w:rPr>
          <w:sz w:val="24"/>
          <w:szCs w:val="24"/>
        </w:rPr>
        <w:t>abordar las causas directas para proteger los hábitats y las especies;</w:t>
      </w:r>
    </w:p>
    <w:p w14:paraId="74F96827" w14:textId="77777777" w:rsidR="005B2641" w:rsidRPr="005B2641" w:rsidRDefault="005B2641" w:rsidP="005B2641">
      <w:pPr>
        <w:numPr>
          <w:ilvl w:val="0"/>
          <w:numId w:val="8"/>
        </w:numPr>
        <w:spacing w:before="120" w:after="120" w:line="240" w:lineRule="auto"/>
        <w:ind w:left="1080"/>
        <w:rPr>
          <w:sz w:val="24"/>
          <w:szCs w:val="24"/>
        </w:rPr>
      </w:pPr>
      <w:r w:rsidRPr="005B2641">
        <w:rPr>
          <w:sz w:val="24"/>
          <w:szCs w:val="24"/>
        </w:rPr>
        <w:t>seguir elaborando marcos normativos e institucionales en materia de biodiversidad.</w:t>
      </w:r>
    </w:p>
    <w:p w14:paraId="1F1D8D1E" w14:textId="77777777" w:rsidR="005B2641" w:rsidRPr="005B2641" w:rsidRDefault="005B2641" w:rsidP="005B2641">
      <w:pPr>
        <w:pStyle w:val="Prrafodelista"/>
        <w:numPr>
          <w:ilvl w:val="0"/>
          <w:numId w:val="23"/>
        </w:numPr>
        <w:spacing w:before="240" w:after="240" w:line="240" w:lineRule="auto"/>
        <w:ind w:left="0" w:firstLine="0"/>
        <w:contextualSpacing w:val="0"/>
        <w:rPr>
          <w:sz w:val="24"/>
          <w:szCs w:val="24"/>
        </w:rPr>
      </w:pPr>
      <w:r w:rsidRPr="005B2641">
        <w:rPr>
          <w:sz w:val="24"/>
          <w:szCs w:val="24"/>
        </w:rPr>
        <w:t>La estrategia del FMAM-7 sobre diversidad biológica está constituida por nueve líneas de inversión y programación que contribuyen directamente a la implementación del Plan Estratégico para la Diversidad Biológica 2011-20 y al cumplimiento de las Metas de Aichi para la Diversidad Biológica mediante una serie de medidas que abordan las causas más importantes de la pérdida de biodiversidad en paisajes terrestres y marinos enteros.</w:t>
      </w:r>
    </w:p>
    <w:p w14:paraId="4BBB6F92" w14:textId="77777777" w:rsidR="005B2641" w:rsidRPr="005B2641" w:rsidRDefault="005B2641" w:rsidP="005B2641">
      <w:pPr>
        <w:pStyle w:val="Prrafodelista"/>
        <w:numPr>
          <w:ilvl w:val="0"/>
          <w:numId w:val="23"/>
        </w:numPr>
        <w:spacing w:before="240" w:after="240" w:line="240" w:lineRule="auto"/>
        <w:ind w:left="0" w:firstLine="0"/>
        <w:contextualSpacing w:val="0"/>
        <w:rPr>
          <w:sz w:val="24"/>
          <w:szCs w:val="24"/>
        </w:rPr>
      </w:pPr>
      <w:r w:rsidRPr="005B2641">
        <w:rPr>
          <w:sz w:val="24"/>
          <w:szCs w:val="24"/>
        </w:rPr>
        <w:t>Asimismo, las opciones de programación incluyen inversiones a través de programas de impacto capaces de generar más rendimiento por unidad de inversión procurando encontrar respuestas sistémicas a los problemas que surgen de más de un sector. Dichos programas permitirán realizar contribuciones significativas y sinérgicas al marco cuatrienal de prioridades programáticas del FMAM-7 y los resultados previstos relacionados, según lo acordado en la COP</w:t>
      </w:r>
      <w:r w:rsidRPr="005B2641">
        <w:rPr>
          <w:sz w:val="24"/>
          <w:szCs w:val="24"/>
        </w:rPr>
        <w:noBreakHyphen/>
        <w:t>13.</w:t>
      </w:r>
    </w:p>
    <w:p w14:paraId="70B40C4D" w14:textId="77777777" w:rsidR="005B2641" w:rsidRPr="005B2641" w:rsidRDefault="005B2641" w:rsidP="005B2641">
      <w:pPr>
        <w:pStyle w:val="Prrafodelista"/>
        <w:numPr>
          <w:ilvl w:val="0"/>
          <w:numId w:val="23"/>
        </w:numPr>
        <w:spacing w:before="240" w:after="240" w:line="240" w:lineRule="auto"/>
        <w:ind w:left="0" w:firstLine="0"/>
        <w:contextualSpacing w:val="0"/>
        <w:rPr>
          <w:sz w:val="24"/>
          <w:szCs w:val="24"/>
        </w:rPr>
      </w:pPr>
      <w:r w:rsidRPr="005B2641">
        <w:rPr>
          <w:sz w:val="24"/>
          <w:szCs w:val="24"/>
        </w:rPr>
        <w:t>Para el FMAM-7, se ha asignado un total de USD 1292 millones al área focal de biodiversidad, de los cuales USD 1031 millones se proporcionan a los países a través del Sistema para la Asignación Transparente de los Recursos (SATR).</w:t>
      </w:r>
    </w:p>
    <w:p w14:paraId="4648E520" w14:textId="77777777" w:rsidR="005B2641" w:rsidRPr="005B2641" w:rsidRDefault="005B2641" w:rsidP="005B2641">
      <w:pPr>
        <w:pStyle w:val="Prrafodelista"/>
        <w:numPr>
          <w:ilvl w:val="0"/>
          <w:numId w:val="23"/>
        </w:numPr>
        <w:spacing w:before="240" w:after="240" w:line="240" w:lineRule="auto"/>
        <w:ind w:left="0" w:firstLine="0"/>
        <w:contextualSpacing w:val="0"/>
        <w:rPr>
          <w:sz w:val="24"/>
          <w:szCs w:val="24"/>
        </w:rPr>
      </w:pPr>
      <w:r w:rsidRPr="005B2641">
        <w:rPr>
          <w:sz w:val="24"/>
          <w:szCs w:val="24"/>
        </w:rPr>
        <w:t xml:space="preserve">El monto total de los recursos que el FMAM programó para el área focal de biodiversidad en el período analizado fue de USD 638 millones, lo que equivale al 49 % del total </w:t>
      </w:r>
      <w:r w:rsidRPr="005B2641">
        <w:rPr>
          <w:sz w:val="24"/>
          <w:szCs w:val="24"/>
        </w:rPr>
        <w:lastRenderedPageBreak/>
        <w:t>de los recursos del FMAM-7 asignados a dicha área. De este monto total, se han programado USD 468 millones (45 %) de los recursos del SATR asignados a la biodiversidad.</w:t>
      </w:r>
    </w:p>
    <w:p w14:paraId="758ADFE7" w14:textId="77777777" w:rsidR="005B2641" w:rsidRPr="005B2641" w:rsidRDefault="005B2641" w:rsidP="005B2641">
      <w:pPr>
        <w:pStyle w:val="Prrafodelista"/>
        <w:numPr>
          <w:ilvl w:val="0"/>
          <w:numId w:val="23"/>
        </w:numPr>
        <w:spacing w:before="240" w:after="240" w:line="240" w:lineRule="auto"/>
        <w:ind w:left="0" w:firstLine="0"/>
        <w:contextualSpacing w:val="0"/>
        <w:rPr>
          <w:sz w:val="24"/>
          <w:szCs w:val="24"/>
        </w:rPr>
      </w:pPr>
      <w:r w:rsidRPr="005B2641">
        <w:rPr>
          <w:sz w:val="24"/>
          <w:szCs w:val="24"/>
        </w:rPr>
        <w:t>Con estos recursos se respaldaron 38 proyectos del área focal de biodiversidad y 99 proyectos que abarcan varias áreas focales. En seis enfoques programáticos, incluidos los programas de impacto, se han incluido 75 de esos proyectos. Estas inversiones han beneficiado a 83 países. Estas cifras incluyen las cuotas de los organismos y las donaciones para la preparación de proyectos (DPP).</w:t>
      </w:r>
    </w:p>
    <w:p w14:paraId="6BBC949B" w14:textId="77777777" w:rsidR="005B2641" w:rsidRPr="005B2641" w:rsidRDefault="005B2641" w:rsidP="005B2641">
      <w:pPr>
        <w:pStyle w:val="Prrafodelista"/>
        <w:numPr>
          <w:ilvl w:val="0"/>
          <w:numId w:val="23"/>
        </w:numPr>
        <w:spacing w:before="240" w:after="240" w:line="240" w:lineRule="auto"/>
        <w:ind w:left="0" w:firstLine="0"/>
        <w:contextualSpacing w:val="0"/>
        <w:rPr>
          <w:sz w:val="24"/>
          <w:szCs w:val="24"/>
        </w:rPr>
      </w:pPr>
      <w:r w:rsidRPr="005B2641">
        <w:rPr>
          <w:sz w:val="24"/>
          <w:szCs w:val="24"/>
        </w:rPr>
        <w:t>En los primeros 18 meses del FMAM-7, el valor total de las inversiones de todos los recursos del FMAM para cumplir las Metas de Aichi de todas las líneas de programación pertinentes del FMAM-7 (la estrategia del área focal de biodiversidad, los programas de impacto del FMAM-7, el área focal de aguas internacionales, el Fondo para los Países Menos Adelantados para la adaptación al cambio climático, el instrumento distinto de las donaciones y el Programa de Pequeñas Donaciones [PPD]) fue de USD 1056 millones, lo que permitió movilizar USD 8955 millones en cofinanciamiento para una inversión total de USD 10 010 millones.</w:t>
      </w:r>
    </w:p>
    <w:p w14:paraId="3C9DE988" w14:textId="77777777" w:rsidR="005B2641" w:rsidRPr="005B2641" w:rsidRDefault="005B2641" w:rsidP="005B2641">
      <w:pPr>
        <w:pStyle w:val="Prrafodelista"/>
        <w:numPr>
          <w:ilvl w:val="0"/>
          <w:numId w:val="23"/>
        </w:numPr>
        <w:spacing w:before="240" w:after="240" w:line="240" w:lineRule="auto"/>
        <w:ind w:left="0" w:firstLine="0"/>
        <w:contextualSpacing w:val="0"/>
        <w:rPr>
          <w:sz w:val="24"/>
          <w:szCs w:val="24"/>
        </w:rPr>
      </w:pPr>
      <w:r w:rsidRPr="005B2641">
        <w:rPr>
          <w:sz w:val="24"/>
          <w:szCs w:val="24"/>
        </w:rPr>
        <w:t xml:space="preserve"> En la COP</w:t>
      </w:r>
      <w:r w:rsidRPr="005B2641">
        <w:rPr>
          <w:sz w:val="24"/>
          <w:szCs w:val="24"/>
        </w:rPr>
        <w:noBreakHyphen/>
        <w:t>14, las Partes impartieron al FMAM orientaciones relativas a una variedad de temas</w:t>
      </w:r>
      <w:r w:rsidRPr="005B2641">
        <w:rPr>
          <w:rStyle w:val="Refdenotaalpie"/>
          <w:sz w:val="24"/>
          <w:szCs w:val="24"/>
        </w:rPr>
        <w:footnoteReference w:id="3"/>
      </w:r>
      <w:r w:rsidRPr="005B2641">
        <w:rPr>
          <w:sz w:val="24"/>
          <w:szCs w:val="24"/>
        </w:rPr>
        <w:t>. Las orientaciones específicas sobre las operaciones del FMAM y sobre temas puntuales relacionados con la biodiversidad se han abordado adecuadamente. En el presente documento se incluye un informe actualizado sobre la respuesta del FMAM a dichas orientaciones.</w:t>
      </w:r>
    </w:p>
    <w:p w14:paraId="1114DD8D" w14:textId="77777777" w:rsidR="005B2641" w:rsidRPr="005B2641" w:rsidRDefault="005B2641" w:rsidP="005B2641">
      <w:pPr>
        <w:pStyle w:val="Prrafodelista"/>
        <w:numPr>
          <w:ilvl w:val="0"/>
          <w:numId w:val="23"/>
        </w:numPr>
        <w:spacing w:before="240" w:after="240" w:line="240" w:lineRule="auto"/>
        <w:ind w:left="0" w:firstLine="0"/>
        <w:contextualSpacing w:val="0"/>
        <w:rPr>
          <w:sz w:val="24"/>
          <w:szCs w:val="24"/>
        </w:rPr>
      </w:pPr>
      <w:r w:rsidRPr="005B2641">
        <w:rPr>
          <w:sz w:val="24"/>
          <w:szCs w:val="24"/>
        </w:rPr>
        <w:t>El 84 % de la cohorte de proyectos de biodiversidad en ejecución durante el período analizado ha sido calificado como satisfactorio en cuanto a los avances en la ejecución y al cumplimiento del objetivo de desarrollo del proyecto. Asimismo, el 84 % de la cohorte de proyectos que abarcan varias áreas focales ha sido calificado como satisfactorio en cuanto a los avances en la ejecución, y el 90 % ha recibido la misma calificación en cuanto al cumplimiento del objetivo de desarrollo del proyecto.</w:t>
      </w:r>
    </w:p>
    <w:p w14:paraId="68842736" w14:textId="77777777" w:rsidR="005B2641" w:rsidRPr="005B2641" w:rsidRDefault="005B2641" w:rsidP="005B2641">
      <w:pPr>
        <w:pStyle w:val="Prrafodelista"/>
        <w:numPr>
          <w:ilvl w:val="0"/>
          <w:numId w:val="23"/>
        </w:numPr>
        <w:spacing w:before="240" w:after="240" w:line="240" w:lineRule="auto"/>
        <w:ind w:left="0" w:firstLine="0"/>
        <w:contextualSpacing w:val="0"/>
        <w:rPr>
          <w:sz w:val="24"/>
          <w:szCs w:val="24"/>
        </w:rPr>
      </w:pPr>
      <w:r w:rsidRPr="005B2641">
        <w:rPr>
          <w:sz w:val="24"/>
          <w:szCs w:val="24"/>
        </w:rPr>
        <w:t>Como parte del acuerdo de reposición de recursos del FMAM-7, se adoptaron una serie de metas institucionales</w:t>
      </w:r>
      <w:r w:rsidRPr="005B2641">
        <w:rPr>
          <w:sz w:val="24"/>
          <w:szCs w:val="24"/>
          <w:vertAlign w:val="superscript"/>
        </w:rPr>
        <w:footnoteReference w:id="4"/>
      </w:r>
      <w:r w:rsidRPr="005B2641">
        <w:rPr>
          <w:sz w:val="24"/>
          <w:szCs w:val="24"/>
        </w:rPr>
        <w:t>. En el informe se incluyen las metas acumulativas presentadas en las ideas de proyectos aprobadas por el Consejo del FMAM entre el 1 de julio de 2018 y el 31 de diciembre de 2019 que se relacionan con el CDB y el Plan Estratégico para la Diversidad Biológica 2011</w:t>
      </w:r>
      <w:r w:rsidRPr="005B2641">
        <w:rPr>
          <w:sz w:val="24"/>
          <w:szCs w:val="24"/>
        </w:rPr>
        <w:noBreakHyphen/>
        <w:t>20. Las metas acumulativas representan los resultados clave que se espera obtener con estos proyectos. En el siguiente cuadro se resumen los avances en el logro de las metas clave para el CDB.</w:t>
      </w:r>
    </w:p>
    <w:p w14:paraId="30E13D47" w14:textId="77777777" w:rsidR="005B2641" w:rsidRPr="005B2641" w:rsidRDefault="005B2641" w:rsidP="005B2641">
      <w:pPr>
        <w:keepNext/>
        <w:keepLines/>
        <w:spacing w:before="240" w:after="240" w:line="240" w:lineRule="auto"/>
        <w:jc w:val="center"/>
        <w:rPr>
          <w:b/>
          <w:sz w:val="24"/>
          <w:szCs w:val="24"/>
        </w:rPr>
      </w:pPr>
      <w:r w:rsidRPr="005B2641">
        <w:rPr>
          <w:b/>
          <w:sz w:val="24"/>
          <w:szCs w:val="24"/>
        </w:rPr>
        <w:lastRenderedPageBreak/>
        <w:t>Avances en el cumplimiento de las metas clave de los indicadores básicos del FMAM-7 relacionados con el CDB</w:t>
      </w:r>
      <w:r w:rsidRPr="005B2641">
        <w:rPr>
          <w:rStyle w:val="Refdenotaalpie"/>
          <w:sz w:val="24"/>
          <w:szCs w:val="24"/>
        </w:rPr>
        <w:footnoteReference w:id="5"/>
      </w:r>
    </w:p>
    <w:tbl>
      <w:tblPr>
        <w:tblStyle w:val="Tablaconcuadrcula"/>
        <w:tblW w:w="0" w:type="auto"/>
        <w:tblLook w:val="04A0" w:firstRow="1" w:lastRow="0" w:firstColumn="1" w:lastColumn="0" w:noHBand="0" w:noVBand="1"/>
      </w:tblPr>
      <w:tblGrid>
        <w:gridCol w:w="5159"/>
        <w:gridCol w:w="2383"/>
        <w:gridCol w:w="1808"/>
      </w:tblGrid>
      <w:tr w:rsidR="005B2641" w:rsidRPr="005B2641" w14:paraId="32E018D7" w14:textId="77777777" w:rsidTr="00952C91">
        <w:trPr>
          <w:trHeight w:val="1070"/>
          <w:tblHeader/>
        </w:trPr>
        <w:tc>
          <w:tcPr>
            <w:tcW w:w="0" w:type="auto"/>
          </w:tcPr>
          <w:p w14:paraId="4BF88D88" w14:textId="77777777" w:rsidR="005B2641" w:rsidRPr="005B2641" w:rsidRDefault="005B2641" w:rsidP="00952C91">
            <w:pPr>
              <w:keepNext/>
              <w:keepLines/>
              <w:rPr>
                <w:b/>
                <w:sz w:val="24"/>
                <w:szCs w:val="24"/>
              </w:rPr>
            </w:pPr>
            <w:r w:rsidRPr="005B2641">
              <w:rPr>
                <w:b/>
                <w:sz w:val="24"/>
                <w:szCs w:val="24"/>
              </w:rPr>
              <w:t xml:space="preserve">Metas de los indicadores básicos </w:t>
            </w:r>
          </w:p>
        </w:tc>
        <w:tc>
          <w:tcPr>
            <w:tcW w:w="0" w:type="auto"/>
          </w:tcPr>
          <w:p w14:paraId="195A71DA" w14:textId="77777777" w:rsidR="005B2641" w:rsidRPr="005B2641" w:rsidRDefault="005B2641" w:rsidP="00952C91">
            <w:pPr>
              <w:keepNext/>
              <w:keepLines/>
              <w:rPr>
                <w:b/>
                <w:sz w:val="24"/>
                <w:szCs w:val="24"/>
              </w:rPr>
            </w:pPr>
            <w:r w:rsidRPr="005B2641">
              <w:rPr>
                <w:b/>
                <w:sz w:val="24"/>
                <w:szCs w:val="24"/>
              </w:rPr>
              <w:t>Logro de las metas (cifras)</w:t>
            </w:r>
          </w:p>
        </w:tc>
        <w:tc>
          <w:tcPr>
            <w:tcW w:w="0" w:type="auto"/>
          </w:tcPr>
          <w:p w14:paraId="3DCE6AB3" w14:textId="77777777" w:rsidR="005B2641" w:rsidRPr="005B2641" w:rsidRDefault="005B2641" w:rsidP="00952C91">
            <w:pPr>
              <w:keepNext/>
              <w:keepLines/>
              <w:rPr>
                <w:b/>
                <w:sz w:val="24"/>
                <w:szCs w:val="24"/>
              </w:rPr>
            </w:pPr>
            <w:r w:rsidRPr="005B2641">
              <w:rPr>
                <w:b/>
                <w:sz w:val="24"/>
                <w:szCs w:val="24"/>
              </w:rPr>
              <w:t>Logro de las metas (porcentaje)</w:t>
            </w:r>
          </w:p>
        </w:tc>
      </w:tr>
      <w:tr w:rsidR="005B2641" w:rsidRPr="005B2641" w14:paraId="5A3E8D9B" w14:textId="77777777" w:rsidTr="00952C91">
        <w:tc>
          <w:tcPr>
            <w:tcW w:w="0" w:type="auto"/>
          </w:tcPr>
          <w:p w14:paraId="5A25B257" w14:textId="77777777" w:rsidR="005B2641" w:rsidRPr="005B2641" w:rsidRDefault="005B2641" w:rsidP="00952C91">
            <w:pPr>
              <w:rPr>
                <w:sz w:val="24"/>
                <w:szCs w:val="24"/>
              </w:rPr>
            </w:pPr>
            <w:r w:rsidRPr="005B2641">
              <w:rPr>
                <w:sz w:val="24"/>
                <w:szCs w:val="24"/>
              </w:rPr>
              <w:t>Meta del indicador básico 1: Se crean 200 millones de hectáreas de zonas terrestres protegidas o se las somete a una gestión más adecuada para la conservación y el uso sostenible</w:t>
            </w:r>
          </w:p>
        </w:tc>
        <w:tc>
          <w:tcPr>
            <w:tcW w:w="0" w:type="auto"/>
          </w:tcPr>
          <w:p w14:paraId="7337A352" w14:textId="77777777" w:rsidR="005B2641" w:rsidRPr="005B2641" w:rsidRDefault="005B2641" w:rsidP="00952C91">
            <w:pPr>
              <w:rPr>
                <w:sz w:val="24"/>
                <w:szCs w:val="24"/>
              </w:rPr>
            </w:pPr>
            <w:r w:rsidRPr="005B2641">
              <w:rPr>
                <w:sz w:val="24"/>
                <w:szCs w:val="24"/>
              </w:rPr>
              <w:t>78,6 millones de hectáreas</w:t>
            </w:r>
          </w:p>
        </w:tc>
        <w:tc>
          <w:tcPr>
            <w:tcW w:w="0" w:type="auto"/>
          </w:tcPr>
          <w:p w14:paraId="38817A53" w14:textId="77777777" w:rsidR="005B2641" w:rsidRPr="005B2641" w:rsidRDefault="005B2641" w:rsidP="00952C91">
            <w:pPr>
              <w:rPr>
                <w:sz w:val="24"/>
                <w:szCs w:val="24"/>
              </w:rPr>
            </w:pPr>
            <w:r w:rsidRPr="005B2641">
              <w:rPr>
                <w:sz w:val="24"/>
                <w:szCs w:val="24"/>
              </w:rPr>
              <w:t>39,3</w:t>
            </w:r>
          </w:p>
        </w:tc>
      </w:tr>
      <w:tr w:rsidR="005B2641" w:rsidRPr="005B2641" w14:paraId="54535438" w14:textId="77777777" w:rsidTr="00952C91">
        <w:tc>
          <w:tcPr>
            <w:tcW w:w="0" w:type="auto"/>
          </w:tcPr>
          <w:p w14:paraId="2CCB49C7" w14:textId="77777777" w:rsidR="005B2641" w:rsidRPr="005B2641" w:rsidRDefault="005B2641" w:rsidP="00952C91">
            <w:pPr>
              <w:rPr>
                <w:sz w:val="24"/>
                <w:szCs w:val="24"/>
              </w:rPr>
            </w:pPr>
            <w:r w:rsidRPr="005B2641">
              <w:rPr>
                <w:sz w:val="24"/>
                <w:szCs w:val="24"/>
              </w:rPr>
              <w:t>Meta del indicador básico 2: Se crean 8 millones de hectáreas de zonas marinas protegidas o se las somete a una gestión más adecuada para la conservación y el uso sostenible</w:t>
            </w:r>
          </w:p>
        </w:tc>
        <w:tc>
          <w:tcPr>
            <w:tcW w:w="0" w:type="auto"/>
          </w:tcPr>
          <w:p w14:paraId="0DDA224D" w14:textId="77777777" w:rsidR="005B2641" w:rsidRPr="005B2641" w:rsidRDefault="005B2641" w:rsidP="00952C91">
            <w:pPr>
              <w:rPr>
                <w:sz w:val="24"/>
                <w:szCs w:val="24"/>
              </w:rPr>
            </w:pPr>
            <w:r w:rsidRPr="005B2641">
              <w:rPr>
                <w:sz w:val="24"/>
                <w:szCs w:val="24"/>
              </w:rPr>
              <w:t>&gt;8 millones de hectáreas</w:t>
            </w:r>
          </w:p>
        </w:tc>
        <w:tc>
          <w:tcPr>
            <w:tcW w:w="0" w:type="auto"/>
          </w:tcPr>
          <w:p w14:paraId="046290A2" w14:textId="77777777" w:rsidR="005B2641" w:rsidRPr="005B2641" w:rsidRDefault="005B2641" w:rsidP="00952C91">
            <w:pPr>
              <w:rPr>
                <w:sz w:val="24"/>
                <w:szCs w:val="24"/>
              </w:rPr>
            </w:pPr>
            <w:r w:rsidRPr="005B2641">
              <w:rPr>
                <w:sz w:val="24"/>
                <w:szCs w:val="24"/>
              </w:rPr>
              <w:t>&gt;100</w:t>
            </w:r>
          </w:p>
        </w:tc>
      </w:tr>
      <w:tr w:rsidR="005B2641" w:rsidRPr="005B2641" w14:paraId="3AAAD5FC" w14:textId="77777777" w:rsidTr="00952C91">
        <w:tc>
          <w:tcPr>
            <w:tcW w:w="0" w:type="auto"/>
          </w:tcPr>
          <w:p w14:paraId="1BD2B91E" w14:textId="77777777" w:rsidR="005B2641" w:rsidRPr="005B2641" w:rsidRDefault="005B2641" w:rsidP="00952C91">
            <w:pPr>
              <w:rPr>
                <w:sz w:val="24"/>
                <w:szCs w:val="24"/>
              </w:rPr>
            </w:pPr>
            <w:r w:rsidRPr="005B2641">
              <w:rPr>
                <w:sz w:val="24"/>
                <w:szCs w:val="24"/>
              </w:rPr>
              <w:t>Meta del indicador básico 3: Se restauran 6 millones de hectáreas de tierras</w:t>
            </w:r>
          </w:p>
        </w:tc>
        <w:tc>
          <w:tcPr>
            <w:tcW w:w="0" w:type="auto"/>
          </w:tcPr>
          <w:p w14:paraId="7E148664" w14:textId="77777777" w:rsidR="005B2641" w:rsidRPr="005B2641" w:rsidRDefault="005B2641" w:rsidP="00952C91">
            <w:pPr>
              <w:rPr>
                <w:sz w:val="24"/>
                <w:szCs w:val="24"/>
              </w:rPr>
            </w:pPr>
            <w:r w:rsidRPr="005B2641">
              <w:rPr>
                <w:sz w:val="24"/>
                <w:szCs w:val="24"/>
              </w:rPr>
              <w:t>5,7 millones de hectáreas</w:t>
            </w:r>
          </w:p>
        </w:tc>
        <w:tc>
          <w:tcPr>
            <w:tcW w:w="0" w:type="auto"/>
          </w:tcPr>
          <w:p w14:paraId="7474AA01" w14:textId="77777777" w:rsidR="005B2641" w:rsidRPr="005B2641" w:rsidRDefault="005B2641" w:rsidP="00952C91">
            <w:pPr>
              <w:rPr>
                <w:sz w:val="24"/>
                <w:szCs w:val="24"/>
              </w:rPr>
            </w:pPr>
            <w:r w:rsidRPr="005B2641">
              <w:rPr>
                <w:sz w:val="24"/>
                <w:szCs w:val="24"/>
              </w:rPr>
              <w:t>94,5</w:t>
            </w:r>
          </w:p>
        </w:tc>
      </w:tr>
      <w:tr w:rsidR="005B2641" w:rsidRPr="005B2641" w14:paraId="538A30C5" w14:textId="77777777" w:rsidTr="00952C91">
        <w:tc>
          <w:tcPr>
            <w:tcW w:w="0" w:type="auto"/>
          </w:tcPr>
          <w:p w14:paraId="46DFF47F" w14:textId="77777777" w:rsidR="005B2641" w:rsidRPr="005B2641" w:rsidRDefault="005B2641" w:rsidP="00952C91">
            <w:pPr>
              <w:rPr>
                <w:sz w:val="24"/>
                <w:szCs w:val="24"/>
              </w:rPr>
            </w:pPr>
            <w:r w:rsidRPr="005B2641">
              <w:rPr>
                <w:sz w:val="24"/>
                <w:szCs w:val="24"/>
              </w:rPr>
              <w:t>Meta del indicador básico 4: Se someten 320 millones de hectáreas de paisajes a prácticas más adecuadas, sin incluir las zonas protegidas</w:t>
            </w:r>
          </w:p>
        </w:tc>
        <w:tc>
          <w:tcPr>
            <w:tcW w:w="0" w:type="auto"/>
          </w:tcPr>
          <w:p w14:paraId="18B37EB6" w14:textId="77777777" w:rsidR="005B2641" w:rsidRPr="005B2641" w:rsidRDefault="005B2641" w:rsidP="00952C91">
            <w:pPr>
              <w:rPr>
                <w:sz w:val="24"/>
                <w:szCs w:val="24"/>
              </w:rPr>
            </w:pPr>
            <w:r w:rsidRPr="005B2641">
              <w:rPr>
                <w:sz w:val="24"/>
                <w:szCs w:val="24"/>
              </w:rPr>
              <w:t>97,5 millones de hectáreas</w:t>
            </w:r>
          </w:p>
        </w:tc>
        <w:tc>
          <w:tcPr>
            <w:tcW w:w="0" w:type="auto"/>
          </w:tcPr>
          <w:p w14:paraId="3910C60A" w14:textId="77777777" w:rsidR="005B2641" w:rsidRPr="005B2641" w:rsidRDefault="005B2641" w:rsidP="00952C91">
            <w:pPr>
              <w:rPr>
                <w:sz w:val="24"/>
                <w:szCs w:val="24"/>
              </w:rPr>
            </w:pPr>
            <w:r w:rsidRPr="005B2641">
              <w:rPr>
                <w:sz w:val="24"/>
                <w:szCs w:val="24"/>
              </w:rPr>
              <w:t>30,5</w:t>
            </w:r>
          </w:p>
        </w:tc>
      </w:tr>
      <w:tr w:rsidR="005B2641" w:rsidRPr="005B2641" w14:paraId="22412E6C" w14:textId="77777777" w:rsidTr="00952C91">
        <w:tc>
          <w:tcPr>
            <w:tcW w:w="0" w:type="auto"/>
          </w:tcPr>
          <w:p w14:paraId="777DC5D0" w14:textId="77777777" w:rsidR="005B2641" w:rsidRPr="005B2641" w:rsidRDefault="005B2641" w:rsidP="00952C91">
            <w:pPr>
              <w:rPr>
                <w:sz w:val="24"/>
                <w:szCs w:val="24"/>
              </w:rPr>
            </w:pPr>
            <w:r w:rsidRPr="005B2641">
              <w:rPr>
                <w:sz w:val="24"/>
                <w:szCs w:val="24"/>
              </w:rPr>
              <w:t>Meta del indicador básico 5: Se someten 28 millones de hectáreas de hábitat marino a prácticas más adecuadas para beneficiar a la biodiversidad, sin incluir las zonas protegidas</w:t>
            </w:r>
          </w:p>
        </w:tc>
        <w:tc>
          <w:tcPr>
            <w:tcW w:w="0" w:type="auto"/>
          </w:tcPr>
          <w:p w14:paraId="2F1AAB02" w14:textId="77777777" w:rsidR="005B2641" w:rsidRPr="005B2641" w:rsidRDefault="005B2641" w:rsidP="00952C91">
            <w:pPr>
              <w:rPr>
                <w:sz w:val="24"/>
                <w:szCs w:val="24"/>
              </w:rPr>
            </w:pPr>
            <w:r w:rsidRPr="005B2641">
              <w:rPr>
                <w:sz w:val="24"/>
                <w:szCs w:val="24"/>
              </w:rPr>
              <w:t>5,5 millones de hectáreas</w:t>
            </w:r>
          </w:p>
        </w:tc>
        <w:tc>
          <w:tcPr>
            <w:tcW w:w="0" w:type="auto"/>
          </w:tcPr>
          <w:p w14:paraId="2D1F3BAD" w14:textId="77777777" w:rsidR="005B2641" w:rsidRPr="005B2641" w:rsidRDefault="005B2641" w:rsidP="00952C91">
            <w:pPr>
              <w:rPr>
                <w:sz w:val="24"/>
                <w:szCs w:val="24"/>
              </w:rPr>
            </w:pPr>
            <w:r w:rsidRPr="005B2641">
              <w:rPr>
                <w:sz w:val="24"/>
                <w:szCs w:val="24"/>
              </w:rPr>
              <w:t>19,6</w:t>
            </w:r>
          </w:p>
        </w:tc>
      </w:tr>
      <w:tr w:rsidR="005B2641" w:rsidRPr="005B2641" w14:paraId="5F395897" w14:textId="77777777" w:rsidTr="00952C91">
        <w:tc>
          <w:tcPr>
            <w:tcW w:w="0" w:type="auto"/>
          </w:tcPr>
          <w:p w14:paraId="399E9F28" w14:textId="77777777" w:rsidR="005B2641" w:rsidRPr="005B2641" w:rsidRDefault="005B2641" w:rsidP="00952C91">
            <w:pPr>
              <w:rPr>
                <w:sz w:val="24"/>
                <w:szCs w:val="24"/>
              </w:rPr>
            </w:pPr>
            <w:r w:rsidRPr="005B2641">
              <w:rPr>
                <w:sz w:val="24"/>
                <w:szCs w:val="24"/>
              </w:rPr>
              <w:t>Meta del indicador básico 7: Se someten 32 ecosistemas acuáticos compartidos (agua dulce o marina) a una nueva gestión cooperativa o una gestión cooperativa más adecuada</w:t>
            </w:r>
          </w:p>
        </w:tc>
        <w:tc>
          <w:tcPr>
            <w:tcW w:w="0" w:type="auto"/>
          </w:tcPr>
          <w:p w14:paraId="154C84AC" w14:textId="77777777" w:rsidR="005B2641" w:rsidRPr="005B2641" w:rsidRDefault="005B2641" w:rsidP="00952C91">
            <w:pPr>
              <w:rPr>
                <w:sz w:val="24"/>
                <w:szCs w:val="24"/>
              </w:rPr>
            </w:pPr>
            <w:r w:rsidRPr="005B2641">
              <w:rPr>
                <w:sz w:val="24"/>
                <w:szCs w:val="24"/>
              </w:rPr>
              <w:t>14 ecosistemas acuáticos compartidos</w:t>
            </w:r>
          </w:p>
        </w:tc>
        <w:tc>
          <w:tcPr>
            <w:tcW w:w="0" w:type="auto"/>
          </w:tcPr>
          <w:p w14:paraId="338A645F" w14:textId="77777777" w:rsidR="005B2641" w:rsidRPr="005B2641" w:rsidRDefault="005B2641" w:rsidP="00952C91">
            <w:pPr>
              <w:rPr>
                <w:sz w:val="24"/>
                <w:szCs w:val="24"/>
              </w:rPr>
            </w:pPr>
            <w:r w:rsidRPr="005B2641">
              <w:rPr>
                <w:sz w:val="24"/>
                <w:szCs w:val="24"/>
              </w:rPr>
              <w:t>43,8</w:t>
            </w:r>
          </w:p>
        </w:tc>
      </w:tr>
      <w:tr w:rsidR="005B2641" w:rsidRPr="005B2641" w14:paraId="3D56F5B9" w14:textId="77777777" w:rsidTr="00952C91">
        <w:tc>
          <w:tcPr>
            <w:tcW w:w="0" w:type="auto"/>
          </w:tcPr>
          <w:p w14:paraId="36088F05" w14:textId="77777777" w:rsidR="005B2641" w:rsidRPr="005B2641" w:rsidRDefault="005B2641" w:rsidP="00952C91">
            <w:pPr>
              <w:rPr>
                <w:sz w:val="24"/>
                <w:szCs w:val="24"/>
              </w:rPr>
            </w:pPr>
            <w:r w:rsidRPr="005B2641">
              <w:rPr>
                <w:sz w:val="24"/>
                <w:szCs w:val="24"/>
              </w:rPr>
              <w:t>Meta del indicador básico 8: 3 500 000 toneladas métricas de reservas pesqueras mundialmente sobreexplotadas comienzan a registrar niveles más sostenibles</w:t>
            </w:r>
          </w:p>
        </w:tc>
        <w:tc>
          <w:tcPr>
            <w:tcW w:w="0" w:type="auto"/>
          </w:tcPr>
          <w:p w14:paraId="01637774" w14:textId="77777777" w:rsidR="005B2641" w:rsidRPr="005B2641" w:rsidRDefault="005B2641" w:rsidP="00952C91">
            <w:pPr>
              <w:rPr>
                <w:sz w:val="24"/>
                <w:szCs w:val="24"/>
              </w:rPr>
            </w:pPr>
            <w:r w:rsidRPr="005B2641">
              <w:rPr>
                <w:sz w:val="24"/>
                <w:szCs w:val="24"/>
              </w:rPr>
              <w:t>127 000 toneladas métricas</w:t>
            </w:r>
          </w:p>
        </w:tc>
        <w:tc>
          <w:tcPr>
            <w:tcW w:w="0" w:type="auto"/>
          </w:tcPr>
          <w:p w14:paraId="5FEA5F4D" w14:textId="77777777" w:rsidR="005B2641" w:rsidRPr="005B2641" w:rsidRDefault="005B2641" w:rsidP="00952C91">
            <w:pPr>
              <w:rPr>
                <w:sz w:val="24"/>
                <w:szCs w:val="24"/>
              </w:rPr>
            </w:pPr>
            <w:r w:rsidRPr="005B2641">
              <w:rPr>
                <w:sz w:val="24"/>
                <w:szCs w:val="24"/>
              </w:rPr>
              <w:t>3,6</w:t>
            </w:r>
          </w:p>
        </w:tc>
      </w:tr>
    </w:tbl>
    <w:p w14:paraId="4C1D9CF6" w14:textId="77777777" w:rsidR="005B2641" w:rsidRPr="005B2641" w:rsidRDefault="005B2641" w:rsidP="005B2641">
      <w:pPr>
        <w:pStyle w:val="Prrafodelista"/>
        <w:numPr>
          <w:ilvl w:val="0"/>
          <w:numId w:val="23"/>
        </w:numPr>
        <w:spacing w:before="240" w:after="240" w:line="240" w:lineRule="auto"/>
        <w:ind w:left="0" w:firstLine="0"/>
        <w:contextualSpacing w:val="0"/>
        <w:rPr>
          <w:sz w:val="24"/>
          <w:szCs w:val="24"/>
        </w:rPr>
        <w:sectPr w:rsidR="005B2641" w:rsidRPr="005B2641" w:rsidSect="000837FE">
          <w:footerReference w:type="even" r:id="rId19"/>
          <w:footerReference w:type="default" r:id="rId20"/>
          <w:pgSz w:w="12240" w:h="15840"/>
          <w:pgMar w:top="1440" w:right="1440" w:bottom="1440" w:left="1440" w:header="720" w:footer="720" w:gutter="0"/>
          <w:pgNumType w:start="1"/>
          <w:cols w:space="720"/>
          <w:docGrid w:linePitch="360"/>
        </w:sectPr>
      </w:pPr>
      <w:r w:rsidRPr="005B2641">
        <w:rPr>
          <w:sz w:val="24"/>
          <w:szCs w:val="24"/>
        </w:rPr>
        <w:t>Durante el período analizado, la Oficina de Evaluación Independiente (OEI) del FMAM llevó a cabo cuatro evaluaciones y exámenes que revisten importancia para el área focal de biodiversidad, a saber: 1) evaluación del apoyo del FMAM a la incorporación de la biodiversidad; 2) examen formativo de los programas piloto de enfoque integrado; 3) evaluación del apoyo del FMAM para el cambio transformador, y 4) evaluación del apoyo del FMAM a la ampliación del impacto. En el presente informe se incluye un resumen proporcionado por la OEI de los mensajes clave de dichas evaluaciones.</w:t>
      </w:r>
    </w:p>
    <w:p w14:paraId="271B72A5" w14:textId="77777777" w:rsidR="005B2641" w:rsidRPr="005B2641" w:rsidRDefault="005B2641" w:rsidP="005B2641">
      <w:pPr>
        <w:pStyle w:val="Ttulo1"/>
        <w:numPr>
          <w:ilvl w:val="0"/>
          <w:numId w:val="27"/>
        </w:numPr>
        <w:spacing w:after="240"/>
        <w:ind w:left="180" w:hanging="180"/>
        <w:jc w:val="left"/>
      </w:pPr>
      <w:bookmarkStart w:id="5" w:name="_Toc35815683"/>
      <w:r w:rsidRPr="005B2641">
        <w:lastRenderedPageBreak/>
        <w:t>Actividades de los proyectos para respaldar la aplicación del CDB</w:t>
      </w:r>
      <w:bookmarkEnd w:id="5"/>
      <w:r w:rsidRPr="005B2641">
        <w:tab/>
      </w:r>
    </w:p>
    <w:p w14:paraId="6309DF48" w14:textId="77777777" w:rsidR="005B2641" w:rsidRPr="005B2641" w:rsidRDefault="005B2641" w:rsidP="005B2641">
      <w:pPr>
        <w:pStyle w:val="Prrafodelista"/>
        <w:numPr>
          <w:ilvl w:val="0"/>
          <w:numId w:val="25"/>
        </w:numPr>
        <w:spacing w:before="240" w:after="240" w:line="240" w:lineRule="auto"/>
        <w:ind w:left="0" w:firstLine="0"/>
        <w:contextualSpacing w:val="0"/>
        <w:rPr>
          <w:sz w:val="24"/>
          <w:szCs w:val="24"/>
        </w:rPr>
      </w:pPr>
      <w:r w:rsidRPr="005B2641">
        <w:rPr>
          <w:sz w:val="24"/>
          <w:szCs w:val="24"/>
        </w:rPr>
        <w:t>En el presente informe preliminar para la Conferencia de las Partes (COP) en el Convenio sobre la Diversidad Biológica (CDB), se brinda información sobre las actividades desarrolladas por el Fondo para el Medio Ambiente Mundial (FMAM) en el área focal de biodiversidad en respuesta a las orientaciones que le fueron impartidas en la COP</w:t>
      </w:r>
      <w:r w:rsidRPr="005B2641">
        <w:rPr>
          <w:sz w:val="24"/>
          <w:szCs w:val="24"/>
        </w:rPr>
        <w:noBreakHyphen/>
        <w:t>14, recibidas en noviembre de 2018. El documento abarca el período comprendido entre el 1 de julio de 2018 y el 31 de diciembre de 2019. El informe final, que se presentará a la COP</w:t>
      </w:r>
      <w:r w:rsidRPr="005B2641">
        <w:rPr>
          <w:sz w:val="24"/>
          <w:szCs w:val="24"/>
        </w:rPr>
        <w:noBreakHyphen/>
        <w:t>15, abarcará el período comprendido entre el 1 de julio de 2018 y el 30 de junio de 2020, correspondiente a los primeros dos años del séptimo período de reposición de recursos del FMAM (FMAM</w:t>
      </w:r>
      <w:r w:rsidRPr="005B2641">
        <w:rPr>
          <w:sz w:val="24"/>
          <w:szCs w:val="24"/>
        </w:rPr>
        <w:noBreakHyphen/>
        <w:t>7), que se extiende del 1 de julio de 2018 al 30 de junio de 2022.</w:t>
      </w:r>
    </w:p>
    <w:p w14:paraId="0CC7C7F8" w14:textId="77777777" w:rsidR="005B2641" w:rsidRPr="005B2641" w:rsidRDefault="005B2641" w:rsidP="005B2641">
      <w:pPr>
        <w:pStyle w:val="Ttulo2"/>
      </w:pPr>
      <w:bookmarkStart w:id="6" w:name="_Toc35815684"/>
      <w:r w:rsidRPr="005B2641">
        <w:t>La estrategia sobre biodiversidad para el FMAM-7</w:t>
      </w:r>
      <w:bookmarkEnd w:id="6"/>
    </w:p>
    <w:p w14:paraId="674F1D67" w14:textId="77777777" w:rsidR="005B2641" w:rsidRPr="005B2641" w:rsidRDefault="005B2641" w:rsidP="005B2641">
      <w:pPr>
        <w:pStyle w:val="Prrafodelista"/>
        <w:numPr>
          <w:ilvl w:val="0"/>
          <w:numId w:val="25"/>
        </w:numPr>
        <w:spacing w:before="240" w:after="240" w:line="240" w:lineRule="auto"/>
        <w:ind w:left="0" w:firstLine="0"/>
        <w:contextualSpacing w:val="0"/>
        <w:rPr>
          <w:sz w:val="24"/>
          <w:szCs w:val="24"/>
        </w:rPr>
      </w:pPr>
      <w:bookmarkStart w:id="7" w:name="_Hlk32178223"/>
      <w:r w:rsidRPr="005B2641">
        <w:rPr>
          <w:sz w:val="24"/>
          <w:szCs w:val="24"/>
        </w:rPr>
        <w:t>El objetivo de la estrategia del área focal de biodiversidad para el FMAM</w:t>
      </w:r>
      <w:r w:rsidRPr="005B2641">
        <w:rPr>
          <w:sz w:val="24"/>
          <w:szCs w:val="24"/>
        </w:rPr>
        <w:noBreakHyphen/>
        <w:t>7 es preservar la biodiversidad de importancia mundial en los paisajes terrestres y marinos. Para alcanzarlo, las inversiones del FMAM ayudan a los países a cumplir los tres objetivos identificados en las orientaciones de la COP</w:t>
      </w:r>
      <w:r w:rsidRPr="005B2641">
        <w:rPr>
          <w:sz w:val="24"/>
          <w:szCs w:val="24"/>
        </w:rPr>
        <w:noBreakHyphen/>
        <w:t>13 para el FMAM, de diciembre de 2016, presentadas en el marco cuatrienal de prioridades programáticas:</w:t>
      </w:r>
    </w:p>
    <w:p w14:paraId="6127EDFB" w14:textId="77777777" w:rsidR="005B2641" w:rsidRPr="005B2641" w:rsidRDefault="005B2641" w:rsidP="005B2641">
      <w:pPr>
        <w:numPr>
          <w:ilvl w:val="0"/>
          <w:numId w:val="8"/>
        </w:numPr>
        <w:spacing w:before="120" w:after="120" w:line="240" w:lineRule="auto"/>
        <w:ind w:left="1080"/>
        <w:rPr>
          <w:sz w:val="24"/>
          <w:szCs w:val="24"/>
        </w:rPr>
      </w:pPr>
      <w:r w:rsidRPr="005B2641">
        <w:rPr>
          <w:sz w:val="24"/>
          <w:szCs w:val="24"/>
        </w:rPr>
        <w:t>incorporar la biodiversidad en todos los sectores y en todos los paisajes terrestres y marinos;</w:t>
      </w:r>
    </w:p>
    <w:p w14:paraId="53E18FCC" w14:textId="77777777" w:rsidR="005B2641" w:rsidRPr="005B2641" w:rsidRDefault="005B2641" w:rsidP="005B2641">
      <w:pPr>
        <w:numPr>
          <w:ilvl w:val="0"/>
          <w:numId w:val="8"/>
        </w:numPr>
        <w:spacing w:before="120" w:after="120" w:line="240" w:lineRule="auto"/>
        <w:ind w:left="1080"/>
        <w:rPr>
          <w:sz w:val="24"/>
          <w:szCs w:val="24"/>
        </w:rPr>
      </w:pPr>
      <w:r w:rsidRPr="005B2641">
        <w:rPr>
          <w:sz w:val="24"/>
          <w:szCs w:val="24"/>
        </w:rPr>
        <w:t>abordar las causas directas para proteger los hábitats y las especies;</w:t>
      </w:r>
    </w:p>
    <w:p w14:paraId="0F56683E" w14:textId="77777777" w:rsidR="005B2641" w:rsidRPr="005B2641" w:rsidRDefault="005B2641" w:rsidP="005B2641">
      <w:pPr>
        <w:numPr>
          <w:ilvl w:val="0"/>
          <w:numId w:val="8"/>
        </w:numPr>
        <w:spacing w:before="120" w:after="120" w:line="240" w:lineRule="auto"/>
        <w:ind w:left="1080"/>
        <w:rPr>
          <w:sz w:val="24"/>
          <w:szCs w:val="24"/>
        </w:rPr>
      </w:pPr>
      <w:r w:rsidRPr="005B2641">
        <w:rPr>
          <w:sz w:val="24"/>
          <w:szCs w:val="24"/>
        </w:rPr>
        <w:t>seguir elaborando marcos normativos e institucionales en materia de biodiversidad.</w:t>
      </w:r>
    </w:p>
    <w:p w14:paraId="00E9D1EB" w14:textId="77777777" w:rsidR="005B2641" w:rsidRPr="005B2641" w:rsidRDefault="005B2641" w:rsidP="005B2641">
      <w:pPr>
        <w:pStyle w:val="Prrafodelista"/>
        <w:numPr>
          <w:ilvl w:val="0"/>
          <w:numId w:val="25"/>
        </w:numPr>
        <w:spacing w:before="240" w:after="240" w:line="240" w:lineRule="auto"/>
        <w:ind w:left="0" w:firstLine="0"/>
        <w:contextualSpacing w:val="0"/>
        <w:rPr>
          <w:sz w:val="24"/>
          <w:szCs w:val="24"/>
        </w:rPr>
      </w:pPr>
      <w:bookmarkStart w:id="8" w:name="_Toc476081881"/>
      <w:bookmarkStart w:id="9" w:name="_Toc476693266"/>
      <w:bookmarkEnd w:id="7"/>
      <w:r w:rsidRPr="005B2641">
        <w:rPr>
          <w:sz w:val="24"/>
          <w:szCs w:val="24"/>
        </w:rPr>
        <w:t>La estrategia del área focal de biodiversidad y las líneas de programación de las áreas focales, el Programa de Impacto sobre Sistemas Alimentarios, y Uso y Recuperación de la Tierra, el Programa de Impacto sobre Ciudades Sostenibles, el Programa de Impacto sobre Gestión Forestal Sostenible y las inversiones en el área focal de aguas internacionales contribuyen colectivamente a alcanzar el objetivo del FMAM-7 y los tres objetivos, tal como se observa en el cuadro 1, a continuación.</w:t>
      </w:r>
    </w:p>
    <w:p w14:paraId="2526CB1C" w14:textId="77777777" w:rsidR="005B2641" w:rsidRPr="005B2641" w:rsidRDefault="005B2641" w:rsidP="005B2641">
      <w:pPr>
        <w:spacing w:before="240" w:after="240" w:line="240" w:lineRule="auto"/>
        <w:jc w:val="center"/>
        <w:rPr>
          <w:b/>
          <w:iCs/>
          <w:sz w:val="24"/>
          <w:szCs w:val="24"/>
        </w:rPr>
      </w:pPr>
      <w:bookmarkStart w:id="10" w:name="_Toc492908736"/>
      <w:bookmarkStart w:id="11" w:name="_Toc492920107"/>
      <w:bookmarkStart w:id="12" w:name="_Toc492933764"/>
      <w:bookmarkStart w:id="13" w:name="_Toc492986461"/>
      <w:bookmarkStart w:id="14" w:name="_Toc492993869"/>
      <w:bookmarkStart w:id="15" w:name="_Toc492996654"/>
      <w:bookmarkStart w:id="16" w:name="_Toc492998810"/>
      <w:bookmarkStart w:id="17" w:name="_Toc492998980"/>
      <w:bookmarkStart w:id="18" w:name="_Toc493003965"/>
      <w:bookmarkStart w:id="19" w:name="_Toc501635652"/>
      <w:r w:rsidRPr="005B2641">
        <w:rPr>
          <w:b/>
          <w:iCs/>
          <w:sz w:val="24"/>
          <w:szCs w:val="24"/>
        </w:rPr>
        <w:t>Cuadro 1.</w:t>
      </w:r>
      <w:bookmarkEnd w:id="8"/>
      <w:bookmarkEnd w:id="9"/>
      <w:r w:rsidRPr="005B2641">
        <w:rPr>
          <w:b/>
          <w:iCs/>
          <w:sz w:val="24"/>
          <w:szCs w:val="24"/>
        </w:rPr>
        <w:t xml:space="preserve"> Orientaciones del CDB y el mecanismo de prestación en el FMAM-7</w:t>
      </w:r>
      <w:bookmarkEnd w:id="10"/>
      <w:bookmarkEnd w:id="11"/>
      <w:bookmarkEnd w:id="12"/>
      <w:bookmarkEnd w:id="13"/>
      <w:bookmarkEnd w:id="14"/>
      <w:bookmarkEnd w:id="15"/>
      <w:bookmarkEnd w:id="16"/>
      <w:bookmarkEnd w:id="17"/>
      <w:bookmarkEnd w:id="18"/>
      <w:bookmarkEnd w:id="19"/>
    </w:p>
    <w:tbl>
      <w:tblPr>
        <w:tblW w:w="9455" w:type="dxa"/>
        <w:jc w:val="center"/>
        <w:tblLayout w:type="fixed"/>
        <w:tblLook w:val="0000" w:firstRow="0" w:lastRow="0" w:firstColumn="0" w:lastColumn="0" w:noHBand="0" w:noVBand="0"/>
      </w:tblPr>
      <w:tblGrid>
        <w:gridCol w:w="4415"/>
        <w:gridCol w:w="5040"/>
      </w:tblGrid>
      <w:tr w:rsidR="005B2641" w:rsidRPr="005B2641" w14:paraId="4D77F48E" w14:textId="77777777" w:rsidTr="00952C91">
        <w:trPr>
          <w:tblHeader/>
          <w:jc w:val="center"/>
        </w:trPr>
        <w:tc>
          <w:tcPr>
            <w:tcW w:w="441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0" w:type="dxa"/>
              <w:bottom w:w="0" w:type="dxa"/>
              <w:right w:w="0" w:type="dxa"/>
            </w:tcMar>
            <w:vAlign w:val="center"/>
          </w:tcPr>
          <w:p w14:paraId="5C4AC77D" w14:textId="77777777" w:rsidR="005B2641" w:rsidRPr="005B2641" w:rsidRDefault="005B2641" w:rsidP="00952C91">
            <w:pPr>
              <w:ind w:left="288"/>
            </w:pPr>
            <w:r w:rsidRPr="005B2641">
              <w:rPr>
                <w:b/>
                <w:bCs/>
              </w:rPr>
              <w:t>Orientaciones de la COP</w:t>
            </w:r>
            <w:r w:rsidRPr="005B2641">
              <w:rPr>
                <w:b/>
                <w:bCs/>
              </w:rPr>
              <w:noBreakHyphen/>
              <w:t>13 del CDB: Marco cuatrienal de prioridades programáticas</w:t>
            </w:r>
          </w:p>
        </w:tc>
        <w:tc>
          <w:tcPr>
            <w:tcW w:w="504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3BD3F558" w14:textId="77777777" w:rsidR="005B2641" w:rsidRPr="005B2641" w:rsidRDefault="005B2641" w:rsidP="00952C91">
            <w:pPr>
              <w:ind w:left="288"/>
            </w:pPr>
            <w:r w:rsidRPr="005B2641">
              <w:rPr>
                <w:b/>
                <w:bCs/>
              </w:rPr>
              <w:t>Mecanismo de prestación</w:t>
            </w:r>
          </w:p>
        </w:tc>
      </w:tr>
      <w:tr w:rsidR="005B2641" w:rsidRPr="005B2641" w14:paraId="008F615D" w14:textId="77777777" w:rsidTr="00952C91">
        <w:trPr>
          <w:jc w:val="center"/>
        </w:trPr>
        <w:tc>
          <w:tcPr>
            <w:tcW w:w="4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DEDBF49" w14:textId="77777777" w:rsidR="005B2641" w:rsidRPr="005B2641" w:rsidRDefault="005B2641" w:rsidP="00952C91">
            <w:pPr>
              <w:ind w:left="288"/>
            </w:pPr>
            <w:r w:rsidRPr="005B2641">
              <w:rPr>
                <w:b/>
                <w:bCs/>
              </w:rPr>
              <w:t>I. Incorporar la biodiversidad en todos los sectores y en todos los paisajes terrestres y marinos</w:t>
            </w:r>
          </w:p>
          <w:p w14:paraId="74D002DF" w14:textId="77777777" w:rsidR="005B2641" w:rsidRPr="005B2641" w:rsidRDefault="005B2641" w:rsidP="00952C91">
            <w:pPr>
              <w:ind w:left="288"/>
            </w:pPr>
            <w:r w:rsidRPr="005B2641">
              <w:t>A) Mejorar las políticas y la toma de decisiones basándose en los valores de la biodiversidad y los ecosistemas</w:t>
            </w:r>
          </w:p>
          <w:p w14:paraId="6B0B1D6B" w14:textId="77777777" w:rsidR="005B2641" w:rsidRPr="005B2641" w:rsidRDefault="005B2641" w:rsidP="00952C91">
            <w:pPr>
              <w:ind w:left="288"/>
            </w:pPr>
            <w:r w:rsidRPr="005B2641">
              <w:t>B) Gestionar la biodiversidad en los paisajes terrestres y marinos</w:t>
            </w:r>
          </w:p>
          <w:p w14:paraId="24748E2E" w14:textId="77777777" w:rsidR="005B2641" w:rsidRPr="005B2641" w:rsidRDefault="005B2641" w:rsidP="00952C91">
            <w:pPr>
              <w:ind w:left="288"/>
            </w:pPr>
            <w:r w:rsidRPr="005B2641">
              <w:lastRenderedPageBreak/>
              <w:t>C) Aprovechar la biodiversidad para la agricultura sostenible</w:t>
            </w:r>
          </w:p>
        </w:tc>
        <w:tc>
          <w:tcPr>
            <w:tcW w:w="5040" w:type="dxa"/>
            <w:tcBorders>
              <w:top w:val="single" w:sz="4" w:space="0" w:color="000000"/>
              <w:left w:val="single" w:sz="4" w:space="0" w:color="000000"/>
              <w:bottom w:val="single" w:sz="4" w:space="0" w:color="000000"/>
              <w:right w:val="single" w:sz="4" w:space="0" w:color="000000"/>
            </w:tcBorders>
            <w:shd w:val="clear" w:color="auto" w:fill="FFFFFF"/>
          </w:tcPr>
          <w:p w14:paraId="267F3B60" w14:textId="77777777" w:rsidR="005B2641" w:rsidRPr="005B2641" w:rsidRDefault="005B2641" w:rsidP="00952C91">
            <w:pPr>
              <w:ind w:left="288"/>
            </w:pPr>
            <w:r w:rsidRPr="005B2641">
              <w:rPr>
                <w:b/>
                <w:bCs/>
              </w:rPr>
              <w:lastRenderedPageBreak/>
              <w:t>Inversiones en el área focal de biodiversidad y líneas de programación</w:t>
            </w:r>
          </w:p>
          <w:p w14:paraId="7A15A258" w14:textId="77777777" w:rsidR="005B2641" w:rsidRPr="005B2641" w:rsidRDefault="005B2641" w:rsidP="00952C91">
            <w:pPr>
              <w:ind w:left="288"/>
            </w:pPr>
            <w:r w:rsidRPr="005B2641">
              <w:t>Incorporación de la biodiversidad en los sectores prioritarios</w:t>
            </w:r>
          </w:p>
          <w:p w14:paraId="2B020D52" w14:textId="77777777" w:rsidR="005B2641" w:rsidRPr="005B2641" w:rsidRDefault="005B2641" w:rsidP="00952C91">
            <w:pPr>
              <w:ind w:left="288"/>
            </w:pPr>
            <w:r w:rsidRPr="005B2641">
              <w:t>Programa Mundial sobre Vida Silvestre (para evitar la extinción de especies amenazadas conocidas, y de la vida silvestre necesaria para el desarrollo sostenible)</w:t>
            </w:r>
          </w:p>
          <w:p w14:paraId="08C5C64E" w14:textId="77777777" w:rsidR="005B2641" w:rsidRPr="005B2641" w:rsidRDefault="005B2641" w:rsidP="00952C91">
            <w:pPr>
              <w:ind w:left="288"/>
            </w:pPr>
            <w:r w:rsidRPr="005B2641">
              <w:lastRenderedPageBreak/>
              <w:t>Evaluación y contabilidad del capital natural</w:t>
            </w:r>
          </w:p>
          <w:p w14:paraId="265544B3" w14:textId="77777777" w:rsidR="005B2641" w:rsidRPr="005B2641" w:rsidRDefault="005B2641" w:rsidP="00952C91">
            <w:pPr>
              <w:ind w:left="288"/>
            </w:pPr>
            <w:r w:rsidRPr="005B2641">
              <w:t>Uso sostenible de los recursos fitogenéticos y zoogenéticos</w:t>
            </w:r>
          </w:p>
          <w:p w14:paraId="303960DE" w14:textId="77777777" w:rsidR="005B2641" w:rsidRPr="005B2641" w:rsidRDefault="005B2641" w:rsidP="00952C91">
            <w:pPr>
              <w:ind w:left="288"/>
            </w:pPr>
            <w:r w:rsidRPr="005B2641">
              <w:t>Conservación inclusiva</w:t>
            </w:r>
          </w:p>
          <w:p w14:paraId="2445F653" w14:textId="77777777" w:rsidR="005B2641" w:rsidRPr="005B2641" w:rsidRDefault="005B2641" w:rsidP="00952C91">
            <w:pPr>
              <w:ind w:left="288"/>
            </w:pPr>
            <w:r w:rsidRPr="005B2641">
              <w:rPr>
                <w:b/>
                <w:bCs/>
              </w:rPr>
              <w:t>Programas de impacto</w:t>
            </w:r>
          </w:p>
          <w:p w14:paraId="2B07812E" w14:textId="77777777" w:rsidR="005B2641" w:rsidRPr="005B2641" w:rsidRDefault="005B2641" w:rsidP="00952C91">
            <w:pPr>
              <w:ind w:left="288"/>
            </w:pPr>
            <w:r w:rsidRPr="005B2641">
              <w:t>Programa de Impacto sobre Sistemas Alimentarios, y Uso y Recuperación de la Tierra</w:t>
            </w:r>
          </w:p>
          <w:p w14:paraId="59F38FEF" w14:textId="77777777" w:rsidR="005B2641" w:rsidRPr="005B2641" w:rsidRDefault="005B2641" w:rsidP="00952C91">
            <w:pPr>
              <w:ind w:left="288"/>
            </w:pPr>
            <w:r w:rsidRPr="005B2641">
              <w:t>Programa de Impacto sobre Ciudades Sostenibles</w:t>
            </w:r>
          </w:p>
          <w:p w14:paraId="6FE5B5F0" w14:textId="77777777" w:rsidR="005B2641" w:rsidRPr="005B2641" w:rsidRDefault="005B2641" w:rsidP="00952C91">
            <w:pPr>
              <w:ind w:left="288"/>
            </w:pPr>
            <w:r w:rsidRPr="005B2641">
              <w:t>Programa de Impacto sobre Gestión Forestal Sostenible (Amazonas, Cuenca del Congo, Paisajes Sostenibles en las Tierras Secas)</w:t>
            </w:r>
          </w:p>
          <w:p w14:paraId="5A81AA87" w14:textId="77777777" w:rsidR="005B2641" w:rsidRPr="005B2641" w:rsidRDefault="005B2641" w:rsidP="00952C91">
            <w:pPr>
              <w:ind w:left="288"/>
            </w:pPr>
            <w:r w:rsidRPr="005B2641">
              <w:rPr>
                <w:b/>
                <w:bCs/>
              </w:rPr>
              <w:t>Otras áreas focales</w:t>
            </w:r>
          </w:p>
          <w:p w14:paraId="3B77DE13" w14:textId="77777777" w:rsidR="005B2641" w:rsidRPr="005B2641" w:rsidRDefault="005B2641" w:rsidP="00952C91">
            <w:pPr>
              <w:ind w:left="288"/>
            </w:pPr>
            <w:r w:rsidRPr="005B2641">
              <w:t>Aguas internacionales/pesquerías sostenibles</w:t>
            </w:r>
          </w:p>
        </w:tc>
      </w:tr>
      <w:tr w:rsidR="005B2641" w:rsidRPr="005B2641" w14:paraId="400A9230" w14:textId="77777777" w:rsidTr="00952C91">
        <w:trPr>
          <w:jc w:val="center"/>
        </w:trPr>
        <w:tc>
          <w:tcPr>
            <w:tcW w:w="4415" w:type="dxa"/>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14:paraId="1796D3D3" w14:textId="77777777" w:rsidR="005B2641" w:rsidRPr="005B2641" w:rsidRDefault="005B2641" w:rsidP="00952C91">
            <w:pPr>
              <w:ind w:left="288"/>
              <w:rPr>
                <w:b/>
                <w:bCs/>
              </w:rPr>
            </w:pPr>
            <w:r w:rsidRPr="005B2641">
              <w:rPr>
                <w:b/>
                <w:bCs/>
              </w:rPr>
              <w:lastRenderedPageBreak/>
              <w:t xml:space="preserve">II. Abordar las causas directas para proteger los hábitats y las especies </w:t>
            </w:r>
          </w:p>
          <w:p w14:paraId="1049117C" w14:textId="77777777" w:rsidR="005B2641" w:rsidRPr="005B2641" w:rsidRDefault="005B2641" w:rsidP="00952C91">
            <w:pPr>
              <w:ind w:left="288"/>
            </w:pPr>
            <w:r w:rsidRPr="005B2641">
              <w:t>D) Prevenir y controlar las especies exóticas invasivas</w:t>
            </w:r>
          </w:p>
          <w:p w14:paraId="5E307A21" w14:textId="77777777" w:rsidR="005B2641" w:rsidRPr="005B2641" w:rsidRDefault="005B2641" w:rsidP="00952C91">
            <w:pPr>
              <w:ind w:left="288"/>
            </w:pPr>
            <w:r w:rsidRPr="005B2641">
              <w:t>E) Reducir las presiones sobre los arrecifes de coral y otros ecosistemas costeros y marinos vulnerables</w:t>
            </w:r>
          </w:p>
          <w:p w14:paraId="04CA2F67" w14:textId="77777777" w:rsidR="005B2641" w:rsidRPr="005B2641" w:rsidRDefault="005B2641" w:rsidP="00952C91">
            <w:pPr>
              <w:ind w:left="288"/>
            </w:pPr>
            <w:r w:rsidRPr="005B2641">
              <w:t>F) Mejorar la eficacia de los sistemas de zonas protegidas</w:t>
            </w:r>
          </w:p>
          <w:p w14:paraId="5B893152" w14:textId="77777777" w:rsidR="005B2641" w:rsidRPr="005B2641" w:rsidRDefault="005B2641" w:rsidP="00952C91">
            <w:pPr>
              <w:ind w:left="288"/>
            </w:pPr>
            <w:r w:rsidRPr="005B2641">
              <w:t>G) Combatir el uso ilegal e insostenible de especies, prestando especial atención a las especies amenazadas</w:t>
            </w:r>
          </w:p>
        </w:tc>
        <w:tc>
          <w:tcPr>
            <w:tcW w:w="5040" w:type="dxa"/>
            <w:tcBorders>
              <w:top w:val="single" w:sz="4" w:space="0" w:color="000000"/>
              <w:left w:val="single" w:sz="4" w:space="0" w:color="000000"/>
              <w:bottom w:val="single" w:sz="4" w:space="0" w:color="auto"/>
              <w:right w:val="single" w:sz="4" w:space="0" w:color="000000"/>
            </w:tcBorders>
            <w:shd w:val="clear" w:color="auto" w:fill="FFFFFF"/>
          </w:tcPr>
          <w:p w14:paraId="39360BC1" w14:textId="77777777" w:rsidR="005B2641" w:rsidRPr="005B2641" w:rsidRDefault="005B2641" w:rsidP="00952C91">
            <w:pPr>
              <w:ind w:left="144"/>
            </w:pPr>
            <w:r w:rsidRPr="005B2641">
              <w:rPr>
                <w:b/>
                <w:bCs/>
              </w:rPr>
              <w:t>Inversiones en el área focal de biodiversidad y líneas de programación</w:t>
            </w:r>
          </w:p>
          <w:p w14:paraId="696DB358" w14:textId="77777777" w:rsidR="005B2641" w:rsidRPr="005B2641" w:rsidRDefault="005B2641" w:rsidP="00952C91">
            <w:pPr>
              <w:ind w:left="144"/>
            </w:pPr>
            <w:r w:rsidRPr="005B2641">
              <w:t>Prevención, control y gestión de las especies exóticas invasivas (con especial atención a las islas)</w:t>
            </w:r>
          </w:p>
          <w:p w14:paraId="308614B5" w14:textId="77777777" w:rsidR="005B2641" w:rsidRPr="005B2641" w:rsidRDefault="005B2641" w:rsidP="00952C91">
            <w:pPr>
              <w:ind w:left="144"/>
            </w:pPr>
            <w:r w:rsidRPr="005B2641">
              <w:t>Mejoramiento de la sostenibilidad financiera, la gestión eficaz y la cobertura por ecosistema del patrimonio mundial de zonas protegidas</w:t>
            </w:r>
          </w:p>
          <w:p w14:paraId="22D52026" w14:textId="77777777" w:rsidR="005B2641" w:rsidRPr="005B2641" w:rsidRDefault="005B2641" w:rsidP="00952C91">
            <w:pPr>
              <w:ind w:left="144"/>
            </w:pPr>
            <w:r w:rsidRPr="005B2641">
              <w:rPr>
                <w:b/>
                <w:bCs/>
              </w:rPr>
              <w:t>Otras áreas focales</w:t>
            </w:r>
          </w:p>
          <w:p w14:paraId="653F14B7" w14:textId="77777777" w:rsidR="005B2641" w:rsidRPr="005B2641" w:rsidRDefault="005B2641" w:rsidP="00952C91">
            <w:pPr>
              <w:ind w:left="144"/>
            </w:pPr>
            <w:r w:rsidRPr="005B2641">
              <w:t>Aguas internacionales/áreas protegidas costeras y marinas</w:t>
            </w:r>
          </w:p>
        </w:tc>
      </w:tr>
      <w:tr w:rsidR="005B2641" w:rsidRPr="005B2641" w14:paraId="58922C48" w14:textId="77777777" w:rsidTr="00952C91">
        <w:trPr>
          <w:jc w:val="center"/>
        </w:trPr>
        <w:tc>
          <w:tcPr>
            <w:tcW w:w="4415" w:type="dxa"/>
            <w:tcBorders>
              <w:top w:val="single" w:sz="4" w:space="0" w:color="auto"/>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970FE1" w14:textId="77777777" w:rsidR="005B2641" w:rsidRPr="005B2641" w:rsidRDefault="005B2641" w:rsidP="00952C91">
            <w:pPr>
              <w:ind w:left="288"/>
            </w:pPr>
            <w:r w:rsidRPr="005B2641">
              <w:rPr>
                <w:b/>
                <w:bCs/>
              </w:rPr>
              <w:t>III. Seguir elaborando el marco normativo e institucional en materia de biodiversidad</w:t>
            </w:r>
          </w:p>
          <w:p w14:paraId="6E491FC6" w14:textId="77777777" w:rsidR="005B2641" w:rsidRPr="005B2641" w:rsidRDefault="005B2641" w:rsidP="00952C91">
            <w:pPr>
              <w:ind w:left="288"/>
            </w:pPr>
            <w:r w:rsidRPr="005B2641">
              <w:t>H) Aplicar el Protocolo de Cartagena sobre Seguridad de la Biotecnología</w:t>
            </w:r>
          </w:p>
          <w:p w14:paraId="0654E4A5" w14:textId="77777777" w:rsidR="005B2641" w:rsidRPr="005B2641" w:rsidRDefault="005B2641" w:rsidP="00952C91">
            <w:pPr>
              <w:ind w:left="288"/>
            </w:pPr>
            <w:r w:rsidRPr="005B2641">
              <w:t>I) Aplicar el Protocolo de Nagoya sobre Acceso a los Recursos Genéticos y Participación en los Beneficios</w:t>
            </w:r>
          </w:p>
          <w:p w14:paraId="01D44F35" w14:textId="77777777" w:rsidR="005B2641" w:rsidRPr="005B2641" w:rsidRDefault="005B2641" w:rsidP="00952C91">
            <w:pPr>
              <w:ind w:left="288"/>
            </w:pPr>
            <w:r w:rsidRPr="005B2641">
              <w:lastRenderedPageBreak/>
              <w:t>J) Mejorar las políticas, la planificación y los exámenes en materia de biodiversidad</w:t>
            </w:r>
          </w:p>
        </w:tc>
        <w:tc>
          <w:tcPr>
            <w:tcW w:w="5040" w:type="dxa"/>
            <w:tcBorders>
              <w:top w:val="single" w:sz="4" w:space="0" w:color="auto"/>
              <w:left w:val="single" w:sz="4" w:space="0" w:color="000000"/>
              <w:bottom w:val="single" w:sz="4" w:space="0" w:color="000000"/>
              <w:right w:val="single" w:sz="4" w:space="0" w:color="000000"/>
            </w:tcBorders>
            <w:shd w:val="clear" w:color="auto" w:fill="auto"/>
          </w:tcPr>
          <w:p w14:paraId="48EF5FBF" w14:textId="77777777" w:rsidR="005B2641" w:rsidRPr="005B2641" w:rsidRDefault="005B2641" w:rsidP="00952C91">
            <w:pPr>
              <w:ind w:left="288"/>
            </w:pPr>
            <w:r w:rsidRPr="005B2641">
              <w:rPr>
                <w:b/>
                <w:bCs/>
              </w:rPr>
              <w:lastRenderedPageBreak/>
              <w:t>Inversiones en el área focal de biodiversidad y líneas de programación</w:t>
            </w:r>
          </w:p>
          <w:p w14:paraId="223904C6" w14:textId="77777777" w:rsidR="005B2641" w:rsidRPr="005B2641" w:rsidRDefault="005B2641" w:rsidP="00952C91">
            <w:pPr>
              <w:ind w:left="288"/>
            </w:pPr>
            <w:r w:rsidRPr="005B2641">
              <w:t xml:space="preserve">Aplicación del Protocolo de Cartagena sobre Seguridad de la Biotecnología </w:t>
            </w:r>
          </w:p>
          <w:p w14:paraId="0078D702" w14:textId="77777777" w:rsidR="005B2641" w:rsidRPr="005B2641" w:rsidRDefault="005B2641" w:rsidP="00952C91">
            <w:pPr>
              <w:ind w:left="288"/>
            </w:pPr>
            <w:r w:rsidRPr="005B2641">
              <w:t>Aplicación del Protocolo de Nagoya sobre Acceso y Participación en los Beneficios</w:t>
            </w:r>
          </w:p>
          <w:p w14:paraId="36DD083F" w14:textId="77777777" w:rsidR="005B2641" w:rsidRPr="005B2641" w:rsidRDefault="005B2641" w:rsidP="00952C91">
            <w:pPr>
              <w:ind w:left="288"/>
            </w:pPr>
            <w:r w:rsidRPr="005B2641">
              <w:lastRenderedPageBreak/>
              <w:t>Respaldo a la presentación de informes nacionales y la elaboración de estrategias y planes de acción nacionales en materia de diversidad biológica</w:t>
            </w:r>
          </w:p>
        </w:tc>
      </w:tr>
    </w:tbl>
    <w:p w14:paraId="7AB9B1D3" w14:textId="77777777" w:rsidR="005B2641" w:rsidRPr="005B2641" w:rsidRDefault="005B2641" w:rsidP="005B2641">
      <w:pPr>
        <w:ind w:left="720"/>
        <w:rPr>
          <w:b/>
          <w:sz w:val="24"/>
          <w:szCs w:val="24"/>
        </w:rPr>
      </w:pPr>
    </w:p>
    <w:p w14:paraId="40E7EC87" w14:textId="77777777" w:rsidR="005B2641" w:rsidRPr="005B2641" w:rsidRDefault="005B2641" w:rsidP="005B2641">
      <w:pPr>
        <w:pStyle w:val="Ttulo2"/>
      </w:pPr>
      <w:bookmarkStart w:id="20" w:name="_Toc35815685"/>
      <w:r w:rsidRPr="005B2641">
        <w:t>Programación para el FMAM-7</w:t>
      </w:r>
      <w:bookmarkEnd w:id="20"/>
    </w:p>
    <w:p w14:paraId="1C69E112" w14:textId="77777777" w:rsidR="005B2641" w:rsidRPr="005B2641" w:rsidRDefault="005B2641" w:rsidP="005B2641">
      <w:pPr>
        <w:pStyle w:val="Prrafodelista"/>
        <w:numPr>
          <w:ilvl w:val="0"/>
          <w:numId w:val="25"/>
        </w:numPr>
        <w:spacing w:before="240" w:after="240" w:line="240" w:lineRule="auto"/>
        <w:ind w:left="0" w:firstLine="0"/>
        <w:contextualSpacing w:val="0"/>
        <w:rPr>
          <w:sz w:val="24"/>
          <w:szCs w:val="24"/>
        </w:rPr>
      </w:pPr>
      <w:r w:rsidRPr="005B2641">
        <w:rPr>
          <w:sz w:val="24"/>
          <w:szCs w:val="24"/>
        </w:rPr>
        <w:t>Para el FMAM</w:t>
      </w:r>
      <w:r w:rsidRPr="005B2641">
        <w:rPr>
          <w:sz w:val="24"/>
          <w:szCs w:val="24"/>
        </w:rPr>
        <w:noBreakHyphen/>
        <w:t>7, se ha asignado un total de USD 1292 millones al área focal de biodiversidad, de los cuales USD 1031 millones se proporcionan a los países a través del Sistema para la Asignación Transparente de los Recursos (SATR).</w:t>
      </w:r>
    </w:p>
    <w:p w14:paraId="24EC23D7" w14:textId="77777777" w:rsidR="005B2641" w:rsidRPr="005B2641" w:rsidRDefault="005B2641" w:rsidP="005B2641">
      <w:pPr>
        <w:pStyle w:val="Prrafodelista"/>
        <w:numPr>
          <w:ilvl w:val="0"/>
          <w:numId w:val="25"/>
        </w:numPr>
        <w:spacing w:before="240" w:after="240" w:line="240" w:lineRule="auto"/>
        <w:ind w:left="0" w:firstLine="0"/>
        <w:contextualSpacing w:val="0"/>
        <w:rPr>
          <w:bCs/>
          <w:sz w:val="24"/>
          <w:szCs w:val="24"/>
        </w:rPr>
      </w:pPr>
      <w:r w:rsidRPr="005B2641">
        <w:rPr>
          <w:bCs/>
          <w:sz w:val="24"/>
          <w:szCs w:val="24"/>
        </w:rPr>
        <w:t>En el cuadro 2 a continuación se incluye un resumen del uso de los recursos provenientes del área focal de biodiversidad desde el 1 de julio de 2018, fecha de inicio del FMAM-7, hasta el 31 de diciembre de 2019.</w:t>
      </w:r>
    </w:p>
    <w:p w14:paraId="1227C0B5" w14:textId="77777777" w:rsidR="005B2641" w:rsidRPr="005B2641" w:rsidRDefault="005B2641" w:rsidP="005B2641">
      <w:pPr>
        <w:pStyle w:val="Prrafodelista"/>
        <w:numPr>
          <w:ilvl w:val="0"/>
          <w:numId w:val="25"/>
        </w:numPr>
        <w:spacing w:before="240" w:after="240" w:line="240" w:lineRule="auto"/>
        <w:ind w:left="0" w:firstLine="0"/>
        <w:contextualSpacing w:val="0"/>
        <w:rPr>
          <w:sz w:val="24"/>
          <w:szCs w:val="24"/>
        </w:rPr>
      </w:pPr>
      <w:r w:rsidRPr="005B2641">
        <w:rPr>
          <w:sz w:val="24"/>
          <w:szCs w:val="24"/>
        </w:rPr>
        <w:t>Al 31 de diciembre de 2019, se han programado USD 468 millones (45 %) del total de recursos para la biodiversidad destinados a los países a través del SATR durante el período del FMAM</w:t>
      </w:r>
      <w:r w:rsidRPr="005B2641">
        <w:rPr>
          <w:sz w:val="24"/>
          <w:szCs w:val="24"/>
        </w:rPr>
        <w:noBreakHyphen/>
        <w:t>7.</w:t>
      </w:r>
    </w:p>
    <w:p w14:paraId="1A188BD0" w14:textId="77777777" w:rsidR="005B2641" w:rsidRPr="005B2641" w:rsidRDefault="005B2641" w:rsidP="005B2641">
      <w:pPr>
        <w:pStyle w:val="Prrafodelista"/>
        <w:numPr>
          <w:ilvl w:val="0"/>
          <w:numId w:val="25"/>
        </w:numPr>
        <w:spacing w:before="240" w:after="240" w:line="240" w:lineRule="auto"/>
        <w:ind w:left="0" w:firstLine="0"/>
        <w:contextualSpacing w:val="0"/>
        <w:rPr>
          <w:sz w:val="24"/>
          <w:szCs w:val="24"/>
        </w:rPr>
      </w:pPr>
      <w:r w:rsidRPr="005B2641">
        <w:rPr>
          <w:sz w:val="24"/>
          <w:szCs w:val="24"/>
        </w:rPr>
        <w:t>El monto total de los recursos que el FMAM programó para el área focal de biodiversidad fue de USD 638 millones, lo que equivale al 49 % del total de los recursos del FMAM-7 destinados a ese fin.</w:t>
      </w:r>
    </w:p>
    <w:p w14:paraId="3AB87CE9" w14:textId="77777777" w:rsidR="005B2641" w:rsidRPr="005B2641" w:rsidRDefault="005B2641" w:rsidP="005B2641">
      <w:pPr>
        <w:pStyle w:val="Prrafodelista"/>
        <w:numPr>
          <w:ilvl w:val="0"/>
          <w:numId w:val="25"/>
        </w:numPr>
        <w:spacing w:before="240" w:after="240" w:line="240" w:lineRule="auto"/>
        <w:ind w:left="0" w:firstLine="0"/>
        <w:contextualSpacing w:val="0"/>
        <w:rPr>
          <w:sz w:val="24"/>
          <w:szCs w:val="24"/>
        </w:rPr>
      </w:pPr>
      <w:r w:rsidRPr="005B2641">
        <w:rPr>
          <w:sz w:val="24"/>
          <w:szCs w:val="24"/>
        </w:rPr>
        <w:t>Con estos recursos se respaldaron 38 proyectos del área focal de biodiversidad y 99 proyectos que abarcan varias áreas focales. En seis enfoques programáticos, incluidos los programas de impacto, se han incluido 75 de esos proyectos. Estas inversiones han beneficiado a 83 países. Estas cifras incluyen las cuotas de los organismos y las donaciones para la preparación de proyectos (DPP).</w:t>
      </w:r>
    </w:p>
    <w:p w14:paraId="529CC206" w14:textId="77777777" w:rsidR="005B2641" w:rsidRPr="005B2641" w:rsidRDefault="005B2641" w:rsidP="005B2641">
      <w:pPr>
        <w:keepNext/>
        <w:keepLines/>
        <w:spacing w:before="240" w:after="0" w:line="240" w:lineRule="auto"/>
        <w:jc w:val="center"/>
        <w:rPr>
          <w:b/>
          <w:sz w:val="24"/>
          <w:szCs w:val="24"/>
        </w:rPr>
      </w:pPr>
      <w:r w:rsidRPr="005B2641">
        <w:rPr>
          <w:b/>
          <w:sz w:val="24"/>
          <w:szCs w:val="24"/>
        </w:rPr>
        <w:lastRenderedPageBreak/>
        <w:t>Cuadro 2. Resumen de la programación de los recursos del área focal de biodiversidad en el FMAM-7 (del 1 de julio de 2018 al 31 de diciembre de 2019)</w:t>
      </w:r>
      <w:r w:rsidRPr="005B2641">
        <w:rPr>
          <w:sz w:val="24"/>
          <w:szCs w:val="24"/>
          <w:vertAlign w:val="superscript"/>
        </w:rPr>
        <w:footnoteReference w:id="6"/>
      </w:r>
    </w:p>
    <w:tbl>
      <w:tblPr>
        <w:tblW w:w="10004" w:type="dxa"/>
        <w:tblBorders>
          <w:top w:val="single" w:sz="12" w:space="0" w:color="008000"/>
          <w:bottom w:val="single" w:sz="12" w:space="0" w:color="008000"/>
        </w:tblBorders>
        <w:tblLayout w:type="fixed"/>
        <w:tblLook w:val="01E0" w:firstRow="1" w:lastRow="1" w:firstColumn="1" w:lastColumn="1" w:noHBand="0" w:noVBand="0"/>
      </w:tblPr>
      <w:tblGrid>
        <w:gridCol w:w="4519"/>
        <w:gridCol w:w="1710"/>
        <w:gridCol w:w="1800"/>
        <w:gridCol w:w="1975"/>
      </w:tblGrid>
      <w:tr w:rsidR="005B2641" w:rsidRPr="005B2641" w14:paraId="25102B3F" w14:textId="77777777" w:rsidTr="00952C91">
        <w:trPr>
          <w:trHeight w:val="432"/>
        </w:trPr>
        <w:tc>
          <w:tcPr>
            <w:tcW w:w="4519" w:type="dxa"/>
            <w:tcBorders>
              <w:bottom w:val="single" w:sz="6" w:space="0" w:color="008000"/>
            </w:tcBorders>
            <w:shd w:val="clear" w:color="auto" w:fill="auto"/>
          </w:tcPr>
          <w:p w14:paraId="62CC2FAD" w14:textId="77777777" w:rsidR="005B2641" w:rsidRPr="005B2641" w:rsidRDefault="005B2641" w:rsidP="00952C91">
            <w:pPr>
              <w:keepNext/>
              <w:keepLines/>
              <w:spacing w:after="120" w:line="240" w:lineRule="auto"/>
              <w:rPr>
                <w:rFonts w:cstheme="minorHAnsi"/>
                <w:b/>
                <w:bCs/>
              </w:rPr>
            </w:pPr>
          </w:p>
          <w:p w14:paraId="4E4DF556" w14:textId="77777777" w:rsidR="005B2641" w:rsidRPr="005B2641" w:rsidRDefault="005B2641" w:rsidP="00952C91">
            <w:pPr>
              <w:keepNext/>
              <w:keepLines/>
              <w:spacing w:after="120" w:line="240" w:lineRule="auto"/>
              <w:rPr>
                <w:rFonts w:cstheme="minorHAnsi"/>
                <w:b/>
              </w:rPr>
            </w:pPr>
            <w:r w:rsidRPr="005B2641">
              <w:rPr>
                <w:b/>
              </w:rPr>
              <w:t>Área focal de biodiversidad</w:t>
            </w:r>
          </w:p>
        </w:tc>
        <w:tc>
          <w:tcPr>
            <w:tcW w:w="1710" w:type="dxa"/>
            <w:tcBorders>
              <w:bottom w:val="single" w:sz="6" w:space="0" w:color="008000"/>
            </w:tcBorders>
            <w:shd w:val="clear" w:color="auto" w:fill="auto"/>
          </w:tcPr>
          <w:p w14:paraId="1FC9B6E4" w14:textId="77777777" w:rsidR="005B2641" w:rsidRPr="005B2641" w:rsidRDefault="005B2641" w:rsidP="00952C91">
            <w:pPr>
              <w:keepNext/>
              <w:keepLines/>
              <w:spacing w:after="120" w:line="240" w:lineRule="auto"/>
              <w:rPr>
                <w:rFonts w:cstheme="minorHAnsi"/>
                <w:b/>
              </w:rPr>
            </w:pPr>
            <w:r w:rsidRPr="005B2641">
              <w:rPr>
                <w:b/>
              </w:rPr>
              <w:t>FMAM-7</w:t>
            </w:r>
          </w:p>
          <w:p w14:paraId="187A09B8" w14:textId="77777777" w:rsidR="005B2641" w:rsidRPr="005B2641" w:rsidRDefault="005B2641" w:rsidP="00952C91">
            <w:pPr>
              <w:keepNext/>
              <w:keepLines/>
              <w:spacing w:after="120" w:line="240" w:lineRule="auto"/>
              <w:rPr>
                <w:rFonts w:cstheme="minorHAnsi"/>
                <w:b/>
              </w:rPr>
            </w:pPr>
            <w:r w:rsidRPr="005B2641">
              <w:rPr>
                <w:b/>
              </w:rPr>
              <w:t>Metas de la programación</w:t>
            </w:r>
          </w:p>
          <w:p w14:paraId="1CD396DC" w14:textId="77777777" w:rsidR="005B2641" w:rsidRPr="005B2641" w:rsidRDefault="005B2641" w:rsidP="00952C91">
            <w:pPr>
              <w:keepNext/>
              <w:keepLines/>
              <w:spacing w:after="120" w:line="240" w:lineRule="auto"/>
              <w:rPr>
                <w:rFonts w:cstheme="minorHAnsi"/>
                <w:b/>
              </w:rPr>
            </w:pPr>
            <w:r w:rsidRPr="005B2641">
              <w:rPr>
                <w:b/>
              </w:rPr>
              <w:t>(en millones de USD)</w:t>
            </w:r>
          </w:p>
        </w:tc>
        <w:tc>
          <w:tcPr>
            <w:tcW w:w="1800" w:type="dxa"/>
            <w:tcBorders>
              <w:bottom w:val="single" w:sz="6" w:space="0" w:color="008000"/>
            </w:tcBorders>
            <w:shd w:val="clear" w:color="auto" w:fill="auto"/>
          </w:tcPr>
          <w:p w14:paraId="7C4F468B" w14:textId="77777777" w:rsidR="005B2641" w:rsidRPr="005B2641" w:rsidRDefault="005B2641" w:rsidP="00952C91">
            <w:pPr>
              <w:keepNext/>
              <w:keepLines/>
              <w:spacing w:after="120" w:line="240" w:lineRule="auto"/>
              <w:rPr>
                <w:rFonts w:cstheme="minorHAnsi"/>
                <w:b/>
              </w:rPr>
            </w:pPr>
            <w:r w:rsidRPr="005B2641">
              <w:rPr>
                <w:b/>
              </w:rPr>
              <w:t>FMAM-7</w:t>
            </w:r>
          </w:p>
          <w:p w14:paraId="08522D6C" w14:textId="77777777" w:rsidR="005B2641" w:rsidRPr="005B2641" w:rsidRDefault="005B2641" w:rsidP="00952C91">
            <w:pPr>
              <w:keepNext/>
              <w:keepLines/>
              <w:spacing w:after="120" w:line="240" w:lineRule="auto"/>
              <w:rPr>
                <w:rFonts w:cstheme="minorHAnsi"/>
                <w:b/>
              </w:rPr>
            </w:pPr>
            <w:r w:rsidRPr="005B2641">
              <w:rPr>
                <w:b/>
              </w:rPr>
              <w:t xml:space="preserve">Programación </w:t>
            </w:r>
          </w:p>
          <w:p w14:paraId="53A54380" w14:textId="77777777" w:rsidR="005B2641" w:rsidRPr="005B2641" w:rsidRDefault="005B2641" w:rsidP="00952C91">
            <w:pPr>
              <w:keepNext/>
              <w:keepLines/>
              <w:spacing w:after="120" w:line="240" w:lineRule="auto"/>
              <w:rPr>
                <w:rFonts w:cstheme="minorHAnsi"/>
                <w:b/>
              </w:rPr>
            </w:pPr>
            <w:r w:rsidRPr="005B2641">
              <w:rPr>
                <w:b/>
              </w:rPr>
              <w:t>(en millones de USD)</w:t>
            </w:r>
          </w:p>
        </w:tc>
        <w:tc>
          <w:tcPr>
            <w:tcW w:w="1975" w:type="dxa"/>
            <w:tcBorders>
              <w:bottom w:val="single" w:sz="6" w:space="0" w:color="008000"/>
            </w:tcBorders>
            <w:shd w:val="clear" w:color="auto" w:fill="auto"/>
          </w:tcPr>
          <w:p w14:paraId="061B7958" w14:textId="77777777" w:rsidR="005B2641" w:rsidRPr="005B2641" w:rsidRDefault="005B2641" w:rsidP="00952C91">
            <w:pPr>
              <w:keepNext/>
              <w:keepLines/>
              <w:spacing w:after="120" w:line="240" w:lineRule="auto"/>
              <w:rPr>
                <w:rFonts w:cstheme="minorHAnsi"/>
                <w:b/>
              </w:rPr>
            </w:pPr>
            <w:r w:rsidRPr="005B2641">
              <w:rPr>
                <w:b/>
              </w:rPr>
              <w:t>FMAM-7</w:t>
            </w:r>
          </w:p>
          <w:p w14:paraId="670AD166" w14:textId="77777777" w:rsidR="005B2641" w:rsidRPr="005B2641" w:rsidRDefault="005B2641" w:rsidP="00952C91">
            <w:pPr>
              <w:keepNext/>
              <w:keepLines/>
              <w:spacing w:after="120" w:line="240" w:lineRule="auto"/>
              <w:rPr>
                <w:rFonts w:cstheme="minorHAnsi"/>
                <w:b/>
              </w:rPr>
            </w:pPr>
            <w:r w:rsidRPr="005B2641">
              <w:rPr>
                <w:b/>
              </w:rPr>
              <w:t>Programación (%)</w:t>
            </w:r>
          </w:p>
        </w:tc>
      </w:tr>
      <w:tr w:rsidR="005B2641" w:rsidRPr="005B2641" w14:paraId="01E710A5" w14:textId="77777777" w:rsidTr="00952C91">
        <w:trPr>
          <w:trHeight w:val="432"/>
        </w:trPr>
        <w:tc>
          <w:tcPr>
            <w:tcW w:w="4519" w:type="dxa"/>
            <w:shd w:val="clear" w:color="auto" w:fill="auto"/>
          </w:tcPr>
          <w:p w14:paraId="7857C6A8" w14:textId="77777777" w:rsidR="005B2641" w:rsidRPr="005B2641" w:rsidRDefault="005B2641" w:rsidP="00952C91">
            <w:pPr>
              <w:keepNext/>
              <w:keepLines/>
              <w:spacing w:line="240" w:lineRule="auto"/>
              <w:rPr>
                <w:rFonts w:cstheme="minorHAnsi"/>
                <w:i/>
              </w:rPr>
            </w:pPr>
            <w:r w:rsidRPr="005B2641">
              <w:rPr>
                <w:i/>
              </w:rPr>
              <w:t xml:space="preserve">Asignaciones a los países en el marco del SATR </w:t>
            </w:r>
          </w:p>
        </w:tc>
        <w:tc>
          <w:tcPr>
            <w:tcW w:w="1710" w:type="dxa"/>
            <w:shd w:val="clear" w:color="auto" w:fill="auto"/>
          </w:tcPr>
          <w:p w14:paraId="5A6D12C4" w14:textId="77777777" w:rsidR="005B2641" w:rsidRPr="005B2641" w:rsidRDefault="005B2641" w:rsidP="00952C91">
            <w:pPr>
              <w:keepNext/>
              <w:keepLines/>
              <w:spacing w:line="240" w:lineRule="auto"/>
              <w:rPr>
                <w:rFonts w:cstheme="minorHAnsi"/>
                <w:i/>
              </w:rPr>
            </w:pPr>
            <w:r w:rsidRPr="005B2641">
              <w:rPr>
                <w:i/>
              </w:rPr>
              <w:t>1031</w:t>
            </w:r>
          </w:p>
        </w:tc>
        <w:tc>
          <w:tcPr>
            <w:tcW w:w="1800" w:type="dxa"/>
            <w:shd w:val="clear" w:color="auto" w:fill="auto"/>
          </w:tcPr>
          <w:p w14:paraId="2575CD3C" w14:textId="77777777" w:rsidR="005B2641" w:rsidRPr="005B2641" w:rsidRDefault="005B2641" w:rsidP="00952C91">
            <w:pPr>
              <w:keepNext/>
              <w:keepLines/>
              <w:spacing w:line="240" w:lineRule="auto"/>
              <w:rPr>
                <w:rFonts w:cstheme="minorHAnsi"/>
                <w:b/>
                <w:i/>
                <w:highlight w:val="yellow"/>
              </w:rPr>
            </w:pPr>
            <w:r w:rsidRPr="005B2641">
              <w:rPr>
                <w:b/>
                <w:i/>
              </w:rPr>
              <w:t>468</w:t>
            </w:r>
          </w:p>
        </w:tc>
        <w:tc>
          <w:tcPr>
            <w:tcW w:w="1975" w:type="dxa"/>
            <w:shd w:val="clear" w:color="auto" w:fill="auto"/>
          </w:tcPr>
          <w:p w14:paraId="334F3D15" w14:textId="77777777" w:rsidR="005B2641" w:rsidRPr="005B2641" w:rsidRDefault="005B2641" w:rsidP="00952C91">
            <w:pPr>
              <w:keepNext/>
              <w:keepLines/>
              <w:spacing w:line="240" w:lineRule="auto"/>
              <w:rPr>
                <w:rFonts w:cstheme="minorHAnsi"/>
                <w:b/>
                <w:i/>
              </w:rPr>
            </w:pPr>
            <w:r w:rsidRPr="005B2641">
              <w:rPr>
                <w:b/>
                <w:i/>
              </w:rPr>
              <w:t>45</w:t>
            </w:r>
          </w:p>
        </w:tc>
      </w:tr>
      <w:tr w:rsidR="005B2641" w:rsidRPr="005B2641" w14:paraId="2B0E6C49" w14:textId="77777777" w:rsidTr="00952C91">
        <w:trPr>
          <w:trHeight w:val="432"/>
        </w:trPr>
        <w:tc>
          <w:tcPr>
            <w:tcW w:w="4519" w:type="dxa"/>
            <w:shd w:val="clear" w:color="auto" w:fill="auto"/>
          </w:tcPr>
          <w:p w14:paraId="18763E65" w14:textId="77777777" w:rsidR="005B2641" w:rsidRPr="005B2641" w:rsidRDefault="005B2641" w:rsidP="00952C91">
            <w:pPr>
              <w:keepNext/>
              <w:keepLines/>
              <w:spacing w:line="240" w:lineRule="auto"/>
              <w:rPr>
                <w:rFonts w:cstheme="minorHAnsi"/>
                <w:i/>
              </w:rPr>
            </w:pPr>
            <w:r w:rsidRPr="005B2641">
              <w:rPr>
                <w:i/>
              </w:rPr>
              <w:t>Reserva del SATR</w:t>
            </w:r>
          </w:p>
        </w:tc>
        <w:tc>
          <w:tcPr>
            <w:tcW w:w="1710" w:type="dxa"/>
            <w:shd w:val="clear" w:color="auto" w:fill="auto"/>
          </w:tcPr>
          <w:p w14:paraId="0B4461DE" w14:textId="77777777" w:rsidR="005B2641" w:rsidRPr="005B2641" w:rsidRDefault="005B2641" w:rsidP="00952C91">
            <w:pPr>
              <w:keepNext/>
              <w:keepLines/>
              <w:spacing w:line="240" w:lineRule="auto"/>
              <w:rPr>
                <w:rFonts w:cstheme="minorHAnsi"/>
              </w:rPr>
            </w:pPr>
          </w:p>
        </w:tc>
        <w:tc>
          <w:tcPr>
            <w:tcW w:w="1800" w:type="dxa"/>
            <w:shd w:val="clear" w:color="auto" w:fill="auto"/>
          </w:tcPr>
          <w:p w14:paraId="596B3C77" w14:textId="77777777" w:rsidR="005B2641" w:rsidRPr="005B2641" w:rsidRDefault="005B2641" w:rsidP="00952C91">
            <w:pPr>
              <w:keepNext/>
              <w:keepLines/>
              <w:spacing w:line="240" w:lineRule="auto"/>
              <w:rPr>
                <w:rFonts w:cstheme="minorHAnsi"/>
                <w:b/>
              </w:rPr>
            </w:pPr>
          </w:p>
        </w:tc>
        <w:tc>
          <w:tcPr>
            <w:tcW w:w="1975" w:type="dxa"/>
            <w:shd w:val="clear" w:color="auto" w:fill="auto"/>
          </w:tcPr>
          <w:p w14:paraId="01FB91A1" w14:textId="77777777" w:rsidR="005B2641" w:rsidRPr="005B2641" w:rsidRDefault="005B2641" w:rsidP="00952C91">
            <w:pPr>
              <w:keepNext/>
              <w:keepLines/>
              <w:spacing w:line="240" w:lineRule="auto"/>
              <w:rPr>
                <w:rFonts w:cstheme="minorHAnsi"/>
                <w:b/>
              </w:rPr>
            </w:pPr>
          </w:p>
        </w:tc>
      </w:tr>
      <w:tr w:rsidR="005B2641" w:rsidRPr="005B2641" w14:paraId="25A4D536" w14:textId="77777777" w:rsidTr="00952C91">
        <w:trPr>
          <w:trHeight w:val="432"/>
        </w:trPr>
        <w:tc>
          <w:tcPr>
            <w:tcW w:w="4519" w:type="dxa"/>
            <w:shd w:val="clear" w:color="auto" w:fill="auto"/>
          </w:tcPr>
          <w:p w14:paraId="635CF919" w14:textId="77777777" w:rsidR="005B2641" w:rsidRPr="005B2641" w:rsidRDefault="005B2641" w:rsidP="00952C91">
            <w:pPr>
              <w:keepNext/>
              <w:keepLines/>
              <w:spacing w:line="240" w:lineRule="auto"/>
              <w:rPr>
                <w:rFonts w:cstheme="minorHAnsi"/>
              </w:rPr>
            </w:pPr>
            <w:r w:rsidRPr="005B2641">
              <w:t>Actividades habilitantes</w:t>
            </w:r>
          </w:p>
        </w:tc>
        <w:tc>
          <w:tcPr>
            <w:tcW w:w="1710" w:type="dxa"/>
            <w:shd w:val="clear" w:color="auto" w:fill="auto"/>
          </w:tcPr>
          <w:p w14:paraId="00CD16FE" w14:textId="77777777" w:rsidR="005B2641" w:rsidRPr="005B2641" w:rsidRDefault="005B2641" w:rsidP="00952C91">
            <w:pPr>
              <w:keepNext/>
              <w:keepLines/>
              <w:spacing w:line="240" w:lineRule="auto"/>
              <w:rPr>
                <w:rFonts w:cstheme="minorHAnsi"/>
              </w:rPr>
            </w:pPr>
            <w:r w:rsidRPr="005B2641">
              <w:t>46</w:t>
            </w:r>
          </w:p>
        </w:tc>
        <w:tc>
          <w:tcPr>
            <w:tcW w:w="1800" w:type="dxa"/>
            <w:shd w:val="clear" w:color="auto" w:fill="auto"/>
          </w:tcPr>
          <w:p w14:paraId="56F7B8C2" w14:textId="77777777" w:rsidR="005B2641" w:rsidRPr="005B2641" w:rsidRDefault="005B2641" w:rsidP="00952C91">
            <w:pPr>
              <w:keepNext/>
              <w:keepLines/>
              <w:spacing w:line="240" w:lineRule="auto"/>
              <w:rPr>
                <w:rFonts w:cstheme="minorHAnsi"/>
                <w:b/>
              </w:rPr>
            </w:pPr>
            <w:r w:rsidRPr="005B2641">
              <w:rPr>
                <w:b/>
              </w:rPr>
              <w:t>0</w:t>
            </w:r>
          </w:p>
        </w:tc>
        <w:tc>
          <w:tcPr>
            <w:tcW w:w="1975" w:type="dxa"/>
            <w:shd w:val="clear" w:color="auto" w:fill="auto"/>
          </w:tcPr>
          <w:p w14:paraId="7877C3F0" w14:textId="77777777" w:rsidR="005B2641" w:rsidRPr="005B2641" w:rsidRDefault="005B2641" w:rsidP="00952C91">
            <w:pPr>
              <w:keepNext/>
              <w:keepLines/>
              <w:spacing w:line="240" w:lineRule="auto"/>
              <w:rPr>
                <w:rFonts w:cstheme="minorHAnsi"/>
                <w:b/>
              </w:rPr>
            </w:pPr>
            <w:r w:rsidRPr="005B2641">
              <w:rPr>
                <w:b/>
              </w:rPr>
              <w:t>0</w:t>
            </w:r>
          </w:p>
        </w:tc>
      </w:tr>
      <w:tr w:rsidR="005B2641" w:rsidRPr="005B2641" w14:paraId="3413EECF" w14:textId="77777777" w:rsidTr="00952C91">
        <w:trPr>
          <w:trHeight w:val="432"/>
        </w:trPr>
        <w:tc>
          <w:tcPr>
            <w:tcW w:w="4519" w:type="dxa"/>
            <w:shd w:val="clear" w:color="auto" w:fill="auto"/>
          </w:tcPr>
          <w:p w14:paraId="3F943862" w14:textId="77777777" w:rsidR="005B2641" w:rsidRPr="005B2641" w:rsidRDefault="005B2641" w:rsidP="00952C91">
            <w:pPr>
              <w:keepNext/>
              <w:keepLines/>
              <w:spacing w:line="240" w:lineRule="auto"/>
              <w:rPr>
                <w:rFonts w:cstheme="minorHAnsi"/>
              </w:rPr>
            </w:pPr>
            <w:r w:rsidRPr="005B2641">
              <w:t>Proyectos y programas regionales y de alcance mundial sobre biodiversidad</w:t>
            </w:r>
          </w:p>
        </w:tc>
        <w:tc>
          <w:tcPr>
            <w:tcW w:w="1710" w:type="dxa"/>
            <w:shd w:val="clear" w:color="auto" w:fill="auto"/>
          </w:tcPr>
          <w:p w14:paraId="3443D12F" w14:textId="77777777" w:rsidR="005B2641" w:rsidRPr="005B2641" w:rsidRDefault="005B2641" w:rsidP="00952C91">
            <w:pPr>
              <w:keepNext/>
              <w:keepLines/>
              <w:spacing w:line="240" w:lineRule="auto"/>
              <w:rPr>
                <w:rFonts w:cstheme="minorHAnsi"/>
              </w:rPr>
            </w:pPr>
            <w:r w:rsidRPr="005B2641">
              <w:t>55</w:t>
            </w:r>
          </w:p>
        </w:tc>
        <w:tc>
          <w:tcPr>
            <w:tcW w:w="1800" w:type="dxa"/>
            <w:shd w:val="clear" w:color="auto" w:fill="auto"/>
          </w:tcPr>
          <w:p w14:paraId="28BCB9CA" w14:textId="77777777" w:rsidR="005B2641" w:rsidRPr="005B2641" w:rsidRDefault="005B2641" w:rsidP="00952C91">
            <w:pPr>
              <w:keepNext/>
              <w:keepLines/>
              <w:spacing w:line="240" w:lineRule="auto"/>
              <w:rPr>
                <w:rFonts w:cstheme="minorHAnsi"/>
                <w:b/>
              </w:rPr>
            </w:pPr>
            <w:r w:rsidRPr="005B2641">
              <w:rPr>
                <w:b/>
              </w:rPr>
              <w:t>36</w:t>
            </w:r>
          </w:p>
        </w:tc>
        <w:tc>
          <w:tcPr>
            <w:tcW w:w="1975" w:type="dxa"/>
            <w:shd w:val="clear" w:color="auto" w:fill="auto"/>
          </w:tcPr>
          <w:p w14:paraId="6B303952" w14:textId="77777777" w:rsidR="005B2641" w:rsidRPr="005B2641" w:rsidRDefault="005B2641" w:rsidP="00952C91">
            <w:pPr>
              <w:keepNext/>
              <w:keepLines/>
              <w:spacing w:line="240" w:lineRule="auto"/>
              <w:rPr>
                <w:rFonts w:cstheme="minorHAnsi"/>
                <w:b/>
              </w:rPr>
            </w:pPr>
            <w:r w:rsidRPr="005B2641">
              <w:rPr>
                <w:b/>
              </w:rPr>
              <w:t>65</w:t>
            </w:r>
          </w:p>
        </w:tc>
      </w:tr>
      <w:tr w:rsidR="005B2641" w:rsidRPr="005B2641" w14:paraId="5EAAC583" w14:textId="77777777" w:rsidTr="00952C91">
        <w:trPr>
          <w:trHeight w:val="432"/>
        </w:trPr>
        <w:tc>
          <w:tcPr>
            <w:tcW w:w="4519" w:type="dxa"/>
            <w:shd w:val="clear" w:color="auto" w:fill="auto"/>
          </w:tcPr>
          <w:p w14:paraId="7BBD43F4" w14:textId="77777777" w:rsidR="005B2641" w:rsidRPr="005B2641" w:rsidRDefault="005B2641" w:rsidP="00952C91">
            <w:pPr>
              <w:keepNext/>
              <w:keepLines/>
              <w:spacing w:line="240" w:lineRule="auto"/>
              <w:rPr>
                <w:rFonts w:cstheme="minorHAnsi"/>
              </w:rPr>
            </w:pPr>
            <w:r w:rsidRPr="005B2641">
              <w:t>Programación integrada</w:t>
            </w:r>
          </w:p>
        </w:tc>
        <w:tc>
          <w:tcPr>
            <w:tcW w:w="1710" w:type="dxa"/>
            <w:shd w:val="clear" w:color="auto" w:fill="auto"/>
          </w:tcPr>
          <w:p w14:paraId="26E4CFCB" w14:textId="77777777" w:rsidR="005B2641" w:rsidRPr="005B2641" w:rsidRDefault="005B2641" w:rsidP="00952C91">
            <w:pPr>
              <w:keepNext/>
              <w:keepLines/>
              <w:spacing w:line="240" w:lineRule="auto"/>
              <w:rPr>
                <w:rFonts w:cstheme="minorHAnsi"/>
              </w:rPr>
            </w:pPr>
            <w:r w:rsidRPr="005B2641">
              <w:t>160</w:t>
            </w:r>
          </w:p>
        </w:tc>
        <w:tc>
          <w:tcPr>
            <w:tcW w:w="1800" w:type="dxa"/>
            <w:shd w:val="clear" w:color="auto" w:fill="auto"/>
          </w:tcPr>
          <w:p w14:paraId="330464CE" w14:textId="77777777" w:rsidR="005B2641" w:rsidRPr="005B2641" w:rsidRDefault="005B2641" w:rsidP="00952C91">
            <w:pPr>
              <w:keepNext/>
              <w:keepLines/>
              <w:spacing w:line="240" w:lineRule="auto"/>
              <w:rPr>
                <w:rFonts w:cstheme="minorHAnsi"/>
                <w:b/>
              </w:rPr>
            </w:pPr>
          </w:p>
        </w:tc>
        <w:tc>
          <w:tcPr>
            <w:tcW w:w="1975" w:type="dxa"/>
            <w:shd w:val="clear" w:color="auto" w:fill="auto"/>
          </w:tcPr>
          <w:p w14:paraId="4A9C064E" w14:textId="77777777" w:rsidR="005B2641" w:rsidRPr="005B2641" w:rsidRDefault="005B2641" w:rsidP="00952C91">
            <w:pPr>
              <w:keepNext/>
              <w:keepLines/>
              <w:spacing w:line="240" w:lineRule="auto"/>
              <w:rPr>
                <w:rFonts w:cstheme="minorHAnsi"/>
                <w:b/>
              </w:rPr>
            </w:pPr>
          </w:p>
        </w:tc>
      </w:tr>
      <w:tr w:rsidR="005B2641" w:rsidRPr="005B2641" w14:paraId="535A0803" w14:textId="77777777" w:rsidTr="00952C91">
        <w:trPr>
          <w:trHeight w:val="432"/>
        </w:trPr>
        <w:tc>
          <w:tcPr>
            <w:tcW w:w="4519" w:type="dxa"/>
            <w:shd w:val="clear" w:color="auto" w:fill="auto"/>
          </w:tcPr>
          <w:p w14:paraId="58681100" w14:textId="77777777" w:rsidR="005B2641" w:rsidRPr="005B2641" w:rsidRDefault="005B2641" w:rsidP="00952C91">
            <w:pPr>
              <w:pStyle w:val="Prrafodelista"/>
              <w:keepNext/>
              <w:keepLines/>
              <w:numPr>
                <w:ilvl w:val="0"/>
                <w:numId w:val="9"/>
              </w:numPr>
              <w:spacing w:line="240" w:lineRule="auto"/>
              <w:rPr>
                <w:rFonts w:cstheme="minorHAnsi"/>
              </w:rPr>
            </w:pPr>
            <w:r w:rsidRPr="005B2641">
              <w:t>Sistemas Alimentarios, y Uso y Recuperación de la Tierra</w:t>
            </w:r>
          </w:p>
        </w:tc>
        <w:tc>
          <w:tcPr>
            <w:tcW w:w="1710" w:type="dxa"/>
            <w:shd w:val="clear" w:color="auto" w:fill="auto"/>
          </w:tcPr>
          <w:p w14:paraId="2B6101BF" w14:textId="77777777" w:rsidR="005B2641" w:rsidRPr="005B2641" w:rsidRDefault="005B2641" w:rsidP="00952C91">
            <w:pPr>
              <w:keepNext/>
              <w:keepLines/>
              <w:spacing w:line="240" w:lineRule="auto"/>
              <w:rPr>
                <w:rFonts w:cstheme="minorHAnsi"/>
              </w:rPr>
            </w:pPr>
            <w:r w:rsidRPr="005B2641">
              <w:t>92</w:t>
            </w:r>
          </w:p>
        </w:tc>
        <w:tc>
          <w:tcPr>
            <w:tcW w:w="1800" w:type="dxa"/>
            <w:shd w:val="clear" w:color="auto" w:fill="auto"/>
          </w:tcPr>
          <w:p w14:paraId="438CC092" w14:textId="77777777" w:rsidR="005B2641" w:rsidRPr="005B2641" w:rsidRDefault="005B2641" w:rsidP="00952C91">
            <w:pPr>
              <w:keepNext/>
              <w:keepLines/>
              <w:spacing w:line="240" w:lineRule="auto"/>
              <w:rPr>
                <w:rFonts w:cstheme="minorHAnsi"/>
                <w:b/>
              </w:rPr>
            </w:pPr>
            <w:r w:rsidRPr="005B2641">
              <w:rPr>
                <w:b/>
              </w:rPr>
              <w:t>70</w:t>
            </w:r>
          </w:p>
        </w:tc>
        <w:tc>
          <w:tcPr>
            <w:tcW w:w="1975" w:type="dxa"/>
            <w:shd w:val="clear" w:color="auto" w:fill="auto"/>
          </w:tcPr>
          <w:p w14:paraId="09C4861F" w14:textId="77777777" w:rsidR="005B2641" w:rsidRPr="005B2641" w:rsidRDefault="005B2641" w:rsidP="00952C91">
            <w:pPr>
              <w:keepNext/>
              <w:keepLines/>
              <w:spacing w:line="240" w:lineRule="auto"/>
              <w:rPr>
                <w:rFonts w:cstheme="minorHAnsi"/>
                <w:b/>
              </w:rPr>
            </w:pPr>
            <w:r w:rsidRPr="005B2641">
              <w:rPr>
                <w:b/>
              </w:rPr>
              <w:t>76</w:t>
            </w:r>
          </w:p>
        </w:tc>
      </w:tr>
      <w:tr w:rsidR="005B2641" w:rsidRPr="005B2641" w14:paraId="04E76F64" w14:textId="77777777" w:rsidTr="00952C91">
        <w:trPr>
          <w:trHeight w:val="639"/>
        </w:trPr>
        <w:tc>
          <w:tcPr>
            <w:tcW w:w="4519" w:type="dxa"/>
            <w:shd w:val="clear" w:color="auto" w:fill="auto"/>
          </w:tcPr>
          <w:p w14:paraId="3FF23022" w14:textId="77777777" w:rsidR="005B2641" w:rsidRPr="005B2641" w:rsidRDefault="005B2641" w:rsidP="00952C91">
            <w:pPr>
              <w:pStyle w:val="Prrafodelista"/>
              <w:keepNext/>
              <w:keepLines/>
              <w:numPr>
                <w:ilvl w:val="0"/>
                <w:numId w:val="10"/>
              </w:numPr>
              <w:spacing w:line="240" w:lineRule="auto"/>
              <w:rPr>
                <w:rFonts w:cstheme="minorHAnsi"/>
              </w:rPr>
            </w:pPr>
            <w:r w:rsidRPr="005B2641">
              <w:t>Principales biomas sometidos a la Gestión Forestal Sostenible (Amazonas, Congo, tierras secas)</w:t>
            </w:r>
          </w:p>
        </w:tc>
        <w:tc>
          <w:tcPr>
            <w:tcW w:w="1710" w:type="dxa"/>
            <w:shd w:val="clear" w:color="auto" w:fill="auto"/>
          </w:tcPr>
          <w:p w14:paraId="492D6869" w14:textId="77777777" w:rsidR="005B2641" w:rsidRPr="005B2641" w:rsidRDefault="005B2641" w:rsidP="00952C91">
            <w:pPr>
              <w:keepNext/>
              <w:keepLines/>
              <w:spacing w:line="240" w:lineRule="auto"/>
              <w:rPr>
                <w:rFonts w:cstheme="minorHAnsi"/>
              </w:rPr>
            </w:pPr>
            <w:r w:rsidRPr="005B2641">
              <w:t>53</w:t>
            </w:r>
          </w:p>
        </w:tc>
        <w:tc>
          <w:tcPr>
            <w:tcW w:w="1800" w:type="dxa"/>
            <w:shd w:val="clear" w:color="auto" w:fill="auto"/>
          </w:tcPr>
          <w:p w14:paraId="6E0B58BC" w14:textId="77777777" w:rsidR="005B2641" w:rsidRPr="005B2641" w:rsidRDefault="005B2641" w:rsidP="00952C91">
            <w:pPr>
              <w:keepNext/>
              <w:keepLines/>
              <w:spacing w:line="240" w:lineRule="auto"/>
              <w:rPr>
                <w:rFonts w:cstheme="minorHAnsi"/>
                <w:b/>
              </w:rPr>
            </w:pPr>
            <w:r w:rsidRPr="005B2641">
              <w:rPr>
                <w:b/>
              </w:rPr>
              <w:t>50</w:t>
            </w:r>
          </w:p>
        </w:tc>
        <w:tc>
          <w:tcPr>
            <w:tcW w:w="1975" w:type="dxa"/>
            <w:shd w:val="clear" w:color="auto" w:fill="auto"/>
          </w:tcPr>
          <w:p w14:paraId="44582746" w14:textId="77777777" w:rsidR="005B2641" w:rsidRPr="005B2641" w:rsidRDefault="005B2641" w:rsidP="00952C91">
            <w:pPr>
              <w:keepNext/>
              <w:keepLines/>
              <w:spacing w:line="240" w:lineRule="auto"/>
              <w:rPr>
                <w:rFonts w:cstheme="minorHAnsi"/>
                <w:b/>
              </w:rPr>
            </w:pPr>
            <w:r w:rsidRPr="005B2641">
              <w:rPr>
                <w:b/>
              </w:rPr>
              <w:t>100</w:t>
            </w:r>
          </w:p>
        </w:tc>
      </w:tr>
      <w:tr w:rsidR="005B2641" w:rsidRPr="005B2641" w14:paraId="36965E76" w14:textId="77777777" w:rsidTr="00952C91">
        <w:trPr>
          <w:trHeight w:val="432"/>
        </w:trPr>
        <w:tc>
          <w:tcPr>
            <w:tcW w:w="4519" w:type="dxa"/>
            <w:shd w:val="clear" w:color="auto" w:fill="auto"/>
          </w:tcPr>
          <w:p w14:paraId="3DA90354" w14:textId="77777777" w:rsidR="005B2641" w:rsidRPr="005B2641" w:rsidRDefault="005B2641" w:rsidP="00952C91">
            <w:pPr>
              <w:pStyle w:val="Prrafodelista"/>
              <w:keepNext/>
              <w:keepLines/>
              <w:numPr>
                <w:ilvl w:val="0"/>
                <w:numId w:val="10"/>
              </w:numPr>
              <w:spacing w:line="240" w:lineRule="auto"/>
              <w:rPr>
                <w:rFonts w:cstheme="minorHAnsi"/>
              </w:rPr>
            </w:pPr>
            <w:r w:rsidRPr="005B2641">
              <w:t xml:space="preserve">Ciudades sostenibles </w:t>
            </w:r>
          </w:p>
        </w:tc>
        <w:tc>
          <w:tcPr>
            <w:tcW w:w="1710" w:type="dxa"/>
            <w:shd w:val="clear" w:color="auto" w:fill="auto"/>
          </w:tcPr>
          <w:p w14:paraId="17F1899B" w14:textId="77777777" w:rsidR="005B2641" w:rsidRPr="005B2641" w:rsidRDefault="005B2641" w:rsidP="00952C91">
            <w:pPr>
              <w:keepNext/>
              <w:keepLines/>
              <w:spacing w:line="240" w:lineRule="auto"/>
              <w:rPr>
                <w:rFonts w:cstheme="minorHAnsi"/>
                <w:i/>
              </w:rPr>
            </w:pPr>
            <w:r w:rsidRPr="005B2641">
              <w:t>15</w:t>
            </w:r>
          </w:p>
        </w:tc>
        <w:tc>
          <w:tcPr>
            <w:tcW w:w="1800" w:type="dxa"/>
            <w:shd w:val="clear" w:color="auto" w:fill="auto"/>
          </w:tcPr>
          <w:p w14:paraId="2838BBDA" w14:textId="77777777" w:rsidR="005B2641" w:rsidRPr="005B2641" w:rsidRDefault="005B2641" w:rsidP="00952C91">
            <w:pPr>
              <w:keepNext/>
              <w:keepLines/>
              <w:spacing w:line="240" w:lineRule="auto"/>
              <w:rPr>
                <w:rFonts w:cstheme="minorHAnsi"/>
                <w:b/>
                <w:i/>
              </w:rPr>
            </w:pPr>
            <w:r w:rsidRPr="005B2641">
              <w:rPr>
                <w:b/>
              </w:rPr>
              <w:t>15</w:t>
            </w:r>
          </w:p>
        </w:tc>
        <w:tc>
          <w:tcPr>
            <w:tcW w:w="1975" w:type="dxa"/>
            <w:shd w:val="clear" w:color="auto" w:fill="auto"/>
          </w:tcPr>
          <w:p w14:paraId="238B6B0C" w14:textId="77777777" w:rsidR="005B2641" w:rsidRPr="005B2641" w:rsidRDefault="005B2641" w:rsidP="00952C91">
            <w:pPr>
              <w:keepNext/>
              <w:keepLines/>
              <w:spacing w:line="240" w:lineRule="auto"/>
              <w:rPr>
                <w:rFonts w:cstheme="minorHAnsi"/>
                <w:b/>
              </w:rPr>
            </w:pPr>
            <w:r w:rsidRPr="005B2641">
              <w:rPr>
                <w:b/>
              </w:rPr>
              <w:t>100</w:t>
            </w:r>
          </w:p>
        </w:tc>
      </w:tr>
      <w:tr w:rsidR="005B2641" w:rsidRPr="005B2641" w14:paraId="35AE7A77" w14:textId="77777777" w:rsidTr="00952C91">
        <w:trPr>
          <w:trHeight w:val="432"/>
        </w:trPr>
        <w:tc>
          <w:tcPr>
            <w:tcW w:w="4519" w:type="dxa"/>
            <w:tcBorders>
              <w:top w:val="single" w:sz="6" w:space="0" w:color="008000"/>
            </w:tcBorders>
            <w:shd w:val="clear" w:color="auto" w:fill="auto"/>
          </w:tcPr>
          <w:p w14:paraId="41B2AA10" w14:textId="77777777" w:rsidR="005B2641" w:rsidRPr="005B2641" w:rsidRDefault="005B2641" w:rsidP="00952C91">
            <w:pPr>
              <w:keepNext/>
              <w:keepLines/>
              <w:rPr>
                <w:rFonts w:cstheme="minorHAnsi"/>
                <w:b/>
              </w:rPr>
            </w:pPr>
            <w:r w:rsidRPr="005B2641">
              <w:rPr>
                <w:b/>
              </w:rPr>
              <w:t>Total de recursos</w:t>
            </w:r>
          </w:p>
        </w:tc>
        <w:tc>
          <w:tcPr>
            <w:tcW w:w="1710" w:type="dxa"/>
            <w:tcBorders>
              <w:top w:val="single" w:sz="6" w:space="0" w:color="008000"/>
            </w:tcBorders>
            <w:shd w:val="clear" w:color="auto" w:fill="auto"/>
          </w:tcPr>
          <w:p w14:paraId="7E32EF71" w14:textId="77777777" w:rsidR="005B2641" w:rsidRPr="005B2641" w:rsidRDefault="005B2641" w:rsidP="00952C91">
            <w:pPr>
              <w:keepNext/>
              <w:keepLines/>
              <w:rPr>
                <w:rFonts w:cstheme="minorHAnsi"/>
                <w:b/>
              </w:rPr>
            </w:pPr>
            <w:r w:rsidRPr="005B2641">
              <w:rPr>
                <w:b/>
              </w:rPr>
              <w:t>1292</w:t>
            </w:r>
          </w:p>
        </w:tc>
        <w:tc>
          <w:tcPr>
            <w:tcW w:w="1800" w:type="dxa"/>
            <w:tcBorders>
              <w:top w:val="single" w:sz="6" w:space="0" w:color="008000"/>
            </w:tcBorders>
            <w:shd w:val="clear" w:color="auto" w:fill="auto"/>
          </w:tcPr>
          <w:p w14:paraId="0318B4C5" w14:textId="77777777" w:rsidR="005B2641" w:rsidRPr="005B2641" w:rsidRDefault="005B2641" w:rsidP="00952C91">
            <w:pPr>
              <w:keepNext/>
              <w:keepLines/>
              <w:rPr>
                <w:rFonts w:cstheme="minorHAnsi"/>
                <w:b/>
              </w:rPr>
            </w:pPr>
            <w:r w:rsidRPr="005B2641">
              <w:rPr>
                <w:b/>
              </w:rPr>
              <w:t>638</w:t>
            </w:r>
          </w:p>
        </w:tc>
        <w:tc>
          <w:tcPr>
            <w:tcW w:w="1975" w:type="dxa"/>
            <w:tcBorders>
              <w:top w:val="single" w:sz="6" w:space="0" w:color="008000"/>
            </w:tcBorders>
            <w:shd w:val="clear" w:color="auto" w:fill="auto"/>
          </w:tcPr>
          <w:p w14:paraId="65DBA0A3" w14:textId="77777777" w:rsidR="005B2641" w:rsidRPr="005B2641" w:rsidRDefault="005B2641" w:rsidP="00952C91">
            <w:pPr>
              <w:keepNext/>
              <w:keepLines/>
              <w:rPr>
                <w:rFonts w:cstheme="minorHAnsi"/>
                <w:b/>
              </w:rPr>
            </w:pPr>
            <w:r w:rsidRPr="005B2641">
              <w:rPr>
                <w:b/>
              </w:rPr>
              <w:t>49</w:t>
            </w:r>
          </w:p>
        </w:tc>
      </w:tr>
    </w:tbl>
    <w:p w14:paraId="019CEB45" w14:textId="77777777" w:rsidR="005B2641" w:rsidRPr="005B2641" w:rsidRDefault="005B2641" w:rsidP="005B2641">
      <w:pPr>
        <w:pStyle w:val="Ttulo2"/>
      </w:pPr>
      <w:bookmarkStart w:id="21" w:name="_Toc35815686"/>
      <w:r w:rsidRPr="005B2641">
        <w:t>Contribuciones al cumplimiento de las Metas de Aichi para la Diversidad Biológica en el marco del FMAM-7</w:t>
      </w:r>
      <w:bookmarkEnd w:id="21"/>
    </w:p>
    <w:p w14:paraId="7BFA66D7"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hAnsi="Calibri" w:cs="Times New Roman"/>
          <w:sz w:val="24"/>
          <w:szCs w:val="24"/>
        </w:rPr>
      </w:pPr>
      <w:r w:rsidRPr="005B2641">
        <w:rPr>
          <w:rFonts w:ascii="Calibri" w:hAnsi="Calibri"/>
          <w:sz w:val="24"/>
          <w:szCs w:val="24"/>
        </w:rPr>
        <w:t>Como se describe en el cuadro 3 a continuación, la estrategia del FMAM-7 sobre diversidad biológica está constituida por nueve líneas de inversión en programación y programas que contribuyen directamente a la implementación del Plan Estratégico para la Diversidad Biológica 2011</w:t>
      </w:r>
      <w:r w:rsidRPr="005B2641">
        <w:rPr>
          <w:rFonts w:ascii="Calibri" w:hAnsi="Calibri"/>
          <w:sz w:val="24"/>
          <w:szCs w:val="24"/>
        </w:rPr>
        <w:noBreakHyphen/>
        <w:t>20 y al cumplimiento de las Metas de Aichi para la Diversidad Biológica mediante una serie de medidas que abordan las causas más importantes de la pérdida de biodiversidad en paisajes terrestres y marinos enteros. En su totalidad, el conjunto de opciones de programación incluidas en la estrategia responde directamente al marco cuatrienal de prioridades programáticas del FMAM-7 y al Plan Estratégico para la Diversidad Biológica 2011-20, en particular con respecto a la agenda de incorporación de la biodiversidad, que reviste una importancia cada vez mayor.</w:t>
      </w:r>
    </w:p>
    <w:p w14:paraId="50484FD3"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hAnsi="Calibri" w:cs="Times New Roman"/>
          <w:sz w:val="24"/>
          <w:szCs w:val="24"/>
        </w:rPr>
      </w:pPr>
      <w:r w:rsidRPr="005B2641">
        <w:rPr>
          <w:rFonts w:ascii="Calibri" w:hAnsi="Calibri"/>
          <w:sz w:val="24"/>
          <w:szCs w:val="24"/>
        </w:rPr>
        <w:t xml:space="preserve">Asimismo, las opciones de programación incluyen inversiones a través de programas de impacto capaces de generar más rendimiento por unidad de inversión procurando encontrar respuestas sistémicas a los problemas que surgen de más de un sector. Dichos programas permitirán realizar contribuciones significativas y sinérgicas al marco cuatrienal de prioridades </w:t>
      </w:r>
      <w:r w:rsidRPr="005B2641">
        <w:rPr>
          <w:rFonts w:ascii="Calibri" w:hAnsi="Calibri"/>
          <w:sz w:val="24"/>
          <w:szCs w:val="24"/>
        </w:rPr>
        <w:lastRenderedPageBreak/>
        <w:t>programáticas del FMAM-7 y los resultados previstos relacionados, según lo acordado en la COP</w:t>
      </w:r>
      <w:r w:rsidRPr="005B2641">
        <w:rPr>
          <w:rFonts w:ascii="Calibri" w:hAnsi="Calibri"/>
          <w:sz w:val="24"/>
          <w:szCs w:val="24"/>
        </w:rPr>
        <w:noBreakHyphen/>
        <w:t>13.</w:t>
      </w:r>
    </w:p>
    <w:p w14:paraId="012B317D" w14:textId="77777777" w:rsidR="005B2641" w:rsidRPr="005B2641" w:rsidRDefault="005B2641" w:rsidP="005B2641">
      <w:pPr>
        <w:pStyle w:val="Para1"/>
        <w:numPr>
          <w:ilvl w:val="0"/>
          <w:numId w:val="0"/>
        </w:numPr>
        <w:spacing w:before="240" w:after="240"/>
        <w:jc w:val="center"/>
        <w:rPr>
          <w:rFonts w:ascii="Calibri" w:hAnsi="Calibri" w:cs="Times New Roman"/>
          <w:b/>
          <w:sz w:val="24"/>
          <w:szCs w:val="24"/>
        </w:rPr>
      </w:pPr>
      <w:r w:rsidRPr="005B2641">
        <w:rPr>
          <w:rFonts w:ascii="Calibri" w:hAnsi="Calibri"/>
          <w:b/>
          <w:sz w:val="24"/>
          <w:szCs w:val="24"/>
        </w:rPr>
        <w:t>Cuadro 3. Objetivos de la estrategia de biodiversidad y líneas de programación</w:t>
      </w:r>
    </w:p>
    <w:tbl>
      <w:tblPr>
        <w:tblStyle w:val="Tablaconcuadrcula"/>
        <w:tblW w:w="0" w:type="auto"/>
        <w:tblLook w:val="04A0" w:firstRow="1" w:lastRow="0" w:firstColumn="1" w:lastColumn="0" w:noHBand="0" w:noVBand="1"/>
      </w:tblPr>
      <w:tblGrid>
        <w:gridCol w:w="1795"/>
        <w:gridCol w:w="7555"/>
      </w:tblGrid>
      <w:tr w:rsidR="005B2641" w:rsidRPr="005B2641" w14:paraId="7ED8D00E" w14:textId="77777777" w:rsidTr="00952C91">
        <w:tc>
          <w:tcPr>
            <w:tcW w:w="9350" w:type="dxa"/>
            <w:gridSpan w:val="2"/>
          </w:tcPr>
          <w:p w14:paraId="71164819" w14:textId="77777777" w:rsidR="005B2641" w:rsidRPr="005B2641" w:rsidRDefault="005B2641" w:rsidP="00952C91">
            <w:pPr>
              <w:spacing w:after="40"/>
              <w:jc w:val="center"/>
              <w:rPr>
                <w:b/>
              </w:rPr>
            </w:pPr>
            <w:bookmarkStart w:id="22" w:name="_Hlk26452414"/>
            <w:r w:rsidRPr="005B2641">
              <w:rPr>
                <w:b/>
              </w:rPr>
              <w:t>Objetivos de la estrategia de biodiversidad y líneas de programación</w:t>
            </w:r>
          </w:p>
        </w:tc>
      </w:tr>
      <w:tr w:rsidR="005B2641" w:rsidRPr="005B2641" w14:paraId="05D35C1E" w14:textId="77777777" w:rsidTr="00952C91">
        <w:tc>
          <w:tcPr>
            <w:tcW w:w="9350" w:type="dxa"/>
            <w:gridSpan w:val="2"/>
            <w:shd w:val="clear" w:color="auto" w:fill="auto"/>
          </w:tcPr>
          <w:p w14:paraId="5EB2A0E5" w14:textId="77777777" w:rsidR="005B2641" w:rsidRPr="005B2641" w:rsidRDefault="005B2641" w:rsidP="00952C91">
            <w:pPr>
              <w:spacing w:after="40"/>
              <w:rPr>
                <w:b/>
              </w:rPr>
            </w:pPr>
            <w:r w:rsidRPr="005B2641">
              <w:rPr>
                <w:b/>
              </w:rPr>
              <w:t>Objetivo 1. Incorporar la biodiversidad en todos los sectores y en todos los paisajes terrestres y marinos</w:t>
            </w:r>
            <w:r w:rsidRPr="005B2641">
              <w:rPr>
                <w:b/>
                <w:highlight w:val="yellow"/>
              </w:rPr>
              <w:t xml:space="preserve"> </w:t>
            </w:r>
          </w:p>
        </w:tc>
      </w:tr>
      <w:tr w:rsidR="005B2641" w:rsidRPr="005B2641" w14:paraId="2D7B60FD" w14:textId="77777777" w:rsidTr="00952C91">
        <w:tc>
          <w:tcPr>
            <w:tcW w:w="1795" w:type="dxa"/>
          </w:tcPr>
          <w:p w14:paraId="1881A618" w14:textId="77777777" w:rsidR="005B2641" w:rsidRPr="005B2641" w:rsidRDefault="005B2641" w:rsidP="00952C91">
            <w:r w:rsidRPr="005B2641">
              <w:t>1-1</w:t>
            </w:r>
          </w:p>
        </w:tc>
        <w:tc>
          <w:tcPr>
            <w:tcW w:w="7555" w:type="dxa"/>
          </w:tcPr>
          <w:p w14:paraId="40CDAD3A" w14:textId="77777777" w:rsidR="005B2641" w:rsidRPr="005B2641" w:rsidRDefault="005B2641" w:rsidP="00952C91">
            <w:pPr>
              <w:spacing w:after="40"/>
            </w:pPr>
            <w:r w:rsidRPr="005B2641">
              <w:t>Incorporación de la biodiversidad en los sectores prioritarios</w:t>
            </w:r>
          </w:p>
        </w:tc>
      </w:tr>
      <w:tr w:rsidR="005B2641" w:rsidRPr="005B2641" w14:paraId="640EFF64" w14:textId="77777777" w:rsidTr="00952C91">
        <w:tc>
          <w:tcPr>
            <w:tcW w:w="1795" w:type="dxa"/>
          </w:tcPr>
          <w:p w14:paraId="7144985B" w14:textId="77777777" w:rsidR="005B2641" w:rsidRPr="005B2641" w:rsidRDefault="005B2641" w:rsidP="00952C91">
            <w:r w:rsidRPr="005B2641">
              <w:t>1-2a</w:t>
            </w:r>
          </w:p>
        </w:tc>
        <w:tc>
          <w:tcPr>
            <w:tcW w:w="7555" w:type="dxa"/>
          </w:tcPr>
          <w:p w14:paraId="6F95E214" w14:textId="77777777" w:rsidR="005B2641" w:rsidRPr="005B2641" w:rsidRDefault="005B2641" w:rsidP="00952C91">
            <w:pPr>
              <w:spacing w:after="40"/>
            </w:pPr>
            <w:r w:rsidRPr="005B2641">
              <w:t>Programa Mundial sobre Vida Silvestre: Prevenir la extinción de especies amenazadas conocidas</w:t>
            </w:r>
          </w:p>
        </w:tc>
      </w:tr>
      <w:tr w:rsidR="005B2641" w:rsidRPr="005B2641" w14:paraId="26CFDE46" w14:textId="77777777" w:rsidTr="00952C91">
        <w:tc>
          <w:tcPr>
            <w:tcW w:w="1795" w:type="dxa"/>
          </w:tcPr>
          <w:p w14:paraId="2E688F59" w14:textId="77777777" w:rsidR="005B2641" w:rsidRPr="005B2641" w:rsidRDefault="005B2641" w:rsidP="00952C91">
            <w:r w:rsidRPr="005B2641">
              <w:t>1-2b</w:t>
            </w:r>
          </w:p>
        </w:tc>
        <w:tc>
          <w:tcPr>
            <w:tcW w:w="7555" w:type="dxa"/>
          </w:tcPr>
          <w:p w14:paraId="7C501202" w14:textId="77777777" w:rsidR="005B2641" w:rsidRPr="005B2641" w:rsidRDefault="005B2641" w:rsidP="00952C91">
            <w:pPr>
              <w:spacing w:after="40"/>
            </w:pPr>
            <w:r w:rsidRPr="005B2641">
              <w:t>Programa Mundial sobre Vida Silvestre: Vida Silvestre para el Desarrollo Sostenible</w:t>
            </w:r>
          </w:p>
        </w:tc>
      </w:tr>
      <w:tr w:rsidR="005B2641" w:rsidRPr="005B2641" w14:paraId="77CD7C02" w14:textId="77777777" w:rsidTr="00952C91">
        <w:tc>
          <w:tcPr>
            <w:tcW w:w="1795" w:type="dxa"/>
          </w:tcPr>
          <w:p w14:paraId="0F8EED89" w14:textId="77777777" w:rsidR="005B2641" w:rsidRPr="005B2641" w:rsidRDefault="005B2641" w:rsidP="00952C91">
            <w:r w:rsidRPr="005B2641">
              <w:t>1-3</w:t>
            </w:r>
          </w:p>
        </w:tc>
        <w:tc>
          <w:tcPr>
            <w:tcW w:w="7555" w:type="dxa"/>
          </w:tcPr>
          <w:p w14:paraId="793B6CE5" w14:textId="77777777" w:rsidR="005B2641" w:rsidRPr="005B2641" w:rsidRDefault="005B2641" w:rsidP="00952C91">
            <w:pPr>
              <w:spacing w:after="40"/>
            </w:pPr>
            <w:r w:rsidRPr="005B2641">
              <w:t>Evaluación y contabilidad del capital natural</w:t>
            </w:r>
          </w:p>
        </w:tc>
      </w:tr>
      <w:tr w:rsidR="005B2641" w:rsidRPr="005B2641" w14:paraId="7B07814A" w14:textId="77777777" w:rsidTr="00952C91">
        <w:tc>
          <w:tcPr>
            <w:tcW w:w="1795" w:type="dxa"/>
          </w:tcPr>
          <w:p w14:paraId="211B4B72" w14:textId="77777777" w:rsidR="005B2641" w:rsidRPr="005B2641" w:rsidRDefault="005B2641" w:rsidP="00952C91">
            <w:r w:rsidRPr="005B2641">
              <w:t>1-4</w:t>
            </w:r>
          </w:p>
        </w:tc>
        <w:tc>
          <w:tcPr>
            <w:tcW w:w="7555" w:type="dxa"/>
          </w:tcPr>
          <w:p w14:paraId="2F2A0B7D" w14:textId="77777777" w:rsidR="005B2641" w:rsidRPr="005B2641" w:rsidRDefault="005B2641" w:rsidP="00952C91">
            <w:pPr>
              <w:spacing w:after="40"/>
            </w:pPr>
            <w:r w:rsidRPr="005B2641">
              <w:t>Uso sostenible de los recursos fitogenéticos y zoogenéticos</w:t>
            </w:r>
          </w:p>
        </w:tc>
      </w:tr>
      <w:tr w:rsidR="005B2641" w:rsidRPr="005B2641" w14:paraId="177CBD6C" w14:textId="77777777" w:rsidTr="00952C91">
        <w:tc>
          <w:tcPr>
            <w:tcW w:w="1795" w:type="dxa"/>
          </w:tcPr>
          <w:p w14:paraId="69F7EDA4" w14:textId="77777777" w:rsidR="005B2641" w:rsidRPr="005B2641" w:rsidRDefault="005B2641" w:rsidP="00952C91">
            <w:r w:rsidRPr="005B2641">
              <w:t>1-5</w:t>
            </w:r>
          </w:p>
        </w:tc>
        <w:tc>
          <w:tcPr>
            <w:tcW w:w="7555" w:type="dxa"/>
          </w:tcPr>
          <w:p w14:paraId="67648CDC" w14:textId="77777777" w:rsidR="005B2641" w:rsidRPr="005B2641" w:rsidRDefault="005B2641" w:rsidP="00952C91">
            <w:pPr>
              <w:spacing w:after="40"/>
            </w:pPr>
            <w:r w:rsidRPr="005B2641">
              <w:t>Conservación inclusiva</w:t>
            </w:r>
          </w:p>
        </w:tc>
      </w:tr>
      <w:tr w:rsidR="005B2641" w:rsidRPr="005B2641" w14:paraId="406372CA" w14:textId="77777777" w:rsidTr="00952C91">
        <w:tc>
          <w:tcPr>
            <w:tcW w:w="1795" w:type="dxa"/>
          </w:tcPr>
          <w:p w14:paraId="277BA87C" w14:textId="77777777" w:rsidR="005B2641" w:rsidRPr="005B2641" w:rsidRDefault="005B2641" w:rsidP="00952C91">
            <w:r w:rsidRPr="005B2641">
              <w:t>Otras áreas focales relacionadas</w:t>
            </w:r>
          </w:p>
        </w:tc>
        <w:tc>
          <w:tcPr>
            <w:tcW w:w="7555" w:type="dxa"/>
          </w:tcPr>
          <w:p w14:paraId="4DFB6521" w14:textId="77777777" w:rsidR="005B2641" w:rsidRPr="005B2641" w:rsidRDefault="005B2641" w:rsidP="00952C91">
            <w:pPr>
              <w:spacing w:after="40"/>
            </w:pPr>
            <w:r w:rsidRPr="005B2641">
              <w:t>Área focal de aguas internacionales/pesquerías sostenibles</w:t>
            </w:r>
          </w:p>
        </w:tc>
      </w:tr>
      <w:tr w:rsidR="005B2641" w:rsidRPr="005B2641" w14:paraId="6A6E5091" w14:textId="77777777" w:rsidTr="00952C91">
        <w:tc>
          <w:tcPr>
            <w:tcW w:w="1795" w:type="dxa"/>
          </w:tcPr>
          <w:p w14:paraId="42377404" w14:textId="77777777" w:rsidR="005B2641" w:rsidRPr="005B2641" w:rsidRDefault="005B2641" w:rsidP="00952C91">
            <w:r w:rsidRPr="005B2641">
              <w:t>Programas de impacto</w:t>
            </w:r>
          </w:p>
        </w:tc>
        <w:tc>
          <w:tcPr>
            <w:tcW w:w="7555" w:type="dxa"/>
          </w:tcPr>
          <w:p w14:paraId="646AA5FA" w14:textId="77777777" w:rsidR="005B2641" w:rsidRPr="005B2641" w:rsidRDefault="005B2641" w:rsidP="00952C91">
            <w:pPr>
              <w:spacing w:after="40"/>
            </w:pPr>
            <w:r w:rsidRPr="005B2641">
              <w:t>Programa de Impacto sobre Sistemas Alimentarios, y Uso y Recuperación de la Tierra</w:t>
            </w:r>
          </w:p>
        </w:tc>
      </w:tr>
      <w:tr w:rsidR="005B2641" w:rsidRPr="005B2641" w14:paraId="283DE441" w14:textId="77777777" w:rsidTr="00952C91">
        <w:tc>
          <w:tcPr>
            <w:tcW w:w="1795" w:type="dxa"/>
          </w:tcPr>
          <w:p w14:paraId="2515C855" w14:textId="77777777" w:rsidR="005B2641" w:rsidRPr="005B2641" w:rsidRDefault="005B2641" w:rsidP="00952C91"/>
        </w:tc>
        <w:tc>
          <w:tcPr>
            <w:tcW w:w="7555" w:type="dxa"/>
          </w:tcPr>
          <w:p w14:paraId="4FB32FCE" w14:textId="77777777" w:rsidR="005B2641" w:rsidRPr="005B2641" w:rsidRDefault="005B2641" w:rsidP="00952C91">
            <w:pPr>
              <w:spacing w:after="40"/>
            </w:pPr>
            <w:r w:rsidRPr="005B2641">
              <w:t>Programa de Impacto sobre Ciudades Sostenibles</w:t>
            </w:r>
          </w:p>
        </w:tc>
      </w:tr>
      <w:tr w:rsidR="005B2641" w:rsidRPr="005B2641" w14:paraId="1BDF207D" w14:textId="77777777" w:rsidTr="00952C91">
        <w:tc>
          <w:tcPr>
            <w:tcW w:w="1795" w:type="dxa"/>
          </w:tcPr>
          <w:p w14:paraId="696A5319" w14:textId="77777777" w:rsidR="005B2641" w:rsidRPr="005B2641" w:rsidRDefault="005B2641" w:rsidP="00952C91"/>
        </w:tc>
        <w:tc>
          <w:tcPr>
            <w:tcW w:w="7555" w:type="dxa"/>
          </w:tcPr>
          <w:p w14:paraId="2F02DCD8" w14:textId="77777777" w:rsidR="005B2641" w:rsidRPr="005B2641" w:rsidRDefault="005B2641" w:rsidP="00952C91">
            <w:pPr>
              <w:spacing w:after="40"/>
            </w:pPr>
            <w:r w:rsidRPr="005B2641">
              <w:t>Programa de Impacto sobre Gestión Forestal Sostenible</w:t>
            </w:r>
          </w:p>
        </w:tc>
      </w:tr>
      <w:tr w:rsidR="005B2641" w:rsidRPr="005B2641" w14:paraId="1FC0497B" w14:textId="77777777" w:rsidTr="00952C91">
        <w:tc>
          <w:tcPr>
            <w:tcW w:w="9350" w:type="dxa"/>
            <w:gridSpan w:val="2"/>
            <w:shd w:val="clear" w:color="auto" w:fill="auto"/>
          </w:tcPr>
          <w:p w14:paraId="59EE22F7" w14:textId="77777777" w:rsidR="005B2641" w:rsidRPr="005B2641" w:rsidRDefault="005B2641" w:rsidP="00952C91">
            <w:pPr>
              <w:spacing w:after="40"/>
              <w:rPr>
                <w:b/>
              </w:rPr>
            </w:pPr>
            <w:r w:rsidRPr="005B2641">
              <w:rPr>
                <w:b/>
              </w:rPr>
              <w:t>Objetivo 2. Abordar las causas directas para proteger los hábitats y las especies</w:t>
            </w:r>
          </w:p>
        </w:tc>
      </w:tr>
      <w:tr w:rsidR="005B2641" w:rsidRPr="005B2641" w14:paraId="59ED41E9" w14:textId="77777777" w:rsidTr="00952C91">
        <w:tc>
          <w:tcPr>
            <w:tcW w:w="1795" w:type="dxa"/>
          </w:tcPr>
          <w:p w14:paraId="2ECFAECE" w14:textId="77777777" w:rsidR="005B2641" w:rsidRPr="005B2641" w:rsidRDefault="005B2641" w:rsidP="00952C91">
            <w:r w:rsidRPr="005B2641">
              <w:t>2-6</w:t>
            </w:r>
          </w:p>
        </w:tc>
        <w:tc>
          <w:tcPr>
            <w:tcW w:w="7555" w:type="dxa"/>
          </w:tcPr>
          <w:p w14:paraId="7071D45F" w14:textId="77777777" w:rsidR="005B2641" w:rsidRPr="005B2641" w:rsidRDefault="005B2641" w:rsidP="00952C91">
            <w:pPr>
              <w:spacing w:after="40"/>
            </w:pPr>
            <w:r w:rsidRPr="005B2641">
              <w:t>Prevención, control y gestión de especies exóticas invasoras</w:t>
            </w:r>
          </w:p>
        </w:tc>
      </w:tr>
      <w:tr w:rsidR="005B2641" w:rsidRPr="005B2641" w14:paraId="003EE477" w14:textId="77777777" w:rsidTr="00952C91">
        <w:tc>
          <w:tcPr>
            <w:tcW w:w="1795" w:type="dxa"/>
          </w:tcPr>
          <w:p w14:paraId="7E067C28" w14:textId="77777777" w:rsidR="005B2641" w:rsidRPr="005B2641" w:rsidRDefault="005B2641" w:rsidP="00952C91">
            <w:r w:rsidRPr="005B2641">
              <w:t>2-7</w:t>
            </w:r>
          </w:p>
        </w:tc>
        <w:tc>
          <w:tcPr>
            <w:tcW w:w="7555" w:type="dxa"/>
          </w:tcPr>
          <w:p w14:paraId="59D5F5AD" w14:textId="77777777" w:rsidR="005B2641" w:rsidRPr="005B2641" w:rsidRDefault="005B2641" w:rsidP="00952C91">
            <w:pPr>
              <w:spacing w:after="40"/>
            </w:pPr>
            <w:r w:rsidRPr="005B2641">
              <w:t>Mejoramiento de la sostenibilidad financiera, la gestión eficaz y la cobertura por ecosistema del patrimonio mundial de zonas protegidas</w:t>
            </w:r>
          </w:p>
        </w:tc>
      </w:tr>
      <w:tr w:rsidR="005B2641" w:rsidRPr="005B2641" w14:paraId="2BF0FE47" w14:textId="77777777" w:rsidTr="00952C91">
        <w:tc>
          <w:tcPr>
            <w:tcW w:w="1795" w:type="dxa"/>
          </w:tcPr>
          <w:p w14:paraId="07CF4AF4" w14:textId="77777777" w:rsidR="005B2641" w:rsidRPr="005B2641" w:rsidRDefault="005B2641" w:rsidP="00952C91">
            <w:r w:rsidRPr="005B2641">
              <w:t>Programas de impacto</w:t>
            </w:r>
          </w:p>
        </w:tc>
        <w:tc>
          <w:tcPr>
            <w:tcW w:w="7555" w:type="dxa"/>
          </w:tcPr>
          <w:p w14:paraId="367B1C14" w14:textId="77777777" w:rsidR="005B2641" w:rsidRPr="005B2641" w:rsidRDefault="005B2641" w:rsidP="00952C91">
            <w:pPr>
              <w:spacing w:after="40"/>
            </w:pPr>
            <w:r w:rsidRPr="005B2641">
              <w:t>Programa de Impacto sobre Gestión Forestal Sostenible</w:t>
            </w:r>
          </w:p>
        </w:tc>
      </w:tr>
      <w:tr w:rsidR="005B2641" w:rsidRPr="005B2641" w14:paraId="513BF8F1" w14:textId="77777777" w:rsidTr="00952C91">
        <w:tc>
          <w:tcPr>
            <w:tcW w:w="1795" w:type="dxa"/>
          </w:tcPr>
          <w:p w14:paraId="5757BE3C" w14:textId="77777777" w:rsidR="005B2641" w:rsidRPr="005B2641" w:rsidRDefault="005B2641" w:rsidP="00952C91">
            <w:r w:rsidRPr="005B2641">
              <w:t>Otras áreas focales relacionadas</w:t>
            </w:r>
          </w:p>
        </w:tc>
        <w:tc>
          <w:tcPr>
            <w:tcW w:w="7555" w:type="dxa"/>
          </w:tcPr>
          <w:p w14:paraId="5C29F8D5" w14:textId="77777777" w:rsidR="005B2641" w:rsidRPr="005B2641" w:rsidRDefault="005B2641" w:rsidP="00952C91">
            <w:pPr>
              <w:spacing w:after="40"/>
            </w:pPr>
            <w:r w:rsidRPr="005B2641">
              <w:t>Área focal de aguas internacionales/áreas protegidas costeras y marinas</w:t>
            </w:r>
          </w:p>
        </w:tc>
      </w:tr>
      <w:tr w:rsidR="005B2641" w:rsidRPr="005B2641" w14:paraId="56B4A163" w14:textId="77777777" w:rsidTr="00952C91">
        <w:tc>
          <w:tcPr>
            <w:tcW w:w="9350" w:type="dxa"/>
            <w:gridSpan w:val="2"/>
            <w:shd w:val="clear" w:color="auto" w:fill="auto"/>
          </w:tcPr>
          <w:p w14:paraId="04CA0F2B" w14:textId="77777777" w:rsidR="005B2641" w:rsidRPr="005B2641" w:rsidRDefault="005B2641" w:rsidP="00952C91">
            <w:pPr>
              <w:spacing w:after="40"/>
              <w:rPr>
                <w:b/>
              </w:rPr>
            </w:pPr>
            <w:r w:rsidRPr="005B2641">
              <w:rPr>
                <w:b/>
              </w:rPr>
              <w:t>Objetivo 3. Seguir elaborando marcos normativos e institucionales en materia de biodiversidad</w:t>
            </w:r>
          </w:p>
        </w:tc>
      </w:tr>
      <w:tr w:rsidR="005B2641" w:rsidRPr="005B2641" w14:paraId="4019953B" w14:textId="77777777" w:rsidTr="00952C91">
        <w:tc>
          <w:tcPr>
            <w:tcW w:w="1795" w:type="dxa"/>
          </w:tcPr>
          <w:p w14:paraId="6AA038B7" w14:textId="77777777" w:rsidR="005B2641" w:rsidRPr="005B2641" w:rsidRDefault="005B2641" w:rsidP="00952C91">
            <w:r w:rsidRPr="005B2641">
              <w:t>3-8</w:t>
            </w:r>
          </w:p>
        </w:tc>
        <w:tc>
          <w:tcPr>
            <w:tcW w:w="7555" w:type="dxa"/>
          </w:tcPr>
          <w:p w14:paraId="1FACB7F2" w14:textId="77777777" w:rsidR="005B2641" w:rsidRPr="005B2641" w:rsidRDefault="005B2641" w:rsidP="00952C91">
            <w:pPr>
              <w:spacing w:after="40"/>
            </w:pPr>
            <w:r w:rsidRPr="005B2641">
              <w:t>Aplicación del Protocolo de Cartagena sobre Seguridad de la Biotecnología</w:t>
            </w:r>
          </w:p>
        </w:tc>
      </w:tr>
      <w:tr w:rsidR="005B2641" w:rsidRPr="005B2641" w14:paraId="6E1445D6" w14:textId="77777777" w:rsidTr="00952C91">
        <w:tc>
          <w:tcPr>
            <w:tcW w:w="1795" w:type="dxa"/>
          </w:tcPr>
          <w:p w14:paraId="307EDBDD" w14:textId="77777777" w:rsidR="005B2641" w:rsidRPr="005B2641" w:rsidRDefault="005B2641" w:rsidP="00952C91">
            <w:r w:rsidRPr="005B2641">
              <w:t>3-9</w:t>
            </w:r>
          </w:p>
        </w:tc>
        <w:tc>
          <w:tcPr>
            <w:tcW w:w="7555" w:type="dxa"/>
          </w:tcPr>
          <w:p w14:paraId="0DC5888D" w14:textId="77777777" w:rsidR="005B2641" w:rsidRPr="005B2641" w:rsidRDefault="005B2641" w:rsidP="00952C91">
            <w:pPr>
              <w:spacing w:after="40"/>
            </w:pPr>
            <w:r w:rsidRPr="005B2641">
              <w:t>Aplicación del Protocolo de Nagoya sobre Acceso y Participación en los Beneficios</w:t>
            </w:r>
          </w:p>
        </w:tc>
      </w:tr>
      <w:tr w:rsidR="005B2641" w:rsidRPr="005B2641" w14:paraId="49E57BD5" w14:textId="77777777" w:rsidTr="00952C91">
        <w:tc>
          <w:tcPr>
            <w:tcW w:w="1795" w:type="dxa"/>
          </w:tcPr>
          <w:p w14:paraId="1AC820ED" w14:textId="77777777" w:rsidR="005B2641" w:rsidRPr="005B2641" w:rsidRDefault="005B2641" w:rsidP="00952C91">
            <w:r w:rsidRPr="005B2641">
              <w:t>Actividades habilitantes</w:t>
            </w:r>
          </w:p>
        </w:tc>
        <w:tc>
          <w:tcPr>
            <w:tcW w:w="7555" w:type="dxa"/>
          </w:tcPr>
          <w:p w14:paraId="0AA3D315" w14:textId="77777777" w:rsidR="005B2641" w:rsidRPr="005B2641" w:rsidRDefault="005B2641" w:rsidP="00952C91">
            <w:pPr>
              <w:spacing w:after="40"/>
            </w:pPr>
            <w:r w:rsidRPr="005B2641">
              <w:t>Mejoramiento de las políticas, la planificación y los exámenes en materia de biodiversidad</w:t>
            </w:r>
          </w:p>
        </w:tc>
      </w:tr>
    </w:tbl>
    <w:bookmarkEnd w:id="22"/>
    <w:p w14:paraId="03CC84DB"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hAnsi="Calibri" w:cs="Times New Roman"/>
          <w:sz w:val="24"/>
          <w:szCs w:val="24"/>
        </w:rPr>
      </w:pPr>
      <w:r w:rsidRPr="005B2641">
        <w:rPr>
          <w:rFonts w:ascii="Calibri" w:hAnsi="Calibri"/>
          <w:sz w:val="24"/>
          <w:szCs w:val="24"/>
        </w:rPr>
        <w:t xml:space="preserve">Si bien algunas inversiones del FMAM en biodiversidad se corresponden exactamente con determinadas Metas de Aichi, como la Meta 11 sobre zonas protegidas, otras contribuyen a varias metas a la vez, por lo que presentar información sobre la asignación de recursos para cada una de las metas resulta una tarea muy dificultosa. Esto es especialmente cierto en el caso de la incorporación de la biodiversidad: un análisis de los recursos invertidos (en dólares) en proyectos de incorporación de la diversidad biológica reveló que las actividades de los </w:t>
      </w:r>
      <w:r w:rsidRPr="005B2641">
        <w:rPr>
          <w:rFonts w:ascii="Calibri" w:hAnsi="Calibri"/>
          <w:sz w:val="24"/>
          <w:szCs w:val="24"/>
        </w:rPr>
        <w:lastRenderedPageBreak/>
        <w:t>proyectos del FMAM a menudo contribuyen a más de una de las Metas de Aichi, debido a la naturaleza integrada de esas inversiones y a la descripción de las propias metas.</w:t>
      </w:r>
    </w:p>
    <w:p w14:paraId="58117D4E"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hAnsi="Calibri" w:cs="Times New Roman"/>
          <w:sz w:val="24"/>
          <w:szCs w:val="24"/>
        </w:rPr>
      </w:pPr>
      <w:r w:rsidRPr="005B2641">
        <w:rPr>
          <w:rFonts w:ascii="Calibri" w:hAnsi="Calibri"/>
          <w:sz w:val="24"/>
          <w:szCs w:val="24"/>
        </w:rPr>
        <w:t>Para presentar los recursos programados que figuran en los cuadros siguientes, algunas metas se han agrupado y no se han desagregado en función del monto total de recursos invertidos en cada una de ellas.</w:t>
      </w:r>
    </w:p>
    <w:p w14:paraId="3200F892" w14:textId="77777777" w:rsidR="005B2641" w:rsidRPr="005B2641" w:rsidRDefault="005B2641" w:rsidP="005B2641">
      <w:pPr>
        <w:pStyle w:val="Prrafodelista"/>
        <w:numPr>
          <w:ilvl w:val="0"/>
          <w:numId w:val="25"/>
        </w:numPr>
        <w:spacing w:before="240" w:after="240" w:line="240" w:lineRule="auto"/>
        <w:ind w:left="0" w:firstLine="0"/>
        <w:contextualSpacing w:val="0"/>
      </w:pPr>
      <w:r w:rsidRPr="005B2641">
        <w:rPr>
          <w:rFonts w:ascii="Calibri" w:hAnsi="Calibri"/>
          <w:bCs/>
          <w:sz w:val="24"/>
          <w:szCs w:val="24"/>
        </w:rPr>
        <w:t xml:space="preserve">En el cuadro 4 se muestran </w:t>
      </w:r>
      <w:bookmarkStart w:id="23" w:name="_Hlk32178128"/>
      <w:r w:rsidRPr="005B2641">
        <w:rPr>
          <w:rFonts w:ascii="Calibri" w:hAnsi="Calibri"/>
          <w:bCs/>
          <w:sz w:val="24"/>
          <w:szCs w:val="24"/>
        </w:rPr>
        <w:t>todas las contribuciones acumulativas directas de todos los recursos del FMAM a las Metas de Aichi para la Diversidad Biológica indicando todas las respectivas líneas de programación pertinentes en el FMAM-7 (la estrategia del área focal de biodiversidad, los programas de impacto del FMAM-7, el área focal de aguas internacionales, el Fondo para los Países Menos Adelantados [FPMA] para la adaptación al cambio climático, el instrumento distinto de las donaciones y el Programa de Pequeñas Donaciones [PPD]). El valor total de la inversión del FMAM en los primeros 18 meses del FMAM-7 fue de USD 1056 millones, que movilizaron USD 8955 millones en cofinanciamiento, con lo que la inversión total ascendió a USD 10 010 millones.</w:t>
      </w:r>
    </w:p>
    <w:bookmarkEnd w:id="23"/>
    <w:p w14:paraId="6A4CCDB5" w14:textId="77777777" w:rsidR="005B2641" w:rsidRPr="005B2641" w:rsidRDefault="005B2641" w:rsidP="005B2641">
      <w:pPr>
        <w:spacing w:before="240" w:after="240" w:line="240" w:lineRule="auto"/>
        <w:jc w:val="center"/>
        <w:rPr>
          <w:b/>
          <w:sz w:val="24"/>
          <w:szCs w:val="24"/>
        </w:rPr>
      </w:pPr>
      <w:r w:rsidRPr="005B2641">
        <w:rPr>
          <w:b/>
          <w:sz w:val="24"/>
          <w:szCs w:val="24"/>
        </w:rPr>
        <w:t>Cuadro 4. Contribución acumulativa directa de todos los recursos del FMAM</w:t>
      </w:r>
      <w:r w:rsidRPr="005B2641">
        <w:rPr>
          <w:b/>
          <w:sz w:val="24"/>
          <w:szCs w:val="24"/>
        </w:rPr>
        <w:br/>
        <w:t>al Plan Estratégico para la Diversidad Biológica 2011-20 y al cumplimiento</w:t>
      </w:r>
      <w:r w:rsidRPr="005B2641">
        <w:rPr>
          <w:b/>
          <w:sz w:val="24"/>
          <w:szCs w:val="24"/>
        </w:rPr>
        <w:br/>
        <w:t>de las Metas de Aichi para la Diversidad Biológica</w:t>
      </w:r>
      <w:r w:rsidRPr="005B2641">
        <w:rPr>
          <w:b/>
          <w:sz w:val="24"/>
          <w:szCs w:val="24"/>
        </w:rPr>
        <w:br/>
        <w:t>(del 1 de julio de 2018 al 31 de diciembre de 2019)</w:t>
      </w:r>
      <w:r w:rsidRPr="005B2641">
        <w:rPr>
          <w:sz w:val="24"/>
          <w:szCs w:val="24"/>
          <w:vertAlign w:val="superscript"/>
        </w:rPr>
        <w:footnoteReference w:id="7"/>
      </w:r>
    </w:p>
    <w:tbl>
      <w:tblPr>
        <w:tblW w:w="5000" w:type="pct"/>
        <w:tblBorders>
          <w:top w:val="single" w:sz="12" w:space="0" w:color="008000"/>
          <w:bottom w:val="single" w:sz="12" w:space="0" w:color="008000"/>
        </w:tblBorders>
        <w:tblLook w:val="04A0" w:firstRow="1" w:lastRow="0" w:firstColumn="1" w:lastColumn="0" w:noHBand="0" w:noVBand="1"/>
      </w:tblPr>
      <w:tblGrid>
        <w:gridCol w:w="1541"/>
        <w:gridCol w:w="1881"/>
        <w:gridCol w:w="1243"/>
        <w:gridCol w:w="1074"/>
        <w:gridCol w:w="1113"/>
        <w:gridCol w:w="1254"/>
        <w:gridCol w:w="1254"/>
      </w:tblGrid>
      <w:tr w:rsidR="005B2641" w:rsidRPr="005B2641" w14:paraId="06BEB5C6" w14:textId="77777777" w:rsidTr="00952C91">
        <w:trPr>
          <w:tblHeader/>
        </w:trPr>
        <w:tc>
          <w:tcPr>
            <w:tcW w:w="826" w:type="pct"/>
            <w:tcBorders>
              <w:bottom w:val="nil"/>
            </w:tcBorders>
            <w:shd w:val="clear" w:color="auto" w:fill="auto"/>
          </w:tcPr>
          <w:p w14:paraId="1F7C7C56" w14:textId="77777777" w:rsidR="005B2641" w:rsidRPr="005B2641" w:rsidRDefault="005B2641" w:rsidP="00952C91">
            <w:pPr>
              <w:rPr>
                <w:b/>
                <w:sz w:val="20"/>
                <w:szCs w:val="20"/>
              </w:rPr>
            </w:pPr>
            <w:r w:rsidRPr="005B2641">
              <w:rPr>
                <w:b/>
                <w:sz w:val="20"/>
                <w:szCs w:val="20"/>
              </w:rPr>
              <w:t>Fuente de financ.</w:t>
            </w:r>
          </w:p>
        </w:tc>
        <w:tc>
          <w:tcPr>
            <w:tcW w:w="1007" w:type="pct"/>
            <w:tcBorders>
              <w:bottom w:val="nil"/>
            </w:tcBorders>
            <w:shd w:val="clear" w:color="auto" w:fill="auto"/>
          </w:tcPr>
          <w:p w14:paraId="05BAB215" w14:textId="77777777" w:rsidR="005B2641" w:rsidRPr="005B2641" w:rsidRDefault="005B2641" w:rsidP="00952C91">
            <w:pPr>
              <w:rPr>
                <w:b/>
                <w:sz w:val="20"/>
                <w:szCs w:val="20"/>
              </w:rPr>
            </w:pPr>
            <w:r w:rsidRPr="005B2641">
              <w:rPr>
                <w:b/>
                <w:sz w:val="20"/>
                <w:szCs w:val="20"/>
              </w:rPr>
              <w:t>Financ. del FMAM para proyectos (en millones de USD)</w:t>
            </w:r>
          </w:p>
        </w:tc>
        <w:tc>
          <w:tcPr>
            <w:tcW w:w="666" w:type="pct"/>
            <w:tcBorders>
              <w:bottom w:val="nil"/>
            </w:tcBorders>
            <w:shd w:val="clear" w:color="auto" w:fill="auto"/>
          </w:tcPr>
          <w:p w14:paraId="664E8400" w14:textId="77777777" w:rsidR="005B2641" w:rsidRPr="005B2641" w:rsidRDefault="005B2641" w:rsidP="00952C91">
            <w:pPr>
              <w:rPr>
                <w:b/>
                <w:sz w:val="20"/>
                <w:szCs w:val="20"/>
              </w:rPr>
            </w:pPr>
            <w:r w:rsidRPr="005B2641">
              <w:rPr>
                <w:b/>
                <w:sz w:val="20"/>
                <w:szCs w:val="20"/>
              </w:rPr>
              <w:t>Porcentaje del total de financ. del FMAM para proyectos</w:t>
            </w:r>
          </w:p>
        </w:tc>
        <w:tc>
          <w:tcPr>
            <w:tcW w:w="576" w:type="pct"/>
            <w:tcBorders>
              <w:bottom w:val="nil"/>
            </w:tcBorders>
            <w:shd w:val="clear" w:color="auto" w:fill="auto"/>
          </w:tcPr>
          <w:p w14:paraId="6D2AF2ED" w14:textId="77777777" w:rsidR="005B2641" w:rsidRPr="005B2641" w:rsidRDefault="005B2641" w:rsidP="00952C91">
            <w:pPr>
              <w:rPr>
                <w:b/>
                <w:sz w:val="20"/>
                <w:szCs w:val="20"/>
              </w:rPr>
            </w:pPr>
            <w:r w:rsidRPr="005B2641">
              <w:rPr>
                <w:b/>
                <w:sz w:val="20"/>
                <w:szCs w:val="20"/>
              </w:rPr>
              <w:t>Cofinanc. (en millones de USD)</w:t>
            </w:r>
          </w:p>
        </w:tc>
        <w:tc>
          <w:tcPr>
            <w:tcW w:w="581" w:type="pct"/>
            <w:tcBorders>
              <w:bottom w:val="nil"/>
            </w:tcBorders>
            <w:shd w:val="clear" w:color="auto" w:fill="auto"/>
          </w:tcPr>
          <w:p w14:paraId="23B662C3" w14:textId="77777777" w:rsidR="005B2641" w:rsidRPr="005B2641" w:rsidRDefault="005B2641" w:rsidP="00952C91">
            <w:pPr>
              <w:rPr>
                <w:b/>
                <w:sz w:val="20"/>
                <w:szCs w:val="20"/>
              </w:rPr>
            </w:pPr>
            <w:r w:rsidRPr="005B2641">
              <w:rPr>
                <w:b/>
                <w:sz w:val="20"/>
                <w:szCs w:val="20"/>
              </w:rPr>
              <w:t>Porcentaje de cofinanc.</w:t>
            </w:r>
          </w:p>
        </w:tc>
        <w:tc>
          <w:tcPr>
            <w:tcW w:w="672" w:type="pct"/>
            <w:tcBorders>
              <w:bottom w:val="nil"/>
            </w:tcBorders>
            <w:shd w:val="clear" w:color="auto" w:fill="auto"/>
          </w:tcPr>
          <w:p w14:paraId="26F7A5A3" w14:textId="77777777" w:rsidR="005B2641" w:rsidRPr="005B2641" w:rsidRDefault="005B2641" w:rsidP="00952C91">
            <w:pPr>
              <w:rPr>
                <w:b/>
                <w:sz w:val="20"/>
                <w:szCs w:val="20"/>
              </w:rPr>
            </w:pPr>
            <w:r w:rsidRPr="005B2641">
              <w:rPr>
                <w:b/>
                <w:sz w:val="20"/>
                <w:szCs w:val="20"/>
              </w:rPr>
              <w:t>Total</w:t>
            </w:r>
            <w:r w:rsidRPr="005B2641">
              <w:rPr>
                <w:b/>
                <w:sz w:val="20"/>
                <w:szCs w:val="20"/>
              </w:rPr>
              <w:br/>
              <w:t xml:space="preserve">(financ. del FMAM para proyectos y cofinanc.) </w:t>
            </w:r>
            <w:r w:rsidRPr="005B2641">
              <w:rPr>
                <w:b/>
                <w:sz w:val="20"/>
                <w:szCs w:val="20"/>
              </w:rPr>
              <w:br/>
              <w:t>(en millones de USD)</w:t>
            </w:r>
          </w:p>
        </w:tc>
        <w:tc>
          <w:tcPr>
            <w:tcW w:w="672" w:type="pct"/>
            <w:tcBorders>
              <w:bottom w:val="nil"/>
            </w:tcBorders>
            <w:shd w:val="clear" w:color="auto" w:fill="auto"/>
          </w:tcPr>
          <w:p w14:paraId="059A2D0B" w14:textId="77777777" w:rsidR="005B2641" w:rsidRPr="005B2641" w:rsidRDefault="005B2641" w:rsidP="00952C91">
            <w:pPr>
              <w:rPr>
                <w:b/>
                <w:sz w:val="20"/>
                <w:szCs w:val="20"/>
              </w:rPr>
            </w:pPr>
            <w:r w:rsidRPr="005B2641">
              <w:rPr>
                <w:b/>
                <w:sz w:val="20"/>
                <w:szCs w:val="20"/>
              </w:rPr>
              <w:t>Porcentaje del total (financ. del FMAM para proyectos y cofinanc.)</w:t>
            </w:r>
          </w:p>
        </w:tc>
      </w:tr>
      <w:tr w:rsidR="005B2641" w:rsidRPr="005B2641" w14:paraId="759799A0" w14:textId="77777777" w:rsidTr="00952C91">
        <w:tc>
          <w:tcPr>
            <w:tcW w:w="826" w:type="pct"/>
            <w:tcBorders>
              <w:top w:val="single" w:sz="4" w:space="0" w:color="538135" w:themeColor="accent6" w:themeShade="BF"/>
              <w:left w:val="nil"/>
              <w:bottom w:val="nil"/>
              <w:right w:val="nil"/>
            </w:tcBorders>
            <w:shd w:val="clear" w:color="auto" w:fill="FFFFFF" w:themeFill="background1"/>
          </w:tcPr>
          <w:p w14:paraId="5D5017F0" w14:textId="77777777" w:rsidR="005B2641" w:rsidRPr="005B2641" w:rsidRDefault="005B2641" w:rsidP="00952C91">
            <w:pPr>
              <w:rPr>
                <w:sz w:val="20"/>
                <w:szCs w:val="20"/>
              </w:rPr>
            </w:pPr>
            <w:r w:rsidRPr="005B2641">
              <w:rPr>
                <w:sz w:val="20"/>
                <w:szCs w:val="20"/>
              </w:rPr>
              <w:t>Asignaciones del SATR para la biodiversidad</w:t>
            </w:r>
            <w:r w:rsidRPr="005B2641">
              <w:rPr>
                <w:rStyle w:val="Refdenotaalpie"/>
                <w:sz w:val="20"/>
                <w:szCs w:val="20"/>
              </w:rPr>
              <w:footnoteReference w:id="8"/>
            </w:r>
          </w:p>
        </w:tc>
        <w:tc>
          <w:tcPr>
            <w:tcW w:w="1007" w:type="pct"/>
            <w:tcBorders>
              <w:top w:val="single" w:sz="4" w:space="0" w:color="538135" w:themeColor="accent6" w:themeShade="BF"/>
              <w:left w:val="nil"/>
              <w:bottom w:val="nil"/>
              <w:right w:val="nil"/>
            </w:tcBorders>
            <w:shd w:val="clear" w:color="auto" w:fill="FFFFFF" w:themeFill="background1"/>
          </w:tcPr>
          <w:p w14:paraId="64B33611" w14:textId="77777777" w:rsidR="005B2641" w:rsidRPr="005B2641" w:rsidRDefault="005B2641" w:rsidP="00952C91">
            <w:pPr>
              <w:jc w:val="right"/>
              <w:rPr>
                <w:sz w:val="20"/>
                <w:szCs w:val="20"/>
              </w:rPr>
            </w:pPr>
            <w:r w:rsidRPr="005B2641">
              <w:rPr>
                <w:sz w:val="20"/>
                <w:szCs w:val="20"/>
              </w:rPr>
              <w:t>201,3</w:t>
            </w:r>
          </w:p>
        </w:tc>
        <w:tc>
          <w:tcPr>
            <w:tcW w:w="666" w:type="pct"/>
            <w:tcBorders>
              <w:top w:val="single" w:sz="4" w:space="0" w:color="538135" w:themeColor="accent6" w:themeShade="BF"/>
              <w:left w:val="nil"/>
              <w:bottom w:val="nil"/>
              <w:right w:val="nil"/>
            </w:tcBorders>
            <w:shd w:val="clear" w:color="auto" w:fill="FFFFFF" w:themeFill="background1"/>
          </w:tcPr>
          <w:p w14:paraId="4A2E08E3" w14:textId="77777777" w:rsidR="005B2641" w:rsidRPr="005B2641" w:rsidRDefault="005B2641" w:rsidP="00952C91">
            <w:pPr>
              <w:jc w:val="right"/>
              <w:rPr>
                <w:sz w:val="20"/>
                <w:szCs w:val="20"/>
              </w:rPr>
            </w:pPr>
            <w:r w:rsidRPr="005B2641">
              <w:rPr>
                <w:rFonts w:ascii="Calibri" w:hAnsi="Calibri"/>
                <w:color w:val="000000"/>
                <w:sz w:val="20"/>
                <w:szCs w:val="20"/>
              </w:rPr>
              <w:t>19 %</w:t>
            </w:r>
          </w:p>
        </w:tc>
        <w:tc>
          <w:tcPr>
            <w:tcW w:w="576" w:type="pct"/>
            <w:tcBorders>
              <w:top w:val="single" w:sz="4" w:space="0" w:color="538135" w:themeColor="accent6" w:themeShade="BF"/>
              <w:left w:val="nil"/>
              <w:bottom w:val="nil"/>
              <w:right w:val="nil"/>
            </w:tcBorders>
            <w:shd w:val="clear" w:color="auto" w:fill="FFFFFF" w:themeFill="background1"/>
          </w:tcPr>
          <w:p w14:paraId="6317B6B8" w14:textId="77777777" w:rsidR="005B2641" w:rsidRPr="005B2641" w:rsidRDefault="005B2641" w:rsidP="00952C91">
            <w:pPr>
              <w:jc w:val="right"/>
              <w:rPr>
                <w:sz w:val="20"/>
                <w:szCs w:val="20"/>
              </w:rPr>
            </w:pPr>
            <w:r w:rsidRPr="005B2641">
              <w:rPr>
                <w:rFonts w:ascii="Calibri" w:hAnsi="Calibri"/>
                <w:color w:val="000000"/>
                <w:sz w:val="20"/>
                <w:szCs w:val="20"/>
              </w:rPr>
              <w:t>1428,6</w:t>
            </w:r>
          </w:p>
        </w:tc>
        <w:tc>
          <w:tcPr>
            <w:tcW w:w="581" w:type="pct"/>
            <w:tcBorders>
              <w:top w:val="single" w:sz="4" w:space="0" w:color="538135" w:themeColor="accent6" w:themeShade="BF"/>
              <w:left w:val="nil"/>
              <w:bottom w:val="nil"/>
              <w:right w:val="nil"/>
            </w:tcBorders>
            <w:shd w:val="clear" w:color="auto" w:fill="FFFFFF" w:themeFill="background1"/>
          </w:tcPr>
          <w:p w14:paraId="1FC98AE9" w14:textId="77777777" w:rsidR="005B2641" w:rsidRPr="005B2641" w:rsidRDefault="005B2641" w:rsidP="00952C91">
            <w:pPr>
              <w:jc w:val="right"/>
              <w:rPr>
                <w:sz w:val="20"/>
                <w:szCs w:val="20"/>
              </w:rPr>
            </w:pPr>
            <w:r w:rsidRPr="005B2641">
              <w:rPr>
                <w:rFonts w:ascii="Calibri" w:hAnsi="Calibri"/>
                <w:color w:val="000000"/>
                <w:sz w:val="20"/>
                <w:szCs w:val="20"/>
              </w:rPr>
              <w:t>16 %</w:t>
            </w:r>
          </w:p>
        </w:tc>
        <w:tc>
          <w:tcPr>
            <w:tcW w:w="672" w:type="pct"/>
            <w:tcBorders>
              <w:top w:val="single" w:sz="4" w:space="0" w:color="538135" w:themeColor="accent6" w:themeShade="BF"/>
              <w:left w:val="nil"/>
              <w:bottom w:val="nil"/>
              <w:right w:val="nil"/>
            </w:tcBorders>
            <w:shd w:val="clear" w:color="auto" w:fill="FFFFFF" w:themeFill="background1"/>
          </w:tcPr>
          <w:p w14:paraId="11E2CCDC" w14:textId="77777777" w:rsidR="005B2641" w:rsidRPr="005B2641" w:rsidRDefault="005B2641" w:rsidP="00952C91">
            <w:pPr>
              <w:jc w:val="right"/>
              <w:rPr>
                <w:sz w:val="20"/>
                <w:szCs w:val="20"/>
              </w:rPr>
            </w:pPr>
            <w:r w:rsidRPr="005B2641">
              <w:rPr>
                <w:rFonts w:ascii="Calibri" w:hAnsi="Calibri"/>
                <w:color w:val="000000"/>
                <w:sz w:val="20"/>
                <w:szCs w:val="20"/>
              </w:rPr>
              <w:t>1629,9</w:t>
            </w:r>
          </w:p>
        </w:tc>
        <w:tc>
          <w:tcPr>
            <w:tcW w:w="672" w:type="pct"/>
            <w:tcBorders>
              <w:top w:val="single" w:sz="4" w:space="0" w:color="538135" w:themeColor="accent6" w:themeShade="BF"/>
              <w:left w:val="nil"/>
              <w:bottom w:val="nil"/>
              <w:right w:val="nil"/>
            </w:tcBorders>
            <w:shd w:val="clear" w:color="auto" w:fill="FFFFFF" w:themeFill="background1"/>
          </w:tcPr>
          <w:p w14:paraId="44D9E0F3" w14:textId="77777777" w:rsidR="005B2641" w:rsidRPr="005B2641" w:rsidRDefault="005B2641" w:rsidP="00952C91">
            <w:pPr>
              <w:jc w:val="right"/>
              <w:rPr>
                <w:sz w:val="20"/>
                <w:szCs w:val="20"/>
              </w:rPr>
            </w:pPr>
            <w:r w:rsidRPr="005B2641">
              <w:rPr>
                <w:rFonts w:ascii="Calibri" w:hAnsi="Calibri"/>
                <w:color w:val="000000"/>
                <w:sz w:val="20"/>
                <w:szCs w:val="20"/>
              </w:rPr>
              <w:t>16 %</w:t>
            </w:r>
          </w:p>
        </w:tc>
      </w:tr>
      <w:tr w:rsidR="005B2641" w:rsidRPr="005B2641" w14:paraId="757976C8" w14:textId="77777777" w:rsidTr="00952C91">
        <w:tc>
          <w:tcPr>
            <w:tcW w:w="826" w:type="pct"/>
            <w:tcBorders>
              <w:top w:val="nil"/>
              <w:left w:val="nil"/>
              <w:bottom w:val="nil"/>
              <w:right w:val="nil"/>
            </w:tcBorders>
            <w:shd w:val="clear" w:color="auto" w:fill="auto"/>
          </w:tcPr>
          <w:p w14:paraId="53ED76AD" w14:textId="77777777" w:rsidR="005B2641" w:rsidRPr="005B2641" w:rsidRDefault="005B2641" w:rsidP="00952C91">
            <w:pPr>
              <w:rPr>
                <w:sz w:val="20"/>
                <w:szCs w:val="20"/>
              </w:rPr>
            </w:pPr>
            <w:r w:rsidRPr="005B2641">
              <w:rPr>
                <w:sz w:val="20"/>
                <w:szCs w:val="20"/>
              </w:rPr>
              <w:t>Programa de Impacto sobre Sistemas Alimentarios, y Uso y Recuperación de la Tierra</w:t>
            </w:r>
          </w:p>
        </w:tc>
        <w:tc>
          <w:tcPr>
            <w:tcW w:w="1007" w:type="pct"/>
            <w:tcBorders>
              <w:top w:val="nil"/>
              <w:left w:val="nil"/>
              <w:bottom w:val="nil"/>
              <w:right w:val="nil"/>
            </w:tcBorders>
            <w:shd w:val="clear" w:color="auto" w:fill="auto"/>
          </w:tcPr>
          <w:p w14:paraId="57EEA5E2" w14:textId="77777777" w:rsidR="005B2641" w:rsidRPr="005B2641" w:rsidRDefault="005B2641" w:rsidP="00952C91">
            <w:pPr>
              <w:jc w:val="right"/>
              <w:rPr>
                <w:sz w:val="20"/>
                <w:szCs w:val="20"/>
              </w:rPr>
            </w:pPr>
            <w:r w:rsidRPr="005B2641">
              <w:rPr>
                <w:sz w:val="20"/>
                <w:szCs w:val="20"/>
              </w:rPr>
              <w:t>281,2</w:t>
            </w:r>
          </w:p>
          <w:p w14:paraId="795EC389" w14:textId="77777777" w:rsidR="005B2641" w:rsidRPr="005B2641" w:rsidRDefault="005B2641" w:rsidP="00952C91">
            <w:pPr>
              <w:jc w:val="right"/>
              <w:rPr>
                <w:sz w:val="20"/>
                <w:szCs w:val="20"/>
              </w:rPr>
            </w:pPr>
            <w:r w:rsidRPr="005B2641">
              <w:rPr>
                <w:sz w:val="20"/>
                <w:szCs w:val="20"/>
              </w:rPr>
              <w:t>(asignaciones del SATR para la biodiversidad por valor de USD 95,3 millones)</w:t>
            </w:r>
          </w:p>
        </w:tc>
        <w:tc>
          <w:tcPr>
            <w:tcW w:w="666" w:type="pct"/>
            <w:tcBorders>
              <w:top w:val="nil"/>
              <w:left w:val="nil"/>
              <w:bottom w:val="nil"/>
              <w:right w:val="nil"/>
            </w:tcBorders>
            <w:shd w:val="clear" w:color="auto" w:fill="auto"/>
          </w:tcPr>
          <w:p w14:paraId="43806950" w14:textId="77777777" w:rsidR="005B2641" w:rsidRPr="005B2641" w:rsidRDefault="005B2641" w:rsidP="00952C91">
            <w:pPr>
              <w:jc w:val="right"/>
              <w:rPr>
                <w:sz w:val="20"/>
                <w:szCs w:val="20"/>
              </w:rPr>
            </w:pPr>
            <w:r w:rsidRPr="005B2641">
              <w:rPr>
                <w:rFonts w:ascii="Calibri" w:hAnsi="Calibri"/>
                <w:color w:val="000000"/>
                <w:sz w:val="20"/>
                <w:szCs w:val="20"/>
              </w:rPr>
              <w:t>27 %</w:t>
            </w:r>
          </w:p>
        </w:tc>
        <w:tc>
          <w:tcPr>
            <w:tcW w:w="576" w:type="pct"/>
            <w:tcBorders>
              <w:top w:val="nil"/>
              <w:left w:val="nil"/>
              <w:bottom w:val="nil"/>
              <w:right w:val="nil"/>
            </w:tcBorders>
            <w:shd w:val="clear" w:color="auto" w:fill="auto"/>
          </w:tcPr>
          <w:p w14:paraId="3054F65C" w14:textId="77777777" w:rsidR="005B2641" w:rsidRPr="005B2641" w:rsidRDefault="005B2641" w:rsidP="00952C91">
            <w:pPr>
              <w:jc w:val="right"/>
              <w:rPr>
                <w:sz w:val="20"/>
                <w:szCs w:val="20"/>
              </w:rPr>
            </w:pPr>
            <w:r w:rsidRPr="005B2641">
              <w:rPr>
                <w:rFonts w:ascii="Calibri" w:hAnsi="Calibri"/>
                <w:color w:val="000000"/>
                <w:sz w:val="20"/>
                <w:szCs w:val="20"/>
              </w:rPr>
              <w:t>2515,4</w:t>
            </w:r>
          </w:p>
        </w:tc>
        <w:tc>
          <w:tcPr>
            <w:tcW w:w="581" w:type="pct"/>
            <w:tcBorders>
              <w:top w:val="nil"/>
              <w:left w:val="nil"/>
              <w:bottom w:val="nil"/>
              <w:right w:val="nil"/>
            </w:tcBorders>
            <w:shd w:val="clear" w:color="auto" w:fill="auto"/>
          </w:tcPr>
          <w:p w14:paraId="467BE829" w14:textId="77777777" w:rsidR="005B2641" w:rsidRPr="005B2641" w:rsidRDefault="005B2641" w:rsidP="00952C91">
            <w:pPr>
              <w:jc w:val="right"/>
              <w:rPr>
                <w:sz w:val="20"/>
                <w:szCs w:val="20"/>
              </w:rPr>
            </w:pPr>
            <w:r w:rsidRPr="005B2641">
              <w:rPr>
                <w:rFonts w:ascii="Calibri" w:hAnsi="Calibri"/>
                <w:color w:val="000000"/>
                <w:sz w:val="20"/>
                <w:szCs w:val="20"/>
              </w:rPr>
              <w:t>28 %</w:t>
            </w:r>
          </w:p>
        </w:tc>
        <w:tc>
          <w:tcPr>
            <w:tcW w:w="672" w:type="pct"/>
            <w:tcBorders>
              <w:top w:val="nil"/>
              <w:left w:val="nil"/>
              <w:bottom w:val="nil"/>
              <w:right w:val="nil"/>
            </w:tcBorders>
            <w:shd w:val="clear" w:color="auto" w:fill="auto"/>
          </w:tcPr>
          <w:p w14:paraId="1A864457" w14:textId="77777777" w:rsidR="005B2641" w:rsidRPr="005B2641" w:rsidRDefault="005B2641" w:rsidP="00952C91">
            <w:pPr>
              <w:jc w:val="right"/>
              <w:rPr>
                <w:rFonts w:ascii="Calibri" w:hAnsi="Calibri" w:cs="Calibri"/>
                <w:color w:val="000000"/>
                <w:sz w:val="20"/>
                <w:szCs w:val="20"/>
              </w:rPr>
            </w:pPr>
            <w:r w:rsidRPr="005B2641">
              <w:rPr>
                <w:rFonts w:ascii="Calibri" w:hAnsi="Calibri"/>
                <w:color w:val="000000"/>
                <w:sz w:val="20"/>
                <w:szCs w:val="20"/>
              </w:rPr>
              <w:t>2796,6</w:t>
            </w:r>
          </w:p>
          <w:p w14:paraId="2BF8701C" w14:textId="77777777" w:rsidR="005B2641" w:rsidRPr="005B2641" w:rsidRDefault="005B2641" w:rsidP="00952C91">
            <w:pPr>
              <w:jc w:val="right"/>
              <w:rPr>
                <w:sz w:val="20"/>
                <w:szCs w:val="20"/>
              </w:rPr>
            </w:pPr>
          </w:p>
        </w:tc>
        <w:tc>
          <w:tcPr>
            <w:tcW w:w="672" w:type="pct"/>
            <w:tcBorders>
              <w:top w:val="nil"/>
              <w:left w:val="nil"/>
              <w:bottom w:val="nil"/>
              <w:right w:val="nil"/>
            </w:tcBorders>
            <w:shd w:val="clear" w:color="auto" w:fill="auto"/>
          </w:tcPr>
          <w:p w14:paraId="74F1A5FB" w14:textId="77777777" w:rsidR="005B2641" w:rsidRPr="005B2641" w:rsidRDefault="005B2641" w:rsidP="00952C91">
            <w:pPr>
              <w:jc w:val="right"/>
              <w:rPr>
                <w:sz w:val="20"/>
                <w:szCs w:val="20"/>
              </w:rPr>
            </w:pPr>
            <w:r w:rsidRPr="005B2641">
              <w:rPr>
                <w:rFonts w:ascii="Calibri" w:hAnsi="Calibri"/>
                <w:color w:val="000000"/>
                <w:sz w:val="20"/>
                <w:szCs w:val="20"/>
              </w:rPr>
              <w:t>28 %</w:t>
            </w:r>
          </w:p>
        </w:tc>
      </w:tr>
      <w:tr w:rsidR="005B2641" w:rsidRPr="005B2641" w14:paraId="561FB642" w14:textId="77777777" w:rsidTr="00952C91">
        <w:tc>
          <w:tcPr>
            <w:tcW w:w="826" w:type="pct"/>
            <w:tcBorders>
              <w:top w:val="nil"/>
              <w:left w:val="nil"/>
              <w:bottom w:val="nil"/>
              <w:right w:val="nil"/>
            </w:tcBorders>
            <w:shd w:val="clear" w:color="auto" w:fill="auto"/>
          </w:tcPr>
          <w:p w14:paraId="4FCEC660" w14:textId="77777777" w:rsidR="005B2641" w:rsidRPr="005B2641" w:rsidRDefault="005B2641" w:rsidP="00952C91">
            <w:pPr>
              <w:rPr>
                <w:sz w:val="20"/>
                <w:szCs w:val="20"/>
              </w:rPr>
            </w:pPr>
            <w:r w:rsidRPr="005B2641">
              <w:rPr>
                <w:sz w:val="20"/>
                <w:szCs w:val="20"/>
              </w:rPr>
              <w:t xml:space="preserve">Programa de Impacto sobre Gestión </w:t>
            </w:r>
            <w:r w:rsidRPr="005B2641">
              <w:rPr>
                <w:sz w:val="20"/>
                <w:szCs w:val="20"/>
              </w:rPr>
              <w:lastRenderedPageBreak/>
              <w:t>Forestal Sostenible</w:t>
            </w:r>
          </w:p>
        </w:tc>
        <w:tc>
          <w:tcPr>
            <w:tcW w:w="1007" w:type="pct"/>
            <w:tcBorders>
              <w:top w:val="nil"/>
              <w:left w:val="nil"/>
              <w:bottom w:val="nil"/>
              <w:right w:val="nil"/>
            </w:tcBorders>
            <w:shd w:val="clear" w:color="auto" w:fill="auto"/>
          </w:tcPr>
          <w:p w14:paraId="4A9D241F" w14:textId="77777777" w:rsidR="005B2641" w:rsidRPr="005B2641" w:rsidRDefault="005B2641" w:rsidP="00952C91">
            <w:pPr>
              <w:jc w:val="right"/>
              <w:rPr>
                <w:sz w:val="20"/>
                <w:szCs w:val="20"/>
              </w:rPr>
            </w:pPr>
            <w:r w:rsidRPr="005B2641">
              <w:rPr>
                <w:sz w:val="20"/>
                <w:szCs w:val="20"/>
              </w:rPr>
              <w:lastRenderedPageBreak/>
              <w:t>241,3</w:t>
            </w:r>
          </w:p>
          <w:p w14:paraId="097F8B89" w14:textId="77777777" w:rsidR="005B2641" w:rsidRPr="005B2641" w:rsidRDefault="005B2641" w:rsidP="00952C91">
            <w:pPr>
              <w:jc w:val="right"/>
              <w:rPr>
                <w:sz w:val="20"/>
                <w:szCs w:val="20"/>
              </w:rPr>
            </w:pPr>
            <w:r w:rsidRPr="005B2641">
              <w:rPr>
                <w:sz w:val="20"/>
                <w:szCs w:val="20"/>
              </w:rPr>
              <w:t xml:space="preserve">(asignaciones del SATR para la </w:t>
            </w:r>
            <w:r w:rsidRPr="005B2641">
              <w:rPr>
                <w:sz w:val="20"/>
                <w:szCs w:val="20"/>
              </w:rPr>
              <w:lastRenderedPageBreak/>
              <w:t>biodiversidad por valor de USD 92 millones)</w:t>
            </w:r>
          </w:p>
        </w:tc>
        <w:tc>
          <w:tcPr>
            <w:tcW w:w="666" w:type="pct"/>
            <w:tcBorders>
              <w:top w:val="nil"/>
              <w:left w:val="nil"/>
              <w:bottom w:val="nil"/>
              <w:right w:val="nil"/>
            </w:tcBorders>
            <w:shd w:val="clear" w:color="auto" w:fill="auto"/>
          </w:tcPr>
          <w:p w14:paraId="7D18CB2D" w14:textId="77777777" w:rsidR="005B2641" w:rsidRPr="005B2641" w:rsidRDefault="005B2641" w:rsidP="00952C91">
            <w:pPr>
              <w:jc w:val="right"/>
              <w:rPr>
                <w:sz w:val="20"/>
                <w:szCs w:val="20"/>
              </w:rPr>
            </w:pPr>
            <w:r w:rsidRPr="005B2641">
              <w:rPr>
                <w:rFonts w:ascii="Calibri" w:hAnsi="Calibri"/>
                <w:color w:val="000000"/>
                <w:sz w:val="20"/>
                <w:szCs w:val="20"/>
              </w:rPr>
              <w:lastRenderedPageBreak/>
              <w:t>23 %</w:t>
            </w:r>
          </w:p>
        </w:tc>
        <w:tc>
          <w:tcPr>
            <w:tcW w:w="576" w:type="pct"/>
            <w:tcBorders>
              <w:top w:val="nil"/>
              <w:left w:val="nil"/>
              <w:bottom w:val="nil"/>
              <w:right w:val="nil"/>
            </w:tcBorders>
            <w:shd w:val="clear" w:color="auto" w:fill="auto"/>
          </w:tcPr>
          <w:p w14:paraId="3B377755" w14:textId="77777777" w:rsidR="005B2641" w:rsidRPr="005B2641" w:rsidRDefault="005B2641" w:rsidP="00952C91">
            <w:pPr>
              <w:jc w:val="right"/>
              <w:rPr>
                <w:sz w:val="20"/>
                <w:szCs w:val="20"/>
              </w:rPr>
            </w:pPr>
            <w:r w:rsidRPr="005B2641">
              <w:rPr>
                <w:rFonts w:ascii="Calibri" w:hAnsi="Calibri"/>
                <w:color w:val="000000"/>
                <w:sz w:val="20"/>
                <w:szCs w:val="20"/>
              </w:rPr>
              <w:t>1706,0</w:t>
            </w:r>
          </w:p>
        </w:tc>
        <w:tc>
          <w:tcPr>
            <w:tcW w:w="581" w:type="pct"/>
            <w:tcBorders>
              <w:top w:val="nil"/>
              <w:left w:val="nil"/>
              <w:bottom w:val="nil"/>
              <w:right w:val="nil"/>
            </w:tcBorders>
            <w:shd w:val="clear" w:color="auto" w:fill="auto"/>
          </w:tcPr>
          <w:p w14:paraId="59E9C6A1" w14:textId="77777777" w:rsidR="005B2641" w:rsidRPr="005B2641" w:rsidRDefault="005B2641" w:rsidP="00952C91">
            <w:pPr>
              <w:jc w:val="right"/>
              <w:rPr>
                <w:sz w:val="20"/>
                <w:szCs w:val="20"/>
              </w:rPr>
            </w:pPr>
            <w:r w:rsidRPr="005B2641">
              <w:rPr>
                <w:rFonts w:ascii="Calibri" w:hAnsi="Calibri"/>
                <w:color w:val="000000"/>
                <w:sz w:val="20"/>
                <w:szCs w:val="20"/>
              </w:rPr>
              <w:t>19 %</w:t>
            </w:r>
          </w:p>
        </w:tc>
        <w:tc>
          <w:tcPr>
            <w:tcW w:w="672" w:type="pct"/>
            <w:tcBorders>
              <w:top w:val="nil"/>
              <w:left w:val="nil"/>
              <w:bottom w:val="nil"/>
              <w:right w:val="nil"/>
            </w:tcBorders>
            <w:shd w:val="clear" w:color="auto" w:fill="auto"/>
          </w:tcPr>
          <w:p w14:paraId="7875E4A7" w14:textId="77777777" w:rsidR="005B2641" w:rsidRPr="005B2641" w:rsidRDefault="005B2641" w:rsidP="00952C91">
            <w:pPr>
              <w:jc w:val="right"/>
              <w:rPr>
                <w:sz w:val="20"/>
                <w:szCs w:val="20"/>
              </w:rPr>
            </w:pPr>
            <w:r w:rsidRPr="005B2641">
              <w:rPr>
                <w:rFonts w:ascii="Calibri" w:hAnsi="Calibri"/>
                <w:color w:val="000000"/>
                <w:sz w:val="20"/>
                <w:szCs w:val="20"/>
              </w:rPr>
              <w:t>1947,3</w:t>
            </w:r>
          </w:p>
        </w:tc>
        <w:tc>
          <w:tcPr>
            <w:tcW w:w="672" w:type="pct"/>
            <w:tcBorders>
              <w:top w:val="nil"/>
              <w:left w:val="nil"/>
              <w:bottom w:val="nil"/>
              <w:right w:val="nil"/>
            </w:tcBorders>
            <w:shd w:val="clear" w:color="auto" w:fill="auto"/>
          </w:tcPr>
          <w:p w14:paraId="5DD1D686" w14:textId="77777777" w:rsidR="005B2641" w:rsidRPr="005B2641" w:rsidRDefault="005B2641" w:rsidP="00952C91">
            <w:pPr>
              <w:jc w:val="right"/>
              <w:rPr>
                <w:sz w:val="20"/>
                <w:szCs w:val="20"/>
              </w:rPr>
            </w:pPr>
            <w:r w:rsidRPr="005B2641">
              <w:rPr>
                <w:rFonts w:ascii="Calibri" w:hAnsi="Calibri"/>
                <w:color w:val="000000"/>
                <w:sz w:val="20"/>
                <w:szCs w:val="20"/>
              </w:rPr>
              <w:t>19 %</w:t>
            </w:r>
          </w:p>
        </w:tc>
      </w:tr>
      <w:tr w:rsidR="005B2641" w:rsidRPr="005B2641" w14:paraId="2A1F1F2A" w14:textId="77777777" w:rsidTr="00952C91">
        <w:tc>
          <w:tcPr>
            <w:tcW w:w="826" w:type="pct"/>
            <w:tcBorders>
              <w:top w:val="nil"/>
              <w:left w:val="nil"/>
              <w:bottom w:val="nil"/>
              <w:right w:val="nil"/>
            </w:tcBorders>
            <w:shd w:val="clear" w:color="auto" w:fill="auto"/>
          </w:tcPr>
          <w:p w14:paraId="199FEB2E" w14:textId="77777777" w:rsidR="005B2641" w:rsidRPr="005B2641" w:rsidRDefault="005B2641" w:rsidP="00952C91">
            <w:pPr>
              <w:rPr>
                <w:sz w:val="20"/>
                <w:szCs w:val="20"/>
              </w:rPr>
            </w:pPr>
            <w:r w:rsidRPr="005B2641">
              <w:rPr>
                <w:sz w:val="20"/>
                <w:szCs w:val="20"/>
              </w:rPr>
              <w:t>Programa de Impacto sobre Ciudades Sostenibles</w:t>
            </w:r>
          </w:p>
        </w:tc>
        <w:tc>
          <w:tcPr>
            <w:tcW w:w="1007" w:type="pct"/>
            <w:tcBorders>
              <w:top w:val="nil"/>
              <w:left w:val="nil"/>
              <w:bottom w:val="nil"/>
              <w:right w:val="nil"/>
            </w:tcBorders>
            <w:shd w:val="clear" w:color="auto" w:fill="auto"/>
          </w:tcPr>
          <w:p w14:paraId="270DF816" w14:textId="77777777" w:rsidR="005B2641" w:rsidRPr="005B2641" w:rsidRDefault="005B2641" w:rsidP="00952C91">
            <w:pPr>
              <w:jc w:val="right"/>
              <w:rPr>
                <w:sz w:val="20"/>
                <w:szCs w:val="20"/>
              </w:rPr>
            </w:pPr>
            <w:r w:rsidRPr="005B2641">
              <w:rPr>
                <w:sz w:val="20"/>
                <w:szCs w:val="20"/>
              </w:rPr>
              <w:t>146,7</w:t>
            </w:r>
          </w:p>
          <w:p w14:paraId="5DF33C8E" w14:textId="77777777" w:rsidR="005B2641" w:rsidRPr="005B2641" w:rsidRDefault="005B2641" w:rsidP="00952C91">
            <w:pPr>
              <w:jc w:val="right"/>
              <w:rPr>
                <w:sz w:val="20"/>
                <w:szCs w:val="20"/>
              </w:rPr>
            </w:pPr>
            <w:r w:rsidRPr="005B2641">
              <w:rPr>
                <w:sz w:val="20"/>
                <w:szCs w:val="20"/>
              </w:rPr>
              <w:t>(asignaciones del SATR para la biodiversidad por valor de USD 33,3 millones)</w:t>
            </w:r>
          </w:p>
        </w:tc>
        <w:tc>
          <w:tcPr>
            <w:tcW w:w="666" w:type="pct"/>
            <w:tcBorders>
              <w:top w:val="nil"/>
              <w:left w:val="nil"/>
              <w:bottom w:val="nil"/>
              <w:right w:val="nil"/>
            </w:tcBorders>
            <w:shd w:val="clear" w:color="auto" w:fill="auto"/>
          </w:tcPr>
          <w:p w14:paraId="57670840" w14:textId="77777777" w:rsidR="005B2641" w:rsidRPr="005B2641" w:rsidRDefault="005B2641" w:rsidP="00952C91">
            <w:pPr>
              <w:jc w:val="right"/>
              <w:rPr>
                <w:sz w:val="20"/>
                <w:szCs w:val="20"/>
              </w:rPr>
            </w:pPr>
            <w:r w:rsidRPr="005B2641">
              <w:rPr>
                <w:rFonts w:ascii="Calibri" w:hAnsi="Calibri"/>
                <w:color w:val="000000"/>
                <w:sz w:val="20"/>
                <w:szCs w:val="20"/>
              </w:rPr>
              <w:t>14 %</w:t>
            </w:r>
          </w:p>
        </w:tc>
        <w:tc>
          <w:tcPr>
            <w:tcW w:w="576" w:type="pct"/>
            <w:tcBorders>
              <w:top w:val="nil"/>
              <w:left w:val="nil"/>
              <w:bottom w:val="nil"/>
              <w:right w:val="nil"/>
            </w:tcBorders>
            <w:shd w:val="clear" w:color="auto" w:fill="auto"/>
          </w:tcPr>
          <w:p w14:paraId="26B451F9" w14:textId="77777777" w:rsidR="005B2641" w:rsidRPr="005B2641" w:rsidRDefault="005B2641" w:rsidP="00952C91">
            <w:pPr>
              <w:jc w:val="right"/>
              <w:rPr>
                <w:sz w:val="20"/>
                <w:szCs w:val="20"/>
              </w:rPr>
            </w:pPr>
            <w:r w:rsidRPr="005B2641">
              <w:rPr>
                <w:rFonts w:ascii="Calibri" w:hAnsi="Calibri"/>
                <w:color w:val="000000"/>
                <w:sz w:val="20"/>
                <w:szCs w:val="20"/>
              </w:rPr>
              <w:t>1689,8</w:t>
            </w:r>
          </w:p>
        </w:tc>
        <w:tc>
          <w:tcPr>
            <w:tcW w:w="581" w:type="pct"/>
            <w:tcBorders>
              <w:top w:val="nil"/>
              <w:left w:val="nil"/>
              <w:bottom w:val="nil"/>
              <w:right w:val="nil"/>
            </w:tcBorders>
            <w:shd w:val="clear" w:color="auto" w:fill="auto"/>
          </w:tcPr>
          <w:p w14:paraId="6EB98550" w14:textId="77777777" w:rsidR="005B2641" w:rsidRPr="005B2641" w:rsidRDefault="005B2641" w:rsidP="00952C91">
            <w:pPr>
              <w:jc w:val="right"/>
              <w:rPr>
                <w:sz w:val="20"/>
                <w:szCs w:val="20"/>
              </w:rPr>
            </w:pPr>
            <w:r w:rsidRPr="005B2641">
              <w:rPr>
                <w:rFonts w:ascii="Calibri" w:hAnsi="Calibri"/>
                <w:color w:val="000000"/>
                <w:sz w:val="20"/>
                <w:szCs w:val="20"/>
              </w:rPr>
              <w:t>19 %</w:t>
            </w:r>
          </w:p>
        </w:tc>
        <w:tc>
          <w:tcPr>
            <w:tcW w:w="672" w:type="pct"/>
            <w:tcBorders>
              <w:top w:val="nil"/>
              <w:left w:val="nil"/>
              <w:bottom w:val="nil"/>
              <w:right w:val="nil"/>
            </w:tcBorders>
            <w:shd w:val="clear" w:color="auto" w:fill="auto"/>
          </w:tcPr>
          <w:p w14:paraId="5E3C2F51" w14:textId="77777777" w:rsidR="005B2641" w:rsidRPr="005B2641" w:rsidRDefault="005B2641" w:rsidP="00952C91">
            <w:pPr>
              <w:jc w:val="right"/>
              <w:rPr>
                <w:sz w:val="20"/>
                <w:szCs w:val="20"/>
              </w:rPr>
            </w:pPr>
            <w:r w:rsidRPr="005B2641">
              <w:rPr>
                <w:rFonts w:ascii="Calibri" w:hAnsi="Calibri"/>
                <w:color w:val="000000"/>
                <w:sz w:val="20"/>
                <w:szCs w:val="20"/>
              </w:rPr>
              <w:t xml:space="preserve">1836,5 </w:t>
            </w:r>
          </w:p>
        </w:tc>
        <w:tc>
          <w:tcPr>
            <w:tcW w:w="672" w:type="pct"/>
            <w:tcBorders>
              <w:top w:val="nil"/>
              <w:left w:val="nil"/>
              <w:bottom w:val="nil"/>
              <w:right w:val="nil"/>
            </w:tcBorders>
            <w:shd w:val="clear" w:color="auto" w:fill="auto"/>
          </w:tcPr>
          <w:p w14:paraId="45F02DF0" w14:textId="77777777" w:rsidR="005B2641" w:rsidRPr="005B2641" w:rsidRDefault="005B2641" w:rsidP="00952C91">
            <w:pPr>
              <w:jc w:val="right"/>
              <w:rPr>
                <w:sz w:val="20"/>
                <w:szCs w:val="20"/>
              </w:rPr>
            </w:pPr>
            <w:r w:rsidRPr="005B2641">
              <w:rPr>
                <w:rFonts w:ascii="Calibri" w:hAnsi="Calibri"/>
                <w:color w:val="000000"/>
                <w:sz w:val="20"/>
                <w:szCs w:val="20"/>
              </w:rPr>
              <w:t>18 %</w:t>
            </w:r>
          </w:p>
        </w:tc>
      </w:tr>
      <w:tr w:rsidR="005B2641" w:rsidRPr="005B2641" w14:paraId="668BC982" w14:textId="77777777" w:rsidTr="00952C91">
        <w:tc>
          <w:tcPr>
            <w:tcW w:w="826" w:type="pct"/>
            <w:tcBorders>
              <w:top w:val="nil"/>
              <w:left w:val="nil"/>
              <w:bottom w:val="nil"/>
              <w:right w:val="nil"/>
            </w:tcBorders>
            <w:shd w:val="clear" w:color="auto" w:fill="auto"/>
          </w:tcPr>
          <w:p w14:paraId="06FB52F9" w14:textId="77777777" w:rsidR="005B2641" w:rsidRPr="005B2641" w:rsidRDefault="005B2641" w:rsidP="00952C91">
            <w:pPr>
              <w:rPr>
                <w:sz w:val="20"/>
                <w:szCs w:val="20"/>
              </w:rPr>
            </w:pPr>
            <w:r w:rsidRPr="005B2641">
              <w:rPr>
                <w:sz w:val="20"/>
                <w:szCs w:val="20"/>
              </w:rPr>
              <w:t>Reserva para la biodiversidad</w:t>
            </w:r>
          </w:p>
        </w:tc>
        <w:tc>
          <w:tcPr>
            <w:tcW w:w="1007" w:type="pct"/>
            <w:tcBorders>
              <w:top w:val="nil"/>
              <w:left w:val="nil"/>
              <w:bottom w:val="nil"/>
              <w:right w:val="nil"/>
            </w:tcBorders>
            <w:shd w:val="clear" w:color="auto" w:fill="auto"/>
          </w:tcPr>
          <w:p w14:paraId="72AABD39" w14:textId="77777777" w:rsidR="005B2641" w:rsidRPr="005B2641" w:rsidRDefault="005B2641" w:rsidP="00952C91">
            <w:pPr>
              <w:jc w:val="right"/>
              <w:rPr>
                <w:sz w:val="20"/>
                <w:szCs w:val="20"/>
              </w:rPr>
            </w:pPr>
            <w:r w:rsidRPr="005B2641">
              <w:rPr>
                <w:sz w:val="20"/>
                <w:szCs w:val="20"/>
              </w:rPr>
              <w:t>33,4</w:t>
            </w:r>
          </w:p>
        </w:tc>
        <w:tc>
          <w:tcPr>
            <w:tcW w:w="666" w:type="pct"/>
            <w:tcBorders>
              <w:top w:val="nil"/>
              <w:left w:val="nil"/>
              <w:bottom w:val="nil"/>
              <w:right w:val="nil"/>
            </w:tcBorders>
            <w:shd w:val="clear" w:color="auto" w:fill="auto"/>
          </w:tcPr>
          <w:p w14:paraId="1B2A1857" w14:textId="77777777" w:rsidR="005B2641" w:rsidRPr="005B2641" w:rsidRDefault="005B2641" w:rsidP="00952C91">
            <w:pPr>
              <w:jc w:val="right"/>
              <w:rPr>
                <w:sz w:val="20"/>
                <w:szCs w:val="20"/>
              </w:rPr>
            </w:pPr>
            <w:r w:rsidRPr="005B2641">
              <w:rPr>
                <w:rFonts w:ascii="Calibri" w:hAnsi="Calibri"/>
                <w:color w:val="000000"/>
                <w:sz w:val="20"/>
                <w:szCs w:val="20"/>
              </w:rPr>
              <w:t>3 %</w:t>
            </w:r>
          </w:p>
        </w:tc>
        <w:tc>
          <w:tcPr>
            <w:tcW w:w="576" w:type="pct"/>
            <w:tcBorders>
              <w:top w:val="nil"/>
              <w:left w:val="nil"/>
              <w:bottom w:val="nil"/>
              <w:right w:val="nil"/>
            </w:tcBorders>
            <w:shd w:val="clear" w:color="auto" w:fill="auto"/>
          </w:tcPr>
          <w:p w14:paraId="38F472FC" w14:textId="77777777" w:rsidR="005B2641" w:rsidRPr="005B2641" w:rsidRDefault="005B2641" w:rsidP="00952C91">
            <w:pPr>
              <w:jc w:val="right"/>
              <w:rPr>
                <w:sz w:val="20"/>
                <w:szCs w:val="20"/>
              </w:rPr>
            </w:pPr>
            <w:r w:rsidRPr="005B2641">
              <w:rPr>
                <w:rFonts w:ascii="Calibri" w:hAnsi="Calibri"/>
                <w:color w:val="000000"/>
                <w:sz w:val="20"/>
                <w:szCs w:val="20"/>
              </w:rPr>
              <w:t>90,4</w:t>
            </w:r>
          </w:p>
        </w:tc>
        <w:tc>
          <w:tcPr>
            <w:tcW w:w="581" w:type="pct"/>
            <w:tcBorders>
              <w:top w:val="nil"/>
              <w:left w:val="nil"/>
              <w:bottom w:val="nil"/>
              <w:right w:val="nil"/>
            </w:tcBorders>
            <w:shd w:val="clear" w:color="auto" w:fill="auto"/>
          </w:tcPr>
          <w:p w14:paraId="14EBFBED" w14:textId="77777777" w:rsidR="005B2641" w:rsidRPr="005B2641" w:rsidRDefault="005B2641" w:rsidP="00952C91">
            <w:pPr>
              <w:jc w:val="right"/>
              <w:rPr>
                <w:sz w:val="20"/>
                <w:szCs w:val="20"/>
              </w:rPr>
            </w:pPr>
            <w:r w:rsidRPr="005B2641">
              <w:rPr>
                <w:rFonts w:ascii="Calibri" w:hAnsi="Calibri"/>
                <w:color w:val="000000"/>
                <w:sz w:val="20"/>
                <w:szCs w:val="20"/>
              </w:rPr>
              <w:t>1 %</w:t>
            </w:r>
          </w:p>
        </w:tc>
        <w:tc>
          <w:tcPr>
            <w:tcW w:w="672" w:type="pct"/>
            <w:tcBorders>
              <w:top w:val="nil"/>
              <w:left w:val="nil"/>
              <w:bottom w:val="nil"/>
              <w:right w:val="nil"/>
            </w:tcBorders>
            <w:shd w:val="clear" w:color="auto" w:fill="auto"/>
          </w:tcPr>
          <w:p w14:paraId="3C2C666D" w14:textId="77777777" w:rsidR="005B2641" w:rsidRPr="005B2641" w:rsidRDefault="005B2641" w:rsidP="00952C91">
            <w:pPr>
              <w:jc w:val="right"/>
              <w:rPr>
                <w:sz w:val="20"/>
                <w:szCs w:val="20"/>
              </w:rPr>
            </w:pPr>
            <w:r w:rsidRPr="005B2641">
              <w:rPr>
                <w:rFonts w:ascii="Calibri" w:hAnsi="Calibri"/>
                <w:color w:val="000000"/>
                <w:sz w:val="20"/>
                <w:szCs w:val="20"/>
              </w:rPr>
              <w:t>123,8</w:t>
            </w:r>
          </w:p>
        </w:tc>
        <w:tc>
          <w:tcPr>
            <w:tcW w:w="672" w:type="pct"/>
            <w:tcBorders>
              <w:top w:val="nil"/>
              <w:left w:val="nil"/>
              <w:bottom w:val="nil"/>
              <w:right w:val="nil"/>
            </w:tcBorders>
            <w:shd w:val="clear" w:color="auto" w:fill="auto"/>
          </w:tcPr>
          <w:p w14:paraId="0E622756" w14:textId="77777777" w:rsidR="005B2641" w:rsidRPr="005B2641" w:rsidRDefault="005B2641" w:rsidP="00952C91">
            <w:pPr>
              <w:jc w:val="right"/>
              <w:rPr>
                <w:sz w:val="20"/>
                <w:szCs w:val="20"/>
              </w:rPr>
            </w:pPr>
            <w:r w:rsidRPr="005B2641">
              <w:rPr>
                <w:rFonts w:ascii="Calibri" w:hAnsi="Calibri"/>
                <w:color w:val="000000"/>
                <w:sz w:val="20"/>
                <w:szCs w:val="20"/>
              </w:rPr>
              <w:t>1 %</w:t>
            </w:r>
          </w:p>
        </w:tc>
      </w:tr>
      <w:tr w:rsidR="005B2641" w:rsidRPr="005B2641" w14:paraId="619453F7" w14:textId="77777777" w:rsidTr="00952C91">
        <w:tc>
          <w:tcPr>
            <w:tcW w:w="826" w:type="pct"/>
            <w:tcBorders>
              <w:top w:val="nil"/>
              <w:left w:val="nil"/>
              <w:bottom w:val="nil"/>
              <w:right w:val="nil"/>
            </w:tcBorders>
            <w:shd w:val="clear" w:color="auto" w:fill="auto"/>
          </w:tcPr>
          <w:p w14:paraId="1BBE7411" w14:textId="77777777" w:rsidR="005B2641" w:rsidRPr="005B2641" w:rsidRDefault="005B2641" w:rsidP="00952C91">
            <w:pPr>
              <w:rPr>
                <w:sz w:val="20"/>
                <w:szCs w:val="20"/>
              </w:rPr>
            </w:pPr>
            <w:r w:rsidRPr="005B2641">
              <w:rPr>
                <w:sz w:val="20"/>
                <w:szCs w:val="20"/>
              </w:rPr>
              <w:t>Fondo para los Países Menos Adelantados</w:t>
            </w:r>
          </w:p>
        </w:tc>
        <w:tc>
          <w:tcPr>
            <w:tcW w:w="1007" w:type="pct"/>
            <w:tcBorders>
              <w:top w:val="nil"/>
              <w:left w:val="nil"/>
              <w:bottom w:val="nil"/>
              <w:right w:val="nil"/>
            </w:tcBorders>
            <w:shd w:val="clear" w:color="auto" w:fill="auto"/>
          </w:tcPr>
          <w:p w14:paraId="747782F8" w14:textId="77777777" w:rsidR="005B2641" w:rsidRPr="005B2641" w:rsidRDefault="005B2641" w:rsidP="00952C91">
            <w:pPr>
              <w:jc w:val="right"/>
              <w:rPr>
                <w:sz w:val="20"/>
                <w:szCs w:val="20"/>
              </w:rPr>
            </w:pPr>
            <w:r w:rsidRPr="005B2641">
              <w:rPr>
                <w:sz w:val="20"/>
                <w:szCs w:val="20"/>
              </w:rPr>
              <w:t>26,3</w:t>
            </w:r>
          </w:p>
        </w:tc>
        <w:tc>
          <w:tcPr>
            <w:tcW w:w="666" w:type="pct"/>
            <w:tcBorders>
              <w:top w:val="nil"/>
              <w:left w:val="nil"/>
              <w:bottom w:val="nil"/>
              <w:right w:val="nil"/>
            </w:tcBorders>
            <w:shd w:val="clear" w:color="auto" w:fill="auto"/>
          </w:tcPr>
          <w:p w14:paraId="27E85949" w14:textId="77777777" w:rsidR="005B2641" w:rsidRPr="005B2641" w:rsidRDefault="005B2641" w:rsidP="00952C91">
            <w:pPr>
              <w:jc w:val="right"/>
              <w:rPr>
                <w:sz w:val="20"/>
                <w:szCs w:val="20"/>
              </w:rPr>
            </w:pPr>
            <w:r w:rsidRPr="005B2641">
              <w:rPr>
                <w:rFonts w:ascii="Calibri" w:hAnsi="Calibri"/>
                <w:color w:val="000000"/>
                <w:sz w:val="20"/>
                <w:szCs w:val="20"/>
              </w:rPr>
              <w:t>2 %</w:t>
            </w:r>
          </w:p>
        </w:tc>
        <w:tc>
          <w:tcPr>
            <w:tcW w:w="576" w:type="pct"/>
            <w:tcBorders>
              <w:top w:val="nil"/>
              <w:left w:val="nil"/>
              <w:bottom w:val="nil"/>
              <w:right w:val="nil"/>
            </w:tcBorders>
            <w:shd w:val="clear" w:color="auto" w:fill="auto"/>
          </w:tcPr>
          <w:p w14:paraId="17B5FC4B" w14:textId="77777777" w:rsidR="005B2641" w:rsidRPr="005B2641" w:rsidRDefault="005B2641" w:rsidP="00952C91">
            <w:pPr>
              <w:jc w:val="right"/>
              <w:rPr>
                <w:sz w:val="20"/>
                <w:szCs w:val="20"/>
              </w:rPr>
            </w:pPr>
            <w:r w:rsidRPr="005B2641">
              <w:rPr>
                <w:rFonts w:ascii="Calibri" w:hAnsi="Calibri"/>
                <w:color w:val="000000"/>
                <w:sz w:val="20"/>
                <w:szCs w:val="20"/>
              </w:rPr>
              <w:t>66,8</w:t>
            </w:r>
          </w:p>
        </w:tc>
        <w:tc>
          <w:tcPr>
            <w:tcW w:w="581" w:type="pct"/>
            <w:tcBorders>
              <w:top w:val="nil"/>
              <w:left w:val="nil"/>
              <w:bottom w:val="nil"/>
              <w:right w:val="nil"/>
            </w:tcBorders>
            <w:shd w:val="clear" w:color="auto" w:fill="auto"/>
          </w:tcPr>
          <w:p w14:paraId="3B9C9A9E" w14:textId="77777777" w:rsidR="005B2641" w:rsidRPr="005B2641" w:rsidRDefault="005B2641" w:rsidP="00952C91">
            <w:pPr>
              <w:jc w:val="right"/>
              <w:rPr>
                <w:sz w:val="20"/>
                <w:szCs w:val="20"/>
              </w:rPr>
            </w:pPr>
            <w:r w:rsidRPr="005B2641">
              <w:rPr>
                <w:rFonts w:ascii="Calibri" w:hAnsi="Calibri"/>
                <w:color w:val="000000"/>
                <w:sz w:val="20"/>
                <w:szCs w:val="20"/>
              </w:rPr>
              <w:t>1 %</w:t>
            </w:r>
          </w:p>
        </w:tc>
        <w:tc>
          <w:tcPr>
            <w:tcW w:w="672" w:type="pct"/>
            <w:tcBorders>
              <w:top w:val="nil"/>
              <w:left w:val="nil"/>
              <w:bottom w:val="nil"/>
              <w:right w:val="nil"/>
            </w:tcBorders>
            <w:shd w:val="clear" w:color="auto" w:fill="auto"/>
          </w:tcPr>
          <w:p w14:paraId="01E48348" w14:textId="77777777" w:rsidR="005B2641" w:rsidRPr="005B2641" w:rsidRDefault="005B2641" w:rsidP="00952C91">
            <w:pPr>
              <w:jc w:val="right"/>
              <w:rPr>
                <w:rFonts w:ascii="Calibri" w:hAnsi="Calibri" w:cs="Calibri"/>
                <w:color w:val="000000"/>
                <w:sz w:val="20"/>
                <w:szCs w:val="20"/>
              </w:rPr>
            </w:pPr>
            <w:r w:rsidRPr="005B2641">
              <w:rPr>
                <w:rFonts w:ascii="Calibri" w:hAnsi="Calibri"/>
                <w:color w:val="000000"/>
                <w:sz w:val="20"/>
                <w:szCs w:val="20"/>
              </w:rPr>
              <w:t>93,1</w:t>
            </w:r>
          </w:p>
          <w:p w14:paraId="368D1981" w14:textId="77777777" w:rsidR="005B2641" w:rsidRPr="005B2641" w:rsidRDefault="005B2641" w:rsidP="00952C91">
            <w:pPr>
              <w:jc w:val="right"/>
              <w:rPr>
                <w:sz w:val="20"/>
                <w:szCs w:val="20"/>
              </w:rPr>
            </w:pPr>
          </w:p>
        </w:tc>
        <w:tc>
          <w:tcPr>
            <w:tcW w:w="672" w:type="pct"/>
            <w:tcBorders>
              <w:top w:val="nil"/>
              <w:left w:val="nil"/>
              <w:bottom w:val="nil"/>
              <w:right w:val="nil"/>
            </w:tcBorders>
            <w:shd w:val="clear" w:color="auto" w:fill="auto"/>
          </w:tcPr>
          <w:p w14:paraId="5E18341E" w14:textId="77777777" w:rsidR="005B2641" w:rsidRPr="005B2641" w:rsidRDefault="005B2641" w:rsidP="00952C91">
            <w:pPr>
              <w:jc w:val="right"/>
              <w:rPr>
                <w:sz w:val="20"/>
                <w:szCs w:val="20"/>
              </w:rPr>
            </w:pPr>
            <w:r w:rsidRPr="005B2641">
              <w:rPr>
                <w:rFonts w:ascii="Calibri" w:hAnsi="Calibri"/>
                <w:color w:val="000000"/>
                <w:sz w:val="20"/>
                <w:szCs w:val="20"/>
              </w:rPr>
              <w:t>1 %</w:t>
            </w:r>
          </w:p>
        </w:tc>
      </w:tr>
      <w:tr w:rsidR="005B2641" w:rsidRPr="005B2641" w14:paraId="7145BF04" w14:textId="77777777" w:rsidTr="00952C91">
        <w:trPr>
          <w:trHeight w:val="863"/>
        </w:trPr>
        <w:tc>
          <w:tcPr>
            <w:tcW w:w="826" w:type="pct"/>
            <w:tcBorders>
              <w:top w:val="nil"/>
              <w:left w:val="nil"/>
              <w:bottom w:val="nil"/>
              <w:right w:val="nil"/>
            </w:tcBorders>
            <w:shd w:val="clear" w:color="auto" w:fill="auto"/>
          </w:tcPr>
          <w:p w14:paraId="1266083E" w14:textId="77777777" w:rsidR="005B2641" w:rsidRPr="005B2641" w:rsidRDefault="005B2641" w:rsidP="00952C91">
            <w:pPr>
              <w:rPr>
                <w:sz w:val="20"/>
                <w:szCs w:val="20"/>
              </w:rPr>
            </w:pPr>
            <w:r w:rsidRPr="005B2641">
              <w:rPr>
                <w:sz w:val="20"/>
                <w:szCs w:val="20"/>
              </w:rPr>
              <w:t>Área focal de aguas internacionales</w:t>
            </w:r>
          </w:p>
        </w:tc>
        <w:tc>
          <w:tcPr>
            <w:tcW w:w="1007" w:type="pct"/>
            <w:tcBorders>
              <w:top w:val="nil"/>
              <w:left w:val="nil"/>
              <w:bottom w:val="nil"/>
              <w:right w:val="nil"/>
            </w:tcBorders>
            <w:shd w:val="clear" w:color="auto" w:fill="auto"/>
          </w:tcPr>
          <w:p w14:paraId="6F57005F" w14:textId="77777777" w:rsidR="005B2641" w:rsidRPr="005B2641" w:rsidRDefault="005B2641" w:rsidP="00952C91">
            <w:pPr>
              <w:jc w:val="right"/>
              <w:rPr>
                <w:sz w:val="20"/>
                <w:szCs w:val="20"/>
              </w:rPr>
            </w:pPr>
            <w:r w:rsidRPr="005B2641">
              <w:rPr>
                <w:sz w:val="20"/>
                <w:szCs w:val="20"/>
              </w:rPr>
              <w:t>90,5</w:t>
            </w:r>
          </w:p>
        </w:tc>
        <w:tc>
          <w:tcPr>
            <w:tcW w:w="666" w:type="pct"/>
            <w:tcBorders>
              <w:top w:val="nil"/>
              <w:left w:val="nil"/>
              <w:bottom w:val="nil"/>
              <w:right w:val="nil"/>
            </w:tcBorders>
            <w:shd w:val="clear" w:color="auto" w:fill="auto"/>
          </w:tcPr>
          <w:p w14:paraId="77B63225" w14:textId="77777777" w:rsidR="005B2641" w:rsidRPr="005B2641" w:rsidRDefault="005B2641" w:rsidP="00952C91">
            <w:pPr>
              <w:jc w:val="right"/>
              <w:rPr>
                <w:sz w:val="20"/>
                <w:szCs w:val="20"/>
              </w:rPr>
            </w:pPr>
            <w:r w:rsidRPr="005B2641">
              <w:rPr>
                <w:rFonts w:ascii="Calibri" w:hAnsi="Calibri"/>
                <w:color w:val="000000"/>
                <w:sz w:val="20"/>
                <w:szCs w:val="20"/>
              </w:rPr>
              <w:t>9 %</w:t>
            </w:r>
          </w:p>
        </w:tc>
        <w:tc>
          <w:tcPr>
            <w:tcW w:w="576" w:type="pct"/>
            <w:tcBorders>
              <w:top w:val="nil"/>
              <w:left w:val="nil"/>
              <w:bottom w:val="nil"/>
              <w:right w:val="nil"/>
            </w:tcBorders>
            <w:shd w:val="clear" w:color="auto" w:fill="auto"/>
          </w:tcPr>
          <w:p w14:paraId="23AEBC8A" w14:textId="77777777" w:rsidR="005B2641" w:rsidRPr="005B2641" w:rsidRDefault="005B2641" w:rsidP="00952C91">
            <w:pPr>
              <w:jc w:val="right"/>
              <w:rPr>
                <w:sz w:val="20"/>
                <w:szCs w:val="20"/>
              </w:rPr>
            </w:pPr>
            <w:r w:rsidRPr="005B2641">
              <w:rPr>
                <w:rFonts w:ascii="Calibri" w:hAnsi="Calibri"/>
                <w:color w:val="000000"/>
                <w:sz w:val="20"/>
                <w:szCs w:val="20"/>
              </w:rPr>
              <w:t>664,4</w:t>
            </w:r>
          </w:p>
        </w:tc>
        <w:tc>
          <w:tcPr>
            <w:tcW w:w="581" w:type="pct"/>
            <w:tcBorders>
              <w:top w:val="nil"/>
              <w:left w:val="nil"/>
              <w:bottom w:val="nil"/>
              <w:right w:val="nil"/>
            </w:tcBorders>
            <w:shd w:val="clear" w:color="auto" w:fill="auto"/>
          </w:tcPr>
          <w:p w14:paraId="0183C0CB" w14:textId="77777777" w:rsidR="005B2641" w:rsidRPr="005B2641" w:rsidRDefault="005B2641" w:rsidP="00952C91">
            <w:pPr>
              <w:jc w:val="right"/>
              <w:rPr>
                <w:sz w:val="20"/>
                <w:szCs w:val="20"/>
              </w:rPr>
            </w:pPr>
            <w:r w:rsidRPr="005B2641">
              <w:rPr>
                <w:rFonts w:ascii="Calibri" w:hAnsi="Calibri"/>
                <w:color w:val="000000"/>
                <w:sz w:val="20"/>
                <w:szCs w:val="20"/>
              </w:rPr>
              <w:t>7 %</w:t>
            </w:r>
          </w:p>
        </w:tc>
        <w:tc>
          <w:tcPr>
            <w:tcW w:w="672" w:type="pct"/>
            <w:tcBorders>
              <w:top w:val="nil"/>
              <w:left w:val="nil"/>
              <w:bottom w:val="nil"/>
              <w:right w:val="nil"/>
            </w:tcBorders>
            <w:shd w:val="clear" w:color="auto" w:fill="auto"/>
          </w:tcPr>
          <w:p w14:paraId="3687EA3D" w14:textId="77777777" w:rsidR="005B2641" w:rsidRPr="005B2641" w:rsidRDefault="005B2641" w:rsidP="00952C91">
            <w:pPr>
              <w:jc w:val="right"/>
              <w:rPr>
                <w:sz w:val="20"/>
                <w:szCs w:val="20"/>
              </w:rPr>
            </w:pPr>
            <w:r w:rsidRPr="005B2641">
              <w:rPr>
                <w:rFonts w:ascii="Calibri" w:hAnsi="Calibri"/>
                <w:color w:val="000000"/>
                <w:sz w:val="20"/>
                <w:szCs w:val="20"/>
              </w:rPr>
              <w:t>754,9</w:t>
            </w:r>
          </w:p>
        </w:tc>
        <w:tc>
          <w:tcPr>
            <w:tcW w:w="672" w:type="pct"/>
            <w:tcBorders>
              <w:top w:val="nil"/>
              <w:left w:val="nil"/>
              <w:bottom w:val="nil"/>
              <w:right w:val="nil"/>
            </w:tcBorders>
            <w:shd w:val="clear" w:color="auto" w:fill="auto"/>
          </w:tcPr>
          <w:p w14:paraId="1731EC5F" w14:textId="77777777" w:rsidR="005B2641" w:rsidRPr="005B2641" w:rsidRDefault="005B2641" w:rsidP="00952C91">
            <w:pPr>
              <w:jc w:val="right"/>
              <w:rPr>
                <w:sz w:val="20"/>
                <w:szCs w:val="20"/>
              </w:rPr>
            </w:pPr>
            <w:r w:rsidRPr="005B2641">
              <w:rPr>
                <w:rFonts w:ascii="Calibri" w:hAnsi="Calibri"/>
                <w:color w:val="000000"/>
                <w:sz w:val="20"/>
                <w:szCs w:val="20"/>
              </w:rPr>
              <w:t>8 %</w:t>
            </w:r>
          </w:p>
        </w:tc>
      </w:tr>
      <w:tr w:rsidR="005B2641" w:rsidRPr="005B2641" w14:paraId="0E1A6757" w14:textId="77777777" w:rsidTr="00952C91">
        <w:tc>
          <w:tcPr>
            <w:tcW w:w="826" w:type="pct"/>
            <w:tcBorders>
              <w:top w:val="nil"/>
              <w:left w:val="nil"/>
              <w:bottom w:val="nil"/>
              <w:right w:val="nil"/>
            </w:tcBorders>
            <w:shd w:val="clear" w:color="auto" w:fill="auto"/>
          </w:tcPr>
          <w:p w14:paraId="1BBDF9BC" w14:textId="77777777" w:rsidR="005B2641" w:rsidRPr="005B2641" w:rsidRDefault="005B2641" w:rsidP="00952C91">
            <w:pPr>
              <w:rPr>
                <w:sz w:val="20"/>
                <w:szCs w:val="20"/>
              </w:rPr>
            </w:pPr>
            <w:r w:rsidRPr="005B2641">
              <w:rPr>
                <w:sz w:val="20"/>
                <w:szCs w:val="20"/>
              </w:rPr>
              <w:t>Instrumento distinto de las donaciones</w:t>
            </w:r>
          </w:p>
        </w:tc>
        <w:tc>
          <w:tcPr>
            <w:tcW w:w="1007" w:type="pct"/>
            <w:tcBorders>
              <w:top w:val="nil"/>
              <w:left w:val="nil"/>
              <w:bottom w:val="nil"/>
              <w:right w:val="nil"/>
            </w:tcBorders>
            <w:shd w:val="clear" w:color="auto" w:fill="auto"/>
          </w:tcPr>
          <w:p w14:paraId="62226FBF" w14:textId="77777777" w:rsidR="005B2641" w:rsidRPr="005B2641" w:rsidRDefault="005B2641" w:rsidP="00952C91">
            <w:pPr>
              <w:jc w:val="right"/>
              <w:rPr>
                <w:sz w:val="20"/>
                <w:szCs w:val="20"/>
              </w:rPr>
            </w:pPr>
            <w:r w:rsidRPr="005B2641">
              <w:rPr>
                <w:sz w:val="20"/>
                <w:szCs w:val="20"/>
              </w:rPr>
              <w:t>15,0</w:t>
            </w:r>
          </w:p>
        </w:tc>
        <w:tc>
          <w:tcPr>
            <w:tcW w:w="666" w:type="pct"/>
            <w:tcBorders>
              <w:top w:val="nil"/>
              <w:left w:val="nil"/>
              <w:bottom w:val="nil"/>
              <w:right w:val="nil"/>
            </w:tcBorders>
            <w:shd w:val="clear" w:color="auto" w:fill="auto"/>
          </w:tcPr>
          <w:p w14:paraId="5E25D30B" w14:textId="77777777" w:rsidR="005B2641" w:rsidRPr="005B2641" w:rsidRDefault="005B2641" w:rsidP="00952C91">
            <w:pPr>
              <w:jc w:val="right"/>
              <w:rPr>
                <w:sz w:val="20"/>
                <w:szCs w:val="20"/>
              </w:rPr>
            </w:pPr>
            <w:r w:rsidRPr="005B2641">
              <w:rPr>
                <w:rFonts w:ascii="Calibri" w:hAnsi="Calibri"/>
                <w:color w:val="000000"/>
                <w:sz w:val="20"/>
                <w:szCs w:val="20"/>
              </w:rPr>
              <w:t>1 %</w:t>
            </w:r>
          </w:p>
        </w:tc>
        <w:tc>
          <w:tcPr>
            <w:tcW w:w="576" w:type="pct"/>
            <w:tcBorders>
              <w:top w:val="nil"/>
              <w:left w:val="nil"/>
              <w:bottom w:val="nil"/>
              <w:right w:val="nil"/>
            </w:tcBorders>
            <w:shd w:val="clear" w:color="auto" w:fill="auto"/>
          </w:tcPr>
          <w:p w14:paraId="6C1E32F9" w14:textId="77777777" w:rsidR="005B2641" w:rsidRPr="005B2641" w:rsidRDefault="005B2641" w:rsidP="00952C91">
            <w:pPr>
              <w:jc w:val="right"/>
              <w:rPr>
                <w:sz w:val="20"/>
                <w:szCs w:val="20"/>
              </w:rPr>
            </w:pPr>
            <w:r w:rsidRPr="005B2641">
              <w:rPr>
                <w:rFonts w:ascii="Calibri" w:hAnsi="Calibri"/>
                <w:color w:val="000000"/>
                <w:sz w:val="20"/>
                <w:szCs w:val="20"/>
              </w:rPr>
              <w:t>773,3</w:t>
            </w:r>
          </w:p>
        </w:tc>
        <w:tc>
          <w:tcPr>
            <w:tcW w:w="581" w:type="pct"/>
            <w:tcBorders>
              <w:top w:val="nil"/>
              <w:left w:val="nil"/>
              <w:bottom w:val="nil"/>
              <w:right w:val="nil"/>
            </w:tcBorders>
            <w:shd w:val="clear" w:color="auto" w:fill="auto"/>
          </w:tcPr>
          <w:p w14:paraId="5D965C76" w14:textId="77777777" w:rsidR="005B2641" w:rsidRPr="005B2641" w:rsidRDefault="005B2641" w:rsidP="00952C91">
            <w:pPr>
              <w:jc w:val="right"/>
              <w:rPr>
                <w:sz w:val="20"/>
                <w:szCs w:val="20"/>
              </w:rPr>
            </w:pPr>
            <w:r w:rsidRPr="005B2641">
              <w:rPr>
                <w:rFonts w:ascii="Calibri" w:hAnsi="Calibri"/>
                <w:color w:val="000000"/>
                <w:sz w:val="20"/>
                <w:szCs w:val="20"/>
              </w:rPr>
              <w:t>9 %</w:t>
            </w:r>
          </w:p>
        </w:tc>
        <w:tc>
          <w:tcPr>
            <w:tcW w:w="672" w:type="pct"/>
            <w:tcBorders>
              <w:top w:val="nil"/>
              <w:left w:val="nil"/>
              <w:bottom w:val="nil"/>
              <w:right w:val="nil"/>
            </w:tcBorders>
            <w:shd w:val="clear" w:color="auto" w:fill="auto"/>
          </w:tcPr>
          <w:p w14:paraId="6C660B2F" w14:textId="77777777" w:rsidR="005B2641" w:rsidRPr="005B2641" w:rsidRDefault="005B2641" w:rsidP="00952C91">
            <w:pPr>
              <w:jc w:val="right"/>
              <w:rPr>
                <w:sz w:val="20"/>
                <w:szCs w:val="20"/>
              </w:rPr>
            </w:pPr>
            <w:r w:rsidRPr="005B2641">
              <w:rPr>
                <w:rFonts w:ascii="Calibri" w:hAnsi="Calibri"/>
                <w:color w:val="000000"/>
                <w:sz w:val="20"/>
                <w:szCs w:val="20"/>
              </w:rPr>
              <w:t>788,3</w:t>
            </w:r>
          </w:p>
        </w:tc>
        <w:tc>
          <w:tcPr>
            <w:tcW w:w="672" w:type="pct"/>
            <w:tcBorders>
              <w:top w:val="nil"/>
              <w:left w:val="nil"/>
              <w:bottom w:val="nil"/>
              <w:right w:val="nil"/>
            </w:tcBorders>
            <w:shd w:val="clear" w:color="auto" w:fill="auto"/>
          </w:tcPr>
          <w:p w14:paraId="21C7EEA1" w14:textId="77777777" w:rsidR="005B2641" w:rsidRPr="005B2641" w:rsidRDefault="005B2641" w:rsidP="00952C91">
            <w:pPr>
              <w:jc w:val="right"/>
              <w:rPr>
                <w:sz w:val="20"/>
                <w:szCs w:val="20"/>
              </w:rPr>
            </w:pPr>
            <w:r w:rsidRPr="005B2641">
              <w:rPr>
                <w:rFonts w:ascii="Calibri" w:hAnsi="Calibri"/>
                <w:color w:val="000000"/>
                <w:sz w:val="20"/>
                <w:szCs w:val="20"/>
              </w:rPr>
              <w:t>8 %</w:t>
            </w:r>
          </w:p>
        </w:tc>
      </w:tr>
      <w:tr w:rsidR="005B2641" w:rsidRPr="005B2641" w14:paraId="691A9183" w14:textId="77777777" w:rsidTr="00952C91">
        <w:tc>
          <w:tcPr>
            <w:tcW w:w="826" w:type="pct"/>
            <w:tcBorders>
              <w:top w:val="nil"/>
              <w:left w:val="nil"/>
              <w:bottom w:val="nil"/>
              <w:right w:val="nil"/>
            </w:tcBorders>
            <w:shd w:val="clear" w:color="auto" w:fill="auto"/>
          </w:tcPr>
          <w:p w14:paraId="25FB27B5" w14:textId="77777777" w:rsidR="005B2641" w:rsidRPr="005B2641" w:rsidRDefault="005B2641" w:rsidP="00952C91">
            <w:pPr>
              <w:rPr>
                <w:sz w:val="20"/>
                <w:szCs w:val="20"/>
              </w:rPr>
            </w:pPr>
            <w:r w:rsidRPr="005B2641">
              <w:rPr>
                <w:sz w:val="20"/>
                <w:szCs w:val="20"/>
              </w:rPr>
              <w:t>Programa de Pequeñas Donaciones</w:t>
            </w:r>
          </w:p>
        </w:tc>
        <w:tc>
          <w:tcPr>
            <w:tcW w:w="1007" w:type="pct"/>
            <w:tcBorders>
              <w:top w:val="nil"/>
              <w:left w:val="nil"/>
              <w:bottom w:val="nil"/>
              <w:right w:val="nil"/>
            </w:tcBorders>
            <w:shd w:val="clear" w:color="auto" w:fill="auto"/>
          </w:tcPr>
          <w:p w14:paraId="2F2F1FF3" w14:textId="77777777" w:rsidR="005B2641" w:rsidRPr="005B2641" w:rsidRDefault="005B2641" w:rsidP="00952C91">
            <w:pPr>
              <w:jc w:val="right"/>
              <w:rPr>
                <w:sz w:val="20"/>
                <w:szCs w:val="20"/>
              </w:rPr>
            </w:pPr>
            <w:r w:rsidRPr="005B2641">
              <w:rPr>
                <w:sz w:val="20"/>
                <w:szCs w:val="20"/>
              </w:rPr>
              <w:t>21,0</w:t>
            </w:r>
          </w:p>
        </w:tc>
        <w:tc>
          <w:tcPr>
            <w:tcW w:w="666" w:type="pct"/>
            <w:tcBorders>
              <w:top w:val="nil"/>
              <w:left w:val="nil"/>
              <w:bottom w:val="nil"/>
              <w:right w:val="nil"/>
            </w:tcBorders>
            <w:shd w:val="clear" w:color="auto" w:fill="auto"/>
          </w:tcPr>
          <w:p w14:paraId="3DE974E9" w14:textId="77777777" w:rsidR="005B2641" w:rsidRPr="005B2641" w:rsidRDefault="005B2641" w:rsidP="00952C91">
            <w:pPr>
              <w:jc w:val="right"/>
              <w:rPr>
                <w:sz w:val="20"/>
                <w:szCs w:val="20"/>
              </w:rPr>
            </w:pPr>
            <w:r w:rsidRPr="005B2641">
              <w:rPr>
                <w:rFonts w:ascii="Calibri" w:hAnsi="Calibri"/>
                <w:color w:val="000000"/>
                <w:sz w:val="20"/>
                <w:szCs w:val="20"/>
              </w:rPr>
              <w:t>2 %</w:t>
            </w:r>
          </w:p>
        </w:tc>
        <w:tc>
          <w:tcPr>
            <w:tcW w:w="576" w:type="pct"/>
            <w:tcBorders>
              <w:top w:val="nil"/>
              <w:left w:val="nil"/>
              <w:bottom w:val="nil"/>
              <w:right w:val="nil"/>
            </w:tcBorders>
            <w:shd w:val="clear" w:color="auto" w:fill="auto"/>
          </w:tcPr>
          <w:p w14:paraId="4036DAFF" w14:textId="77777777" w:rsidR="005B2641" w:rsidRPr="005B2641" w:rsidRDefault="005B2641" w:rsidP="00952C91">
            <w:pPr>
              <w:jc w:val="right"/>
              <w:rPr>
                <w:sz w:val="20"/>
                <w:szCs w:val="20"/>
              </w:rPr>
            </w:pPr>
            <w:r w:rsidRPr="005B2641">
              <w:rPr>
                <w:rFonts w:ascii="Calibri" w:hAnsi="Calibri"/>
                <w:color w:val="000000"/>
                <w:sz w:val="20"/>
                <w:szCs w:val="20"/>
              </w:rPr>
              <w:t>21,0</w:t>
            </w:r>
          </w:p>
        </w:tc>
        <w:tc>
          <w:tcPr>
            <w:tcW w:w="581" w:type="pct"/>
            <w:tcBorders>
              <w:top w:val="nil"/>
              <w:left w:val="nil"/>
              <w:bottom w:val="nil"/>
              <w:right w:val="nil"/>
            </w:tcBorders>
            <w:shd w:val="clear" w:color="auto" w:fill="auto"/>
          </w:tcPr>
          <w:p w14:paraId="137C4600" w14:textId="77777777" w:rsidR="005B2641" w:rsidRPr="005B2641" w:rsidRDefault="005B2641" w:rsidP="00952C91">
            <w:pPr>
              <w:jc w:val="right"/>
              <w:rPr>
                <w:sz w:val="20"/>
                <w:szCs w:val="20"/>
              </w:rPr>
            </w:pPr>
            <w:r w:rsidRPr="005B2641">
              <w:rPr>
                <w:rFonts w:ascii="Calibri" w:hAnsi="Calibri"/>
                <w:color w:val="000000"/>
                <w:sz w:val="20"/>
                <w:szCs w:val="20"/>
              </w:rPr>
              <w:t>0 %</w:t>
            </w:r>
          </w:p>
        </w:tc>
        <w:tc>
          <w:tcPr>
            <w:tcW w:w="672" w:type="pct"/>
            <w:tcBorders>
              <w:top w:val="nil"/>
              <w:left w:val="nil"/>
              <w:bottom w:val="nil"/>
              <w:right w:val="nil"/>
            </w:tcBorders>
            <w:shd w:val="clear" w:color="auto" w:fill="auto"/>
          </w:tcPr>
          <w:p w14:paraId="21962DEB" w14:textId="77777777" w:rsidR="005B2641" w:rsidRPr="005B2641" w:rsidRDefault="005B2641" w:rsidP="00952C91">
            <w:pPr>
              <w:jc w:val="right"/>
              <w:rPr>
                <w:sz w:val="20"/>
                <w:szCs w:val="20"/>
              </w:rPr>
            </w:pPr>
            <w:r w:rsidRPr="005B2641">
              <w:rPr>
                <w:rFonts w:ascii="Calibri" w:hAnsi="Calibri"/>
                <w:color w:val="000000"/>
                <w:sz w:val="20"/>
                <w:szCs w:val="20"/>
              </w:rPr>
              <w:t>42,0</w:t>
            </w:r>
          </w:p>
        </w:tc>
        <w:tc>
          <w:tcPr>
            <w:tcW w:w="672" w:type="pct"/>
            <w:tcBorders>
              <w:top w:val="nil"/>
              <w:left w:val="nil"/>
              <w:bottom w:val="nil"/>
              <w:right w:val="nil"/>
            </w:tcBorders>
            <w:shd w:val="clear" w:color="auto" w:fill="auto"/>
          </w:tcPr>
          <w:p w14:paraId="196C4187" w14:textId="77777777" w:rsidR="005B2641" w:rsidRPr="005B2641" w:rsidRDefault="005B2641" w:rsidP="00952C91">
            <w:pPr>
              <w:jc w:val="right"/>
              <w:rPr>
                <w:sz w:val="20"/>
                <w:szCs w:val="20"/>
              </w:rPr>
            </w:pPr>
            <w:r w:rsidRPr="005B2641">
              <w:rPr>
                <w:rFonts w:ascii="Calibri" w:hAnsi="Calibri"/>
                <w:color w:val="000000"/>
                <w:sz w:val="20"/>
                <w:szCs w:val="20"/>
              </w:rPr>
              <w:t>0 %</w:t>
            </w:r>
          </w:p>
        </w:tc>
      </w:tr>
      <w:tr w:rsidR="005B2641" w:rsidRPr="005B2641" w14:paraId="26B98AE6" w14:textId="77777777" w:rsidTr="00952C91">
        <w:tc>
          <w:tcPr>
            <w:tcW w:w="826" w:type="pct"/>
            <w:tcBorders>
              <w:top w:val="single" w:sz="4" w:space="0" w:color="538135" w:themeColor="accent6" w:themeShade="BF"/>
              <w:left w:val="nil"/>
              <w:bottom w:val="nil"/>
              <w:right w:val="nil"/>
            </w:tcBorders>
            <w:shd w:val="clear" w:color="auto" w:fill="auto"/>
          </w:tcPr>
          <w:p w14:paraId="3B4D34A5" w14:textId="77777777" w:rsidR="005B2641" w:rsidRPr="005B2641" w:rsidRDefault="005B2641" w:rsidP="00952C91">
            <w:pPr>
              <w:rPr>
                <w:sz w:val="20"/>
                <w:szCs w:val="20"/>
              </w:rPr>
            </w:pPr>
            <w:r w:rsidRPr="005B2641">
              <w:rPr>
                <w:sz w:val="20"/>
                <w:szCs w:val="20"/>
              </w:rPr>
              <w:t>Totales</w:t>
            </w:r>
          </w:p>
        </w:tc>
        <w:tc>
          <w:tcPr>
            <w:tcW w:w="1007" w:type="pct"/>
            <w:tcBorders>
              <w:top w:val="single" w:sz="4" w:space="0" w:color="538135" w:themeColor="accent6" w:themeShade="BF"/>
              <w:left w:val="nil"/>
              <w:bottom w:val="nil"/>
              <w:right w:val="nil"/>
            </w:tcBorders>
            <w:shd w:val="clear" w:color="auto" w:fill="auto"/>
          </w:tcPr>
          <w:p w14:paraId="1BE9608E" w14:textId="77777777" w:rsidR="005B2641" w:rsidRPr="005B2641" w:rsidRDefault="005B2641" w:rsidP="00952C91">
            <w:pPr>
              <w:jc w:val="right"/>
              <w:rPr>
                <w:sz w:val="20"/>
                <w:szCs w:val="20"/>
              </w:rPr>
            </w:pPr>
            <w:r w:rsidRPr="005B2641">
              <w:rPr>
                <w:sz w:val="20"/>
                <w:szCs w:val="20"/>
              </w:rPr>
              <w:t>1056,7</w:t>
            </w:r>
          </w:p>
        </w:tc>
        <w:tc>
          <w:tcPr>
            <w:tcW w:w="666" w:type="pct"/>
            <w:tcBorders>
              <w:top w:val="single" w:sz="4" w:space="0" w:color="538135" w:themeColor="accent6" w:themeShade="BF"/>
              <w:left w:val="nil"/>
              <w:bottom w:val="nil"/>
              <w:right w:val="nil"/>
            </w:tcBorders>
            <w:shd w:val="clear" w:color="auto" w:fill="auto"/>
          </w:tcPr>
          <w:p w14:paraId="6329ED6B" w14:textId="77777777" w:rsidR="005B2641" w:rsidRPr="005B2641" w:rsidRDefault="005B2641" w:rsidP="00952C91">
            <w:pPr>
              <w:jc w:val="right"/>
              <w:rPr>
                <w:sz w:val="20"/>
                <w:szCs w:val="20"/>
              </w:rPr>
            </w:pPr>
            <w:r w:rsidRPr="005B2641">
              <w:rPr>
                <w:rFonts w:ascii="Calibri" w:hAnsi="Calibri"/>
                <w:color w:val="000000"/>
                <w:sz w:val="20"/>
                <w:szCs w:val="20"/>
              </w:rPr>
              <w:t> </w:t>
            </w:r>
          </w:p>
        </w:tc>
        <w:tc>
          <w:tcPr>
            <w:tcW w:w="576" w:type="pct"/>
            <w:tcBorders>
              <w:top w:val="single" w:sz="4" w:space="0" w:color="538135" w:themeColor="accent6" w:themeShade="BF"/>
              <w:left w:val="nil"/>
              <w:bottom w:val="nil"/>
              <w:right w:val="nil"/>
            </w:tcBorders>
            <w:shd w:val="clear" w:color="auto" w:fill="auto"/>
          </w:tcPr>
          <w:p w14:paraId="5A8606CC" w14:textId="77777777" w:rsidR="005B2641" w:rsidRPr="005B2641" w:rsidRDefault="005B2641" w:rsidP="00952C91">
            <w:pPr>
              <w:jc w:val="right"/>
              <w:rPr>
                <w:sz w:val="20"/>
                <w:szCs w:val="20"/>
              </w:rPr>
            </w:pPr>
            <w:r w:rsidRPr="005B2641">
              <w:rPr>
                <w:rFonts w:ascii="Calibri" w:hAnsi="Calibri"/>
                <w:color w:val="000000"/>
                <w:sz w:val="20"/>
                <w:szCs w:val="20"/>
              </w:rPr>
              <w:t>8955,7</w:t>
            </w:r>
          </w:p>
        </w:tc>
        <w:tc>
          <w:tcPr>
            <w:tcW w:w="581" w:type="pct"/>
            <w:tcBorders>
              <w:top w:val="single" w:sz="4" w:space="0" w:color="538135" w:themeColor="accent6" w:themeShade="BF"/>
              <w:left w:val="nil"/>
              <w:bottom w:val="nil"/>
              <w:right w:val="nil"/>
            </w:tcBorders>
            <w:shd w:val="clear" w:color="auto" w:fill="auto"/>
          </w:tcPr>
          <w:p w14:paraId="62BFB3A6" w14:textId="77777777" w:rsidR="005B2641" w:rsidRPr="005B2641" w:rsidRDefault="005B2641" w:rsidP="00952C91">
            <w:pPr>
              <w:jc w:val="right"/>
              <w:rPr>
                <w:sz w:val="20"/>
                <w:szCs w:val="20"/>
              </w:rPr>
            </w:pPr>
            <w:r w:rsidRPr="005B2641">
              <w:rPr>
                <w:rFonts w:ascii="Calibri" w:hAnsi="Calibri"/>
                <w:color w:val="000000"/>
                <w:sz w:val="20"/>
                <w:szCs w:val="20"/>
              </w:rPr>
              <w:t> </w:t>
            </w:r>
          </w:p>
        </w:tc>
        <w:tc>
          <w:tcPr>
            <w:tcW w:w="672" w:type="pct"/>
            <w:tcBorders>
              <w:top w:val="single" w:sz="4" w:space="0" w:color="538135" w:themeColor="accent6" w:themeShade="BF"/>
              <w:left w:val="nil"/>
              <w:bottom w:val="nil"/>
              <w:right w:val="nil"/>
            </w:tcBorders>
            <w:shd w:val="clear" w:color="auto" w:fill="auto"/>
          </w:tcPr>
          <w:p w14:paraId="6F5BC496" w14:textId="77777777" w:rsidR="005B2641" w:rsidRPr="005B2641" w:rsidRDefault="005B2641" w:rsidP="00952C91">
            <w:pPr>
              <w:jc w:val="right"/>
              <w:rPr>
                <w:sz w:val="20"/>
                <w:szCs w:val="20"/>
              </w:rPr>
            </w:pPr>
            <w:r w:rsidRPr="005B2641">
              <w:rPr>
                <w:rFonts w:ascii="Calibri" w:hAnsi="Calibri"/>
                <w:color w:val="000000"/>
                <w:sz w:val="20"/>
                <w:szCs w:val="20"/>
              </w:rPr>
              <w:t>10 012,4</w:t>
            </w:r>
          </w:p>
        </w:tc>
        <w:tc>
          <w:tcPr>
            <w:tcW w:w="672" w:type="pct"/>
            <w:tcBorders>
              <w:top w:val="single" w:sz="4" w:space="0" w:color="538135" w:themeColor="accent6" w:themeShade="BF"/>
              <w:left w:val="nil"/>
              <w:bottom w:val="nil"/>
              <w:right w:val="nil"/>
            </w:tcBorders>
            <w:shd w:val="clear" w:color="auto" w:fill="auto"/>
          </w:tcPr>
          <w:p w14:paraId="2E91B42A" w14:textId="77777777" w:rsidR="005B2641" w:rsidRPr="005B2641" w:rsidRDefault="005B2641" w:rsidP="00952C91">
            <w:pPr>
              <w:jc w:val="right"/>
              <w:rPr>
                <w:sz w:val="20"/>
                <w:szCs w:val="20"/>
              </w:rPr>
            </w:pPr>
            <w:r w:rsidRPr="005B2641">
              <w:rPr>
                <w:rFonts w:ascii="Calibri" w:hAnsi="Calibri"/>
                <w:color w:val="000000"/>
                <w:sz w:val="20"/>
                <w:szCs w:val="20"/>
              </w:rPr>
              <w:t> </w:t>
            </w:r>
          </w:p>
        </w:tc>
      </w:tr>
    </w:tbl>
    <w:p w14:paraId="371252A7" w14:textId="77777777" w:rsidR="005B2641" w:rsidRPr="005B2641" w:rsidRDefault="005B2641" w:rsidP="005B2641">
      <w:pPr>
        <w:rPr>
          <w:b/>
          <w:sz w:val="24"/>
          <w:szCs w:val="24"/>
          <w:u w:val="single"/>
        </w:rPr>
      </w:pPr>
    </w:p>
    <w:p w14:paraId="54F993E1" w14:textId="77777777" w:rsidR="005B2641" w:rsidRPr="005B2641" w:rsidRDefault="005B2641" w:rsidP="005B2641">
      <w:pPr>
        <w:pStyle w:val="Prrafodelista"/>
        <w:numPr>
          <w:ilvl w:val="0"/>
          <w:numId w:val="25"/>
        </w:numPr>
        <w:spacing w:before="240" w:after="240" w:line="240" w:lineRule="auto"/>
        <w:ind w:left="0" w:firstLine="0"/>
        <w:contextualSpacing w:val="0"/>
        <w:rPr>
          <w:sz w:val="24"/>
          <w:szCs w:val="24"/>
        </w:rPr>
      </w:pPr>
      <w:r w:rsidRPr="005B2641">
        <w:rPr>
          <w:sz w:val="24"/>
          <w:szCs w:val="24"/>
        </w:rPr>
        <w:t>En las siguientes secciones se describe con mayor detalle de qué manera las inversiones resumidas en el cuadro 4 han contribuido al cumplimiento de las Metas de Aichi para la Diversidad Biológica.</w:t>
      </w:r>
    </w:p>
    <w:p w14:paraId="05AAF5F5" w14:textId="77777777" w:rsidR="005B2641" w:rsidRPr="005B2641" w:rsidRDefault="005B2641" w:rsidP="005B2641">
      <w:pPr>
        <w:pStyle w:val="Ttulo2"/>
      </w:pPr>
      <w:bookmarkStart w:id="24" w:name="_Toc35815687"/>
      <w:r w:rsidRPr="005B2641">
        <w:t>Contribuciones de la estrategia del área focal de biodiversidad al cumplimiento de las Metas de Aichi para la Diversidad Biológica en el marco del FMAM-7</w:t>
      </w:r>
      <w:bookmarkEnd w:id="24"/>
    </w:p>
    <w:p w14:paraId="0AAA7BF8" w14:textId="77777777" w:rsidR="005B2641" w:rsidRPr="005B2641" w:rsidRDefault="005B2641" w:rsidP="005B2641">
      <w:pPr>
        <w:pStyle w:val="Prrafodelista"/>
        <w:numPr>
          <w:ilvl w:val="0"/>
          <w:numId w:val="25"/>
        </w:numPr>
        <w:spacing w:before="240" w:after="240" w:line="240" w:lineRule="auto"/>
        <w:ind w:left="0" w:firstLine="0"/>
        <w:contextualSpacing w:val="0"/>
        <w:rPr>
          <w:sz w:val="24"/>
          <w:szCs w:val="24"/>
        </w:rPr>
      </w:pPr>
      <w:r w:rsidRPr="005B2641">
        <w:rPr>
          <w:sz w:val="24"/>
          <w:szCs w:val="24"/>
        </w:rPr>
        <w:t xml:space="preserve">En el cuadro 5 se describen las asignaciones del SATR para la biodiversidad con las que se han respaldado proyectos de esa área focal y proyectos que abarcan varias áreas focales que no forman parte de los proyectos de impacto del FMAM-7. Los datos muestran la persistente </w:t>
      </w:r>
      <w:r w:rsidRPr="005B2641">
        <w:rPr>
          <w:sz w:val="24"/>
          <w:szCs w:val="24"/>
        </w:rPr>
        <w:lastRenderedPageBreak/>
        <w:t>tendencia de los países que reciben ayuda del FMAM a priorizar la agenda de incorporación de la biodiversidad.</w:t>
      </w:r>
    </w:p>
    <w:p w14:paraId="496282E7" w14:textId="77777777" w:rsidR="005B2641" w:rsidRPr="005B2641" w:rsidRDefault="005B2641" w:rsidP="005B2641">
      <w:pPr>
        <w:pStyle w:val="Prrafodelista"/>
        <w:numPr>
          <w:ilvl w:val="0"/>
          <w:numId w:val="25"/>
        </w:numPr>
        <w:spacing w:before="240" w:after="240" w:line="240" w:lineRule="auto"/>
        <w:ind w:left="0" w:firstLine="0"/>
        <w:contextualSpacing w:val="0"/>
        <w:rPr>
          <w:sz w:val="24"/>
          <w:szCs w:val="24"/>
        </w:rPr>
      </w:pPr>
      <w:r w:rsidRPr="005B2641">
        <w:rPr>
          <w:sz w:val="24"/>
          <w:szCs w:val="24"/>
        </w:rPr>
        <w:t>El primer objetivo de la estrategia, que se centra en la incorporación, ha constituido la prioridad de los países, que han destinado USD 165,6 millones (69 %) a ponerlo en práctica. El segundo objetivo, centrado en la gestión de zonas protegidas y la protección de las especies, constituye una prioridad secundaria para los países, que han invertido USD 65,7 millones (28 %) para llevarlo a cabo. El tercer objetivo, con el que se busca respaldar la aplicación de los dos protocolos y las obligaciones de presentación de informes del convenio, ha representado una prioridad muy baja para los países, que han invertido apenas USD 7,8 millones (3 %) para implementar el Protocolo de Nagoya.</w:t>
      </w:r>
    </w:p>
    <w:p w14:paraId="6344BF64" w14:textId="77777777" w:rsidR="005B2641" w:rsidRPr="005B2641" w:rsidRDefault="005B2641" w:rsidP="005B2641">
      <w:pPr>
        <w:pStyle w:val="Prrafodelista"/>
        <w:numPr>
          <w:ilvl w:val="0"/>
          <w:numId w:val="25"/>
        </w:numPr>
        <w:spacing w:before="240" w:after="240" w:line="240" w:lineRule="auto"/>
        <w:ind w:left="0" w:firstLine="0"/>
        <w:contextualSpacing w:val="0"/>
        <w:rPr>
          <w:sz w:val="24"/>
          <w:szCs w:val="24"/>
        </w:rPr>
      </w:pPr>
      <w:r w:rsidRPr="005B2641">
        <w:rPr>
          <w:sz w:val="24"/>
          <w:szCs w:val="24"/>
        </w:rPr>
        <w:t>Cabe señalar, como se describe con más detalle en este informe, que a través de los programas de impacto se programaron asignaciones del SATR para la biodiversidad por valor de USD 220,6 millones, y que dichos programas se encuentran mayormente en consonancia con la agenda de incorporación de la biodiversidad.</w:t>
      </w:r>
    </w:p>
    <w:p w14:paraId="5F6F599C" w14:textId="77777777" w:rsidR="005B2641" w:rsidRPr="005B2641" w:rsidRDefault="005B2641" w:rsidP="005B2641">
      <w:pPr>
        <w:spacing w:before="240" w:after="240" w:line="240" w:lineRule="auto"/>
        <w:jc w:val="center"/>
        <w:rPr>
          <w:b/>
          <w:i/>
          <w:sz w:val="24"/>
          <w:szCs w:val="24"/>
        </w:rPr>
      </w:pPr>
      <w:r w:rsidRPr="005B2641">
        <w:rPr>
          <w:b/>
          <w:sz w:val="24"/>
          <w:szCs w:val="24"/>
        </w:rPr>
        <w:t>Cuadro 5. Contribución de los proyectos del área focal de biodiversidad y los proyectos que abarcan varias áreas focales al cumplimiento de las Metas de Aichi para la Diversidad Biológica (</w:t>
      </w:r>
      <w:r w:rsidRPr="005B2641">
        <w:rPr>
          <w:b/>
          <w:i/>
          <w:sz w:val="24"/>
          <w:szCs w:val="24"/>
          <w:u w:val="single"/>
        </w:rPr>
        <w:t>estos proyectos no forman parte de los programas de impacto</w:t>
      </w:r>
      <w:r w:rsidRPr="005B2641">
        <w:rPr>
          <w:b/>
          <w:sz w:val="24"/>
          <w:szCs w:val="24"/>
        </w:rPr>
        <w:t>)</w:t>
      </w:r>
      <w:r w:rsidRPr="005B2641">
        <w:rPr>
          <w:b/>
          <w:sz w:val="24"/>
          <w:szCs w:val="24"/>
        </w:rPr>
        <w:br/>
        <w:t>(del 1 de julio de 2018 al 31 de diciembre de 2019)</w:t>
      </w:r>
      <w:r w:rsidRPr="005B2641">
        <w:rPr>
          <w:rStyle w:val="Refdenotaalpie"/>
          <w:sz w:val="24"/>
          <w:szCs w:val="24"/>
        </w:rPr>
        <w:footnoteReference w:id="9"/>
      </w:r>
    </w:p>
    <w:tbl>
      <w:tblPr>
        <w:tblStyle w:val="Tablaconcuadrcula"/>
        <w:tblW w:w="0" w:type="auto"/>
        <w:tblLook w:val="04A0" w:firstRow="1" w:lastRow="0" w:firstColumn="1" w:lastColumn="0" w:noHBand="0" w:noVBand="1"/>
      </w:tblPr>
      <w:tblGrid>
        <w:gridCol w:w="3110"/>
        <w:gridCol w:w="1649"/>
        <w:gridCol w:w="1627"/>
        <w:gridCol w:w="1831"/>
        <w:gridCol w:w="1133"/>
      </w:tblGrid>
      <w:tr w:rsidR="005B2641" w:rsidRPr="005B2641" w14:paraId="603CAC10" w14:textId="77777777" w:rsidTr="00952C91">
        <w:trPr>
          <w:tblHeader/>
        </w:trPr>
        <w:tc>
          <w:tcPr>
            <w:tcW w:w="3397" w:type="dxa"/>
            <w:vAlign w:val="center"/>
          </w:tcPr>
          <w:p w14:paraId="4DCDA04B" w14:textId="77777777" w:rsidR="005B2641" w:rsidRPr="005B2641" w:rsidRDefault="005B2641" w:rsidP="00952C91">
            <w:pPr>
              <w:jc w:val="center"/>
              <w:rPr>
                <w:b/>
              </w:rPr>
            </w:pPr>
            <w:r w:rsidRPr="005B2641">
              <w:rPr>
                <w:b/>
              </w:rPr>
              <w:t xml:space="preserve">Objetivos de la estrategia </w:t>
            </w:r>
            <w:r w:rsidRPr="005B2641">
              <w:rPr>
                <w:b/>
              </w:rPr>
              <w:br/>
              <w:t xml:space="preserve">de biodiversidad y líneas </w:t>
            </w:r>
            <w:r w:rsidRPr="005B2641">
              <w:rPr>
                <w:b/>
              </w:rPr>
              <w:br/>
              <w:t>de programación</w:t>
            </w:r>
          </w:p>
        </w:tc>
        <w:tc>
          <w:tcPr>
            <w:tcW w:w="1754" w:type="dxa"/>
            <w:vAlign w:val="center"/>
          </w:tcPr>
          <w:p w14:paraId="648B494A" w14:textId="77777777" w:rsidR="005B2641" w:rsidRPr="005B2641" w:rsidRDefault="005B2641" w:rsidP="00952C91">
            <w:pPr>
              <w:jc w:val="center"/>
              <w:rPr>
                <w:b/>
              </w:rPr>
            </w:pPr>
            <w:r w:rsidRPr="005B2641">
              <w:rPr>
                <w:b/>
              </w:rPr>
              <w:t>Metas de Aichi</w:t>
            </w:r>
          </w:p>
        </w:tc>
        <w:tc>
          <w:tcPr>
            <w:tcW w:w="1534" w:type="dxa"/>
            <w:vAlign w:val="center"/>
          </w:tcPr>
          <w:p w14:paraId="4E87993D" w14:textId="77777777" w:rsidR="005B2641" w:rsidRPr="005B2641" w:rsidRDefault="005B2641" w:rsidP="00952C91">
            <w:pPr>
              <w:jc w:val="center"/>
              <w:rPr>
                <w:b/>
              </w:rPr>
            </w:pPr>
            <w:r w:rsidRPr="005B2641">
              <w:rPr>
                <w:b/>
              </w:rPr>
              <w:t xml:space="preserve">Financiamiento del FMAM para proyectos </w:t>
            </w:r>
          </w:p>
          <w:p w14:paraId="430E8E94" w14:textId="77777777" w:rsidR="005B2641" w:rsidRPr="005B2641" w:rsidRDefault="005B2641" w:rsidP="00952C91">
            <w:pPr>
              <w:jc w:val="center"/>
              <w:rPr>
                <w:b/>
              </w:rPr>
            </w:pPr>
            <w:r w:rsidRPr="005B2641">
              <w:rPr>
                <w:b/>
              </w:rPr>
              <w:t xml:space="preserve">(en millones </w:t>
            </w:r>
            <w:r w:rsidRPr="005B2641">
              <w:rPr>
                <w:b/>
              </w:rPr>
              <w:br/>
              <w:t>de USD)</w:t>
            </w:r>
          </w:p>
        </w:tc>
        <w:tc>
          <w:tcPr>
            <w:tcW w:w="1506" w:type="dxa"/>
            <w:vAlign w:val="center"/>
          </w:tcPr>
          <w:p w14:paraId="2080A04E" w14:textId="77777777" w:rsidR="005B2641" w:rsidRPr="005B2641" w:rsidRDefault="005B2641" w:rsidP="00952C91">
            <w:pPr>
              <w:jc w:val="center"/>
              <w:rPr>
                <w:b/>
              </w:rPr>
            </w:pPr>
            <w:r w:rsidRPr="005B2641">
              <w:rPr>
                <w:b/>
              </w:rPr>
              <w:t>Cofinanciamiento</w:t>
            </w:r>
          </w:p>
          <w:p w14:paraId="01929054" w14:textId="77777777" w:rsidR="005B2641" w:rsidRPr="005B2641" w:rsidRDefault="005B2641" w:rsidP="00952C91">
            <w:pPr>
              <w:jc w:val="center"/>
              <w:rPr>
                <w:b/>
              </w:rPr>
            </w:pPr>
            <w:r w:rsidRPr="005B2641">
              <w:rPr>
                <w:b/>
              </w:rPr>
              <w:t xml:space="preserve">(en millones </w:t>
            </w:r>
            <w:r w:rsidRPr="005B2641">
              <w:rPr>
                <w:b/>
              </w:rPr>
              <w:br/>
              <w:t>de USD)</w:t>
            </w:r>
          </w:p>
        </w:tc>
        <w:tc>
          <w:tcPr>
            <w:tcW w:w="1159" w:type="dxa"/>
            <w:vAlign w:val="center"/>
          </w:tcPr>
          <w:p w14:paraId="6EB79EA2" w14:textId="77777777" w:rsidR="005B2641" w:rsidRPr="005B2641" w:rsidRDefault="005B2641" w:rsidP="00952C91">
            <w:pPr>
              <w:jc w:val="center"/>
              <w:rPr>
                <w:b/>
              </w:rPr>
            </w:pPr>
            <w:r w:rsidRPr="005B2641">
              <w:rPr>
                <w:b/>
              </w:rPr>
              <w:t>Total</w:t>
            </w:r>
          </w:p>
          <w:p w14:paraId="154DAEEE" w14:textId="77777777" w:rsidR="005B2641" w:rsidRPr="005B2641" w:rsidRDefault="005B2641" w:rsidP="00952C91">
            <w:pPr>
              <w:jc w:val="center"/>
              <w:rPr>
                <w:b/>
              </w:rPr>
            </w:pPr>
            <w:r w:rsidRPr="005B2641">
              <w:rPr>
                <w:b/>
              </w:rPr>
              <w:t>(en millones de USD)</w:t>
            </w:r>
          </w:p>
        </w:tc>
      </w:tr>
      <w:tr w:rsidR="005B2641" w:rsidRPr="005B2641" w14:paraId="35BA2C6B" w14:textId="77777777" w:rsidTr="00952C91">
        <w:tc>
          <w:tcPr>
            <w:tcW w:w="3397" w:type="dxa"/>
            <w:shd w:val="clear" w:color="auto" w:fill="auto"/>
            <w:vAlign w:val="center"/>
          </w:tcPr>
          <w:p w14:paraId="12A1C638" w14:textId="77777777" w:rsidR="005B2641" w:rsidRPr="005B2641" w:rsidRDefault="005B2641" w:rsidP="00952C91">
            <w:pPr>
              <w:spacing w:after="40"/>
              <w:rPr>
                <w:b/>
              </w:rPr>
            </w:pPr>
            <w:r w:rsidRPr="005B2641">
              <w:rPr>
                <w:b/>
              </w:rPr>
              <w:t xml:space="preserve">Objetivo 1. Incorporar la biodiversidad en todos los sectores y en todos los paisajes terrestres y marinos </w:t>
            </w:r>
          </w:p>
        </w:tc>
        <w:tc>
          <w:tcPr>
            <w:tcW w:w="1754" w:type="dxa"/>
            <w:shd w:val="clear" w:color="auto" w:fill="auto"/>
            <w:vAlign w:val="center"/>
          </w:tcPr>
          <w:p w14:paraId="633E151A" w14:textId="77777777" w:rsidR="005B2641" w:rsidRPr="005B2641" w:rsidRDefault="005B2641" w:rsidP="00952C91">
            <w:pPr>
              <w:spacing w:after="40"/>
              <w:rPr>
                <w:b/>
              </w:rPr>
            </w:pPr>
          </w:p>
        </w:tc>
        <w:tc>
          <w:tcPr>
            <w:tcW w:w="1534" w:type="dxa"/>
            <w:shd w:val="clear" w:color="auto" w:fill="auto"/>
            <w:vAlign w:val="center"/>
          </w:tcPr>
          <w:p w14:paraId="5FBC8094" w14:textId="77777777" w:rsidR="005B2641" w:rsidRPr="005B2641" w:rsidRDefault="005B2641" w:rsidP="00952C91">
            <w:pPr>
              <w:spacing w:after="40"/>
              <w:rPr>
                <w:b/>
              </w:rPr>
            </w:pPr>
          </w:p>
        </w:tc>
        <w:tc>
          <w:tcPr>
            <w:tcW w:w="1506" w:type="dxa"/>
            <w:shd w:val="clear" w:color="auto" w:fill="auto"/>
            <w:vAlign w:val="center"/>
          </w:tcPr>
          <w:p w14:paraId="5D9D8A73" w14:textId="77777777" w:rsidR="005B2641" w:rsidRPr="005B2641" w:rsidRDefault="005B2641" w:rsidP="00952C91">
            <w:pPr>
              <w:spacing w:after="40"/>
              <w:rPr>
                <w:b/>
              </w:rPr>
            </w:pPr>
          </w:p>
        </w:tc>
        <w:tc>
          <w:tcPr>
            <w:tcW w:w="1159" w:type="dxa"/>
            <w:shd w:val="clear" w:color="auto" w:fill="auto"/>
            <w:vAlign w:val="center"/>
          </w:tcPr>
          <w:p w14:paraId="7FD55210" w14:textId="77777777" w:rsidR="005B2641" w:rsidRPr="005B2641" w:rsidRDefault="005B2641" w:rsidP="00952C91">
            <w:pPr>
              <w:spacing w:after="40"/>
              <w:rPr>
                <w:b/>
              </w:rPr>
            </w:pPr>
          </w:p>
        </w:tc>
      </w:tr>
      <w:tr w:rsidR="005B2641" w:rsidRPr="005B2641" w14:paraId="089B3422" w14:textId="77777777" w:rsidTr="00952C91">
        <w:tc>
          <w:tcPr>
            <w:tcW w:w="3397" w:type="dxa"/>
            <w:vAlign w:val="center"/>
          </w:tcPr>
          <w:p w14:paraId="4246E168" w14:textId="77777777" w:rsidR="005B2641" w:rsidRPr="005B2641" w:rsidRDefault="005B2641" w:rsidP="00952C91">
            <w:pPr>
              <w:spacing w:after="40"/>
            </w:pPr>
            <w:r w:rsidRPr="005B2641">
              <w:t>1-1 Incorporación de la biodiversidad en los sectores prioritarios</w:t>
            </w:r>
          </w:p>
        </w:tc>
        <w:tc>
          <w:tcPr>
            <w:tcW w:w="1754" w:type="dxa"/>
            <w:vAlign w:val="center"/>
          </w:tcPr>
          <w:p w14:paraId="34423922" w14:textId="77777777" w:rsidR="005B2641" w:rsidRPr="005B2641" w:rsidRDefault="005B2641" w:rsidP="00952C91">
            <w:pPr>
              <w:spacing w:after="40"/>
            </w:pPr>
            <w:r w:rsidRPr="005B2641">
              <w:t>3, 5, 6, 7, 14, 15</w:t>
            </w:r>
          </w:p>
        </w:tc>
        <w:tc>
          <w:tcPr>
            <w:tcW w:w="1534" w:type="dxa"/>
            <w:vAlign w:val="center"/>
          </w:tcPr>
          <w:p w14:paraId="6B96ABD5" w14:textId="77777777" w:rsidR="005B2641" w:rsidRPr="005B2641" w:rsidRDefault="005B2641" w:rsidP="00952C91">
            <w:pPr>
              <w:spacing w:after="40"/>
            </w:pPr>
            <w:r w:rsidRPr="005B2641">
              <w:rPr>
                <w:rFonts w:ascii="Calibri" w:hAnsi="Calibri"/>
                <w:color w:val="000000"/>
              </w:rPr>
              <w:t>84,9</w:t>
            </w:r>
          </w:p>
        </w:tc>
        <w:tc>
          <w:tcPr>
            <w:tcW w:w="1506" w:type="dxa"/>
            <w:vAlign w:val="center"/>
          </w:tcPr>
          <w:p w14:paraId="0E4B0C75" w14:textId="77777777" w:rsidR="005B2641" w:rsidRPr="005B2641" w:rsidRDefault="005B2641" w:rsidP="00952C91">
            <w:pPr>
              <w:spacing w:after="40"/>
            </w:pPr>
            <w:r w:rsidRPr="005B2641">
              <w:rPr>
                <w:rFonts w:ascii="Calibri" w:hAnsi="Calibri"/>
                <w:color w:val="000000"/>
              </w:rPr>
              <w:t>623,0</w:t>
            </w:r>
          </w:p>
        </w:tc>
        <w:tc>
          <w:tcPr>
            <w:tcW w:w="1159" w:type="dxa"/>
            <w:vAlign w:val="center"/>
          </w:tcPr>
          <w:p w14:paraId="7029A491" w14:textId="77777777" w:rsidR="005B2641" w:rsidRPr="005B2641" w:rsidRDefault="005B2641" w:rsidP="00952C91">
            <w:pPr>
              <w:spacing w:after="40"/>
            </w:pPr>
            <w:r w:rsidRPr="005B2641">
              <w:rPr>
                <w:rFonts w:ascii="Calibri" w:hAnsi="Calibri"/>
                <w:color w:val="000000"/>
              </w:rPr>
              <w:t>707,8</w:t>
            </w:r>
          </w:p>
        </w:tc>
      </w:tr>
      <w:tr w:rsidR="005B2641" w:rsidRPr="005B2641" w14:paraId="66D61AE3" w14:textId="77777777" w:rsidTr="00952C91">
        <w:tc>
          <w:tcPr>
            <w:tcW w:w="3397" w:type="dxa"/>
            <w:vAlign w:val="center"/>
          </w:tcPr>
          <w:p w14:paraId="452BADBB" w14:textId="77777777" w:rsidR="005B2641" w:rsidRPr="005B2641" w:rsidRDefault="005B2641" w:rsidP="00952C91">
            <w:pPr>
              <w:spacing w:after="40"/>
            </w:pPr>
            <w:r w:rsidRPr="005B2641">
              <w:t>1-2a Programa Mundial sobre Vida Silvestre: Prevenir la extinción de especies amenazadas conocidas</w:t>
            </w:r>
          </w:p>
        </w:tc>
        <w:tc>
          <w:tcPr>
            <w:tcW w:w="1754" w:type="dxa"/>
            <w:vAlign w:val="center"/>
          </w:tcPr>
          <w:p w14:paraId="37B4AD4F" w14:textId="77777777" w:rsidR="005B2641" w:rsidRPr="005B2641" w:rsidRDefault="005B2641" w:rsidP="00952C91">
            <w:pPr>
              <w:spacing w:after="40"/>
            </w:pPr>
            <w:r w:rsidRPr="005B2641">
              <w:t>12</w:t>
            </w:r>
          </w:p>
        </w:tc>
        <w:tc>
          <w:tcPr>
            <w:tcW w:w="1534" w:type="dxa"/>
            <w:vAlign w:val="center"/>
          </w:tcPr>
          <w:p w14:paraId="29698964" w14:textId="77777777" w:rsidR="005B2641" w:rsidRPr="005B2641" w:rsidRDefault="005B2641" w:rsidP="00952C91">
            <w:pPr>
              <w:spacing w:after="40"/>
            </w:pPr>
            <w:r w:rsidRPr="005B2641">
              <w:rPr>
                <w:rFonts w:ascii="Calibri" w:hAnsi="Calibri"/>
                <w:color w:val="000000"/>
              </w:rPr>
              <w:t>27,5</w:t>
            </w:r>
          </w:p>
        </w:tc>
        <w:tc>
          <w:tcPr>
            <w:tcW w:w="1506" w:type="dxa"/>
            <w:vAlign w:val="center"/>
          </w:tcPr>
          <w:p w14:paraId="50C88510" w14:textId="77777777" w:rsidR="005B2641" w:rsidRPr="005B2641" w:rsidRDefault="005B2641" w:rsidP="00952C91">
            <w:pPr>
              <w:spacing w:after="40"/>
            </w:pPr>
            <w:r w:rsidRPr="005B2641">
              <w:rPr>
                <w:rFonts w:ascii="Calibri" w:hAnsi="Calibri"/>
                <w:color w:val="000000"/>
              </w:rPr>
              <w:t>156,5</w:t>
            </w:r>
          </w:p>
        </w:tc>
        <w:tc>
          <w:tcPr>
            <w:tcW w:w="1159" w:type="dxa"/>
            <w:vAlign w:val="center"/>
          </w:tcPr>
          <w:p w14:paraId="37A59872" w14:textId="77777777" w:rsidR="005B2641" w:rsidRPr="005B2641" w:rsidRDefault="005B2641" w:rsidP="00952C91">
            <w:pPr>
              <w:spacing w:after="40"/>
            </w:pPr>
            <w:r w:rsidRPr="005B2641">
              <w:rPr>
                <w:rFonts w:ascii="Calibri" w:hAnsi="Calibri"/>
                <w:color w:val="000000"/>
              </w:rPr>
              <w:t>184,1</w:t>
            </w:r>
          </w:p>
        </w:tc>
      </w:tr>
      <w:tr w:rsidR="005B2641" w:rsidRPr="005B2641" w14:paraId="130C93DA" w14:textId="77777777" w:rsidTr="00952C91">
        <w:tc>
          <w:tcPr>
            <w:tcW w:w="3397" w:type="dxa"/>
            <w:vAlign w:val="center"/>
          </w:tcPr>
          <w:p w14:paraId="3ED26FA0" w14:textId="77777777" w:rsidR="005B2641" w:rsidRPr="005B2641" w:rsidRDefault="005B2641" w:rsidP="00952C91">
            <w:pPr>
              <w:spacing w:after="40"/>
            </w:pPr>
            <w:r w:rsidRPr="005B2641">
              <w:t>1-2b Programa Mundial sobre Vida Silvestre: Vida Silvestre para el Desarrollo Sostenible</w:t>
            </w:r>
          </w:p>
        </w:tc>
        <w:tc>
          <w:tcPr>
            <w:tcW w:w="1754" w:type="dxa"/>
            <w:vAlign w:val="center"/>
          </w:tcPr>
          <w:p w14:paraId="2A111BF4" w14:textId="77777777" w:rsidR="005B2641" w:rsidRPr="005B2641" w:rsidRDefault="005B2641" w:rsidP="00952C91">
            <w:pPr>
              <w:spacing w:after="40"/>
            </w:pPr>
            <w:r w:rsidRPr="005B2641">
              <w:t>12</w:t>
            </w:r>
          </w:p>
        </w:tc>
        <w:tc>
          <w:tcPr>
            <w:tcW w:w="1534" w:type="dxa"/>
            <w:vAlign w:val="center"/>
          </w:tcPr>
          <w:p w14:paraId="6D6A1669" w14:textId="77777777" w:rsidR="005B2641" w:rsidRPr="005B2641" w:rsidRDefault="005B2641" w:rsidP="00952C91">
            <w:pPr>
              <w:spacing w:after="40"/>
            </w:pPr>
            <w:r w:rsidRPr="005B2641">
              <w:rPr>
                <w:rFonts w:ascii="Calibri" w:hAnsi="Calibri"/>
                <w:color w:val="000000"/>
              </w:rPr>
              <w:t>27,3</w:t>
            </w:r>
          </w:p>
        </w:tc>
        <w:tc>
          <w:tcPr>
            <w:tcW w:w="1506" w:type="dxa"/>
            <w:vAlign w:val="center"/>
          </w:tcPr>
          <w:p w14:paraId="19EAB1E2" w14:textId="77777777" w:rsidR="005B2641" w:rsidRPr="005B2641" w:rsidRDefault="005B2641" w:rsidP="00952C91">
            <w:pPr>
              <w:spacing w:after="40"/>
            </w:pPr>
            <w:r w:rsidRPr="005B2641">
              <w:rPr>
                <w:rFonts w:ascii="Calibri" w:hAnsi="Calibri"/>
                <w:color w:val="000000"/>
              </w:rPr>
              <w:t>199,9</w:t>
            </w:r>
          </w:p>
        </w:tc>
        <w:tc>
          <w:tcPr>
            <w:tcW w:w="1159" w:type="dxa"/>
            <w:vAlign w:val="center"/>
          </w:tcPr>
          <w:p w14:paraId="5BB6E8C4" w14:textId="77777777" w:rsidR="005B2641" w:rsidRPr="005B2641" w:rsidRDefault="005B2641" w:rsidP="00952C91">
            <w:pPr>
              <w:spacing w:after="40"/>
            </w:pPr>
            <w:r w:rsidRPr="005B2641">
              <w:rPr>
                <w:rFonts w:ascii="Calibri" w:hAnsi="Calibri"/>
                <w:color w:val="000000"/>
              </w:rPr>
              <w:t>227,2</w:t>
            </w:r>
          </w:p>
        </w:tc>
      </w:tr>
      <w:tr w:rsidR="005B2641" w:rsidRPr="005B2641" w14:paraId="2CF3F917" w14:textId="77777777" w:rsidTr="00952C91">
        <w:tc>
          <w:tcPr>
            <w:tcW w:w="3397" w:type="dxa"/>
            <w:vAlign w:val="center"/>
          </w:tcPr>
          <w:p w14:paraId="6490D435" w14:textId="77777777" w:rsidR="005B2641" w:rsidRPr="005B2641" w:rsidRDefault="005B2641" w:rsidP="00952C91">
            <w:pPr>
              <w:spacing w:after="40"/>
            </w:pPr>
            <w:r w:rsidRPr="005B2641">
              <w:t>1-3 Evaluación y contabilidad del capital natural</w:t>
            </w:r>
          </w:p>
        </w:tc>
        <w:tc>
          <w:tcPr>
            <w:tcW w:w="1754" w:type="dxa"/>
            <w:vAlign w:val="center"/>
          </w:tcPr>
          <w:p w14:paraId="2329D012" w14:textId="77777777" w:rsidR="005B2641" w:rsidRPr="005B2641" w:rsidRDefault="005B2641" w:rsidP="00952C91">
            <w:pPr>
              <w:spacing w:after="40"/>
            </w:pPr>
            <w:r w:rsidRPr="005B2641">
              <w:t>2 y 20</w:t>
            </w:r>
          </w:p>
        </w:tc>
        <w:tc>
          <w:tcPr>
            <w:tcW w:w="1534" w:type="dxa"/>
            <w:vAlign w:val="center"/>
          </w:tcPr>
          <w:p w14:paraId="161FFBB6" w14:textId="77777777" w:rsidR="005B2641" w:rsidRPr="005B2641" w:rsidRDefault="005B2641" w:rsidP="00952C91">
            <w:pPr>
              <w:spacing w:after="40"/>
            </w:pPr>
            <w:r w:rsidRPr="005B2641">
              <w:rPr>
                <w:rFonts w:ascii="Calibri" w:hAnsi="Calibri"/>
                <w:color w:val="000000"/>
              </w:rPr>
              <w:t>3,4</w:t>
            </w:r>
          </w:p>
        </w:tc>
        <w:tc>
          <w:tcPr>
            <w:tcW w:w="1506" w:type="dxa"/>
            <w:vAlign w:val="center"/>
          </w:tcPr>
          <w:p w14:paraId="64083F4B" w14:textId="77777777" w:rsidR="005B2641" w:rsidRPr="005B2641" w:rsidRDefault="005B2641" w:rsidP="00952C91">
            <w:pPr>
              <w:spacing w:after="40"/>
            </w:pPr>
            <w:r w:rsidRPr="005B2641">
              <w:rPr>
                <w:rFonts w:ascii="Calibri" w:hAnsi="Calibri"/>
                <w:color w:val="000000"/>
              </w:rPr>
              <w:t>9,7</w:t>
            </w:r>
          </w:p>
        </w:tc>
        <w:tc>
          <w:tcPr>
            <w:tcW w:w="1159" w:type="dxa"/>
            <w:vAlign w:val="center"/>
          </w:tcPr>
          <w:p w14:paraId="2B7119B5" w14:textId="77777777" w:rsidR="005B2641" w:rsidRPr="005B2641" w:rsidRDefault="005B2641" w:rsidP="00952C91">
            <w:pPr>
              <w:spacing w:after="40"/>
            </w:pPr>
            <w:r w:rsidRPr="005B2641">
              <w:rPr>
                <w:rFonts w:ascii="Calibri" w:hAnsi="Calibri"/>
                <w:color w:val="000000"/>
              </w:rPr>
              <w:t>13,0</w:t>
            </w:r>
          </w:p>
        </w:tc>
      </w:tr>
      <w:tr w:rsidR="005B2641" w:rsidRPr="005B2641" w14:paraId="143888D7" w14:textId="77777777" w:rsidTr="00952C91">
        <w:tc>
          <w:tcPr>
            <w:tcW w:w="3397" w:type="dxa"/>
            <w:vAlign w:val="center"/>
          </w:tcPr>
          <w:p w14:paraId="26A7B402" w14:textId="77777777" w:rsidR="005B2641" w:rsidRPr="005B2641" w:rsidRDefault="005B2641" w:rsidP="00952C91">
            <w:pPr>
              <w:spacing w:after="40"/>
            </w:pPr>
            <w:r w:rsidRPr="005B2641">
              <w:lastRenderedPageBreak/>
              <w:t>1-4 Uso sostenible de los recursos fitogenéticos y zoogenéticos</w:t>
            </w:r>
          </w:p>
        </w:tc>
        <w:tc>
          <w:tcPr>
            <w:tcW w:w="1754" w:type="dxa"/>
            <w:vAlign w:val="center"/>
          </w:tcPr>
          <w:p w14:paraId="0AB1839A" w14:textId="77777777" w:rsidR="005B2641" w:rsidRPr="005B2641" w:rsidRDefault="005B2641" w:rsidP="00952C91">
            <w:pPr>
              <w:spacing w:after="40"/>
            </w:pPr>
            <w:r w:rsidRPr="005B2641">
              <w:t>7 y 13</w:t>
            </w:r>
          </w:p>
        </w:tc>
        <w:tc>
          <w:tcPr>
            <w:tcW w:w="1534" w:type="dxa"/>
            <w:vAlign w:val="center"/>
          </w:tcPr>
          <w:p w14:paraId="57125A60" w14:textId="77777777" w:rsidR="005B2641" w:rsidRPr="005B2641" w:rsidRDefault="005B2641" w:rsidP="00952C91">
            <w:pPr>
              <w:spacing w:after="40"/>
            </w:pPr>
          </w:p>
        </w:tc>
        <w:tc>
          <w:tcPr>
            <w:tcW w:w="1506" w:type="dxa"/>
            <w:vAlign w:val="center"/>
          </w:tcPr>
          <w:p w14:paraId="7621EDE3" w14:textId="77777777" w:rsidR="005B2641" w:rsidRPr="005B2641" w:rsidRDefault="005B2641" w:rsidP="00952C91">
            <w:pPr>
              <w:spacing w:after="40"/>
            </w:pPr>
          </w:p>
        </w:tc>
        <w:tc>
          <w:tcPr>
            <w:tcW w:w="1159" w:type="dxa"/>
            <w:vAlign w:val="center"/>
          </w:tcPr>
          <w:p w14:paraId="0EB01594" w14:textId="77777777" w:rsidR="005B2641" w:rsidRPr="005B2641" w:rsidRDefault="005B2641" w:rsidP="00952C91">
            <w:pPr>
              <w:spacing w:after="40"/>
            </w:pPr>
          </w:p>
        </w:tc>
      </w:tr>
      <w:tr w:rsidR="005B2641" w:rsidRPr="005B2641" w14:paraId="70822DE4" w14:textId="77777777" w:rsidTr="00952C91">
        <w:tc>
          <w:tcPr>
            <w:tcW w:w="3397" w:type="dxa"/>
            <w:vAlign w:val="center"/>
          </w:tcPr>
          <w:p w14:paraId="57E64AD0" w14:textId="77777777" w:rsidR="005B2641" w:rsidRPr="005B2641" w:rsidRDefault="005B2641" w:rsidP="00952C91">
            <w:pPr>
              <w:spacing w:after="40"/>
            </w:pPr>
            <w:r w:rsidRPr="005B2641">
              <w:t>1-5 Conservación inclusiva</w:t>
            </w:r>
          </w:p>
        </w:tc>
        <w:tc>
          <w:tcPr>
            <w:tcW w:w="1754" w:type="dxa"/>
            <w:vAlign w:val="center"/>
          </w:tcPr>
          <w:p w14:paraId="38D0FBEF" w14:textId="77777777" w:rsidR="005B2641" w:rsidRPr="005B2641" w:rsidRDefault="005B2641" w:rsidP="00952C91">
            <w:pPr>
              <w:spacing w:after="40"/>
            </w:pPr>
            <w:r w:rsidRPr="005B2641">
              <w:t xml:space="preserve">11 </w:t>
            </w:r>
          </w:p>
        </w:tc>
        <w:tc>
          <w:tcPr>
            <w:tcW w:w="1534" w:type="dxa"/>
            <w:vAlign w:val="center"/>
          </w:tcPr>
          <w:p w14:paraId="445DC8A8" w14:textId="77777777" w:rsidR="005B2641" w:rsidRPr="005B2641" w:rsidRDefault="005B2641" w:rsidP="00952C91">
            <w:pPr>
              <w:spacing w:after="40"/>
            </w:pPr>
            <w:r w:rsidRPr="005B2641">
              <w:rPr>
                <w:rFonts w:ascii="Calibri" w:hAnsi="Calibri"/>
                <w:color w:val="000000"/>
              </w:rPr>
              <w:t>22,5</w:t>
            </w:r>
          </w:p>
        </w:tc>
        <w:tc>
          <w:tcPr>
            <w:tcW w:w="1506" w:type="dxa"/>
            <w:vAlign w:val="center"/>
          </w:tcPr>
          <w:p w14:paraId="5CE79DC9" w14:textId="77777777" w:rsidR="005B2641" w:rsidRPr="005B2641" w:rsidRDefault="005B2641" w:rsidP="00952C91">
            <w:pPr>
              <w:spacing w:after="40"/>
            </w:pPr>
            <w:r w:rsidRPr="005B2641">
              <w:rPr>
                <w:rFonts w:ascii="Calibri" w:hAnsi="Calibri"/>
                <w:color w:val="000000"/>
              </w:rPr>
              <w:t>68,5</w:t>
            </w:r>
          </w:p>
        </w:tc>
        <w:tc>
          <w:tcPr>
            <w:tcW w:w="1159" w:type="dxa"/>
            <w:vAlign w:val="center"/>
          </w:tcPr>
          <w:p w14:paraId="3C9D102C" w14:textId="77777777" w:rsidR="005B2641" w:rsidRPr="005B2641" w:rsidRDefault="005B2641" w:rsidP="00952C91">
            <w:pPr>
              <w:spacing w:after="40"/>
            </w:pPr>
            <w:r w:rsidRPr="005B2641">
              <w:rPr>
                <w:rFonts w:ascii="Calibri" w:hAnsi="Calibri"/>
                <w:color w:val="000000"/>
              </w:rPr>
              <w:t>91,0</w:t>
            </w:r>
          </w:p>
        </w:tc>
      </w:tr>
      <w:tr w:rsidR="005B2641" w:rsidRPr="005B2641" w14:paraId="4DA310B2" w14:textId="77777777" w:rsidTr="00952C91">
        <w:tc>
          <w:tcPr>
            <w:tcW w:w="3397" w:type="dxa"/>
            <w:shd w:val="clear" w:color="auto" w:fill="auto"/>
            <w:vAlign w:val="center"/>
          </w:tcPr>
          <w:p w14:paraId="4D276FB9" w14:textId="77777777" w:rsidR="005B2641" w:rsidRPr="005B2641" w:rsidRDefault="005B2641" w:rsidP="00952C91">
            <w:pPr>
              <w:spacing w:after="40"/>
              <w:rPr>
                <w:b/>
              </w:rPr>
            </w:pPr>
            <w:r w:rsidRPr="005B2641">
              <w:rPr>
                <w:b/>
              </w:rPr>
              <w:t>Objetivo 2. Abordar las causas directas para proteger los hábitats y las especies</w:t>
            </w:r>
          </w:p>
        </w:tc>
        <w:tc>
          <w:tcPr>
            <w:tcW w:w="1754" w:type="dxa"/>
            <w:shd w:val="clear" w:color="auto" w:fill="auto"/>
            <w:vAlign w:val="center"/>
          </w:tcPr>
          <w:p w14:paraId="7CF5FB9F" w14:textId="77777777" w:rsidR="005B2641" w:rsidRPr="005B2641" w:rsidRDefault="005B2641" w:rsidP="00952C91">
            <w:pPr>
              <w:spacing w:after="40"/>
              <w:rPr>
                <w:b/>
              </w:rPr>
            </w:pPr>
          </w:p>
        </w:tc>
        <w:tc>
          <w:tcPr>
            <w:tcW w:w="1534" w:type="dxa"/>
            <w:shd w:val="clear" w:color="auto" w:fill="auto"/>
            <w:vAlign w:val="center"/>
          </w:tcPr>
          <w:p w14:paraId="03C306CA" w14:textId="77777777" w:rsidR="005B2641" w:rsidRPr="005B2641" w:rsidRDefault="005B2641" w:rsidP="00952C91">
            <w:pPr>
              <w:spacing w:after="40"/>
              <w:rPr>
                <w:b/>
              </w:rPr>
            </w:pPr>
          </w:p>
        </w:tc>
        <w:tc>
          <w:tcPr>
            <w:tcW w:w="1506" w:type="dxa"/>
            <w:shd w:val="clear" w:color="auto" w:fill="auto"/>
            <w:vAlign w:val="center"/>
          </w:tcPr>
          <w:p w14:paraId="6BE828F4" w14:textId="77777777" w:rsidR="005B2641" w:rsidRPr="005B2641" w:rsidRDefault="005B2641" w:rsidP="00952C91">
            <w:pPr>
              <w:spacing w:after="40"/>
              <w:rPr>
                <w:b/>
              </w:rPr>
            </w:pPr>
          </w:p>
        </w:tc>
        <w:tc>
          <w:tcPr>
            <w:tcW w:w="1159" w:type="dxa"/>
            <w:shd w:val="clear" w:color="auto" w:fill="auto"/>
            <w:vAlign w:val="center"/>
          </w:tcPr>
          <w:p w14:paraId="447813F9" w14:textId="77777777" w:rsidR="005B2641" w:rsidRPr="005B2641" w:rsidRDefault="005B2641" w:rsidP="00952C91">
            <w:pPr>
              <w:spacing w:after="40"/>
              <w:rPr>
                <w:b/>
              </w:rPr>
            </w:pPr>
          </w:p>
        </w:tc>
      </w:tr>
      <w:tr w:rsidR="005B2641" w:rsidRPr="005B2641" w14:paraId="72A6574D" w14:textId="77777777" w:rsidTr="00952C91">
        <w:tc>
          <w:tcPr>
            <w:tcW w:w="3397" w:type="dxa"/>
            <w:vAlign w:val="center"/>
          </w:tcPr>
          <w:p w14:paraId="03C46352" w14:textId="77777777" w:rsidR="005B2641" w:rsidRPr="005B2641" w:rsidRDefault="005B2641" w:rsidP="00952C91">
            <w:pPr>
              <w:spacing w:after="40"/>
            </w:pPr>
            <w:r w:rsidRPr="005B2641">
              <w:t>2-6 Prevención, control y gestión de especies exóticas invasoras</w:t>
            </w:r>
          </w:p>
        </w:tc>
        <w:tc>
          <w:tcPr>
            <w:tcW w:w="1754" w:type="dxa"/>
            <w:vAlign w:val="center"/>
          </w:tcPr>
          <w:p w14:paraId="2022EE6C" w14:textId="77777777" w:rsidR="005B2641" w:rsidRPr="005B2641" w:rsidRDefault="005B2641" w:rsidP="00952C91">
            <w:pPr>
              <w:spacing w:after="40"/>
            </w:pPr>
            <w:r w:rsidRPr="005B2641">
              <w:t>9</w:t>
            </w:r>
          </w:p>
        </w:tc>
        <w:tc>
          <w:tcPr>
            <w:tcW w:w="1534" w:type="dxa"/>
            <w:vAlign w:val="center"/>
          </w:tcPr>
          <w:p w14:paraId="77217076" w14:textId="77777777" w:rsidR="005B2641" w:rsidRPr="005B2641" w:rsidRDefault="005B2641" w:rsidP="00952C91">
            <w:pPr>
              <w:spacing w:after="40"/>
            </w:pPr>
          </w:p>
        </w:tc>
        <w:tc>
          <w:tcPr>
            <w:tcW w:w="1506" w:type="dxa"/>
            <w:vAlign w:val="center"/>
          </w:tcPr>
          <w:p w14:paraId="58E446CB" w14:textId="77777777" w:rsidR="005B2641" w:rsidRPr="005B2641" w:rsidRDefault="005B2641" w:rsidP="00952C91">
            <w:pPr>
              <w:spacing w:after="40"/>
            </w:pPr>
          </w:p>
        </w:tc>
        <w:tc>
          <w:tcPr>
            <w:tcW w:w="1159" w:type="dxa"/>
            <w:vAlign w:val="center"/>
          </w:tcPr>
          <w:p w14:paraId="487CB130" w14:textId="77777777" w:rsidR="005B2641" w:rsidRPr="005B2641" w:rsidRDefault="005B2641" w:rsidP="00952C91">
            <w:pPr>
              <w:spacing w:after="40"/>
            </w:pPr>
          </w:p>
        </w:tc>
      </w:tr>
      <w:tr w:rsidR="005B2641" w:rsidRPr="005B2641" w14:paraId="408DBCBE" w14:textId="77777777" w:rsidTr="00952C91">
        <w:tc>
          <w:tcPr>
            <w:tcW w:w="3397" w:type="dxa"/>
            <w:vAlign w:val="center"/>
          </w:tcPr>
          <w:p w14:paraId="72700F25" w14:textId="77777777" w:rsidR="005B2641" w:rsidRPr="005B2641" w:rsidRDefault="005B2641" w:rsidP="00952C91">
            <w:pPr>
              <w:spacing w:after="40"/>
            </w:pPr>
            <w:r w:rsidRPr="005B2641">
              <w:t>2-7 Mejoramiento de la sostenibilidad financiera, la gestión eficaz y la cobertura por ecosistema del patrimonio mundial de zonas protegidas</w:t>
            </w:r>
          </w:p>
        </w:tc>
        <w:tc>
          <w:tcPr>
            <w:tcW w:w="1754" w:type="dxa"/>
            <w:vAlign w:val="center"/>
          </w:tcPr>
          <w:p w14:paraId="5001E71E" w14:textId="77777777" w:rsidR="005B2641" w:rsidRPr="005B2641" w:rsidRDefault="005B2641" w:rsidP="00952C91">
            <w:pPr>
              <w:spacing w:after="40"/>
            </w:pPr>
            <w:r w:rsidRPr="005B2641">
              <w:t>11</w:t>
            </w:r>
          </w:p>
        </w:tc>
        <w:tc>
          <w:tcPr>
            <w:tcW w:w="1534" w:type="dxa"/>
            <w:vAlign w:val="center"/>
          </w:tcPr>
          <w:p w14:paraId="740C3A4B" w14:textId="77777777" w:rsidR="005B2641" w:rsidRPr="005B2641" w:rsidRDefault="005B2641" w:rsidP="00952C91">
            <w:pPr>
              <w:spacing w:after="40"/>
            </w:pPr>
            <w:r w:rsidRPr="005B2641">
              <w:rPr>
                <w:rFonts w:ascii="Calibri" w:hAnsi="Calibri"/>
                <w:color w:val="000000"/>
              </w:rPr>
              <w:t>65,7</w:t>
            </w:r>
          </w:p>
        </w:tc>
        <w:tc>
          <w:tcPr>
            <w:tcW w:w="1506" w:type="dxa"/>
            <w:vAlign w:val="center"/>
          </w:tcPr>
          <w:p w14:paraId="14254BA1" w14:textId="77777777" w:rsidR="005B2641" w:rsidRPr="005B2641" w:rsidRDefault="005B2641" w:rsidP="00952C91">
            <w:pPr>
              <w:spacing w:after="40"/>
            </w:pPr>
            <w:r w:rsidRPr="005B2641">
              <w:rPr>
                <w:rFonts w:ascii="Calibri" w:hAnsi="Calibri"/>
                <w:color w:val="000000"/>
              </w:rPr>
              <w:t>418,6</w:t>
            </w:r>
          </w:p>
        </w:tc>
        <w:tc>
          <w:tcPr>
            <w:tcW w:w="1159" w:type="dxa"/>
            <w:vAlign w:val="center"/>
          </w:tcPr>
          <w:p w14:paraId="75D3270B" w14:textId="77777777" w:rsidR="005B2641" w:rsidRPr="005B2641" w:rsidRDefault="005B2641" w:rsidP="00952C91">
            <w:pPr>
              <w:spacing w:after="40"/>
            </w:pPr>
            <w:r w:rsidRPr="005B2641">
              <w:rPr>
                <w:rFonts w:ascii="Calibri" w:hAnsi="Calibri"/>
                <w:color w:val="000000"/>
              </w:rPr>
              <w:t>484,3</w:t>
            </w:r>
          </w:p>
        </w:tc>
      </w:tr>
      <w:tr w:rsidR="005B2641" w:rsidRPr="005B2641" w14:paraId="56D081DF" w14:textId="77777777" w:rsidTr="00952C91">
        <w:tc>
          <w:tcPr>
            <w:tcW w:w="3397" w:type="dxa"/>
            <w:shd w:val="clear" w:color="auto" w:fill="auto"/>
            <w:vAlign w:val="center"/>
          </w:tcPr>
          <w:p w14:paraId="188EA6A8" w14:textId="77777777" w:rsidR="005B2641" w:rsidRPr="005B2641" w:rsidRDefault="005B2641" w:rsidP="00952C91">
            <w:pPr>
              <w:spacing w:after="40"/>
              <w:rPr>
                <w:b/>
              </w:rPr>
            </w:pPr>
            <w:r w:rsidRPr="005B2641">
              <w:rPr>
                <w:b/>
              </w:rPr>
              <w:t>Objetivo 3. Seguir elaborando marcos normativos e institucionales en materia de biodiversidad</w:t>
            </w:r>
          </w:p>
        </w:tc>
        <w:tc>
          <w:tcPr>
            <w:tcW w:w="1754" w:type="dxa"/>
            <w:shd w:val="clear" w:color="auto" w:fill="auto"/>
            <w:vAlign w:val="center"/>
          </w:tcPr>
          <w:p w14:paraId="339C4882" w14:textId="77777777" w:rsidR="005B2641" w:rsidRPr="005B2641" w:rsidRDefault="005B2641" w:rsidP="00952C91">
            <w:pPr>
              <w:spacing w:after="40"/>
              <w:rPr>
                <w:b/>
              </w:rPr>
            </w:pPr>
          </w:p>
        </w:tc>
        <w:tc>
          <w:tcPr>
            <w:tcW w:w="1534" w:type="dxa"/>
            <w:shd w:val="clear" w:color="auto" w:fill="auto"/>
            <w:vAlign w:val="center"/>
          </w:tcPr>
          <w:p w14:paraId="0D967607" w14:textId="77777777" w:rsidR="005B2641" w:rsidRPr="005B2641" w:rsidRDefault="005B2641" w:rsidP="00952C91">
            <w:pPr>
              <w:spacing w:after="40"/>
              <w:rPr>
                <w:b/>
              </w:rPr>
            </w:pPr>
          </w:p>
        </w:tc>
        <w:tc>
          <w:tcPr>
            <w:tcW w:w="1506" w:type="dxa"/>
            <w:shd w:val="clear" w:color="auto" w:fill="auto"/>
            <w:vAlign w:val="center"/>
          </w:tcPr>
          <w:p w14:paraId="603A9301" w14:textId="77777777" w:rsidR="005B2641" w:rsidRPr="005B2641" w:rsidRDefault="005B2641" w:rsidP="00952C91">
            <w:pPr>
              <w:spacing w:after="40"/>
              <w:rPr>
                <w:b/>
              </w:rPr>
            </w:pPr>
          </w:p>
        </w:tc>
        <w:tc>
          <w:tcPr>
            <w:tcW w:w="1159" w:type="dxa"/>
            <w:shd w:val="clear" w:color="auto" w:fill="auto"/>
            <w:vAlign w:val="center"/>
          </w:tcPr>
          <w:p w14:paraId="42266A80" w14:textId="77777777" w:rsidR="005B2641" w:rsidRPr="005B2641" w:rsidRDefault="005B2641" w:rsidP="00952C91">
            <w:pPr>
              <w:spacing w:after="40"/>
              <w:rPr>
                <w:b/>
              </w:rPr>
            </w:pPr>
          </w:p>
        </w:tc>
      </w:tr>
      <w:tr w:rsidR="005B2641" w:rsidRPr="005B2641" w14:paraId="75A16949" w14:textId="77777777" w:rsidTr="00952C91">
        <w:tc>
          <w:tcPr>
            <w:tcW w:w="3397" w:type="dxa"/>
            <w:vAlign w:val="center"/>
          </w:tcPr>
          <w:p w14:paraId="18132BE5" w14:textId="77777777" w:rsidR="005B2641" w:rsidRPr="005B2641" w:rsidRDefault="005B2641" w:rsidP="00952C91">
            <w:pPr>
              <w:spacing w:after="40"/>
            </w:pPr>
            <w:r w:rsidRPr="005B2641">
              <w:t>3-8 Aplicación del Protocolo de Cartagena sobre Seguridad de la Biotecnología</w:t>
            </w:r>
          </w:p>
        </w:tc>
        <w:tc>
          <w:tcPr>
            <w:tcW w:w="1754" w:type="dxa"/>
            <w:vAlign w:val="center"/>
          </w:tcPr>
          <w:p w14:paraId="3287A88A" w14:textId="77777777" w:rsidR="005B2641" w:rsidRPr="005B2641" w:rsidRDefault="005B2641" w:rsidP="00952C91">
            <w:pPr>
              <w:spacing w:after="40"/>
            </w:pPr>
            <w:r w:rsidRPr="005B2641">
              <w:t>No hay Metas de Aichi asociadas</w:t>
            </w:r>
          </w:p>
        </w:tc>
        <w:tc>
          <w:tcPr>
            <w:tcW w:w="1534" w:type="dxa"/>
            <w:vAlign w:val="center"/>
          </w:tcPr>
          <w:p w14:paraId="19598064" w14:textId="77777777" w:rsidR="005B2641" w:rsidRPr="005B2641" w:rsidRDefault="005B2641" w:rsidP="00952C91">
            <w:pPr>
              <w:spacing w:after="40"/>
            </w:pPr>
          </w:p>
        </w:tc>
        <w:tc>
          <w:tcPr>
            <w:tcW w:w="1506" w:type="dxa"/>
            <w:vAlign w:val="center"/>
          </w:tcPr>
          <w:p w14:paraId="199F3008" w14:textId="77777777" w:rsidR="005B2641" w:rsidRPr="005B2641" w:rsidRDefault="005B2641" w:rsidP="00952C91">
            <w:pPr>
              <w:spacing w:after="40"/>
            </w:pPr>
          </w:p>
        </w:tc>
        <w:tc>
          <w:tcPr>
            <w:tcW w:w="1159" w:type="dxa"/>
            <w:vAlign w:val="center"/>
          </w:tcPr>
          <w:p w14:paraId="0B026320" w14:textId="77777777" w:rsidR="005B2641" w:rsidRPr="005B2641" w:rsidRDefault="005B2641" w:rsidP="00952C91">
            <w:pPr>
              <w:spacing w:after="40"/>
            </w:pPr>
          </w:p>
        </w:tc>
      </w:tr>
      <w:tr w:rsidR="005B2641" w:rsidRPr="005B2641" w14:paraId="3BD32DBE" w14:textId="77777777" w:rsidTr="00952C91">
        <w:tc>
          <w:tcPr>
            <w:tcW w:w="3397" w:type="dxa"/>
            <w:vAlign w:val="center"/>
          </w:tcPr>
          <w:p w14:paraId="4C510B3B" w14:textId="77777777" w:rsidR="005B2641" w:rsidRPr="005B2641" w:rsidRDefault="005B2641" w:rsidP="00952C91">
            <w:pPr>
              <w:spacing w:after="40"/>
            </w:pPr>
            <w:r w:rsidRPr="005B2641">
              <w:t>3-9 Aplicación del Protocolo de Nagoya sobre Acceso y Participación en los Beneficios</w:t>
            </w:r>
          </w:p>
        </w:tc>
        <w:tc>
          <w:tcPr>
            <w:tcW w:w="1754" w:type="dxa"/>
            <w:vAlign w:val="center"/>
          </w:tcPr>
          <w:p w14:paraId="5C28BE0F" w14:textId="77777777" w:rsidR="005B2641" w:rsidRPr="005B2641" w:rsidRDefault="005B2641" w:rsidP="00952C91">
            <w:pPr>
              <w:spacing w:after="40"/>
            </w:pPr>
            <w:r w:rsidRPr="005B2641">
              <w:t xml:space="preserve">16 </w:t>
            </w:r>
          </w:p>
        </w:tc>
        <w:tc>
          <w:tcPr>
            <w:tcW w:w="1534" w:type="dxa"/>
            <w:vAlign w:val="center"/>
          </w:tcPr>
          <w:p w14:paraId="2210274F" w14:textId="77777777" w:rsidR="005B2641" w:rsidRPr="005B2641" w:rsidRDefault="005B2641" w:rsidP="00952C91">
            <w:pPr>
              <w:spacing w:after="40"/>
            </w:pPr>
            <w:r w:rsidRPr="005B2641">
              <w:rPr>
                <w:rFonts w:ascii="Calibri" w:hAnsi="Calibri"/>
                <w:color w:val="000000"/>
              </w:rPr>
              <w:t>7,8</w:t>
            </w:r>
          </w:p>
        </w:tc>
        <w:tc>
          <w:tcPr>
            <w:tcW w:w="1506" w:type="dxa"/>
            <w:vAlign w:val="center"/>
          </w:tcPr>
          <w:p w14:paraId="60C0BDB7" w14:textId="77777777" w:rsidR="005B2641" w:rsidRPr="005B2641" w:rsidRDefault="005B2641" w:rsidP="00952C91">
            <w:pPr>
              <w:spacing w:after="40"/>
            </w:pPr>
            <w:r w:rsidRPr="005B2641">
              <w:rPr>
                <w:rFonts w:ascii="Calibri" w:hAnsi="Calibri"/>
                <w:color w:val="000000"/>
              </w:rPr>
              <w:t>43,3</w:t>
            </w:r>
          </w:p>
        </w:tc>
        <w:tc>
          <w:tcPr>
            <w:tcW w:w="1159" w:type="dxa"/>
            <w:vAlign w:val="center"/>
          </w:tcPr>
          <w:p w14:paraId="5D3B0246" w14:textId="77777777" w:rsidR="005B2641" w:rsidRPr="005B2641" w:rsidRDefault="005B2641" w:rsidP="00952C91">
            <w:pPr>
              <w:spacing w:after="40"/>
            </w:pPr>
            <w:r w:rsidRPr="005B2641">
              <w:rPr>
                <w:rFonts w:ascii="Calibri" w:hAnsi="Calibri"/>
                <w:color w:val="000000"/>
              </w:rPr>
              <w:t>51,1</w:t>
            </w:r>
          </w:p>
        </w:tc>
      </w:tr>
      <w:tr w:rsidR="005B2641" w:rsidRPr="005B2641" w14:paraId="291E02D4" w14:textId="77777777" w:rsidTr="00952C91">
        <w:tc>
          <w:tcPr>
            <w:tcW w:w="3397" w:type="dxa"/>
            <w:vAlign w:val="center"/>
          </w:tcPr>
          <w:p w14:paraId="2F8EA499" w14:textId="77777777" w:rsidR="005B2641" w:rsidRPr="005B2641" w:rsidRDefault="005B2641" w:rsidP="00952C91">
            <w:pPr>
              <w:spacing w:after="40"/>
            </w:pPr>
            <w:r w:rsidRPr="005B2641">
              <w:t xml:space="preserve">Actividades habilitantes: mejoramiento de las políticas, la planificación y los exámenes en materia de biodiversidad </w:t>
            </w:r>
          </w:p>
        </w:tc>
        <w:tc>
          <w:tcPr>
            <w:tcW w:w="1754" w:type="dxa"/>
            <w:vAlign w:val="center"/>
          </w:tcPr>
          <w:p w14:paraId="0E4D3B81" w14:textId="77777777" w:rsidR="005B2641" w:rsidRPr="005B2641" w:rsidRDefault="005B2641" w:rsidP="00952C91">
            <w:pPr>
              <w:spacing w:after="40"/>
            </w:pPr>
            <w:r w:rsidRPr="005B2641">
              <w:t>17</w:t>
            </w:r>
          </w:p>
        </w:tc>
        <w:tc>
          <w:tcPr>
            <w:tcW w:w="1534" w:type="dxa"/>
            <w:vAlign w:val="center"/>
          </w:tcPr>
          <w:p w14:paraId="43F08700" w14:textId="77777777" w:rsidR="005B2641" w:rsidRPr="005B2641" w:rsidRDefault="005B2641" w:rsidP="00952C91">
            <w:pPr>
              <w:spacing w:after="40"/>
            </w:pPr>
          </w:p>
        </w:tc>
        <w:tc>
          <w:tcPr>
            <w:tcW w:w="1506" w:type="dxa"/>
            <w:vAlign w:val="center"/>
          </w:tcPr>
          <w:p w14:paraId="7D77DB3F" w14:textId="77777777" w:rsidR="005B2641" w:rsidRPr="005B2641" w:rsidRDefault="005B2641" w:rsidP="00952C91">
            <w:pPr>
              <w:spacing w:after="40"/>
            </w:pPr>
          </w:p>
        </w:tc>
        <w:tc>
          <w:tcPr>
            <w:tcW w:w="1159" w:type="dxa"/>
            <w:vAlign w:val="center"/>
          </w:tcPr>
          <w:p w14:paraId="7A22EE54" w14:textId="77777777" w:rsidR="005B2641" w:rsidRPr="005B2641" w:rsidRDefault="005B2641" w:rsidP="00952C91">
            <w:pPr>
              <w:spacing w:after="40"/>
            </w:pPr>
          </w:p>
        </w:tc>
      </w:tr>
      <w:tr w:rsidR="005B2641" w:rsidRPr="005B2641" w14:paraId="2E0154E1" w14:textId="77777777" w:rsidTr="00952C91">
        <w:tc>
          <w:tcPr>
            <w:tcW w:w="3397" w:type="dxa"/>
            <w:shd w:val="clear" w:color="auto" w:fill="FFFFFF" w:themeFill="background1"/>
            <w:vAlign w:val="center"/>
          </w:tcPr>
          <w:p w14:paraId="7F5F51A8" w14:textId="77777777" w:rsidR="005B2641" w:rsidRPr="005B2641" w:rsidRDefault="005B2641" w:rsidP="00952C91">
            <w:pPr>
              <w:spacing w:after="40"/>
            </w:pPr>
            <w:r w:rsidRPr="005B2641">
              <w:t>Totales</w:t>
            </w:r>
          </w:p>
        </w:tc>
        <w:tc>
          <w:tcPr>
            <w:tcW w:w="1754" w:type="dxa"/>
            <w:shd w:val="clear" w:color="auto" w:fill="FFFFFF" w:themeFill="background1"/>
            <w:vAlign w:val="center"/>
          </w:tcPr>
          <w:p w14:paraId="06CCA7A6" w14:textId="77777777" w:rsidR="005B2641" w:rsidRPr="005B2641" w:rsidRDefault="005B2641" w:rsidP="00952C91">
            <w:pPr>
              <w:spacing w:after="40"/>
            </w:pPr>
          </w:p>
        </w:tc>
        <w:tc>
          <w:tcPr>
            <w:tcW w:w="1534" w:type="dxa"/>
            <w:shd w:val="clear" w:color="auto" w:fill="FFFFFF" w:themeFill="background1"/>
            <w:vAlign w:val="center"/>
          </w:tcPr>
          <w:p w14:paraId="74484A77" w14:textId="77777777" w:rsidR="005B2641" w:rsidRPr="005B2641" w:rsidRDefault="005B2641" w:rsidP="00952C91">
            <w:pPr>
              <w:spacing w:after="40"/>
            </w:pPr>
            <w:r w:rsidRPr="005B2641">
              <w:t>239,1</w:t>
            </w:r>
          </w:p>
        </w:tc>
        <w:tc>
          <w:tcPr>
            <w:tcW w:w="1506" w:type="dxa"/>
            <w:shd w:val="clear" w:color="auto" w:fill="FFFFFF" w:themeFill="background1"/>
            <w:vAlign w:val="center"/>
          </w:tcPr>
          <w:p w14:paraId="145DBC28" w14:textId="77777777" w:rsidR="005B2641" w:rsidRPr="005B2641" w:rsidRDefault="005B2641" w:rsidP="00952C91">
            <w:pPr>
              <w:spacing w:after="40"/>
            </w:pPr>
            <w:r w:rsidRPr="005B2641">
              <w:t>1519,5</w:t>
            </w:r>
          </w:p>
        </w:tc>
        <w:tc>
          <w:tcPr>
            <w:tcW w:w="1159" w:type="dxa"/>
            <w:shd w:val="clear" w:color="auto" w:fill="FFFFFF" w:themeFill="background1"/>
            <w:vAlign w:val="center"/>
          </w:tcPr>
          <w:p w14:paraId="6B0806FF" w14:textId="77777777" w:rsidR="005B2641" w:rsidRPr="005B2641" w:rsidRDefault="005B2641" w:rsidP="00952C91">
            <w:pPr>
              <w:spacing w:after="40"/>
            </w:pPr>
            <w:r w:rsidRPr="005B2641">
              <w:t>1758,5</w:t>
            </w:r>
          </w:p>
        </w:tc>
      </w:tr>
    </w:tbl>
    <w:p w14:paraId="0422197A" w14:textId="77777777" w:rsidR="005B2641" w:rsidRPr="005B2641" w:rsidRDefault="005B2641" w:rsidP="005B2641">
      <w:pPr>
        <w:spacing w:after="0" w:line="240" w:lineRule="auto"/>
        <w:contextualSpacing/>
        <w:rPr>
          <w:rFonts w:ascii="Calibri" w:eastAsia="MS Mincho" w:hAnsi="Calibri" w:cs="Angsana New"/>
          <w:b/>
          <w:sz w:val="24"/>
          <w:szCs w:val="24"/>
          <w:u w:val="single"/>
        </w:rPr>
      </w:pPr>
    </w:p>
    <w:p w14:paraId="2B3819B7" w14:textId="77777777" w:rsidR="005B2641" w:rsidRPr="005B2641" w:rsidRDefault="005B2641" w:rsidP="005B2641">
      <w:pPr>
        <w:pStyle w:val="Ttulo3"/>
      </w:pPr>
      <w:bookmarkStart w:id="25" w:name="_Toc35815688"/>
      <w:r w:rsidRPr="005B2641">
        <w:t>Donaciones para la preparación de proyectos</w:t>
      </w:r>
      <w:bookmarkEnd w:id="25"/>
    </w:p>
    <w:p w14:paraId="223F4465"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MS Mincho" w:hAnsi="Calibri" w:cs="Angsana New"/>
          <w:sz w:val="24"/>
          <w:szCs w:val="24"/>
        </w:rPr>
      </w:pPr>
      <w:r w:rsidRPr="005B2641">
        <w:rPr>
          <w:rFonts w:ascii="Calibri" w:hAnsi="Calibri"/>
          <w:sz w:val="24"/>
          <w:szCs w:val="24"/>
        </w:rPr>
        <w:t>Como primer paso para formular proyectos, el FMAM proporciona financiamiento en forma de DPP destinado a ayudar a los países receptores a elaborar la idea del proyecto (ficha de identificación), de modo de convertirla en una propuesta que se someterá luego a la ratificación de la Dirección Ejecutiva. Durante el período analizado se aprobaron ciento doce (112) DPP por un monto de USD 24,3 millones</w:t>
      </w:r>
      <w:r w:rsidRPr="005B2641">
        <w:rPr>
          <w:rStyle w:val="Refdenotaalpie"/>
          <w:rFonts w:ascii="Calibri" w:eastAsia="MS Mincho" w:hAnsi="Calibri" w:cs="Angsana New"/>
          <w:sz w:val="24"/>
          <w:szCs w:val="24"/>
        </w:rPr>
        <w:footnoteReference w:id="10"/>
      </w:r>
      <w:r w:rsidRPr="005B2641">
        <w:rPr>
          <w:rFonts w:ascii="Calibri" w:hAnsi="Calibri"/>
          <w:sz w:val="24"/>
          <w:szCs w:val="24"/>
        </w:rPr>
        <w:t>.</w:t>
      </w:r>
    </w:p>
    <w:p w14:paraId="702F9208" w14:textId="77777777" w:rsidR="005B2641" w:rsidRPr="005B2641" w:rsidRDefault="005B2641" w:rsidP="005B2641">
      <w:pPr>
        <w:pStyle w:val="Ttulo3"/>
        <w:rPr>
          <w:rFonts w:cs="Times New Roman"/>
        </w:rPr>
      </w:pPr>
      <w:bookmarkStart w:id="26" w:name="_Toc35815689"/>
      <w:r w:rsidRPr="005B2641">
        <w:lastRenderedPageBreak/>
        <w:t>Respaldo a la aplicación del Protocolo de Cartagena sobre Seguridad de la Biotecnología del Convenio sobre la Diversidad Biológica</w:t>
      </w:r>
      <w:bookmarkEnd w:id="26"/>
    </w:p>
    <w:p w14:paraId="6C0237B6"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MS Mincho" w:hAnsi="Calibri" w:cs="Angsana New"/>
          <w:sz w:val="24"/>
          <w:szCs w:val="24"/>
        </w:rPr>
      </w:pPr>
      <w:r w:rsidRPr="005B2641">
        <w:rPr>
          <w:sz w:val="24"/>
          <w:szCs w:val="24"/>
        </w:rPr>
        <w:t>Durante el período analizado, no se presentaron proyectos nacionales para respaldar la aplicación del Protocolo de Cartagena sobre Seguridad de la Biotecnología.</w:t>
      </w:r>
    </w:p>
    <w:p w14:paraId="2C20363B" w14:textId="77777777" w:rsidR="005B2641" w:rsidRPr="005B2641" w:rsidRDefault="005B2641" w:rsidP="005B2641">
      <w:pPr>
        <w:pStyle w:val="Ttulo3"/>
      </w:pPr>
      <w:bookmarkStart w:id="27" w:name="_Toc35815690"/>
      <w:r w:rsidRPr="005B2641">
        <w:t>Apoyo a la ratificación y aplicación del Protocolo de Nagoya sobre Acceso a los Recursos Genéticos y Participación Justa y Equitativa en los Beneficios que se Deriven de su Utilización al Convenio sobre la Diversidad Biológica</w:t>
      </w:r>
      <w:bookmarkEnd w:id="27"/>
    </w:p>
    <w:p w14:paraId="6ACD4BAC"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MS Mincho" w:hAnsi="Calibri" w:cs="Angsana New"/>
          <w:sz w:val="24"/>
          <w:szCs w:val="24"/>
        </w:rPr>
      </w:pPr>
      <w:r w:rsidRPr="005B2641">
        <w:rPr>
          <w:rFonts w:ascii="Calibri" w:hAnsi="Calibri"/>
          <w:sz w:val="24"/>
          <w:szCs w:val="24"/>
        </w:rPr>
        <w:t>Durante el período analizado, el FMAM aprobó tres proyectos nacionales (en Madagascar, Panamá y Sudán) con el objeto de fortalecer las capacidades técnicas, legales e institucionales necesarias para aplicar el Protocolo de Nagoya. Invirtió USD 3,9 millones y movilizó USD 24,2 millones en cofinanciamiento.</w:t>
      </w:r>
    </w:p>
    <w:p w14:paraId="60DD084F" w14:textId="77777777" w:rsidR="005B2641" w:rsidRPr="005B2641" w:rsidRDefault="005B2641" w:rsidP="005B2641">
      <w:pPr>
        <w:pStyle w:val="Ttulo2"/>
      </w:pPr>
      <w:bookmarkStart w:id="28" w:name="_Toc35815691"/>
      <w:r w:rsidRPr="005B2641">
        <w:t>Contribuciones de los programas de impacto al cumplimiento de las Metas de Aichi para la Diversidad Biológica</w:t>
      </w:r>
      <w:bookmarkEnd w:id="28"/>
    </w:p>
    <w:p w14:paraId="1A949E3C" w14:textId="77777777" w:rsidR="005B2641" w:rsidRPr="005B2641" w:rsidRDefault="005B2641" w:rsidP="005B2641">
      <w:pPr>
        <w:pStyle w:val="Ttulo3"/>
        <w:rPr>
          <w:snapToGrid w:val="0"/>
        </w:rPr>
      </w:pPr>
      <w:bookmarkStart w:id="29" w:name="_Toc35815692"/>
      <w:r w:rsidRPr="005B2641">
        <w:rPr>
          <w:snapToGrid w:val="0"/>
        </w:rPr>
        <w:t>Sistemas alimentarios, y uso y recuperación de la tierra</w:t>
      </w:r>
      <w:bookmarkEnd w:id="29"/>
    </w:p>
    <w:p w14:paraId="52872DFA"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MS Mincho" w:hAnsi="Calibri" w:cs="Times New Roman"/>
          <w:snapToGrid w:val="0"/>
          <w:sz w:val="24"/>
          <w:szCs w:val="24"/>
        </w:rPr>
      </w:pPr>
      <w:r w:rsidRPr="005B2641">
        <w:rPr>
          <w:rFonts w:ascii="Calibri" w:hAnsi="Calibri"/>
          <w:snapToGrid w:val="0"/>
          <w:sz w:val="24"/>
          <w:szCs w:val="24"/>
        </w:rPr>
        <w:t>En el Programa de Impacto sobre Sistemas Alimentarios, y Uso y Recuperación de la Tierra se abordan los factores que generan sistemas alimentarios no sostenibles y cambios en el uso de la tierra respaldando a los países para que adopten un enfoque más holístico y sistémico. Para garantizar la eficiencia en la producción de alimentos y las cadenas de suministro de productos básicos, proteger el medio ambiente y respaldar la prosperidad de las personas, es fundamental contar con un marco de uso de la tierra coordinado, racional y más sostenible desde el punto de vista ambiental. El programa de impacto apunta a cumplir tres objetivos: 1) promover sistemas alimentarios sostenibles para satisfacer la demanda mundial, 2) fomentar cadenas de suministro de productos básicos agrícolas que no generen deforestación, y 3) promover la restauración de paisajes degradados para destinarlos a la producción sostenible y mantener los servicios ecosistémicos.</w:t>
      </w:r>
    </w:p>
    <w:p w14:paraId="26FBA2EB"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MS Mincho" w:hAnsi="Calibri" w:cs="Times New Roman"/>
          <w:snapToGrid w:val="0"/>
          <w:sz w:val="24"/>
          <w:szCs w:val="24"/>
        </w:rPr>
      </w:pPr>
      <w:r w:rsidRPr="005B2641">
        <w:rPr>
          <w:rFonts w:ascii="Calibri" w:hAnsi="Calibri"/>
          <w:snapToGrid w:val="0"/>
          <w:sz w:val="24"/>
          <w:szCs w:val="24"/>
        </w:rPr>
        <w:t xml:space="preserve">En el cuadro 6 se muestran los recursos del FMAM destinados al Programa de Impacto sobre Sistemas Alimentarios, y Uso y Recuperación de la Tierra del FMAM y su contribución al cumplimiento de las Metas de Aichi para la Diversidad Biológica, según las prioridades fijadas por los países. </w:t>
      </w:r>
      <w:bookmarkStart w:id="30" w:name="_Hlk32065142"/>
      <w:r w:rsidRPr="005B2641">
        <w:rPr>
          <w:rFonts w:ascii="Calibri" w:hAnsi="Calibri"/>
          <w:snapToGrid w:val="0"/>
          <w:sz w:val="24"/>
          <w:szCs w:val="24"/>
        </w:rPr>
        <w:t>De los USD 281,2 millones que el FMAM destinó a dicho programa, USD 95,3 millones provinieron de las asignaciones</w:t>
      </w:r>
      <w:bookmarkEnd w:id="30"/>
      <w:r w:rsidRPr="005B2641">
        <w:rPr>
          <w:rFonts w:ascii="Calibri" w:hAnsi="Calibri"/>
          <w:snapToGrid w:val="0"/>
          <w:sz w:val="24"/>
          <w:szCs w:val="24"/>
        </w:rPr>
        <w:t xml:space="preserve"> para el área focal de biodiversidad en el marco del SATR.</w:t>
      </w:r>
    </w:p>
    <w:p w14:paraId="1EA5D5B5" w14:textId="7ED5F764" w:rsidR="005B2641" w:rsidRPr="005B2641" w:rsidRDefault="005B2641" w:rsidP="005B2641">
      <w:pPr>
        <w:keepNext/>
        <w:keepLines/>
        <w:spacing w:before="240" w:after="240" w:line="240" w:lineRule="auto"/>
        <w:jc w:val="center"/>
        <w:rPr>
          <w:rFonts w:ascii="Calibri" w:eastAsia="MS Mincho" w:hAnsi="Calibri" w:cs="Times New Roman"/>
          <w:b/>
          <w:snapToGrid w:val="0"/>
          <w:sz w:val="24"/>
          <w:szCs w:val="24"/>
        </w:rPr>
      </w:pPr>
      <w:r w:rsidRPr="005B2641">
        <w:rPr>
          <w:rFonts w:ascii="Calibri" w:hAnsi="Calibri"/>
          <w:b/>
          <w:snapToGrid w:val="0"/>
          <w:sz w:val="24"/>
          <w:szCs w:val="24"/>
        </w:rPr>
        <w:lastRenderedPageBreak/>
        <w:t>Cuadro 6. Distribución acumulativa de los recursos del FMAM-7 correspondiente</w:t>
      </w:r>
      <w:r w:rsidRPr="005B2641">
        <w:rPr>
          <w:rFonts w:ascii="Calibri" w:hAnsi="Calibri"/>
          <w:b/>
          <w:snapToGrid w:val="0"/>
          <w:sz w:val="24"/>
          <w:szCs w:val="24"/>
        </w:rPr>
        <w:br/>
        <w:t xml:space="preserve">al Programa de Impacto sobre Sistemas Alimentarios, y Uso y Recuperación de la Tierra, </w:t>
      </w:r>
      <w:r w:rsidRPr="005B2641">
        <w:rPr>
          <w:rFonts w:ascii="Calibri" w:hAnsi="Calibri"/>
          <w:b/>
          <w:snapToGrid w:val="0"/>
          <w:sz w:val="24"/>
          <w:szCs w:val="24"/>
        </w:rPr>
        <w:br/>
        <w:t>y su contribución al cumplimiento de las Metas de Aichi para la Diversidad Biológica</w:t>
      </w:r>
      <w:r w:rsidRPr="005B2641">
        <w:rPr>
          <w:rFonts w:ascii="Calibri" w:hAnsi="Calibri"/>
          <w:b/>
          <w:snapToGrid w:val="0"/>
          <w:sz w:val="24"/>
          <w:szCs w:val="24"/>
        </w:rPr>
        <w:br/>
        <w:t>(del 1 de julio de 2018 al 31 de diciembre de 2019)</w:t>
      </w:r>
      <w:r w:rsidRPr="005B2641">
        <w:rPr>
          <w:rFonts w:ascii="Calibri" w:eastAsia="MS Mincho" w:hAnsi="Calibri" w:cs="Times New Roman"/>
          <w:snapToGrid w:val="0"/>
          <w:sz w:val="24"/>
          <w:szCs w:val="24"/>
          <w:vertAlign w:val="superscript"/>
        </w:rPr>
        <w:footnoteReference w:id="11"/>
      </w:r>
    </w:p>
    <w:tbl>
      <w:tblPr>
        <w:tblW w:w="4997" w:type="pct"/>
        <w:tblBorders>
          <w:top w:val="single" w:sz="12" w:space="0" w:color="008000"/>
          <w:bottom w:val="single" w:sz="12" w:space="0" w:color="008000"/>
        </w:tblBorders>
        <w:tblLook w:val="04A0" w:firstRow="1" w:lastRow="0" w:firstColumn="1" w:lastColumn="0" w:noHBand="0" w:noVBand="1"/>
      </w:tblPr>
      <w:tblGrid>
        <w:gridCol w:w="2361"/>
        <w:gridCol w:w="1613"/>
        <w:gridCol w:w="1858"/>
        <w:gridCol w:w="1831"/>
        <w:gridCol w:w="1691"/>
      </w:tblGrid>
      <w:tr w:rsidR="005B2641" w:rsidRPr="005B2641" w14:paraId="2B8F460E" w14:textId="77777777" w:rsidTr="005B2641">
        <w:trPr>
          <w:cantSplit/>
          <w:trHeight w:val="570"/>
        </w:trPr>
        <w:tc>
          <w:tcPr>
            <w:tcW w:w="1277" w:type="pct"/>
            <w:tcBorders>
              <w:bottom w:val="single" w:sz="6" w:space="0" w:color="008000"/>
            </w:tcBorders>
            <w:shd w:val="clear" w:color="auto" w:fill="auto"/>
            <w:hideMark/>
          </w:tcPr>
          <w:p w14:paraId="5B044D67" w14:textId="77777777" w:rsidR="005B2641" w:rsidRPr="005B2641" w:rsidRDefault="005B2641" w:rsidP="00952C91">
            <w:pPr>
              <w:spacing w:before="120" w:after="120" w:line="240" w:lineRule="auto"/>
              <w:rPr>
                <w:rFonts w:ascii="Calibri" w:eastAsia="MS Mincho" w:hAnsi="Calibri" w:cs="Times New Roman"/>
                <w:b/>
                <w:bCs/>
                <w:snapToGrid w:val="0"/>
              </w:rPr>
            </w:pPr>
          </w:p>
        </w:tc>
        <w:tc>
          <w:tcPr>
            <w:tcW w:w="877" w:type="pct"/>
            <w:tcBorders>
              <w:bottom w:val="single" w:sz="6" w:space="0" w:color="008000"/>
            </w:tcBorders>
            <w:shd w:val="clear" w:color="auto" w:fill="auto"/>
            <w:hideMark/>
          </w:tcPr>
          <w:p w14:paraId="4F1A61A7" w14:textId="77777777" w:rsidR="005B2641" w:rsidRPr="005B2641" w:rsidRDefault="005B2641" w:rsidP="00952C91">
            <w:pPr>
              <w:spacing w:before="120" w:after="120" w:line="240" w:lineRule="auto"/>
              <w:rPr>
                <w:rFonts w:ascii="Calibri" w:eastAsia="MS Mincho" w:hAnsi="Calibri" w:cs="Times New Roman"/>
                <w:b/>
                <w:bCs/>
                <w:snapToGrid w:val="0"/>
              </w:rPr>
            </w:pPr>
            <w:r w:rsidRPr="005B2641">
              <w:rPr>
                <w:rFonts w:ascii="Calibri" w:hAnsi="Calibri"/>
                <w:b/>
                <w:bCs/>
                <w:snapToGrid w:val="0"/>
              </w:rPr>
              <w:t>Metas de Aichi para la Diversidad Biológica</w:t>
            </w:r>
          </w:p>
        </w:tc>
        <w:tc>
          <w:tcPr>
            <w:tcW w:w="1008" w:type="pct"/>
            <w:tcBorders>
              <w:bottom w:val="single" w:sz="6" w:space="0" w:color="008000"/>
            </w:tcBorders>
            <w:shd w:val="clear" w:color="auto" w:fill="auto"/>
          </w:tcPr>
          <w:p w14:paraId="42211976" w14:textId="77777777" w:rsidR="005B2641" w:rsidRPr="005B2641" w:rsidRDefault="005B2641" w:rsidP="00952C91">
            <w:pPr>
              <w:spacing w:before="120" w:after="120" w:line="240" w:lineRule="auto"/>
              <w:rPr>
                <w:rFonts w:ascii="Calibri" w:eastAsia="MS Mincho" w:hAnsi="Calibri" w:cs="Times New Roman"/>
                <w:b/>
                <w:bCs/>
                <w:snapToGrid w:val="0"/>
              </w:rPr>
            </w:pPr>
            <w:r w:rsidRPr="005B2641">
              <w:rPr>
                <w:rFonts w:ascii="Calibri" w:hAnsi="Calibri"/>
                <w:b/>
                <w:bCs/>
                <w:snapToGrid w:val="0"/>
              </w:rPr>
              <w:t xml:space="preserve">Financiamiento del FMAM para proyectos </w:t>
            </w:r>
            <w:r w:rsidRPr="005B2641">
              <w:rPr>
                <w:rFonts w:ascii="Calibri" w:hAnsi="Calibri"/>
                <w:b/>
                <w:bCs/>
                <w:snapToGrid w:val="0"/>
              </w:rPr>
              <w:br/>
              <w:t xml:space="preserve">(en millones </w:t>
            </w:r>
            <w:r w:rsidRPr="005B2641">
              <w:rPr>
                <w:rFonts w:ascii="Calibri" w:hAnsi="Calibri"/>
                <w:b/>
                <w:bCs/>
                <w:snapToGrid w:val="0"/>
              </w:rPr>
              <w:br/>
              <w:t>de USD)</w:t>
            </w:r>
          </w:p>
        </w:tc>
        <w:tc>
          <w:tcPr>
            <w:tcW w:w="919" w:type="pct"/>
            <w:tcBorders>
              <w:bottom w:val="single" w:sz="6" w:space="0" w:color="008000"/>
            </w:tcBorders>
            <w:shd w:val="clear" w:color="auto" w:fill="auto"/>
            <w:hideMark/>
          </w:tcPr>
          <w:p w14:paraId="0ADA9CE3" w14:textId="77777777" w:rsidR="005B2641" w:rsidRPr="005B2641" w:rsidRDefault="005B2641" w:rsidP="00952C91">
            <w:pPr>
              <w:spacing w:before="120" w:after="0" w:line="240" w:lineRule="auto"/>
              <w:rPr>
                <w:rFonts w:ascii="Calibri" w:eastAsia="MS Mincho" w:hAnsi="Calibri" w:cs="Times New Roman"/>
                <w:b/>
                <w:bCs/>
                <w:snapToGrid w:val="0"/>
              </w:rPr>
            </w:pPr>
            <w:r w:rsidRPr="005B2641">
              <w:rPr>
                <w:rFonts w:ascii="Calibri" w:hAnsi="Calibri"/>
                <w:b/>
                <w:bCs/>
                <w:snapToGrid w:val="0"/>
              </w:rPr>
              <w:t xml:space="preserve">Cofinanciamiento </w:t>
            </w:r>
          </w:p>
          <w:p w14:paraId="7FC15BD8" w14:textId="77777777" w:rsidR="005B2641" w:rsidRPr="005B2641" w:rsidRDefault="005B2641" w:rsidP="00952C91">
            <w:pPr>
              <w:spacing w:after="120" w:line="240" w:lineRule="auto"/>
              <w:rPr>
                <w:rFonts w:ascii="Calibri" w:eastAsia="MS Mincho" w:hAnsi="Calibri" w:cs="Times New Roman"/>
                <w:b/>
                <w:bCs/>
                <w:snapToGrid w:val="0"/>
              </w:rPr>
            </w:pPr>
            <w:r w:rsidRPr="005B2641">
              <w:rPr>
                <w:rFonts w:ascii="Calibri" w:hAnsi="Calibri"/>
                <w:b/>
                <w:bCs/>
                <w:snapToGrid w:val="0"/>
              </w:rPr>
              <w:t xml:space="preserve">(en millones </w:t>
            </w:r>
            <w:r w:rsidRPr="005B2641">
              <w:rPr>
                <w:rFonts w:ascii="Calibri" w:hAnsi="Calibri"/>
                <w:b/>
                <w:bCs/>
                <w:snapToGrid w:val="0"/>
              </w:rPr>
              <w:br/>
              <w:t xml:space="preserve">de USD) </w:t>
            </w:r>
          </w:p>
        </w:tc>
        <w:tc>
          <w:tcPr>
            <w:tcW w:w="919" w:type="pct"/>
            <w:tcBorders>
              <w:bottom w:val="single" w:sz="6" w:space="0" w:color="008000"/>
            </w:tcBorders>
            <w:shd w:val="clear" w:color="auto" w:fill="auto"/>
          </w:tcPr>
          <w:p w14:paraId="37ED7431" w14:textId="77777777" w:rsidR="005B2641" w:rsidRPr="005B2641" w:rsidRDefault="005B2641" w:rsidP="00952C91">
            <w:pPr>
              <w:spacing w:before="120" w:after="120" w:line="240" w:lineRule="auto"/>
              <w:rPr>
                <w:rFonts w:ascii="Calibri" w:eastAsia="MS Mincho" w:hAnsi="Calibri" w:cs="Times New Roman"/>
                <w:b/>
                <w:bCs/>
                <w:snapToGrid w:val="0"/>
              </w:rPr>
            </w:pPr>
            <w:r w:rsidRPr="005B2641">
              <w:rPr>
                <w:rFonts w:ascii="Calibri" w:hAnsi="Calibri"/>
                <w:b/>
                <w:bCs/>
                <w:snapToGrid w:val="0"/>
              </w:rPr>
              <w:t xml:space="preserve">Total de recursos </w:t>
            </w:r>
            <w:r w:rsidRPr="005B2641">
              <w:rPr>
                <w:rFonts w:ascii="Calibri" w:hAnsi="Calibri"/>
                <w:b/>
                <w:bCs/>
                <w:snapToGrid w:val="0"/>
              </w:rPr>
              <w:br/>
              <w:t xml:space="preserve">(en millones </w:t>
            </w:r>
            <w:r w:rsidRPr="005B2641">
              <w:rPr>
                <w:rFonts w:ascii="Calibri" w:hAnsi="Calibri"/>
                <w:b/>
                <w:bCs/>
                <w:snapToGrid w:val="0"/>
              </w:rPr>
              <w:br/>
              <w:t>de USD)</w:t>
            </w:r>
          </w:p>
        </w:tc>
      </w:tr>
      <w:tr w:rsidR="005B2641" w:rsidRPr="005B2641" w14:paraId="46B0CCC2" w14:textId="77777777" w:rsidTr="00952C91">
        <w:trPr>
          <w:trHeight w:val="1794"/>
        </w:trPr>
        <w:tc>
          <w:tcPr>
            <w:tcW w:w="1277" w:type="pct"/>
            <w:shd w:val="clear" w:color="auto" w:fill="auto"/>
          </w:tcPr>
          <w:p w14:paraId="327F6127" w14:textId="77777777" w:rsidR="005B2641" w:rsidRPr="005B2641" w:rsidRDefault="005B2641" w:rsidP="00952C91">
            <w:pPr>
              <w:spacing w:before="120" w:after="120" w:line="240" w:lineRule="auto"/>
              <w:rPr>
                <w:rFonts w:ascii="Calibri" w:eastAsia="MS Mincho" w:hAnsi="Calibri" w:cs="Times New Roman"/>
                <w:snapToGrid w:val="0"/>
              </w:rPr>
            </w:pPr>
            <w:bookmarkStart w:id="31" w:name="_Hlk31795662"/>
            <w:r w:rsidRPr="005B2641">
              <w:rPr>
                <w:rFonts w:ascii="Calibri" w:hAnsi="Calibri"/>
                <w:snapToGrid w:val="0"/>
              </w:rPr>
              <w:t>Programa de Impacto sobre Sistemas Alimentarios, y Uso y Recuperación de la Tierra</w:t>
            </w:r>
          </w:p>
        </w:tc>
        <w:tc>
          <w:tcPr>
            <w:tcW w:w="877" w:type="pct"/>
            <w:shd w:val="clear" w:color="auto" w:fill="auto"/>
            <w:hideMark/>
          </w:tcPr>
          <w:p w14:paraId="5BBED561" w14:textId="77777777" w:rsidR="005B2641" w:rsidRPr="005B2641" w:rsidRDefault="005B2641" w:rsidP="00952C91">
            <w:pPr>
              <w:spacing w:before="120" w:after="120" w:line="240" w:lineRule="auto"/>
              <w:rPr>
                <w:rFonts w:ascii="Calibri" w:eastAsia="MS Mincho" w:hAnsi="Calibri" w:cs="Times New Roman"/>
                <w:snapToGrid w:val="0"/>
              </w:rPr>
            </w:pPr>
            <w:r w:rsidRPr="005B2641">
              <w:rPr>
                <w:rFonts w:ascii="Calibri" w:hAnsi="Calibri"/>
                <w:snapToGrid w:val="0"/>
              </w:rPr>
              <w:t>5, 7, 14, 15</w:t>
            </w:r>
          </w:p>
        </w:tc>
        <w:tc>
          <w:tcPr>
            <w:tcW w:w="1008" w:type="pct"/>
            <w:tcBorders>
              <w:top w:val="nil"/>
              <w:left w:val="nil"/>
              <w:bottom w:val="single" w:sz="12" w:space="0" w:color="008000"/>
              <w:right w:val="nil"/>
            </w:tcBorders>
          </w:tcPr>
          <w:p w14:paraId="430CDDA1" w14:textId="77777777" w:rsidR="005B2641" w:rsidRPr="005B2641" w:rsidRDefault="005B2641" w:rsidP="00952C91">
            <w:pPr>
              <w:spacing w:before="120" w:after="120" w:line="240" w:lineRule="auto"/>
              <w:rPr>
                <w:rFonts w:ascii="Calibri" w:eastAsia="MS Mincho" w:hAnsi="Calibri" w:cs="Times New Roman"/>
                <w:snapToGrid w:val="0"/>
              </w:rPr>
            </w:pPr>
            <w:r w:rsidRPr="005B2641">
              <w:rPr>
                <w:rFonts w:ascii="Calibri" w:hAnsi="Calibri"/>
                <w:snapToGrid w:val="0"/>
              </w:rPr>
              <w:t>281,2</w:t>
            </w:r>
          </w:p>
          <w:p w14:paraId="5F9F38D6" w14:textId="77777777" w:rsidR="005B2641" w:rsidRPr="005B2641" w:rsidRDefault="005B2641" w:rsidP="00952C91">
            <w:pPr>
              <w:spacing w:before="120" w:after="120" w:line="240" w:lineRule="auto"/>
              <w:rPr>
                <w:rFonts w:ascii="Calibri" w:eastAsia="MS Mincho" w:hAnsi="Calibri" w:cs="Times New Roman"/>
                <w:snapToGrid w:val="0"/>
              </w:rPr>
            </w:pPr>
          </w:p>
        </w:tc>
        <w:tc>
          <w:tcPr>
            <w:tcW w:w="919" w:type="pct"/>
            <w:tcBorders>
              <w:top w:val="nil"/>
              <w:left w:val="nil"/>
              <w:bottom w:val="single" w:sz="12" w:space="0" w:color="008000"/>
              <w:right w:val="nil"/>
            </w:tcBorders>
          </w:tcPr>
          <w:p w14:paraId="7A54514A" w14:textId="77777777" w:rsidR="005B2641" w:rsidRPr="005B2641" w:rsidRDefault="005B2641" w:rsidP="00952C91">
            <w:pPr>
              <w:spacing w:before="120" w:after="120" w:line="240" w:lineRule="auto"/>
              <w:rPr>
                <w:rFonts w:ascii="Calibri" w:eastAsia="MS Mincho" w:hAnsi="Calibri" w:cs="Times New Roman"/>
                <w:snapToGrid w:val="0"/>
              </w:rPr>
            </w:pPr>
            <w:r w:rsidRPr="005B2641">
              <w:rPr>
                <w:rFonts w:ascii="Calibri" w:hAnsi="Calibri"/>
                <w:snapToGrid w:val="0"/>
              </w:rPr>
              <w:t>2515,4</w:t>
            </w:r>
          </w:p>
          <w:p w14:paraId="0FBF8523" w14:textId="77777777" w:rsidR="005B2641" w:rsidRPr="005B2641" w:rsidRDefault="005B2641" w:rsidP="00952C91">
            <w:pPr>
              <w:spacing w:before="120" w:after="120" w:line="240" w:lineRule="auto"/>
              <w:rPr>
                <w:rFonts w:ascii="Calibri" w:eastAsia="MS Mincho" w:hAnsi="Calibri" w:cs="Times New Roman"/>
                <w:snapToGrid w:val="0"/>
              </w:rPr>
            </w:pPr>
          </w:p>
        </w:tc>
        <w:tc>
          <w:tcPr>
            <w:tcW w:w="919" w:type="pct"/>
            <w:tcBorders>
              <w:top w:val="nil"/>
              <w:left w:val="nil"/>
              <w:bottom w:val="single" w:sz="12" w:space="0" w:color="008000"/>
              <w:right w:val="nil"/>
            </w:tcBorders>
          </w:tcPr>
          <w:p w14:paraId="41634FEE" w14:textId="77777777" w:rsidR="005B2641" w:rsidRPr="005B2641" w:rsidRDefault="005B2641" w:rsidP="00952C91">
            <w:pPr>
              <w:spacing w:before="120" w:after="120" w:line="240" w:lineRule="auto"/>
              <w:rPr>
                <w:rFonts w:ascii="Calibri" w:eastAsia="MS Mincho" w:hAnsi="Calibri" w:cs="Times New Roman"/>
                <w:snapToGrid w:val="0"/>
              </w:rPr>
            </w:pPr>
            <w:r w:rsidRPr="005B2641">
              <w:rPr>
                <w:rFonts w:ascii="Calibri" w:hAnsi="Calibri"/>
                <w:snapToGrid w:val="0"/>
              </w:rPr>
              <w:t>2796,6</w:t>
            </w:r>
          </w:p>
          <w:p w14:paraId="19FE2A7D" w14:textId="77777777" w:rsidR="005B2641" w:rsidRPr="005B2641" w:rsidRDefault="005B2641" w:rsidP="00952C91">
            <w:pPr>
              <w:spacing w:before="120" w:after="120" w:line="240" w:lineRule="auto"/>
              <w:rPr>
                <w:rFonts w:ascii="Calibri" w:eastAsia="MS Mincho" w:hAnsi="Calibri" w:cs="Times New Roman"/>
                <w:snapToGrid w:val="0"/>
              </w:rPr>
            </w:pPr>
          </w:p>
        </w:tc>
      </w:tr>
      <w:bookmarkEnd w:id="31"/>
    </w:tbl>
    <w:p w14:paraId="07AC1608" w14:textId="77777777" w:rsidR="005B2641" w:rsidRPr="005B2641" w:rsidRDefault="005B2641" w:rsidP="005B2641">
      <w:pPr>
        <w:spacing w:before="120" w:after="120" w:line="240" w:lineRule="auto"/>
        <w:rPr>
          <w:rFonts w:ascii="Calibri" w:eastAsia="MS Mincho" w:hAnsi="Calibri" w:cs="Times New Roman"/>
          <w:b/>
          <w:snapToGrid w:val="0"/>
          <w:sz w:val="24"/>
          <w:szCs w:val="24"/>
          <w:u w:val="single"/>
        </w:rPr>
      </w:pPr>
    </w:p>
    <w:p w14:paraId="6FD5E56E" w14:textId="77777777" w:rsidR="005B2641" w:rsidRPr="005B2641" w:rsidRDefault="005B2641" w:rsidP="005B2641">
      <w:pPr>
        <w:pStyle w:val="Ttulo3"/>
        <w:rPr>
          <w:snapToGrid w:val="0"/>
        </w:rPr>
      </w:pPr>
      <w:bookmarkStart w:id="32" w:name="_Toc35815693"/>
      <w:r w:rsidRPr="005B2641">
        <w:rPr>
          <w:snapToGrid w:val="0"/>
        </w:rPr>
        <w:t>Gestión forestal sostenible</w:t>
      </w:r>
      <w:bookmarkEnd w:id="32"/>
    </w:p>
    <w:p w14:paraId="7BCF9376"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MS Mincho" w:hAnsi="Calibri" w:cs="Times New Roman"/>
          <w:snapToGrid w:val="0"/>
          <w:sz w:val="24"/>
          <w:szCs w:val="24"/>
        </w:rPr>
      </w:pPr>
      <w:r w:rsidRPr="005B2641">
        <w:rPr>
          <w:rFonts w:ascii="Calibri" w:hAnsi="Calibri"/>
          <w:snapToGrid w:val="0"/>
          <w:sz w:val="24"/>
          <w:szCs w:val="24"/>
        </w:rPr>
        <w:t>El Programa de Impacto sobre Gestión Forestal Sostenible (GFS) se centra en gestionar de manera sostenible y proteger los bosques en tres biomas clave: la cuenca del Amazonas, la cuenca del Congo y los bosques de tierras secas. Con las inversiones realizadas en el marco de los proyectos se busca mantener la integridad ecológica de biomas enteros y garantizar una sólida coordinación transfronteriza a nivel regional.</w:t>
      </w:r>
    </w:p>
    <w:p w14:paraId="65590249"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MS Mincho" w:hAnsi="Calibri" w:cs="Times New Roman"/>
          <w:snapToGrid w:val="0"/>
          <w:sz w:val="24"/>
          <w:szCs w:val="24"/>
        </w:rPr>
      </w:pPr>
      <w:r w:rsidRPr="005B2641">
        <w:rPr>
          <w:rFonts w:ascii="Calibri" w:hAnsi="Calibri"/>
          <w:snapToGrid w:val="0"/>
          <w:sz w:val="24"/>
          <w:szCs w:val="24"/>
        </w:rPr>
        <w:t>En el pasado, las inversiones en GFS solían realizarse de manera aislada y se centraban principalmente en integrar principios de GFS en los proyectos de gestión de la tierra solo a nivel de los proyectos. En el Programa de Impacto sobre Gestión Forestal Sostenible se abordan los factores que generan pérdida y degradación forestal mediante estrategias destinadas a crear un entorno más propicio para la gestión forestal; respaldar la planificación del uso racional de la tierra en paisajes de uso mixto; fortalecer la gestión y el financiamiento de las zonas protegidas; aclarar la política sobre tenencia de la tierra y otras políticas pertinentes; respaldar la gestión de las tierras agrícolas comerciales y de subsistencia para reducir la presión sobre los bosques aledaños, y utilizar mecanismos financieros e incentivos para la GFS.</w:t>
      </w:r>
    </w:p>
    <w:p w14:paraId="22B9A46E"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MS Mincho" w:hAnsi="Calibri" w:cs="Times New Roman"/>
          <w:snapToGrid w:val="0"/>
          <w:sz w:val="24"/>
          <w:szCs w:val="24"/>
        </w:rPr>
      </w:pPr>
      <w:r w:rsidRPr="005B2641">
        <w:rPr>
          <w:rFonts w:ascii="Calibri" w:hAnsi="Calibri"/>
          <w:snapToGrid w:val="0"/>
          <w:sz w:val="24"/>
          <w:szCs w:val="24"/>
        </w:rPr>
        <w:t>En el cuadro 7 se muestran los recursos del FMAM destinados al Programa de Impacto sobre Gestión Forestal Sostenible del FMAM y su contribución al cumplimiento de las Metas de Aichi para la Diversidad Biológica, según las prioridades fijadas por los países. De los USD 241,3 millones que el FMAM destinó a dicho programa, USD 92 millones provinieron de las asignaciones para el área focal de biodiversidad en el marco del SATR.</w:t>
      </w:r>
    </w:p>
    <w:p w14:paraId="46E5D7BE" w14:textId="77777777" w:rsidR="005B2641" w:rsidRPr="005B2641" w:rsidRDefault="005B2641" w:rsidP="005B2641">
      <w:pPr>
        <w:keepNext/>
        <w:spacing w:before="240" w:after="240" w:line="240" w:lineRule="auto"/>
        <w:jc w:val="center"/>
        <w:rPr>
          <w:rFonts w:ascii="Calibri" w:eastAsia="MS Mincho" w:hAnsi="Calibri" w:cs="Times New Roman"/>
          <w:b/>
          <w:snapToGrid w:val="0"/>
          <w:sz w:val="24"/>
          <w:szCs w:val="24"/>
        </w:rPr>
      </w:pPr>
      <w:bookmarkStart w:id="33" w:name="_Hlk508978256"/>
      <w:r w:rsidRPr="005B2641">
        <w:rPr>
          <w:rFonts w:ascii="Calibri" w:hAnsi="Calibri"/>
          <w:b/>
          <w:snapToGrid w:val="0"/>
          <w:sz w:val="24"/>
          <w:szCs w:val="24"/>
        </w:rPr>
        <w:lastRenderedPageBreak/>
        <w:t>Cuadro 7. Distribución acumulativa de los recursos del FMAM-7 correspondiente al Programa de Impacto sobre Gestión Forestal Sostenible, y su contribución al cumplimiento de las Metas de Aichi para la Diversidad Biológica (del 1 de julio de 2018 al 31 de diciembre de 2019)</w:t>
      </w:r>
      <w:r w:rsidRPr="005B2641">
        <w:rPr>
          <w:rFonts w:ascii="Calibri" w:eastAsia="MS Mincho" w:hAnsi="Calibri" w:cs="Times New Roman"/>
          <w:snapToGrid w:val="0"/>
          <w:sz w:val="24"/>
          <w:szCs w:val="24"/>
          <w:vertAlign w:val="superscript"/>
        </w:rPr>
        <w:footnoteReference w:id="12"/>
      </w:r>
    </w:p>
    <w:tbl>
      <w:tblPr>
        <w:tblW w:w="4997" w:type="pct"/>
        <w:tblBorders>
          <w:top w:val="single" w:sz="12" w:space="0" w:color="008000"/>
          <w:bottom w:val="single" w:sz="12" w:space="0" w:color="008000"/>
        </w:tblBorders>
        <w:tblLook w:val="04A0" w:firstRow="1" w:lastRow="0" w:firstColumn="1" w:lastColumn="0" w:noHBand="0" w:noVBand="1"/>
      </w:tblPr>
      <w:tblGrid>
        <w:gridCol w:w="2896"/>
        <w:gridCol w:w="1476"/>
        <w:gridCol w:w="1627"/>
        <w:gridCol w:w="1831"/>
        <w:gridCol w:w="1524"/>
      </w:tblGrid>
      <w:tr w:rsidR="005B2641" w:rsidRPr="005B2641" w14:paraId="2DB87113" w14:textId="77777777" w:rsidTr="00952C91">
        <w:trPr>
          <w:trHeight w:val="570"/>
        </w:trPr>
        <w:tc>
          <w:tcPr>
            <w:tcW w:w="1653" w:type="pct"/>
            <w:tcBorders>
              <w:bottom w:val="single" w:sz="6" w:space="0" w:color="008000"/>
            </w:tcBorders>
            <w:shd w:val="clear" w:color="auto" w:fill="auto"/>
            <w:hideMark/>
          </w:tcPr>
          <w:p w14:paraId="7A926E4F" w14:textId="77777777" w:rsidR="005B2641" w:rsidRPr="005B2641" w:rsidRDefault="005B2641" w:rsidP="00952C91">
            <w:pPr>
              <w:keepNext/>
              <w:spacing w:after="0" w:line="240" w:lineRule="auto"/>
              <w:rPr>
                <w:rFonts w:ascii="Calibri" w:eastAsia="Times New Roman" w:hAnsi="Calibri" w:cs="Times New Roman"/>
                <w:b/>
                <w:bCs/>
                <w:color w:val="000000"/>
              </w:rPr>
            </w:pPr>
            <w:r w:rsidRPr="005B2641">
              <w:rPr>
                <w:rFonts w:ascii="Calibri" w:hAnsi="Calibri"/>
                <w:b/>
                <w:bCs/>
                <w:color w:val="000000"/>
              </w:rPr>
              <w:t xml:space="preserve">Programas de Impacto </w:t>
            </w:r>
            <w:r w:rsidRPr="005B2641">
              <w:rPr>
                <w:rFonts w:ascii="Calibri" w:hAnsi="Calibri"/>
                <w:b/>
                <w:bCs/>
                <w:color w:val="000000"/>
              </w:rPr>
              <w:br/>
              <w:t xml:space="preserve">sobre Gestión Forestal Sostenible </w:t>
            </w:r>
          </w:p>
        </w:tc>
        <w:tc>
          <w:tcPr>
            <w:tcW w:w="893" w:type="pct"/>
            <w:tcBorders>
              <w:bottom w:val="single" w:sz="6" w:space="0" w:color="008000"/>
            </w:tcBorders>
            <w:shd w:val="clear" w:color="auto" w:fill="auto"/>
            <w:hideMark/>
          </w:tcPr>
          <w:p w14:paraId="5E9EC82E" w14:textId="77777777" w:rsidR="005B2641" w:rsidRPr="005B2641" w:rsidRDefault="005B2641" w:rsidP="00952C91">
            <w:pPr>
              <w:keepNext/>
              <w:spacing w:after="0" w:line="240" w:lineRule="auto"/>
              <w:rPr>
                <w:rFonts w:ascii="Calibri" w:eastAsia="Times New Roman" w:hAnsi="Calibri" w:cs="Times New Roman"/>
                <w:b/>
                <w:bCs/>
                <w:color w:val="000000"/>
              </w:rPr>
            </w:pPr>
            <w:r w:rsidRPr="005B2641">
              <w:rPr>
                <w:rFonts w:ascii="Calibri" w:hAnsi="Calibri"/>
                <w:b/>
                <w:bCs/>
                <w:color w:val="000000"/>
              </w:rPr>
              <w:t>Metas de Aichi para la Diversidad Biológica</w:t>
            </w:r>
          </w:p>
        </w:tc>
        <w:tc>
          <w:tcPr>
            <w:tcW w:w="846" w:type="pct"/>
            <w:tcBorders>
              <w:bottom w:val="single" w:sz="6" w:space="0" w:color="008000"/>
            </w:tcBorders>
            <w:shd w:val="clear" w:color="auto" w:fill="auto"/>
          </w:tcPr>
          <w:p w14:paraId="0C7273BE" w14:textId="77777777" w:rsidR="005B2641" w:rsidRPr="005B2641" w:rsidRDefault="005B2641" w:rsidP="00952C91">
            <w:pPr>
              <w:keepNext/>
              <w:spacing w:after="0" w:line="240" w:lineRule="auto"/>
              <w:rPr>
                <w:rFonts w:ascii="Calibri" w:eastAsia="Times New Roman" w:hAnsi="Calibri" w:cs="Times New Roman"/>
                <w:b/>
                <w:bCs/>
                <w:color w:val="000000"/>
              </w:rPr>
            </w:pPr>
            <w:r w:rsidRPr="005B2641">
              <w:rPr>
                <w:rFonts w:ascii="Calibri" w:hAnsi="Calibri"/>
                <w:b/>
                <w:bCs/>
                <w:color w:val="000000"/>
              </w:rPr>
              <w:t>Financiamiento del FMAM para proyectos (en millones de USD)</w:t>
            </w:r>
          </w:p>
        </w:tc>
        <w:tc>
          <w:tcPr>
            <w:tcW w:w="689" w:type="pct"/>
            <w:tcBorders>
              <w:bottom w:val="single" w:sz="6" w:space="0" w:color="008000"/>
            </w:tcBorders>
            <w:shd w:val="clear" w:color="auto" w:fill="auto"/>
            <w:hideMark/>
          </w:tcPr>
          <w:p w14:paraId="1DCEEA23" w14:textId="77777777" w:rsidR="005B2641" w:rsidRPr="005B2641" w:rsidRDefault="005B2641" w:rsidP="00952C91">
            <w:pPr>
              <w:keepNext/>
              <w:spacing w:after="0" w:line="240" w:lineRule="auto"/>
              <w:rPr>
                <w:rFonts w:ascii="Calibri" w:eastAsia="Times New Roman" w:hAnsi="Calibri" w:cs="Times New Roman"/>
                <w:b/>
                <w:bCs/>
                <w:color w:val="000000"/>
              </w:rPr>
            </w:pPr>
            <w:r w:rsidRPr="005B2641">
              <w:rPr>
                <w:rFonts w:ascii="Calibri" w:hAnsi="Calibri"/>
                <w:b/>
                <w:bCs/>
                <w:color w:val="000000"/>
              </w:rPr>
              <w:t xml:space="preserve">Cofinanciamiento </w:t>
            </w:r>
          </w:p>
          <w:p w14:paraId="25F8F757" w14:textId="77777777" w:rsidR="005B2641" w:rsidRPr="005B2641" w:rsidRDefault="005B2641" w:rsidP="00952C91">
            <w:pPr>
              <w:keepNext/>
              <w:spacing w:after="0" w:line="240" w:lineRule="auto"/>
              <w:rPr>
                <w:rFonts w:ascii="Calibri" w:eastAsia="Times New Roman" w:hAnsi="Calibri" w:cs="Times New Roman"/>
                <w:b/>
                <w:bCs/>
                <w:color w:val="000000"/>
              </w:rPr>
            </w:pPr>
            <w:r w:rsidRPr="005B2641">
              <w:rPr>
                <w:rFonts w:ascii="Calibri" w:hAnsi="Calibri"/>
                <w:b/>
                <w:bCs/>
                <w:color w:val="000000"/>
              </w:rPr>
              <w:t xml:space="preserve">(en millones de USD) </w:t>
            </w:r>
          </w:p>
        </w:tc>
        <w:tc>
          <w:tcPr>
            <w:tcW w:w="919" w:type="pct"/>
            <w:tcBorders>
              <w:bottom w:val="single" w:sz="6" w:space="0" w:color="008000"/>
            </w:tcBorders>
            <w:shd w:val="clear" w:color="auto" w:fill="auto"/>
          </w:tcPr>
          <w:p w14:paraId="5B35880A" w14:textId="77777777" w:rsidR="005B2641" w:rsidRPr="005B2641" w:rsidRDefault="005B2641" w:rsidP="00952C91">
            <w:pPr>
              <w:keepNext/>
              <w:spacing w:after="0" w:line="240" w:lineRule="auto"/>
              <w:rPr>
                <w:rFonts w:ascii="Calibri" w:eastAsia="Times New Roman" w:hAnsi="Calibri" w:cs="Times New Roman"/>
                <w:b/>
                <w:bCs/>
                <w:color w:val="000000"/>
              </w:rPr>
            </w:pPr>
            <w:r w:rsidRPr="005B2641">
              <w:rPr>
                <w:rFonts w:ascii="Calibri" w:hAnsi="Calibri"/>
                <w:b/>
                <w:bCs/>
                <w:color w:val="000000"/>
              </w:rPr>
              <w:t xml:space="preserve">Total de recursos </w:t>
            </w:r>
          </w:p>
          <w:p w14:paraId="2FB0D3C1" w14:textId="77777777" w:rsidR="005B2641" w:rsidRPr="005B2641" w:rsidRDefault="005B2641" w:rsidP="00952C91">
            <w:pPr>
              <w:keepNext/>
              <w:spacing w:after="0" w:line="240" w:lineRule="auto"/>
              <w:rPr>
                <w:rFonts w:ascii="Calibri" w:eastAsia="Times New Roman" w:hAnsi="Calibri" w:cs="Times New Roman"/>
                <w:b/>
                <w:bCs/>
                <w:color w:val="000000"/>
              </w:rPr>
            </w:pPr>
            <w:r w:rsidRPr="005B2641">
              <w:rPr>
                <w:rFonts w:ascii="Calibri" w:hAnsi="Calibri"/>
                <w:b/>
                <w:bCs/>
                <w:color w:val="000000"/>
              </w:rPr>
              <w:t>(en millones de USD)</w:t>
            </w:r>
          </w:p>
        </w:tc>
      </w:tr>
      <w:tr w:rsidR="005B2641" w:rsidRPr="005B2641" w14:paraId="489E8B26" w14:textId="77777777" w:rsidTr="00952C91">
        <w:trPr>
          <w:trHeight w:val="600"/>
        </w:trPr>
        <w:tc>
          <w:tcPr>
            <w:tcW w:w="1653" w:type="pct"/>
            <w:shd w:val="clear" w:color="auto" w:fill="auto"/>
          </w:tcPr>
          <w:p w14:paraId="17D6B734" w14:textId="77777777" w:rsidR="005B2641" w:rsidRPr="005B2641" w:rsidRDefault="005B2641" w:rsidP="00952C91">
            <w:pPr>
              <w:spacing w:after="0" w:line="240" w:lineRule="auto"/>
              <w:rPr>
                <w:rFonts w:ascii="Calibri" w:eastAsia="Times New Roman" w:hAnsi="Calibri" w:cs="Times New Roman"/>
                <w:color w:val="000000"/>
              </w:rPr>
            </w:pPr>
          </w:p>
          <w:p w14:paraId="233EFC71" w14:textId="77777777" w:rsidR="005B2641" w:rsidRPr="005B2641" w:rsidRDefault="005B2641" w:rsidP="00952C91">
            <w:pPr>
              <w:spacing w:after="0" w:line="240" w:lineRule="auto"/>
              <w:rPr>
                <w:rFonts w:ascii="Calibri" w:eastAsia="Times New Roman" w:hAnsi="Calibri" w:cs="Times New Roman"/>
                <w:color w:val="000000"/>
              </w:rPr>
            </w:pPr>
            <w:r w:rsidRPr="005B2641">
              <w:rPr>
                <w:rFonts w:ascii="Calibri" w:hAnsi="Calibri"/>
                <w:color w:val="000000"/>
              </w:rPr>
              <w:t>Programa de Paisajes Sostenibles en el Amazonas</w:t>
            </w:r>
          </w:p>
        </w:tc>
        <w:tc>
          <w:tcPr>
            <w:tcW w:w="893" w:type="pct"/>
            <w:shd w:val="clear" w:color="auto" w:fill="auto"/>
            <w:hideMark/>
          </w:tcPr>
          <w:p w14:paraId="42673785" w14:textId="77777777" w:rsidR="005B2641" w:rsidRPr="005B2641" w:rsidRDefault="005B2641" w:rsidP="00952C91">
            <w:pPr>
              <w:spacing w:after="0" w:line="240" w:lineRule="auto"/>
              <w:rPr>
                <w:rFonts w:ascii="Calibri" w:eastAsia="Times New Roman" w:hAnsi="Calibri" w:cs="Times New Roman"/>
                <w:color w:val="000000"/>
              </w:rPr>
            </w:pPr>
          </w:p>
          <w:p w14:paraId="0CC9B333" w14:textId="77777777" w:rsidR="005B2641" w:rsidRPr="005B2641" w:rsidRDefault="005B2641" w:rsidP="00952C91">
            <w:pPr>
              <w:spacing w:after="0" w:line="240" w:lineRule="auto"/>
              <w:jc w:val="both"/>
              <w:rPr>
                <w:rFonts w:ascii="Calibri" w:eastAsia="Times New Roman" w:hAnsi="Calibri" w:cs="Times New Roman"/>
                <w:color w:val="000000"/>
              </w:rPr>
            </w:pPr>
            <w:r w:rsidRPr="005B2641">
              <w:rPr>
                <w:rFonts w:ascii="Calibri" w:hAnsi="Calibri"/>
                <w:color w:val="000000"/>
              </w:rPr>
              <w:t>7, 11, 14, 15 y 19</w:t>
            </w:r>
          </w:p>
        </w:tc>
        <w:tc>
          <w:tcPr>
            <w:tcW w:w="846" w:type="pct"/>
            <w:shd w:val="clear" w:color="auto" w:fill="auto"/>
          </w:tcPr>
          <w:p w14:paraId="30EC62C0" w14:textId="77777777" w:rsidR="005B2641" w:rsidRPr="005B2641" w:rsidRDefault="005B2641" w:rsidP="00952C91">
            <w:pPr>
              <w:spacing w:after="0" w:line="240" w:lineRule="auto"/>
              <w:rPr>
                <w:rFonts w:ascii="Calibri" w:eastAsia="MS Mincho" w:hAnsi="Calibri" w:cs="Calibri"/>
                <w:color w:val="000000"/>
              </w:rPr>
            </w:pPr>
          </w:p>
          <w:p w14:paraId="77953491" w14:textId="77777777" w:rsidR="005B2641" w:rsidRPr="005B2641" w:rsidRDefault="005B2641" w:rsidP="00952C91">
            <w:pPr>
              <w:spacing w:after="0" w:line="240" w:lineRule="auto"/>
              <w:rPr>
                <w:rFonts w:ascii="Calibri" w:eastAsia="MS Mincho" w:hAnsi="Calibri" w:cs="Calibri"/>
                <w:color w:val="000000"/>
              </w:rPr>
            </w:pPr>
            <w:r w:rsidRPr="005B2641">
              <w:rPr>
                <w:rFonts w:ascii="Calibri" w:hAnsi="Calibri"/>
                <w:color w:val="000000"/>
              </w:rPr>
              <w:t>88,3</w:t>
            </w:r>
          </w:p>
        </w:tc>
        <w:tc>
          <w:tcPr>
            <w:tcW w:w="689" w:type="pct"/>
            <w:shd w:val="clear" w:color="auto" w:fill="auto"/>
          </w:tcPr>
          <w:p w14:paraId="320E9031" w14:textId="77777777" w:rsidR="005B2641" w:rsidRPr="005B2641" w:rsidRDefault="005B2641" w:rsidP="00952C91">
            <w:pPr>
              <w:spacing w:after="0" w:line="240" w:lineRule="auto"/>
              <w:rPr>
                <w:rFonts w:ascii="Calibri" w:eastAsia="MS Mincho" w:hAnsi="Calibri" w:cs="Calibri"/>
                <w:color w:val="000000"/>
              </w:rPr>
            </w:pPr>
          </w:p>
          <w:p w14:paraId="73BE88D5" w14:textId="77777777" w:rsidR="005B2641" w:rsidRPr="005B2641" w:rsidRDefault="005B2641" w:rsidP="00952C91">
            <w:pPr>
              <w:spacing w:after="0" w:line="240" w:lineRule="auto"/>
              <w:rPr>
                <w:rFonts w:ascii="Calibri" w:eastAsia="MS Mincho" w:hAnsi="Calibri" w:cs="Calibri"/>
                <w:color w:val="000000"/>
              </w:rPr>
            </w:pPr>
            <w:r w:rsidRPr="005B2641">
              <w:rPr>
                <w:rFonts w:ascii="Calibri" w:hAnsi="Calibri"/>
                <w:color w:val="000000"/>
              </w:rPr>
              <w:t>509,5</w:t>
            </w:r>
          </w:p>
          <w:p w14:paraId="6F9435D5" w14:textId="77777777" w:rsidR="005B2641" w:rsidRPr="005B2641" w:rsidRDefault="005B2641" w:rsidP="00952C91">
            <w:pPr>
              <w:spacing w:after="0" w:line="240" w:lineRule="auto"/>
              <w:rPr>
                <w:rFonts w:ascii="Calibri" w:eastAsia="MS Mincho" w:hAnsi="Calibri" w:cs="Calibri"/>
                <w:color w:val="000000"/>
              </w:rPr>
            </w:pPr>
          </w:p>
        </w:tc>
        <w:tc>
          <w:tcPr>
            <w:tcW w:w="919" w:type="pct"/>
            <w:shd w:val="clear" w:color="auto" w:fill="auto"/>
          </w:tcPr>
          <w:p w14:paraId="23E2204C" w14:textId="77777777" w:rsidR="005B2641" w:rsidRPr="005B2641" w:rsidRDefault="005B2641" w:rsidP="00952C91">
            <w:pPr>
              <w:spacing w:after="0" w:line="240" w:lineRule="auto"/>
              <w:rPr>
                <w:rFonts w:ascii="Calibri" w:eastAsia="MS Mincho" w:hAnsi="Calibri" w:cs="Angsana New"/>
                <w:color w:val="000000"/>
              </w:rPr>
            </w:pPr>
          </w:p>
          <w:p w14:paraId="34FDB716" w14:textId="77777777" w:rsidR="005B2641" w:rsidRPr="005B2641" w:rsidRDefault="005B2641" w:rsidP="00952C91">
            <w:pPr>
              <w:spacing w:after="0" w:line="240" w:lineRule="auto"/>
              <w:jc w:val="center"/>
              <w:rPr>
                <w:rFonts w:ascii="Calibri" w:eastAsia="MS Mincho" w:hAnsi="Calibri" w:cs="Angsana New"/>
                <w:color w:val="000000"/>
              </w:rPr>
            </w:pPr>
            <w:r w:rsidRPr="005B2641">
              <w:rPr>
                <w:rFonts w:ascii="Calibri" w:hAnsi="Calibri"/>
                <w:color w:val="000000"/>
              </w:rPr>
              <w:t>597,8</w:t>
            </w:r>
          </w:p>
          <w:p w14:paraId="046598AB" w14:textId="77777777" w:rsidR="005B2641" w:rsidRPr="005B2641" w:rsidRDefault="005B2641" w:rsidP="00952C91">
            <w:pPr>
              <w:spacing w:after="0" w:line="240" w:lineRule="auto"/>
              <w:jc w:val="center"/>
              <w:rPr>
                <w:rFonts w:ascii="Calibri" w:eastAsia="MS Mincho" w:hAnsi="Calibri" w:cs="Angsana New"/>
                <w:color w:val="000000"/>
              </w:rPr>
            </w:pPr>
          </w:p>
        </w:tc>
      </w:tr>
      <w:tr w:rsidR="005B2641" w:rsidRPr="005B2641" w14:paraId="188C9748" w14:textId="77777777" w:rsidTr="00952C91">
        <w:trPr>
          <w:trHeight w:val="600"/>
        </w:trPr>
        <w:tc>
          <w:tcPr>
            <w:tcW w:w="1653" w:type="pct"/>
            <w:shd w:val="clear" w:color="auto" w:fill="auto"/>
          </w:tcPr>
          <w:p w14:paraId="054CFF09" w14:textId="77777777" w:rsidR="005B2641" w:rsidRPr="005B2641" w:rsidRDefault="005B2641" w:rsidP="00952C91">
            <w:pPr>
              <w:spacing w:after="0" w:line="240" w:lineRule="auto"/>
              <w:rPr>
                <w:rFonts w:ascii="Calibri" w:eastAsia="Times New Roman" w:hAnsi="Calibri" w:cs="Times New Roman"/>
                <w:color w:val="000000"/>
              </w:rPr>
            </w:pPr>
          </w:p>
          <w:p w14:paraId="75E0A1A8" w14:textId="77777777" w:rsidR="005B2641" w:rsidRPr="005B2641" w:rsidRDefault="005B2641" w:rsidP="00952C91">
            <w:pPr>
              <w:spacing w:after="0" w:line="240" w:lineRule="auto"/>
              <w:rPr>
                <w:rFonts w:ascii="Calibri" w:eastAsia="Times New Roman" w:hAnsi="Calibri" w:cs="Times New Roman"/>
                <w:color w:val="000000"/>
              </w:rPr>
            </w:pPr>
          </w:p>
          <w:p w14:paraId="45A69C5F" w14:textId="77777777" w:rsidR="005B2641" w:rsidRPr="005B2641" w:rsidRDefault="005B2641" w:rsidP="00952C91">
            <w:pPr>
              <w:spacing w:after="0" w:line="240" w:lineRule="auto"/>
              <w:rPr>
                <w:rFonts w:ascii="Calibri" w:eastAsia="Times New Roman" w:hAnsi="Calibri" w:cs="Times New Roman"/>
                <w:color w:val="000000"/>
              </w:rPr>
            </w:pPr>
            <w:r w:rsidRPr="005B2641">
              <w:rPr>
                <w:rFonts w:ascii="Calibri" w:hAnsi="Calibri"/>
                <w:color w:val="000000"/>
              </w:rPr>
              <w:t>Programa de Paisajes Sostenibles en el Congo</w:t>
            </w:r>
          </w:p>
          <w:p w14:paraId="23C9C98C" w14:textId="77777777" w:rsidR="005B2641" w:rsidRPr="005B2641" w:rsidRDefault="005B2641" w:rsidP="00952C91">
            <w:pPr>
              <w:spacing w:after="0" w:line="240" w:lineRule="auto"/>
              <w:rPr>
                <w:rFonts w:ascii="Calibri" w:eastAsia="Times New Roman" w:hAnsi="Calibri" w:cs="Times New Roman"/>
                <w:color w:val="000000"/>
              </w:rPr>
            </w:pPr>
          </w:p>
        </w:tc>
        <w:tc>
          <w:tcPr>
            <w:tcW w:w="893" w:type="pct"/>
            <w:shd w:val="clear" w:color="auto" w:fill="auto"/>
            <w:hideMark/>
          </w:tcPr>
          <w:p w14:paraId="0F45BBF5" w14:textId="77777777" w:rsidR="005B2641" w:rsidRPr="005B2641" w:rsidRDefault="005B2641" w:rsidP="00952C91">
            <w:pPr>
              <w:spacing w:after="0" w:line="240" w:lineRule="auto"/>
              <w:jc w:val="both"/>
              <w:rPr>
                <w:rFonts w:ascii="Calibri" w:eastAsia="Times New Roman" w:hAnsi="Calibri" w:cs="Times New Roman"/>
                <w:color w:val="000000"/>
              </w:rPr>
            </w:pPr>
          </w:p>
          <w:p w14:paraId="01484D0C" w14:textId="77777777" w:rsidR="005B2641" w:rsidRPr="005B2641" w:rsidRDefault="005B2641" w:rsidP="00952C91">
            <w:pPr>
              <w:spacing w:after="0" w:line="240" w:lineRule="auto"/>
              <w:jc w:val="both"/>
              <w:rPr>
                <w:rFonts w:ascii="Calibri" w:eastAsia="Times New Roman" w:hAnsi="Calibri" w:cs="Times New Roman"/>
                <w:color w:val="000000"/>
              </w:rPr>
            </w:pPr>
          </w:p>
          <w:p w14:paraId="4DC06AD3" w14:textId="77777777" w:rsidR="005B2641" w:rsidRPr="005B2641" w:rsidRDefault="005B2641" w:rsidP="00952C91">
            <w:pPr>
              <w:spacing w:after="0" w:line="240" w:lineRule="auto"/>
              <w:rPr>
                <w:rFonts w:ascii="Calibri" w:eastAsia="Times New Roman" w:hAnsi="Calibri" w:cs="Times New Roman"/>
                <w:color w:val="000000"/>
              </w:rPr>
            </w:pPr>
            <w:r w:rsidRPr="005B2641">
              <w:rPr>
                <w:rFonts w:ascii="Calibri" w:hAnsi="Calibri"/>
                <w:color w:val="000000"/>
              </w:rPr>
              <w:t>7, 11, 14, 15 y 19</w:t>
            </w:r>
          </w:p>
        </w:tc>
        <w:tc>
          <w:tcPr>
            <w:tcW w:w="846" w:type="pct"/>
            <w:shd w:val="clear" w:color="auto" w:fill="auto"/>
          </w:tcPr>
          <w:p w14:paraId="69CEF399" w14:textId="77777777" w:rsidR="005B2641" w:rsidRPr="005B2641" w:rsidRDefault="005B2641" w:rsidP="00952C91">
            <w:pPr>
              <w:spacing w:after="0" w:line="240" w:lineRule="auto"/>
              <w:rPr>
                <w:rFonts w:ascii="Calibri" w:eastAsia="MS Mincho" w:hAnsi="Calibri" w:cs="Calibri"/>
                <w:color w:val="000000"/>
              </w:rPr>
            </w:pPr>
          </w:p>
          <w:p w14:paraId="43641CCF" w14:textId="77777777" w:rsidR="005B2641" w:rsidRPr="005B2641" w:rsidRDefault="005B2641" w:rsidP="00952C91">
            <w:pPr>
              <w:spacing w:after="0" w:line="240" w:lineRule="auto"/>
              <w:rPr>
                <w:rFonts w:ascii="Calibri" w:eastAsia="MS Mincho" w:hAnsi="Calibri" w:cs="Calibri"/>
                <w:color w:val="000000"/>
              </w:rPr>
            </w:pPr>
          </w:p>
          <w:p w14:paraId="72B1FE13" w14:textId="77777777" w:rsidR="005B2641" w:rsidRPr="005B2641" w:rsidRDefault="005B2641" w:rsidP="00952C91">
            <w:pPr>
              <w:spacing w:after="0" w:line="240" w:lineRule="auto"/>
              <w:rPr>
                <w:rFonts w:ascii="Calibri" w:eastAsia="MS Mincho" w:hAnsi="Calibri" w:cs="Calibri"/>
                <w:color w:val="000000"/>
              </w:rPr>
            </w:pPr>
            <w:r w:rsidRPr="005B2641">
              <w:rPr>
                <w:rFonts w:ascii="Calibri" w:hAnsi="Calibri"/>
                <w:color w:val="000000"/>
              </w:rPr>
              <w:t>57,2</w:t>
            </w:r>
          </w:p>
        </w:tc>
        <w:tc>
          <w:tcPr>
            <w:tcW w:w="689" w:type="pct"/>
            <w:shd w:val="clear" w:color="auto" w:fill="auto"/>
          </w:tcPr>
          <w:p w14:paraId="316D06AE" w14:textId="77777777" w:rsidR="005B2641" w:rsidRPr="005B2641" w:rsidRDefault="005B2641" w:rsidP="00952C91">
            <w:pPr>
              <w:spacing w:after="0" w:line="240" w:lineRule="auto"/>
              <w:rPr>
                <w:rFonts w:ascii="Calibri" w:eastAsia="MS Mincho" w:hAnsi="Calibri" w:cs="Calibri"/>
                <w:color w:val="000000"/>
              </w:rPr>
            </w:pPr>
          </w:p>
          <w:p w14:paraId="3EA60AB7" w14:textId="77777777" w:rsidR="005B2641" w:rsidRPr="005B2641" w:rsidRDefault="005B2641" w:rsidP="00952C91">
            <w:pPr>
              <w:spacing w:after="0" w:line="240" w:lineRule="auto"/>
              <w:rPr>
                <w:rFonts w:ascii="Calibri" w:eastAsia="MS Mincho" w:hAnsi="Calibri" w:cs="Calibri"/>
                <w:color w:val="000000"/>
              </w:rPr>
            </w:pPr>
          </w:p>
          <w:p w14:paraId="02F5EF97" w14:textId="77777777" w:rsidR="005B2641" w:rsidRPr="005B2641" w:rsidRDefault="005B2641" w:rsidP="00952C91">
            <w:pPr>
              <w:spacing w:after="0" w:line="240" w:lineRule="auto"/>
              <w:rPr>
                <w:rFonts w:ascii="Calibri" w:eastAsia="MS Mincho" w:hAnsi="Calibri" w:cs="Calibri"/>
                <w:color w:val="000000"/>
              </w:rPr>
            </w:pPr>
            <w:r w:rsidRPr="005B2641">
              <w:rPr>
                <w:rFonts w:ascii="Calibri" w:hAnsi="Calibri"/>
                <w:color w:val="000000"/>
              </w:rPr>
              <w:t>387,4</w:t>
            </w:r>
          </w:p>
        </w:tc>
        <w:tc>
          <w:tcPr>
            <w:tcW w:w="919" w:type="pct"/>
            <w:shd w:val="clear" w:color="auto" w:fill="auto"/>
          </w:tcPr>
          <w:p w14:paraId="2FF536EB" w14:textId="77777777" w:rsidR="005B2641" w:rsidRPr="005B2641" w:rsidRDefault="005B2641" w:rsidP="00952C91">
            <w:pPr>
              <w:spacing w:after="0" w:line="240" w:lineRule="auto"/>
              <w:jc w:val="center"/>
              <w:rPr>
                <w:rFonts w:ascii="Calibri" w:eastAsia="MS Mincho" w:hAnsi="Calibri" w:cs="Angsana New"/>
                <w:color w:val="000000"/>
              </w:rPr>
            </w:pPr>
          </w:p>
          <w:p w14:paraId="6D489EA7" w14:textId="77777777" w:rsidR="005B2641" w:rsidRPr="005B2641" w:rsidRDefault="005B2641" w:rsidP="00952C91">
            <w:pPr>
              <w:spacing w:after="0" w:line="240" w:lineRule="auto"/>
              <w:jc w:val="center"/>
              <w:rPr>
                <w:rFonts w:ascii="Calibri" w:eastAsia="MS Mincho" w:hAnsi="Calibri" w:cs="Angsana New"/>
                <w:color w:val="000000"/>
              </w:rPr>
            </w:pPr>
          </w:p>
          <w:p w14:paraId="15FB4FE0" w14:textId="77777777" w:rsidR="005B2641" w:rsidRPr="005B2641" w:rsidRDefault="005B2641" w:rsidP="00952C91">
            <w:pPr>
              <w:spacing w:after="0" w:line="240" w:lineRule="auto"/>
              <w:jc w:val="center"/>
              <w:rPr>
                <w:rFonts w:ascii="Calibri" w:eastAsia="MS Mincho" w:hAnsi="Calibri" w:cs="Angsana New"/>
                <w:color w:val="000000"/>
              </w:rPr>
            </w:pPr>
            <w:r w:rsidRPr="005B2641">
              <w:rPr>
                <w:rFonts w:ascii="Calibri" w:hAnsi="Calibri"/>
                <w:color w:val="000000"/>
              </w:rPr>
              <w:t>444,6</w:t>
            </w:r>
          </w:p>
          <w:p w14:paraId="65340ABB" w14:textId="77777777" w:rsidR="005B2641" w:rsidRPr="005B2641" w:rsidRDefault="005B2641" w:rsidP="00952C91">
            <w:pPr>
              <w:spacing w:after="0" w:line="240" w:lineRule="auto"/>
              <w:jc w:val="center"/>
              <w:rPr>
                <w:rFonts w:ascii="Calibri" w:eastAsia="MS Mincho" w:hAnsi="Calibri" w:cs="Angsana New"/>
                <w:color w:val="000000"/>
              </w:rPr>
            </w:pPr>
          </w:p>
        </w:tc>
      </w:tr>
      <w:tr w:rsidR="005B2641" w:rsidRPr="005B2641" w14:paraId="402CD903" w14:textId="77777777" w:rsidTr="00952C91">
        <w:trPr>
          <w:trHeight w:val="600"/>
        </w:trPr>
        <w:tc>
          <w:tcPr>
            <w:tcW w:w="1653" w:type="pct"/>
            <w:shd w:val="clear" w:color="auto" w:fill="auto"/>
          </w:tcPr>
          <w:p w14:paraId="6494557C" w14:textId="77777777" w:rsidR="005B2641" w:rsidRPr="005B2641" w:rsidRDefault="005B2641" w:rsidP="00952C91">
            <w:pPr>
              <w:spacing w:after="0" w:line="240" w:lineRule="auto"/>
              <w:rPr>
                <w:rFonts w:ascii="Calibri" w:eastAsia="Times New Roman" w:hAnsi="Calibri" w:cs="Times New Roman"/>
                <w:color w:val="000000"/>
              </w:rPr>
            </w:pPr>
            <w:r w:rsidRPr="005B2641">
              <w:rPr>
                <w:rFonts w:ascii="Calibri" w:hAnsi="Calibri"/>
                <w:color w:val="000000"/>
              </w:rPr>
              <w:t xml:space="preserve">Programa de Paisajes Sostenibles en las Tierras Secas </w:t>
            </w:r>
          </w:p>
        </w:tc>
        <w:tc>
          <w:tcPr>
            <w:tcW w:w="893" w:type="pct"/>
            <w:shd w:val="clear" w:color="auto" w:fill="auto"/>
            <w:hideMark/>
          </w:tcPr>
          <w:p w14:paraId="29A055F5" w14:textId="77777777" w:rsidR="005B2641" w:rsidRPr="005B2641" w:rsidRDefault="005B2641" w:rsidP="00952C91">
            <w:pPr>
              <w:spacing w:after="0" w:line="240" w:lineRule="auto"/>
              <w:rPr>
                <w:rFonts w:ascii="Calibri" w:eastAsia="Times New Roman" w:hAnsi="Calibri" w:cs="Times New Roman"/>
                <w:color w:val="000000"/>
              </w:rPr>
            </w:pPr>
            <w:r w:rsidRPr="005B2641">
              <w:rPr>
                <w:rFonts w:ascii="Calibri" w:hAnsi="Calibri"/>
                <w:color w:val="000000"/>
              </w:rPr>
              <w:t>7, 11, 14, 15 y 19</w:t>
            </w:r>
          </w:p>
          <w:p w14:paraId="070E5EAA" w14:textId="77777777" w:rsidR="005B2641" w:rsidRPr="005B2641" w:rsidRDefault="005B2641" w:rsidP="00952C91">
            <w:pPr>
              <w:spacing w:after="0" w:line="240" w:lineRule="auto"/>
              <w:jc w:val="both"/>
              <w:rPr>
                <w:rFonts w:ascii="Calibri" w:eastAsia="Times New Roman" w:hAnsi="Calibri" w:cs="Times New Roman"/>
                <w:color w:val="000000"/>
              </w:rPr>
            </w:pPr>
          </w:p>
        </w:tc>
        <w:tc>
          <w:tcPr>
            <w:tcW w:w="846" w:type="pct"/>
            <w:shd w:val="clear" w:color="auto" w:fill="auto"/>
          </w:tcPr>
          <w:p w14:paraId="4D525E3F" w14:textId="77777777" w:rsidR="005B2641" w:rsidRPr="005B2641" w:rsidRDefault="005B2641" w:rsidP="00952C91">
            <w:pPr>
              <w:spacing w:after="0" w:line="240" w:lineRule="auto"/>
              <w:rPr>
                <w:rFonts w:ascii="Calibri" w:eastAsia="MS Mincho" w:hAnsi="Calibri" w:cs="Calibri"/>
                <w:color w:val="000000"/>
              </w:rPr>
            </w:pPr>
            <w:r w:rsidRPr="005B2641">
              <w:rPr>
                <w:rFonts w:ascii="Calibri" w:hAnsi="Calibri"/>
                <w:color w:val="000000"/>
              </w:rPr>
              <w:t>95,8</w:t>
            </w:r>
          </w:p>
          <w:p w14:paraId="6BF68375" w14:textId="77777777" w:rsidR="005B2641" w:rsidRPr="005B2641" w:rsidRDefault="005B2641" w:rsidP="00952C91">
            <w:pPr>
              <w:spacing w:after="0" w:line="240" w:lineRule="auto"/>
              <w:rPr>
                <w:rFonts w:ascii="Calibri" w:eastAsia="MS Mincho" w:hAnsi="Calibri" w:cs="Calibri"/>
                <w:color w:val="000000"/>
              </w:rPr>
            </w:pPr>
          </w:p>
        </w:tc>
        <w:tc>
          <w:tcPr>
            <w:tcW w:w="689" w:type="pct"/>
            <w:shd w:val="clear" w:color="auto" w:fill="auto"/>
          </w:tcPr>
          <w:p w14:paraId="6B1E00E9" w14:textId="77777777" w:rsidR="005B2641" w:rsidRPr="005B2641" w:rsidRDefault="005B2641" w:rsidP="00952C91">
            <w:pPr>
              <w:spacing w:after="0" w:line="240" w:lineRule="auto"/>
              <w:rPr>
                <w:rFonts w:ascii="Calibri" w:eastAsia="MS Mincho" w:hAnsi="Calibri" w:cs="Calibri"/>
                <w:color w:val="000000"/>
              </w:rPr>
            </w:pPr>
            <w:r w:rsidRPr="005B2641">
              <w:rPr>
                <w:rFonts w:ascii="Calibri" w:hAnsi="Calibri"/>
                <w:color w:val="000000"/>
              </w:rPr>
              <w:t>809,1</w:t>
            </w:r>
          </w:p>
          <w:p w14:paraId="7915C993" w14:textId="77777777" w:rsidR="005B2641" w:rsidRPr="005B2641" w:rsidRDefault="005B2641" w:rsidP="00952C91">
            <w:pPr>
              <w:spacing w:after="0" w:line="240" w:lineRule="auto"/>
              <w:rPr>
                <w:rFonts w:ascii="Calibri" w:eastAsia="MS Mincho" w:hAnsi="Calibri" w:cs="Calibri"/>
                <w:color w:val="000000"/>
              </w:rPr>
            </w:pPr>
          </w:p>
        </w:tc>
        <w:tc>
          <w:tcPr>
            <w:tcW w:w="919" w:type="pct"/>
            <w:shd w:val="clear" w:color="auto" w:fill="auto"/>
          </w:tcPr>
          <w:p w14:paraId="53E31200" w14:textId="77777777" w:rsidR="005B2641" w:rsidRPr="005B2641" w:rsidRDefault="005B2641" w:rsidP="00952C91">
            <w:pPr>
              <w:spacing w:after="0" w:line="240" w:lineRule="auto"/>
              <w:jc w:val="center"/>
              <w:rPr>
                <w:rFonts w:ascii="Calibri" w:eastAsia="MS Mincho" w:hAnsi="Calibri" w:cs="Angsana New"/>
                <w:color w:val="000000"/>
              </w:rPr>
            </w:pPr>
            <w:r w:rsidRPr="005B2641">
              <w:rPr>
                <w:rFonts w:ascii="Calibri" w:hAnsi="Calibri"/>
                <w:color w:val="000000"/>
              </w:rPr>
              <w:t>904,9</w:t>
            </w:r>
          </w:p>
          <w:p w14:paraId="49365EBE" w14:textId="77777777" w:rsidR="005B2641" w:rsidRPr="005B2641" w:rsidRDefault="005B2641" w:rsidP="00952C91">
            <w:pPr>
              <w:spacing w:after="0" w:line="240" w:lineRule="auto"/>
              <w:jc w:val="center"/>
              <w:rPr>
                <w:rFonts w:ascii="Calibri" w:eastAsia="MS Mincho" w:hAnsi="Calibri" w:cs="Angsana New"/>
                <w:color w:val="000000"/>
              </w:rPr>
            </w:pPr>
          </w:p>
          <w:p w14:paraId="45DD8992" w14:textId="77777777" w:rsidR="005B2641" w:rsidRPr="005B2641" w:rsidRDefault="005B2641" w:rsidP="00952C91">
            <w:pPr>
              <w:spacing w:after="0" w:line="240" w:lineRule="auto"/>
              <w:jc w:val="center"/>
              <w:rPr>
                <w:rFonts w:ascii="Calibri" w:eastAsia="MS Mincho" w:hAnsi="Calibri" w:cs="Angsana New"/>
                <w:color w:val="000000"/>
              </w:rPr>
            </w:pPr>
          </w:p>
          <w:p w14:paraId="5EF38B1E" w14:textId="77777777" w:rsidR="005B2641" w:rsidRPr="005B2641" w:rsidRDefault="005B2641" w:rsidP="00952C91">
            <w:pPr>
              <w:spacing w:after="0" w:line="240" w:lineRule="auto"/>
              <w:jc w:val="center"/>
              <w:rPr>
                <w:rFonts w:ascii="Calibri" w:eastAsia="MS Mincho" w:hAnsi="Calibri" w:cs="Angsana New"/>
                <w:color w:val="000000"/>
              </w:rPr>
            </w:pPr>
          </w:p>
        </w:tc>
      </w:tr>
      <w:tr w:rsidR="005B2641" w:rsidRPr="005B2641" w14:paraId="0D711777" w14:textId="77777777" w:rsidTr="00952C91">
        <w:trPr>
          <w:trHeight w:val="292"/>
        </w:trPr>
        <w:tc>
          <w:tcPr>
            <w:tcW w:w="1653" w:type="pct"/>
            <w:shd w:val="clear" w:color="auto" w:fill="auto"/>
          </w:tcPr>
          <w:p w14:paraId="138E1D23" w14:textId="77777777" w:rsidR="005B2641" w:rsidRPr="005B2641" w:rsidRDefault="005B2641" w:rsidP="00952C91">
            <w:pPr>
              <w:spacing w:after="0" w:line="240" w:lineRule="auto"/>
              <w:rPr>
                <w:rFonts w:ascii="Calibri" w:eastAsia="Times New Roman" w:hAnsi="Calibri" w:cs="Times New Roman"/>
                <w:b/>
                <w:color w:val="000000"/>
              </w:rPr>
            </w:pPr>
          </w:p>
          <w:p w14:paraId="4E008169" w14:textId="77777777" w:rsidR="005B2641" w:rsidRPr="005B2641" w:rsidRDefault="005B2641" w:rsidP="00952C91">
            <w:pPr>
              <w:spacing w:after="0" w:line="240" w:lineRule="auto"/>
              <w:rPr>
                <w:rFonts w:ascii="Calibri" w:eastAsia="Times New Roman" w:hAnsi="Calibri" w:cs="Times New Roman"/>
                <w:b/>
                <w:color w:val="000000"/>
              </w:rPr>
            </w:pPr>
            <w:r w:rsidRPr="005B2641">
              <w:rPr>
                <w:rFonts w:ascii="Calibri" w:hAnsi="Calibri"/>
                <w:b/>
                <w:color w:val="000000"/>
              </w:rPr>
              <w:t>Totales</w:t>
            </w:r>
          </w:p>
        </w:tc>
        <w:tc>
          <w:tcPr>
            <w:tcW w:w="893" w:type="pct"/>
            <w:shd w:val="clear" w:color="auto" w:fill="auto"/>
          </w:tcPr>
          <w:p w14:paraId="04716DBE" w14:textId="77777777" w:rsidR="005B2641" w:rsidRPr="005B2641" w:rsidRDefault="005B2641" w:rsidP="00952C91">
            <w:pPr>
              <w:spacing w:after="0" w:line="240" w:lineRule="auto"/>
              <w:rPr>
                <w:rFonts w:ascii="Calibri" w:eastAsia="Times New Roman" w:hAnsi="Calibri" w:cs="Times New Roman"/>
                <w:b/>
                <w:color w:val="000000"/>
              </w:rPr>
            </w:pPr>
          </w:p>
        </w:tc>
        <w:tc>
          <w:tcPr>
            <w:tcW w:w="846" w:type="pct"/>
            <w:shd w:val="clear" w:color="auto" w:fill="auto"/>
          </w:tcPr>
          <w:p w14:paraId="0E8BC846" w14:textId="77777777" w:rsidR="005B2641" w:rsidRPr="005B2641" w:rsidRDefault="005B2641" w:rsidP="00952C91">
            <w:pPr>
              <w:spacing w:after="0" w:line="240" w:lineRule="auto"/>
              <w:rPr>
                <w:rFonts w:ascii="Calibri" w:eastAsia="MS Mincho" w:hAnsi="Calibri" w:cs="Calibri"/>
                <w:b/>
                <w:bCs/>
                <w:color w:val="000000"/>
              </w:rPr>
            </w:pPr>
          </w:p>
          <w:p w14:paraId="238EEC64" w14:textId="77777777" w:rsidR="005B2641" w:rsidRPr="005B2641" w:rsidRDefault="005B2641" w:rsidP="00952C91">
            <w:pPr>
              <w:spacing w:after="0" w:line="240" w:lineRule="auto"/>
              <w:rPr>
                <w:rFonts w:ascii="Calibri" w:eastAsia="MS Mincho" w:hAnsi="Calibri" w:cs="Calibri"/>
                <w:b/>
                <w:bCs/>
                <w:color w:val="000000"/>
              </w:rPr>
            </w:pPr>
            <w:r w:rsidRPr="005B2641">
              <w:rPr>
                <w:rFonts w:ascii="Calibri" w:hAnsi="Calibri"/>
                <w:b/>
                <w:bCs/>
                <w:color w:val="000000"/>
              </w:rPr>
              <w:t>241,3</w:t>
            </w:r>
          </w:p>
        </w:tc>
        <w:tc>
          <w:tcPr>
            <w:tcW w:w="689" w:type="pct"/>
            <w:shd w:val="clear" w:color="auto" w:fill="auto"/>
          </w:tcPr>
          <w:p w14:paraId="3D0F6C54" w14:textId="77777777" w:rsidR="005B2641" w:rsidRPr="005B2641" w:rsidRDefault="005B2641" w:rsidP="00952C91">
            <w:pPr>
              <w:spacing w:after="0" w:line="240" w:lineRule="auto"/>
              <w:rPr>
                <w:rFonts w:ascii="Calibri" w:eastAsia="MS Mincho" w:hAnsi="Calibri" w:cs="Calibri"/>
                <w:b/>
                <w:bCs/>
                <w:color w:val="000000"/>
              </w:rPr>
            </w:pPr>
          </w:p>
          <w:p w14:paraId="13BBAE9B" w14:textId="77777777" w:rsidR="005B2641" w:rsidRPr="005B2641" w:rsidRDefault="005B2641" w:rsidP="00952C91">
            <w:pPr>
              <w:spacing w:after="0" w:line="240" w:lineRule="auto"/>
              <w:rPr>
                <w:rFonts w:ascii="Calibri" w:eastAsia="MS Mincho" w:hAnsi="Calibri" w:cs="Calibri"/>
                <w:b/>
                <w:bCs/>
                <w:color w:val="000000"/>
              </w:rPr>
            </w:pPr>
            <w:r w:rsidRPr="005B2641">
              <w:rPr>
                <w:rFonts w:ascii="Calibri" w:hAnsi="Calibri"/>
                <w:b/>
                <w:bCs/>
                <w:color w:val="000000"/>
              </w:rPr>
              <w:t>1706</w:t>
            </w:r>
          </w:p>
        </w:tc>
        <w:tc>
          <w:tcPr>
            <w:tcW w:w="919" w:type="pct"/>
            <w:shd w:val="clear" w:color="auto" w:fill="auto"/>
          </w:tcPr>
          <w:p w14:paraId="22262CDA" w14:textId="77777777" w:rsidR="005B2641" w:rsidRPr="005B2641" w:rsidRDefault="005B2641" w:rsidP="00952C91">
            <w:pPr>
              <w:spacing w:after="0" w:line="240" w:lineRule="auto"/>
              <w:jc w:val="center"/>
              <w:rPr>
                <w:rFonts w:ascii="Calibri" w:eastAsia="MS Mincho" w:hAnsi="Calibri" w:cs="Angsana New"/>
                <w:b/>
                <w:color w:val="000000"/>
              </w:rPr>
            </w:pPr>
          </w:p>
          <w:p w14:paraId="2D93780B" w14:textId="77777777" w:rsidR="005B2641" w:rsidRPr="005B2641" w:rsidRDefault="005B2641" w:rsidP="00952C91">
            <w:pPr>
              <w:spacing w:after="0" w:line="240" w:lineRule="auto"/>
              <w:jc w:val="center"/>
              <w:rPr>
                <w:rFonts w:ascii="Calibri" w:eastAsia="MS Mincho" w:hAnsi="Calibri" w:cs="Angsana New"/>
                <w:b/>
                <w:color w:val="000000"/>
              </w:rPr>
            </w:pPr>
            <w:r w:rsidRPr="005B2641">
              <w:rPr>
                <w:rFonts w:ascii="Calibri" w:hAnsi="Calibri"/>
                <w:b/>
                <w:color w:val="000000"/>
              </w:rPr>
              <w:t>1947,3</w:t>
            </w:r>
          </w:p>
        </w:tc>
      </w:tr>
      <w:bookmarkEnd w:id="33"/>
    </w:tbl>
    <w:p w14:paraId="469DDF10" w14:textId="77777777" w:rsidR="005B2641" w:rsidRPr="005B2641" w:rsidRDefault="005B2641" w:rsidP="005B2641">
      <w:pPr>
        <w:spacing w:before="120" w:after="120" w:line="240" w:lineRule="auto"/>
        <w:rPr>
          <w:rFonts w:ascii="Calibri" w:eastAsia="MS Mincho" w:hAnsi="Calibri" w:cs="Times New Roman"/>
          <w:b/>
          <w:snapToGrid w:val="0"/>
          <w:sz w:val="24"/>
          <w:szCs w:val="24"/>
          <w:u w:val="single"/>
        </w:rPr>
      </w:pPr>
    </w:p>
    <w:p w14:paraId="31833072" w14:textId="77777777" w:rsidR="005B2641" w:rsidRPr="005B2641" w:rsidRDefault="005B2641" w:rsidP="005B2641">
      <w:pPr>
        <w:pStyle w:val="Ttulo3"/>
        <w:rPr>
          <w:snapToGrid w:val="0"/>
        </w:rPr>
      </w:pPr>
      <w:bookmarkStart w:id="34" w:name="_Toc35815694"/>
      <w:r w:rsidRPr="005B2641">
        <w:rPr>
          <w:snapToGrid w:val="0"/>
        </w:rPr>
        <w:t>Ciudades sostenibles</w:t>
      </w:r>
      <w:bookmarkEnd w:id="34"/>
    </w:p>
    <w:p w14:paraId="10E651C5"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MS Mincho" w:hAnsi="Calibri" w:cs="Times New Roman"/>
          <w:snapToGrid w:val="0"/>
          <w:sz w:val="24"/>
          <w:szCs w:val="24"/>
        </w:rPr>
      </w:pPr>
      <w:r w:rsidRPr="005B2641">
        <w:rPr>
          <w:rFonts w:ascii="Calibri" w:hAnsi="Calibri"/>
          <w:snapToGrid w:val="0"/>
          <w:sz w:val="24"/>
          <w:szCs w:val="24"/>
        </w:rPr>
        <w:t>El Programa de Impacto sobre Ciudades Sostenibles se basa en la experiencia del enfoque integrado experimental sobre ciudades sostenibles del FMAM-6. Su eje principal sigue siendo el mismo, a saber: respaldar la planificación urbana integrada y sostenible mejorando los entornos normativos y de financiamiento para promover innovaciones que consoliden la infraestructura y reformular la manera en que las ciudades operan en todos los niveles y para todas las partes interesadas. Con el programa se busca apoyar la planificación urbana sostenible a través de soluciones integradas espacialmente en materia de energía, edificios, transporte, sistemas alimentarios urbanos, gestión de desechos sólidos y aguas residuales en los municipios, y la utilización del espacio verde y la infraestructura.</w:t>
      </w:r>
    </w:p>
    <w:p w14:paraId="6EDBA990"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MS Mincho" w:hAnsi="Calibri" w:cs="Times New Roman"/>
          <w:snapToGrid w:val="0"/>
          <w:sz w:val="24"/>
          <w:szCs w:val="24"/>
        </w:rPr>
      </w:pPr>
      <w:r w:rsidRPr="005B2641">
        <w:rPr>
          <w:rFonts w:ascii="Calibri" w:hAnsi="Calibri"/>
          <w:snapToGrid w:val="0"/>
          <w:sz w:val="24"/>
          <w:szCs w:val="24"/>
        </w:rPr>
        <w:t>El programa permitirá obtener resultados a través de dos componentes interrelacionados: a) la promoción de modelos de negocios innovadores para generar soluciones integradas e inversiones en la ciudad, y b) el fortalecimiento del intercambio de conocimientos sobre planificación de la sostenibilidad urbana e inversiones. Asimismo, contribuirá a generar múltiples beneficios para el medio ambiente mundial mediante la descarbonización, la reducción de la degradación de la tierra y la eliminación de productos químicos peligrosos. En relación con el CDB, el énfasis del programa en la planificación espacial basada en datos empíricos generará la mayor cantidad de beneficios para la biodiversidad.</w:t>
      </w:r>
    </w:p>
    <w:p w14:paraId="7C04DF96"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MS Mincho" w:hAnsi="Calibri" w:cs="Times New Roman"/>
          <w:snapToGrid w:val="0"/>
          <w:sz w:val="24"/>
          <w:szCs w:val="24"/>
        </w:rPr>
      </w:pPr>
      <w:r w:rsidRPr="005B2641">
        <w:rPr>
          <w:rFonts w:ascii="Calibri" w:hAnsi="Calibri"/>
          <w:snapToGrid w:val="0"/>
          <w:sz w:val="24"/>
          <w:szCs w:val="24"/>
        </w:rPr>
        <w:lastRenderedPageBreak/>
        <w:t>En el cuadro 8 se muestran los recursos del FMAM destinados al Programa de Impacto sobre Ciudades Sostenibles del FMAM y su contribución al cumplimiento de las Metas de Aichi para la Diversidad Biológica, según las prioridades fijadas por los países. De los USD 146,7 millones que el FMAM destinó a dicho programa, USD 33,3 millones provinieron de las asignaciones para el área focal de biodiversidad en el marco del SATR.</w:t>
      </w:r>
    </w:p>
    <w:p w14:paraId="62027B72" w14:textId="77777777" w:rsidR="005B2641" w:rsidRPr="005B2641" w:rsidRDefault="005B2641" w:rsidP="005B2641">
      <w:pPr>
        <w:spacing w:before="240" w:after="240" w:line="240" w:lineRule="auto"/>
        <w:jc w:val="center"/>
        <w:rPr>
          <w:rFonts w:ascii="Calibri" w:eastAsia="MS Mincho" w:hAnsi="Calibri" w:cs="Times New Roman"/>
          <w:b/>
          <w:snapToGrid w:val="0"/>
          <w:sz w:val="24"/>
          <w:szCs w:val="24"/>
        </w:rPr>
      </w:pPr>
      <w:r w:rsidRPr="005B2641">
        <w:rPr>
          <w:rFonts w:ascii="Calibri" w:hAnsi="Calibri"/>
          <w:b/>
          <w:snapToGrid w:val="0"/>
          <w:sz w:val="24"/>
          <w:szCs w:val="24"/>
        </w:rPr>
        <w:t>Cuadro 8. Distribución acumulativa de los recursos del FMAM-7 correspondiente al Programa de Impacto sobre Ciudades Sostenibles, y su contribución al cumplimiento de las Metas de Aichi para la Diversidad Biológica (del 1 de julio de 2018 al 31 de diciembre de 2019)</w:t>
      </w:r>
      <w:r w:rsidRPr="005B2641">
        <w:rPr>
          <w:rFonts w:ascii="Calibri" w:eastAsia="MS Mincho" w:hAnsi="Calibri" w:cs="Times New Roman"/>
          <w:snapToGrid w:val="0"/>
          <w:sz w:val="24"/>
          <w:szCs w:val="24"/>
          <w:vertAlign w:val="superscript"/>
        </w:rPr>
        <w:footnoteReference w:id="13"/>
      </w:r>
    </w:p>
    <w:tbl>
      <w:tblPr>
        <w:tblW w:w="4997" w:type="pct"/>
        <w:tblBorders>
          <w:top w:val="single" w:sz="12" w:space="0" w:color="008000"/>
          <w:bottom w:val="single" w:sz="12" w:space="0" w:color="008000"/>
        </w:tblBorders>
        <w:tblLook w:val="04A0" w:firstRow="1" w:lastRow="0" w:firstColumn="1" w:lastColumn="0" w:noHBand="0" w:noVBand="1"/>
      </w:tblPr>
      <w:tblGrid>
        <w:gridCol w:w="2361"/>
        <w:gridCol w:w="1613"/>
        <w:gridCol w:w="1858"/>
        <w:gridCol w:w="1831"/>
        <w:gridCol w:w="1691"/>
      </w:tblGrid>
      <w:tr w:rsidR="005B2641" w:rsidRPr="005B2641" w14:paraId="367937AC" w14:textId="77777777" w:rsidTr="00952C91">
        <w:trPr>
          <w:trHeight w:val="570"/>
        </w:trPr>
        <w:tc>
          <w:tcPr>
            <w:tcW w:w="1277" w:type="pct"/>
            <w:tcBorders>
              <w:bottom w:val="single" w:sz="6" w:space="0" w:color="008000"/>
            </w:tcBorders>
            <w:shd w:val="clear" w:color="auto" w:fill="auto"/>
            <w:hideMark/>
          </w:tcPr>
          <w:p w14:paraId="1446AB4B" w14:textId="77777777" w:rsidR="005B2641" w:rsidRPr="005B2641" w:rsidRDefault="005B2641" w:rsidP="00952C91">
            <w:pPr>
              <w:spacing w:after="0" w:line="240" w:lineRule="auto"/>
              <w:rPr>
                <w:rFonts w:ascii="Calibri" w:eastAsia="Times New Roman" w:hAnsi="Calibri" w:cs="Times New Roman"/>
                <w:b/>
                <w:bCs/>
                <w:color w:val="000000"/>
              </w:rPr>
            </w:pPr>
          </w:p>
        </w:tc>
        <w:tc>
          <w:tcPr>
            <w:tcW w:w="877" w:type="pct"/>
            <w:tcBorders>
              <w:bottom w:val="single" w:sz="6" w:space="0" w:color="008000"/>
            </w:tcBorders>
            <w:shd w:val="clear" w:color="auto" w:fill="auto"/>
            <w:hideMark/>
          </w:tcPr>
          <w:p w14:paraId="76261EC8" w14:textId="77777777" w:rsidR="005B2641" w:rsidRPr="005B2641" w:rsidRDefault="005B2641" w:rsidP="00952C91">
            <w:pPr>
              <w:spacing w:after="0" w:line="240" w:lineRule="auto"/>
              <w:rPr>
                <w:rFonts w:ascii="Calibri" w:eastAsia="Times New Roman" w:hAnsi="Calibri" w:cs="Times New Roman"/>
                <w:b/>
                <w:bCs/>
                <w:color w:val="000000"/>
              </w:rPr>
            </w:pPr>
            <w:r w:rsidRPr="005B2641">
              <w:rPr>
                <w:rFonts w:ascii="Calibri" w:hAnsi="Calibri"/>
                <w:b/>
                <w:bCs/>
                <w:color w:val="000000"/>
              </w:rPr>
              <w:t>Metas de Aichi para la Diversidad Biológica</w:t>
            </w:r>
          </w:p>
        </w:tc>
        <w:tc>
          <w:tcPr>
            <w:tcW w:w="1008" w:type="pct"/>
            <w:tcBorders>
              <w:bottom w:val="single" w:sz="6" w:space="0" w:color="008000"/>
            </w:tcBorders>
            <w:shd w:val="clear" w:color="auto" w:fill="auto"/>
          </w:tcPr>
          <w:p w14:paraId="2F77C3E3" w14:textId="77777777" w:rsidR="005B2641" w:rsidRPr="005B2641" w:rsidRDefault="005B2641" w:rsidP="00952C91">
            <w:pPr>
              <w:spacing w:after="0" w:line="240" w:lineRule="auto"/>
              <w:rPr>
                <w:rFonts w:ascii="Calibri" w:eastAsia="Times New Roman" w:hAnsi="Calibri" w:cs="Times New Roman"/>
                <w:b/>
                <w:bCs/>
                <w:color w:val="000000"/>
              </w:rPr>
            </w:pPr>
            <w:r w:rsidRPr="005B2641">
              <w:rPr>
                <w:rFonts w:ascii="Calibri" w:hAnsi="Calibri"/>
                <w:b/>
                <w:bCs/>
                <w:color w:val="000000"/>
              </w:rPr>
              <w:t>Financiamiento del FMAM para proyectos (en millones de USD)</w:t>
            </w:r>
          </w:p>
        </w:tc>
        <w:tc>
          <w:tcPr>
            <w:tcW w:w="919" w:type="pct"/>
            <w:tcBorders>
              <w:bottom w:val="single" w:sz="6" w:space="0" w:color="008000"/>
            </w:tcBorders>
            <w:shd w:val="clear" w:color="auto" w:fill="auto"/>
            <w:hideMark/>
          </w:tcPr>
          <w:p w14:paraId="20A29E3A" w14:textId="77777777" w:rsidR="005B2641" w:rsidRPr="005B2641" w:rsidRDefault="005B2641" w:rsidP="00952C91">
            <w:pPr>
              <w:spacing w:after="0" w:line="240" w:lineRule="auto"/>
              <w:rPr>
                <w:rFonts w:ascii="Calibri" w:eastAsia="Times New Roman" w:hAnsi="Calibri" w:cs="Times New Roman"/>
                <w:b/>
                <w:bCs/>
                <w:color w:val="000000"/>
              </w:rPr>
            </w:pPr>
            <w:r w:rsidRPr="005B2641">
              <w:rPr>
                <w:rFonts w:ascii="Calibri" w:hAnsi="Calibri"/>
                <w:b/>
                <w:bCs/>
                <w:color w:val="000000"/>
              </w:rPr>
              <w:t xml:space="preserve">Cofinanciamiento </w:t>
            </w:r>
          </w:p>
          <w:p w14:paraId="199CEAD8" w14:textId="77777777" w:rsidR="005B2641" w:rsidRPr="005B2641" w:rsidRDefault="005B2641" w:rsidP="00952C91">
            <w:pPr>
              <w:spacing w:after="0" w:line="240" w:lineRule="auto"/>
              <w:rPr>
                <w:rFonts w:ascii="Calibri" w:eastAsia="Times New Roman" w:hAnsi="Calibri" w:cs="Times New Roman"/>
                <w:b/>
                <w:bCs/>
                <w:color w:val="000000"/>
              </w:rPr>
            </w:pPr>
            <w:r w:rsidRPr="005B2641">
              <w:rPr>
                <w:rFonts w:ascii="Calibri" w:hAnsi="Calibri"/>
                <w:b/>
                <w:bCs/>
                <w:color w:val="000000"/>
              </w:rPr>
              <w:t xml:space="preserve">(en millones de USD) </w:t>
            </w:r>
          </w:p>
        </w:tc>
        <w:tc>
          <w:tcPr>
            <w:tcW w:w="919" w:type="pct"/>
            <w:tcBorders>
              <w:bottom w:val="single" w:sz="6" w:space="0" w:color="008000"/>
            </w:tcBorders>
            <w:shd w:val="clear" w:color="auto" w:fill="auto"/>
          </w:tcPr>
          <w:p w14:paraId="33EA16CB" w14:textId="77777777" w:rsidR="005B2641" w:rsidRPr="005B2641" w:rsidRDefault="005B2641" w:rsidP="00952C91">
            <w:pPr>
              <w:spacing w:after="0" w:line="240" w:lineRule="auto"/>
              <w:rPr>
                <w:rFonts w:ascii="Calibri" w:eastAsia="Times New Roman" w:hAnsi="Calibri" w:cs="Times New Roman"/>
                <w:b/>
                <w:bCs/>
                <w:color w:val="000000"/>
              </w:rPr>
            </w:pPr>
            <w:r w:rsidRPr="005B2641">
              <w:rPr>
                <w:rFonts w:ascii="Calibri" w:hAnsi="Calibri"/>
                <w:b/>
                <w:bCs/>
                <w:color w:val="000000"/>
              </w:rPr>
              <w:t>Total de recursos (en millones de USD)</w:t>
            </w:r>
          </w:p>
        </w:tc>
      </w:tr>
      <w:tr w:rsidR="005B2641" w:rsidRPr="005B2641" w14:paraId="2C14361F" w14:textId="77777777" w:rsidTr="00952C91">
        <w:trPr>
          <w:trHeight w:val="786"/>
        </w:trPr>
        <w:tc>
          <w:tcPr>
            <w:tcW w:w="1277" w:type="pct"/>
            <w:shd w:val="clear" w:color="auto" w:fill="auto"/>
          </w:tcPr>
          <w:p w14:paraId="635997BA" w14:textId="77777777" w:rsidR="005B2641" w:rsidRPr="005B2641" w:rsidRDefault="005B2641" w:rsidP="00952C91">
            <w:pPr>
              <w:spacing w:after="0" w:line="240" w:lineRule="auto"/>
              <w:rPr>
                <w:rFonts w:ascii="Calibri" w:eastAsia="Times New Roman" w:hAnsi="Calibri" w:cs="Times New Roman"/>
                <w:color w:val="000000"/>
              </w:rPr>
            </w:pPr>
            <w:r w:rsidRPr="005B2641">
              <w:rPr>
                <w:rFonts w:ascii="Calibri" w:hAnsi="Calibri"/>
                <w:bCs/>
                <w:color w:val="000000"/>
              </w:rPr>
              <w:t>Programa de Impacto sobre Ciudades Sostenibles</w:t>
            </w:r>
          </w:p>
          <w:p w14:paraId="7F1E9707" w14:textId="77777777" w:rsidR="005B2641" w:rsidRPr="005B2641" w:rsidRDefault="005B2641" w:rsidP="00952C91">
            <w:pPr>
              <w:spacing w:after="0" w:line="240" w:lineRule="auto"/>
              <w:rPr>
                <w:rFonts w:ascii="Calibri" w:eastAsia="Times New Roman" w:hAnsi="Calibri" w:cs="Times New Roman"/>
                <w:color w:val="000000"/>
              </w:rPr>
            </w:pPr>
          </w:p>
        </w:tc>
        <w:tc>
          <w:tcPr>
            <w:tcW w:w="877" w:type="pct"/>
            <w:shd w:val="clear" w:color="auto" w:fill="auto"/>
            <w:hideMark/>
          </w:tcPr>
          <w:p w14:paraId="5394ED4A" w14:textId="77777777" w:rsidR="005B2641" w:rsidRPr="005B2641" w:rsidRDefault="005B2641" w:rsidP="00952C91">
            <w:pPr>
              <w:spacing w:after="0" w:line="240" w:lineRule="auto"/>
              <w:rPr>
                <w:rFonts w:ascii="Calibri" w:eastAsia="Times New Roman" w:hAnsi="Calibri" w:cs="Times New Roman"/>
                <w:color w:val="000000"/>
              </w:rPr>
            </w:pPr>
          </w:p>
          <w:p w14:paraId="13601291" w14:textId="77777777" w:rsidR="005B2641" w:rsidRPr="005B2641" w:rsidRDefault="005B2641" w:rsidP="00952C91">
            <w:pPr>
              <w:spacing w:after="0" w:line="240" w:lineRule="auto"/>
              <w:rPr>
                <w:rFonts w:ascii="Calibri" w:eastAsia="Times New Roman" w:hAnsi="Calibri" w:cs="Times New Roman"/>
                <w:color w:val="000000"/>
              </w:rPr>
            </w:pPr>
            <w:r w:rsidRPr="005B2641">
              <w:rPr>
                <w:rFonts w:ascii="Calibri" w:hAnsi="Calibri"/>
                <w:color w:val="000000"/>
              </w:rPr>
              <w:t>2, 14, 15</w:t>
            </w:r>
          </w:p>
        </w:tc>
        <w:tc>
          <w:tcPr>
            <w:tcW w:w="1008" w:type="pct"/>
            <w:tcBorders>
              <w:top w:val="nil"/>
              <w:left w:val="nil"/>
              <w:bottom w:val="single" w:sz="12" w:space="0" w:color="008000"/>
              <w:right w:val="nil"/>
            </w:tcBorders>
          </w:tcPr>
          <w:p w14:paraId="67B5009E" w14:textId="77777777" w:rsidR="005B2641" w:rsidRPr="005B2641" w:rsidRDefault="005B2641" w:rsidP="00952C91">
            <w:pPr>
              <w:spacing w:after="0" w:line="240" w:lineRule="auto"/>
              <w:jc w:val="center"/>
              <w:rPr>
                <w:rFonts w:ascii="Calibri" w:eastAsia="MS Mincho" w:hAnsi="Calibri" w:cs="Calibri"/>
                <w:color w:val="000000"/>
              </w:rPr>
            </w:pPr>
          </w:p>
          <w:p w14:paraId="25E5933A" w14:textId="77777777" w:rsidR="005B2641" w:rsidRPr="005B2641" w:rsidRDefault="005B2641" w:rsidP="00952C91">
            <w:pPr>
              <w:spacing w:after="0" w:line="240" w:lineRule="auto"/>
              <w:rPr>
                <w:rFonts w:ascii="Calibri" w:eastAsia="MS Mincho" w:hAnsi="Calibri" w:cs="Calibri"/>
                <w:color w:val="000000"/>
              </w:rPr>
            </w:pPr>
            <w:r w:rsidRPr="005B2641">
              <w:rPr>
                <w:rFonts w:ascii="Calibri" w:hAnsi="Calibri"/>
                <w:color w:val="000000"/>
              </w:rPr>
              <w:t>146,7</w:t>
            </w:r>
          </w:p>
        </w:tc>
        <w:tc>
          <w:tcPr>
            <w:tcW w:w="919" w:type="pct"/>
            <w:tcBorders>
              <w:top w:val="nil"/>
              <w:left w:val="nil"/>
              <w:bottom w:val="single" w:sz="12" w:space="0" w:color="008000"/>
              <w:right w:val="nil"/>
            </w:tcBorders>
          </w:tcPr>
          <w:p w14:paraId="734DEC23" w14:textId="77777777" w:rsidR="005B2641" w:rsidRPr="005B2641" w:rsidRDefault="005B2641" w:rsidP="00952C91">
            <w:pPr>
              <w:spacing w:after="0" w:line="240" w:lineRule="auto"/>
              <w:jc w:val="center"/>
              <w:rPr>
                <w:rFonts w:ascii="Calibri" w:eastAsia="MS Mincho" w:hAnsi="Calibri" w:cs="Calibri"/>
                <w:color w:val="000000"/>
              </w:rPr>
            </w:pPr>
          </w:p>
          <w:p w14:paraId="0F68F347" w14:textId="77777777" w:rsidR="005B2641" w:rsidRPr="005B2641" w:rsidRDefault="005B2641" w:rsidP="00952C91">
            <w:pPr>
              <w:spacing w:after="0" w:line="240" w:lineRule="auto"/>
              <w:rPr>
                <w:rFonts w:ascii="Calibri" w:eastAsia="MS Mincho" w:hAnsi="Calibri" w:cs="Calibri"/>
                <w:color w:val="000000"/>
              </w:rPr>
            </w:pPr>
            <w:r w:rsidRPr="005B2641">
              <w:rPr>
                <w:rFonts w:ascii="Calibri" w:hAnsi="Calibri"/>
                <w:color w:val="000000"/>
              </w:rPr>
              <w:t>1689,8</w:t>
            </w:r>
          </w:p>
          <w:p w14:paraId="4849A84F" w14:textId="77777777" w:rsidR="005B2641" w:rsidRPr="005B2641" w:rsidRDefault="005B2641" w:rsidP="00952C91">
            <w:pPr>
              <w:spacing w:after="0" w:line="240" w:lineRule="auto"/>
              <w:jc w:val="center"/>
              <w:rPr>
                <w:rFonts w:ascii="Calibri" w:eastAsia="MS Mincho" w:hAnsi="Calibri" w:cs="Calibri"/>
                <w:color w:val="000000"/>
              </w:rPr>
            </w:pPr>
          </w:p>
        </w:tc>
        <w:tc>
          <w:tcPr>
            <w:tcW w:w="919" w:type="pct"/>
            <w:tcBorders>
              <w:top w:val="nil"/>
              <w:left w:val="nil"/>
              <w:bottom w:val="single" w:sz="12" w:space="0" w:color="008000"/>
              <w:right w:val="nil"/>
            </w:tcBorders>
          </w:tcPr>
          <w:p w14:paraId="4CCABD68" w14:textId="77777777" w:rsidR="005B2641" w:rsidRPr="005B2641" w:rsidRDefault="005B2641" w:rsidP="00952C91">
            <w:pPr>
              <w:spacing w:after="0" w:line="240" w:lineRule="auto"/>
              <w:rPr>
                <w:rFonts w:ascii="Calibri" w:eastAsia="MS Mincho" w:hAnsi="Calibri" w:cs="Calibri"/>
                <w:color w:val="000000"/>
              </w:rPr>
            </w:pPr>
          </w:p>
          <w:p w14:paraId="18D12F67" w14:textId="77777777" w:rsidR="005B2641" w:rsidRPr="005B2641" w:rsidRDefault="005B2641" w:rsidP="00952C91">
            <w:pPr>
              <w:spacing w:after="0" w:line="240" w:lineRule="auto"/>
              <w:rPr>
                <w:rFonts w:ascii="Calibri" w:eastAsia="MS Mincho" w:hAnsi="Calibri" w:cs="Calibri"/>
                <w:color w:val="000000"/>
              </w:rPr>
            </w:pPr>
            <w:r w:rsidRPr="005B2641">
              <w:rPr>
                <w:rFonts w:ascii="Calibri" w:hAnsi="Calibri"/>
                <w:color w:val="000000"/>
              </w:rPr>
              <w:t>1836,5</w:t>
            </w:r>
          </w:p>
        </w:tc>
      </w:tr>
    </w:tbl>
    <w:p w14:paraId="1E6D037A" w14:textId="77777777" w:rsidR="005B2641" w:rsidRPr="005B2641" w:rsidRDefault="005B2641" w:rsidP="005B2641">
      <w:pPr>
        <w:pStyle w:val="Ttulo2"/>
        <w:spacing w:before="0" w:after="0"/>
      </w:pPr>
    </w:p>
    <w:p w14:paraId="572B2C58" w14:textId="77777777" w:rsidR="005B2641" w:rsidRPr="005B2641" w:rsidRDefault="005B2641" w:rsidP="005B2641">
      <w:pPr>
        <w:pStyle w:val="Ttulo2"/>
      </w:pPr>
      <w:bookmarkStart w:id="35" w:name="_Toc35815695"/>
      <w:r w:rsidRPr="005B2641">
        <w:t>Otras contribuciones del FMAM al cumplimiento de las Metas de Aichi para la Diversidad Biológica</w:t>
      </w:r>
      <w:bookmarkEnd w:id="35"/>
    </w:p>
    <w:p w14:paraId="2E5121AF" w14:textId="77777777" w:rsidR="005B2641" w:rsidRPr="005B2641" w:rsidRDefault="005B2641" w:rsidP="005B2641">
      <w:pPr>
        <w:pStyle w:val="Ttulo3"/>
        <w:rPr>
          <w:snapToGrid w:val="0"/>
        </w:rPr>
      </w:pPr>
      <w:bookmarkStart w:id="36" w:name="_Toc35815696"/>
      <w:r w:rsidRPr="005B2641">
        <w:rPr>
          <w:snapToGrid w:val="0"/>
        </w:rPr>
        <w:t>Adaptación al cambio climático</w:t>
      </w:r>
      <w:bookmarkEnd w:id="36"/>
    </w:p>
    <w:p w14:paraId="7985F7C2"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MS Mincho" w:hAnsi="Calibri" w:cs="Times New Roman"/>
          <w:snapToGrid w:val="0"/>
          <w:sz w:val="24"/>
          <w:szCs w:val="24"/>
        </w:rPr>
      </w:pPr>
      <w:r w:rsidRPr="005B2641">
        <w:rPr>
          <w:rFonts w:ascii="Calibri" w:hAnsi="Calibri"/>
          <w:snapToGrid w:val="0"/>
          <w:sz w:val="24"/>
          <w:szCs w:val="24"/>
        </w:rPr>
        <w:t>El FMAM administra dos fondos fiduciarios que tienen como objetivo principal financiar proyectos de adaptación al cambio climático: el Fondo Especial para el Cambio Climático (FECC) y el FPMA. Estos fondos se establecieron para abordar las necesidades especiales de los países en desarrollo en el marco de la Convención Marco de las Naciones Unidas sobre el Cambio Climático (CMNUCC). Algunos de los proyectos aprobados durante el período analizado contribuyen al Plan Estratégico para la Diversidad Biológica y a las Metas de Aichi para la Diversidad Biológica.</w:t>
      </w:r>
    </w:p>
    <w:p w14:paraId="237ECEBB"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MS Mincho" w:hAnsi="Calibri" w:cs="Times New Roman"/>
          <w:snapToGrid w:val="0"/>
          <w:sz w:val="24"/>
          <w:szCs w:val="24"/>
        </w:rPr>
      </w:pPr>
      <w:r w:rsidRPr="005B2641">
        <w:rPr>
          <w:rFonts w:ascii="Calibri" w:hAnsi="Calibri"/>
          <w:snapToGrid w:val="0"/>
          <w:sz w:val="24"/>
          <w:szCs w:val="24"/>
        </w:rPr>
        <w:t>En el cuadro 9 se muestran los recursos del FPMA y su contribución al cumplimiento de las Metas 7 y 14 de Aichi para la Diversidad Biológica, según las prioridades fijadas por los países.</w:t>
      </w:r>
    </w:p>
    <w:p w14:paraId="52CD9C25" w14:textId="77777777" w:rsidR="005B2641" w:rsidRPr="005B2641" w:rsidRDefault="005B2641" w:rsidP="005B2641">
      <w:pPr>
        <w:keepNext/>
        <w:spacing w:before="240" w:after="240" w:line="240" w:lineRule="auto"/>
        <w:jc w:val="center"/>
        <w:rPr>
          <w:rFonts w:ascii="Calibri" w:eastAsia="MS Mincho" w:hAnsi="Calibri" w:cs="Times New Roman"/>
          <w:b/>
          <w:snapToGrid w:val="0"/>
          <w:sz w:val="24"/>
          <w:szCs w:val="24"/>
        </w:rPr>
      </w:pPr>
      <w:r w:rsidRPr="005B2641">
        <w:rPr>
          <w:rFonts w:ascii="Calibri" w:hAnsi="Calibri"/>
          <w:b/>
          <w:snapToGrid w:val="0"/>
          <w:sz w:val="24"/>
          <w:szCs w:val="24"/>
        </w:rPr>
        <w:lastRenderedPageBreak/>
        <w:t>Cuadro 9. Distribución acumulativa de los recursos del FMAM correspondiente al FPMA durante el FMAM-7, y su contribución al cumplimiento de las Metas de Aichi para la Diversidad Biológica (del 1 de julio de 2018 al 31 de diciembre de 2019)</w:t>
      </w:r>
      <w:r w:rsidRPr="005B2641">
        <w:rPr>
          <w:rFonts w:ascii="Calibri" w:eastAsia="MS Mincho" w:hAnsi="Calibri" w:cs="Times New Roman"/>
          <w:snapToGrid w:val="0"/>
          <w:sz w:val="24"/>
          <w:szCs w:val="24"/>
          <w:vertAlign w:val="superscript"/>
        </w:rPr>
        <w:footnoteReference w:id="14"/>
      </w:r>
    </w:p>
    <w:tbl>
      <w:tblPr>
        <w:tblW w:w="4941" w:type="pct"/>
        <w:tblBorders>
          <w:top w:val="single" w:sz="12" w:space="0" w:color="008000"/>
          <w:bottom w:val="single" w:sz="12" w:space="0" w:color="008000"/>
        </w:tblBorders>
        <w:tblLook w:val="04A0" w:firstRow="1" w:lastRow="0" w:firstColumn="1" w:lastColumn="0" w:noHBand="0" w:noVBand="1"/>
      </w:tblPr>
      <w:tblGrid>
        <w:gridCol w:w="2312"/>
        <w:gridCol w:w="2312"/>
        <w:gridCol w:w="2313"/>
        <w:gridCol w:w="2313"/>
      </w:tblGrid>
      <w:tr w:rsidR="005B2641" w:rsidRPr="005B2641" w14:paraId="2FBFF3C2" w14:textId="77777777" w:rsidTr="00952C91">
        <w:trPr>
          <w:trHeight w:val="871"/>
        </w:trPr>
        <w:tc>
          <w:tcPr>
            <w:tcW w:w="1250" w:type="pct"/>
            <w:shd w:val="clear" w:color="auto" w:fill="auto"/>
            <w:hideMark/>
          </w:tcPr>
          <w:p w14:paraId="34EC2AD5" w14:textId="77777777" w:rsidR="005B2641" w:rsidRPr="005B2641" w:rsidRDefault="005B2641" w:rsidP="005B2641">
            <w:pPr>
              <w:keepNext/>
              <w:spacing w:after="0" w:line="240" w:lineRule="auto"/>
              <w:rPr>
                <w:rFonts w:ascii="Calibri" w:eastAsia="Times New Roman" w:hAnsi="Calibri" w:cs="Times New Roman"/>
                <w:b/>
                <w:bCs/>
                <w:color w:val="000000"/>
              </w:rPr>
            </w:pPr>
            <w:r w:rsidRPr="005B2641">
              <w:rPr>
                <w:rFonts w:ascii="Calibri" w:hAnsi="Calibri"/>
                <w:b/>
                <w:bCs/>
                <w:color w:val="000000"/>
              </w:rPr>
              <w:t>Metas de Aichi para la Diversidad Biológica</w:t>
            </w:r>
          </w:p>
        </w:tc>
        <w:tc>
          <w:tcPr>
            <w:tcW w:w="1250" w:type="pct"/>
            <w:shd w:val="clear" w:color="auto" w:fill="auto"/>
          </w:tcPr>
          <w:p w14:paraId="6333FCBA" w14:textId="77777777" w:rsidR="005B2641" w:rsidRPr="005B2641" w:rsidRDefault="005B2641" w:rsidP="005B2641">
            <w:pPr>
              <w:keepNext/>
              <w:spacing w:after="0" w:line="240" w:lineRule="auto"/>
              <w:rPr>
                <w:rFonts w:ascii="Calibri" w:eastAsia="Times New Roman" w:hAnsi="Calibri" w:cs="Times New Roman"/>
                <w:b/>
                <w:bCs/>
                <w:color w:val="000000"/>
              </w:rPr>
            </w:pPr>
            <w:r w:rsidRPr="005B2641">
              <w:rPr>
                <w:rFonts w:ascii="Calibri" w:hAnsi="Calibri"/>
                <w:b/>
                <w:bCs/>
                <w:color w:val="000000"/>
              </w:rPr>
              <w:t>Financ. del FMAM para proyectos del FPMA (en millones de USD)</w:t>
            </w:r>
          </w:p>
        </w:tc>
        <w:tc>
          <w:tcPr>
            <w:tcW w:w="1250" w:type="pct"/>
            <w:shd w:val="clear" w:color="auto" w:fill="auto"/>
            <w:hideMark/>
          </w:tcPr>
          <w:p w14:paraId="5C73531F" w14:textId="77777777" w:rsidR="005B2641" w:rsidRPr="005B2641" w:rsidRDefault="005B2641" w:rsidP="005B2641">
            <w:pPr>
              <w:keepNext/>
              <w:spacing w:after="0" w:line="240" w:lineRule="auto"/>
              <w:rPr>
                <w:rFonts w:ascii="Calibri" w:eastAsia="Times New Roman" w:hAnsi="Calibri" w:cs="Times New Roman"/>
                <w:b/>
                <w:bCs/>
                <w:color w:val="000000"/>
              </w:rPr>
            </w:pPr>
            <w:r w:rsidRPr="005B2641">
              <w:rPr>
                <w:rFonts w:ascii="Calibri" w:hAnsi="Calibri"/>
                <w:b/>
                <w:bCs/>
                <w:color w:val="000000"/>
              </w:rPr>
              <w:t>Cofinanc. (en millones de USD)</w:t>
            </w:r>
          </w:p>
        </w:tc>
        <w:tc>
          <w:tcPr>
            <w:tcW w:w="1250" w:type="pct"/>
            <w:shd w:val="clear" w:color="auto" w:fill="auto"/>
          </w:tcPr>
          <w:p w14:paraId="4F48A726" w14:textId="77777777" w:rsidR="005B2641" w:rsidRPr="005B2641" w:rsidRDefault="005B2641" w:rsidP="005B2641">
            <w:pPr>
              <w:keepNext/>
              <w:spacing w:after="0" w:line="240" w:lineRule="auto"/>
              <w:rPr>
                <w:rFonts w:ascii="Calibri" w:eastAsia="Times New Roman" w:hAnsi="Calibri" w:cs="Times New Roman"/>
                <w:b/>
                <w:bCs/>
                <w:color w:val="000000"/>
              </w:rPr>
            </w:pPr>
            <w:r w:rsidRPr="005B2641">
              <w:rPr>
                <w:rFonts w:ascii="Calibri" w:hAnsi="Calibri"/>
                <w:b/>
                <w:bCs/>
                <w:color w:val="000000"/>
              </w:rPr>
              <w:t>Total de recursos</w:t>
            </w:r>
          </w:p>
          <w:p w14:paraId="3141434F" w14:textId="77777777" w:rsidR="005B2641" w:rsidRPr="005B2641" w:rsidRDefault="005B2641" w:rsidP="005B2641">
            <w:pPr>
              <w:keepNext/>
              <w:spacing w:after="0" w:line="240" w:lineRule="auto"/>
              <w:rPr>
                <w:rFonts w:ascii="Calibri" w:eastAsia="Times New Roman" w:hAnsi="Calibri" w:cs="Times New Roman"/>
                <w:b/>
                <w:bCs/>
                <w:color w:val="000000"/>
              </w:rPr>
            </w:pPr>
            <w:r w:rsidRPr="005B2641">
              <w:rPr>
                <w:rFonts w:ascii="Calibri" w:hAnsi="Calibri"/>
                <w:b/>
                <w:bCs/>
                <w:color w:val="000000"/>
              </w:rPr>
              <w:t>(en millones de USD)</w:t>
            </w:r>
          </w:p>
        </w:tc>
      </w:tr>
      <w:tr w:rsidR="005B2641" w:rsidRPr="005B2641" w14:paraId="3833D5B5" w14:textId="77777777" w:rsidTr="00952C91">
        <w:trPr>
          <w:trHeight w:val="871"/>
        </w:trPr>
        <w:tc>
          <w:tcPr>
            <w:tcW w:w="1250" w:type="pct"/>
            <w:shd w:val="clear" w:color="auto" w:fill="auto"/>
          </w:tcPr>
          <w:p w14:paraId="71F72CF2" w14:textId="77777777" w:rsidR="005B2641" w:rsidRPr="005B2641" w:rsidRDefault="005B2641" w:rsidP="00952C91">
            <w:pPr>
              <w:spacing w:after="0" w:line="240" w:lineRule="auto"/>
              <w:rPr>
                <w:rFonts w:ascii="Calibri" w:eastAsia="Times New Roman" w:hAnsi="Calibri" w:cs="Times New Roman"/>
                <w:color w:val="000000"/>
              </w:rPr>
            </w:pPr>
          </w:p>
          <w:p w14:paraId="32842717" w14:textId="77777777" w:rsidR="005B2641" w:rsidRPr="005B2641" w:rsidRDefault="005B2641" w:rsidP="00952C91">
            <w:pPr>
              <w:spacing w:after="0" w:line="240" w:lineRule="auto"/>
              <w:rPr>
                <w:rFonts w:ascii="Calibri" w:eastAsia="Times New Roman" w:hAnsi="Calibri" w:cs="Times New Roman"/>
                <w:color w:val="000000"/>
              </w:rPr>
            </w:pPr>
            <w:r w:rsidRPr="005B2641">
              <w:rPr>
                <w:rFonts w:ascii="Calibri" w:hAnsi="Calibri"/>
                <w:color w:val="000000"/>
              </w:rPr>
              <w:t>Meta 7</w:t>
            </w:r>
          </w:p>
        </w:tc>
        <w:tc>
          <w:tcPr>
            <w:tcW w:w="1250" w:type="pct"/>
            <w:shd w:val="clear" w:color="auto" w:fill="auto"/>
          </w:tcPr>
          <w:p w14:paraId="12DC7BD8" w14:textId="77777777" w:rsidR="005B2641" w:rsidRPr="005B2641" w:rsidRDefault="005B2641" w:rsidP="00952C91">
            <w:pPr>
              <w:spacing w:after="0" w:line="240" w:lineRule="auto"/>
              <w:rPr>
                <w:rFonts w:ascii="Calibri" w:eastAsia="MS Mincho" w:hAnsi="Calibri" w:cs="Times New Roman"/>
                <w:color w:val="000000"/>
              </w:rPr>
            </w:pPr>
          </w:p>
          <w:p w14:paraId="2F87C2D2" w14:textId="77777777" w:rsidR="005B2641" w:rsidRPr="005B2641" w:rsidRDefault="005B2641" w:rsidP="00952C91">
            <w:pPr>
              <w:spacing w:after="0" w:line="240" w:lineRule="auto"/>
              <w:rPr>
                <w:rFonts w:ascii="Calibri" w:eastAsia="MS Mincho" w:hAnsi="Calibri" w:cs="Times New Roman"/>
                <w:color w:val="000000"/>
              </w:rPr>
            </w:pPr>
            <w:r w:rsidRPr="005B2641">
              <w:rPr>
                <w:rFonts w:ascii="Calibri" w:hAnsi="Calibri"/>
                <w:color w:val="000000"/>
              </w:rPr>
              <w:t>16,3</w:t>
            </w:r>
          </w:p>
        </w:tc>
        <w:tc>
          <w:tcPr>
            <w:tcW w:w="1250" w:type="pct"/>
            <w:shd w:val="clear" w:color="auto" w:fill="auto"/>
          </w:tcPr>
          <w:p w14:paraId="0649B25B" w14:textId="77777777" w:rsidR="005B2641" w:rsidRPr="005B2641" w:rsidRDefault="005B2641" w:rsidP="00952C91">
            <w:pPr>
              <w:spacing w:after="0" w:line="240" w:lineRule="auto"/>
              <w:rPr>
                <w:rFonts w:ascii="Calibri" w:eastAsia="MS Mincho" w:hAnsi="Calibri" w:cs="Angsana New"/>
                <w:color w:val="000000"/>
              </w:rPr>
            </w:pPr>
          </w:p>
          <w:p w14:paraId="544C0C26" w14:textId="77777777" w:rsidR="005B2641" w:rsidRPr="005B2641" w:rsidRDefault="005B2641" w:rsidP="00952C91">
            <w:pPr>
              <w:spacing w:after="0" w:line="240" w:lineRule="auto"/>
              <w:rPr>
                <w:rFonts w:ascii="Calibri" w:eastAsia="MS Mincho" w:hAnsi="Calibri" w:cs="Angsana New"/>
                <w:color w:val="000000"/>
              </w:rPr>
            </w:pPr>
            <w:r w:rsidRPr="005B2641">
              <w:rPr>
                <w:rFonts w:ascii="Calibri" w:hAnsi="Calibri"/>
                <w:color w:val="000000"/>
              </w:rPr>
              <w:t>58,3</w:t>
            </w:r>
          </w:p>
        </w:tc>
        <w:tc>
          <w:tcPr>
            <w:tcW w:w="1250" w:type="pct"/>
            <w:shd w:val="clear" w:color="auto" w:fill="auto"/>
          </w:tcPr>
          <w:p w14:paraId="047AE566" w14:textId="77777777" w:rsidR="005B2641" w:rsidRPr="005B2641" w:rsidRDefault="005B2641" w:rsidP="00952C91">
            <w:pPr>
              <w:spacing w:after="0" w:line="240" w:lineRule="auto"/>
              <w:rPr>
                <w:rFonts w:ascii="Calibri" w:eastAsia="Times New Roman" w:hAnsi="Calibri" w:cs="Times New Roman"/>
                <w:color w:val="000000"/>
              </w:rPr>
            </w:pPr>
          </w:p>
          <w:p w14:paraId="79BF3A7D" w14:textId="77777777" w:rsidR="005B2641" w:rsidRPr="005B2641" w:rsidRDefault="005B2641" w:rsidP="00952C91">
            <w:pPr>
              <w:spacing w:after="0" w:line="240" w:lineRule="auto"/>
              <w:rPr>
                <w:rFonts w:ascii="Calibri" w:eastAsia="Times New Roman" w:hAnsi="Calibri" w:cs="Times New Roman"/>
                <w:color w:val="000000"/>
              </w:rPr>
            </w:pPr>
            <w:r w:rsidRPr="005B2641">
              <w:rPr>
                <w:rFonts w:ascii="Calibri" w:hAnsi="Calibri"/>
                <w:color w:val="000000"/>
              </w:rPr>
              <w:t>74,6</w:t>
            </w:r>
          </w:p>
        </w:tc>
      </w:tr>
      <w:tr w:rsidR="005B2641" w:rsidRPr="005B2641" w14:paraId="1B151B7B" w14:textId="77777777" w:rsidTr="00952C91">
        <w:trPr>
          <w:trHeight w:val="871"/>
        </w:trPr>
        <w:tc>
          <w:tcPr>
            <w:tcW w:w="1250" w:type="pct"/>
            <w:shd w:val="clear" w:color="auto" w:fill="auto"/>
          </w:tcPr>
          <w:p w14:paraId="379A43D1" w14:textId="77777777" w:rsidR="005B2641" w:rsidRPr="005B2641" w:rsidRDefault="005B2641" w:rsidP="00952C91">
            <w:pPr>
              <w:spacing w:after="0" w:line="240" w:lineRule="auto"/>
              <w:rPr>
                <w:rFonts w:ascii="Calibri" w:eastAsia="Times New Roman" w:hAnsi="Calibri" w:cs="Times New Roman"/>
                <w:color w:val="000000"/>
              </w:rPr>
            </w:pPr>
          </w:p>
          <w:p w14:paraId="34287235" w14:textId="77777777" w:rsidR="005B2641" w:rsidRPr="005B2641" w:rsidRDefault="005B2641" w:rsidP="00952C91">
            <w:pPr>
              <w:spacing w:after="0" w:line="240" w:lineRule="auto"/>
              <w:rPr>
                <w:rFonts w:ascii="Calibri" w:eastAsia="Times New Roman" w:hAnsi="Calibri" w:cs="Times New Roman"/>
                <w:color w:val="000000"/>
              </w:rPr>
            </w:pPr>
            <w:r w:rsidRPr="005B2641">
              <w:rPr>
                <w:rFonts w:ascii="Calibri" w:hAnsi="Calibri"/>
                <w:color w:val="000000"/>
              </w:rPr>
              <w:t>Meta 14</w:t>
            </w:r>
          </w:p>
        </w:tc>
        <w:tc>
          <w:tcPr>
            <w:tcW w:w="1250" w:type="pct"/>
            <w:shd w:val="clear" w:color="auto" w:fill="auto"/>
          </w:tcPr>
          <w:p w14:paraId="0EB22776" w14:textId="77777777" w:rsidR="005B2641" w:rsidRPr="005B2641" w:rsidRDefault="005B2641" w:rsidP="00952C91">
            <w:pPr>
              <w:spacing w:after="0" w:line="240" w:lineRule="auto"/>
              <w:rPr>
                <w:rFonts w:ascii="Calibri" w:eastAsia="MS Mincho" w:hAnsi="Calibri" w:cs="Times New Roman"/>
                <w:color w:val="000000"/>
              </w:rPr>
            </w:pPr>
          </w:p>
          <w:p w14:paraId="63A082ED" w14:textId="77777777" w:rsidR="005B2641" w:rsidRPr="005B2641" w:rsidRDefault="005B2641" w:rsidP="00952C91">
            <w:pPr>
              <w:spacing w:after="0" w:line="240" w:lineRule="auto"/>
              <w:rPr>
                <w:rFonts w:ascii="Calibri" w:eastAsia="MS Mincho" w:hAnsi="Calibri" w:cs="Times New Roman"/>
                <w:color w:val="000000"/>
              </w:rPr>
            </w:pPr>
            <w:r w:rsidRPr="005B2641">
              <w:rPr>
                <w:rFonts w:ascii="Calibri" w:hAnsi="Calibri"/>
                <w:color w:val="000000"/>
              </w:rPr>
              <w:t>10,0</w:t>
            </w:r>
          </w:p>
        </w:tc>
        <w:tc>
          <w:tcPr>
            <w:tcW w:w="1250" w:type="pct"/>
            <w:shd w:val="clear" w:color="auto" w:fill="auto"/>
          </w:tcPr>
          <w:p w14:paraId="1FCBAC9F" w14:textId="77777777" w:rsidR="005B2641" w:rsidRPr="005B2641" w:rsidRDefault="005B2641" w:rsidP="00952C91">
            <w:pPr>
              <w:spacing w:after="0" w:line="240" w:lineRule="auto"/>
              <w:rPr>
                <w:rFonts w:ascii="Calibri" w:eastAsia="MS Mincho" w:hAnsi="Calibri" w:cs="Angsana New"/>
                <w:color w:val="000000"/>
              </w:rPr>
            </w:pPr>
          </w:p>
          <w:p w14:paraId="63AA002A" w14:textId="77777777" w:rsidR="005B2641" w:rsidRPr="005B2641" w:rsidRDefault="005B2641" w:rsidP="00952C91">
            <w:pPr>
              <w:spacing w:after="0" w:line="240" w:lineRule="auto"/>
              <w:rPr>
                <w:rFonts w:ascii="Calibri" w:eastAsia="MS Mincho" w:hAnsi="Calibri" w:cs="Angsana New"/>
                <w:color w:val="000000"/>
              </w:rPr>
            </w:pPr>
            <w:r w:rsidRPr="005B2641">
              <w:rPr>
                <w:rFonts w:ascii="Calibri" w:hAnsi="Calibri"/>
                <w:color w:val="000000"/>
              </w:rPr>
              <w:t>10,5</w:t>
            </w:r>
          </w:p>
        </w:tc>
        <w:tc>
          <w:tcPr>
            <w:tcW w:w="1250" w:type="pct"/>
            <w:shd w:val="clear" w:color="auto" w:fill="auto"/>
          </w:tcPr>
          <w:p w14:paraId="0BD53223" w14:textId="77777777" w:rsidR="005B2641" w:rsidRPr="005B2641" w:rsidRDefault="005B2641" w:rsidP="00952C91">
            <w:pPr>
              <w:spacing w:after="0" w:line="240" w:lineRule="auto"/>
              <w:rPr>
                <w:rFonts w:ascii="Calibri" w:eastAsia="Times New Roman" w:hAnsi="Calibri" w:cs="Times New Roman"/>
                <w:color w:val="000000"/>
              </w:rPr>
            </w:pPr>
          </w:p>
          <w:p w14:paraId="0CF12B41" w14:textId="77777777" w:rsidR="005B2641" w:rsidRPr="005B2641" w:rsidRDefault="005B2641" w:rsidP="00952C91">
            <w:pPr>
              <w:spacing w:after="0" w:line="240" w:lineRule="auto"/>
              <w:rPr>
                <w:rFonts w:ascii="Calibri" w:eastAsia="Times New Roman" w:hAnsi="Calibri" w:cs="Times New Roman"/>
                <w:color w:val="000000"/>
              </w:rPr>
            </w:pPr>
            <w:r w:rsidRPr="005B2641">
              <w:rPr>
                <w:rFonts w:ascii="Calibri" w:hAnsi="Calibri"/>
                <w:color w:val="000000"/>
              </w:rPr>
              <w:t>20,5</w:t>
            </w:r>
          </w:p>
        </w:tc>
      </w:tr>
      <w:tr w:rsidR="005B2641" w:rsidRPr="005B2641" w14:paraId="2B067814" w14:textId="77777777" w:rsidTr="00952C91">
        <w:trPr>
          <w:trHeight w:val="468"/>
        </w:trPr>
        <w:tc>
          <w:tcPr>
            <w:tcW w:w="1250" w:type="pct"/>
            <w:shd w:val="clear" w:color="auto" w:fill="auto"/>
          </w:tcPr>
          <w:p w14:paraId="13CC005F" w14:textId="77777777" w:rsidR="005B2641" w:rsidRPr="005B2641" w:rsidRDefault="005B2641" w:rsidP="00952C91">
            <w:pPr>
              <w:spacing w:after="0" w:line="240" w:lineRule="auto"/>
              <w:rPr>
                <w:rFonts w:ascii="Calibri" w:eastAsia="Times New Roman" w:hAnsi="Calibri" w:cs="Times New Roman"/>
                <w:b/>
                <w:color w:val="000000"/>
              </w:rPr>
            </w:pPr>
            <w:r w:rsidRPr="005B2641">
              <w:rPr>
                <w:rFonts w:ascii="Calibri" w:hAnsi="Calibri"/>
                <w:b/>
                <w:color w:val="000000"/>
              </w:rPr>
              <w:t>Totales</w:t>
            </w:r>
          </w:p>
        </w:tc>
        <w:tc>
          <w:tcPr>
            <w:tcW w:w="1250" w:type="pct"/>
            <w:shd w:val="clear" w:color="auto" w:fill="auto"/>
          </w:tcPr>
          <w:p w14:paraId="14370951" w14:textId="77777777" w:rsidR="005B2641" w:rsidRPr="005B2641" w:rsidRDefault="005B2641" w:rsidP="00952C91">
            <w:pPr>
              <w:spacing w:after="0" w:line="240" w:lineRule="auto"/>
              <w:rPr>
                <w:rFonts w:ascii="Calibri" w:eastAsia="MS Mincho" w:hAnsi="Calibri" w:cs="Times New Roman"/>
                <w:b/>
                <w:color w:val="000000"/>
              </w:rPr>
            </w:pPr>
            <w:r w:rsidRPr="005B2641">
              <w:rPr>
                <w:rFonts w:ascii="Calibri" w:hAnsi="Calibri"/>
                <w:b/>
                <w:color w:val="000000"/>
              </w:rPr>
              <w:t>26,3</w:t>
            </w:r>
          </w:p>
        </w:tc>
        <w:tc>
          <w:tcPr>
            <w:tcW w:w="1250" w:type="pct"/>
            <w:shd w:val="clear" w:color="auto" w:fill="auto"/>
          </w:tcPr>
          <w:p w14:paraId="1E6D22DF" w14:textId="77777777" w:rsidR="005B2641" w:rsidRPr="005B2641" w:rsidRDefault="005B2641" w:rsidP="00952C91">
            <w:pPr>
              <w:spacing w:after="0" w:line="240" w:lineRule="auto"/>
              <w:rPr>
                <w:rFonts w:ascii="Calibri" w:eastAsia="MS Mincho" w:hAnsi="Calibri" w:cs="Angsana New"/>
                <w:b/>
                <w:color w:val="000000"/>
              </w:rPr>
            </w:pPr>
            <w:r w:rsidRPr="005B2641">
              <w:rPr>
                <w:rFonts w:ascii="Calibri" w:hAnsi="Calibri"/>
                <w:b/>
                <w:color w:val="000000"/>
              </w:rPr>
              <w:t>68,8</w:t>
            </w:r>
          </w:p>
        </w:tc>
        <w:tc>
          <w:tcPr>
            <w:tcW w:w="1250" w:type="pct"/>
            <w:shd w:val="clear" w:color="auto" w:fill="auto"/>
          </w:tcPr>
          <w:p w14:paraId="5BDF9290" w14:textId="77777777" w:rsidR="005B2641" w:rsidRPr="005B2641" w:rsidRDefault="005B2641" w:rsidP="00952C91">
            <w:pPr>
              <w:spacing w:after="0" w:line="240" w:lineRule="auto"/>
              <w:rPr>
                <w:rFonts w:ascii="Calibri" w:eastAsia="Times New Roman" w:hAnsi="Calibri" w:cs="Times New Roman"/>
                <w:b/>
                <w:color w:val="000000"/>
              </w:rPr>
            </w:pPr>
            <w:r w:rsidRPr="005B2641">
              <w:rPr>
                <w:rFonts w:ascii="Calibri" w:hAnsi="Calibri"/>
                <w:b/>
                <w:color w:val="000000"/>
              </w:rPr>
              <w:t xml:space="preserve">93,01 </w:t>
            </w:r>
          </w:p>
        </w:tc>
      </w:tr>
    </w:tbl>
    <w:p w14:paraId="323961F8" w14:textId="77777777" w:rsidR="005B2641" w:rsidRPr="005B2641" w:rsidRDefault="005B2641" w:rsidP="005B2641">
      <w:pPr>
        <w:spacing w:before="120" w:after="120" w:line="240" w:lineRule="auto"/>
        <w:rPr>
          <w:rFonts w:ascii="Calibri" w:eastAsia="MS Mincho" w:hAnsi="Calibri" w:cs="Times New Roman"/>
          <w:b/>
          <w:snapToGrid w:val="0"/>
          <w:sz w:val="24"/>
          <w:szCs w:val="24"/>
          <w:u w:val="single"/>
        </w:rPr>
      </w:pPr>
    </w:p>
    <w:p w14:paraId="5E70449A" w14:textId="77777777" w:rsidR="005B2641" w:rsidRPr="005B2641" w:rsidRDefault="005B2641" w:rsidP="005B2641">
      <w:pPr>
        <w:pStyle w:val="Ttulo3"/>
        <w:rPr>
          <w:snapToGrid w:val="0"/>
        </w:rPr>
      </w:pPr>
      <w:bookmarkStart w:id="37" w:name="_Toc35815697"/>
      <w:r w:rsidRPr="005B2641">
        <w:rPr>
          <w:snapToGrid w:val="0"/>
        </w:rPr>
        <w:t>Área focal de aguas internacionales</w:t>
      </w:r>
      <w:bookmarkEnd w:id="37"/>
    </w:p>
    <w:p w14:paraId="1404BC29"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MS Mincho" w:hAnsi="Calibri" w:cs="Times New Roman"/>
          <w:snapToGrid w:val="0"/>
          <w:sz w:val="24"/>
          <w:szCs w:val="24"/>
        </w:rPr>
      </w:pPr>
      <w:r w:rsidRPr="005B2641">
        <w:rPr>
          <w:rFonts w:ascii="Calibri" w:hAnsi="Calibri"/>
          <w:snapToGrid w:val="0"/>
          <w:sz w:val="24"/>
          <w:szCs w:val="24"/>
        </w:rPr>
        <w:t>El área focal de aguas internacionales ayuda a los países a administrar en conjunto las cuencas de aguas superficiales y subterráneas y los sistemas costeros y marinos transfronterizos para posibilitar la participación en los beneficios derivados de su uso. Existen complejos ecosistemas acuáticos transfronterizos que plantean innumerables necesidades y temas, y que no conocen fronteras políticas. En consecuencia, para establecer objetivos de política eficaces, acompañados de inversiones, es necesario trabajar en todos los niveles, con una amplia gama de partes interesadas, en los sectores público y privado, y en todas las cuencas hidrográficas, desde la fuente hasta el mar y más allá. Estos principios son fundamentales para las inversiones del FMAM-7 en el área focal de aguas internacionales. Dichas inversiones apuntan a lograr tres objetivos clave, a saber: 1) fortalecer las oportunidades que brinda la economía azul para reducir las amenazas a las aguas marinas y costeras; 2) mejorar la gestión en las áreas que exceden la jurisdicción nacional, y 3) optimizar la seguridad hídrica en los ecosistemas de agua dulce.</w:t>
      </w:r>
    </w:p>
    <w:p w14:paraId="14B3402C"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MS Mincho" w:hAnsi="Calibri" w:cs="Times New Roman"/>
          <w:snapToGrid w:val="0"/>
          <w:sz w:val="24"/>
          <w:szCs w:val="24"/>
        </w:rPr>
      </w:pPr>
      <w:r w:rsidRPr="005B2641">
        <w:rPr>
          <w:rFonts w:ascii="Calibri" w:hAnsi="Calibri"/>
          <w:snapToGrid w:val="0"/>
          <w:sz w:val="24"/>
          <w:szCs w:val="24"/>
        </w:rPr>
        <w:t>En el cuadro 10 se muestran los recursos del FMAM destinados a las aguas internacionales y su contribución al cumplimiento de las Metas de Aichi para la Diversidad Biológica, según las prioridades fijadas por los países.</w:t>
      </w:r>
    </w:p>
    <w:p w14:paraId="3BB19234" w14:textId="77777777" w:rsidR="005B2641" w:rsidRPr="005B2641" w:rsidRDefault="005B2641" w:rsidP="005B2641">
      <w:pPr>
        <w:keepNext/>
        <w:keepLines/>
        <w:spacing w:before="240" w:after="240" w:line="240" w:lineRule="auto"/>
        <w:jc w:val="center"/>
        <w:rPr>
          <w:rFonts w:ascii="Calibri" w:eastAsia="MS Mincho" w:hAnsi="Calibri" w:cs="Times New Roman"/>
          <w:b/>
          <w:snapToGrid w:val="0"/>
          <w:sz w:val="24"/>
          <w:szCs w:val="24"/>
        </w:rPr>
      </w:pPr>
      <w:r w:rsidRPr="005B2641">
        <w:rPr>
          <w:rFonts w:ascii="Calibri" w:hAnsi="Calibri"/>
          <w:b/>
          <w:snapToGrid w:val="0"/>
          <w:sz w:val="24"/>
          <w:szCs w:val="24"/>
        </w:rPr>
        <w:lastRenderedPageBreak/>
        <w:t>Cuadro 10. Distribución acumulativa de los recursos del FMAM según los objetivos y programas del área focal de aguas internacionales para el FMAM-7, y su contribución al cumplimiento de las Metas de Aichi para la Diversidad Biológica</w:t>
      </w:r>
      <w:r w:rsidRPr="005B2641">
        <w:rPr>
          <w:rFonts w:ascii="Calibri" w:hAnsi="Calibri"/>
          <w:b/>
          <w:snapToGrid w:val="0"/>
          <w:sz w:val="24"/>
          <w:szCs w:val="24"/>
        </w:rPr>
        <w:br/>
        <w:t>(del 1 de julio de 2018 al 31 de diciembre de 2019)</w:t>
      </w:r>
      <w:r w:rsidRPr="005B2641">
        <w:rPr>
          <w:rFonts w:ascii="Calibri" w:eastAsia="MS Mincho" w:hAnsi="Calibri" w:cs="Times New Roman"/>
          <w:snapToGrid w:val="0"/>
          <w:sz w:val="24"/>
          <w:szCs w:val="24"/>
          <w:vertAlign w:val="superscript"/>
        </w:rPr>
        <w:footnoteReference w:id="15"/>
      </w:r>
    </w:p>
    <w:tbl>
      <w:tblPr>
        <w:tblW w:w="4997" w:type="pct"/>
        <w:tblBorders>
          <w:top w:val="single" w:sz="12" w:space="0" w:color="008000"/>
          <w:bottom w:val="single" w:sz="12" w:space="0" w:color="008000"/>
        </w:tblBorders>
        <w:tblLook w:val="04A0" w:firstRow="1" w:lastRow="0" w:firstColumn="1" w:lastColumn="0" w:noHBand="0" w:noVBand="1"/>
      </w:tblPr>
      <w:tblGrid>
        <w:gridCol w:w="2389"/>
        <w:gridCol w:w="1641"/>
        <w:gridCol w:w="1886"/>
        <w:gridCol w:w="1719"/>
        <w:gridCol w:w="1719"/>
      </w:tblGrid>
      <w:tr w:rsidR="005B2641" w:rsidRPr="005B2641" w14:paraId="031314AD" w14:textId="77777777" w:rsidTr="00952C91">
        <w:trPr>
          <w:trHeight w:val="570"/>
        </w:trPr>
        <w:tc>
          <w:tcPr>
            <w:tcW w:w="1277" w:type="pct"/>
            <w:tcBorders>
              <w:top w:val="single" w:sz="12" w:space="0" w:color="008000"/>
              <w:bottom w:val="single" w:sz="6" w:space="0" w:color="008000"/>
            </w:tcBorders>
            <w:shd w:val="clear" w:color="auto" w:fill="auto"/>
            <w:hideMark/>
          </w:tcPr>
          <w:p w14:paraId="2642B3E7" w14:textId="77777777" w:rsidR="005B2641" w:rsidRPr="005B2641" w:rsidRDefault="005B2641" w:rsidP="00952C91">
            <w:pPr>
              <w:spacing w:after="0" w:line="240" w:lineRule="auto"/>
              <w:rPr>
                <w:rFonts w:ascii="Calibri" w:eastAsia="Times New Roman" w:hAnsi="Calibri" w:cs="Times New Roman"/>
                <w:b/>
                <w:bCs/>
                <w:color w:val="000000"/>
              </w:rPr>
            </w:pPr>
            <w:r w:rsidRPr="005B2641">
              <w:rPr>
                <w:rFonts w:ascii="Calibri" w:hAnsi="Calibri"/>
                <w:b/>
                <w:bCs/>
                <w:color w:val="000000"/>
              </w:rPr>
              <w:t xml:space="preserve">Programa y objetivo sobre aguas internacionales </w:t>
            </w:r>
          </w:p>
        </w:tc>
        <w:tc>
          <w:tcPr>
            <w:tcW w:w="877" w:type="pct"/>
            <w:tcBorders>
              <w:top w:val="single" w:sz="12" w:space="0" w:color="008000"/>
              <w:bottom w:val="single" w:sz="6" w:space="0" w:color="008000"/>
            </w:tcBorders>
            <w:shd w:val="clear" w:color="auto" w:fill="auto"/>
            <w:hideMark/>
          </w:tcPr>
          <w:p w14:paraId="67FC64AE" w14:textId="77777777" w:rsidR="005B2641" w:rsidRPr="005B2641" w:rsidRDefault="005B2641" w:rsidP="00952C91">
            <w:pPr>
              <w:spacing w:after="0" w:line="240" w:lineRule="auto"/>
              <w:rPr>
                <w:rFonts w:ascii="Calibri" w:eastAsia="Times New Roman" w:hAnsi="Calibri" w:cs="Times New Roman"/>
                <w:b/>
                <w:bCs/>
                <w:color w:val="000000"/>
              </w:rPr>
            </w:pPr>
            <w:r w:rsidRPr="005B2641">
              <w:rPr>
                <w:rFonts w:ascii="Calibri" w:hAnsi="Calibri"/>
                <w:b/>
                <w:bCs/>
                <w:color w:val="000000"/>
              </w:rPr>
              <w:t>Metas de Aichi para la Diversidad Biológica</w:t>
            </w:r>
          </w:p>
        </w:tc>
        <w:tc>
          <w:tcPr>
            <w:tcW w:w="1008" w:type="pct"/>
            <w:tcBorders>
              <w:top w:val="single" w:sz="12" w:space="0" w:color="008000"/>
              <w:bottom w:val="single" w:sz="6" w:space="0" w:color="008000"/>
            </w:tcBorders>
            <w:shd w:val="clear" w:color="auto" w:fill="auto"/>
          </w:tcPr>
          <w:p w14:paraId="58AF5727" w14:textId="77777777" w:rsidR="005B2641" w:rsidRPr="005B2641" w:rsidRDefault="005B2641" w:rsidP="00952C91">
            <w:pPr>
              <w:spacing w:after="0" w:line="240" w:lineRule="auto"/>
              <w:rPr>
                <w:rFonts w:ascii="Calibri" w:eastAsia="Times New Roman" w:hAnsi="Calibri" w:cs="Times New Roman"/>
                <w:b/>
                <w:bCs/>
                <w:color w:val="000000"/>
              </w:rPr>
            </w:pPr>
            <w:r w:rsidRPr="005B2641">
              <w:rPr>
                <w:rFonts w:ascii="Calibri" w:hAnsi="Calibri"/>
                <w:b/>
                <w:bCs/>
                <w:color w:val="000000"/>
              </w:rPr>
              <w:t>Donación del FMAM para proyectos (en millones de USD)</w:t>
            </w:r>
          </w:p>
        </w:tc>
        <w:tc>
          <w:tcPr>
            <w:tcW w:w="919" w:type="pct"/>
            <w:tcBorders>
              <w:top w:val="single" w:sz="12" w:space="0" w:color="008000"/>
              <w:bottom w:val="single" w:sz="6" w:space="0" w:color="008000"/>
            </w:tcBorders>
            <w:shd w:val="clear" w:color="auto" w:fill="auto"/>
            <w:hideMark/>
          </w:tcPr>
          <w:p w14:paraId="59AF5B3E" w14:textId="77777777" w:rsidR="005B2641" w:rsidRPr="005B2641" w:rsidRDefault="005B2641" w:rsidP="00952C91">
            <w:pPr>
              <w:spacing w:after="0" w:line="240" w:lineRule="auto"/>
              <w:rPr>
                <w:rFonts w:ascii="Calibri" w:eastAsia="Times New Roman" w:hAnsi="Calibri" w:cs="Times New Roman"/>
                <w:b/>
                <w:bCs/>
                <w:color w:val="000000"/>
              </w:rPr>
            </w:pPr>
            <w:r w:rsidRPr="005B2641">
              <w:rPr>
                <w:rFonts w:ascii="Calibri" w:hAnsi="Calibri"/>
                <w:b/>
                <w:bCs/>
                <w:color w:val="000000"/>
              </w:rPr>
              <w:t xml:space="preserve">Cofinanc. </w:t>
            </w:r>
            <w:r w:rsidRPr="005B2641">
              <w:rPr>
                <w:rFonts w:ascii="Calibri" w:hAnsi="Calibri"/>
                <w:b/>
                <w:bCs/>
                <w:color w:val="000000"/>
              </w:rPr>
              <w:br/>
              <w:t xml:space="preserve">(en millones </w:t>
            </w:r>
            <w:r w:rsidRPr="005B2641">
              <w:rPr>
                <w:rFonts w:ascii="Calibri" w:hAnsi="Calibri"/>
                <w:b/>
                <w:bCs/>
                <w:color w:val="000000"/>
              </w:rPr>
              <w:br/>
              <w:t xml:space="preserve">de USD) </w:t>
            </w:r>
          </w:p>
        </w:tc>
        <w:tc>
          <w:tcPr>
            <w:tcW w:w="919" w:type="pct"/>
            <w:tcBorders>
              <w:top w:val="single" w:sz="12" w:space="0" w:color="008000"/>
              <w:bottom w:val="single" w:sz="6" w:space="0" w:color="008000"/>
            </w:tcBorders>
            <w:shd w:val="clear" w:color="auto" w:fill="auto"/>
          </w:tcPr>
          <w:p w14:paraId="374C3ED4" w14:textId="77777777" w:rsidR="005B2641" w:rsidRPr="005B2641" w:rsidRDefault="005B2641" w:rsidP="00952C91">
            <w:pPr>
              <w:spacing w:after="0" w:line="240" w:lineRule="auto"/>
              <w:rPr>
                <w:rFonts w:ascii="Calibri" w:eastAsia="Times New Roman" w:hAnsi="Calibri" w:cs="Times New Roman"/>
                <w:b/>
                <w:bCs/>
                <w:color w:val="000000"/>
              </w:rPr>
            </w:pPr>
            <w:r w:rsidRPr="005B2641">
              <w:rPr>
                <w:rFonts w:ascii="Calibri" w:hAnsi="Calibri"/>
                <w:b/>
                <w:bCs/>
                <w:color w:val="000000"/>
              </w:rPr>
              <w:t>Total de recursos (en millones de USD)</w:t>
            </w:r>
          </w:p>
        </w:tc>
      </w:tr>
      <w:tr w:rsidR="005B2641" w:rsidRPr="005B2641" w14:paraId="6EEBD60C" w14:textId="77777777" w:rsidTr="00952C91">
        <w:trPr>
          <w:trHeight w:val="900"/>
        </w:trPr>
        <w:tc>
          <w:tcPr>
            <w:tcW w:w="1277" w:type="pct"/>
            <w:shd w:val="clear" w:color="auto" w:fill="auto"/>
          </w:tcPr>
          <w:p w14:paraId="0E0CD32B" w14:textId="77777777" w:rsidR="005B2641" w:rsidRPr="005B2641" w:rsidRDefault="005B2641" w:rsidP="00952C91">
            <w:pPr>
              <w:spacing w:after="0" w:line="240" w:lineRule="auto"/>
              <w:rPr>
                <w:rFonts w:ascii="Calibri" w:eastAsia="Times New Roman" w:hAnsi="Calibri" w:cs="Times New Roman"/>
                <w:color w:val="000000"/>
              </w:rPr>
            </w:pPr>
          </w:p>
          <w:p w14:paraId="1D0DD372" w14:textId="77777777" w:rsidR="005B2641" w:rsidRPr="005B2641" w:rsidRDefault="005B2641" w:rsidP="00952C91">
            <w:pPr>
              <w:spacing w:after="0" w:line="240" w:lineRule="auto"/>
              <w:rPr>
                <w:rFonts w:ascii="Calibri" w:eastAsia="Times New Roman" w:hAnsi="Calibri" w:cs="Times New Roman"/>
                <w:color w:val="000000"/>
              </w:rPr>
            </w:pPr>
            <w:r w:rsidRPr="005B2641">
              <w:rPr>
                <w:rFonts w:ascii="Calibri" w:hAnsi="Calibri"/>
                <w:color w:val="000000"/>
              </w:rPr>
              <w:t>Objetivo 1:</w:t>
            </w:r>
          </w:p>
          <w:p w14:paraId="36757715" w14:textId="77777777" w:rsidR="005B2641" w:rsidRPr="005B2641" w:rsidRDefault="005B2641" w:rsidP="00952C91">
            <w:pPr>
              <w:spacing w:after="0" w:line="240" w:lineRule="auto"/>
              <w:rPr>
                <w:rFonts w:ascii="Calibri" w:eastAsia="Times New Roman" w:hAnsi="Calibri" w:cs="Times New Roman"/>
                <w:color w:val="000000"/>
              </w:rPr>
            </w:pPr>
            <w:r w:rsidRPr="005B2641">
              <w:rPr>
                <w:rFonts w:ascii="Calibri" w:hAnsi="Calibri"/>
                <w:color w:val="000000"/>
              </w:rPr>
              <w:t>Economía azul</w:t>
            </w:r>
          </w:p>
          <w:p w14:paraId="53664315" w14:textId="77777777" w:rsidR="005B2641" w:rsidRPr="005B2641" w:rsidRDefault="005B2641" w:rsidP="00952C91">
            <w:pPr>
              <w:spacing w:after="0" w:line="240" w:lineRule="auto"/>
              <w:rPr>
                <w:rFonts w:ascii="Calibri" w:eastAsia="Times New Roman" w:hAnsi="Calibri" w:cs="Times New Roman"/>
                <w:color w:val="000000"/>
              </w:rPr>
            </w:pPr>
          </w:p>
          <w:p w14:paraId="15287065" w14:textId="77777777" w:rsidR="005B2641" w:rsidRPr="005B2641" w:rsidRDefault="005B2641" w:rsidP="00952C91">
            <w:pPr>
              <w:spacing w:after="0" w:line="240" w:lineRule="auto"/>
              <w:rPr>
                <w:rFonts w:ascii="Calibri" w:eastAsia="Times New Roman" w:hAnsi="Calibri" w:cs="Times New Roman"/>
                <w:color w:val="000000"/>
              </w:rPr>
            </w:pPr>
          </w:p>
        </w:tc>
        <w:tc>
          <w:tcPr>
            <w:tcW w:w="877" w:type="pct"/>
            <w:shd w:val="clear" w:color="auto" w:fill="auto"/>
          </w:tcPr>
          <w:p w14:paraId="4B6C9E85" w14:textId="77777777" w:rsidR="005B2641" w:rsidRPr="005B2641" w:rsidRDefault="005B2641" w:rsidP="00952C91">
            <w:pPr>
              <w:spacing w:after="0" w:line="240" w:lineRule="auto"/>
              <w:rPr>
                <w:rFonts w:ascii="Calibri" w:eastAsia="Times New Roman" w:hAnsi="Calibri" w:cs="Times New Roman"/>
                <w:color w:val="000000"/>
              </w:rPr>
            </w:pPr>
          </w:p>
          <w:p w14:paraId="210A2744" w14:textId="77777777" w:rsidR="005B2641" w:rsidRPr="005B2641" w:rsidRDefault="005B2641" w:rsidP="00952C91">
            <w:pPr>
              <w:spacing w:after="0" w:line="240" w:lineRule="auto"/>
              <w:rPr>
                <w:rFonts w:ascii="Calibri" w:eastAsia="Times New Roman" w:hAnsi="Calibri" w:cs="Times New Roman"/>
                <w:color w:val="000000"/>
              </w:rPr>
            </w:pPr>
            <w:r w:rsidRPr="005B2641">
              <w:rPr>
                <w:rFonts w:ascii="Calibri" w:hAnsi="Calibri"/>
                <w:color w:val="000000"/>
              </w:rPr>
              <w:t>6, 8, 11</w:t>
            </w:r>
          </w:p>
        </w:tc>
        <w:tc>
          <w:tcPr>
            <w:tcW w:w="1008" w:type="pct"/>
            <w:shd w:val="clear" w:color="auto" w:fill="auto"/>
          </w:tcPr>
          <w:p w14:paraId="1D91121A" w14:textId="77777777" w:rsidR="005B2641" w:rsidRPr="005B2641" w:rsidRDefault="005B2641" w:rsidP="00952C91">
            <w:pPr>
              <w:spacing w:after="0" w:line="240" w:lineRule="auto"/>
              <w:rPr>
                <w:rFonts w:ascii="Calibri" w:eastAsia="Times New Roman" w:hAnsi="Calibri" w:cs="Times New Roman"/>
                <w:color w:val="000000"/>
              </w:rPr>
            </w:pPr>
          </w:p>
          <w:p w14:paraId="61704456" w14:textId="77777777" w:rsidR="005B2641" w:rsidRPr="005B2641" w:rsidRDefault="005B2641" w:rsidP="00952C91">
            <w:pPr>
              <w:spacing w:after="0" w:line="240" w:lineRule="auto"/>
              <w:rPr>
                <w:rFonts w:ascii="Calibri" w:eastAsia="Times New Roman" w:hAnsi="Calibri" w:cs="Times New Roman"/>
                <w:color w:val="000000"/>
              </w:rPr>
            </w:pPr>
            <w:r w:rsidRPr="005B2641">
              <w:rPr>
                <w:rFonts w:ascii="Calibri" w:hAnsi="Calibri"/>
                <w:color w:val="000000"/>
              </w:rPr>
              <w:t xml:space="preserve">52,1 </w:t>
            </w:r>
            <w:r w:rsidRPr="005B2641">
              <w:rPr>
                <w:rFonts w:ascii="Calibri" w:hAnsi="Calibri"/>
                <w:color w:val="000000"/>
              </w:rPr>
              <w:tab/>
              <w:t xml:space="preserve"> </w:t>
            </w:r>
          </w:p>
        </w:tc>
        <w:tc>
          <w:tcPr>
            <w:tcW w:w="919" w:type="pct"/>
            <w:shd w:val="clear" w:color="auto" w:fill="auto"/>
          </w:tcPr>
          <w:p w14:paraId="2AFA8FBA" w14:textId="77777777" w:rsidR="005B2641" w:rsidRPr="005B2641" w:rsidRDefault="005B2641" w:rsidP="00952C91">
            <w:pPr>
              <w:spacing w:after="0" w:line="240" w:lineRule="auto"/>
              <w:rPr>
                <w:rFonts w:ascii="Calibri" w:eastAsia="Times New Roman" w:hAnsi="Calibri" w:cs="Times New Roman"/>
                <w:color w:val="000000"/>
              </w:rPr>
            </w:pPr>
          </w:p>
          <w:p w14:paraId="6968AF67" w14:textId="77777777" w:rsidR="005B2641" w:rsidRPr="005B2641" w:rsidRDefault="005B2641" w:rsidP="00952C91">
            <w:pPr>
              <w:spacing w:after="0" w:line="240" w:lineRule="auto"/>
              <w:rPr>
                <w:rFonts w:ascii="Calibri" w:eastAsia="Times New Roman" w:hAnsi="Calibri" w:cs="Times New Roman"/>
                <w:color w:val="000000"/>
              </w:rPr>
            </w:pPr>
            <w:r w:rsidRPr="005B2641">
              <w:rPr>
                <w:rFonts w:ascii="Calibri" w:hAnsi="Calibri"/>
                <w:color w:val="000000"/>
              </w:rPr>
              <w:t>273,4</w:t>
            </w:r>
          </w:p>
        </w:tc>
        <w:tc>
          <w:tcPr>
            <w:tcW w:w="919" w:type="pct"/>
            <w:shd w:val="clear" w:color="auto" w:fill="auto"/>
          </w:tcPr>
          <w:p w14:paraId="701E04A4" w14:textId="77777777" w:rsidR="005B2641" w:rsidRPr="005B2641" w:rsidRDefault="005B2641" w:rsidP="00952C91">
            <w:pPr>
              <w:spacing w:after="0" w:line="240" w:lineRule="auto"/>
              <w:rPr>
                <w:rFonts w:ascii="Calibri" w:eastAsia="Times New Roman" w:hAnsi="Calibri" w:cs="Times New Roman"/>
                <w:color w:val="000000"/>
              </w:rPr>
            </w:pPr>
          </w:p>
          <w:p w14:paraId="4AA4FBF1" w14:textId="77777777" w:rsidR="005B2641" w:rsidRPr="005B2641" w:rsidRDefault="005B2641" w:rsidP="00952C91">
            <w:pPr>
              <w:spacing w:after="0" w:line="240" w:lineRule="auto"/>
              <w:rPr>
                <w:rFonts w:ascii="Calibri" w:eastAsia="Times New Roman" w:hAnsi="Calibri" w:cs="Times New Roman"/>
                <w:color w:val="000000"/>
              </w:rPr>
            </w:pPr>
            <w:r w:rsidRPr="005B2641">
              <w:rPr>
                <w:rFonts w:ascii="Calibri" w:hAnsi="Calibri"/>
                <w:color w:val="000000"/>
              </w:rPr>
              <w:t>325,5</w:t>
            </w:r>
          </w:p>
          <w:p w14:paraId="366229D6" w14:textId="77777777" w:rsidR="005B2641" w:rsidRPr="005B2641" w:rsidRDefault="005B2641" w:rsidP="00952C91">
            <w:pPr>
              <w:spacing w:after="0" w:line="240" w:lineRule="auto"/>
              <w:rPr>
                <w:rFonts w:ascii="Calibri" w:eastAsia="Times New Roman" w:hAnsi="Calibri" w:cs="Times New Roman"/>
                <w:color w:val="000000"/>
              </w:rPr>
            </w:pPr>
          </w:p>
        </w:tc>
      </w:tr>
      <w:tr w:rsidR="005B2641" w:rsidRPr="005B2641" w14:paraId="56C7611B" w14:textId="77777777" w:rsidTr="00952C91">
        <w:trPr>
          <w:trHeight w:val="900"/>
        </w:trPr>
        <w:tc>
          <w:tcPr>
            <w:tcW w:w="1277" w:type="pct"/>
            <w:shd w:val="clear" w:color="auto" w:fill="auto"/>
          </w:tcPr>
          <w:p w14:paraId="687F8C5C" w14:textId="77777777" w:rsidR="005B2641" w:rsidRPr="005B2641" w:rsidRDefault="005B2641" w:rsidP="00952C91">
            <w:pPr>
              <w:spacing w:after="0" w:line="240" w:lineRule="auto"/>
              <w:rPr>
                <w:rFonts w:ascii="Calibri" w:eastAsia="Times New Roman" w:hAnsi="Calibri" w:cs="Times New Roman"/>
                <w:color w:val="000000"/>
              </w:rPr>
            </w:pPr>
            <w:r w:rsidRPr="005B2641">
              <w:rPr>
                <w:rFonts w:ascii="Calibri" w:hAnsi="Calibri"/>
                <w:color w:val="000000"/>
              </w:rPr>
              <w:t>Objetivo 2:</w:t>
            </w:r>
          </w:p>
          <w:p w14:paraId="003884F6" w14:textId="77777777" w:rsidR="005B2641" w:rsidRPr="005B2641" w:rsidRDefault="005B2641" w:rsidP="00952C91">
            <w:pPr>
              <w:spacing w:after="0" w:line="240" w:lineRule="auto"/>
              <w:rPr>
                <w:rFonts w:ascii="Calibri" w:eastAsia="Times New Roman" w:hAnsi="Calibri" w:cs="Times New Roman"/>
                <w:color w:val="000000"/>
              </w:rPr>
            </w:pPr>
            <w:r w:rsidRPr="005B2641">
              <w:rPr>
                <w:rFonts w:ascii="Calibri" w:hAnsi="Calibri"/>
                <w:color w:val="000000"/>
              </w:rPr>
              <w:t>Áreas que exceden la jurisdicción nacional</w:t>
            </w:r>
          </w:p>
          <w:p w14:paraId="13517530" w14:textId="77777777" w:rsidR="005B2641" w:rsidRPr="005B2641" w:rsidRDefault="005B2641" w:rsidP="00952C91">
            <w:pPr>
              <w:spacing w:after="0" w:line="240" w:lineRule="auto"/>
              <w:rPr>
                <w:rFonts w:ascii="Calibri" w:eastAsia="Times New Roman" w:hAnsi="Calibri" w:cs="Times New Roman"/>
                <w:color w:val="000000"/>
              </w:rPr>
            </w:pPr>
          </w:p>
          <w:p w14:paraId="37095F2C" w14:textId="77777777" w:rsidR="005B2641" w:rsidRPr="005B2641" w:rsidRDefault="005B2641" w:rsidP="00952C91">
            <w:pPr>
              <w:spacing w:after="0" w:line="240" w:lineRule="auto"/>
              <w:rPr>
                <w:rFonts w:ascii="Calibri" w:eastAsia="Times New Roman" w:hAnsi="Calibri" w:cs="Times New Roman"/>
                <w:color w:val="000000"/>
              </w:rPr>
            </w:pPr>
            <w:r w:rsidRPr="005B2641">
              <w:rPr>
                <w:rFonts w:ascii="Calibri" w:hAnsi="Calibri"/>
                <w:color w:val="000000"/>
              </w:rPr>
              <w:t>Objetivo 3:</w:t>
            </w:r>
          </w:p>
          <w:p w14:paraId="7D94EDAF" w14:textId="77777777" w:rsidR="005B2641" w:rsidRPr="005B2641" w:rsidRDefault="005B2641" w:rsidP="00952C91">
            <w:pPr>
              <w:spacing w:after="0" w:line="240" w:lineRule="auto"/>
              <w:rPr>
                <w:rFonts w:ascii="Calibri" w:eastAsia="Times New Roman" w:hAnsi="Calibri" w:cs="Times New Roman"/>
                <w:color w:val="000000"/>
              </w:rPr>
            </w:pPr>
            <w:r w:rsidRPr="005B2641">
              <w:rPr>
                <w:rFonts w:ascii="Calibri" w:hAnsi="Calibri"/>
                <w:color w:val="000000"/>
              </w:rPr>
              <w:t xml:space="preserve">Ecosistemas de agua dulce </w:t>
            </w:r>
          </w:p>
          <w:p w14:paraId="556F48A9" w14:textId="77777777" w:rsidR="005B2641" w:rsidRPr="005B2641" w:rsidRDefault="005B2641" w:rsidP="00952C91">
            <w:pPr>
              <w:spacing w:after="0" w:line="240" w:lineRule="auto"/>
              <w:rPr>
                <w:rFonts w:ascii="Calibri" w:eastAsia="Times New Roman" w:hAnsi="Calibri" w:cs="Times New Roman"/>
                <w:color w:val="000000"/>
              </w:rPr>
            </w:pPr>
          </w:p>
        </w:tc>
        <w:tc>
          <w:tcPr>
            <w:tcW w:w="877" w:type="pct"/>
            <w:shd w:val="clear" w:color="auto" w:fill="auto"/>
          </w:tcPr>
          <w:p w14:paraId="29435F6D" w14:textId="77777777" w:rsidR="005B2641" w:rsidRPr="005B2641" w:rsidRDefault="005B2641" w:rsidP="00952C91">
            <w:pPr>
              <w:spacing w:after="0" w:line="240" w:lineRule="auto"/>
              <w:rPr>
                <w:rFonts w:ascii="Calibri" w:eastAsia="Times New Roman" w:hAnsi="Calibri" w:cs="Times New Roman"/>
                <w:color w:val="000000"/>
              </w:rPr>
            </w:pPr>
            <w:r w:rsidRPr="005B2641">
              <w:rPr>
                <w:rFonts w:ascii="Calibri" w:hAnsi="Calibri"/>
                <w:color w:val="000000"/>
              </w:rPr>
              <w:t>6 y 11</w:t>
            </w:r>
          </w:p>
          <w:p w14:paraId="18B09EE2" w14:textId="77777777" w:rsidR="005B2641" w:rsidRPr="005B2641" w:rsidRDefault="005B2641" w:rsidP="00952C91">
            <w:pPr>
              <w:spacing w:after="0" w:line="240" w:lineRule="auto"/>
              <w:rPr>
                <w:rFonts w:ascii="Calibri" w:eastAsia="Times New Roman" w:hAnsi="Calibri" w:cs="Times New Roman"/>
                <w:color w:val="000000"/>
              </w:rPr>
            </w:pPr>
          </w:p>
          <w:p w14:paraId="4ACC061D" w14:textId="77777777" w:rsidR="005B2641" w:rsidRPr="005B2641" w:rsidRDefault="005B2641" w:rsidP="00952C91">
            <w:pPr>
              <w:spacing w:after="0" w:line="240" w:lineRule="auto"/>
              <w:rPr>
                <w:rFonts w:ascii="Calibri" w:eastAsia="Times New Roman" w:hAnsi="Calibri" w:cs="Times New Roman"/>
                <w:color w:val="000000"/>
              </w:rPr>
            </w:pPr>
          </w:p>
          <w:p w14:paraId="1013615A" w14:textId="77777777" w:rsidR="005B2641" w:rsidRPr="005B2641" w:rsidRDefault="005B2641" w:rsidP="00952C91">
            <w:pPr>
              <w:spacing w:after="0" w:line="240" w:lineRule="auto"/>
              <w:rPr>
                <w:rFonts w:ascii="Calibri" w:eastAsia="Times New Roman" w:hAnsi="Calibri" w:cs="Times New Roman"/>
                <w:color w:val="000000"/>
              </w:rPr>
            </w:pPr>
            <w:r w:rsidRPr="005B2641">
              <w:rPr>
                <w:rFonts w:ascii="Calibri" w:hAnsi="Calibri"/>
                <w:color w:val="000000"/>
              </w:rPr>
              <w:t>6,11, 14</w:t>
            </w:r>
          </w:p>
        </w:tc>
        <w:tc>
          <w:tcPr>
            <w:tcW w:w="1008" w:type="pct"/>
            <w:shd w:val="clear" w:color="auto" w:fill="auto"/>
          </w:tcPr>
          <w:p w14:paraId="528A72DD" w14:textId="77777777" w:rsidR="005B2641" w:rsidRPr="005B2641" w:rsidRDefault="005B2641" w:rsidP="00952C91">
            <w:pPr>
              <w:spacing w:after="0" w:line="240" w:lineRule="auto"/>
              <w:rPr>
                <w:rFonts w:ascii="Calibri" w:eastAsia="Times New Roman" w:hAnsi="Calibri" w:cs="Times New Roman"/>
                <w:color w:val="000000"/>
              </w:rPr>
            </w:pPr>
            <w:r w:rsidRPr="005B2641">
              <w:rPr>
                <w:rFonts w:ascii="Calibri" w:hAnsi="Calibri"/>
                <w:color w:val="000000"/>
              </w:rPr>
              <w:t>0</w:t>
            </w:r>
          </w:p>
          <w:p w14:paraId="246578D4" w14:textId="77777777" w:rsidR="005B2641" w:rsidRPr="005B2641" w:rsidRDefault="005B2641" w:rsidP="00952C91">
            <w:pPr>
              <w:spacing w:after="0" w:line="240" w:lineRule="auto"/>
              <w:rPr>
                <w:rFonts w:ascii="Calibri" w:eastAsia="Times New Roman" w:hAnsi="Calibri" w:cs="Times New Roman"/>
                <w:color w:val="000000"/>
              </w:rPr>
            </w:pPr>
          </w:p>
          <w:p w14:paraId="63D9301C" w14:textId="77777777" w:rsidR="005B2641" w:rsidRPr="005B2641" w:rsidRDefault="005B2641" w:rsidP="00952C91">
            <w:pPr>
              <w:spacing w:after="0" w:line="240" w:lineRule="auto"/>
              <w:rPr>
                <w:rFonts w:ascii="Calibri" w:eastAsia="Times New Roman" w:hAnsi="Calibri" w:cs="Times New Roman"/>
                <w:color w:val="000000"/>
              </w:rPr>
            </w:pPr>
          </w:p>
          <w:p w14:paraId="1E178CDF" w14:textId="77777777" w:rsidR="005B2641" w:rsidRPr="005B2641" w:rsidRDefault="005B2641" w:rsidP="00952C91">
            <w:pPr>
              <w:spacing w:after="0" w:line="240" w:lineRule="auto"/>
              <w:rPr>
                <w:rFonts w:ascii="Calibri" w:eastAsia="Times New Roman" w:hAnsi="Calibri" w:cs="Times New Roman"/>
                <w:color w:val="000000"/>
              </w:rPr>
            </w:pPr>
            <w:r w:rsidRPr="005B2641">
              <w:rPr>
                <w:rFonts w:ascii="Calibri" w:hAnsi="Calibri"/>
                <w:color w:val="000000"/>
              </w:rPr>
              <w:t>38,4</w:t>
            </w:r>
          </w:p>
        </w:tc>
        <w:tc>
          <w:tcPr>
            <w:tcW w:w="919" w:type="pct"/>
            <w:shd w:val="clear" w:color="auto" w:fill="auto"/>
          </w:tcPr>
          <w:p w14:paraId="088413AB" w14:textId="77777777" w:rsidR="005B2641" w:rsidRPr="005B2641" w:rsidRDefault="005B2641" w:rsidP="00952C91">
            <w:pPr>
              <w:spacing w:after="0" w:line="240" w:lineRule="auto"/>
              <w:rPr>
                <w:rFonts w:ascii="Calibri" w:eastAsia="Times New Roman" w:hAnsi="Calibri" w:cs="Times New Roman"/>
                <w:color w:val="000000"/>
              </w:rPr>
            </w:pPr>
            <w:r w:rsidRPr="005B2641">
              <w:rPr>
                <w:rFonts w:ascii="Calibri" w:hAnsi="Calibri"/>
                <w:color w:val="000000"/>
              </w:rPr>
              <w:t>0</w:t>
            </w:r>
          </w:p>
          <w:p w14:paraId="4DF333A1" w14:textId="77777777" w:rsidR="005B2641" w:rsidRPr="005B2641" w:rsidRDefault="005B2641" w:rsidP="00952C91">
            <w:pPr>
              <w:spacing w:after="0" w:line="240" w:lineRule="auto"/>
              <w:rPr>
                <w:rFonts w:ascii="Calibri" w:eastAsia="Times New Roman" w:hAnsi="Calibri" w:cs="Times New Roman"/>
                <w:color w:val="000000"/>
              </w:rPr>
            </w:pPr>
          </w:p>
          <w:p w14:paraId="06107D49" w14:textId="77777777" w:rsidR="005B2641" w:rsidRPr="005B2641" w:rsidRDefault="005B2641" w:rsidP="00952C91">
            <w:pPr>
              <w:spacing w:after="0" w:line="240" w:lineRule="auto"/>
              <w:rPr>
                <w:rFonts w:ascii="Calibri" w:eastAsia="Times New Roman" w:hAnsi="Calibri" w:cs="Times New Roman"/>
                <w:color w:val="000000"/>
              </w:rPr>
            </w:pPr>
          </w:p>
          <w:p w14:paraId="41A30C2C" w14:textId="77777777" w:rsidR="005B2641" w:rsidRPr="005B2641" w:rsidRDefault="005B2641" w:rsidP="00952C91">
            <w:pPr>
              <w:spacing w:after="0" w:line="240" w:lineRule="auto"/>
              <w:rPr>
                <w:rFonts w:ascii="Calibri" w:eastAsia="Times New Roman" w:hAnsi="Calibri" w:cs="Times New Roman"/>
                <w:color w:val="000000"/>
              </w:rPr>
            </w:pPr>
            <w:r w:rsidRPr="005B2641">
              <w:rPr>
                <w:rFonts w:ascii="Calibri" w:hAnsi="Calibri"/>
                <w:color w:val="000000"/>
              </w:rPr>
              <w:t>391,0</w:t>
            </w:r>
          </w:p>
        </w:tc>
        <w:tc>
          <w:tcPr>
            <w:tcW w:w="919" w:type="pct"/>
            <w:shd w:val="clear" w:color="auto" w:fill="auto"/>
          </w:tcPr>
          <w:p w14:paraId="2716C5BC" w14:textId="77777777" w:rsidR="005B2641" w:rsidRPr="005B2641" w:rsidRDefault="005B2641" w:rsidP="00952C91">
            <w:pPr>
              <w:spacing w:after="0" w:line="240" w:lineRule="auto"/>
              <w:rPr>
                <w:rFonts w:ascii="Calibri" w:eastAsia="Times New Roman" w:hAnsi="Calibri" w:cs="Times New Roman"/>
                <w:color w:val="000000"/>
              </w:rPr>
            </w:pPr>
            <w:r w:rsidRPr="005B2641">
              <w:rPr>
                <w:rFonts w:ascii="Calibri" w:hAnsi="Calibri"/>
                <w:color w:val="000000"/>
              </w:rPr>
              <w:t>0</w:t>
            </w:r>
          </w:p>
          <w:p w14:paraId="2FAC774B" w14:textId="77777777" w:rsidR="005B2641" w:rsidRPr="005B2641" w:rsidRDefault="005B2641" w:rsidP="00952C91">
            <w:pPr>
              <w:spacing w:after="0" w:line="240" w:lineRule="auto"/>
              <w:rPr>
                <w:rFonts w:ascii="Calibri" w:eastAsia="Times New Roman" w:hAnsi="Calibri" w:cs="Times New Roman"/>
                <w:color w:val="000000"/>
              </w:rPr>
            </w:pPr>
          </w:p>
          <w:p w14:paraId="0669425B" w14:textId="77777777" w:rsidR="005B2641" w:rsidRPr="005B2641" w:rsidRDefault="005B2641" w:rsidP="00952C91">
            <w:pPr>
              <w:spacing w:after="0" w:line="240" w:lineRule="auto"/>
              <w:rPr>
                <w:rFonts w:ascii="Calibri" w:eastAsia="Times New Roman" w:hAnsi="Calibri" w:cs="Times New Roman"/>
                <w:color w:val="000000"/>
              </w:rPr>
            </w:pPr>
          </w:p>
          <w:p w14:paraId="0F2342D3" w14:textId="77777777" w:rsidR="005B2641" w:rsidRPr="005B2641" w:rsidRDefault="005B2641" w:rsidP="00952C91">
            <w:pPr>
              <w:spacing w:after="0" w:line="240" w:lineRule="auto"/>
              <w:rPr>
                <w:rFonts w:ascii="Calibri" w:eastAsia="Times New Roman" w:hAnsi="Calibri" w:cs="Times New Roman"/>
                <w:color w:val="000000"/>
              </w:rPr>
            </w:pPr>
            <w:r w:rsidRPr="005B2641">
              <w:rPr>
                <w:rFonts w:ascii="Calibri" w:hAnsi="Calibri"/>
                <w:color w:val="000000"/>
              </w:rPr>
              <w:t>429,4</w:t>
            </w:r>
          </w:p>
        </w:tc>
      </w:tr>
      <w:tr w:rsidR="005B2641" w:rsidRPr="005B2641" w14:paraId="75BC91D8" w14:textId="77777777" w:rsidTr="00952C91">
        <w:trPr>
          <w:trHeight w:val="702"/>
        </w:trPr>
        <w:tc>
          <w:tcPr>
            <w:tcW w:w="1277" w:type="pct"/>
            <w:tcBorders>
              <w:bottom w:val="single" w:sz="4" w:space="0" w:color="auto"/>
            </w:tcBorders>
            <w:shd w:val="clear" w:color="auto" w:fill="auto"/>
          </w:tcPr>
          <w:p w14:paraId="39E53B73" w14:textId="77777777" w:rsidR="005B2641" w:rsidRPr="005B2641" w:rsidRDefault="005B2641" w:rsidP="00952C91">
            <w:pPr>
              <w:spacing w:after="0" w:line="240" w:lineRule="auto"/>
              <w:rPr>
                <w:rFonts w:ascii="Calibri" w:eastAsia="Times New Roman" w:hAnsi="Calibri" w:cs="Times New Roman"/>
                <w:color w:val="000000"/>
              </w:rPr>
            </w:pPr>
          </w:p>
          <w:p w14:paraId="2A26812C" w14:textId="77777777" w:rsidR="005B2641" w:rsidRPr="005B2641" w:rsidRDefault="005B2641" w:rsidP="00952C91">
            <w:pPr>
              <w:spacing w:after="0" w:line="240" w:lineRule="auto"/>
              <w:rPr>
                <w:rFonts w:ascii="Calibri" w:eastAsia="Times New Roman" w:hAnsi="Calibri" w:cs="Times New Roman"/>
                <w:b/>
                <w:color w:val="000000"/>
              </w:rPr>
            </w:pPr>
            <w:r w:rsidRPr="005B2641">
              <w:rPr>
                <w:rFonts w:ascii="Calibri" w:hAnsi="Calibri"/>
                <w:b/>
                <w:color w:val="000000"/>
              </w:rPr>
              <w:t>Totales</w:t>
            </w:r>
          </w:p>
        </w:tc>
        <w:tc>
          <w:tcPr>
            <w:tcW w:w="877" w:type="pct"/>
            <w:tcBorders>
              <w:bottom w:val="single" w:sz="4" w:space="0" w:color="auto"/>
            </w:tcBorders>
            <w:shd w:val="clear" w:color="auto" w:fill="auto"/>
          </w:tcPr>
          <w:p w14:paraId="22363905" w14:textId="77777777" w:rsidR="005B2641" w:rsidRPr="005B2641" w:rsidRDefault="005B2641" w:rsidP="00952C91">
            <w:pPr>
              <w:spacing w:after="0" w:line="240" w:lineRule="auto"/>
              <w:rPr>
                <w:rFonts w:ascii="Calibri" w:eastAsia="Times New Roman" w:hAnsi="Calibri" w:cs="Times New Roman"/>
                <w:color w:val="000000"/>
              </w:rPr>
            </w:pPr>
          </w:p>
        </w:tc>
        <w:tc>
          <w:tcPr>
            <w:tcW w:w="1008" w:type="pct"/>
            <w:tcBorders>
              <w:top w:val="nil"/>
              <w:left w:val="nil"/>
              <w:bottom w:val="single" w:sz="4" w:space="0" w:color="auto"/>
              <w:right w:val="nil"/>
            </w:tcBorders>
            <w:shd w:val="clear" w:color="auto" w:fill="auto"/>
          </w:tcPr>
          <w:p w14:paraId="15364BF6" w14:textId="77777777" w:rsidR="005B2641" w:rsidRPr="005B2641" w:rsidRDefault="005B2641" w:rsidP="00952C91">
            <w:pPr>
              <w:spacing w:after="0" w:line="240" w:lineRule="auto"/>
              <w:rPr>
                <w:rFonts w:ascii="Calibri" w:hAnsi="Calibri" w:cs="Calibri"/>
                <w:color w:val="000000"/>
              </w:rPr>
            </w:pPr>
          </w:p>
          <w:p w14:paraId="5F0CD95B" w14:textId="77777777" w:rsidR="005B2641" w:rsidRPr="005B2641" w:rsidRDefault="005B2641" w:rsidP="00952C91">
            <w:pPr>
              <w:spacing w:after="0" w:line="240" w:lineRule="auto"/>
              <w:rPr>
                <w:rFonts w:ascii="Calibri" w:eastAsia="Times New Roman" w:hAnsi="Calibri" w:cs="Times New Roman"/>
                <w:color w:val="000000"/>
              </w:rPr>
            </w:pPr>
            <w:r w:rsidRPr="005B2641">
              <w:rPr>
                <w:rFonts w:ascii="Calibri" w:hAnsi="Calibri"/>
                <w:color w:val="000000"/>
              </w:rPr>
              <w:t>90,5</w:t>
            </w:r>
          </w:p>
        </w:tc>
        <w:tc>
          <w:tcPr>
            <w:tcW w:w="919" w:type="pct"/>
            <w:tcBorders>
              <w:top w:val="nil"/>
              <w:left w:val="nil"/>
              <w:bottom w:val="single" w:sz="4" w:space="0" w:color="auto"/>
              <w:right w:val="nil"/>
            </w:tcBorders>
            <w:shd w:val="clear" w:color="auto" w:fill="auto"/>
          </w:tcPr>
          <w:p w14:paraId="0AFB72B8" w14:textId="77777777" w:rsidR="005B2641" w:rsidRPr="005B2641" w:rsidRDefault="005B2641" w:rsidP="00952C91">
            <w:pPr>
              <w:spacing w:after="0" w:line="240" w:lineRule="auto"/>
              <w:rPr>
                <w:rFonts w:ascii="Calibri" w:hAnsi="Calibri" w:cs="Calibri"/>
                <w:color w:val="000000"/>
              </w:rPr>
            </w:pPr>
          </w:p>
          <w:p w14:paraId="6B6CBD94" w14:textId="77777777" w:rsidR="005B2641" w:rsidRPr="005B2641" w:rsidRDefault="005B2641" w:rsidP="00952C91">
            <w:pPr>
              <w:spacing w:after="0" w:line="240" w:lineRule="auto"/>
              <w:rPr>
                <w:rFonts w:ascii="Calibri" w:eastAsia="Times New Roman" w:hAnsi="Calibri" w:cs="Times New Roman"/>
                <w:color w:val="000000"/>
              </w:rPr>
            </w:pPr>
            <w:r w:rsidRPr="005B2641">
              <w:rPr>
                <w:rFonts w:ascii="Calibri" w:hAnsi="Calibri"/>
                <w:color w:val="000000"/>
              </w:rPr>
              <w:t>664,4</w:t>
            </w:r>
          </w:p>
        </w:tc>
        <w:tc>
          <w:tcPr>
            <w:tcW w:w="919" w:type="pct"/>
            <w:tcBorders>
              <w:bottom w:val="single" w:sz="4" w:space="0" w:color="auto"/>
            </w:tcBorders>
            <w:shd w:val="clear" w:color="auto" w:fill="auto"/>
          </w:tcPr>
          <w:p w14:paraId="45B1D492" w14:textId="77777777" w:rsidR="005B2641" w:rsidRPr="005B2641" w:rsidRDefault="005B2641" w:rsidP="00952C91">
            <w:pPr>
              <w:spacing w:after="0" w:line="240" w:lineRule="auto"/>
              <w:rPr>
                <w:rFonts w:ascii="Calibri" w:eastAsia="Times New Roman" w:hAnsi="Calibri" w:cs="Times New Roman"/>
                <w:color w:val="000000"/>
              </w:rPr>
            </w:pPr>
          </w:p>
          <w:p w14:paraId="5234BDFA" w14:textId="77777777" w:rsidR="005B2641" w:rsidRPr="005B2641" w:rsidRDefault="005B2641" w:rsidP="00952C91">
            <w:pPr>
              <w:spacing w:after="0" w:line="240" w:lineRule="auto"/>
              <w:rPr>
                <w:rFonts w:ascii="Calibri" w:eastAsia="Times New Roman" w:hAnsi="Calibri" w:cs="Times New Roman"/>
                <w:color w:val="000000"/>
              </w:rPr>
            </w:pPr>
            <w:r w:rsidRPr="005B2641">
              <w:rPr>
                <w:rFonts w:ascii="Calibri" w:hAnsi="Calibri"/>
                <w:color w:val="000000"/>
              </w:rPr>
              <w:t>754,9</w:t>
            </w:r>
          </w:p>
          <w:p w14:paraId="4C6910F6" w14:textId="77777777" w:rsidR="005B2641" w:rsidRPr="005B2641" w:rsidRDefault="005B2641" w:rsidP="00952C91">
            <w:pPr>
              <w:spacing w:after="0" w:line="240" w:lineRule="auto"/>
              <w:rPr>
                <w:rFonts w:ascii="Calibri" w:eastAsia="Times New Roman" w:hAnsi="Calibri" w:cs="Times New Roman"/>
                <w:color w:val="000000"/>
              </w:rPr>
            </w:pPr>
          </w:p>
        </w:tc>
      </w:tr>
    </w:tbl>
    <w:p w14:paraId="5E33FB8F" w14:textId="77777777" w:rsidR="005B2641" w:rsidRPr="005B2641" w:rsidRDefault="005B2641" w:rsidP="005B2641">
      <w:pPr>
        <w:rPr>
          <w:snapToGrid w:val="0"/>
        </w:rPr>
      </w:pPr>
    </w:p>
    <w:p w14:paraId="0B4692F7" w14:textId="77777777" w:rsidR="005B2641" w:rsidRPr="005B2641" w:rsidRDefault="005B2641" w:rsidP="005B2641">
      <w:pPr>
        <w:pStyle w:val="Ttulo3"/>
        <w:rPr>
          <w:snapToGrid w:val="0"/>
        </w:rPr>
      </w:pPr>
      <w:bookmarkStart w:id="38" w:name="_Toc35815698"/>
      <w:r w:rsidRPr="005B2641">
        <w:rPr>
          <w:snapToGrid w:val="0"/>
        </w:rPr>
        <w:t>Instrumento distinto de las donaciones</w:t>
      </w:r>
      <w:bookmarkEnd w:id="38"/>
    </w:p>
    <w:p w14:paraId="2D80C46E"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MS Mincho" w:hAnsi="Calibri" w:cs="Times New Roman"/>
          <w:snapToGrid w:val="0"/>
          <w:sz w:val="24"/>
          <w:szCs w:val="24"/>
        </w:rPr>
      </w:pPr>
      <w:r w:rsidRPr="005B2641">
        <w:rPr>
          <w:rFonts w:ascii="Calibri" w:hAnsi="Calibri"/>
          <w:snapToGrid w:val="0"/>
          <w:sz w:val="24"/>
          <w:szCs w:val="24"/>
        </w:rPr>
        <w:t>Las partes interesadas del FMAM se sienten cada vez más atraídas por el uso de instrumentos distintos de las donaciones para obtener financiamiento combinado como un mecanismo para mejorar la participación del sector privado. El financiamiento combinado tiene como objetivo utilizar recursos públicos escasos para movilizar grandes volúmenes de financiamiento privado, por lo que ha despertado gran interés en los últimos años; entre los ejemplos, se cuentan un mecanismo del sector privado destinado a la asistencia internacional para el desarrollo y el énfasis adicional que numerosos fondos bilaterales y multilaterales ponen en el fomento de la inversión privada. La experiencia del FMAM con el uso de instrumentos distintos de las donaciones muestra que el financiamiento combinado puede ser un instrumento poderoso.</w:t>
      </w:r>
    </w:p>
    <w:p w14:paraId="3FFC7A5D"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MS Mincho" w:hAnsi="Calibri" w:cs="Times New Roman"/>
          <w:snapToGrid w:val="0"/>
          <w:sz w:val="24"/>
          <w:szCs w:val="24"/>
        </w:rPr>
      </w:pPr>
      <w:r w:rsidRPr="005B2641">
        <w:rPr>
          <w:rFonts w:ascii="Calibri" w:hAnsi="Calibri"/>
          <w:snapToGrid w:val="0"/>
          <w:sz w:val="24"/>
          <w:szCs w:val="24"/>
        </w:rPr>
        <w:t>En el marco del FMAM</w:t>
      </w:r>
      <w:r w:rsidRPr="005B2641">
        <w:rPr>
          <w:rFonts w:ascii="Calibri" w:hAnsi="Calibri"/>
          <w:snapToGrid w:val="0"/>
          <w:sz w:val="24"/>
          <w:szCs w:val="24"/>
        </w:rPr>
        <w:noBreakHyphen/>
        <w:t>7, el FMAM está acelerando el uso de instrumentos distintos de las donaciones para obtener financiamiento combinado con miras a generar beneficios ambientales de alcance mundial y promover las inversiones de los mercados de capitales a nivel nacional y mundial en consonancia con los objetivos de las áreas focales.</w:t>
      </w:r>
    </w:p>
    <w:p w14:paraId="53EF29C9"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MS Mincho" w:hAnsi="Calibri" w:cs="Times New Roman"/>
          <w:snapToGrid w:val="0"/>
          <w:sz w:val="24"/>
          <w:szCs w:val="24"/>
        </w:rPr>
      </w:pPr>
      <w:r w:rsidRPr="005B2641">
        <w:rPr>
          <w:rFonts w:ascii="Calibri" w:hAnsi="Calibri"/>
          <w:snapToGrid w:val="0"/>
          <w:sz w:val="24"/>
          <w:szCs w:val="24"/>
        </w:rPr>
        <w:lastRenderedPageBreak/>
        <w:t>Durante el período analizado, se aprobó un proyecto de financiamiento con instrumentos distintos de las donaciones que contribuye de manera directa a las Metas 2 y 5 de Aichi, como se expone en el cuadro 11 a continuación.</w:t>
      </w:r>
    </w:p>
    <w:p w14:paraId="1922E25B" w14:textId="77777777" w:rsidR="005B2641" w:rsidRPr="005B2641" w:rsidRDefault="005B2641" w:rsidP="005B2641">
      <w:pPr>
        <w:spacing w:before="240" w:after="240" w:line="240" w:lineRule="auto"/>
        <w:jc w:val="center"/>
        <w:rPr>
          <w:rFonts w:ascii="Calibri" w:eastAsia="MS Mincho" w:hAnsi="Calibri" w:cs="Calibri"/>
          <w:b/>
          <w:snapToGrid w:val="0"/>
          <w:sz w:val="24"/>
          <w:szCs w:val="24"/>
        </w:rPr>
      </w:pPr>
      <w:r w:rsidRPr="005B2641">
        <w:rPr>
          <w:rFonts w:ascii="Calibri" w:hAnsi="Calibri"/>
          <w:b/>
          <w:snapToGrid w:val="0"/>
          <w:sz w:val="24"/>
          <w:szCs w:val="24"/>
        </w:rPr>
        <w:t>Cuadro 11. Distribución acumulativa de los recursos del FMAM correspondiente a los instrumentos distintos de las donaciones, y su contribución al cumplimiento</w:t>
      </w:r>
      <w:r w:rsidRPr="005B2641">
        <w:rPr>
          <w:rFonts w:ascii="Calibri" w:hAnsi="Calibri"/>
          <w:b/>
          <w:snapToGrid w:val="0"/>
          <w:sz w:val="24"/>
          <w:szCs w:val="24"/>
        </w:rPr>
        <w:br/>
        <w:t xml:space="preserve"> de las Metas de Aichi para la Diversidad Biológica</w:t>
      </w:r>
      <w:r w:rsidRPr="005B2641">
        <w:rPr>
          <w:rFonts w:ascii="Calibri" w:hAnsi="Calibri"/>
          <w:b/>
          <w:snapToGrid w:val="0"/>
          <w:sz w:val="24"/>
          <w:szCs w:val="24"/>
        </w:rPr>
        <w:br/>
        <w:t>(del 1 de julio de 2018 al 31 de diciembre de 2019)</w:t>
      </w:r>
      <w:r w:rsidRPr="005B2641">
        <w:rPr>
          <w:rFonts w:ascii="Calibri" w:eastAsia="MS Mincho" w:hAnsi="Calibri" w:cs="Calibri"/>
          <w:snapToGrid w:val="0"/>
          <w:sz w:val="24"/>
          <w:szCs w:val="24"/>
          <w:vertAlign w:val="superscript"/>
        </w:rPr>
        <w:footnoteReference w:id="16"/>
      </w:r>
    </w:p>
    <w:tbl>
      <w:tblPr>
        <w:tblW w:w="4663" w:type="pct"/>
        <w:tblBorders>
          <w:top w:val="single" w:sz="12" w:space="0" w:color="008000"/>
          <w:bottom w:val="single" w:sz="12" w:space="0" w:color="008000"/>
        </w:tblBorders>
        <w:tblLook w:val="04A0" w:firstRow="1" w:lastRow="0" w:firstColumn="1" w:lastColumn="0" w:noHBand="0" w:noVBand="1"/>
      </w:tblPr>
      <w:tblGrid>
        <w:gridCol w:w="2700"/>
        <w:gridCol w:w="1350"/>
        <w:gridCol w:w="1440"/>
        <w:gridCol w:w="1622"/>
        <w:gridCol w:w="1617"/>
      </w:tblGrid>
      <w:tr w:rsidR="005B2641" w:rsidRPr="005B2641" w14:paraId="236BC7A8" w14:textId="77777777" w:rsidTr="00952C91">
        <w:trPr>
          <w:trHeight w:val="570"/>
        </w:trPr>
        <w:tc>
          <w:tcPr>
            <w:tcW w:w="1547" w:type="pct"/>
            <w:shd w:val="clear" w:color="auto" w:fill="auto"/>
            <w:hideMark/>
          </w:tcPr>
          <w:p w14:paraId="6A528AD5" w14:textId="77777777" w:rsidR="005B2641" w:rsidRPr="005B2641" w:rsidRDefault="005B2641" w:rsidP="00952C91">
            <w:pPr>
              <w:spacing w:after="0" w:line="240" w:lineRule="auto"/>
              <w:rPr>
                <w:rFonts w:ascii="Calibri" w:eastAsia="Times New Roman" w:hAnsi="Calibri" w:cs="Calibri"/>
                <w:b/>
                <w:bCs/>
                <w:color w:val="000000"/>
              </w:rPr>
            </w:pPr>
            <w:r w:rsidRPr="005B2641">
              <w:rPr>
                <w:rFonts w:ascii="Calibri" w:hAnsi="Calibri"/>
                <w:b/>
                <w:bCs/>
                <w:color w:val="000000"/>
              </w:rPr>
              <w:t>Proyectos de financiamiento con instrumentos distintos de las donaciones</w:t>
            </w:r>
          </w:p>
        </w:tc>
        <w:tc>
          <w:tcPr>
            <w:tcW w:w="773" w:type="pct"/>
            <w:shd w:val="clear" w:color="auto" w:fill="auto"/>
            <w:hideMark/>
          </w:tcPr>
          <w:p w14:paraId="7BA4FC0B" w14:textId="77777777" w:rsidR="005B2641" w:rsidRPr="005B2641" w:rsidRDefault="005B2641" w:rsidP="00952C91">
            <w:pPr>
              <w:spacing w:after="0" w:line="240" w:lineRule="auto"/>
              <w:rPr>
                <w:rFonts w:ascii="Calibri" w:eastAsia="Times New Roman" w:hAnsi="Calibri" w:cs="Calibri"/>
                <w:b/>
                <w:bCs/>
                <w:color w:val="000000"/>
              </w:rPr>
            </w:pPr>
            <w:r w:rsidRPr="005B2641">
              <w:rPr>
                <w:rFonts w:ascii="Calibri" w:hAnsi="Calibri"/>
                <w:b/>
                <w:bCs/>
                <w:color w:val="000000"/>
              </w:rPr>
              <w:t>Metas de Aichi para la Diversidad Biológica</w:t>
            </w:r>
          </w:p>
        </w:tc>
        <w:tc>
          <w:tcPr>
            <w:tcW w:w="825" w:type="pct"/>
            <w:shd w:val="clear" w:color="auto" w:fill="auto"/>
          </w:tcPr>
          <w:p w14:paraId="03663D11" w14:textId="77777777" w:rsidR="005B2641" w:rsidRPr="005B2641" w:rsidRDefault="005B2641" w:rsidP="00952C91">
            <w:pPr>
              <w:spacing w:after="0" w:line="240" w:lineRule="auto"/>
              <w:rPr>
                <w:rFonts w:ascii="Calibri" w:eastAsia="Times New Roman" w:hAnsi="Calibri" w:cs="Calibri"/>
                <w:b/>
                <w:bCs/>
                <w:color w:val="000000"/>
              </w:rPr>
            </w:pPr>
            <w:r w:rsidRPr="005B2641">
              <w:rPr>
                <w:rFonts w:ascii="Calibri" w:hAnsi="Calibri"/>
                <w:b/>
                <w:bCs/>
                <w:color w:val="000000"/>
              </w:rPr>
              <w:t>Apoyo del FMAM para proyectos</w:t>
            </w:r>
          </w:p>
          <w:p w14:paraId="04416D73" w14:textId="77777777" w:rsidR="005B2641" w:rsidRPr="005B2641" w:rsidRDefault="005B2641" w:rsidP="00952C91">
            <w:pPr>
              <w:spacing w:after="0" w:line="240" w:lineRule="auto"/>
              <w:rPr>
                <w:rFonts w:ascii="Calibri" w:eastAsia="Times New Roman" w:hAnsi="Calibri" w:cs="Calibri"/>
                <w:b/>
                <w:bCs/>
                <w:color w:val="000000"/>
              </w:rPr>
            </w:pPr>
            <w:r w:rsidRPr="005B2641">
              <w:rPr>
                <w:rFonts w:ascii="Calibri" w:hAnsi="Calibri"/>
                <w:b/>
                <w:bCs/>
                <w:color w:val="000000"/>
              </w:rPr>
              <w:t>(en millones de USD)</w:t>
            </w:r>
          </w:p>
        </w:tc>
        <w:tc>
          <w:tcPr>
            <w:tcW w:w="929" w:type="pct"/>
            <w:shd w:val="clear" w:color="auto" w:fill="auto"/>
            <w:hideMark/>
          </w:tcPr>
          <w:p w14:paraId="5D109810" w14:textId="77777777" w:rsidR="005B2641" w:rsidRPr="005B2641" w:rsidRDefault="005B2641" w:rsidP="00952C91">
            <w:pPr>
              <w:spacing w:after="0" w:line="240" w:lineRule="auto"/>
              <w:rPr>
                <w:rFonts w:ascii="Calibri" w:eastAsia="Times New Roman" w:hAnsi="Calibri" w:cs="Calibri"/>
                <w:b/>
                <w:bCs/>
                <w:color w:val="000000"/>
              </w:rPr>
            </w:pPr>
            <w:r w:rsidRPr="005B2641">
              <w:rPr>
                <w:rFonts w:ascii="Calibri" w:hAnsi="Calibri"/>
                <w:b/>
                <w:bCs/>
                <w:color w:val="000000"/>
              </w:rPr>
              <w:t>Cofinanc. (en millones de USD)</w:t>
            </w:r>
          </w:p>
        </w:tc>
        <w:tc>
          <w:tcPr>
            <w:tcW w:w="926" w:type="pct"/>
            <w:shd w:val="clear" w:color="auto" w:fill="auto"/>
          </w:tcPr>
          <w:p w14:paraId="60A67BFF" w14:textId="77777777" w:rsidR="005B2641" w:rsidRPr="005B2641" w:rsidRDefault="005B2641" w:rsidP="00952C91">
            <w:pPr>
              <w:spacing w:after="0" w:line="240" w:lineRule="auto"/>
              <w:rPr>
                <w:rFonts w:ascii="Calibri" w:eastAsia="Times New Roman" w:hAnsi="Calibri" w:cs="Calibri"/>
                <w:b/>
                <w:bCs/>
                <w:color w:val="000000"/>
              </w:rPr>
            </w:pPr>
            <w:r w:rsidRPr="005B2641">
              <w:rPr>
                <w:rFonts w:ascii="Calibri" w:hAnsi="Calibri"/>
                <w:b/>
                <w:bCs/>
                <w:color w:val="000000"/>
              </w:rPr>
              <w:t>Total de recursos</w:t>
            </w:r>
          </w:p>
          <w:p w14:paraId="6DEFCBD6" w14:textId="77777777" w:rsidR="005B2641" w:rsidRPr="005B2641" w:rsidRDefault="005B2641" w:rsidP="00952C91">
            <w:pPr>
              <w:spacing w:after="0" w:line="240" w:lineRule="auto"/>
              <w:rPr>
                <w:rFonts w:ascii="Calibri" w:eastAsia="Times New Roman" w:hAnsi="Calibri" w:cs="Calibri"/>
                <w:b/>
                <w:bCs/>
                <w:color w:val="000000"/>
              </w:rPr>
            </w:pPr>
            <w:r w:rsidRPr="005B2641">
              <w:rPr>
                <w:rFonts w:ascii="Calibri" w:hAnsi="Calibri"/>
                <w:b/>
                <w:bCs/>
                <w:color w:val="000000"/>
              </w:rPr>
              <w:t>(en millones de USD)</w:t>
            </w:r>
          </w:p>
        </w:tc>
      </w:tr>
      <w:tr w:rsidR="005B2641" w:rsidRPr="005B2641" w14:paraId="04371FBC" w14:textId="77777777" w:rsidTr="00952C91">
        <w:trPr>
          <w:trHeight w:val="900"/>
        </w:trPr>
        <w:tc>
          <w:tcPr>
            <w:tcW w:w="1547" w:type="pct"/>
            <w:shd w:val="clear" w:color="auto" w:fill="auto"/>
          </w:tcPr>
          <w:p w14:paraId="78D735B2" w14:textId="77777777" w:rsidR="005B2641" w:rsidRPr="005B2641" w:rsidRDefault="005B2641" w:rsidP="00952C91">
            <w:pPr>
              <w:spacing w:after="0" w:line="240" w:lineRule="auto"/>
              <w:rPr>
                <w:rFonts w:ascii="Calibri" w:eastAsia="Times New Roman" w:hAnsi="Calibri" w:cs="Calibri"/>
                <w:color w:val="000000"/>
              </w:rPr>
            </w:pPr>
            <w:r w:rsidRPr="005B2641">
              <w:rPr>
                <w:rFonts w:ascii="Calibri" w:hAnsi="Calibri"/>
                <w:color w:val="000000"/>
              </w:rPr>
              <w:t>El Fondo para la Seguridad Alimentaria: un fondo destinado a financiar cadenas de suministro sostenibles en los mercados emergentes</w:t>
            </w:r>
          </w:p>
        </w:tc>
        <w:tc>
          <w:tcPr>
            <w:tcW w:w="773" w:type="pct"/>
            <w:shd w:val="clear" w:color="auto" w:fill="auto"/>
          </w:tcPr>
          <w:p w14:paraId="7333DA4F" w14:textId="77777777" w:rsidR="005B2641" w:rsidRPr="005B2641" w:rsidRDefault="005B2641" w:rsidP="00952C91">
            <w:pPr>
              <w:spacing w:after="0" w:line="240" w:lineRule="auto"/>
              <w:rPr>
                <w:rFonts w:ascii="Calibri" w:eastAsia="Times New Roman" w:hAnsi="Calibri" w:cs="Calibri"/>
                <w:color w:val="000000"/>
              </w:rPr>
            </w:pPr>
          </w:p>
          <w:p w14:paraId="274AF13A" w14:textId="77777777" w:rsidR="005B2641" w:rsidRPr="005B2641" w:rsidRDefault="005B2641" w:rsidP="00952C91">
            <w:pPr>
              <w:spacing w:after="0" w:line="240" w:lineRule="auto"/>
              <w:rPr>
                <w:rFonts w:ascii="Calibri" w:eastAsia="Times New Roman" w:hAnsi="Calibri" w:cs="Calibri"/>
                <w:color w:val="000000"/>
              </w:rPr>
            </w:pPr>
            <w:r w:rsidRPr="005B2641">
              <w:rPr>
                <w:rFonts w:ascii="Calibri" w:hAnsi="Calibri"/>
                <w:color w:val="000000"/>
              </w:rPr>
              <w:t>2, 5</w:t>
            </w:r>
          </w:p>
        </w:tc>
        <w:tc>
          <w:tcPr>
            <w:tcW w:w="825" w:type="pct"/>
            <w:shd w:val="clear" w:color="auto" w:fill="auto"/>
          </w:tcPr>
          <w:p w14:paraId="01150089" w14:textId="77777777" w:rsidR="005B2641" w:rsidRPr="005B2641" w:rsidRDefault="005B2641" w:rsidP="00952C91">
            <w:pPr>
              <w:spacing w:after="0" w:line="240" w:lineRule="auto"/>
              <w:rPr>
                <w:rFonts w:ascii="Calibri" w:eastAsia="MS Mincho" w:hAnsi="Calibri" w:cs="Calibri"/>
              </w:rPr>
            </w:pPr>
          </w:p>
          <w:p w14:paraId="1DC23FAB" w14:textId="77777777" w:rsidR="005B2641" w:rsidRPr="005B2641" w:rsidRDefault="005B2641" w:rsidP="00952C91">
            <w:pPr>
              <w:spacing w:after="0" w:line="240" w:lineRule="auto"/>
              <w:rPr>
                <w:rFonts w:ascii="Calibri" w:eastAsia="MS Mincho" w:hAnsi="Calibri" w:cs="Calibri"/>
              </w:rPr>
            </w:pPr>
            <w:r w:rsidRPr="005B2641">
              <w:rPr>
                <w:rFonts w:ascii="Calibri" w:hAnsi="Calibri"/>
              </w:rPr>
              <w:t>15,0</w:t>
            </w:r>
          </w:p>
        </w:tc>
        <w:tc>
          <w:tcPr>
            <w:tcW w:w="929" w:type="pct"/>
            <w:shd w:val="clear" w:color="auto" w:fill="auto"/>
          </w:tcPr>
          <w:p w14:paraId="401149EE" w14:textId="77777777" w:rsidR="005B2641" w:rsidRPr="005B2641" w:rsidRDefault="005B2641" w:rsidP="00952C91">
            <w:pPr>
              <w:spacing w:after="0" w:line="240" w:lineRule="auto"/>
              <w:rPr>
                <w:rFonts w:ascii="Calibri" w:eastAsia="MS Mincho" w:hAnsi="Calibri" w:cs="Calibri"/>
              </w:rPr>
            </w:pPr>
          </w:p>
          <w:p w14:paraId="724E0763" w14:textId="77777777" w:rsidR="005B2641" w:rsidRPr="005B2641" w:rsidRDefault="005B2641" w:rsidP="00952C91">
            <w:pPr>
              <w:spacing w:after="0" w:line="240" w:lineRule="auto"/>
              <w:rPr>
                <w:rFonts w:ascii="Calibri" w:eastAsia="MS Mincho" w:hAnsi="Calibri" w:cs="Calibri"/>
              </w:rPr>
            </w:pPr>
            <w:r w:rsidRPr="005B2641">
              <w:rPr>
                <w:rFonts w:ascii="Calibri" w:hAnsi="Calibri"/>
              </w:rPr>
              <w:t>773,3</w:t>
            </w:r>
          </w:p>
        </w:tc>
        <w:tc>
          <w:tcPr>
            <w:tcW w:w="926" w:type="pct"/>
            <w:shd w:val="clear" w:color="auto" w:fill="auto"/>
          </w:tcPr>
          <w:p w14:paraId="367E53E8" w14:textId="77777777" w:rsidR="005B2641" w:rsidRPr="005B2641" w:rsidRDefault="005B2641" w:rsidP="00952C91">
            <w:pPr>
              <w:spacing w:after="0" w:line="240" w:lineRule="auto"/>
              <w:rPr>
                <w:rFonts w:ascii="Calibri" w:eastAsia="MS Mincho" w:hAnsi="Calibri" w:cs="Calibri"/>
              </w:rPr>
            </w:pPr>
          </w:p>
          <w:p w14:paraId="2765B756" w14:textId="77777777" w:rsidR="005B2641" w:rsidRPr="005B2641" w:rsidRDefault="005B2641" w:rsidP="00952C91">
            <w:pPr>
              <w:spacing w:after="0" w:line="240" w:lineRule="auto"/>
              <w:rPr>
                <w:rFonts w:ascii="Calibri" w:eastAsia="MS Mincho" w:hAnsi="Calibri" w:cs="Calibri"/>
              </w:rPr>
            </w:pPr>
            <w:r w:rsidRPr="005B2641">
              <w:rPr>
                <w:rFonts w:ascii="Calibri" w:hAnsi="Calibri"/>
              </w:rPr>
              <w:t>788,3</w:t>
            </w:r>
          </w:p>
        </w:tc>
      </w:tr>
      <w:tr w:rsidR="005B2641" w:rsidRPr="005B2641" w14:paraId="0993A5FF" w14:textId="77777777" w:rsidTr="00952C91">
        <w:trPr>
          <w:trHeight w:val="900"/>
        </w:trPr>
        <w:tc>
          <w:tcPr>
            <w:tcW w:w="1547" w:type="pct"/>
            <w:shd w:val="clear" w:color="auto" w:fill="auto"/>
          </w:tcPr>
          <w:p w14:paraId="51C91955" w14:textId="77777777" w:rsidR="005B2641" w:rsidRPr="005B2641" w:rsidRDefault="005B2641" w:rsidP="00952C91">
            <w:pPr>
              <w:spacing w:after="0" w:line="240" w:lineRule="auto"/>
              <w:rPr>
                <w:rFonts w:ascii="Calibri" w:eastAsia="Times New Roman" w:hAnsi="Calibri" w:cs="Calibri"/>
                <w:color w:val="000000"/>
              </w:rPr>
            </w:pPr>
          </w:p>
          <w:p w14:paraId="2ADDA7E6" w14:textId="77777777" w:rsidR="005B2641" w:rsidRPr="005B2641" w:rsidRDefault="005B2641" w:rsidP="00952C91">
            <w:pPr>
              <w:spacing w:after="0" w:line="240" w:lineRule="auto"/>
              <w:rPr>
                <w:rFonts w:ascii="Calibri" w:eastAsia="Times New Roman" w:hAnsi="Calibri" w:cs="Calibri"/>
                <w:b/>
                <w:color w:val="000000"/>
              </w:rPr>
            </w:pPr>
            <w:r w:rsidRPr="005B2641">
              <w:rPr>
                <w:rFonts w:ascii="Calibri" w:hAnsi="Calibri"/>
                <w:b/>
                <w:color w:val="000000"/>
              </w:rPr>
              <w:t>Totales</w:t>
            </w:r>
          </w:p>
          <w:p w14:paraId="147EEA1D" w14:textId="77777777" w:rsidR="005B2641" w:rsidRPr="005B2641" w:rsidRDefault="005B2641" w:rsidP="00952C91">
            <w:pPr>
              <w:spacing w:after="0" w:line="240" w:lineRule="auto"/>
              <w:rPr>
                <w:rFonts w:ascii="Calibri" w:eastAsia="Times New Roman" w:hAnsi="Calibri" w:cs="Calibri"/>
                <w:color w:val="000000"/>
              </w:rPr>
            </w:pPr>
          </w:p>
        </w:tc>
        <w:tc>
          <w:tcPr>
            <w:tcW w:w="773" w:type="pct"/>
            <w:shd w:val="clear" w:color="auto" w:fill="auto"/>
          </w:tcPr>
          <w:p w14:paraId="63E81FEB" w14:textId="77777777" w:rsidR="005B2641" w:rsidRPr="005B2641" w:rsidRDefault="005B2641" w:rsidP="00952C91">
            <w:pPr>
              <w:spacing w:after="0" w:line="240" w:lineRule="auto"/>
              <w:rPr>
                <w:rFonts w:ascii="Calibri" w:eastAsia="Times New Roman" w:hAnsi="Calibri" w:cs="Calibri"/>
                <w:color w:val="000000"/>
              </w:rPr>
            </w:pPr>
          </w:p>
          <w:p w14:paraId="5B1D5BDA" w14:textId="77777777" w:rsidR="005B2641" w:rsidRPr="005B2641" w:rsidRDefault="005B2641" w:rsidP="00952C91">
            <w:pPr>
              <w:spacing w:after="0" w:line="240" w:lineRule="auto"/>
              <w:rPr>
                <w:rFonts w:ascii="Calibri" w:eastAsia="Times New Roman" w:hAnsi="Calibri" w:cs="Calibri"/>
                <w:color w:val="000000"/>
              </w:rPr>
            </w:pPr>
          </w:p>
        </w:tc>
        <w:tc>
          <w:tcPr>
            <w:tcW w:w="825" w:type="pct"/>
            <w:shd w:val="clear" w:color="auto" w:fill="auto"/>
          </w:tcPr>
          <w:p w14:paraId="1059A01A" w14:textId="77777777" w:rsidR="005B2641" w:rsidRPr="005B2641" w:rsidRDefault="005B2641" w:rsidP="00952C91">
            <w:pPr>
              <w:spacing w:after="0" w:line="240" w:lineRule="auto"/>
              <w:rPr>
                <w:rFonts w:ascii="Calibri" w:eastAsia="Times New Roman" w:hAnsi="Calibri" w:cs="Calibri"/>
                <w:color w:val="000000"/>
              </w:rPr>
            </w:pPr>
          </w:p>
          <w:p w14:paraId="595FBA1E" w14:textId="77777777" w:rsidR="005B2641" w:rsidRPr="005B2641" w:rsidRDefault="005B2641" w:rsidP="00952C91">
            <w:pPr>
              <w:spacing w:after="0" w:line="240" w:lineRule="auto"/>
              <w:rPr>
                <w:rFonts w:ascii="Calibri" w:eastAsia="Times New Roman" w:hAnsi="Calibri" w:cs="Calibri"/>
                <w:color w:val="000000"/>
              </w:rPr>
            </w:pPr>
            <w:r w:rsidRPr="005B2641">
              <w:rPr>
                <w:rFonts w:ascii="Calibri" w:hAnsi="Calibri"/>
                <w:color w:val="000000"/>
              </w:rPr>
              <w:t>15,0</w:t>
            </w:r>
          </w:p>
        </w:tc>
        <w:tc>
          <w:tcPr>
            <w:tcW w:w="929" w:type="pct"/>
            <w:shd w:val="clear" w:color="auto" w:fill="auto"/>
          </w:tcPr>
          <w:p w14:paraId="48740556" w14:textId="77777777" w:rsidR="005B2641" w:rsidRPr="005B2641" w:rsidRDefault="005B2641" w:rsidP="00952C91">
            <w:pPr>
              <w:spacing w:after="0" w:line="240" w:lineRule="auto"/>
              <w:rPr>
                <w:rFonts w:ascii="Calibri" w:eastAsia="Times New Roman" w:hAnsi="Calibri" w:cs="Calibri"/>
                <w:color w:val="000000"/>
              </w:rPr>
            </w:pPr>
          </w:p>
          <w:p w14:paraId="25FD986C" w14:textId="77777777" w:rsidR="005B2641" w:rsidRPr="005B2641" w:rsidRDefault="005B2641" w:rsidP="00952C91">
            <w:pPr>
              <w:spacing w:after="0" w:line="240" w:lineRule="auto"/>
              <w:rPr>
                <w:rFonts w:ascii="Calibri" w:eastAsia="Times New Roman" w:hAnsi="Calibri" w:cs="Calibri"/>
                <w:color w:val="000000"/>
              </w:rPr>
            </w:pPr>
            <w:r w:rsidRPr="005B2641">
              <w:rPr>
                <w:rFonts w:ascii="Calibri" w:hAnsi="Calibri"/>
                <w:color w:val="000000"/>
              </w:rPr>
              <w:t>773,3</w:t>
            </w:r>
          </w:p>
        </w:tc>
        <w:tc>
          <w:tcPr>
            <w:tcW w:w="926" w:type="pct"/>
            <w:shd w:val="clear" w:color="auto" w:fill="auto"/>
          </w:tcPr>
          <w:p w14:paraId="0CCD3B75" w14:textId="77777777" w:rsidR="005B2641" w:rsidRPr="005B2641" w:rsidRDefault="005B2641" w:rsidP="00952C91">
            <w:pPr>
              <w:spacing w:after="0" w:line="240" w:lineRule="auto"/>
              <w:rPr>
                <w:rFonts w:ascii="Calibri" w:eastAsia="Times New Roman" w:hAnsi="Calibri" w:cs="Calibri"/>
                <w:color w:val="000000"/>
              </w:rPr>
            </w:pPr>
          </w:p>
          <w:p w14:paraId="386EB146" w14:textId="77777777" w:rsidR="005B2641" w:rsidRPr="005B2641" w:rsidRDefault="005B2641" w:rsidP="00952C91">
            <w:pPr>
              <w:spacing w:after="0" w:line="240" w:lineRule="auto"/>
              <w:rPr>
                <w:rFonts w:ascii="Calibri" w:eastAsia="Times New Roman" w:hAnsi="Calibri" w:cs="Calibri"/>
                <w:color w:val="000000"/>
              </w:rPr>
            </w:pPr>
            <w:r w:rsidRPr="005B2641">
              <w:rPr>
                <w:rFonts w:ascii="Calibri" w:hAnsi="Calibri"/>
                <w:color w:val="000000"/>
              </w:rPr>
              <w:t>788,3</w:t>
            </w:r>
          </w:p>
        </w:tc>
      </w:tr>
    </w:tbl>
    <w:p w14:paraId="0053D9C5" w14:textId="77777777" w:rsidR="005B2641" w:rsidRPr="005B2641" w:rsidRDefault="005B2641" w:rsidP="005B2641">
      <w:pPr>
        <w:spacing w:after="0"/>
        <w:rPr>
          <w:snapToGrid w:val="0"/>
        </w:rPr>
      </w:pPr>
    </w:p>
    <w:p w14:paraId="2BD5FB89" w14:textId="77777777" w:rsidR="005B2641" w:rsidRPr="005B2641" w:rsidRDefault="005B2641" w:rsidP="005B2641">
      <w:pPr>
        <w:pStyle w:val="Ttulo3"/>
        <w:rPr>
          <w:snapToGrid w:val="0"/>
        </w:rPr>
      </w:pPr>
      <w:bookmarkStart w:id="39" w:name="_Toc35815699"/>
      <w:r w:rsidRPr="005B2641">
        <w:rPr>
          <w:snapToGrid w:val="0"/>
        </w:rPr>
        <w:t>Programa de Pequeñas Donaciones</w:t>
      </w:r>
      <w:bookmarkEnd w:id="39"/>
    </w:p>
    <w:p w14:paraId="4B1F8D9D"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MS Mincho" w:hAnsi="Calibri" w:cs="Calibri"/>
          <w:snapToGrid w:val="0"/>
          <w:sz w:val="24"/>
          <w:szCs w:val="24"/>
        </w:rPr>
      </w:pPr>
      <w:r w:rsidRPr="005B2641">
        <w:rPr>
          <w:rFonts w:ascii="Calibri" w:hAnsi="Calibri"/>
          <w:sz w:val="24"/>
          <w:szCs w:val="24"/>
        </w:rPr>
        <w:t xml:space="preserve">Durante el período analizado, </w:t>
      </w:r>
      <w:r w:rsidRPr="005B2641">
        <w:rPr>
          <w:rFonts w:ascii="Calibri" w:hAnsi="Calibri"/>
          <w:snapToGrid w:val="0"/>
          <w:sz w:val="24"/>
          <w:szCs w:val="24"/>
        </w:rPr>
        <w:t>el FMAM aprobó la primera etapa del PPD para el FMAM</w:t>
      </w:r>
      <w:r w:rsidRPr="005B2641">
        <w:rPr>
          <w:rFonts w:ascii="Calibri" w:hAnsi="Calibri"/>
          <w:snapToGrid w:val="0"/>
          <w:sz w:val="24"/>
          <w:szCs w:val="24"/>
        </w:rPr>
        <w:noBreakHyphen/>
        <w:t>7 por un total de USD 64 millones. Esto incluye un componente sobre biodiversidad de USD 21 millones de los recursos del FMAM, por el que se ha movilizado un monto idéntico en cofinanciamiento. Asimismo, el FMAM aprobó siete ideas de PPD actualizados (Brasil, Costa Rica, Egipto, India, Kenya, Malasia y Filipinas) y un proyecto mediano (Ecuador) con recursos del SATR que incluyen componentes de biodiversidad por un total aproximado de USD 18,8 millones en recursos del FMAM, con los que se espera generar USD 19,3 millones en cofinanciamiento.</w:t>
      </w:r>
    </w:p>
    <w:p w14:paraId="148895E8"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MS Mincho" w:hAnsi="Calibri" w:cs="Calibri"/>
          <w:snapToGrid w:val="0"/>
          <w:sz w:val="24"/>
          <w:szCs w:val="24"/>
        </w:rPr>
      </w:pPr>
      <w:r w:rsidRPr="005B2641">
        <w:rPr>
          <w:rFonts w:ascii="Calibri" w:hAnsi="Calibri"/>
          <w:snapToGrid w:val="0"/>
          <w:sz w:val="24"/>
          <w:szCs w:val="24"/>
        </w:rPr>
        <w:t>De acuerdo con el informe anual de seguimiento del PPD correspondiente al ejercicio de 2018, que se extiende desde julio de 2018 hasta junio de 2019, la cartera activa de proyectos de donaciones financiados con fondos del FMAM ascendió a 3182 proyectos por valor de USD 108,5 millones, y se movilizaron USD 99,5 millones en cofinanciamiento. La distribución por área focal de todos los proyectos del PPD en ejecución siguió estando fuertemente orientada a la biodiversidad como área focal principal, ya que representó la mayor proporción de la cartera (40 %).</w:t>
      </w:r>
    </w:p>
    <w:p w14:paraId="56EB9EE6"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MS Mincho" w:hAnsi="Calibri" w:cs="Calibri"/>
          <w:snapToGrid w:val="0"/>
          <w:sz w:val="24"/>
          <w:szCs w:val="24"/>
        </w:rPr>
      </w:pPr>
      <w:r w:rsidRPr="005B2641">
        <w:rPr>
          <w:rFonts w:ascii="Calibri" w:hAnsi="Calibri"/>
          <w:snapToGrid w:val="0"/>
          <w:sz w:val="24"/>
          <w:szCs w:val="24"/>
        </w:rPr>
        <w:lastRenderedPageBreak/>
        <w:t>Con 408 proyectos de biodiversidad finalizados durante el ejercicio de 2018, el PPD ha ayudado a mantener o mejorar el estado de conservación de al menos 859 especies, y ha influido positivamente en 172 áreas protegidas y 244 zonas conservadas por las comunidades indígenas, con lo que se logró abarcar un total de 5,8 millones de hectáreas. Además, un total de 162 paisajes terrestres y marinos fueron sometidos a un régimen más adecuado de conservación comunitaria y uso sostenible. En cuanto al uso sostenible de la biodiversidad, a través de proyectos del PPD se han respaldado un total de 471 productos basados en la biodiversidad.</w:t>
      </w:r>
    </w:p>
    <w:p w14:paraId="283BD18C"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MS Mincho" w:hAnsi="Calibri" w:cs="Calibri"/>
          <w:snapToGrid w:val="0"/>
          <w:sz w:val="24"/>
          <w:szCs w:val="24"/>
        </w:rPr>
      </w:pPr>
      <w:r w:rsidRPr="005B2641">
        <w:rPr>
          <w:rFonts w:ascii="Calibri" w:hAnsi="Calibri"/>
          <w:snapToGrid w:val="0"/>
          <w:sz w:val="24"/>
          <w:szCs w:val="18"/>
        </w:rPr>
        <w:t>La cartera correspondiente al área focal de biodiversidad en el marco del PPD se ha centrado en respaldar mejoras en la eficacia de la gestión de las áreas protegidas, y en incorporar la conservación y el uso sostenible de la biodiversidad en los sectores y paisajes terrestres/marinos productivos. En el marco del FMAM-7, el PPD apunta a consolidar su enfoque integrado, que abarca varias áreas focales, para respaldar proyectos comunitarios. Entre las iniciativas estratégicas del PPD correspondientes al FMAM-7 que abordan los beneficios del área focal de biodiversidad se incluyen las siguientes: la conservación comunitaria de especies y ecosistemas amenazados; la gestión sostenible de la agricultura y la pesca; las coaliciones a nivel local y mundial para la gestión de los productos químicos y desechos, y las soluciones urbanas sostenibles. Estas iniciativas, así como cada estrategia programática nacional de dicho programa, están en consonancia con las orientaciones generales para la programación en el marco del FMAM-7, incluida la presentación de informes sobre el marco de resultados y los indicadores del FMAM relacionados con la biodiversidad.</w:t>
      </w:r>
    </w:p>
    <w:p w14:paraId="19E2A23B"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MS Mincho" w:hAnsi="Calibri" w:cs="Calibri"/>
          <w:snapToGrid w:val="0"/>
          <w:sz w:val="24"/>
          <w:szCs w:val="24"/>
        </w:rPr>
      </w:pPr>
      <w:r w:rsidRPr="005B2641">
        <w:rPr>
          <w:rFonts w:ascii="Calibri" w:hAnsi="Calibri"/>
          <w:snapToGrid w:val="0"/>
          <w:sz w:val="24"/>
          <w:szCs w:val="24"/>
        </w:rPr>
        <w:t>Con respecto a la implementación del Plan Estratégico sobre Biodiversidad y las Metas de Aichi, en el marco del PPD también se sigue trabajando con una amplia gama de otros donantes y movilizando cofinanciamiento a partir de los recursos del FMAM de los Gobiernos de Alemania (zonas conservadas por las comunidades indígenas), Australia (resiliencia de los ecosistemas) y Japón (resiliencia socioecológica de los paisajes productivos) en las siguientes áreas clave:</w:t>
      </w:r>
    </w:p>
    <w:p w14:paraId="26767805" w14:textId="77777777" w:rsidR="005B2641" w:rsidRPr="005B2641" w:rsidRDefault="005B2641" w:rsidP="005B2641">
      <w:pPr>
        <w:pStyle w:val="Prrafodelista"/>
        <w:numPr>
          <w:ilvl w:val="0"/>
          <w:numId w:val="22"/>
        </w:numPr>
        <w:spacing w:before="120" w:after="120" w:line="240" w:lineRule="auto"/>
        <w:ind w:left="1080"/>
        <w:contextualSpacing w:val="0"/>
        <w:rPr>
          <w:rFonts w:ascii="Calibri" w:eastAsia="MS Mincho" w:hAnsi="Calibri" w:cs="Calibri"/>
          <w:snapToGrid w:val="0"/>
          <w:sz w:val="24"/>
          <w:szCs w:val="24"/>
        </w:rPr>
      </w:pPr>
      <w:r w:rsidRPr="005B2641">
        <w:rPr>
          <w:rFonts w:ascii="Calibri" w:hAnsi="Calibri"/>
          <w:snapToGrid w:val="0"/>
          <w:sz w:val="24"/>
          <w:szCs w:val="24"/>
        </w:rPr>
        <w:t>el reconocimiento de los saberes, las innovaciones y las prácticas de los pueblos indígenas y comunidades locales, tal como fue abordado por el Grupo de Trabajo del CDB en la aplicación de los artículos 8 j (conocimientos tradicionales) y 10 c (usos consuetudinarios), a través de asociaciones con la Red de Mujeres Indígenas sobre Biodiversidad, como la Red de Mujeres en América Latina y el Pacto de los Pueblos Indígenas de Asia;</w:t>
      </w:r>
    </w:p>
    <w:p w14:paraId="29E70F57" w14:textId="77777777" w:rsidR="005B2641" w:rsidRPr="005B2641" w:rsidRDefault="005B2641" w:rsidP="005B2641">
      <w:pPr>
        <w:pStyle w:val="Prrafodelista"/>
        <w:numPr>
          <w:ilvl w:val="0"/>
          <w:numId w:val="22"/>
        </w:numPr>
        <w:spacing w:before="120" w:after="120" w:line="240" w:lineRule="auto"/>
        <w:ind w:left="1080"/>
        <w:contextualSpacing w:val="0"/>
        <w:rPr>
          <w:rFonts w:ascii="Calibri" w:eastAsia="MS Mincho" w:hAnsi="Calibri" w:cs="Calibri"/>
          <w:snapToGrid w:val="0"/>
          <w:sz w:val="24"/>
          <w:szCs w:val="24"/>
        </w:rPr>
      </w:pPr>
      <w:r w:rsidRPr="005B2641">
        <w:rPr>
          <w:rFonts w:ascii="Calibri" w:hAnsi="Calibri"/>
          <w:snapToGrid w:val="0"/>
          <w:sz w:val="24"/>
          <w:szCs w:val="24"/>
        </w:rPr>
        <w:t>la contribución de las innovaciones y las prácticas de los pueblos indígenas y comunidades locales a los servicios de polinización y a los modelos basados en el “intercambio de tierras” de conectividad de los ecosistemas y conservación de los corredores, conforme a lo recomendado en el informe de la evaluación mundial de la Plataforma Intergubernamental Científico-Normativa sobre Diversidad Biológica y Servicios de los Ecosistemas en abril de 2019;</w:t>
      </w:r>
    </w:p>
    <w:p w14:paraId="204446F0" w14:textId="77777777" w:rsidR="005B2641" w:rsidRPr="005B2641" w:rsidRDefault="005B2641" w:rsidP="005B2641">
      <w:pPr>
        <w:pStyle w:val="Prrafodelista"/>
        <w:numPr>
          <w:ilvl w:val="0"/>
          <w:numId w:val="22"/>
        </w:numPr>
        <w:spacing w:before="120" w:after="120" w:line="240" w:lineRule="auto"/>
        <w:ind w:left="1080"/>
        <w:contextualSpacing w:val="0"/>
        <w:rPr>
          <w:rFonts w:ascii="Calibri" w:eastAsia="MS Mincho" w:hAnsi="Calibri" w:cs="Calibri"/>
          <w:snapToGrid w:val="0"/>
          <w:sz w:val="24"/>
          <w:szCs w:val="24"/>
        </w:rPr>
      </w:pPr>
      <w:r w:rsidRPr="005B2641">
        <w:rPr>
          <w:rFonts w:ascii="Calibri" w:hAnsi="Calibri"/>
          <w:snapToGrid w:val="0"/>
          <w:sz w:val="24"/>
          <w:szCs w:val="24"/>
        </w:rPr>
        <w:t xml:space="preserve">la gestión compartida de las áreas protegidas administradas por los Gobiernos (tipos A y B de la Unión Internacional para la Conservación de la Naturaleza [UICN]), y áreas protegidas o conservadas por particulares (tipo C de la UICN), con especial </w:t>
      </w:r>
      <w:r w:rsidRPr="005B2641">
        <w:rPr>
          <w:rFonts w:ascii="Calibri" w:hAnsi="Calibri"/>
          <w:snapToGrid w:val="0"/>
          <w:sz w:val="24"/>
          <w:szCs w:val="24"/>
        </w:rPr>
        <w:lastRenderedPageBreak/>
        <w:t>énfasis en grupos de pequeñas donaciones a nivel de paisaje en los Sitios de Patrimonio Mundial de la Unesco, las reservas de biósfera, los sitios de Ramsar, los parques geológicos y las áreas marinas protegidas, como las zonas marinas gestionadas localmente, así como en las inmediaciones de dichos sitios;</w:t>
      </w:r>
    </w:p>
    <w:p w14:paraId="76621FDA" w14:textId="77777777" w:rsidR="005B2641" w:rsidRPr="005B2641" w:rsidRDefault="005B2641" w:rsidP="005B2641">
      <w:pPr>
        <w:pStyle w:val="Prrafodelista"/>
        <w:numPr>
          <w:ilvl w:val="0"/>
          <w:numId w:val="22"/>
        </w:numPr>
        <w:spacing w:before="120" w:after="120" w:line="240" w:lineRule="auto"/>
        <w:ind w:left="1080"/>
        <w:contextualSpacing w:val="0"/>
        <w:rPr>
          <w:rFonts w:ascii="Calibri" w:hAnsi="Calibri"/>
          <w:snapToGrid w:val="0"/>
          <w:sz w:val="24"/>
          <w:szCs w:val="24"/>
        </w:rPr>
      </w:pPr>
      <w:r w:rsidRPr="005B2641">
        <w:rPr>
          <w:rFonts w:ascii="Calibri" w:hAnsi="Calibri"/>
          <w:snapToGrid w:val="0"/>
          <w:sz w:val="24"/>
          <w:szCs w:val="24"/>
        </w:rPr>
        <w:t>la función de las zonas y los territorios conservados por las comunidades y los pueblos indígenas en el cumplimiento de la Meta 11 de Aichi, en particular mediante la colaboración activa con el Grupo de Trabajo de la Comisión Mundial de Áreas Protegidas de la UICN en lo que respecta a “otras medidas de conservación eficaces basadas en áreas” reconocidas en la Decisión CBD/COP/DEC/14/8 de la COP</w:t>
      </w:r>
      <w:r w:rsidRPr="005B2641">
        <w:rPr>
          <w:rFonts w:ascii="Calibri" w:hAnsi="Calibri"/>
          <w:snapToGrid w:val="0"/>
          <w:sz w:val="24"/>
          <w:szCs w:val="24"/>
        </w:rPr>
        <w:noBreakHyphen/>
        <w:t>14 en el CDB, llevada a cabo en Sharm el-Sheikh (Egipto), como una contribución al nuevo marco estratégico del CDB posterior a 2020 y el Nuevo Acuerdo para la Naturaleza.</w:t>
      </w:r>
    </w:p>
    <w:p w14:paraId="2D6CF704" w14:textId="77777777" w:rsidR="005B2641" w:rsidRPr="005B2641" w:rsidRDefault="005B2641" w:rsidP="005B2641">
      <w:pPr>
        <w:rPr>
          <w:rFonts w:ascii="Calibri" w:hAnsi="Calibri"/>
          <w:snapToGrid w:val="0"/>
          <w:sz w:val="24"/>
          <w:szCs w:val="24"/>
        </w:rPr>
      </w:pPr>
      <w:r w:rsidRPr="005B2641">
        <w:rPr>
          <w:rFonts w:ascii="Calibri" w:hAnsi="Calibri"/>
          <w:snapToGrid w:val="0"/>
          <w:sz w:val="24"/>
          <w:szCs w:val="24"/>
        </w:rPr>
        <w:br w:type="page"/>
      </w:r>
    </w:p>
    <w:p w14:paraId="484D2201" w14:textId="77777777" w:rsidR="005B2641" w:rsidRPr="005B2641" w:rsidRDefault="005B2641" w:rsidP="005B2641">
      <w:pPr>
        <w:pStyle w:val="Ttulo1"/>
        <w:numPr>
          <w:ilvl w:val="0"/>
          <w:numId w:val="27"/>
        </w:numPr>
        <w:spacing w:before="240" w:after="240"/>
        <w:ind w:left="187" w:hanging="187"/>
        <w:jc w:val="left"/>
      </w:pPr>
      <w:bookmarkStart w:id="40" w:name="_Toc35815700"/>
      <w:r w:rsidRPr="005B2641">
        <w:lastRenderedPageBreak/>
        <w:t>Respuesta del FMAM a las orientaciones de la COP</w:t>
      </w:r>
      <w:r w:rsidRPr="005B2641">
        <w:noBreakHyphen/>
        <w:t>14 en el CDB</w:t>
      </w:r>
      <w:bookmarkEnd w:id="40"/>
    </w:p>
    <w:p w14:paraId="521E5A20" w14:textId="77777777" w:rsidR="005B2641" w:rsidRPr="005B2641" w:rsidRDefault="005B2641" w:rsidP="005B2641">
      <w:pPr>
        <w:pStyle w:val="Prrafodelista"/>
        <w:numPr>
          <w:ilvl w:val="0"/>
          <w:numId w:val="25"/>
        </w:numPr>
        <w:spacing w:before="240" w:after="240" w:line="240" w:lineRule="auto"/>
        <w:ind w:left="0" w:firstLine="0"/>
        <w:contextualSpacing w:val="0"/>
        <w:rPr>
          <w:sz w:val="24"/>
          <w:szCs w:val="24"/>
        </w:rPr>
      </w:pPr>
      <w:r w:rsidRPr="005B2641">
        <w:rPr>
          <w:snapToGrid w:val="0"/>
          <w:sz w:val="24"/>
          <w:szCs w:val="24"/>
        </w:rPr>
        <w:t>En la COP</w:t>
      </w:r>
      <w:r w:rsidRPr="005B2641">
        <w:rPr>
          <w:snapToGrid w:val="0"/>
          <w:sz w:val="24"/>
          <w:szCs w:val="24"/>
        </w:rPr>
        <w:noBreakHyphen/>
        <w:t>14, las Partes impartieron al FMAM orientaciones relativas a una variedad de temas</w:t>
      </w:r>
      <w:r w:rsidRPr="005B2641">
        <w:rPr>
          <w:snapToGrid w:val="0"/>
          <w:sz w:val="24"/>
          <w:szCs w:val="24"/>
          <w:vertAlign w:val="superscript"/>
        </w:rPr>
        <w:footnoteReference w:id="17"/>
      </w:r>
      <w:r w:rsidRPr="005B2641">
        <w:rPr>
          <w:snapToGrid w:val="0"/>
          <w:sz w:val="24"/>
          <w:szCs w:val="24"/>
        </w:rPr>
        <w:t xml:space="preserve">. </w:t>
      </w:r>
      <w:r w:rsidRPr="005B2641">
        <w:rPr>
          <w:sz w:val="24"/>
          <w:szCs w:val="24"/>
        </w:rPr>
        <w:t xml:space="preserve">Las </w:t>
      </w:r>
      <w:r w:rsidRPr="005B2641">
        <w:rPr>
          <w:snapToGrid w:val="0"/>
          <w:sz w:val="24"/>
          <w:szCs w:val="24"/>
        </w:rPr>
        <w:t>orientaciones específicas sobre</w:t>
      </w:r>
      <w:r w:rsidRPr="005B2641">
        <w:rPr>
          <w:sz w:val="24"/>
          <w:szCs w:val="24"/>
        </w:rPr>
        <w:t xml:space="preserve"> las operaciones del FMAM y sobre temas puntuales relacionados con la diversidad biológica se han abordado adecuadamente. En el cuadro 12 se incluye un informe actualizado sobre la respuesta del FMAM a dichas orientaciones.</w:t>
      </w:r>
    </w:p>
    <w:p w14:paraId="71746EB0" w14:textId="77777777" w:rsidR="005B2641" w:rsidRPr="005B2641" w:rsidRDefault="005B2641" w:rsidP="005B2641">
      <w:pPr>
        <w:spacing w:before="240" w:after="240" w:line="240" w:lineRule="auto"/>
        <w:jc w:val="center"/>
        <w:rPr>
          <w:rFonts w:cstheme="minorHAnsi"/>
          <w:sz w:val="24"/>
          <w:szCs w:val="24"/>
        </w:rPr>
      </w:pPr>
      <w:r w:rsidRPr="005B2641">
        <w:rPr>
          <w:b/>
          <w:sz w:val="24"/>
          <w:szCs w:val="24"/>
        </w:rPr>
        <w:t>Cuadro 12.</w:t>
      </w:r>
      <w:r w:rsidRPr="005B2641">
        <w:rPr>
          <w:i/>
          <w:sz w:val="24"/>
          <w:szCs w:val="24"/>
        </w:rPr>
        <w:t xml:space="preserve"> </w:t>
      </w:r>
      <w:r w:rsidRPr="005B2641">
        <w:rPr>
          <w:b/>
          <w:bCs/>
          <w:sz w:val="24"/>
          <w:szCs w:val="24"/>
        </w:rPr>
        <w:t>Decisiones adoptadas por la COP</w:t>
      </w:r>
      <w:r w:rsidRPr="005B2641">
        <w:rPr>
          <w:b/>
          <w:bCs/>
          <w:sz w:val="24"/>
          <w:szCs w:val="24"/>
        </w:rPr>
        <w:noBreakHyphen/>
        <w:t>14 en el CDB (Decisión 14/23)</w:t>
      </w:r>
      <w:r w:rsidRPr="005B2641">
        <w:rPr>
          <w:b/>
          <w:bCs/>
          <w:sz w:val="24"/>
          <w:szCs w:val="24"/>
        </w:rPr>
        <w:br/>
        <w:t>y las respuestas del FMAM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5"/>
        <w:gridCol w:w="4675"/>
      </w:tblGrid>
      <w:tr w:rsidR="005B2641" w:rsidRPr="005B2641" w14:paraId="1B4607C9" w14:textId="77777777" w:rsidTr="00952C91">
        <w:trPr>
          <w:tblHeader/>
        </w:trPr>
        <w:tc>
          <w:tcPr>
            <w:tcW w:w="4675" w:type="dxa"/>
            <w:shd w:val="clear" w:color="auto" w:fill="F2F2F2" w:themeFill="background1" w:themeFillShade="F2"/>
          </w:tcPr>
          <w:p w14:paraId="1AC759D0" w14:textId="77777777" w:rsidR="005B2641" w:rsidRPr="005B2641" w:rsidRDefault="005B2641" w:rsidP="00952C91">
            <w:pPr>
              <w:rPr>
                <w:b/>
                <w:iCs/>
              </w:rPr>
            </w:pPr>
            <w:r w:rsidRPr="005B2641">
              <w:rPr>
                <w:b/>
                <w:iCs/>
              </w:rPr>
              <w:t>Decisión de la COP</w:t>
            </w:r>
            <w:r w:rsidRPr="005B2641">
              <w:rPr>
                <w:b/>
                <w:iCs/>
              </w:rPr>
              <w:noBreakHyphen/>
              <w:t>14 en el CDB</w:t>
            </w:r>
          </w:p>
        </w:tc>
        <w:tc>
          <w:tcPr>
            <w:tcW w:w="4675" w:type="dxa"/>
            <w:shd w:val="clear" w:color="auto" w:fill="F2F2F2" w:themeFill="background1" w:themeFillShade="F2"/>
          </w:tcPr>
          <w:p w14:paraId="6CCD4E69" w14:textId="77777777" w:rsidR="005B2641" w:rsidRPr="005B2641" w:rsidRDefault="005B2641" w:rsidP="00952C91">
            <w:pPr>
              <w:rPr>
                <w:b/>
                <w:iCs/>
              </w:rPr>
            </w:pPr>
            <w:r w:rsidRPr="005B2641">
              <w:rPr>
                <w:b/>
                <w:iCs/>
              </w:rPr>
              <w:t>Respuesta del FMAM</w:t>
            </w:r>
          </w:p>
        </w:tc>
      </w:tr>
      <w:tr w:rsidR="005B2641" w:rsidRPr="005B2641" w14:paraId="73C0C687" w14:textId="77777777" w:rsidTr="00952C91">
        <w:tc>
          <w:tcPr>
            <w:tcW w:w="4675" w:type="dxa"/>
            <w:shd w:val="clear" w:color="auto" w:fill="auto"/>
          </w:tcPr>
          <w:p w14:paraId="68A56463" w14:textId="77777777" w:rsidR="005B2641" w:rsidRPr="005B2641" w:rsidRDefault="005B2641" w:rsidP="00952C91">
            <w:pPr>
              <w:rPr>
                <w:b/>
              </w:rPr>
            </w:pPr>
            <w:r w:rsidRPr="005B2641">
              <w:rPr>
                <w:i/>
                <w:iCs/>
              </w:rPr>
              <w:t>Acoge con satisfacción</w:t>
            </w:r>
            <w:r w:rsidRPr="005B2641">
              <w:t xml:space="preserve"> la conclusión exitosa de la séptima reposición del Fondo Fiduciario del Fondo para el Medio Ambiente Mundial y </w:t>
            </w:r>
            <w:r w:rsidRPr="005B2641">
              <w:rPr>
                <w:i/>
                <w:iCs/>
              </w:rPr>
              <w:t>expresa su agradecimiento</w:t>
            </w:r>
            <w:r w:rsidRPr="005B2641">
              <w:t xml:space="preserve"> a las Partes y a los Gobiernos por su apoyo financiero continuo para llevar a cabo las tareas previstas en el Plan Estratégico para la Diversidad Biológica 2011</w:t>
            </w:r>
            <w:r w:rsidRPr="005B2641">
              <w:noBreakHyphen/>
              <w:t>2020 en los años que le restan y para apoyar la implementación del marco mundial de la diversidad biológica posterior a 2020 en sus dos primeros años;</w:t>
            </w:r>
          </w:p>
        </w:tc>
        <w:tc>
          <w:tcPr>
            <w:tcW w:w="4675" w:type="dxa"/>
            <w:shd w:val="clear" w:color="auto" w:fill="auto"/>
          </w:tcPr>
          <w:p w14:paraId="2C0916EA" w14:textId="77777777" w:rsidR="005B2641" w:rsidRPr="005B2641" w:rsidRDefault="005B2641" w:rsidP="00952C91">
            <w:pPr>
              <w:rPr>
                <w:iCs/>
              </w:rPr>
            </w:pPr>
            <w:r w:rsidRPr="005B2641">
              <w:t>No requiere respuesta.</w:t>
            </w:r>
          </w:p>
        </w:tc>
      </w:tr>
      <w:tr w:rsidR="005B2641" w:rsidRPr="005B2641" w14:paraId="7F2ED2F8" w14:textId="77777777" w:rsidTr="00952C91">
        <w:tc>
          <w:tcPr>
            <w:tcW w:w="4675" w:type="dxa"/>
            <w:shd w:val="clear" w:color="auto" w:fill="auto"/>
          </w:tcPr>
          <w:p w14:paraId="458D19BC" w14:textId="77777777" w:rsidR="005B2641" w:rsidRPr="005B2641" w:rsidRDefault="005B2641" w:rsidP="00952C91">
            <w:pPr>
              <w:rPr>
                <w:iCs/>
              </w:rPr>
            </w:pPr>
            <w:r w:rsidRPr="005B2641">
              <w:rPr>
                <w:i/>
                <w:iCs/>
              </w:rPr>
              <w:t>Observa</w:t>
            </w:r>
            <w:r w:rsidRPr="005B2641">
              <w:t xml:space="preserve"> que las orientaciones programáticas para la diversidad biológica para la séptima reposición del Fondo Fiduciario reflejan la orientación adoptada por la Conferencia de las Partes en su 13.</w:t>
            </w:r>
            <w:r w:rsidRPr="005B2641">
              <w:rPr>
                <w:vertAlign w:val="superscript"/>
              </w:rPr>
              <w:t>a</w:t>
            </w:r>
            <w:r w:rsidRPr="005B2641">
              <w:t> reunión, que incluye la orientación unificada para el mecanismo financiero y el marco cuatrienal de prioridades programáticas (desde julio de 2018 hasta junio de 2022), así como otras orientaciones</w:t>
            </w:r>
            <w:r w:rsidRPr="005B2641">
              <w:rPr>
                <w:iCs/>
                <w:vertAlign w:val="superscript"/>
              </w:rPr>
              <w:footnoteReference w:id="18"/>
            </w:r>
            <w:r w:rsidRPr="005B2641">
              <w:t>;</w:t>
            </w:r>
          </w:p>
        </w:tc>
        <w:tc>
          <w:tcPr>
            <w:tcW w:w="4675" w:type="dxa"/>
            <w:shd w:val="clear" w:color="auto" w:fill="auto"/>
          </w:tcPr>
          <w:p w14:paraId="51212254" w14:textId="77777777" w:rsidR="005B2641" w:rsidRPr="005B2641" w:rsidRDefault="005B2641" w:rsidP="00952C91">
            <w:pPr>
              <w:rPr>
                <w:iCs/>
              </w:rPr>
            </w:pPr>
            <w:r w:rsidRPr="005B2641">
              <w:t>No requiere respuesta.</w:t>
            </w:r>
          </w:p>
        </w:tc>
      </w:tr>
      <w:tr w:rsidR="005B2641" w:rsidRPr="005B2641" w14:paraId="687A2E90" w14:textId="77777777" w:rsidTr="00952C91">
        <w:tc>
          <w:tcPr>
            <w:tcW w:w="4675" w:type="dxa"/>
            <w:shd w:val="clear" w:color="auto" w:fill="auto"/>
          </w:tcPr>
          <w:p w14:paraId="426067DC" w14:textId="77777777" w:rsidR="005B2641" w:rsidRPr="005B2641" w:rsidRDefault="005B2641" w:rsidP="00952C91">
            <w:r w:rsidRPr="005B2641">
              <w:rPr>
                <w:i/>
                <w:iCs/>
              </w:rPr>
              <w:t>Acoge con satisfacción</w:t>
            </w:r>
            <w:r w:rsidRPr="005B2641">
              <w:t xml:space="preserve"> el proceso que está llevando a cabo el Fondo para el Medio Ambiente Mundial dirigido a revisar y actualizar sus salvaguardias ambientales y sociales y los sistemas relacionados de sus organismos, así como su orientación para promover las cuestiones de género en su nueva estrategia de aplicación de la política sobre cuestiones de género, observando que los resultados se </w:t>
            </w:r>
            <w:r w:rsidRPr="005B2641">
              <w:lastRenderedPageBreak/>
              <w:t xml:space="preserve">aplicarán a todos los proyectos financiados por el Fondo, e </w:t>
            </w:r>
            <w:r w:rsidRPr="005B2641">
              <w:rPr>
                <w:i/>
                <w:iCs/>
              </w:rPr>
              <w:t>invita</w:t>
            </w:r>
            <w:r w:rsidRPr="005B2641">
              <w:t xml:space="preserve"> al Fondo a informar a la Conferencia de las Partes de qué manera está teniendo en cuenta las directrices voluntarias del Convenio sobre salvaguardias en los mecanismos de financiación de la diversidad biológica en ese importante proceso;</w:t>
            </w:r>
          </w:p>
        </w:tc>
        <w:tc>
          <w:tcPr>
            <w:tcW w:w="4675" w:type="dxa"/>
            <w:shd w:val="clear" w:color="auto" w:fill="auto"/>
          </w:tcPr>
          <w:p w14:paraId="077D2ED4" w14:textId="77777777" w:rsidR="005B2641" w:rsidRPr="005B2641" w:rsidRDefault="005B2641" w:rsidP="00952C91">
            <w:pPr>
              <w:rPr>
                <w:iCs/>
              </w:rPr>
            </w:pPr>
            <w:r w:rsidRPr="005B2641">
              <w:lastRenderedPageBreak/>
              <w:t>En diciembre de 2018, el Consejo del FMAM aprobó la versión actualizada de la Política sobre Salvaguardias Ambientales y Sociales</w:t>
            </w:r>
            <w:r w:rsidRPr="005B2641">
              <w:rPr>
                <w:rStyle w:val="Refdenotaalpie"/>
                <w:iCs/>
              </w:rPr>
              <w:footnoteReference w:id="19"/>
            </w:r>
            <w:r w:rsidRPr="005B2641">
              <w:t xml:space="preserve">. Dicha política es, en gran medida, congruente con las orientaciones voluntarias. Actualmente, la Secretaría está facilitando un proceso para examinar el cumplimiento, por parte de los </w:t>
            </w:r>
            <w:r w:rsidRPr="005B2641">
              <w:lastRenderedPageBreak/>
              <w:t>organismos, de las normas mínimas establecidas en la política actualizada.</w:t>
            </w:r>
          </w:p>
        </w:tc>
      </w:tr>
      <w:tr w:rsidR="005B2641" w:rsidRPr="005B2641" w14:paraId="1208E444" w14:textId="77777777" w:rsidTr="00952C91">
        <w:tc>
          <w:tcPr>
            <w:tcW w:w="4675" w:type="dxa"/>
            <w:shd w:val="clear" w:color="auto" w:fill="auto"/>
          </w:tcPr>
          <w:p w14:paraId="32594951" w14:textId="77777777" w:rsidR="005B2641" w:rsidRPr="005B2641" w:rsidRDefault="005B2641" w:rsidP="00952C91">
            <w:pPr>
              <w:rPr>
                <w:i/>
                <w:iCs/>
              </w:rPr>
            </w:pPr>
            <w:r w:rsidRPr="005B2641">
              <w:rPr>
                <w:i/>
                <w:iCs/>
              </w:rPr>
              <w:lastRenderedPageBreak/>
              <w:t>Toma nota</w:t>
            </w:r>
            <w:r w:rsidRPr="005B2641">
              <w:t xml:space="preserve"> del examen y la actualización en curso de la política de salvaguardias y normas para la participación de pueblos indígenas del Fondo para el Medio Ambiente Mundial en consonancia con los criterios de las mejores prácticas al respecto;</w:t>
            </w:r>
          </w:p>
        </w:tc>
        <w:tc>
          <w:tcPr>
            <w:tcW w:w="4675" w:type="dxa"/>
            <w:shd w:val="clear" w:color="auto" w:fill="auto"/>
          </w:tcPr>
          <w:p w14:paraId="265E7DB2" w14:textId="77777777" w:rsidR="005B2641" w:rsidRPr="005B2641" w:rsidRDefault="005B2641" w:rsidP="00952C91">
            <w:pPr>
              <w:rPr>
                <w:iCs/>
              </w:rPr>
            </w:pPr>
            <w:r w:rsidRPr="005B2641">
              <w:t>En diciembre de 2018, el Consejo del FMAM aprobó la versión actualizada de la Política sobre Salvaguardias Ambientales y Sociales</w:t>
            </w:r>
            <w:r w:rsidRPr="005B2641">
              <w:rPr>
                <w:rStyle w:val="Refdenotaalpie"/>
                <w:iCs/>
              </w:rPr>
              <w:footnoteReference w:id="20"/>
            </w:r>
            <w:r w:rsidRPr="005B2641">
              <w:t>. La política actualizada está en consonancia con las mejores prácticas internacionales, en particular en lo que respecta a la interacción con los pueblos indígenas y la aplicación del consentimiento libre, previo e informado.</w:t>
            </w:r>
          </w:p>
        </w:tc>
      </w:tr>
      <w:tr w:rsidR="005B2641" w:rsidRPr="005B2641" w14:paraId="3012B2C8" w14:textId="77777777" w:rsidTr="00952C91">
        <w:tc>
          <w:tcPr>
            <w:tcW w:w="4675" w:type="dxa"/>
            <w:shd w:val="clear" w:color="auto" w:fill="auto"/>
          </w:tcPr>
          <w:p w14:paraId="7A29CCEE" w14:textId="77777777" w:rsidR="005B2641" w:rsidRPr="005B2641" w:rsidRDefault="005B2641" w:rsidP="00952C91">
            <w:r w:rsidRPr="005B2641">
              <w:rPr>
                <w:i/>
                <w:iCs/>
              </w:rPr>
              <w:t>Invita</w:t>
            </w:r>
            <w:r w:rsidRPr="005B2641">
              <w:t xml:space="preserve"> al Fondo para el Medio Ambiente Mundial a que continúe apoyando actividades nacionales de aplicación en el marco del Plan Estratégico para la Diversidad Biológica 2011-2020 de manera eficiente, con miras a que las Partes logren mayores progresos en la consecución de las Metas de Aichi para la Diversidad Biológica para 2020;</w:t>
            </w:r>
          </w:p>
        </w:tc>
        <w:tc>
          <w:tcPr>
            <w:tcW w:w="4675" w:type="dxa"/>
            <w:shd w:val="clear" w:color="auto" w:fill="auto"/>
          </w:tcPr>
          <w:p w14:paraId="30A7CA90" w14:textId="77777777" w:rsidR="005B2641" w:rsidRPr="005B2641" w:rsidRDefault="005B2641" w:rsidP="00952C91">
            <w:r w:rsidRPr="005B2641">
              <w:t>El FMAM sigue respaldando proyectos impulsados por los países en el FMAM-7 para implementar el Plan Estratégico para la Diversidad Biológica 2011-20 en consonancia con las orientaciones para la programación correspondientes al FMAM-7 y la estrategia del FMAM-7 sobre biodiversidad. Durante el período analizado, el FMAM aprobó tres proyectos nacionales (en Madagascar, Panamá y Sudán) para fortalecer las capacidades técnicas, legales e institucionales necesarias para aplicar el Protocolo de Nagoya. Invirtió USD 3,9 millones y movilizó USD 24,2 millones en cofinanciamiento.</w:t>
            </w:r>
          </w:p>
        </w:tc>
      </w:tr>
      <w:tr w:rsidR="005B2641" w:rsidRPr="005B2641" w14:paraId="6745CF81" w14:textId="77777777" w:rsidTr="00952C91">
        <w:tc>
          <w:tcPr>
            <w:tcW w:w="4675" w:type="dxa"/>
            <w:shd w:val="clear" w:color="auto" w:fill="auto"/>
          </w:tcPr>
          <w:p w14:paraId="58616C89" w14:textId="77777777" w:rsidR="005B2641" w:rsidRPr="005B2641" w:rsidRDefault="005B2641" w:rsidP="00952C91">
            <w:pPr>
              <w:rPr>
                <w:iCs/>
              </w:rPr>
            </w:pPr>
            <w:r w:rsidRPr="005B2641">
              <w:rPr>
                <w:i/>
                <w:iCs/>
              </w:rPr>
              <w:t>Invita</w:t>
            </w:r>
            <w:r w:rsidRPr="005B2641">
              <w:t xml:space="preserve"> al Fondo para el Medio Ambiente Mundial, en consonancia con la orientación unificada que figura en la decisión XIII/21, a seguir brindando apoyo para la creación de capacidad a todas las Partes que reúnan las condiciones, a saber:</w:t>
            </w:r>
            <w:r w:rsidRPr="005B2641">
              <w:br/>
            </w:r>
          </w:p>
          <w:p w14:paraId="2C8DA15B" w14:textId="77777777" w:rsidR="005B2641" w:rsidRPr="005B2641" w:rsidRDefault="005B2641" w:rsidP="00952C91">
            <w:pPr>
              <w:numPr>
                <w:ilvl w:val="0"/>
                <w:numId w:val="2"/>
              </w:numPr>
            </w:pPr>
            <w:r w:rsidRPr="005B2641">
              <w:t xml:space="preserve">en cuestiones que indiquen las Partes para facilitar una mayor aplicación del Protocolo de Cartagena sobre Seguridad de la Biotecnología y el Protocolo de Nagoya sobre Acceso y Participación en los Beneficios, incluidos proyectos de cooperación regional, </w:t>
            </w:r>
            <w:r w:rsidRPr="005B2641">
              <w:lastRenderedPageBreak/>
              <w:t>con miras a facilitar el intercambio de experiencias y lecciones aprendidas y aprovechar las sinergias relacionadas;</w:t>
            </w:r>
          </w:p>
          <w:p w14:paraId="5073F4E0" w14:textId="77777777" w:rsidR="005B2641" w:rsidRPr="005B2641" w:rsidRDefault="005B2641" w:rsidP="00952C91">
            <w:pPr>
              <w:numPr>
                <w:ilvl w:val="0"/>
                <w:numId w:val="2"/>
              </w:numPr>
            </w:pPr>
            <w:r w:rsidRPr="005B2641">
              <w:t>en el uso del Centro de Intercambio de Información sobre Acceso y Participación en los Beneficios, sobre la base de experiencias y lecciones aprendidas durante el Proyecto para la Mejora Continua de la Creación de Capacidad para la Participación Efectiva en el Centro de Intercambio de Información sobre Seguridad de la Biotecnología y utilizando recursos dentro de la esfera de actividad de la diversidad biológica;</w:t>
            </w:r>
          </w:p>
        </w:tc>
        <w:tc>
          <w:tcPr>
            <w:tcW w:w="4675" w:type="dxa"/>
            <w:shd w:val="clear" w:color="auto" w:fill="auto"/>
          </w:tcPr>
          <w:p w14:paraId="0B8626E5" w14:textId="77777777" w:rsidR="005B2641" w:rsidRPr="005B2641" w:rsidRDefault="005B2641" w:rsidP="00952C91">
            <w:r w:rsidRPr="005B2641">
              <w:lastRenderedPageBreak/>
              <w:t>El FMAM continúa respaldando proyectos impulsados por los países que apuntan a fortalecer el FMAM-7 para implementar los Protocolos de Nagoya y de Cartagena, tal como se describe en la estrategia sobre biodiversidad del FMAM-7, incluido el Centro de Intercambio de Información sobre Acceso y Participación en los Beneficios, teniendo en cuenta el uso actual del portal que funciona en la Secretaría del CDB.</w:t>
            </w:r>
          </w:p>
          <w:p w14:paraId="348ED9C9" w14:textId="77777777" w:rsidR="005B2641" w:rsidRPr="005B2641" w:rsidRDefault="005B2641" w:rsidP="00952C91">
            <w:pPr>
              <w:rPr>
                <w:iCs/>
              </w:rPr>
            </w:pPr>
          </w:p>
        </w:tc>
      </w:tr>
      <w:tr w:rsidR="005B2641" w:rsidRPr="005B2641" w14:paraId="5347B654" w14:textId="77777777" w:rsidTr="00952C91">
        <w:tc>
          <w:tcPr>
            <w:tcW w:w="4675" w:type="dxa"/>
            <w:shd w:val="clear" w:color="auto" w:fill="auto"/>
          </w:tcPr>
          <w:p w14:paraId="7C367FBF" w14:textId="77777777" w:rsidR="005B2641" w:rsidRPr="005B2641" w:rsidRDefault="005B2641" w:rsidP="00952C91">
            <w:r w:rsidRPr="005B2641">
              <w:rPr>
                <w:i/>
                <w:iCs/>
              </w:rPr>
              <w:t>Invita</w:t>
            </w:r>
            <w:r w:rsidRPr="005B2641">
              <w:t xml:space="preserve"> al Fondo para el Medio Ambiente Mundial a seguir proporcionando fondos para ayudar a las Partes que reúnan las condiciones a aplicar el Protocolo de Cartagena, en particular, para lo siguiente:</w:t>
            </w:r>
          </w:p>
          <w:p w14:paraId="51CFB434" w14:textId="77777777" w:rsidR="005B2641" w:rsidRPr="005B2641" w:rsidRDefault="005B2641" w:rsidP="00952C91">
            <w:pPr>
              <w:numPr>
                <w:ilvl w:val="0"/>
                <w:numId w:val="3"/>
              </w:numPr>
            </w:pPr>
            <w:r w:rsidRPr="005B2641">
              <w:t>ayudar a las Partes que reúnan las condiciones y que aún no lo hayan hecho a poner en marcha medidas para aplicar el Protocolo;</w:t>
            </w:r>
          </w:p>
          <w:p w14:paraId="2841056F" w14:textId="77777777" w:rsidR="005B2641" w:rsidRPr="005B2641" w:rsidRDefault="005B2641" w:rsidP="00952C91">
            <w:pPr>
              <w:numPr>
                <w:ilvl w:val="0"/>
                <w:numId w:val="3"/>
              </w:numPr>
            </w:pPr>
            <w:r w:rsidRPr="005B2641">
              <w:t>prestar apoyo a las Partes que reúnan las condiciones para cumplir sus obligaciones de presentación de informes en virtud del Protocolo, incluida la preparación y presentación de sus cuartos informes nacionales en virtud del Protocolo;</w:t>
            </w:r>
          </w:p>
          <w:p w14:paraId="617A454B" w14:textId="77777777" w:rsidR="005B2641" w:rsidRPr="005B2641" w:rsidRDefault="005B2641" w:rsidP="00952C91">
            <w:pPr>
              <w:numPr>
                <w:ilvl w:val="0"/>
                <w:numId w:val="3"/>
              </w:numPr>
            </w:pPr>
            <w:r w:rsidRPr="005B2641">
              <w:t>prestar apoyo a las Partes para que pongan en práctica sus planes de acción para el cumplimiento del Protocolo;</w:t>
            </w:r>
          </w:p>
        </w:tc>
        <w:tc>
          <w:tcPr>
            <w:tcW w:w="4675" w:type="dxa"/>
            <w:shd w:val="clear" w:color="auto" w:fill="auto"/>
          </w:tcPr>
          <w:p w14:paraId="2AC14383" w14:textId="77777777" w:rsidR="005B2641" w:rsidRPr="005B2641" w:rsidRDefault="005B2641" w:rsidP="00952C91">
            <w:r w:rsidRPr="005B2641">
              <w:t>El FMAM seguirá respaldando proyectos impulsados por los países en el FMAM-7 para implementar el Protocolo de Cartagena, tal como se describe en la estrategia de biodiversidad del FMAM-7, incluidos los cuartos informes nacionales. Durante el período analizado no se han presentado propuestas.</w:t>
            </w:r>
          </w:p>
        </w:tc>
      </w:tr>
      <w:tr w:rsidR="005B2641" w:rsidRPr="005B2641" w14:paraId="56DACBB6" w14:textId="77777777" w:rsidTr="00952C91">
        <w:tc>
          <w:tcPr>
            <w:tcW w:w="4675" w:type="dxa"/>
            <w:shd w:val="clear" w:color="auto" w:fill="auto"/>
          </w:tcPr>
          <w:p w14:paraId="012AA822" w14:textId="77777777" w:rsidR="005B2641" w:rsidRPr="005B2641" w:rsidRDefault="005B2641" w:rsidP="00952C91">
            <w:r w:rsidRPr="005B2641">
              <w:rPr>
                <w:i/>
                <w:iCs/>
              </w:rPr>
              <w:t>Invita</w:t>
            </w:r>
            <w:r w:rsidRPr="005B2641">
              <w:t xml:space="preserve"> al Fondo para el Medio Ambiente Mundial y a otros organismos de financiación pertinentes a que aporten fondos para proyectos regionales destinados a apoyar la aplicación del Protocolo de Cartagena, incluidos proyectos dirigidos a la creación de capacidad científica que podrían apoyar las acciones de los países encaminadas a la detección e identificación de organismos vivos modificados, y en particular que puedan </w:t>
            </w:r>
            <w:r w:rsidRPr="005B2641">
              <w:lastRenderedPageBreak/>
              <w:t>fomentar el intercambio Norte-Sur y Sur-Sur de experiencias y lecciones;</w:t>
            </w:r>
          </w:p>
        </w:tc>
        <w:tc>
          <w:tcPr>
            <w:tcW w:w="4675" w:type="dxa"/>
            <w:shd w:val="clear" w:color="auto" w:fill="auto"/>
          </w:tcPr>
          <w:p w14:paraId="5C80DE3E" w14:textId="77777777" w:rsidR="005B2641" w:rsidRPr="005B2641" w:rsidRDefault="005B2641" w:rsidP="00952C91">
            <w:r w:rsidRPr="005B2641">
              <w:lastRenderedPageBreak/>
              <w:t>El FMAM seguirá respaldando proyectos impulsados por los países en el FMAM-7 para implementar el Protocolo de Cartagena, tal como se describe en la estrategia de biodiversidad del FMAM-7. Durante el período analizado no se han presentado propuestas.</w:t>
            </w:r>
          </w:p>
        </w:tc>
      </w:tr>
      <w:tr w:rsidR="005B2641" w:rsidRPr="005B2641" w14:paraId="40A5C457" w14:textId="77777777" w:rsidTr="00952C91">
        <w:tc>
          <w:tcPr>
            <w:tcW w:w="4675" w:type="dxa"/>
            <w:shd w:val="clear" w:color="auto" w:fill="auto"/>
          </w:tcPr>
          <w:p w14:paraId="22C5EC98" w14:textId="77777777" w:rsidR="005B2641" w:rsidRPr="005B2641" w:rsidRDefault="005B2641" w:rsidP="00952C91">
            <w:pPr>
              <w:rPr>
                <w:b/>
              </w:rPr>
            </w:pPr>
            <w:r w:rsidRPr="005B2641">
              <w:rPr>
                <w:i/>
                <w:iCs/>
              </w:rPr>
              <w:t>Expresa su agradecimiento</w:t>
            </w:r>
            <w:r w:rsidRPr="005B2641">
              <w:t xml:space="preserve"> por el apoyo financiero proporcionado por el Fondo para el Medio Ambiente Mundial a un conjunto de Partes que reúnen las condiciones en apoyo a la elaboración de sus informes nacionales provisionales sobre el cumplimiento de sus obligaciones en virtud del Protocolo de Nagoya, y señala la importancia de la disponibilidad oportuna de recursos financieros para apoyar la elaboración y presentación de informes nacionales antes de la fecha límite para la presentación de informes;</w:t>
            </w:r>
          </w:p>
        </w:tc>
        <w:tc>
          <w:tcPr>
            <w:tcW w:w="4675" w:type="dxa"/>
            <w:shd w:val="clear" w:color="auto" w:fill="auto"/>
          </w:tcPr>
          <w:p w14:paraId="1E125724" w14:textId="77777777" w:rsidR="005B2641" w:rsidRPr="005B2641" w:rsidRDefault="005B2641" w:rsidP="00952C91">
            <w:pPr>
              <w:rPr>
                <w:iCs/>
              </w:rPr>
            </w:pPr>
            <w:r w:rsidRPr="005B2641">
              <w:t>No requiere respuesta.</w:t>
            </w:r>
          </w:p>
        </w:tc>
      </w:tr>
      <w:tr w:rsidR="005B2641" w:rsidRPr="005B2641" w14:paraId="1680DACC" w14:textId="77777777" w:rsidTr="00952C91">
        <w:tc>
          <w:tcPr>
            <w:tcW w:w="4675" w:type="dxa"/>
            <w:shd w:val="clear" w:color="auto" w:fill="auto"/>
          </w:tcPr>
          <w:p w14:paraId="326A034A" w14:textId="77777777" w:rsidR="005B2641" w:rsidRPr="005B2641" w:rsidRDefault="005B2641" w:rsidP="00952C91">
            <w:r w:rsidRPr="005B2641">
              <w:rPr>
                <w:i/>
                <w:iCs/>
              </w:rPr>
              <w:t>Invita</w:t>
            </w:r>
            <w:r w:rsidRPr="005B2641">
              <w:t xml:space="preserve"> al Fondo para el Medio Ambiente Mundial a seguir prestando asistencia para la aplicación del Protocolo de Nagoya a las Partes que reúnan las condiciones, incluida asistencia para el establecimiento de medidas legislativas, administrativas y de política sobre acceso y participación en los beneficios y marcos institucionales relacionados, y a facilitar fondos a tales efectos;</w:t>
            </w:r>
          </w:p>
        </w:tc>
        <w:tc>
          <w:tcPr>
            <w:tcW w:w="4675" w:type="dxa"/>
            <w:shd w:val="clear" w:color="auto" w:fill="auto"/>
          </w:tcPr>
          <w:p w14:paraId="280D04E0" w14:textId="77777777" w:rsidR="005B2641" w:rsidRPr="005B2641" w:rsidRDefault="005B2641" w:rsidP="00952C91">
            <w:r w:rsidRPr="005B2641">
              <w:t>El FMAM sigue respaldando proyectos impulsados por los países en el FMAM-7 para implementar el Protocolo de Nagoya, tal como se describe en la estrategia de biodiversidad del FMAM-7. Durante el período analizado, el FMAM aprobó tres proyectos nacionales (en Madagascar, Panamá y Sudán) para fortalecer las capacidades técnicas, legales e institucionales necesarias para aplicar el Protocolo de Nagoya. Invirtió USD 3,9 millones y movilizó USD 24,2 millones en cofinanciamiento.</w:t>
            </w:r>
          </w:p>
        </w:tc>
      </w:tr>
      <w:tr w:rsidR="005B2641" w:rsidRPr="005B2641" w14:paraId="3B0B33D1" w14:textId="77777777" w:rsidTr="00952C91">
        <w:tc>
          <w:tcPr>
            <w:tcW w:w="4675" w:type="dxa"/>
            <w:shd w:val="clear" w:color="auto" w:fill="auto"/>
          </w:tcPr>
          <w:p w14:paraId="68567A48" w14:textId="77777777" w:rsidR="005B2641" w:rsidRPr="005B2641" w:rsidRDefault="005B2641" w:rsidP="00952C91">
            <w:r w:rsidRPr="005B2641">
              <w:rPr>
                <w:i/>
                <w:iCs/>
              </w:rPr>
              <w:t>Considera</w:t>
            </w:r>
            <w:r w:rsidRPr="005B2641">
              <w:t xml:space="preserve"> que el sexto estudio sobre los resultados globales del Fondo para el Medio Ambiente Mundial, realizado por la Oficina de Evaluación Independiente del Fondo para el Medio Ambiente Mundial y finalizado en diciembre de 2017, es una buena base para el quinto examen de la eficacia del mecanismo financiero, así como también las comunicaciones conexas enviadas por las Partes, e </w:t>
            </w:r>
            <w:r w:rsidRPr="005B2641">
              <w:rPr>
                <w:i/>
                <w:iCs/>
              </w:rPr>
              <w:t>invita</w:t>
            </w:r>
            <w:r w:rsidRPr="005B2641">
              <w:t xml:space="preserve"> al Consejo del Fondo para el Medio Ambiente Mundial a adoptar las siguientes medidas a fin de continuar mejorando la eficacia del mecanismo financiero:</w:t>
            </w:r>
          </w:p>
          <w:p w14:paraId="589E0282" w14:textId="77777777" w:rsidR="005B2641" w:rsidRPr="005B2641" w:rsidRDefault="005B2641" w:rsidP="00952C91">
            <w:pPr>
              <w:numPr>
                <w:ilvl w:val="0"/>
                <w:numId w:val="4"/>
              </w:numPr>
            </w:pPr>
            <w:r w:rsidRPr="005B2641">
              <w:t xml:space="preserve">continuar mejorando el diseño, la gestión y el desempeño de los programas piloto de enfoque integrado de la sexta reposición, los programas de impacto de la séptima </w:t>
            </w:r>
            <w:r w:rsidRPr="005B2641">
              <w:lastRenderedPageBreak/>
              <w:t>reposición, otros enfoques programáticos y proyectos de múltiples esferas de actividad para abordar los impulsores de la degradación ambiental;</w:t>
            </w:r>
          </w:p>
          <w:p w14:paraId="40D313B6" w14:textId="77777777" w:rsidR="005B2641" w:rsidRPr="005B2641" w:rsidRDefault="005B2641" w:rsidP="00952C91">
            <w:pPr>
              <w:numPr>
                <w:ilvl w:val="0"/>
                <w:numId w:val="4"/>
              </w:numPr>
            </w:pPr>
            <w:r w:rsidRPr="005B2641">
              <w:t>promover la conciencia sobre los procesos en curso atendidos por el Comisionado de Resolución de Conflictos para tratar las quejas relacionadas con el funcionamiento del mecanismo financiero;</w:t>
            </w:r>
          </w:p>
          <w:p w14:paraId="7CA808D3" w14:textId="77777777" w:rsidR="005B2641" w:rsidRPr="005B2641" w:rsidRDefault="005B2641" w:rsidP="00952C91">
            <w:pPr>
              <w:pStyle w:val="Prrafodelista"/>
              <w:numPr>
                <w:ilvl w:val="0"/>
                <w:numId w:val="4"/>
              </w:numPr>
              <w:spacing w:after="240"/>
              <w:ind w:left="357" w:hanging="357"/>
              <w:contextualSpacing w:val="0"/>
            </w:pPr>
            <w:r w:rsidRPr="005B2641">
              <w:t>mejorar aún más la sostenibilidad de los proyectos y programas financiados, incluida la financiación sostenible de áreas protegidas;</w:t>
            </w:r>
          </w:p>
          <w:p w14:paraId="55679371" w14:textId="77777777" w:rsidR="005B2641" w:rsidRPr="005B2641" w:rsidRDefault="005B2641" w:rsidP="00952C91">
            <w:pPr>
              <w:pStyle w:val="Prrafodelista"/>
              <w:numPr>
                <w:ilvl w:val="0"/>
                <w:numId w:val="4"/>
              </w:numPr>
              <w:spacing w:after="240"/>
              <w:ind w:left="357" w:hanging="357"/>
              <w:contextualSpacing w:val="0"/>
            </w:pPr>
            <w:r w:rsidRPr="005B2641">
              <w:t>continuar mejorando la eficiencia y la rendición de cuentas en la asociación con el Fondo para el Medio Ambiente Mundial;</w:t>
            </w:r>
          </w:p>
          <w:p w14:paraId="01903B95" w14:textId="77777777" w:rsidR="005B2641" w:rsidRPr="005B2641" w:rsidRDefault="005B2641" w:rsidP="00952C91">
            <w:pPr>
              <w:pStyle w:val="Prrafodelista"/>
              <w:numPr>
                <w:ilvl w:val="0"/>
                <w:numId w:val="4"/>
              </w:numPr>
            </w:pPr>
            <w:r w:rsidRPr="005B2641">
              <w:t>incluir la siguiente información en su informe a la Conferencia de las Partes en su 15.</w:t>
            </w:r>
            <w:r w:rsidRPr="005B2641">
              <w:rPr>
                <w:vertAlign w:val="superscript"/>
              </w:rPr>
              <w:t>a</w:t>
            </w:r>
            <w:r w:rsidRPr="005B2641">
              <w:t> reunión:</w:t>
            </w:r>
          </w:p>
          <w:p w14:paraId="154A7B54" w14:textId="77777777" w:rsidR="005B2641" w:rsidRPr="005B2641" w:rsidRDefault="005B2641" w:rsidP="00952C91">
            <w:pPr>
              <w:numPr>
                <w:ilvl w:val="0"/>
                <w:numId w:val="1"/>
              </w:numPr>
            </w:pPr>
            <w:r w:rsidRPr="005B2641">
              <w:t>progresos realizados en la aplicación de la nueva política de cofinanciación;</w:t>
            </w:r>
          </w:p>
          <w:p w14:paraId="656A01D5" w14:textId="77777777" w:rsidR="005B2641" w:rsidRPr="005B2641" w:rsidRDefault="005B2641" w:rsidP="00952C91">
            <w:pPr>
              <w:numPr>
                <w:ilvl w:val="0"/>
                <w:numId w:val="1"/>
              </w:numPr>
            </w:pPr>
            <w:r w:rsidRPr="005B2641">
              <w:t>desempeño de la red de organismos del Fondo para el Medio Ambiente Mundial;</w:t>
            </w:r>
          </w:p>
        </w:tc>
        <w:tc>
          <w:tcPr>
            <w:tcW w:w="4675" w:type="dxa"/>
            <w:shd w:val="clear" w:color="auto" w:fill="auto"/>
          </w:tcPr>
          <w:p w14:paraId="2ED53630" w14:textId="77777777" w:rsidR="005B2641" w:rsidRPr="005B2641" w:rsidRDefault="005B2641" w:rsidP="00952C91">
            <w:r w:rsidRPr="005B2641">
              <w:lastRenderedPageBreak/>
              <w:t>Como parte de su respaldo continuo a la implementación de los programas piloto de enfoque integrado del FMAM-6 y a la formulación, elaboración e implementación de los programas de impacto del FMAM-7, y otros enfoques programáticos, el FMAM mantiene su compromiso de mejorar todos los elementos de diseño, gestión y desempeño en la implementación.</w:t>
            </w:r>
          </w:p>
          <w:p w14:paraId="448C9D83" w14:textId="77777777" w:rsidR="005B2641" w:rsidRPr="005B2641" w:rsidRDefault="005B2641" w:rsidP="00952C91"/>
          <w:p w14:paraId="61838EC4" w14:textId="77777777" w:rsidR="005B2641" w:rsidRPr="005B2641" w:rsidRDefault="005B2641" w:rsidP="00952C91">
            <w:r w:rsidRPr="005B2641">
              <w:t>Sigue informando a los países que pueden obtener su apoyo acerca de los procesos y procedimientos que son responsabilidad del Comisionado de Resolución de Conflictos.</w:t>
            </w:r>
          </w:p>
          <w:p w14:paraId="0F08EFCA" w14:textId="77777777" w:rsidR="005B2641" w:rsidRPr="005B2641" w:rsidRDefault="005B2641" w:rsidP="00952C91"/>
          <w:p w14:paraId="64E3D227" w14:textId="77777777" w:rsidR="005B2641" w:rsidRPr="005B2641" w:rsidRDefault="005B2641" w:rsidP="00952C91">
            <w:r w:rsidRPr="005B2641">
              <w:lastRenderedPageBreak/>
              <w:t>El FMAM mantiene su compromiso de garantizar la sostenibilidad de todos sus proyectos y programas, y en particular su apoyo al financiamiento sostenible de los sistemas de áreas protegidas, que sigue siendo un área de inversiones prioritaria en la estrategia sobre biodiversidad del FMAM-7.</w:t>
            </w:r>
          </w:p>
          <w:p w14:paraId="1301FDBC" w14:textId="77777777" w:rsidR="005B2641" w:rsidRPr="005B2641" w:rsidRDefault="005B2641" w:rsidP="00952C91"/>
          <w:p w14:paraId="4E6FC76C" w14:textId="77777777" w:rsidR="005B2641" w:rsidRPr="005B2641" w:rsidRDefault="005B2641" w:rsidP="00952C91">
            <w:r w:rsidRPr="005B2641">
              <w:t>El FMAM continúa mejorando la eficiencia y la rendición de cuentas de la alianza del FMAM, para lo cual utiliza los mecanismos de gestión y rendición de cuentas existentes.</w:t>
            </w:r>
          </w:p>
          <w:p w14:paraId="314267EE" w14:textId="77777777" w:rsidR="005B2641" w:rsidRPr="005B2641" w:rsidRDefault="005B2641" w:rsidP="00952C91"/>
          <w:p w14:paraId="5B99EC4D" w14:textId="77777777" w:rsidR="005B2641" w:rsidRPr="005B2641" w:rsidRDefault="005B2641" w:rsidP="00952C91">
            <w:r w:rsidRPr="005B2641">
              <w:t>En la sección III de este informe se resumen: a) los avances en la implementación de la nueva política de cofinanciamiento, y b) el desempeño de la red de organismos del FMAM.</w:t>
            </w:r>
          </w:p>
        </w:tc>
      </w:tr>
      <w:tr w:rsidR="005B2641" w:rsidRPr="005B2641" w14:paraId="174700CE" w14:textId="77777777" w:rsidTr="00952C91">
        <w:tc>
          <w:tcPr>
            <w:tcW w:w="4675" w:type="dxa"/>
            <w:shd w:val="clear" w:color="auto" w:fill="auto"/>
          </w:tcPr>
          <w:p w14:paraId="37CFBDB5" w14:textId="77777777" w:rsidR="005B2641" w:rsidRPr="005B2641" w:rsidRDefault="005B2641" w:rsidP="00952C91">
            <w:r w:rsidRPr="005B2641">
              <w:rPr>
                <w:i/>
                <w:iCs/>
              </w:rPr>
              <w:lastRenderedPageBreak/>
              <w:t>Alienta</w:t>
            </w:r>
            <w:r w:rsidRPr="005B2641">
              <w:t xml:space="preserve"> a la Secretaria Ejecutiva a colaborar estrechamente con el Fondo para el Medio Ambiente Mundial en la transición al marco mundial de la diversidad biológica posterior a 2020;</w:t>
            </w:r>
          </w:p>
        </w:tc>
        <w:tc>
          <w:tcPr>
            <w:tcW w:w="4675" w:type="dxa"/>
            <w:shd w:val="clear" w:color="auto" w:fill="auto"/>
          </w:tcPr>
          <w:p w14:paraId="37AD87FF" w14:textId="77777777" w:rsidR="005B2641" w:rsidRPr="005B2641" w:rsidRDefault="005B2641" w:rsidP="00952C91">
            <w:pPr>
              <w:rPr>
                <w:iCs/>
              </w:rPr>
            </w:pPr>
            <w:r w:rsidRPr="005B2641">
              <w:t>Desde la COP</w:t>
            </w:r>
            <w:r w:rsidRPr="005B2641">
              <w:noBreakHyphen/>
              <w:t xml:space="preserve">14, el FMAM ha mantenido una relación activa con el CDB sobre la transición al Marco Mundial de la Diversidad Biológica posterior a 2020, y prevé continuar con esta colaboración. El personal de la Secretaría del FMAM ha participado en la consulta regional sobre el Marco Mundial de la Diversidad Biológica posterior a 2020 para Asia y el Pacífico y para América Latina y el Caribe compartiendo las experiencias del FMAM en el respaldo de la aplicación del CDB. Asimismo, ha asistido a la primera y segunda reuniones del Grupo de Trabajo de Composición Abierta sobre el Marco Mundial de la Diversidad Biológica posterior a 2020. La secretaria ejecutiva interina asistió a la </w:t>
            </w:r>
            <w:r w:rsidRPr="005B2641">
              <w:lastRenderedPageBreak/>
              <w:t>57.</w:t>
            </w:r>
            <w:r w:rsidRPr="005B2641">
              <w:rPr>
                <w:vertAlign w:val="superscript"/>
              </w:rPr>
              <w:t>a</w:t>
            </w:r>
            <w:r w:rsidRPr="005B2641">
              <w:t> reunión del Consejo celebrada en diciembre de 2019 y presentó al Consejo un panorama de las deliberaciones relativas al marco posterior a 2020. Uno de los copresidentes del Grupo de Trabajo de Composición Abierta también presentó un resumen de los avances hasta la fecha de dicho grupo en la elaboración del borrador preliminar del Marco Mundial de la Diversidad Biológica en la 57.</w:t>
            </w:r>
            <w:r w:rsidRPr="005B2641">
              <w:rPr>
                <w:vertAlign w:val="superscript"/>
              </w:rPr>
              <w:t>a</w:t>
            </w:r>
            <w:r w:rsidRPr="005B2641">
              <w:t> reunión del Consejo del FMAM. La Secretaría del FMAM mantiene un vínculo de comunicación y colaboración constante con la Secretaría y la secretaria ejecutiva del CDB en el contexto de este proceso.</w:t>
            </w:r>
          </w:p>
        </w:tc>
      </w:tr>
    </w:tbl>
    <w:p w14:paraId="19F69709" w14:textId="77777777" w:rsidR="005B2641" w:rsidRPr="005B2641" w:rsidRDefault="005B2641" w:rsidP="005B2641">
      <w:bookmarkStart w:id="41" w:name="_Hlk26275865"/>
    </w:p>
    <w:p w14:paraId="240CF097" w14:textId="77777777" w:rsidR="005B2641" w:rsidRPr="005B2641" w:rsidRDefault="005B2641" w:rsidP="005B2641">
      <w:r w:rsidRPr="005B2641">
        <w:br w:type="page"/>
      </w:r>
    </w:p>
    <w:p w14:paraId="1F768CCD" w14:textId="77777777" w:rsidR="005B2641" w:rsidRPr="005B2641" w:rsidRDefault="005B2641" w:rsidP="005B2641">
      <w:pPr>
        <w:pStyle w:val="Ttulo1"/>
        <w:numPr>
          <w:ilvl w:val="0"/>
          <w:numId w:val="27"/>
        </w:numPr>
        <w:spacing w:after="240"/>
        <w:ind w:left="180" w:hanging="180"/>
        <w:jc w:val="left"/>
      </w:pPr>
      <w:bookmarkStart w:id="42" w:name="_Toc35815701"/>
      <w:r w:rsidRPr="005B2641">
        <w:lastRenderedPageBreak/>
        <w:t>Ejecución de la cartera</w:t>
      </w:r>
      <w:bookmarkEnd w:id="41"/>
      <w:bookmarkEnd w:id="42"/>
    </w:p>
    <w:p w14:paraId="220453F0" w14:textId="77777777" w:rsidR="005B2641" w:rsidRPr="005B2641" w:rsidRDefault="005B2641" w:rsidP="005B2641">
      <w:pPr>
        <w:pStyle w:val="Ttulo2"/>
      </w:pPr>
      <w:bookmarkStart w:id="43" w:name="_Toc35815702"/>
      <w:r w:rsidRPr="005B2641">
        <w:t>Lograr los objetivos de desarrollo del proyecto y avances en la ejecución</w:t>
      </w:r>
      <w:bookmarkEnd w:id="43"/>
    </w:p>
    <w:p w14:paraId="1B14F242" w14:textId="77777777" w:rsidR="005B2641" w:rsidRPr="005B2641" w:rsidRDefault="005B2641" w:rsidP="005B2641">
      <w:pPr>
        <w:pStyle w:val="Prrafodelista"/>
        <w:numPr>
          <w:ilvl w:val="0"/>
          <w:numId w:val="25"/>
        </w:numPr>
        <w:spacing w:before="240" w:after="240" w:line="240" w:lineRule="auto"/>
        <w:ind w:left="0" w:firstLine="0"/>
        <w:contextualSpacing w:val="0"/>
        <w:rPr>
          <w:rFonts w:eastAsia="Times New Roman" w:cstheme="minorHAnsi"/>
          <w:color w:val="000000"/>
          <w:sz w:val="24"/>
          <w:szCs w:val="24"/>
        </w:rPr>
      </w:pPr>
      <w:r w:rsidRPr="005B2641">
        <w:rPr>
          <w:color w:val="000000"/>
          <w:sz w:val="24"/>
          <w:szCs w:val="24"/>
        </w:rPr>
        <w:t xml:space="preserve">Cada año, los organismos elaboran informes sobre la ejecución de los proyectos, en los que califican las dimensiones relativas al cumplimiento de los </w:t>
      </w:r>
      <w:r w:rsidRPr="005B2641">
        <w:rPr>
          <w:i/>
          <w:iCs/>
          <w:color w:val="000000"/>
          <w:sz w:val="24"/>
          <w:szCs w:val="24"/>
        </w:rPr>
        <w:t>objetivos de desarrollo</w:t>
      </w:r>
      <w:r w:rsidRPr="005B2641">
        <w:rPr>
          <w:color w:val="000000"/>
          <w:sz w:val="24"/>
          <w:szCs w:val="24"/>
        </w:rPr>
        <w:t xml:space="preserve"> y los </w:t>
      </w:r>
      <w:r w:rsidRPr="005B2641">
        <w:rPr>
          <w:i/>
          <w:iCs/>
          <w:color w:val="000000"/>
          <w:sz w:val="24"/>
          <w:szCs w:val="24"/>
        </w:rPr>
        <w:t>avances en la ejecución</w:t>
      </w:r>
      <w:r w:rsidRPr="005B2641">
        <w:rPr>
          <w:color w:val="000000"/>
          <w:sz w:val="24"/>
          <w:szCs w:val="24"/>
        </w:rPr>
        <w:t>, en consonancia con la Política de Seguimiento y Evaluación del FMAM 2010, a la que sucedió su reciente política de seguimiento</w:t>
      </w:r>
      <w:r w:rsidRPr="005B2641">
        <w:rPr>
          <w:rFonts w:eastAsia="Times New Roman" w:cstheme="minorHAnsi"/>
          <w:color w:val="000000"/>
          <w:sz w:val="24"/>
          <w:szCs w:val="24"/>
          <w:vertAlign w:val="superscript"/>
        </w:rPr>
        <w:footnoteReference w:id="21"/>
      </w:r>
      <w:r w:rsidRPr="005B2641">
        <w:rPr>
          <w:color w:val="000000"/>
          <w:sz w:val="24"/>
          <w:szCs w:val="24"/>
        </w:rPr>
        <w:t>. Mientras cumplen la política del FMAM, los organismos también utilizan sus propias normas y orientaciones a la hora de calificar los proyectos.</w:t>
      </w:r>
    </w:p>
    <w:p w14:paraId="0D9EA02D" w14:textId="77777777" w:rsidR="005B2641" w:rsidRPr="005B2641" w:rsidRDefault="005B2641" w:rsidP="005B2641">
      <w:pPr>
        <w:spacing w:before="240" w:after="240" w:line="252" w:lineRule="auto"/>
        <w:rPr>
          <w:rFonts w:eastAsia="Times New Roman" w:cstheme="minorHAnsi"/>
          <w:i/>
          <w:color w:val="000000"/>
          <w:sz w:val="24"/>
          <w:szCs w:val="24"/>
        </w:rPr>
      </w:pPr>
      <w:r w:rsidRPr="005B2641">
        <w:rPr>
          <w:i/>
          <w:color w:val="000000"/>
          <w:sz w:val="24"/>
          <w:szCs w:val="24"/>
        </w:rPr>
        <w:t>A menos que se indique otra cosa, la información que figura en los cuadros y gráficos siguientes proviene de la cartera activa del FMAM correspondiente al ejercicio de 2019, que consta de 923 proyectos del FMAM-3 al FMAM-6. Dicha cartera está compuesta por proyectos que actualmente están en ejecución.</w:t>
      </w:r>
    </w:p>
    <w:p w14:paraId="19739BCB" w14:textId="77777777" w:rsidR="005B2641" w:rsidRPr="005B2641" w:rsidRDefault="005B2641" w:rsidP="005B2641">
      <w:pPr>
        <w:pStyle w:val="Prrafodelista"/>
        <w:numPr>
          <w:ilvl w:val="0"/>
          <w:numId w:val="25"/>
        </w:numPr>
        <w:spacing w:before="240" w:after="240" w:line="240" w:lineRule="auto"/>
        <w:ind w:left="0" w:firstLine="0"/>
        <w:contextualSpacing w:val="0"/>
        <w:rPr>
          <w:rFonts w:eastAsia="Times New Roman" w:cstheme="minorHAnsi"/>
          <w:color w:val="000000"/>
          <w:sz w:val="24"/>
          <w:szCs w:val="24"/>
        </w:rPr>
      </w:pPr>
      <w:r w:rsidRPr="005B2641">
        <w:rPr>
          <w:color w:val="000000"/>
          <w:sz w:val="24"/>
          <w:szCs w:val="24"/>
        </w:rPr>
        <w:t xml:space="preserve">En el gráfico 1 a continuación se presenta el desempeño registrado en las operaciones del FMAM en </w:t>
      </w:r>
      <w:r w:rsidRPr="005B2641">
        <w:rPr>
          <w:i/>
          <w:iCs/>
          <w:color w:val="000000"/>
          <w:sz w:val="24"/>
          <w:szCs w:val="24"/>
        </w:rPr>
        <w:t>todas las áreas focales</w:t>
      </w:r>
      <w:r w:rsidRPr="005B2641">
        <w:rPr>
          <w:color w:val="000000"/>
          <w:sz w:val="24"/>
          <w:szCs w:val="24"/>
        </w:rPr>
        <w:t>.</w:t>
      </w:r>
    </w:p>
    <w:p w14:paraId="032C6C21" w14:textId="77777777" w:rsidR="005B2641" w:rsidRPr="005B2641" w:rsidRDefault="005B2641" w:rsidP="005B2641">
      <w:pPr>
        <w:spacing w:before="240" w:after="240" w:line="240" w:lineRule="auto"/>
        <w:jc w:val="center"/>
        <w:rPr>
          <w:rFonts w:eastAsiaTheme="minorEastAsia"/>
          <w:b/>
          <w:sz w:val="24"/>
          <w:szCs w:val="24"/>
        </w:rPr>
      </w:pPr>
      <w:r w:rsidRPr="005B2641">
        <w:rPr>
          <w:b/>
          <w:sz w:val="24"/>
          <w:szCs w:val="24"/>
        </w:rPr>
        <w:t xml:space="preserve">Gráfico 1. </w:t>
      </w:r>
      <w:bookmarkStart w:id="45" w:name="_Toc25257623"/>
      <w:r w:rsidRPr="005B2641">
        <w:rPr>
          <w:b/>
          <w:sz w:val="24"/>
          <w:szCs w:val="24"/>
        </w:rPr>
        <w:t>Calificaciones de los objetivos de desarrollo de los proyectos y de los avances en la ejecución</w:t>
      </w:r>
      <w:bookmarkEnd w:id="45"/>
      <w:r w:rsidRPr="005B2641">
        <w:rPr>
          <w:b/>
          <w:sz w:val="24"/>
          <w:szCs w:val="24"/>
        </w:rPr>
        <w:t xml:space="preserve"> de la cartera activa del FMAM en todas las áreas focales (ejercicio de 2019)</w:t>
      </w:r>
    </w:p>
    <w:p w14:paraId="5A3CD600" w14:textId="77777777" w:rsidR="005B2641" w:rsidRPr="005B2641" w:rsidRDefault="005B2641" w:rsidP="005B2641">
      <w:pPr>
        <w:spacing w:after="0" w:line="240" w:lineRule="auto"/>
        <w:jc w:val="center"/>
        <w:rPr>
          <w:rFonts w:eastAsiaTheme="minorEastAsia"/>
          <w:b/>
          <w:sz w:val="24"/>
          <w:szCs w:val="24"/>
        </w:rPr>
      </w:pPr>
      <w:r w:rsidRPr="005B2641">
        <w:rPr>
          <w:noProof/>
          <w:lang w:eastAsia="es-AR"/>
        </w:rPr>
        <w:drawing>
          <wp:inline distT="0" distB="0" distL="0" distR="0" wp14:anchorId="665A6B31" wp14:editId="35CF119D">
            <wp:extent cx="5124450" cy="2819400"/>
            <wp:effectExtent l="0" t="0" r="0" b="0"/>
            <wp:docPr id="6" name="Chart 1">
              <a:extLst xmlns:a="http://schemas.openxmlformats.org/drawingml/2006/main">
                <a:ext uri="{FF2B5EF4-FFF2-40B4-BE49-F238E27FC236}">
                  <a16:creationId xmlns:a16="http://schemas.microsoft.com/office/drawing/2014/main" id="{473D80E4-EBD2-4870-92A0-16FDC010CF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AEA97B0" w14:textId="77777777" w:rsidR="005B2641" w:rsidRPr="005B2641" w:rsidRDefault="005B2641" w:rsidP="005B2641">
      <w:pPr>
        <w:spacing w:after="0" w:line="240" w:lineRule="auto"/>
        <w:rPr>
          <w:rFonts w:eastAsiaTheme="minorEastAsia"/>
          <w:b/>
          <w:sz w:val="24"/>
          <w:szCs w:val="24"/>
        </w:rPr>
      </w:pPr>
    </w:p>
    <w:p w14:paraId="44CA3C0A" w14:textId="77777777" w:rsidR="005B2641" w:rsidRPr="005B2641" w:rsidRDefault="005B2641" w:rsidP="005B2641">
      <w:pPr>
        <w:spacing w:after="0" w:line="240" w:lineRule="auto"/>
        <w:jc w:val="center"/>
        <w:rPr>
          <w:rFonts w:eastAsiaTheme="minorEastAsia"/>
          <w:b/>
          <w:sz w:val="24"/>
          <w:szCs w:val="24"/>
        </w:rPr>
      </w:pPr>
      <w:r w:rsidRPr="005B2641">
        <w:rPr>
          <w:noProof/>
          <w:lang w:eastAsia="es-AR"/>
        </w:rPr>
        <w:lastRenderedPageBreak/>
        <w:drawing>
          <wp:inline distT="0" distB="0" distL="0" distR="0" wp14:anchorId="63E39391" wp14:editId="2CA11238">
            <wp:extent cx="5562599" cy="3057525"/>
            <wp:effectExtent l="0" t="0" r="635" b="0"/>
            <wp:docPr id="5" name="Chart 5">
              <a:extLst xmlns:a="http://schemas.openxmlformats.org/drawingml/2006/main">
                <a:ext uri="{FF2B5EF4-FFF2-40B4-BE49-F238E27FC236}">
                  <a16:creationId xmlns:a16="http://schemas.microsoft.com/office/drawing/2014/main" id="{4421E14E-B7B7-47E4-94F6-260FB27746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D6E2447" w14:textId="77777777" w:rsidR="005B2641" w:rsidRPr="005B2641" w:rsidRDefault="005B2641" w:rsidP="005B2641">
      <w:pPr>
        <w:spacing w:after="0" w:line="240" w:lineRule="auto"/>
        <w:jc w:val="center"/>
        <w:rPr>
          <w:rFonts w:eastAsiaTheme="minorEastAsia" w:cstheme="minorHAnsi"/>
          <w:b/>
          <w:bCs/>
          <w:i/>
          <w:sz w:val="24"/>
          <w:szCs w:val="24"/>
        </w:rPr>
      </w:pPr>
    </w:p>
    <w:p w14:paraId="257266B3" w14:textId="77777777" w:rsidR="005B2641" w:rsidRPr="005B2641" w:rsidRDefault="005B2641" w:rsidP="005B2641">
      <w:pPr>
        <w:pStyle w:val="Prrafodelista"/>
        <w:numPr>
          <w:ilvl w:val="0"/>
          <w:numId w:val="25"/>
        </w:numPr>
        <w:spacing w:before="240" w:after="240" w:line="240" w:lineRule="auto"/>
        <w:ind w:left="0" w:firstLine="0"/>
        <w:contextualSpacing w:val="0"/>
        <w:rPr>
          <w:rFonts w:cstheme="minorHAnsi"/>
          <w:sz w:val="24"/>
          <w:szCs w:val="24"/>
        </w:rPr>
      </w:pPr>
      <w:r w:rsidRPr="005B2641">
        <w:rPr>
          <w:sz w:val="24"/>
          <w:szCs w:val="24"/>
        </w:rPr>
        <w:t>En el gráfico 2 se presenta la proporción de los proyectos de las distintas áreas focales en los que se registró un desempeño satisfactorio. El 84 % de la cohorte de proyectos de biodiversidad en ejecución durante el período analizado ha recibido la calificación de moderadamente satisfactorio o más elevada en el logro de avances en la ejecución y el cumplimiento del objetivo de desarrollo del proyecto. Asimismo, el 84 % de los proyectos que abarcan varias áreas focales, que suelen incluir recursos para la biodiversidad, ha recibido la calificación de moderadamente satisfactorio o más elevada en el logro de avances en la ejecución, y el 90 % ha recibido la calificación de moderadamente satisfactorio o más elevada en el logro del objetivo de desarrollo del proyecto.</w:t>
      </w:r>
    </w:p>
    <w:p w14:paraId="30DAAFA1" w14:textId="77777777" w:rsidR="005B2641" w:rsidRPr="005B2641" w:rsidRDefault="005B2641" w:rsidP="005B2641">
      <w:pPr>
        <w:keepNext/>
        <w:spacing w:before="240" w:after="0" w:line="240" w:lineRule="auto"/>
        <w:jc w:val="center"/>
        <w:rPr>
          <w:rFonts w:eastAsiaTheme="minorEastAsia" w:cstheme="minorHAnsi"/>
          <w:b/>
          <w:bCs/>
          <w:sz w:val="24"/>
          <w:szCs w:val="24"/>
        </w:rPr>
      </w:pPr>
      <w:bookmarkStart w:id="46" w:name="_Toc25257626"/>
      <w:r w:rsidRPr="005B2641">
        <w:rPr>
          <w:b/>
          <w:bCs/>
          <w:sz w:val="24"/>
          <w:szCs w:val="24"/>
        </w:rPr>
        <w:lastRenderedPageBreak/>
        <w:t>Gráfico 2. Proporción de proyectos en ejecución que recibieron una calificación satisfactoria, por área focal</w:t>
      </w:r>
      <w:bookmarkEnd w:id="46"/>
      <w:r w:rsidRPr="005B2641">
        <w:rPr>
          <w:b/>
          <w:bCs/>
          <w:sz w:val="24"/>
          <w:szCs w:val="24"/>
        </w:rPr>
        <w:t xml:space="preserve"> (ejercicio de 2019)</w:t>
      </w:r>
    </w:p>
    <w:p w14:paraId="50907BB8" w14:textId="77777777" w:rsidR="005B2641" w:rsidRPr="005B2641" w:rsidRDefault="005B2641" w:rsidP="005B2641">
      <w:pPr>
        <w:jc w:val="center"/>
        <w:rPr>
          <w:rFonts w:cstheme="minorHAnsi"/>
        </w:rPr>
      </w:pPr>
      <w:bookmarkStart w:id="47" w:name="_Toc23525337"/>
      <w:bookmarkStart w:id="48" w:name="_Toc18940489"/>
      <w:bookmarkStart w:id="49" w:name="_Toc24011742"/>
      <w:bookmarkStart w:id="50" w:name="_Toc25257585"/>
      <w:r w:rsidRPr="005B2641">
        <w:rPr>
          <w:noProof/>
          <w:lang w:eastAsia="es-AR"/>
        </w:rPr>
        <w:drawing>
          <wp:inline distT="0" distB="0" distL="0" distR="0" wp14:anchorId="3A44C171" wp14:editId="7ABDD062">
            <wp:extent cx="5943600" cy="3656965"/>
            <wp:effectExtent l="0" t="0" r="0" b="635"/>
            <wp:docPr id="7" name="Chart 7">
              <a:extLst xmlns:a="http://schemas.openxmlformats.org/drawingml/2006/main">
                <a:ext uri="{FF2B5EF4-FFF2-40B4-BE49-F238E27FC236}">
                  <a16:creationId xmlns:a16="http://schemas.microsoft.com/office/drawing/2014/main" id="{321EA1FA-DB06-47BD-B070-22A5A88EFE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1E71F94" w14:textId="77777777" w:rsidR="005B2641" w:rsidRPr="005B2641" w:rsidRDefault="005B2641" w:rsidP="005B2641">
      <w:pPr>
        <w:pStyle w:val="Prrafodelista"/>
        <w:numPr>
          <w:ilvl w:val="0"/>
          <w:numId w:val="25"/>
        </w:numPr>
        <w:spacing w:before="240" w:after="240" w:line="240" w:lineRule="auto"/>
        <w:ind w:left="0" w:firstLine="0"/>
        <w:contextualSpacing w:val="0"/>
        <w:rPr>
          <w:rFonts w:eastAsiaTheme="majorEastAsia" w:cstheme="minorHAnsi"/>
          <w:sz w:val="24"/>
          <w:szCs w:val="24"/>
        </w:rPr>
      </w:pPr>
      <w:r w:rsidRPr="005B2641">
        <w:rPr>
          <w:sz w:val="24"/>
          <w:szCs w:val="24"/>
        </w:rPr>
        <w:t>En el gráfico 3 se presentan datos sobre el desempeño en los proyectos del área focal de biodiversidad, así como de proyectos que abarcan varias áreas focales y en los que se utilizan recursos para la biodiversidad. El 82 % de la cohorte de proyectos ha recibido la calificación de moderadamente satisfactorio o más elevada.</w:t>
      </w:r>
    </w:p>
    <w:p w14:paraId="2AB35386" w14:textId="77777777" w:rsidR="005B2641" w:rsidRPr="005B2641" w:rsidRDefault="005B2641" w:rsidP="005B2641">
      <w:pPr>
        <w:spacing w:before="240" w:after="240" w:line="240" w:lineRule="auto"/>
        <w:jc w:val="center"/>
        <w:rPr>
          <w:b/>
          <w:sz w:val="24"/>
        </w:rPr>
      </w:pPr>
      <w:r w:rsidRPr="005B2641">
        <w:br w:type="page"/>
      </w:r>
    </w:p>
    <w:p w14:paraId="3C97FE97" w14:textId="77777777" w:rsidR="005B2641" w:rsidRPr="005B2641" w:rsidRDefault="005B2641" w:rsidP="005B2641">
      <w:pPr>
        <w:spacing w:before="240" w:after="240" w:line="240" w:lineRule="auto"/>
        <w:jc w:val="center"/>
        <w:rPr>
          <w:b/>
          <w:sz w:val="24"/>
        </w:rPr>
      </w:pPr>
      <w:r w:rsidRPr="005B2641">
        <w:rPr>
          <w:b/>
          <w:sz w:val="24"/>
        </w:rPr>
        <w:lastRenderedPageBreak/>
        <w:t>Gráfico 3. Calificaciones de los proyectos de biodiversidad y de los proyectos que abarcan varias áreas focales y que utilizan recursos para la biodiversidad (ejercicio de 2019)</w:t>
      </w:r>
    </w:p>
    <w:p w14:paraId="2E0EC890" w14:textId="77777777" w:rsidR="005B2641" w:rsidRPr="005B2641" w:rsidRDefault="005B2641" w:rsidP="005B2641">
      <w:pPr>
        <w:jc w:val="center"/>
      </w:pPr>
      <w:r w:rsidRPr="005B2641">
        <w:rPr>
          <w:noProof/>
          <w:lang w:eastAsia="es-AR"/>
        </w:rPr>
        <w:drawing>
          <wp:inline distT="0" distB="0" distL="0" distR="0" wp14:anchorId="5EF0329D" wp14:editId="3FD2AA58">
            <wp:extent cx="5105400" cy="3095625"/>
            <wp:effectExtent l="0" t="0" r="0" b="0"/>
            <wp:docPr id="9" name="Chart 3">
              <a:extLst xmlns:a="http://schemas.openxmlformats.org/drawingml/2006/main">
                <a:ext uri="{FF2B5EF4-FFF2-40B4-BE49-F238E27FC236}">
                  <a16:creationId xmlns:a16="http://schemas.microsoft.com/office/drawing/2014/main" id="{EB922163-15B6-4429-A512-6067526CCF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83110C3" w14:textId="77777777" w:rsidR="005B2641" w:rsidRPr="005B2641" w:rsidRDefault="005B2641" w:rsidP="005B2641">
      <w:pPr>
        <w:jc w:val="center"/>
      </w:pPr>
      <w:r w:rsidRPr="005B2641">
        <w:rPr>
          <w:noProof/>
          <w:lang w:eastAsia="es-AR"/>
        </w:rPr>
        <w:drawing>
          <wp:inline distT="0" distB="0" distL="0" distR="0" wp14:anchorId="0FDDCEBC" wp14:editId="4B50B0D4">
            <wp:extent cx="5133975" cy="3214688"/>
            <wp:effectExtent l="0" t="0" r="0" b="5080"/>
            <wp:docPr id="4" name="Chart 4">
              <a:extLst xmlns:a="http://schemas.openxmlformats.org/drawingml/2006/main">
                <a:ext uri="{FF2B5EF4-FFF2-40B4-BE49-F238E27FC236}">
                  <a16:creationId xmlns:a16="http://schemas.microsoft.com/office/drawing/2014/main" id="{7ABCF79D-3421-4D28-91FB-2164F0264E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D5CB126" w14:textId="77777777" w:rsidR="005B2641" w:rsidRPr="005B2641" w:rsidRDefault="005B2641" w:rsidP="005B2641">
      <w:r w:rsidRPr="005B2641">
        <w:br w:type="page"/>
      </w:r>
    </w:p>
    <w:p w14:paraId="4804F45E" w14:textId="77777777" w:rsidR="005B2641" w:rsidRPr="005B2641" w:rsidRDefault="005B2641" w:rsidP="005B2641">
      <w:pPr>
        <w:pStyle w:val="Ttulo2"/>
      </w:pPr>
      <w:bookmarkStart w:id="51" w:name="_Toc35815703"/>
      <w:r w:rsidRPr="005B2641">
        <w:lastRenderedPageBreak/>
        <w:t>Aumentar el cofinanciamiento</w:t>
      </w:r>
      <w:bookmarkEnd w:id="47"/>
      <w:r w:rsidRPr="005B2641">
        <w:t xml:space="preserve"> en toda la cartera</w:t>
      </w:r>
      <w:bookmarkEnd w:id="48"/>
      <w:bookmarkEnd w:id="49"/>
      <w:bookmarkEnd w:id="50"/>
      <w:bookmarkEnd w:id="51"/>
    </w:p>
    <w:p w14:paraId="011F93C4" w14:textId="77777777" w:rsidR="005B2641" w:rsidRPr="005B2641" w:rsidRDefault="005B2641" w:rsidP="005B2641">
      <w:pPr>
        <w:pStyle w:val="Prrafodelista"/>
        <w:numPr>
          <w:ilvl w:val="0"/>
          <w:numId w:val="25"/>
        </w:numPr>
        <w:spacing w:before="240" w:after="240" w:line="240" w:lineRule="auto"/>
        <w:ind w:left="0" w:firstLine="0"/>
        <w:contextualSpacing w:val="0"/>
        <w:rPr>
          <w:rFonts w:eastAsia="Times New Roman" w:cstheme="minorHAnsi"/>
          <w:color w:val="000000"/>
          <w:sz w:val="24"/>
          <w:szCs w:val="24"/>
        </w:rPr>
      </w:pPr>
      <w:r w:rsidRPr="005B2641">
        <w:rPr>
          <w:color w:val="000000"/>
          <w:sz w:val="24"/>
          <w:szCs w:val="24"/>
        </w:rPr>
        <w:t>En el marco de la sexta reposición de sus recursos, el FMAM ha alcanzado su coeficiente de cofinanciamiento más alto, a saber, USD 9,3 por cada dólar destinado a proyectos del FMAM-6 que fueron ratificados, a más tardar, el 31 de diciembre de 2019. Dicha cifra se obtiene dividiendo el monto total de cofinanciamiento por las donaciones del FMAM destinadas a proyectos medianos y mayores durante un período determinado; el resultado se expresa como un coeficiente.</w:t>
      </w:r>
    </w:p>
    <w:p w14:paraId="337482F9" w14:textId="77777777" w:rsidR="005B2641" w:rsidRPr="005B2641" w:rsidRDefault="005B2641" w:rsidP="005B2641">
      <w:pPr>
        <w:spacing w:before="240" w:after="240" w:line="240" w:lineRule="auto"/>
        <w:jc w:val="center"/>
        <w:rPr>
          <w:rFonts w:eastAsiaTheme="minorEastAsia" w:cstheme="minorHAnsi"/>
          <w:b/>
          <w:bCs/>
          <w:sz w:val="24"/>
          <w:szCs w:val="24"/>
        </w:rPr>
      </w:pPr>
      <w:bookmarkStart w:id="52" w:name="_Toc25257627"/>
      <w:r w:rsidRPr="005B2641">
        <w:rPr>
          <w:b/>
          <w:bCs/>
          <w:sz w:val="24"/>
          <w:szCs w:val="24"/>
        </w:rPr>
        <w:t>Gráfico 4. Cofinanciamiento en los períodos de reposición de recursos del FMAM</w:t>
      </w:r>
      <w:bookmarkEnd w:id="52"/>
      <w:r w:rsidRPr="005B2641">
        <w:rPr>
          <w:rStyle w:val="Refdenotaalpie"/>
          <w:rFonts w:eastAsiaTheme="minorEastAsia" w:cstheme="minorHAnsi"/>
          <w:bCs/>
          <w:sz w:val="24"/>
          <w:szCs w:val="24"/>
        </w:rPr>
        <w:footnoteReference w:id="22"/>
      </w:r>
    </w:p>
    <w:p w14:paraId="17D149DA" w14:textId="77777777" w:rsidR="005B2641" w:rsidRPr="005B2641" w:rsidRDefault="005B2641" w:rsidP="005B2641">
      <w:pPr>
        <w:jc w:val="center"/>
        <w:rPr>
          <w:rFonts w:cstheme="minorHAnsi"/>
        </w:rPr>
      </w:pPr>
      <w:r w:rsidRPr="005B2641">
        <w:rPr>
          <w:noProof/>
        </w:rPr>
        <w:drawing>
          <wp:inline distT="0" distB="0" distL="0" distR="0" wp14:anchorId="719C8722" wp14:editId="1CF9268E">
            <wp:extent cx="2572505" cy="1621008"/>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09486" cy="1644311"/>
                    </a:xfrm>
                    <a:prstGeom prst="rect">
                      <a:avLst/>
                    </a:prstGeom>
                  </pic:spPr>
                </pic:pic>
              </a:graphicData>
            </a:graphic>
          </wp:inline>
        </w:drawing>
      </w:r>
    </w:p>
    <w:p w14:paraId="530AE26F" w14:textId="77777777" w:rsidR="005B2641" w:rsidRPr="005B2641" w:rsidRDefault="005B2641" w:rsidP="005B2641">
      <w:pPr>
        <w:pStyle w:val="Prrafodelista"/>
        <w:numPr>
          <w:ilvl w:val="0"/>
          <w:numId w:val="25"/>
        </w:numPr>
        <w:spacing w:before="240" w:after="240" w:line="240" w:lineRule="auto"/>
        <w:ind w:left="0" w:firstLine="0"/>
        <w:contextualSpacing w:val="0"/>
        <w:rPr>
          <w:rFonts w:eastAsia="Times New Roman" w:cstheme="minorHAnsi"/>
          <w:color w:val="000000"/>
          <w:sz w:val="24"/>
          <w:szCs w:val="24"/>
        </w:rPr>
      </w:pPr>
      <w:r w:rsidRPr="005B2641">
        <w:rPr>
          <w:color w:val="000000"/>
          <w:sz w:val="24"/>
          <w:szCs w:val="24"/>
        </w:rPr>
        <w:t>El cofinanciamiento contribuye a la eficacia, los impactos y la sostenibilidad de los proyectos y programas del FMAM, en particular permitiendo que dicho organismo genere beneficios ambientales más duraderos y de mayor escala a nivel mundial, y fortaleciendo las alianzas.</w:t>
      </w:r>
    </w:p>
    <w:p w14:paraId="639DA14A" w14:textId="77777777" w:rsidR="005B2641" w:rsidRPr="005B2641" w:rsidRDefault="005B2641" w:rsidP="005B2641">
      <w:pPr>
        <w:pStyle w:val="Prrafodelista"/>
        <w:numPr>
          <w:ilvl w:val="0"/>
          <w:numId w:val="25"/>
        </w:numPr>
        <w:spacing w:before="240" w:after="240" w:line="240" w:lineRule="auto"/>
        <w:ind w:left="0" w:firstLine="0"/>
        <w:contextualSpacing w:val="0"/>
        <w:rPr>
          <w:rFonts w:eastAsia="Times New Roman" w:cstheme="minorHAnsi"/>
          <w:color w:val="000000"/>
          <w:sz w:val="24"/>
          <w:szCs w:val="24"/>
        </w:rPr>
      </w:pPr>
      <w:r w:rsidRPr="005B2641">
        <w:rPr>
          <w:color w:val="000000"/>
          <w:sz w:val="24"/>
          <w:szCs w:val="24"/>
        </w:rPr>
        <w:t>Como se muestra en el gráfico 5 a continuación, hay determinadas áreas focales que están movilizando más cofinanciamiento que otras. Tal es el caso de las áreas focales de cambio climático y aguas internacionales, en las que se genera un cofinanciamiento de USD 12,8 y USD 11,6, respectivamente, por cada dólar invertido.</w:t>
      </w:r>
      <w:bookmarkStart w:id="53" w:name="_Toc25257629"/>
    </w:p>
    <w:p w14:paraId="314177B0" w14:textId="77777777" w:rsidR="005B2641" w:rsidRPr="005B2641" w:rsidRDefault="005B2641" w:rsidP="005B2641">
      <w:pPr>
        <w:keepNext/>
        <w:spacing w:before="240" w:after="240" w:line="240" w:lineRule="auto"/>
        <w:jc w:val="center"/>
        <w:rPr>
          <w:rFonts w:eastAsiaTheme="minorEastAsia"/>
          <w:b/>
          <w:i/>
          <w:sz w:val="24"/>
          <w:szCs w:val="24"/>
        </w:rPr>
      </w:pPr>
      <w:r w:rsidRPr="005B2641">
        <w:rPr>
          <w:b/>
          <w:sz w:val="24"/>
          <w:szCs w:val="24"/>
        </w:rPr>
        <w:t>Gráfico 5. Coeficiente de cofinanciamiento, por área focal,</w:t>
      </w:r>
      <w:bookmarkEnd w:id="53"/>
      <w:r w:rsidRPr="005B2641">
        <w:t xml:space="preserve"> </w:t>
      </w:r>
      <w:r w:rsidRPr="005B2641">
        <w:rPr>
          <w:b/>
          <w:sz w:val="24"/>
          <w:szCs w:val="24"/>
        </w:rPr>
        <w:t>de la cartera activa</w:t>
      </w:r>
      <w:r w:rsidRPr="005B2641">
        <w:rPr>
          <w:b/>
          <w:sz w:val="24"/>
          <w:szCs w:val="24"/>
        </w:rPr>
        <w:br/>
        <w:t>(ejercicio de 2019)</w:t>
      </w:r>
    </w:p>
    <w:p w14:paraId="379972AE" w14:textId="77777777" w:rsidR="005B2641" w:rsidRPr="005B2641" w:rsidRDefault="005B2641" w:rsidP="005B2641">
      <w:pPr>
        <w:jc w:val="center"/>
        <w:rPr>
          <w:rFonts w:cstheme="minorHAnsi"/>
        </w:rPr>
      </w:pPr>
      <w:r w:rsidRPr="005B2641">
        <w:rPr>
          <w:rFonts w:cstheme="minorHAnsi"/>
          <w:noProof/>
        </w:rPr>
        <w:drawing>
          <wp:inline distT="0" distB="0" distL="0" distR="0" wp14:anchorId="1D48CB2A" wp14:editId="0CA6B8DE">
            <wp:extent cx="4359471" cy="1520405"/>
            <wp:effectExtent l="0" t="0" r="317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00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91928" cy="1531725"/>
                    </a:xfrm>
                    <a:prstGeom prst="rect">
                      <a:avLst/>
                    </a:prstGeom>
                  </pic:spPr>
                </pic:pic>
              </a:graphicData>
            </a:graphic>
          </wp:inline>
        </w:drawing>
      </w:r>
    </w:p>
    <w:p w14:paraId="14D14B97" w14:textId="77777777" w:rsidR="005B2641" w:rsidRPr="005B2641" w:rsidRDefault="005B2641" w:rsidP="005B2641">
      <w:pPr>
        <w:pStyle w:val="Prrafodelista"/>
        <w:numPr>
          <w:ilvl w:val="0"/>
          <w:numId w:val="25"/>
        </w:numPr>
        <w:spacing w:before="240" w:after="240" w:line="240" w:lineRule="auto"/>
        <w:ind w:left="0" w:firstLine="0"/>
        <w:contextualSpacing w:val="0"/>
        <w:rPr>
          <w:rFonts w:eastAsia="Times New Roman" w:cstheme="minorHAnsi"/>
          <w:color w:val="000000"/>
          <w:sz w:val="24"/>
          <w:szCs w:val="24"/>
        </w:rPr>
      </w:pPr>
      <w:bookmarkStart w:id="54" w:name="_Hlk24557208"/>
      <w:r w:rsidRPr="005B2641">
        <w:rPr>
          <w:color w:val="000000"/>
          <w:sz w:val="24"/>
          <w:szCs w:val="24"/>
        </w:rPr>
        <w:t xml:space="preserve">Los subproyectos que forman parte de la cartera actual movilizan mayor cofinanciamiento que los proyectos mayores independientes. El coeficiente es de 1 : 10,1 en el </w:t>
      </w:r>
      <w:r w:rsidRPr="005B2641">
        <w:rPr>
          <w:color w:val="000000"/>
          <w:sz w:val="24"/>
          <w:szCs w:val="24"/>
        </w:rPr>
        <w:lastRenderedPageBreak/>
        <w:t>caso de los proyectos que integran un programa y de 1 : 7,8 en el de proyectos mayores independientes.</w:t>
      </w:r>
      <w:bookmarkEnd w:id="54"/>
    </w:p>
    <w:p w14:paraId="3C4D932F" w14:textId="77777777" w:rsidR="005B2641" w:rsidRPr="005B2641" w:rsidRDefault="005B2641" w:rsidP="005B2641">
      <w:pPr>
        <w:pStyle w:val="Prrafodelista"/>
        <w:numPr>
          <w:ilvl w:val="0"/>
          <w:numId w:val="25"/>
        </w:numPr>
        <w:spacing w:before="240" w:after="240" w:line="240" w:lineRule="auto"/>
        <w:ind w:left="0" w:firstLine="0"/>
        <w:contextualSpacing w:val="0"/>
        <w:rPr>
          <w:rFonts w:eastAsia="Times New Roman" w:cstheme="minorHAnsi"/>
          <w:color w:val="000000"/>
          <w:sz w:val="24"/>
          <w:szCs w:val="24"/>
        </w:rPr>
      </w:pPr>
      <w:r w:rsidRPr="005B2641">
        <w:rPr>
          <w:color w:val="000000"/>
          <w:sz w:val="24"/>
          <w:szCs w:val="24"/>
        </w:rPr>
        <w:t xml:space="preserve">Todos los proyectos del FMAM ratificados durante el ejercicio de 2019 alcanzaron un coeficiente de cofinanciamiento de 1 : 6,7. Este nivel está próximo a la meta de 1 : 7 establecida para </w:t>
      </w:r>
      <w:r w:rsidRPr="005B2641">
        <w:rPr>
          <w:i/>
          <w:iCs/>
          <w:color w:val="000000"/>
          <w:sz w:val="24"/>
          <w:szCs w:val="24"/>
        </w:rPr>
        <w:t>toda la cartera del FMAM</w:t>
      </w:r>
      <w:r w:rsidRPr="005B2641">
        <w:rPr>
          <w:color w:val="000000"/>
          <w:sz w:val="24"/>
          <w:szCs w:val="24"/>
        </w:rPr>
        <w:t xml:space="preserve"> durante el FMAM-7. De los USD 2200 millones en cofinanciamiento, USD 380 millones provienen de entidades del sector privado. Todos los proyectos de biodiversidad del FMAM ratificados durante el ejercicio de 2019 alcanzaron un coeficiente de cofinanciamiento de 1 : 5,2, un ligero incremento respecto de la cartera activa.</w:t>
      </w:r>
    </w:p>
    <w:p w14:paraId="071435D0" w14:textId="77777777" w:rsidR="005B2641" w:rsidRPr="005B2641" w:rsidRDefault="005B2641" w:rsidP="005B2641">
      <w:pPr>
        <w:pStyle w:val="Ttulo1"/>
        <w:numPr>
          <w:ilvl w:val="0"/>
          <w:numId w:val="27"/>
        </w:numPr>
        <w:spacing w:before="240" w:after="240"/>
        <w:ind w:left="187" w:hanging="187"/>
        <w:jc w:val="left"/>
      </w:pPr>
      <w:bookmarkStart w:id="55" w:name="_Toc35815704"/>
      <w:r w:rsidRPr="005B2641">
        <w:t>Informe de situación sobre los resultados y las metas institucionales del FMAM-7</w:t>
      </w:r>
      <w:bookmarkEnd w:id="55"/>
    </w:p>
    <w:p w14:paraId="2D6127D5" w14:textId="77777777" w:rsidR="005B2641" w:rsidRPr="005B2641" w:rsidRDefault="005B2641" w:rsidP="005B2641">
      <w:pPr>
        <w:pStyle w:val="Prrafodelista"/>
        <w:numPr>
          <w:ilvl w:val="0"/>
          <w:numId w:val="25"/>
        </w:numPr>
        <w:spacing w:before="240" w:after="240" w:line="240" w:lineRule="auto"/>
        <w:ind w:left="0" w:firstLine="0"/>
        <w:contextualSpacing w:val="0"/>
        <w:rPr>
          <w:rFonts w:eastAsia="Times New Roman" w:cstheme="minorHAnsi"/>
          <w:color w:val="000000"/>
          <w:sz w:val="24"/>
          <w:szCs w:val="24"/>
        </w:rPr>
      </w:pPr>
      <w:r w:rsidRPr="005B2641">
        <w:rPr>
          <w:color w:val="000000"/>
          <w:sz w:val="24"/>
          <w:szCs w:val="24"/>
        </w:rPr>
        <w:t>Como</w:t>
      </w:r>
      <w:r w:rsidRPr="005B2641">
        <w:rPr>
          <w:snapToGrid w:val="0"/>
          <w:sz w:val="24"/>
          <w:szCs w:val="24"/>
        </w:rPr>
        <w:t xml:space="preserve"> parte del acuerdo de reposición de recursos del FMAM-7, se adoptaron una serie de metas institucionales</w:t>
      </w:r>
      <w:r w:rsidRPr="005B2641">
        <w:rPr>
          <w:snapToGrid w:val="0"/>
          <w:vertAlign w:val="superscript"/>
        </w:rPr>
        <w:footnoteReference w:id="23"/>
      </w:r>
      <w:r w:rsidRPr="005B2641">
        <w:rPr>
          <w:sz w:val="24"/>
          <w:szCs w:val="24"/>
        </w:rPr>
        <w:t>.</w:t>
      </w:r>
      <w:r w:rsidRPr="005B2641">
        <w:rPr>
          <w:color w:val="000000"/>
          <w:sz w:val="24"/>
          <w:szCs w:val="24"/>
        </w:rPr>
        <w:t xml:space="preserve"> En el ámbito del FMAM-7, se introdujo un marco de resultados actualizado con 11 indicadores básicos, que comprenden las cinco áreas focales y que son importantes para alcanzar las Metas de Aichi para la Diversidad Biológica, dada la amplitud y el grado de exhaustividad de las Metas de Aichi en general. Según lo previsto, los indicadores básicos, junto con las metodologías y subindicadores asociados, permitirán mejorar considerablemente la capacidad del FMAM para obtener, monitorear y analizar los resultados, y presentar los informes correspondientes. Al mismo tiempo, al reemplazar herramientas de seguimiento y marcos de resultados de determinadas áreas focales, los indicadores básicos permitirán simplificar en gran medida la arquitectura de resultados del FMAM, así como reducir significativamente la carga relacionada con el seguimiento y la presentación de informes en los proyectos y programas.</w:t>
      </w:r>
    </w:p>
    <w:p w14:paraId="0341E3DC" w14:textId="77777777" w:rsidR="005B2641" w:rsidRPr="005B2641" w:rsidRDefault="005B2641" w:rsidP="005B2641">
      <w:pPr>
        <w:pStyle w:val="Prrafodelista"/>
        <w:numPr>
          <w:ilvl w:val="0"/>
          <w:numId w:val="25"/>
        </w:numPr>
        <w:spacing w:before="240" w:after="240" w:line="240" w:lineRule="auto"/>
        <w:ind w:left="0" w:firstLine="0"/>
        <w:contextualSpacing w:val="0"/>
        <w:rPr>
          <w:rFonts w:eastAsia="Times New Roman" w:cstheme="minorHAnsi"/>
          <w:color w:val="000000"/>
          <w:sz w:val="24"/>
          <w:szCs w:val="24"/>
        </w:rPr>
      </w:pPr>
      <w:r w:rsidRPr="005B2641">
        <w:rPr>
          <w:color w:val="000000"/>
          <w:sz w:val="24"/>
          <w:szCs w:val="24"/>
        </w:rPr>
        <w:t>En el gráfico 6 a continuación se muestran las metas acumulativas presentadas en las ideas de proyectos aprobadas por el Consejo del FMAM (fichas de identificación de proyectos) durante el período comprendido entre el 1 de julio de 2018 y el 31 de diciembre de 2019 que se relacionan con el CDB y el Plan Estratégico para la Diversidad Biológica 2011</w:t>
      </w:r>
      <w:r w:rsidRPr="005B2641">
        <w:rPr>
          <w:color w:val="000000"/>
          <w:sz w:val="24"/>
          <w:szCs w:val="24"/>
        </w:rPr>
        <w:noBreakHyphen/>
        <w:t>20. Las metas acumulativas representan los resultados clave que se espera obtener con estos proyectos.</w:t>
      </w:r>
    </w:p>
    <w:p w14:paraId="11CF1B5C" w14:textId="77777777" w:rsidR="005B2641" w:rsidRPr="005B2641" w:rsidRDefault="005B2641" w:rsidP="005B2641">
      <w:pPr>
        <w:keepNext/>
        <w:spacing w:before="240" w:after="240" w:line="240" w:lineRule="auto"/>
        <w:jc w:val="center"/>
        <w:rPr>
          <w:rFonts w:eastAsia="Times New Roman" w:cstheme="minorHAnsi"/>
          <w:b/>
          <w:color w:val="000000"/>
          <w:sz w:val="24"/>
          <w:szCs w:val="24"/>
        </w:rPr>
      </w:pPr>
      <w:r w:rsidRPr="005B2641">
        <w:rPr>
          <w:b/>
          <w:color w:val="000000"/>
          <w:sz w:val="24"/>
          <w:szCs w:val="24"/>
        </w:rPr>
        <w:lastRenderedPageBreak/>
        <w:t>Gráfico 6.</w:t>
      </w:r>
    </w:p>
    <w:p w14:paraId="515940E3" w14:textId="77777777" w:rsidR="005B2641" w:rsidRPr="005B2641" w:rsidRDefault="005B2641" w:rsidP="005B2641">
      <w:pPr>
        <w:spacing w:before="240" w:after="240" w:line="252" w:lineRule="auto"/>
        <w:jc w:val="center"/>
        <w:rPr>
          <w:rFonts w:eastAsia="Times New Roman" w:cstheme="minorHAnsi"/>
          <w:color w:val="000000"/>
          <w:sz w:val="24"/>
          <w:szCs w:val="24"/>
        </w:rPr>
      </w:pPr>
      <w:r w:rsidRPr="005B2641">
        <w:rPr>
          <w:rFonts w:eastAsia="Times New Roman" w:cstheme="minorHAnsi"/>
          <w:noProof/>
          <w:color w:val="000000"/>
          <w:sz w:val="24"/>
          <w:szCs w:val="24"/>
        </w:rPr>
        <w:drawing>
          <wp:inline distT="0" distB="0" distL="0" distR="0" wp14:anchorId="730ECF5F" wp14:editId="1A366E98">
            <wp:extent cx="5943600" cy="50069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00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5006975"/>
                    </a:xfrm>
                    <a:prstGeom prst="rect">
                      <a:avLst/>
                    </a:prstGeom>
                  </pic:spPr>
                </pic:pic>
              </a:graphicData>
            </a:graphic>
          </wp:inline>
        </w:drawing>
      </w:r>
    </w:p>
    <w:p w14:paraId="681B123D" w14:textId="77777777" w:rsidR="005B2641" w:rsidRPr="005B2641" w:rsidRDefault="005B2641" w:rsidP="005B2641">
      <w:pPr>
        <w:pStyle w:val="Prrafodelista"/>
        <w:numPr>
          <w:ilvl w:val="0"/>
          <w:numId w:val="25"/>
        </w:numPr>
        <w:spacing w:before="240" w:after="240" w:line="240" w:lineRule="auto"/>
        <w:ind w:left="0" w:firstLine="0"/>
        <w:contextualSpacing w:val="0"/>
        <w:rPr>
          <w:sz w:val="24"/>
          <w:szCs w:val="24"/>
        </w:rPr>
      </w:pPr>
      <w:r w:rsidRPr="005B2641">
        <w:rPr>
          <w:sz w:val="24"/>
          <w:szCs w:val="24"/>
        </w:rPr>
        <w:t>Como se presentó en las orientaciones programáticas y el marco de resultados correspondientes al FMAM-7, los programas de impacto generan resultados en los indicadores 1 (zonas terrestres protegidas), 3 (superficie de tierra restaurada), 4 (paisajes con prácticas más adecuadas) y 6 (emisiones de gases de efecto invernadero mitigadas).</w:t>
      </w:r>
    </w:p>
    <w:p w14:paraId="71979CD4" w14:textId="77777777" w:rsidR="005B2641" w:rsidRPr="005B2641" w:rsidRDefault="005B2641" w:rsidP="005B2641">
      <w:pPr>
        <w:pStyle w:val="Prrafodelista"/>
        <w:numPr>
          <w:ilvl w:val="0"/>
          <w:numId w:val="25"/>
        </w:numPr>
        <w:spacing w:before="240" w:after="240" w:line="240" w:lineRule="auto"/>
        <w:ind w:left="0" w:firstLine="0"/>
        <w:contextualSpacing w:val="0"/>
        <w:rPr>
          <w:sz w:val="24"/>
          <w:szCs w:val="24"/>
        </w:rPr>
      </w:pPr>
      <w:r w:rsidRPr="005B2641">
        <w:rPr>
          <w:snapToGrid w:val="0"/>
          <w:sz w:val="24"/>
          <w:szCs w:val="24"/>
        </w:rPr>
        <w:t>A la fecha, la contribución de todos los programas de impacto a estos cuatro indicadores básicos varía entre el 21 % y</w:t>
      </w:r>
      <w:r w:rsidRPr="005B2641">
        <w:rPr>
          <w:sz w:val="24"/>
          <w:szCs w:val="24"/>
        </w:rPr>
        <w:t xml:space="preserve"> cerca del 70 % de la totalidad de las metas previstas para el FMAM-7 (gráfico 7), mientras que el total de recursos del SATR programados en dichos programas representa solo el 23 % de las asignaciones del SATR previstas para ese período.</w:t>
      </w:r>
    </w:p>
    <w:p w14:paraId="606855B8" w14:textId="77777777" w:rsidR="005B2641" w:rsidRPr="005B2641" w:rsidRDefault="005B2641" w:rsidP="005B2641">
      <w:pPr>
        <w:keepNext/>
        <w:spacing w:before="240" w:after="240" w:line="240" w:lineRule="auto"/>
        <w:jc w:val="center"/>
        <w:rPr>
          <w:b/>
          <w:sz w:val="24"/>
          <w:szCs w:val="24"/>
        </w:rPr>
      </w:pPr>
      <w:r w:rsidRPr="005B2641">
        <w:rPr>
          <w:b/>
          <w:sz w:val="24"/>
          <w:szCs w:val="24"/>
        </w:rPr>
        <w:lastRenderedPageBreak/>
        <w:t>Gráfico 7. Resultados a la fecha en el FMAM-7 y contribución de los programas de impacto a cada indicador básico, incluido el programa de trabajo de diciembre de 2019</w:t>
      </w:r>
    </w:p>
    <w:p w14:paraId="1DAD527B" w14:textId="77777777" w:rsidR="005B2641" w:rsidRPr="005B2641" w:rsidRDefault="005B2641" w:rsidP="005B2641">
      <w:r w:rsidRPr="005B2641">
        <w:rPr>
          <w:noProof/>
        </w:rPr>
        <w:drawing>
          <wp:inline distT="0" distB="0" distL="0" distR="0" wp14:anchorId="353D7318" wp14:editId="11752A33">
            <wp:extent cx="5943600" cy="35401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540125"/>
                    </a:xfrm>
                    <a:prstGeom prst="rect">
                      <a:avLst/>
                    </a:prstGeom>
                  </pic:spPr>
                </pic:pic>
              </a:graphicData>
            </a:graphic>
          </wp:inline>
        </w:drawing>
      </w:r>
    </w:p>
    <w:p w14:paraId="1D41FBF9" w14:textId="77777777" w:rsidR="005B2641" w:rsidRPr="005B2641" w:rsidRDefault="005B2641" w:rsidP="005B2641">
      <w:pPr>
        <w:spacing w:after="0" w:line="240" w:lineRule="auto"/>
        <w:rPr>
          <w:b/>
          <w:sz w:val="20"/>
          <w:szCs w:val="20"/>
          <w:u w:val="single"/>
        </w:rPr>
      </w:pPr>
      <w:r w:rsidRPr="005B2641">
        <w:rPr>
          <w:b/>
          <w:sz w:val="20"/>
          <w:szCs w:val="20"/>
          <w:u w:val="single"/>
        </w:rPr>
        <w:t>Información clave:</w:t>
      </w:r>
    </w:p>
    <w:p w14:paraId="076C3748" w14:textId="77777777" w:rsidR="005B2641" w:rsidRPr="005B2641" w:rsidRDefault="005B2641" w:rsidP="005B2641">
      <w:pPr>
        <w:spacing w:after="0" w:line="240" w:lineRule="auto"/>
        <w:rPr>
          <w:sz w:val="20"/>
          <w:szCs w:val="20"/>
        </w:rPr>
      </w:pPr>
      <w:r w:rsidRPr="005B2641">
        <w:rPr>
          <w:sz w:val="20"/>
          <w:szCs w:val="20"/>
        </w:rPr>
        <w:t>Indicador básico 1: Se crean zonas terrestres protegidas o se las somete a una gestión más adecuada para la conservación y el uso sostenible (hectáreas).</w:t>
      </w:r>
    </w:p>
    <w:p w14:paraId="5D9184FE" w14:textId="77777777" w:rsidR="005B2641" w:rsidRPr="005B2641" w:rsidRDefault="005B2641" w:rsidP="005B2641">
      <w:pPr>
        <w:spacing w:after="0" w:line="240" w:lineRule="auto"/>
        <w:rPr>
          <w:sz w:val="20"/>
          <w:szCs w:val="20"/>
        </w:rPr>
      </w:pPr>
      <w:r w:rsidRPr="005B2641">
        <w:rPr>
          <w:sz w:val="20"/>
          <w:szCs w:val="20"/>
        </w:rPr>
        <w:t>Indicador básico 2: Se crean zonas marinas protegidas o se las somete a una gestión más adecuada para la conservación y el uso sostenible (hectáreas).</w:t>
      </w:r>
    </w:p>
    <w:p w14:paraId="32A7FB30" w14:textId="77777777" w:rsidR="005B2641" w:rsidRPr="005B2641" w:rsidRDefault="005B2641" w:rsidP="005B2641">
      <w:pPr>
        <w:spacing w:after="0" w:line="240" w:lineRule="auto"/>
        <w:rPr>
          <w:sz w:val="20"/>
          <w:szCs w:val="20"/>
        </w:rPr>
      </w:pPr>
      <w:r w:rsidRPr="005B2641">
        <w:rPr>
          <w:sz w:val="20"/>
          <w:szCs w:val="20"/>
        </w:rPr>
        <w:t>Indicador básico 3: Superficie de tierra restaurada (hectáreas).</w:t>
      </w:r>
    </w:p>
    <w:p w14:paraId="715C1E07" w14:textId="77777777" w:rsidR="005B2641" w:rsidRPr="005B2641" w:rsidRDefault="005B2641" w:rsidP="005B2641">
      <w:pPr>
        <w:spacing w:after="0" w:line="240" w:lineRule="auto"/>
        <w:rPr>
          <w:sz w:val="20"/>
          <w:szCs w:val="20"/>
        </w:rPr>
      </w:pPr>
      <w:r w:rsidRPr="005B2641">
        <w:rPr>
          <w:sz w:val="20"/>
          <w:szCs w:val="20"/>
        </w:rPr>
        <w:t>Indicador básico 4: Superficie de paisajes sometida a prácticas más adecuadas (hectáreas, sin incluir las zonas protegidas).</w:t>
      </w:r>
    </w:p>
    <w:p w14:paraId="75F8D838" w14:textId="77777777" w:rsidR="005B2641" w:rsidRPr="005B2641" w:rsidRDefault="005B2641" w:rsidP="005B2641">
      <w:pPr>
        <w:spacing w:after="0" w:line="240" w:lineRule="auto"/>
        <w:rPr>
          <w:sz w:val="20"/>
          <w:szCs w:val="20"/>
        </w:rPr>
      </w:pPr>
      <w:r w:rsidRPr="005B2641">
        <w:rPr>
          <w:sz w:val="20"/>
          <w:szCs w:val="20"/>
        </w:rPr>
        <w:t>Indicador básico 5: Superficie de hábitat marino sometida a prácticas más adecuadas para beneficiar a la biodiversidad (hectáreas, sin incluir las zonas protegidas).</w:t>
      </w:r>
    </w:p>
    <w:p w14:paraId="668BC8EA" w14:textId="77777777" w:rsidR="005B2641" w:rsidRPr="005B2641" w:rsidRDefault="005B2641" w:rsidP="005B2641">
      <w:pPr>
        <w:spacing w:after="0" w:line="240" w:lineRule="auto"/>
        <w:rPr>
          <w:sz w:val="20"/>
          <w:szCs w:val="20"/>
        </w:rPr>
      </w:pPr>
      <w:r w:rsidRPr="005B2641">
        <w:rPr>
          <w:sz w:val="20"/>
          <w:szCs w:val="20"/>
        </w:rPr>
        <w:t>Indicador básico 6: Emisiones de gases de efecto invernadero mitigadas (toneladas métricas de dióxido de carbono equivalente).</w:t>
      </w:r>
    </w:p>
    <w:p w14:paraId="1BA79A7E" w14:textId="77777777" w:rsidR="005B2641" w:rsidRPr="005B2641" w:rsidRDefault="005B2641" w:rsidP="005B2641">
      <w:pPr>
        <w:spacing w:after="0" w:line="240" w:lineRule="auto"/>
        <w:rPr>
          <w:sz w:val="20"/>
          <w:szCs w:val="20"/>
        </w:rPr>
      </w:pPr>
      <w:r w:rsidRPr="005B2641">
        <w:rPr>
          <w:sz w:val="20"/>
          <w:szCs w:val="20"/>
        </w:rPr>
        <w:t>Indicador básico 7: Cantidad de ecosistemas acuáticos compartidos (agua dulce o marina) bajo una nueva gestión cooperativa o una gestión cooperativa más adecuada.</w:t>
      </w:r>
    </w:p>
    <w:p w14:paraId="07DE9351" w14:textId="77777777" w:rsidR="005B2641" w:rsidRPr="005B2641" w:rsidRDefault="005B2641" w:rsidP="005B2641">
      <w:pPr>
        <w:spacing w:after="0" w:line="240" w:lineRule="auto"/>
        <w:rPr>
          <w:sz w:val="20"/>
          <w:szCs w:val="20"/>
        </w:rPr>
      </w:pPr>
      <w:r w:rsidRPr="005B2641">
        <w:rPr>
          <w:sz w:val="20"/>
          <w:szCs w:val="20"/>
        </w:rPr>
        <w:t>Indicador básico 8: Reservas pesqueras mundialmente sobreexplotadas que comienzan a registrar niveles más sostenibles (toneladas métricas).</w:t>
      </w:r>
    </w:p>
    <w:p w14:paraId="00C63F1B" w14:textId="77777777" w:rsidR="005B2641" w:rsidRPr="005B2641" w:rsidRDefault="005B2641" w:rsidP="005B2641">
      <w:pPr>
        <w:spacing w:after="0" w:line="240" w:lineRule="auto"/>
        <w:rPr>
          <w:sz w:val="20"/>
          <w:szCs w:val="20"/>
        </w:rPr>
      </w:pPr>
      <w:r w:rsidRPr="005B2641">
        <w:rPr>
          <w:sz w:val="20"/>
          <w:szCs w:val="20"/>
        </w:rPr>
        <w:t>Indicador básico 9: Reducción, descarte/destrucción, retiro gradual, eliminación y necesidad de evitar productos químicos que generan preocupación a nivel mundial y sus residuos en el medio ambiente y en procesos, materiales y productos (toneladas métricas de productos químicos tóxicos reducidos).</w:t>
      </w:r>
    </w:p>
    <w:p w14:paraId="506F9685" w14:textId="77777777" w:rsidR="005B2641" w:rsidRPr="005B2641" w:rsidRDefault="005B2641" w:rsidP="005B2641">
      <w:pPr>
        <w:spacing w:after="0" w:line="240" w:lineRule="auto"/>
        <w:rPr>
          <w:sz w:val="20"/>
          <w:szCs w:val="20"/>
        </w:rPr>
      </w:pPr>
      <w:r w:rsidRPr="005B2641">
        <w:rPr>
          <w:sz w:val="20"/>
          <w:szCs w:val="20"/>
        </w:rPr>
        <w:t>Indicador básico 10: Se reducen y evitan emisiones de contaminantes orgánicos persistentes a la atmósfera a partir de fuentes identificadas y no identificadas (gramos de equivalente tóxico).</w:t>
      </w:r>
    </w:p>
    <w:p w14:paraId="63EE507F" w14:textId="77777777" w:rsidR="005B2641" w:rsidRPr="005B2641" w:rsidRDefault="005B2641" w:rsidP="005B2641">
      <w:pPr>
        <w:spacing w:after="0" w:line="240" w:lineRule="auto"/>
        <w:rPr>
          <w:sz w:val="20"/>
          <w:szCs w:val="20"/>
        </w:rPr>
      </w:pPr>
    </w:p>
    <w:p w14:paraId="4892F7D2" w14:textId="77777777" w:rsidR="005B2641" w:rsidRPr="005B2641" w:rsidRDefault="005B2641" w:rsidP="005B2641">
      <w:pPr>
        <w:pStyle w:val="Ttulo1"/>
        <w:numPr>
          <w:ilvl w:val="0"/>
          <w:numId w:val="27"/>
        </w:numPr>
        <w:spacing w:after="240"/>
        <w:ind w:left="180" w:hanging="180"/>
        <w:jc w:val="left"/>
      </w:pPr>
      <w:bookmarkStart w:id="56" w:name="_Toc35815705"/>
      <w:r w:rsidRPr="005B2641">
        <w:t>Resultados de la Oficina de Evaluación Independiente del FMAM</w:t>
      </w:r>
      <w:bookmarkEnd w:id="56"/>
    </w:p>
    <w:p w14:paraId="493A0B68"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Times New Roman" w:hAnsi="Calibri" w:cs="Calibri"/>
          <w:sz w:val="24"/>
          <w:szCs w:val="24"/>
        </w:rPr>
      </w:pPr>
      <w:bookmarkStart w:id="57" w:name="_Hlk32089239"/>
      <w:r w:rsidRPr="005B2641">
        <w:rPr>
          <w:rFonts w:ascii="Calibri" w:hAnsi="Calibri"/>
          <w:sz w:val="24"/>
          <w:szCs w:val="24"/>
        </w:rPr>
        <w:t>Durante</w:t>
      </w:r>
      <w:r w:rsidRPr="005B2641">
        <w:rPr>
          <w:rFonts w:ascii="Calibri" w:hAnsi="Calibri"/>
          <w:snapToGrid w:val="0"/>
          <w:sz w:val="24"/>
          <w:szCs w:val="24"/>
        </w:rPr>
        <w:t xml:space="preserve"> el período analizado, la Oficina de Evaluación Independiente (OEI) del FMAM llevó a cabo cuatro</w:t>
      </w:r>
      <w:r w:rsidRPr="005B2641">
        <w:rPr>
          <w:rFonts w:ascii="Calibri" w:hAnsi="Calibri"/>
          <w:sz w:val="24"/>
          <w:szCs w:val="24"/>
        </w:rPr>
        <w:t xml:space="preserve"> evaluaciones y exámenes que revisten importancia para el área focal de </w:t>
      </w:r>
      <w:r w:rsidRPr="005B2641">
        <w:rPr>
          <w:rFonts w:ascii="Calibri" w:hAnsi="Calibri"/>
          <w:sz w:val="24"/>
          <w:szCs w:val="24"/>
        </w:rPr>
        <w:lastRenderedPageBreak/>
        <w:t>biodiversidad. A continuación, se resumen los principales mensajes de dichas evaluaciones e informes.</w:t>
      </w:r>
    </w:p>
    <w:p w14:paraId="52D45FA2" w14:textId="77777777" w:rsidR="005B2641" w:rsidRPr="005B2641" w:rsidRDefault="005B2641" w:rsidP="005B2641">
      <w:pPr>
        <w:pStyle w:val="Ttulo3"/>
      </w:pPr>
      <w:bookmarkStart w:id="58" w:name="_Toc35815706"/>
      <w:bookmarkEnd w:id="57"/>
      <w:r w:rsidRPr="005B2641">
        <w:rPr>
          <w:b/>
          <w:i w:val="0"/>
        </w:rPr>
        <w:t>Evaluación del apoyo del FMAM a la incorporación de la biodiversidad 2018</w:t>
      </w:r>
      <w:r w:rsidRPr="005B2641">
        <w:rPr>
          <w:i w:val="0"/>
          <w:vertAlign w:val="superscript"/>
        </w:rPr>
        <w:footnoteReference w:id="24"/>
      </w:r>
      <w:bookmarkEnd w:id="58"/>
    </w:p>
    <w:p w14:paraId="3865B54D"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Times New Roman" w:hAnsi="Calibri" w:cs="Calibri"/>
          <w:sz w:val="24"/>
          <w:szCs w:val="24"/>
        </w:rPr>
      </w:pPr>
      <w:r w:rsidRPr="005B2641">
        <w:rPr>
          <w:rFonts w:ascii="Calibri" w:hAnsi="Calibri"/>
          <w:sz w:val="24"/>
          <w:szCs w:val="24"/>
        </w:rPr>
        <w:t>La evaluación se llevó a cabo para analizar el desempeño y la eficacia en términos generales de los proyectos del FMAM relacionados con la incorporación de la biodiversidad, tomando como base la cartera de 471 proyectos, y 3 estudios de casos realizados en Colombia, India y Sudáfrica, que permitieron reflejar las experiencias recogidas entre el FMAM</w:t>
      </w:r>
      <w:r w:rsidRPr="005B2641">
        <w:rPr>
          <w:rFonts w:ascii="Calibri" w:hAnsi="Calibri"/>
          <w:sz w:val="24"/>
          <w:szCs w:val="24"/>
        </w:rPr>
        <w:noBreakHyphen/>
        <w:t>3 y el FMAM-6, inclusive.</w:t>
      </w:r>
    </w:p>
    <w:p w14:paraId="30E91095"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Times New Roman" w:hAnsi="Calibri" w:cs="Calibri"/>
          <w:sz w:val="24"/>
          <w:szCs w:val="24"/>
        </w:rPr>
      </w:pPr>
      <w:r w:rsidRPr="005B2641">
        <w:rPr>
          <w:rFonts w:ascii="Calibri" w:hAnsi="Calibri"/>
          <w:sz w:val="24"/>
          <w:szCs w:val="24"/>
        </w:rPr>
        <w:t>Al momento de la evaluación, la cartera de incorporación de la biodiversidad estaba compuesta por 471 proyectos, por un valor total de USD 2340 millones en donaciones y USD 12 730 millones en cofinanciamiento. En la evaluación se informó que en el FMAM-6 dicha cartera se incrementó sustancialmente en comparación con los períodos de reposición anteriores, con lo que representó el 51 % de los proyectos y el 55 % de los fondos. Asimismo, se señaló que la incorporación de la biodiversidad fue la cartera más grande del FMAM, dado que superó en tamaño a la de zonas protegidas y la de sistemas de zonas protegidas del FMAM-6.</w:t>
      </w:r>
    </w:p>
    <w:p w14:paraId="782DF426"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Times New Roman" w:hAnsi="Calibri" w:cs="Calibri"/>
          <w:sz w:val="24"/>
          <w:szCs w:val="24"/>
        </w:rPr>
      </w:pPr>
      <w:r w:rsidRPr="005B2641">
        <w:rPr>
          <w:rFonts w:ascii="Calibri" w:hAnsi="Calibri"/>
          <w:sz w:val="24"/>
          <w:szCs w:val="24"/>
        </w:rPr>
        <w:t>Según el documento, la distribución regional del apoyo a la incorporación de la biodiversidad fue, en general, congruente con los patrones de biodiversidad de importancia mundial. A lo largo de los diversos períodos de reposición, el apoyo del FMAM a la incorporación de la biodiversidad se ha centrado adecuadamente en las regiones de Asia y el Pacífico y de América Latina y el Caribe, y en segundo término en África. En el informe se señaló que casi tres cuartos de las intervenciones relativas a la incorporación se centran en alentar la inclusión de actividades que no pongan en riesgo la biodiversidad en las prácticas de producción, y que más de la mitad de los proyectos con objetivos relacionados con la incorporación de la biodiversidad se llevan a cabo en los sectores de la silvicultura y la agricultura.</w:t>
      </w:r>
    </w:p>
    <w:p w14:paraId="15FC55B6"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Times New Roman" w:hAnsi="Calibri" w:cs="Calibri"/>
          <w:sz w:val="24"/>
          <w:szCs w:val="24"/>
        </w:rPr>
      </w:pPr>
      <w:r w:rsidRPr="005B2641">
        <w:rPr>
          <w:rFonts w:ascii="Calibri" w:hAnsi="Calibri"/>
          <w:sz w:val="24"/>
          <w:szCs w:val="24"/>
        </w:rPr>
        <w:t>Los proyectos de incorporación del FMAM están explícitamente diseñados para abordar las amenazas reconocidas a la biodiversidad a fin de mitigar sus efectos en la biodiversidad de importancia mundial. En el marco de los proyectos, se buscó cumplir este objetivo a través de diversos enfoques, que incluyeron la ampliación de las prácticas de gestión de paisajes, los sistemas de agrosilvicultura y producción sostenible, y la conectividad biológica que vincula los bosques vulnerables con las zonas protegidas. Se aplicaron estrategias de implementación integradoras que constaban de varios niveles.</w:t>
      </w:r>
    </w:p>
    <w:p w14:paraId="0C70DCFE"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Times New Roman" w:hAnsi="Calibri" w:cs="Calibri"/>
          <w:sz w:val="24"/>
          <w:szCs w:val="24"/>
        </w:rPr>
      </w:pPr>
      <w:r w:rsidRPr="005B2641">
        <w:rPr>
          <w:rFonts w:ascii="Calibri" w:hAnsi="Calibri"/>
          <w:sz w:val="24"/>
          <w:szCs w:val="24"/>
        </w:rPr>
        <w:t xml:space="preserve">En la evaluación se afirmó que las experiencias de los proyectos confieren validez al modelo de la teoría del cambio para la incorporación de la biodiversidad en distintos contextos; dicho modelo se ve reflejado en las tendencias de programación a lo largo de los sucesivos ciclos y reconoce el proceso de incorporación dinámico y no lineal. Sin embargo, se señala la </w:t>
      </w:r>
      <w:r w:rsidRPr="005B2641">
        <w:rPr>
          <w:rFonts w:ascii="Calibri" w:hAnsi="Calibri"/>
          <w:sz w:val="24"/>
          <w:szCs w:val="24"/>
        </w:rPr>
        <w:lastRenderedPageBreak/>
        <w:t>necesidad de que la teoría del cambio se aplique de forma más sistemática en la ejecución de los proyectos.</w:t>
      </w:r>
    </w:p>
    <w:p w14:paraId="60DAC6C0"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Times New Roman" w:hAnsi="Calibri" w:cs="Calibri"/>
          <w:sz w:val="24"/>
          <w:szCs w:val="24"/>
        </w:rPr>
      </w:pPr>
      <w:r w:rsidRPr="005B2641">
        <w:rPr>
          <w:rFonts w:ascii="Calibri" w:hAnsi="Calibri"/>
          <w:sz w:val="24"/>
          <w:szCs w:val="24"/>
        </w:rPr>
        <w:t>Se informa que la cartera de incorporación de la biodiversidad del FMAM ha sido muy relevante y ha jugado un papel importante en la aplicación del mandato del CDB y sus países miembros. El FMAM ha cumplido un papel fundamental a la hora de respaldar los marcos de reforma y planificación de las políticas que promueven las consideraciones de biodiversidad en los distintos sectores y territorios. Respecto del desempeño, en los proyectos del FMAM se ha logrado ampliar</w:t>
      </w:r>
      <w:r w:rsidRPr="005B2641">
        <w:rPr>
          <w:rFonts w:ascii="Calibri" w:eastAsia="Times New Roman" w:hAnsi="Calibri" w:cs="Calibri"/>
          <w:sz w:val="24"/>
          <w:szCs w:val="24"/>
          <w:vertAlign w:val="superscript"/>
        </w:rPr>
        <w:footnoteReference w:id="25"/>
      </w:r>
      <w:r w:rsidRPr="005B2641">
        <w:rPr>
          <w:rFonts w:ascii="Calibri" w:hAnsi="Calibri"/>
          <w:sz w:val="24"/>
          <w:szCs w:val="24"/>
        </w:rPr>
        <w:t xml:space="preserve"> la conservación de la biodiversidad a sectores, instituciones, políticas y territorios específicos que tienen un nivel de biodiversidad de importancia mundial. En el informe también se destacó la manera en que una cohorte más pequeña de proyectos y socios nacionales estaba acelerando con éxito</w:t>
      </w:r>
      <w:r w:rsidRPr="005B2641">
        <w:rPr>
          <w:rFonts w:ascii="Calibri" w:eastAsia="Times New Roman" w:hAnsi="Calibri" w:cs="Calibri"/>
          <w:sz w:val="24"/>
          <w:szCs w:val="24"/>
          <w:vertAlign w:val="superscript"/>
        </w:rPr>
        <w:footnoteReference w:id="26"/>
      </w:r>
      <w:r w:rsidRPr="005B2641">
        <w:rPr>
          <w:rFonts w:ascii="Calibri" w:hAnsi="Calibri"/>
          <w:sz w:val="24"/>
          <w:szCs w:val="24"/>
        </w:rPr>
        <w:t xml:space="preserve"> la incorporación de la biodiversidad en los distintos sectores, instituciones y territorios. Los procesos de incorporación se están expandiendo y están cobrando impulso, y han comenzado a afectar los niveles sistémicos.</w:t>
      </w:r>
    </w:p>
    <w:p w14:paraId="4407A2B8"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Times New Roman" w:hAnsi="Calibri" w:cs="Calibri"/>
          <w:sz w:val="24"/>
          <w:szCs w:val="24"/>
        </w:rPr>
      </w:pPr>
      <w:r w:rsidRPr="005B2641">
        <w:rPr>
          <w:rFonts w:ascii="Calibri" w:hAnsi="Calibri"/>
          <w:sz w:val="24"/>
          <w:szCs w:val="24"/>
        </w:rPr>
        <w:t>Entre las características positivas que facilitaron la incorporación se incluyen la presencia de precondiciones, como marcos normativos y regulatorios bien desarrollados para la conservación de la biodiversidad, instituciones de investigación científica reconocidas e idóneas con los conocimientos especializados necesarios, y contextos políticos y normativos favorables. Los avances logrados en la incorporación de la biodiversidad se vieron influidos de forma directa por una serie de factores directamente relacionados con el desempeño en la ejecución del proyecto (eficiencia, cumplimiento oportuno de las prestaciones, seguimiento y gestión adaptativa) y externos al contexto inmediato del proyecto (capacidad nacional y compromiso institucional, ciclos de gestión de gobierno, y condiciones políticas y normativas).</w:t>
      </w:r>
    </w:p>
    <w:p w14:paraId="73FA470E"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Times New Roman" w:hAnsi="Calibri" w:cs="Calibri"/>
          <w:sz w:val="24"/>
          <w:szCs w:val="24"/>
        </w:rPr>
      </w:pPr>
      <w:r w:rsidRPr="005B2641">
        <w:rPr>
          <w:rFonts w:ascii="Calibri" w:hAnsi="Calibri"/>
          <w:sz w:val="24"/>
          <w:szCs w:val="24"/>
        </w:rPr>
        <w:t>La cartera de incorporación de la biodiversidad ha contribuido a las adicionalidades jurídico-ambientales, regulatorias, socioeconómicas y de gestión que van más allá de los beneficios relacionados con los costos incrementales. Dichas adicionalidades incluyen enfoques basados en alianzas de múltiples partes interesadas que vinculan organizaciones comunitarias con instituciones de investigación regionales, plataformas de promoción y autoridades ambientales nacionales. Sin embargo, en la evaluación también se mencionaron los desafíos de reflejar las adicionalidades, como los impactos socioeconómicos y ambientales derivados del apoyo del FMAM.</w:t>
      </w:r>
    </w:p>
    <w:p w14:paraId="6384D899"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Times New Roman" w:hAnsi="Calibri" w:cs="Calibri"/>
          <w:sz w:val="24"/>
          <w:szCs w:val="24"/>
        </w:rPr>
      </w:pPr>
      <w:r w:rsidRPr="005B2641">
        <w:rPr>
          <w:rFonts w:ascii="Calibri" w:hAnsi="Calibri"/>
          <w:sz w:val="24"/>
          <w:szCs w:val="24"/>
        </w:rPr>
        <w:t xml:space="preserve">Se señala la necesidad de prestar mayor atención a las medidas cuantitativas, sobre todo respecto de los resultados e impactos. Se observa que los indicadores básicos y los subindicadores del FMAM-7 constituyen un paso en la dirección correcta, pero que no son </w:t>
      </w:r>
      <w:r w:rsidRPr="005B2641">
        <w:rPr>
          <w:rFonts w:ascii="Calibri" w:hAnsi="Calibri"/>
          <w:sz w:val="24"/>
          <w:szCs w:val="24"/>
        </w:rPr>
        <w:lastRenderedPageBreak/>
        <w:t>suficientes para reflejar la incidencia de las intervenciones del FMAM en los beneficios socioeconómicos, el flujo financiero y las reformas normativas y regulatorias.</w:t>
      </w:r>
    </w:p>
    <w:p w14:paraId="7A7650CD"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Times New Roman" w:hAnsi="Calibri" w:cs="Calibri"/>
          <w:sz w:val="24"/>
          <w:szCs w:val="24"/>
        </w:rPr>
      </w:pPr>
      <w:r w:rsidRPr="005B2641">
        <w:rPr>
          <w:rFonts w:ascii="Calibri" w:hAnsi="Calibri"/>
          <w:sz w:val="24"/>
          <w:szCs w:val="24"/>
        </w:rPr>
        <w:t>En la evaluación se formularon tres recomendaciones principales: 1) diseñar intervenciones de incorporación con una perspectiva a más largo plazo y un paquete de recursos para garantizar la sostenibilidad; 2) mejorar y fortalecer el diseño y la implementación de las actividades de seguimiento y evaluación para reflejar los resultados ambientales, socioeconómicos, financieros, y normativos y regulatorios a fin de evaluar el desempeño, los beneficios y compensaciones recíprocas, y a los efectos de la gestión adaptativa, y 3) el FMAM debe seguir aprovechando su poder de convocatoria para mejorar el diseño y el proceso de las políticas, y fortalecer la colaboración interministerial e intersectorial para incorporar la biodiversidad.</w:t>
      </w:r>
    </w:p>
    <w:p w14:paraId="2806C5E8" w14:textId="77777777" w:rsidR="005B2641" w:rsidRPr="005B2641" w:rsidRDefault="005B2641" w:rsidP="005B2641">
      <w:pPr>
        <w:shd w:val="clear" w:color="auto" w:fill="FFFFFF"/>
        <w:spacing w:before="120" w:after="0" w:line="240" w:lineRule="auto"/>
        <w:rPr>
          <w:rFonts w:ascii="Calibri" w:eastAsia="Times New Roman" w:hAnsi="Calibri" w:cs="Calibri"/>
          <w:b/>
          <w:color w:val="000000" w:themeColor="text1"/>
          <w:sz w:val="24"/>
          <w:szCs w:val="24"/>
        </w:rPr>
      </w:pPr>
      <w:r w:rsidRPr="005B2641">
        <w:rPr>
          <w:rFonts w:ascii="Calibri" w:hAnsi="Calibri"/>
          <w:b/>
          <w:color w:val="000000" w:themeColor="text1"/>
          <w:sz w:val="24"/>
          <w:szCs w:val="24"/>
        </w:rPr>
        <w:t>Examen formativo de los programas piloto de enfoque integrado, julio de 2018</w:t>
      </w:r>
      <w:r w:rsidRPr="005B2641">
        <w:rPr>
          <w:rFonts w:ascii="Calibri" w:eastAsia="Times New Roman" w:hAnsi="Calibri" w:cs="Calibri"/>
          <w:color w:val="000000" w:themeColor="text1"/>
          <w:sz w:val="24"/>
          <w:szCs w:val="24"/>
          <w:vertAlign w:val="superscript"/>
        </w:rPr>
        <w:footnoteReference w:id="27"/>
      </w:r>
    </w:p>
    <w:p w14:paraId="26E30B75"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Times New Roman" w:hAnsi="Calibri" w:cs="Calibri"/>
          <w:color w:val="000000" w:themeColor="text1"/>
          <w:sz w:val="24"/>
          <w:szCs w:val="24"/>
        </w:rPr>
      </w:pPr>
      <w:r w:rsidRPr="005B2641">
        <w:rPr>
          <w:rFonts w:ascii="Calibri" w:hAnsi="Calibri"/>
          <w:color w:val="000000" w:themeColor="text1"/>
          <w:sz w:val="24"/>
          <w:szCs w:val="24"/>
        </w:rPr>
        <w:t>En el examen formativo de los tres programas piloto de enfoque integrado introducidos en el FMAM-6 (Programa Piloto de Enfoque Integrado sobre Ciudades Sostenibles; Fomento de la Sostenibilidad y la Resiliencia para la Seguridad Alimentaria en África al Sur del Sahara: Enfoque Integrado, y Eliminación de la Deforestación de las Cadenas de Suministro de Productos Básicos) se aportaron enseñanzas y se destacaron buenas prácticas clave y aspectos mejorables para orientar los futuros programas del FMAM.</w:t>
      </w:r>
    </w:p>
    <w:p w14:paraId="6F3B477D"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Times New Roman" w:hAnsi="Calibri" w:cs="Calibri"/>
          <w:color w:val="000000" w:themeColor="text1"/>
          <w:sz w:val="24"/>
          <w:szCs w:val="24"/>
        </w:rPr>
      </w:pPr>
      <w:r w:rsidRPr="005B2641">
        <w:rPr>
          <w:rFonts w:ascii="Calibri" w:hAnsi="Calibri"/>
          <w:color w:val="000000" w:themeColor="text1"/>
          <w:sz w:val="24"/>
          <w:szCs w:val="24"/>
        </w:rPr>
        <w:t>Asimismo, se consignaron ejemplos positivos de alineación con las prioridades de los países a través de canales adecuados y se señaló el riesgo de que en la estrategia se dejen de lado algunas áreas focales. Se concluyó que los subproyectos de programas piloto de enfoque integrado sobre productos básicos estaban alineados con las prioridades específicas del Gobierno, mientras que los programas piloto de enfoque integrado sobre seguridad alimentaria mostraban sinergias entre las áreas focales de biodiversidad, cambio climático y degradación de la tierra, y las asignaciones financieras estaban claramente orientadas a esta última como punto de entrada. Asimismo, se indicó que las áreas focales de biodiversidad y cambio climático se incluyeron en el diseño más bien a modo de agregado posterior. Se concluyó que los factores que impulsaban los programas piloto de enfoque integrado sobre ciudades conectan las prioridades locales de sostenibilidad urbana con la mitigación del cambio climático, la biodiversidad y los productos químicos. Se mencionó, además, que la meta inicial de dichos programas era generar una mayor sinergia, lo que no se buscó posteriormente en el diseño. Según el examen, la eliminación de la deforestación de las cadenas de suministro de productos básicos se aborda a través de intervenciones en las áreas focales de biodiversidad y cambio climático, y del respaldo a la gestión forestal sostenible.</w:t>
      </w:r>
    </w:p>
    <w:p w14:paraId="50328B42"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Times New Roman" w:hAnsi="Calibri" w:cs="Calibri"/>
          <w:color w:val="000000" w:themeColor="text1"/>
          <w:sz w:val="24"/>
          <w:szCs w:val="24"/>
        </w:rPr>
      </w:pPr>
      <w:r w:rsidRPr="005B2641">
        <w:rPr>
          <w:rFonts w:ascii="Calibri" w:hAnsi="Calibri"/>
          <w:color w:val="000000" w:themeColor="text1"/>
          <w:sz w:val="24"/>
          <w:szCs w:val="24"/>
        </w:rPr>
        <w:t xml:space="preserve">Se puso de relieve que la programación integrada para abordar los principales factores que provocan degradación ambiental a través de los programas piloto de enfoque integrado permite abordar los objetivos de múltiples convenios y convenciones, y que gracias a ello los </w:t>
      </w:r>
      <w:r w:rsidRPr="005B2641">
        <w:rPr>
          <w:rFonts w:ascii="Calibri" w:hAnsi="Calibri"/>
          <w:color w:val="000000" w:themeColor="text1"/>
          <w:sz w:val="24"/>
          <w:szCs w:val="24"/>
        </w:rPr>
        <w:lastRenderedPageBreak/>
        <w:t>países participantes pueden abordar sus prioridades ambientales. Se señaló que todos los subproyectos de los programas piloto de enfoque integrado respondían a los acuerdos multilaterales sobre el medio ambiente y las decisiones de convenios y convenciones que se mencionaban en las orientaciones programáticas del FMAM-6. Las iniciativas estaban orientadas principalmente a respaldar la biodiversidad, la degradación de la tierra, la gestión forestal sostenible y la adaptación al cambio climático. En el examen se destacó que, si bien los programas piloto de enfoque integrado podían brindar respuesta en las distintas áreas focales, cada convenio o convención establece diferentes demandas y mandatos, de modo que se produjo la intervención y exclusión de algunos objetivos, pero se perdieron oportunidades de fortalecer la integración de las áreas focales. Además, según el examen, el grado de alineación de los programas con las prioridades ambientales nacionales contribuyó a la identificación del país con el programa a través de puntos de entrada adecuados. En el informe se señaló que el FMAM había garantizado que los programas piloto de enfoque integrado fueran pertinentes para los países participantes y que cumplieran los requisitos de los convenios y convenciones.</w:t>
      </w:r>
    </w:p>
    <w:p w14:paraId="3E153EC4" w14:textId="77777777" w:rsidR="005B2641" w:rsidRPr="005B2641" w:rsidRDefault="005B2641" w:rsidP="005B2641">
      <w:pPr>
        <w:pStyle w:val="Ttulo2"/>
      </w:pPr>
      <w:bookmarkStart w:id="59" w:name="_Toc35815707"/>
      <w:r w:rsidRPr="005B2641">
        <w:t>Evaluación del apoyo del FMAM para el cambio transformador</w:t>
      </w:r>
      <w:r w:rsidRPr="005B2641">
        <w:rPr>
          <w:b w:val="0"/>
          <w:vertAlign w:val="superscript"/>
        </w:rPr>
        <w:footnoteReference w:id="28"/>
      </w:r>
      <w:bookmarkEnd w:id="59"/>
    </w:p>
    <w:p w14:paraId="5015AC3C"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Times New Roman" w:hAnsi="Calibri" w:cs="Calibri"/>
          <w:sz w:val="24"/>
          <w:szCs w:val="24"/>
        </w:rPr>
      </w:pPr>
      <w:r w:rsidRPr="005B2641">
        <w:rPr>
          <w:rFonts w:ascii="Calibri" w:hAnsi="Calibri"/>
          <w:sz w:val="24"/>
          <w:szCs w:val="24"/>
        </w:rPr>
        <w:t>El apoyo al cambio transformador es una de las prioridades estratégicas del FMAM, incluida el área focal de biodiversidad. En la evaluación se examinó la experiencia del FMAM en la promoción de cambios transformadores y se identificaron factores influyentes. De ese modo, se buscó difundir las conclusiones para el aprendizaje y ayudar al FMAM y a las organizaciones asociadas a evaluar anticipadamente ideas de proyectos y programas para determinar en qué medida podían estos respaldar el cambio transformador y de qué modo se podían fortalecer sus diseños.</w:t>
      </w:r>
    </w:p>
    <w:p w14:paraId="6A7D5B20"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Times New Roman" w:hAnsi="Calibri" w:cs="Calibri"/>
          <w:sz w:val="24"/>
          <w:szCs w:val="24"/>
        </w:rPr>
      </w:pPr>
      <w:r w:rsidRPr="005B2641">
        <w:rPr>
          <w:rFonts w:ascii="Calibri" w:hAnsi="Calibri"/>
          <w:sz w:val="24"/>
          <w:szCs w:val="24"/>
        </w:rPr>
        <w:t>La evaluación se basó en un muestreo discrecional de proyectos finalizados que se analizaron con el objeto de determinar si cumplían los criterios</w:t>
      </w:r>
      <w:r w:rsidRPr="005B2641">
        <w:rPr>
          <w:rFonts w:ascii="Calibri" w:eastAsia="Times New Roman" w:hAnsi="Calibri" w:cs="Calibri"/>
          <w:sz w:val="24"/>
          <w:szCs w:val="24"/>
          <w:vertAlign w:val="superscript"/>
        </w:rPr>
        <w:footnoteReference w:id="29"/>
      </w:r>
      <w:r w:rsidRPr="005B2641">
        <w:rPr>
          <w:rFonts w:ascii="Calibri" w:hAnsi="Calibri"/>
          <w:sz w:val="24"/>
          <w:szCs w:val="24"/>
        </w:rPr>
        <w:t xml:space="preserve"> para llevar a cabo el cambio transformador y se verificaron mediante evaluaciones independientes. De un conjunto inicial de 156 proyectos nominados por organismos del FMAM, se seleccionaron 8 casos ilustrativos teniendo en cuenta la diversidad en la orientación, la distribución regional y la capacidad de acción. El muestreo final incluyó 4 casos con financiamiento del área focal de biodiversidad: Proyecto de Protección de los Humedales de la Llanura de Sanjiang (China); Fortalecimiento de los Sistemas de Zonas Protegidas en Namibia; Programa de Zonas Protegidas en la Región Amazónica, fase I (ARPA-I) (Brasil), y Promoción de Pagos por Servicios Ambientales y Esquemas de Financiamiento Sostenible Relacionados en la Cuenca del Danubio (Bulgaria, Rumania).</w:t>
      </w:r>
    </w:p>
    <w:p w14:paraId="661DD8F4"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Times New Roman" w:hAnsi="Calibri" w:cs="Calibri"/>
          <w:sz w:val="24"/>
          <w:szCs w:val="24"/>
        </w:rPr>
      </w:pPr>
      <w:r w:rsidRPr="005B2641">
        <w:rPr>
          <w:rFonts w:ascii="Calibri" w:hAnsi="Calibri"/>
          <w:sz w:val="24"/>
          <w:szCs w:val="24"/>
        </w:rPr>
        <w:t xml:space="preserve">En la evaluación se identificaron varios de los factores que contribuyen al cambio transformador que son pertinentes para las intervenciones en materia de biodiversidad. En primer lugar, las intervenciones que lograron un cambio transformador tenían objetivos </w:t>
      </w:r>
      <w:r w:rsidRPr="005B2641">
        <w:rPr>
          <w:rFonts w:ascii="Calibri" w:hAnsi="Calibri"/>
          <w:sz w:val="24"/>
          <w:szCs w:val="24"/>
        </w:rPr>
        <w:lastRenderedPageBreak/>
        <w:t>ambiciosos, dado que apuntaban a lograr cambios fundamentales abordando una distorsión del mercado o un cuello de botella sistémico que era la causa profunda de un problema ambiental de alcance mundial. En segundo lugar, la idoneidad del entorno normativo tuvo un impacto importante en la profundidad y escala de las reformas promovidas en todas las intervenciones transformadoras. En tercer lugar, en las intervenciones que logran una transformación se establece un mecanismo para la sostenibilidad financiera integrando los sistemas presupuestarios públicos o movilizando las fuerzas del mercado y los intereses económicos clave de las partes interesadas. En cuarto lugar, otra característica común de las intervenciones que lograron un cambio transformador es que todas ellas contaban con un diseño de proyectos de buena calidad, la supervisión de un organismo del FMAM y procesos de implementación y ejecución eficaces. Algunos rasgos destacados que contribuyen a la calidad incluyen evaluaciones de diagnóstico integrales para reconocer los obstáculos que habrán de abordarse; diseños coherentes dirigidos a todas las barreras identificadas, y participación temprana de organismos de ejecución sólidos que se identifican con los objetivos de los proyectos y están dispuestos a aprender, a ajustarse y a adaptar el diseño, el alcance y la gestión según sea necesario para garantizar el éxito. Por último, la transformación puede lograrse con proyectos de distintos tamaños.</w:t>
      </w:r>
    </w:p>
    <w:p w14:paraId="2218EBEC" w14:textId="77777777" w:rsidR="005B2641" w:rsidRPr="005B2641" w:rsidRDefault="005B2641" w:rsidP="005B2641">
      <w:pPr>
        <w:pStyle w:val="Ttulo2"/>
      </w:pPr>
      <w:bookmarkStart w:id="60" w:name="_Hlk32092104"/>
      <w:bookmarkStart w:id="61" w:name="_Toc35815708"/>
      <w:r w:rsidRPr="005B2641">
        <w:t xml:space="preserve">Evaluación del apoyo del FMAM a la ampliación del impacto </w:t>
      </w:r>
      <w:bookmarkEnd w:id="60"/>
      <w:r w:rsidRPr="005B2641">
        <w:t>2019</w:t>
      </w:r>
      <w:r w:rsidRPr="005B2641">
        <w:rPr>
          <w:b w:val="0"/>
          <w:vertAlign w:val="superscript"/>
        </w:rPr>
        <w:footnoteReference w:id="30"/>
      </w:r>
      <w:bookmarkEnd w:id="61"/>
    </w:p>
    <w:p w14:paraId="311F8A10" w14:textId="77777777" w:rsidR="005B2641" w:rsidRPr="005B2641" w:rsidRDefault="005B2641" w:rsidP="005B2641">
      <w:pPr>
        <w:pStyle w:val="Prrafodelista"/>
        <w:numPr>
          <w:ilvl w:val="0"/>
          <w:numId w:val="25"/>
        </w:numPr>
        <w:spacing w:before="240" w:after="240" w:line="240" w:lineRule="auto"/>
        <w:ind w:left="0" w:firstLine="0"/>
        <w:contextualSpacing w:val="0"/>
        <w:rPr>
          <w:rFonts w:ascii="Calibri" w:eastAsia="Times New Roman" w:hAnsi="Calibri" w:cs="Calibri"/>
          <w:sz w:val="24"/>
          <w:szCs w:val="24"/>
        </w:rPr>
      </w:pPr>
      <w:r w:rsidRPr="005B2641">
        <w:rPr>
          <w:rFonts w:ascii="Calibri" w:hAnsi="Calibri"/>
          <w:sz w:val="24"/>
          <w:szCs w:val="24"/>
        </w:rPr>
        <w:t>Esta evaluación tenía como objetivo comprender mejor los procesos a través de los cuales tiene lugar la ampliación y las condiciones en las que se logra, y extraer enseñanzas de ello. En ese marco, se obtuvieron datos empíricos de las experiencias previas del FMAM con la ampliación del impacto. Se evaluó un total de 20 casos, en los que se informaron los resultados cuantitativos positivos de la ampliación y se identificaron los factores influyentes. Asimismo, se incluyeron 40 casos adicionales con distintos grados de información cuantitativa y cualitativa. Las visitas a proyectos respaldados por el FMAM concluidos se llevaron a cabo en tres países: Costa Rica, Macedonia y Mauricio.</w:t>
      </w:r>
    </w:p>
    <w:p w14:paraId="22004CAC" w14:textId="77777777" w:rsidR="005B2641" w:rsidRPr="005B2641" w:rsidRDefault="005B2641" w:rsidP="005B2641">
      <w:pPr>
        <w:numPr>
          <w:ilvl w:val="0"/>
          <w:numId w:val="17"/>
        </w:numPr>
        <w:tabs>
          <w:tab w:val="left" w:pos="1350"/>
        </w:tabs>
        <w:spacing w:before="120" w:after="120" w:line="240" w:lineRule="auto"/>
        <w:ind w:left="1080"/>
        <w:rPr>
          <w:rFonts w:ascii="Calibri" w:eastAsia="Times New Roman" w:hAnsi="Calibri" w:cs="Calibri"/>
          <w:sz w:val="24"/>
          <w:szCs w:val="24"/>
        </w:rPr>
      </w:pPr>
      <w:r w:rsidRPr="005B2641">
        <w:rPr>
          <w:rFonts w:ascii="Calibri" w:hAnsi="Calibri"/>
          <w:sz w:val="24"/>
          <w:szCs w:val="24"/>
        </w:rPr>
        <w:t>En el área focal de biodiversidad, se concluyó que, dentro del mismo caso, los resultados estandarizados eran hasta 74,5 veces más elevados en la etapa de ampliación que en la de aplicación experimental. Se señaló que todos los casos de biodiversidad apuntaban a incrementar la conservación de esta mediante varios tipos de intervenciones.</w:t>
      </w:r>
      <w:bookmarkStart w:id="62" w:name="_1fob9te"/>
      <w:bookmarkStart w:id="63" w:name="_3znysh7"/>
      <w:bookmarkEnd w:id="62"/>
      <w:bookmarkEnd w:id="63"/>
    </w:p>
    <w:p w14:paraId="008A398E" w14:textId="77777777" w:rsidR="005B2641" w:rsidRPr="005B2641" w:rsidRDefault="005B2641" w:rsidP="005B2641">
      <w:pPr>
        <w:numPr>
          <w:ilvl w:val="0"/>
          <w:numId w:val="17"/>
        </w:numPr>
        <w:tabs>
          <w:tab w:val="left" w:pos="1350"/>
        </w:tabs>
        <w:spacing w:before="120" w:after="120" w:line="240" w:lineRule="auto"/>
        <w:ind w:left="1080"/>
        <w:rPr>
          <w:rFonts w:ascii="Calibri" w:eastAsia="Times New Roman" w:hAnsi="Calibri" w:cs="Calibri"/>
          <w:sz w:val="24"/>
          <w:szCs w:val="24"/>
        </w:rPr>
      </w:pPr>
      <w:r w:rsidRPr="005B2641">
        <w:rPr>
          <w:rFonts w:ascii="Calibri" w:hAnsi="Calibri"/>
          <w:sz w:val="24"/>
          <w:szCs w:val="24"/>
        </w:rPr>
        <w:t xml:space="preserve">En la evaluación se determinó que el período medio durante el cual el FMAM brindaba apoyo era de 10 años, y que algunos resultados de la ampliación se lograban en apenas 3,5 años y otros, en hasta 18 años. Otros casos examinados recibieron apoyo del FMAM durante 25 años o más, y se fijaron metas más elevadas según la escala de resultados y la zona geográfica. Se destacó que para que la ampliación sea exitosa se necesitan entre 10 y 15 años, aproximadamente, de esfuerzos sostenidos, lo que también se ve confirmado por la experiencia más </w:t>
      </w:r>
      <w:r w:rsidRPr="005B2641">
        <w:rPr>
          <w:rFonts w:ascii="Calibri" w:hAnsi="Calibri"/>
          <w:sz w:val="24"/>
          <w:szCs w:val="24"/>
        </w:rPr>
        <w:lastRenderedPageBreak/>
        <w:t>amplia recogida en la literatura especializada y por las entrevistas a las partes interesadas.</w:t>
      </w:r>
      <w:bookmarkStart w:id="64" w:name="_30j0zll"/>
      <w:bookmarkEnd w:id="64"/>
    </w:p>
    <w:p w14:paraId="51CEB29C" w14:textId="77777777" w:rsidR="005B2641" w:rsidRPr="005B2641" w:rsidRDefault="005B2641" w:rsidP="005B2641">
      <w:pPr>
        <w:pStyle w:val="Ttulo1"/>
        <w:rPr>
          <w:b w:val="0"/>
          <w:szCs w:val="24"/>
        </w:rPr>
      </w:pPr>
    </w:p>
    <w:sectPr w:rsidR="005B2641" w:rsidRPr="005B2641" w:rsidSect="000837FE">
      <w:footerReference w:type="even" r:id="rId30"/>
      <w:footerReference w:type="default" r:id="rId31"/>
      <w:pgSz w:w="12240" w:h="15840"/>
      <w:pgMar w:top="1134" w:right="1440" w:bottom="113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C5B1C6" w14:textId="77777777" w:rsidR="00D63773" w:rsidRDefault="00D63773" w:rsidP="00CB2F0E">
      <w:pPr>
        <w:spacing w:after="0" w:line="240" w:lineRule="auto"/>
      </w:pPr>
      <w:r>
        <w:separator/>
      </w:r>
    </w:p>
  </w:endnote>
  <w:endnote w:type="continuationSeparator" w:id="0">
    <w:p w14:paraId="14A8F78C" w14:textId="77777777" w:rsidR="00D63773" w:rsidRDefault="00D63773" w:rsidP="00CB2F0E">
      <w:pPr>
        <w:spacing w:after="0" w:line="240" w:lineRule="auto"/>
      </w:pPr>
      <w:r>
        <w:continuationSeparator/>
      </w:r>
    </w:p>
  </w:endnote>
  <w:endnote w:type="continuationNotice" w:id="1">
    <w:p w14:paraId="3642F902" w14:textId="77777777" w:rsidR="00D63773" w:rsidRDefault="00D637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99A6A" w14:textId="1C5D61B9" w:rsidR="000837FE" w:rsidRDefault="000837FE" w:rsidP="000837FE">
    <w:pPr>
      <w:pStyle w:val="Piedepgina"/>
      <w:jc w:val="center"/>
    </w:pPr>
  </w:p>
  <w:p w14:paraId="6ABD18F3" w14:textId="77777777" w:rsidR="000837FE" w:rsidRDefault="000837F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E56FF" w14:textId="77777777" w:rsidR="005B2641" w:rsidRPr="009230D9" w:rsidRDefault="005B2641">
    <w:pPr>
      <w:pStyle w:val="Piedepgina"/>
      <w:jc w:val="center"/>
      <w:rPr>
        <w:sz w:val="20"/>
        <w:szCs w:val="20"/>
      </w:rPr>
    </w:pPr>
  </w:p>
  <w:p w14:paraId="75AC4389" w14:textId="77777777" w:rsidR="005B2641" w:rsidRDefault="005B264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9207906"/>
      <w:docPartObj>
        <w:docPartGallery w:val="Page Numbers (Bottom of Page)"/>
        <w:docPartUnique/>
      </w:docPartObj>
    </w:sdtPr>
    <w:sdtEndPr/>
    <w:sdtContent>
      <w:p w14:paraId="11632C50" w14:textId="50EECC28" w:rsidR="000837FE" w:rsidRDefault="000837FE">
        <w:pPr>
          <w:pStyle w:val="Piedepgina"/>
          <w:jc w:val="center"/>
        </w:pPr>
        <w:r>
          <w:fldChar w:fldCharType="begin"/>
        </w:r>
        <w:r>
          <w:instrText>PAGE   \* MERGEFORMAT</w:instrText>
        </w:r>
        <w:r>
          <w:fldChar w:fldCharType="separate"/>
        </w:r>
        <w:r>
          <w:t>2</w:t>
        </w:r>
        <w:r>
          <w:fldChar w:fldCharType="end"/>
        </w:r>
      </w:p>
    </w:sdtContent>
  </w:sdt>
  <w:p w14:paraId="36CB00FF" w14:textId="77777777" w:rsidR="000837FE" w:rsidRDefault="000837FE">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8134111"/>
      <w:docPartObj>
        <w:docPartGallery w:val="Page Numbers (Bottom of Page)"/>
        <w:docPartUnique/>
      </w:docPartObj>
    </w:sdtPr>
    <w:sdtContent>
      <w:p w14:paraId="4CE48BA9" w14:textId="71FA283C" w:rsidR="00544305" w:rsidRDefault="00544305">
        <w:pPr>
          <w:pStyle w:val="Piedepgina"/>
          <w:jc w:val="center"/>
        </w:pPr>
        <w:r>
          <w:fldChar w:fldCharType="begin"/>
        </w:r>
        <w:r>
          <w:instrText>PAGE   \* MERGEFORMAT</w:instrText>
        </w:r>
        <w:r>
          <w:fldChar w:fldCharType="separate"/>
        </w:r>
        <w:r>
          <w:t>2</w:t>
        </w:r>
        <w:r>
          <w:fldChar w:fldCharType="end"/>
        </w:r>
      </w:p>
    </w:sdtContent>
  </w:sdt>
  <w:p w14:paraId="2AEDBCC6" w14:textId="77777777" w:rsidR="00544305" w:rsidRDefault="00544305">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3171043"/>
      <w:docPartObj>
        <w:docPartGallery w:val="Page Numbers (Bottom of Page)"/>
        <w:docPartUnique/>
      </w:docPartObj>
    </w:sdtPr>
    <w:sdtEndPr/>
    <w:sdtContent>
      <w:p w14:paraId="21EF3869" w14:textId="3A5F5F6B" w:rsidR="000837FE" w:rsidRDefault="000837FE">
        <w:pPr>
          <w:pStyle w:val="Piedepgina"/>
          <w:jc w:val="center"/>
        </w:pPr>
        <w:r>
          <w:fldChar w:fldCharType="begin"/>
        </w:r>
        <w:r>
          <w:instrText>PAGE   \* MERGEFORMAT</w:instrText>
        </w:r>
        <w:r>
          <w:fldChar w:fldCharType="separate"/>
        </w:r>
        <w:r>
          <w:t>2</w:t>
        </w:r>
        <w:r>
          <w:fldChar w:fldCharType="end"/>
        </w:r>
      </w:p>
    </w:sdtContent>
  </w:sdt>
  <w:p w14:paraId="44E25674" w14:textId="77777777" w:rsidR="005B2641" w:rsidRPr="00345956" w:rsidRDefault="005B2641">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8891047"/>
      <w:docPartObj>
        <w:docPartGallery w:val="Page Numbers (Bottom of Page)"/>
        <w:docPartUnique/>
      </w:docPartObj>
    </w:sdtPr>
    <w:sdtEndPr/>
    <w:sdtContent>
      <w:p w14:paraId="581B4C40" w14:textId="77777777" w:rsidR="000837FE" w:rsidRDefault="000837FE" w:rsidP="000837FE">
        <w:pPr>
          <w:pStyle w:val="Piedepgina"/>
          <w:jc w:val="center"/>
        </w:pPr>
        <w:r>
          <w:fldChar w:fldCharType="begin"/>
        </w:r>
        <w:r>
          <w:instrText>PAGE   \* MERGEFORMAT</w:instrText>
        </w:r>
        <w:r>
          <w:fldChar w:fldCharType="separate"/>
        </w:r>
        <w:r>
          <w:t>1</w:t>
        </w:r>
        <w:r>
          <w:fldChar w:fldCharType="end"/>
        </w:r>
      </w:p>
    </w:sdtContent>
  </w:sdt>
  <w:p w14:paraId="2A492525" w14:textId="77777777" w:rsidR="000837FE" w:rsidRDefault="000837FE">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4928528"/>
      <w:docPartObj>
        <w:docPartGallery w:val="Page Numbers (Bottom of Page)"/>
        <w:docPartUnique/>
      </w:docPartObj>
    </w:sdtPr>
    <w:sdtEndPr/>
    <w:sdtContent>
      <w:p w14:paraId="6C9BDDA8" w14:textId="44353943" w:rsidR="000837FE" w:rsidRDefault="000837FE" w:rsidP="000837FE">
        <w:pPr>
          <w:pStyle w:val="Piedepgina"/>
          <w:jc w:val="center"/>
        </w:pPr>
        <w:r>
          <w:fldChar w:fldCharType="begin"/>
        </w:r>
        <w:r>
          <w:instrText>PAGE   \* MERGEFORMAT</w:instrText>
        </w:r>
        <w:r>
          <w:fldChar w:fldCharType="separate"/>
        </w:r>
        <w:r>
          <w:t>1</w:t>
        </w:r>
        <w:r>
          <w:fldChar w:fldCharType="end"/>
        </w:r>
      </w:p>
    </w:sdtContent>
  </w:sdt>
  <w:p w14:paraId="4467E8E7" w14:textId="107A705C" w:rsidR="003560C8" w:rsidRDefault="003560C8" w:rsidP="000837FE">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6C0E5E" w14:textId="77777777" w:rsidR="00D63773" w:rsidRDefault="00D63773" w:rsidP="00CB2F0E">
      <w:pPr>
        <w:spacing w:after="0" w:line="240" w:lineRule="auto"/>
      </w:pPr>
      <w:r>
        <w:separator/>
      </w:r>
    </w:p>
  </w:footnote>
  <w:footnote w:type="continuationSeparator" w:id="0">
    <w:p w14:paraId="3CC4DF85" w14:textId="77777777" w:rsidR="00D63773" w:rsidRDefault="00D63773" w:rsidP="00CB2F0E">
      <w:pPr>
        <w:spacing w:after="0" w:line="240" w:lineRule="auto"/>
      </w:pPr>
      <w:r>
        <w:continuationSeparator/>
      </w:r>
    </w:p>
  </w:footnote>
  <w:footnote w:type="continuationNotice" w:id="1">
    <w:p w14:paraId="44ADA605" w14:textId="77777777" w:rsidR="00D63773" w:rsidRDefault="00D63773">
      <w:pPr>
        <w:spacing w:after="0" w:line="240" w:lineRule="auto"/>
      </w:pPr>
    </w:p>
  </w:footnote>
  <w:footnote w:id="2">
    <w:p w14:paraId="3B20E88E" w14:textId="77777777" w:rsidR="00AF2846" w:rsidRPr="00513C2B" w:rsidRDefault="00AF2846">
      <w:pPr>
        <w:pStyle w:val="Textonotapie"/>
        <w:rPr>
          <w:kern w:val="18"/>
        </w:rPr>
      </w:pPr>
      <w:r>
        <w:rPr>
          <w:rStyle w:val="Refdenotaalpie"/>
        </w:rPr>
        <w:t>*</w:t>
      </w:r>
      <w:r>
        <w:t xml:space="preserve"> CBD/SBI/3/1.</w:t>
      </w:r>
    </w:p>
  </w:footnote>
  <w:footnote w:id="3">
    <w:p w14:paraId="56E0AF22" w14:textId="77777777" w:rsidR="005B2641" w:rsidRPr="009021EC" w:rsidRDefault="005B2641" w:rsidP="005B2641">
      <w:pPr>
        <w:pStyle w:val="Textonotapie"/>
      </w:pPr>
      <w:r w:rsidRPr="009021EC">
        <w:rPr>
          <w:rStyle w:val="Refdenotaalpie"/>
        </w:rPr>
        <w:footnoteRef/>
      </w:r>
      <w:r w:rsidRPr="009021EC">
        <w:t xml:space="preserve"> Véase la Decisión XIV/23.</w:t>
      </w:r>
    </w:p>
  </w:footnote>
  <w:footnote w:id="4">
    <w:p w14:paraId="04AB8592" w14:textId="77777777" w:rsidR="005B2641" w:rsidRPr="009021EC" w:rsidRDefault="005B2641" w:rsidP="005B2641">
      <w:pPr>
        <w:pStyle w:val="Textonotapie"/>
      </w:pPr>
      <w:r w:rsidRPr="009021EC">
        <w:rPr>
          <w:rStyle w:val="Refdenotaalpie"/>
        </w:rPr>
        <w:footnoteRef/>
      </w:r>
      <w:r w:rsidRPr="009021EC">
        <w:t xml:space="preserve"> FMAM (2018), </w:t>
      </w:r>
      <w:hyperlink r:id="rId1" w:history="1">
        <w:r w:rsidRPr="009021EC">
          <w:rPr>
            <w:rStyle w:val="Hipervnculo"/>
            <w:i/>
            <w:iCs/>
          </w:rPr>
          <w:t>Updated Results Architecture for GEF-7</w:t>
        </w:r>
      </w:hyperlink>
      <w:r w:rsidRPr="009021EC">
        <w:t xml:space="preserve"> (Actualización de la arquitectura de resultados para el FMAM-7), GEF/C.54/11/Rev.02.</w:t>
      </w:r>
    </w:p>
  </w:footnote>
  <w:footnote w:id="5">
    <w:p w14:paraId="432FD9D3" w14:textId="77777777" w:rsidR="005B2641" w:rsidRPr="009021EC" w:rsidRDefault="005B2641" w:rsidP="005B2641">
      <w:pPr>
        <w:pStyle w:val="Textonotapie"/>
      </w:pPr>
      <w:r w:rsidRPr="009021EC">
        <w:rPr>
          <w:rStyle w:val="Refdenotaalpie"/>
        </w:rPr>
        <w:footnoteRef/>
      </w:r>
      <w:r w:rsidRPr="009021EC">
        <w:t xml:space="preserve"> FMAM (2019), </w:t>
      </w:r>
      <w:hyperlink r:id="rId2" w:history="1">
        <w:r w:rsidRPr="009021EC">
          <w:rPr>
            <w:rStyle w:val="Hipervnculo"/>
            <w:i/>
            <w:iCs/>
          </w:rPr>
          <w:t>Work Program for GEF Trust Fund</w:t>
        </w:r>
      </w:hyperlink>
      <w:r w:rsidRPr="009021EC">
        <w:t xml:space="preserve"> (Programa de trabajo para el Fondo Fiduciario del FMAM), GEF/C.57/07.</w:t>
      </w:r>
    </w:p>
  </w:footnote>
  <w:footnote w:id="6">
    <w:p w14:paraId="1DC45ECD" w14:textId="77777777" w:rsidR="005B2641" w:rsidRPr="009021EC" w:rsidRDefault="005B2641" w:rsidP="005B2641">
      <w:pPr>
        <w:pStyle w:val="Textonotapie"/>
      </w:pPr>
      <w:r w:rsidRPr="009021EC">
        <w:rPr>
          <w:rStyle w:val="Refdenotaalpie"/>
        </w:rPr>
        <w:footnoteRef/>
      </w:r>
      <w:r w:rsidRPr="009021EC">
        <w:t xml:space="preserve"> </w:t>
      </w:r>
      <w:r>
        <w:t>Estas cifras</w:t>
      </w:r>
      <w:r w:rsidRPr="009021EC">
        <w:t xml:space="preserve"> incluyen las cuotas de los organismos y las DPP.</w:t>
      </w:r>
    </w:p>
  </w:footnote>
  <w:footnote w:id="7">
    <w:p w14:paraId="1175AE93" w14:textId="77777777" w:rsidR="005B2641" w:rsidRPr="009021EC" w:rsidRDefault="005B2641" w:rsidP="005B2641">
      <w:pPr>
        <w:pStyle w:val="Textonotapie"/>
      </w:pPr>
      <w:r w:rsidRPr="009021EC">
        <w:rPr>
          <w:rStyle w:val="Refdenotaalpie"/>
        </w:rPr>
        <w:footnoteRef/>
      </w:r>
      <w:r w:rsidRPr="009021EC">
        <w:rPr>
          <w:vertAlign w:val="superscript"/>
        </w:rPr>
        <w:t xml:space="preserve"> </w:t>
      </w:r>
      <w:r w:rsidRPr="009021EC">
        <w:t>Estas cifras no incluyen las cuotas de los organismos ni los montos de DPP.</w:t>
      </w:r>
    </w:p>
  </w:footnote>
  <w:footnote w:id="8">
    <w:p w14:paraId="6AB6F78B" w14:textId="77777777" w:rsidR="005B2641" w:rsidRPr="009021EC" w:rsidRDefault="005B2641" w:rsidP="005B2641">
      <w:pPr>
        <w:pStyle w:val="Textonotapie"/>
      </w:pPr>
      <w:r w:rsidRPr="009021EC">
        <w:rPr>
          <w:rStyle w:val="Refdenotaalpie"/>
        </w:rPr>
        <w:footnoteRef/>
      </w:r>
      <w:r w:rsidRPr="009021EC">
        <w:t xml:space="preserve"> Las asignaciones del SATR consignadas en esta fila representan proyectos del área focal de biodiversidad y proyectos que abarcan varias áreas focales en los que se utilizan recursos para la biodiversidad que no forman parte de los programas de impacto.</w:t>
      </w:r>
    </w:p>
  </w:footnote>
  <w:footnote w:id="9">
    <w:p w14:paraId="08438DE7" w14:textId="77777777" w:rsidR="005B2641" w:rsidRPr="009021EC" w:rsidRDefault="005B2641" w:rsidP="005B2641">
      <w:pPr>
        <w:pStyle w:val="Textonotapie"/>
      </w:pPr>
      <w:r w:rsidRPr="009021EC">
        <w:rPr>
          <w:rStyle w:val="Refdenotaalpie"/>
        </w:rPr>
        <w:footnoteRef/>
      </w:r>
      <w:r w:rsidRPr="009021EC">
        <w:t xml:space="preserve"> Estas cifras no incluyen las cuotas de los organismos ni los montos de DPP.</w:t>
      </w:r>
    </w:p>
  </w:footnote>
  <w:footnote w:id="10">
    <w:p w14:paraId="22A79ACE" w14:textId="77777777" w:rsidR="005B2641" w:rsidRPr="009021EC" w:rsidRDefault="005B2641" w:rsidP="005B2641">
      <w:pPr>
        <w:pStyle w:val="Textonotapie"/>
      </w:pPr>
      <w:r w:rsidRPr="009021EC">
        <w:rPr>
          <w:rStyle w:val="Refdenotaalpie"/>
        </w:rPr>
        <w:footnoteRef/>
      </w:r>
      <w:r w:rsidRPr="009021EC">
        <w:t xml:space="preserve"> Estas cifras abarcan el monto total de las DPP para los enfoques programáticos que incluyen recursos del área de diversidad biológica.</w:t>
      </w:r>
    </w:p>
  </w:footnote>
  <w:footnote w:id="11">
    <w:p w14:paraId="12EA9A0B" w14:textId="77777777" w:rsidR="005B2641" w:rsidRPr="009021EC" w:rsidRDefault="005B2641" w:rsidP="005B2641">
      <w:pPr>
        <w:pStyle w:val="Textonotapie"/>
      </w:pPr>
      <w:r w:rsidRPr="009021EC">
        <w:rPr>
          <w:rStyle w:val="Refdenotaalpie"/>
        </w:rPr>
        <w:footnoteRef/>
      </w:r>
      <w:r w:rsidRPr="009021EC">
        <w:rPr>
          <w:vertAlign w:val="superscript"/>
        </w:rPr>
        <w:t xml:space="preserve"> </w:t>
      </w:r>
      <w:r w:rsidRPr="009021EC">
        <w:t>Estas cifras no incluyen las cuotas de los organismos ni los montos de DPP.</w:t>
      </w:r>
    </w:p>
  </w:footnote>
  <w:footnote w:id="12">
    <w:p w14:paraId="4D245D3B" w14:textId="77777777" w:rsidR="005B2641" w:rsidRPr="009021EC" w:rsidRDefault="005B2641" w:rsidP="005B2641">
      <w:pPr>
        <w:pStyle w:val="Textonotapie"/>
      </w:pPr>
      <w:r w:rsidRPr="009021EC">
        <w:rPr>
          <w:rStyle w:val="Refdenotaalpie"/>
        </w:rPr>
        <w:footnoteRef/>
      </w:r>
      <w:r w:rsidRPr="009021EC">
        <w:rPr>
          <w:vertAlign w:val="superscript"/>
        </w:rPr>
        <w:t xml:space="preserve"> </w:t>
      </w:r>
      <w:r w:rsidRPr="009021EC">
        <w:t>Estas cifras no incluyen las cuotas de los organismos ni los montos de DPP.</w:t>
      </w:r>
    </w:p>
  </w:footnote>
  <w:footnote w:id="13">
    <w:p w14:paraId="071973FC" w14:textId="77777777" w:rsidR="005B2641" w:rsidRPr="009021EC" w:rsidRDefault="005B2641" w:rsidP="005B2641">
      <w:pPr>
        <w:pStyle w:val="Textonotapie"/>
      </w:pPr>
      <w:r w:rsidRPr="009021EC">
        <w:rPr>
          <w:rStyle w:val="Refdenotaalpie"/>
        </w:rPr>
        <w:footnoteRef/>
      </w:r>
      <w:r w:rsidRPr="009021EC">
        <w:rPr>
          <w:vertAlign w:val="superscript"/>
        </w:rPr>
        <w:t xml:space="preserve"> </w:t>
      </w:r>
      <w:r w:rsidRPr="009021EC">
        <w:t>Estas cifras no incluyen las cuotas de los organismos ni las DPP, dado que dichos montos no pueden asociarse con ninguna Meta de Aichi en particular.</w:t>
      </w:r>
    </w:p>
  </w:footnote>
  <w:footnote w:id="14">
    <w:p w14:paraId="76832BF6" w14:textId="77777777" w:rsidR="005B2641" w:rsidRPr="009021EC" w:rsidRDefault="005B2641" w:rsidP="005B2641">
      <w:pPr>
        <w:pStyle w:val="Textonotapie"/>
      </w:pPr>
      <w:r w:rsidRPr="009021EC">
        <w:rPr>
          <w:rStyle w:val="Refdenotaalpie"/>
        </w:rPr>
        <w:footnoteRef/>
      </w:r>
      <w:r w:rsidRPr="009021EC">
        <w:rPr>
          <w:vertAlign w:val="superscript"/>
        </w:rPr>
        <w:t xml:space="preserve"> </w:t>
      </w:r>
      <w:r w:rsidRPr="009021EC">
        <w:t>Estas cifras no incluyen las cuotas de los organismos ni los montos de DPP.</w:t>
      </w:r>
    </w:p>
  </w:footnote>
  <w:footnote w:id="15">
    <w:p w14:paraId="213A7D05" w14:textId="77777777" w:rsidR="005B2641" w:rsidRPr="009021EC" w:rsidRDefault="005B2641" w:rsidP="005B2641">
      <w:pPr>
        <w:pStyle w:val="Textonotapie"/>
      </w:pPr>
      <w:r w:rsidRPr="009021EC">
        <w:rPr>
          <w:rStyle w:val="Refdenotaalpie"/>
        </w:rPr>
        <w:footnoteRef/>
      </w:r>
      <w:r w:rsidRPr="009021EC">
        <w:rPr>
          <w:vertAlign w:val="superscript"/>
        </w:rPr>
        <w:t xml:space="preserve"> </w:t>
      </w:r>
      <w:r w:rsidRPr="009021EC">
        <w:t>Estas cifras no incluyen las cuotas de los organismos ni los montos de DPP.</w:t>
      </w:r>
    </w:p>
  </w:footnote>
  <w:footnote w:id="16">
    <w:p w14:paraId="5BDAFE02" w14:textId="77777777" w:rsidR="005B2641" w:rsidRPr="009021EC" w:rsidRDefault="005B2641" w:rsidP="005B2641">
      <w:pPr>
        <w:pStyle w:val="Textonotapie"/>
      </w:pPr>
      <w:r w:rsidRPr="009021EC">
        <w:rPr>
          <w:rStyle w:val="Refdenotaalpie"/>
        </w:rPr>
        <w:footnoteRef/>
      </w:r>
      <w:r w:rsidRPr="009021EC">
        <w:t xml:space="preserve"> Estas cifras no incluyen las cuotas de los organismos ni las DPP, dado que dichos montos no pueden asociarse con ninguna Meta de Aichi en particular.</w:t>
      </w:r>
    </w:p>
  </w:footnote>
  <w:footnote w:id="17">
    <w:p w14:paraId="7B4F80B8" w14:textId="77777777" w:rsidR="005B2641" w:rsidRPr="009021EC" w:rsidRDefault="005B2641" w:rsidP="005B2641">
      <w:pPr>
        <w:pStyle w:val="Textonotapie"/>
      </w:pPr>
      <w:r w:rsidRPr="009021EC">
        <w:rPr>
          <w:rStyle w:val="Refdenotaalpie"/>
        </w:rPr>
        <w:footnoteRef/>
      </w:r>
      <w:r w:rsidRPr="009021EC">
        <w:t xml:space="preserve"> Véase la Decisión XIV/23.</w:t>
      </w:r>
    </w:p>
  </w:footnote>
  <w:footnote w:id="18">
    <w:p w14:paraId="340A058F" w14:textId="77777777" w:rsidR="005B2641" w:rsidRPr="009021EC" w:rsidRDefault="005B2641" w:rsidP="005B2641">
      <w:pPr>
        <w:pStyle w:val="Textonotapie"/>
      </w:pPr>
      <w:r w:rsidRPr="009021EC">
        <w:rPr>
          <w:rStyle w:val="Refdenotaalpie"/>
          <w:kern w:val="18"/>
        </w:rPr>
        <w:footnoteRef/>
      </w:r>
      <w:r w:rsidRPr="009021EC">
        <w:t xml:space="preserve"> Véase la Decisión XIII/21.</w:t>
      </w:r>
    </w:p>
  </w:footnote>
  <w:footnote w:id="19">
    <w:p w14:paraId="7F841C62" w14:textId="77777777" w:rsidR="005B2641" w:rsidRPr="009021EC" w:rsidRDefault="005B2641" w:rsidP="005B2641">
      <w:pPr>
        <w:pStyle w:val="Textonotapie"/>
      </w:pPr>
      <w:r w:rsidRPr="009021EC">
        <w:rPr>
          <w:rStyle w:val="Refdenotaalpie"/>
        </w:rPr>
        <w:footnoteRef/>
      </w:r>
      <w:r w:rsidRPr="009021EC">
        <w:t xml:space="preserve"> FMAM (2018), </w:t>
      </w:r>
      <w:hyperlink r:id="rId3" w:history="1">
        <w:r w:rsidRPr="009021EC">
          <w:rPr>
            <w:rStyle w:val="Hipervnculo"/>
            <w:i/>
            <w:iCs/>
          </w:rPr>
          <w:t xml:space="preserve">Política </w:t>
        </w:r>
        <w:r>
          <w:rPr>
            <w:rStyle w:val="Hipervnculo"/>
            <w:i/>
            <w:iCs/>
          </w:rPr>
          <w:t>A</w:t>
        </w:r>
        <w:r w:rsidRPr="009021EC">
          <w:rPr>
            <w:rStyle w:val="Hipervnculo"/>
            <w:i/>
            <w:iCs/>
          </w:rPr>
          <w:t xml:space="preserve">ctualizada sobre </w:t>
        </w:r>
        <w:r>
          <w:rPr>
            <w:rStyle w:val="Hipervnculo"/>
            <w:i/>
            <w:iCs/>
          </w:rPr>
          <w:t>S</w:t>
        </w:r>
        <w:r w:rsidRPr="009021EC">
          <w:rPr>
            <w:rStyle w:val="Hipervnculo"/>
            <w:i/>
            <w:iCs/>
          </w:rPr>
          <w:t xml:space="preserve">alvaguardias </w:t>
        </w:r>
        <w:r>
          <w:rPr>
            <w:rStyle w:val="Hipervnculo"/>
            <w:i/>
            <w:iCs/>
          </w:rPr>
          <w:t>A</w:t>
        </w:r>
        <w:r w:rsidRPr="009021EC">
          <w:rPr>
            <w:rStyle w:val="Hipervnculo"/>
            <w:i/>
            <w:iCs/>
          </w:rPr>
          <w:t xml:space="preserve">mbientales y </w:t>
        </w:r>
        <w:r>
          <w:rPr>
            <w:rStyle w:val="Hipervnculo"/>
            <w:i/>
            <w:iCs/>
          </w:rPr>
          <w:t>S</w:t>
        </w:r>
        <w:r w:rsidRPr="009021EC">
          <w:rPr>
            <w:rStyle w:val="Hipervnculo"/>
            <w:i/>
            <w:iCs/>
          </w:rPr>
          <w:t>ociales</w:t>
        </w:r>
      </w:hyperlink>
      <w:r w:rsidRPr="009021EC">
        <w:t>, documento del Consejo GEF/C.55/07/Rev.01.</w:t>
      </w:r>
    </w:p>
  </w:footnote>
  <w:footnote w:id="20">
    <w:p w14:paraId="0A41C8DA" w14:textId="77777777" w:rsidR="005B2641" w:rsidRPr="009021EC" w:rsidRDefault="005B2641" w:rsidP="005B2641">
      <w:pPr>
        <w:pStyle w:val="Textonotapie"/>
      </w:pPr>
      <w:r w:rsidRPr="009021EC">
        <w:rPr>
          <w:rStyle w:val="Refdenotaalpie"/>
        </w:rPr>
        <w:footnoteRef/>
      </w:r>
      <w:r w:rsidRPr="009021EC">
        <w:t xml:space="preserve"> Ibidem</w:t>
      </w:r>
      <w:r w:rsidRPr="005479E2">
        <w:t>.</w:t>
      </w:r>
    </w:p>
  </w:footnote>
  <w:footnote w:id="21">
    <w:p w14:paraId="18C30061" w14:textId="77777777" w:rsidR="005B2641" w:rsidRPr="009021EC" w:rsidRDefault="005B2641" w:rsidP="005B2641">
      <w:pPr>
        <w:pStyle w:val="Textonotapie"/>
      </w:pPr>
      <w:r w:rsidRPr="009021EC">
        <w:rPr>
          <w:rStyle w:val="Refdenotaalpie"/>
        </w:rPr>
        <w:footnoteRef/>
      </w:r>
      <w:r w:rsidRPr="009021EC">
        <w:t xml:space="preserve"> </w:t>
      </w:r>
      <w:bookmarkStart w:id="44" w:name="_Hlk32079827"/>
      <w:r w:rsidRPr="009021EC">
        <w:t xml:space="preserve">FMAM (2019), </w:t>
      </w:r>
      <w:hyperlink r:id="rId4" w:history="1">
        <w:r w:rsidRPr="009021EC">
          <w:rPr>
            <w:rStyle w:val="Hipervnculo"/>
            <w:i/>
          </w:rPr>
          <w:t>GEF Policy on Monitoring</w:t>
        </w:r>
      </w:hyperlink>
      <w:r w:rsidRPr="009021EC">
        <w:t xml:space="preserve"> (Política de Seguimiento del FMAM), documento del Consejo</w:t>
      </w:r>
      <w:r>
        <w:t> </w:t>
      </w:r>
      <w:r w:rsidRPr="009021EC">
        <w:t>GEF/C.56/03/Rev.01.</w:t>
      </w:r>
      <w:bookmarkEnd w:id="44"/>
    </w:p>
  </w:footnote>
  <w:footnote w:id="22">
    <w:p w14:paraId="0BF25106" w14:textId="77777777" w:rsidR="005B2641" w:rsidRPr="009021EC" w:rsidRDefault="005B2641" w:rsidP="005B2641">
      <w:pPr>
        <w:pStyle w:val="Textonotapie"/>
      </w:pPr>
      <w:r w:rsidRPr="009021EC">
        <w:rPr>
          <w:rStyle w:val="Refdenotaalpie"/>
        </w:rPr>
        <w:footnoteRef/>
      </w:r>
      <w:r w:rsidRPr="009021EC">
        <w:t xml:space="preserve"> FMAM (2019), </w:t>
      </w:r>
      <w:hyperlink r:id="rId5" w:history="1">
        <w:r w:rsidRPr="001F4EA6">
          <w:rPr>
            <w:rStyle w:val="Hipervnculo"/>
            <w:i/>
          </w:rPr>
          <w:t>The GEF Monitoring Report 2019</w:t>
        </w:r>
      </w:hyperlink>
      <w:r w:rsidRPr="009021EC">
        <w:t xml:space="preserve"> (Informe de seguimiento del FMAM</w:t>
      </w:r>
      <w:r>
        <w:t> </w:t>
      </w:r>
      <w:r w:rsidRPr="009021EC">
        <w:t>2019), documento del Consejo GEF/C.57/03.</w:t>
      </w:r>
    </w:p>
  </w:footnote>
  <w:footnote w:id="23">
    <w:p w14:paraId="6A1B071A" w14:textId="77777777" w:rsidR="005B2641" w:rsidRPr="009021EC" w:rsidRDefault="005B2641" w:rsidP="005B2641">
      <w:pPr>
        <w:pStyle w:val="Textonotapie"/>
      </w:pPr>
      <w:r w:rsidRPr="009021EC">
        <w:rPr>
          <w:rStyle w:val="Refdenotaalpie"/>
        </w:rPr>
        <w:footnoteRef/>
      </w:r>
      <w:r w:rsidRPr="009021EC">
        <w:t xml:space="preserve"> FMAM (2018), </w:t>
      </w:r>
      <w:hyperlink r:id="rId6" w:history="1">
        <w:r w:rsidRPr="009021EC">
          <w:rPr>
            <w:rStyle w:val="Hipervnculo"/>
            <w:i/>
            <w:iCs/>
          </w:rPr>
          <w:t>Updated Results Architecture for GEF-7</w:t>
        </w:r>
      </w:hyperlink>
      <w:r w:rsidRPr="009021EC">
        <w:t xml:space="preserve"> (Actualización de la arquitectura de resultados para el FMAM-7), documento del Consejo GEF/C.54/11/Rev.02.</w:t>
      </w:r>
    </w:p>
  </w:footnote>
  <w:footnote w:id="24">
    <w:p w14:paraId="29EC6BEE" w14:textId="77777777" w:rsidR="005B2641" w:rsidRPr="009021EC" w:rsidRDefault="005B2641" w:rsidP="005B2641">
      <w:pPr>
        <w:spacing w:line="240" w:lineRule="auto"/>
        <w:rPr>
          <w:rFonts w:cstheme="minorHAnsi"/>
          <w:sz w:val="20"/>
          <w:szCs w:val="20"/>
        </w:rPr>
      </w:pPr>
      <w:r w:rsidRPr="009021EC">
        <w:rPr>
          <w:rFonts w:cstheme="minorHAnsi"/>
          <w:sz w:val="20"/>
          <w:szCs w:val="20"/>
          <w:vertAlign w:val="superscript"/>
        </w:rPr>
        <w:footnoteRef/>
      </w:r>
      <w:r w:rsidRPr="009021EC">
        <w:rPr>
          <w:sz w:val="20"/>
          <w:szCs w:val="20"/>
        </w:rPr>
        <w:t xml:space="preserve"> FMAM (2018), </w:t>
      </w:r>
      <w:r w:rsidRPr="009021EC">
        <w:rPr>
          <w:i/>
          <w:sz w:val="20"/>
          <w:szCs w:val="20"/>
        </w:rPr>
        <w:t>GEF’s Support to Biodiversity Mainstreaming</w:t>
      </w:r>
      <w:r w:rsidRPr="009021EC">
        <w:rPr>
          <w:sz w:val="20"/>
          <w:szCs w:val="20"/>
        </w:rPr>
        <w:t xml:space="preserve"> (Apoyo del FMAM a la incorporación de la biodiversidad), </w:t>
      </w:r>
      <w:hyperlink r:id="rId7">
        <w:r w:rsidRPr="009021EC">
          <w:rPr>
            <w:color w:val="1155CC"/>
            <w:sz w:val="20"/>
            <w:szCs w:val="20"/>
            <w:u w:val="single"/>
          </w:rPr>
          <w:t>https://www.gefieo.org/evaluations/evaluation-gefs-support-mainstreaming-biodiversity-2018</w:t>
        </w:r>
      </w:hyperlink>
      <w:r w:rsidRPr="009021EC">
        <w:rPr>
          <w:sz w:val="20"/>
          <w:szCs w:val="20"/>
        </w:rPr>
        <w:t>.</w:t>
      </w:r>
    </w:p>
    <w:p w14:paraId="6DF54A1F" w14:textId="77777777" w:rsidR="005B2641" w:rsidRPr="009021EC" w:rsidRDefault="005B2641" w:rsidP="005B2641">
      <w:pPr>
        <w:spacing w:line="240" w:lineRule="auto"/>
        <w:rPr>
          <w:rFonts w:ascii="Times New Roman" w:hAnsi="Times New Roman" w:cs="Times New Roman"/>
          <w:sz w:val="20"/>
          <w:szCs w:val="20"/>
        </w:rPr>
      </w:pPr>
    </w:p>
  </w:footnote>
  <w:footnote w:id="25">
    <w:p w14:paraId="76297E18" w14:textId="77777777" w:rsidR="005B2641" w:rsidRPr="009021EC" w:rsidRDefault="005B2641" w:rsidP="005B2641">
      <w:pPr>
        <w:spacing w:line="240" w:lineRule="auto"/>
        <w:rPr>
          <w:rFonts w:cstheme="minorHAnsi"/>
          <w:sz w:val="20"/>
          <w:szCs w:val="20"/>
        </w:rPr>
      </w:pPr>
      <w:r w:rsidRPr="009021EC">
        <w:rPr>
          <w:rFonts w:cstheme="minorHAnsi"/>
          <w:sz w:val="20"/>
          <w:szCs w:val="20"/>
          <w:vertAlign w:val="superscript"/>
        </w:rPr>
        <w:footnoteRef/>
      </w:r>
      <w:r w:rsidRPr="009021EC">
        <w:rPr>
          <w:sz w:val="20"/>
          <w:szCs w:val="20"/>
        </w:rPr>
        <w:t xml:space="preserve"> Ampliación a través de la cual el sector de conservación trabaja de manera más eficaz con los sectores económicos, y una gama más amplia de sectores, instituciones y países incorporan la biodiversidad. Para más detalles, véase </w:t>
      </w:r>
      <w:hyperlink r:id="rId8">
        <w:r w:rsidRPr="009021EC">
          <w:rPr>
            <w:i/>
            <w:iCs/>
            <w:color w:val="1155CC"/>
            <w:sz w:val="20"/>
            <w:szCs w:val="20"/>
            <w:u w:val="single"/>
          </w:rPr>
          <w:t>Evaluation Report N.</w:t>
        </w:r>
        <w:r w:rsidRPr="009021EC">
          <w:rPr>
            <w:i/>
            <w:iCs/>
            <w:color w:val="1155CC"/>
            <w:sz w:val="20"/>
            <w:szCs w:val="20"/>
            <w:u w:val="single"/>
            <w:vertAlign w:val="superscript"/>
          </w:rPr>
          <w:t>o</w:t>
        </w:r>
        <w:r w:rsidRPr="009021EC">
          <w:rPr>
            <w:i/>
            <w:iCs/>
            <w:color w:val="1155CC"/>
            <w:sz w:val="20"/>
            <w:szCs w:val="20"/>
            <w:u w:val="single"/>
          </w:rPr>
          <w:t xml:space="preserve"> 134</w:t>
        </w:r>
      </w:hyperlink>
      <w:r w:rsidRPr="009021EC">
        <w:rPr>
          <w:sz w:val="20"/>
          <w:szCs w:val="20"/>
        </w:rPr>
        <w:t xml:space="preserve"> (Informe de evaluación n.</w:t>
      </w:r>
      <w:r w:rsidRPr="009021EC">
        <w:rPr>
          <w:sz w:val="20"/>
          <w:szCs w:val="20"/>
          <w:vertAlign w:val="superscript"/>
        </w:rPr>
        <w:t>o</w:t>
      </w:r>
      <w:r w:rsidRPr="009021EC">
        <w:rPr>
          <w:sz w:val="20"/>
          <w:szCs w:val="20"/>
        </w:rPr>
        <w:t> 134)</w:t>
      </w:r>
      <w:r>
        <w:rPr>
          <w:sz w:val="20"/>
          <w:szCs w:val="20"/>
        </w:rPr>
        <w:t>, de la OEI del FMAM</w:t>
      </w:r>
      <w:r w:rsidRPr="009021EC">
        <w:rPr>
          <w:sz w:val="20"/>
          <w:szCs w:val="20"/>
        </w:rPr>
        <w:t>.</w:t>
      </w:r>
    </w:p>
  </w:footnote>
  <w:footnote w:id="26">
    <w:p w14:paraId="30D76238" w14:textId="77777777" w:rsidR="005B2641" w:rsidRPr="009021EC" w:rsidRDefault="005B2641" w:rsidP="005B2641">
      <w:pPr>
        <w:spacing w:line="240" w:lineRule="auto"/>
        <w:rPr>
          <w:sz w:val="20"/>
          <w:szCs w:val="20"/>
        </w:rPr>
      </w:pPr>
      <w:r w:rsidRPr="009021EC">
        <w:rPr>
          <w:rFonts w:cstheme="minorHAnsi"/>
          <w:sz w:val="20"/>
          <w:szCs w:val="20"/>
          <w:vertAlign w:val="superscript"/>
        </w:rPr>
        <w:footnoteRef/>
      </w:r>
      <w:r w:rsidRPr="009021EC">
        <w:rPr>
          <w:sz w:val="20"/>
          <w:szCs w:val="20"/>
        </w:rPr>
        <w:t xml:space="preserve"> Transformación en virtud de la cual la conservación se desplaza de las zonas protegidas a los paisajes más extensos, </w:t>
      </w:r>
      <w:r>
        <w:rPr>
          <w:sz w:val="20"/>
          <w:szCs w:val="20"/>
        </w:rPr>
        <w:t>lo que refleja</w:t>
      </w:r>
      <w:r w:rsidRPr="009021EC">
        <w:rPr>
          <w:sz w:val="20"/>
          <w:szCs w:val="20"/>
        </w:rPr>
        <w:t xml:space="preserve"> los cambios en la percepción de la conservación de la biodiversidad aplicable a la sociedad. Para más detalles, véase </w:t>
      </w:r>
      <w:hyperlink r:id="rId9">
        <w:r w:rsidRPr="009021EC">
          <w:rPr>
            <w:i/>
            <w:iCs/>
            <w:color w:val="1155CC"/>
            <w:sz w:val="20"/>
            <w:szCs w:val="20"/>
            <w:u w:val="single"/>
          </w:rPr>
          <w:t>Evaluation Report N.</w:t>
        </w:r>
        <w:r w:rsidRPr="009021EC">
          <w:rPr>
            <w:i/>
            <w:iCs/>
            <w:color w:val="1155CC"/>
            <w:sz w:val="20"/>
            <w:szCs w:val="20"/>
            <w:u w:val="single"/>
            <w:vertAlign w:val="superscript"/>
          </w:rPr>
          <w:t>o</w:t>
        </w:r>
        <w:r w:rsidRPr="009021EC">
          <w:rPr>
            <w:i/>
            <w:iCs/>
            <w:color w:val="1155CC"/>
            <w:sz w:val="20"/>
            <w:szCs w:val="20"/>
            <w:u w:val="single"/>
          </w:rPr>
          <w:t xml:space="preserve"> 134</w:t>
        </w:r>
      </w:hyperlink>
      <w:r w:rsidRPr="009021EC">
        <w:rPr>
          <w:sz w:val="20"/>
          <w:szCs w:val="20"/>
        </w:rPr>
        <w:t xml:space="preserve"> (Informe de evaluación n.</w:t>
      </w:r>
      <w:r w:rsidRPr="009021EC">
        <w:rPr>
          <w:sz w:val="20"/>
          <w:szCs w:val="20"/>
          <w:vertAlign w:val="superscript"/>
        </w:rPr>
        <w:t>o</w:t>
      </w:r>
      <w:r w:rsidRPr="009021EC">
        <w:rPr>
          <w:sz w:val="20"/>
          <w:szCs w:val="20"/>
        </w:rPr>
        <w:t> 134)</w:t>
      </w:r>
      <w:r>
        <w:rPr>
          <w:sz w:val="20"/>
          <w:szCs w:val="20"/>
        </w:rPr>
        <w:t>, de la OEI del FMAM</w:t>
      </w:r>
      <w:r w:rsidRPr="009021EC">
        <w:rPr>
          <w:sz w:val="20"/>
          <w:szCs w:val="20"/>
        </w:rPr>
        <w:t>.</w:t>
      </w:r>
    </w:p>
  </w:footnote>
  <w:footnote w:id="27">
    <w:p w14:paraId="51DFCFCA" w14:textId="77777777" w:rsidR="005B2641" w:rsidRPr="0055121E" w:rsidRDefault="005B2641" w:rsidP="005B2641">
      <w:pPr>
        <w:spacing w:line="240" w:lineRule="auto"/>
        <w:rPr>
          <w:rFonts w:cstheme="minorHAnsi"/>
          <w:sz w:val="20"/>
          <w:szCs w:val="20"/>
        </w:rPr>
      </w:pPr>
      <w:r w:rsidRPr="009021EC">
        <w:rPr>
          <w:rFonts w:cstheme="minorHAnsi"/>
          <w:sz w:val="20"/>
          <w:szCs w:val="20"/>
          <w:vertAlign w:val="superscript"/>
        </w:rPr>
        <w:footnoteRef/>
      </w:r>
      <w:r w:rsidRPr="0055121E">
        <w:rPr>
          <w:sz w:val="20"/>
          <w:szCs w:val="20"/>
        </w:rPr>
        <w:t xml:space="preserve"> FMAM (2017), </w:t>
      </w:r>
      <w:r w:rsidRPr="0055121E">
        <w:rPr>
          <w:i/>
          <w:iCs/>
          <w:sz w:val="20"/>
          <w:szCs w:val="20"/>
        </w:rPr>
        <w:t>Formative Review of the GEF Integrated Approach Pilot Programs</w:t>
      </w:r>
      <w:r w:rsidRPr="0055121E">
        <w:rPr>
          <w:sz w:val="20"/>
          <w:szCs w:val="20"/>
        </w:rPr>
        <w:t xml:space="preserve"> (Examen formativo de los programas piloto de enfoque integrado del FMAM), </w:t>
      </w:r>
      <w:hyperlink r:id="rId10" w:history="1">
        <w:r w:rsidRPr="0055121E">
          <w:rPr>
            <w:rStyle w:val="Hipervnculo"/>
            <w:sz w:val="20"/>
            <w:szCs w:val="20"/>
          </w:rPr>
          <w:t>http://www.gefieo.org/sites/default/files/ieo/evaluations</w:t>
        </w:r>
        <w:r w:rsidRPr="0055121E">
          <w:rPr>
            <w:rStyle w:val="Hipervnculo"/>
            <w:sz w:val="20"/>
            <w:szCs w:val="20"/>
          </w:rPr>
          <w:br/>
          <w:t>/files/iaps-2017_0.pdf</w:t>
        </w:r>
      </w:hyperlink>
      <w:r w:rsidRPr="0055121E">
        <w:rPr>
          <w:sz w:val="20"/>
          <w:szCs w:val="20"/>
        </w:rPr>
        <w:t>.</w:t>
      </w:r>
    </w:p>
  </w:footnote>
  <w:footnote w:id="28">
    <w:p w14:paraId="1233633C" w14:textId="77777777" w:rsidR="005B2641" w:rsidRPr="009021EC" w:rsidRDefault="005B2641" w:rsidP="005B2641">
      <w:pPr>
        <w:spacing w:line="240" w:lineRule="auto"/>
        <w:rPr>
          <w:rFonts w:eastAsia="Times New Roman" w:cstheme="minorHAnsi"/>
          <w:sz w:val="20"/>
          <w:szCs w:val="20"/>
        </w:rPr>
      </w:pPr>
      <w:r w:rsidRPr="009021EC">
        <w:rPr>
          <w:rFonts w:cstheme="minorHAnsi"/>
          <w:sz w:val="20"/>
          <w:szCs w:val="20"/>
          <w:vertAlign w:val="superscript"/>
        </w:rPr>
        <w:footnoteRef/>
      </w:r>
      <w:r w:rsidRPr="009021EC">
        <w:rPr>
          <w:sz w:val="20"/>
          <w:szCs w:val="20"/>
        </w:rPr>
        <w:t xml:space="preserve"> FMAM (2017), </w:t>
      </w:r>
      <w:r w:rsidRPr="009021EC">
        <w:rPr>
          <w:i/>
          <w:iCs/>
          <w:sz w:val="20"/>
          <w:szCs w:val="20"/>
        </w:rPr>
        <w:t>Evaluation of GEF Support for Transformational Change</w:t>
      </w:r>
      <w:r w:rsidRPr="009021EC">
        <w:rPr>
          <w:sz w:val="20"/>
          <w:szCs w:val="20"/>
        </w:rPr>
        <w:t xml:space="preserve"> (Evaluación del apoyo del FMAM para el cambio transformador), </w:t>
      </w:r>
      <w:hyperlink r:id="rId11" w:history="1">
        <w:r w:rsidRPr="009021EC">
          <w:rPr>
            <w:rStyle w:val="Hipervnculo"/>
            <w:sz w:val="20"/>
            <w:szCs w:val="20"/>
          </w:rPr>
          <w:t>http://www.gefieo.org/sites/default/files/ieo/evaluations/files/transformational-change-2017.pdf</w:t>
        </w:r>
      </w:hyperlink>
      <w:r w:rsidRPr="009021EC">
        <w:rPr>
          <w:sz w:val="20"/>
          <w:szCs w:val="20"/>
        </w:rPr>
        <w:t>.</w:t>
      </w:r>
    </w:p>
  </w:footnote>
  <w:footnote w:id="29">
    <w:p w14:paraId="5872A905" w14:textId="77777777" w:rsidR="005B2641" w:rsidRPr="009021EC" w:rsidRDefault="005B2641" w:rsidP="005B2641">
      <w:pPr>
        <w:spacing w:line="240" w:lineRule="auto"/>
        <w:rPr>
          <w:rFonts w:ascii="Times New Roman" w:eastAsia="Times New Roman" w:hAnsi="Times New Roman" w:cs="Times New Roman"/>
          <w:sz w:val="20"/>
          <w:szCs w:val="20"/>
        </w:rPr>
      </w:pPr>
      <w:r w:rsidRPr="009021EC">
        <w:rPr>
          <w:rFonts w:cstheme="minorHAnsi"/>
          <w:sz w:val="20"/>
          <w:szCs w:val="20"/>
          <w:vertAlign w:val="superscript"/>
        </w:rPr>
        <w:footnoteRef/>
      </w:r>
      <w:r w:rsidRPr="009021EC">
        <w:rPr>
          <w:sz w:val="20"/>
          <w:szCs w:val="20"/>
        </w:rPr>
        <w:t xml:space="preserve"> En la evaluación se aplicaron cuatro criterios para diferenciar las intervenciones transformadoras de las que “solamente” son muy exitosas, complejas o de gran magnitud: i)</w:t>
      </w:r>
      <w:r>
        <w:rPr>
          <w:sz w:val="20"/>
          <w:szCs w:val="20"/>
        </w:rPr>
        <w:t> </w:t>
      </w:r>
      <w:r w:rsidRPr="009021EC">
        <w:rPr>
          <w:sz w:val="20"/>
          <w:szCs w:val="20"/>
        </w:rPr>
        <w:t xml:space="preserve">pertinencia; ii) profundidad del cambio; </w:t>
      </w:r>
      <w:r>
        <w:rPr>
          <w:sz w:val="20"/>
          <w:szCs w:val="20"/>
        </w:rPr>
        <w:t>III</w:t>
      </w:r>
      <w:r w:rsidRPr="009021EC">
        <w:rPr>
          <w:sz w:val="20"/>
          <w:szCs w:val="20"/>
        </w:rPr>
        <w:t>) escala del cambio, y iv) sostenibilidad.</w:t>
      </w:r>
    </w:p>
  </w:footnote>
  <w:footnote w:id="30">
    <w:p w14:paraId="41CB15CF" w14:textId="77777777" w:rsidR="005B2641" w:rsidRPr="009021EC" w:rsidRDefault="005B2641" w:rsidP="005B2641">
      <w:pPr>
        <w:spacing w:line="240" w:lineRule="auto"/>
        <w:rPr>
          <w:rFonts w:cstheme="minorHAnsi"/>
          <w:sz w:val="20"/>
          <w:szCs w:val="20"/>
        </w:rPr>
      </w:pPr>
      <w:r w:rsidRPr="009021EC">
        <w:rPr>
          <w:rFonts w:cstheme="minorHAnsi"/>
          <w:sz w:val="20"/>
          <w:szCs w:val="20"/>
          <w:vertAlign w:val="superscript"/>
        </w:rPr>
        <w:footnoteRef/>
      </w:r>
      <w:r w:rsidRPr="009021EC">
        <w:rPr>
          <w:sz w:val="20"/>
          <w:szCs w:val="20"/>
        </w:rPr>
        <w:t xml:space="preserve"> FMAM (2019), </w:t>
      </w:r>
      <w:r w:rsidRPr="009021EC">
        <w:rPr>
          <w:i/>
          <w:iCs/>
          <w:sz w:val="20"/>
          <w:szCs w:val="20"/>
        </w:rPr>
        <w:t>Evaluation of GEF Support to Scaling up Impact</w:t>
      </w:r>
      <w:r w:rsidRPr="009021EC">
        <w:rPr>
          <w:sz w:val="20"/>
          <w:szCs w:val="20"/>
        </w:rPr>
        <w:t xml:space="preserve"> (Evaluación del apoyo del FMAM a la ampliación del impacto 2019), </w:t>
      </w:r>
      <w:hyperlink r:id="rId12" w:history="1">
        <w:r w:rsidRPr="009021EC">
          <w:rPr>
            <w:rStyle w:val="Hipervnculo"/>
            <w:sz w:val="20"/>
            <w:szCs w:val="20"/>
          </w:rPr>
          <w:t>https://www.gefieo.org/evaluations/evaluation-gef-support-scaling-impact-2019</w:t>
        </w:r>
      </w:hyperlink>
      <w:r w:rsidRPr="009021EC">
        <w:rPr>
          <w:sz w:val="20"/>
          <w:szCs w:val="20"/>
        </w:rPr>
        <w:t>.</w:t>
      </w:r>
    </w:p>
    <w:p w14:paraId="27107CBE" w14:textId="77777777" w:rsidR="005B2641" w:rsidRPr="009021EC" w:rsidRDefault="005B2641" w:rsidP="005B2641">
      <w:pPr>
        <w:spacing w:line="240" w:lineRule="auto"/>
        <w:rPr>
          <w:rFonts w:cstheme="minorHAnsi"/>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F6302"/>
    <w:multiLevelType w:val="hybridMultilevel"/>
    <w:tmpl w:val="D3EA78C0"/>
    <w:lvl w:ilvl="0" w:tplc="C3669D66">
      <w:start w:val="1"/>
      <w:numFmt w:val="upperLetter"/>
      <w:lvlText w:val="%1)"/>
      <w:lvlJc w:val="left"/>
      <w:pPr>
        <w:ind w:left="405" w:hanging="360"/>
      </w:pPr>
      <w:rPr>
        <w:rFonts w:hint="default"/>
      </w:rPr>
    </w:lvl>
    <w:lvl w:ilvl="1" w:tplc="08160019" w:tentative="1">
      <w:start w:val="1"/>
      <w:numFmt w:val="lowerLetter"/>
      <w:lvlText w:val="%2."/>
      <w:lvlJc w:val="left"/>
      <w:pPr>
        <w:ind w:left="1125" w:hanging="360"/>
      </w:pPr>
    </w:lvl>
    <w:lvl w:ilvl="2" w:tplc="0816001B" w:tentative="1">
      <w:start w:val="1"/>
      <w:numFmt w:val="lowerRoman"/>
      <w:lvlText w:val="%3."/>
      <w:lvlJc w:val="right"/>
      <w:pPr>
        <w:ind w:left="1845" w:hanging="180"/>
      </w:pPr>
    </w:lvl>
    <w:lvl w:ilvl="3" w:tplc="0816000F" w:tentative="1">
      <w:start w:val="1"/>
      <w:numFmt w:val="decimal"/>
      <w:lvlText w:val="%4."/>
      <w:lvlJc w:val="left"/>
      <w:pPr>
        <w:ind w:left="2565" w:hanging="360"/>
      </w:pPr>
    </w:lvl>
    <w:lvl w:ilvl="4" w:tplc="08160019" w:tentative="1">
      <w:start w:val="1"/>
      <w:numFmt w:val="lowerLetter"/>
      <w:lvlText w:val="%5."/>
      <w:lvlJc w:val="left"/>
      <w:pPr>
        <w:ind w:left="3285" w:hanging="360"/>
      </w:pPr>
    </w:lvl>
    <w:lvl w:ilvl="5" w:tplc="0816001B" w:tentative="1">
      <w:start w:val="1"/>
      <w:numFmt w:val="lowerRoman"/>
      <w:lvlText w:val="%6."/>
      <w:lvlJc w:val="right"/>
      <w:pPr>
        <w:ind w:left="4005" w:hanging="180"/>
      </w:pPr>
    </w:lvl>
    <w:lvl w:ilvl="6" w:tplc="0816000F" w:tentative="1">
      <w:start w:val="1"/>
      <w:numFmt w:val="decimal"/>
      <w:lvlText w:val="%7."/>
      <w:lvlJc w:val="left"/>
      <w:pPr>
        <w:ind w:left="4725" w:hanging="360"/>
      </w:pPr>
    </w:lvl>
    <w:lvl w:ilvl="7" w:tplc="08160019" w:tentative="1">
      <w:start w:val="1"/>
      <w:numFmt w:val="lowerLetter"/>
      <w:lvlText w:val="%8."/>
      <w:lvlJc w:val="left"/>
      <w:pPr>
        <w:ind w:left="5445" w:hanging="360"/>
      </w:pPr>
    </w:lvl>
    <w:lvl w:ilvl="8" w:tplc="0816001B" w:tentative="1">
      <w:start w:val="1"/>
      <w:numFmt w:val="lowerRoman"/>
      <w:lvlText w:val="%9."/>
      <w:lvlJc w:val="right"/>
      <w:pPr>
        <w:ind w:left="6165" w:hanging="180"/>
      </w:pPr>
    </w:lvl>
  </w:abstractNum>
  <w:abstractNum w:abstractNumId="1" w15:restartNumberingAfterBreak="0">
    <w:nsid w:val="0E5C101D"/>
    <w:multiLevelType w:val="hybridMultilevel"/>
    <w:tmpl w:val="A390716C"/>
    <w:lvl w:ilvl="0" w:tplc="64BE5A58">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A15151"/>
    <w:multiLevelType w:val="hybridMultilevel"/>
    <w:tmpl w:val="33A48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D07DBF"/>
    <w:multiLevelType w:val="hybridMultilevel"/>
    <w:tmpl w:val="AACE108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806A19"/>
    <w:multiLevelType w:val="hybridMultilevel"/>
    <w:tmpl w:val="9C5E6720"/>
    <w:lvl w:ilvl="0" w:tplc="ABDC85F4">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2344E9"/>
    <w:multiLevelType w:val="hybridMultilevel"/>
    <w:tmpl w:val="1954019A"/>
    <w:lvl w:ilvl="0" w:tplc="AC34B3AA">
      <w:start w:val="1"/>
      <w:numFmt w:val="decimal"/>
      <w:lvlText w:val="%1."/>
      <w:lvlJc w:val="left"/>
      <w:pPr>
        <w:ind w:left="720" w:hanging="360"/>
      </w:pPr>
      <w:rPr>
        <w:rFonts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590184"/>
    <w:multiLevelType w:val="hybridMultilevel"/>
    <w:tmpl w:val="9DA8A9C6"/>
    <w:lvl w:ilvl="0" w:tplc="2C203A74">
      <w:start w:val="1"/>
      <w:numFmt w:val="low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C111159"/>
    <w:multiLevelType w:val="hybridMultilevel"/>
    <w:tmpl w:val="93687712"/>
    <w:lvl w:ilvl="0" w:tplc="2C203A74">
      <w:start w:val="1"/>
      <w:numFmt w:val="low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E0442B4"/>
    <w:multiLevelType w:val="multilevel"/>
    <w:tmpl w:val="5928D004"/>
    <w:lvl w:ilvl="0">
      <w:start w:val="1"/>
      <w:numFmt w:val="decimal"/>
      <w:pStyle w:val="Para1"/>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pStyle w:val="Para3"/>
      <w:lvlText w:val="(%3)"/>
      <w:lvlJc w:val="right"/>
      <w:pPr>
        <w:tabs>
          <w:tab w:val="num" w:pos="1260"/>
        </w:tabs>
        <w:ind w:left="1260" w:hanging="360"/>
      </w:pPr>
      <w:rPr>
        <w:rFonts w:hint="default"/>
      </w:rPr>
    </w:lvl>
    <w:lvl w:ilvl="3">
      <w:start w:val="1"/>
      <w:numFmt w:val="lowerRoman"/>
      <w:lvlText w:val="%4."/>
      <w:lvlJc w:val="right"/>
      <w:pPr>
        <w:tabs>
          <w:tab w:val="num" w:pos="2160"/>
        </w:tabs>
        <w:ind w:left="2160" w:hanging="720"/>
      </w:pPr>
      <w:rPr>
        <w:rFonts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4F292AD4"/>
    <w:multiLevelType w:val="hybridMultilevel"/>
    <w:tmpl w:val="D4EE70BC"/>
    <w:lvl w:ilvl="0" w:tplc="331AEC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8D27A8"/>
    <w:multiLevelType w:val="hybridMultilevel"/>
    <w:tmpl w:val="34A888A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3A60D1"/>
    <w:multiLevelType w:val="hybridMultilevel"/>
    <w:tmpl w:val="D3EA78C0"/>
    <w:lvl w:ilvl="0" w:tplc="C3669D66">
      <w:start w:val="1"/>
      <w:numFmt w:val="upperLetter"/>
      <w:lvlText w:val="%1)"/>
      <w:lvlJc w:val="left"/>
      <w:pPr>
        <w:ind w:left="405" w:hanging="360"/>
      </w:pPr>
      <w:rPr>
        <w:rFonts w:hint="default"/>
      </w:rPr>
    </w:lvl>
    <w:lvl w:ilvl="1" w:tplc="08160019" w:tentative="1">
      <w:start w:val="1"/>
      <w:numFmt w:val="lowerLetter"/>
      <w:lvlText w:val="%2."/>
      <w:lvlJc w:val="left"/>
      <w:pPr>
        <w:ind w:left="1125" w:hanging="360"/>
      </w:pPr>
    </w:lvl>
    <w:lvl w:ilvl="2" w:tplc="0816001B" w:tentative="1">
      <w:start w:val="1"/>
      <w:numFmt w:val="lowerRoman"/>
      <w:lvlText w:val="%3."/>
      <w:lvlJc w:val="right"/>
      <w:pPr>
        <w:ind w:left="1845" w:hanging="180"/>
      </w:pPr>
    </w:lvl>
    <w:lvl w:ilvl="3" w:tplc="0816000F" w:tentative="1">
      <w:start w:val="1"/>
      <w:numFmt w:val="decimal"/>
      <w:lvlText w:val="%4."/>
      <w:lvlJc w:val="left"/>
      <w:pPr>
        <w:ind w:left="2565" w:hanging="360"/>
      </w:pPr>
    </w:lvl>
    <w:lvl w:ilvl="4" w:tplc="08160019" w:tentative="1">
      <w:start w:val="1"/>
      <w:numFmt w:val="lowerLetter"/>
      <w:lvlText w:val="%5."/>
      <w:lvlJc w:val="left"/>
      <w:pPr>
        <w:ind w:left="3285" w:hanging="360"/>
      </w:pPr>
    </w:lvl>
    <w:lvl w:ilvl="5" w:tplc="0816001B" w:tentative="1">
      <w:start w:val="1"/>
      <w:numFmt w:val="lowerRoman"/>
      <w:lvlText w:val="%6."/>
      <w:lvlJc w:val="right"/>
      <w:pPr>
        <w:ind w:left="4005" w:hanging="180"/>
      </w:pPr>
    </w:lvl>
    <w:lvl w:ilvl="6" w:tplc="0816000F" w:tentative="1">
      <w:start w:val="1"/>
      <w:numFmt w:val="decimal"/>
      <w:lvlText w:val="%7."/>
      <w:lvlJc w:val="left"/>
      <w:pPr>
        <w:ind w:left="4725" w:hanging="360"/>
      </w:pPr>
    </w:lvl>
    <w:lvl w:ilvl="7" w:tplc="08160019" w:tentative="1">
      <w:start w:val="1"/>
      <w:numFmt w:val="lowerLetter"/>
      <w:lvlText w:val="%8."/>
      <w:lvlJc w:val="left"/>
      <w:pPr>
        <w:ind w:left="5445" w:hanging="360"/>
      </w:pPr>
    </w:lvl>
    <w:lvl w:ilvl="8" w:tplc="0816001B" w:tentative="1">
      <w:start w:val="1"/>
      <w:numFmt w:val="lowerRoman"/>
      <w:lvlText w:val="%9."/>
      <w:lvlJc w:val="right"/>
      <w:pPr>
        <w:ind w:left="6165" w:hanging="180"/>
      </w:pPr>
    </w:lvl>
  </w:abstractNum>
  <w:abstractNum w:abstractNumId="12" w15:restartNumberingAfterBreak="0">
    <w:nsid w:val="588246A6"/>
    <w:multiLevelType w:val="hybridMultilevel"/>
    <w:tmpl w:val="3140D5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A9D722A"/>
    <w:multiLevelType w:val="hybridMultilevel"/>
    <w:tmpl w:val="ED964D58"/>
    <w:lvl w:ilvl="0" w:tplc="9A0A2298">
      <w:start w:val="1"/>
      <w:numFmt w:val="upperRoman"/>
      <w:lvlText w:val="%1"/>
      <w:lvlJc w:val="left"/>
      <w:pPr>
        <w:ind w:left="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A6D26B66">
      <w:start w:val="1"/>
      <w:numFmt w:val="lowerLetter"/>
      <w:lvlText w:val="%2"/>
      <w:lvlJc w:val="left"/>
      <w:pPr>
        <w:ind w:left="3865"/>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B566A850">
      <w:start w:val="1"/>
      <w:numFmt w:val="lowerRoman"/>
      <w:lvlText w:val="%3"/>
      <w:lvlJc w:val="left"/>
      <w:pPr>
        <w:ind w:left="4585"/>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B4604CE0">
      <w:start w:val="1"/>
      <w:numFmt w:val="decimal"/>
      <w:lvlText w:val="%4"/>
      <w:lvlJc w:val="left"/>
      <w:pPr>
        <w:ind w:left="5305"/>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C338EAA4">
      <w:start w:val="1"/>
      <w:numFmt w:val="lowerLetter"/>
      <w:lvlText w:val="%5"/>
      <w:lvlJc w:val="left"/>
      <w:pPr>
        <w:ind w:left="6025"/>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56D4720E">
      <w:start w:val="1"/>
      <w:numFmt w:val="lowerRoman"/>
      <w:lvlText w:val="%6"/>
      <w:lvlJc w:val="left"/>
      <w:pPr>
        <w:ind w:left="6745"/>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230840D6">
      <w:start w:val="1"/>
      <w:numFmt w:val="decimal"/>
      <w:lvlText w:val="%7"/>
      <w:lvlJc w:val="left"/>
      <w:pPr>
        <w:ind w:left="7465"/>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D1DA333A">
      <w:start w:val="1"/>
      <w:numFmt w:val="lowerLetter"/>
      <w:lvlText w:val="%8"/>
      <w:lvlJc w:val="left"/>
      <w:pPr>
        <w:ind w:left="8185"/>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9D403020">
      <w:start w:val="1"/>
      <w:numFmt w:val="lowerRoman"/>
      <w:lvlText w:val="%9"/>
      <w:lvlJc w:val="left"/>
      <w:pPr>
        <w:ind w:left="8905"/>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14" w15:restartNumberingAfterBreak="0">
    <w:nsid w:val="5CE211AC"/>
    <w:multiLevelType w:val="multilevel"/>
    <w:tmpl w:val="4D8A0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CF01F21"/>
    <w:multiLevelType w:val="hybridMultilevel"/>
    <w:tmpl w:val="B90EF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7D2D4A"/>
    <w:multiLevelType w:val="hybridMultilevel"/>
    <w:tmpl w:val="0E46D18C"/>
    <w:lvl w:ilvl="0" w:tplc="04090013">
      <w:start w:val="1"/>
      <w:numFmt w:val="upp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F7C7191"/>
    <w:multiLevelType w:val="multilevel"/>
    <w:tmpl w:val="36909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FD77E53"/>
    <w:multiLevelType w:val="hybridMultilevel"/>
    <w:tmpl w:val="1D5CBD3A"/>
    <w:lvl w:ilvl="0" w:tplc="09FEA300">
      <w:start w:val="1"/>
      <w:numFmt w:val="upperRoman"/>
      <w:lvlText w:val="%1"/>
      <w:lvlJc w:val="left"/>
      <w:pPr>
        <w:ind w:left="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CDDC2F4C">
      <w:start w:val="1"/>
      <w:numFmt w:val="lowerLetter"/>
      <w:lvlText w:val="%2"/>
      <w:lvlJc w:val="left"/>
      <w:pPr>
        <w:ind w:left="3865"/>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D0C8462A">
      <w:start w:val="1"/>
      <w:numFmt w:val="lowerRoman"/>
      <w:lvlText w:val="%3"/>
      <w:lvlJc w:val="left"/>
      <w:pPr>
        <w:ind w:left="4585"/>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2A8A52C8">
      <w:start w:val="1"/>
      <w:numFmt w:val="decimal"/>
      <w:lvlText w:val="%4"/>
      <w:lvlJc w:val="left"/>
      <w:pPr>
        <w:ind w:left="5305"/>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4AEE19F2">
      <w:start w:val="1"/>
      <w:numFmt w:val="lowerLetter"/>
      <w:lvlText w:val="%5"/>
      <w:lvlJc w:val="left"/>
      <w:pPr>
        <w:ind w:left="6025"/>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A274A57A">
      <w:start w:val="1"/>
      <w:numFmt w:val="lowerRoman"/>
      <w:lvlText w:val="%6"/>
      <w:lvlJc w:val="left"/>
      <w:pPr>
        <w:ind w:left="6745"/>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E702D508">
      <w:start w:val="1"/>
      <w:numFmt w:val="decimal"/>
      <w:lvlText w:val="%7"/>
      <w:lvlJc w:val="left"/>
      <w:pPr>
        <w:ind w:left="7465"/>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45344734">
      <w:start w:val="1"/>
      <w:numFmt w:val="lowerLetter"/>
      <w:lvlText w:val="%8"/>
      <w:lvlJc w:val="left"/>
      <w:pPr>
        <w:ind w:left="8185"/>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148A5666">
      <w:start w:val="1"/>
      <w:numFmt w:val="lowerRoman"/>
      <w:lvlText w:val="%9"/>
      <w:lvlJc w:val="left"/>
      <w:pPr>
        <w:ind w:left="8905"/>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19" w15:restartNumberingAfterBreak="0">
    <w:nsid w:val="602D5726"/>
    <w:multiLevelType w:val="hybridMultilevel"/>
    <w:tmpl w:val="1954019A"/>
    <w:lvl w:ilvl="0" w:tplc="AC34B3AA">
      <w:start w:val="1"/>
      <w:numFmt w:val="decimal"/>
      <w:lvlText w:val="%1."/>
      <w:lvlJc w:val="left"/>
      <w:pPr>
        <w:ind w:left="720" w:hanging="360"/>
      </w:pPr>
      <w:rPr>
        <w:rFonts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643BD6"/>
    <w:multiLevelType w:val="multilevel"/>
    <w:tmpl w:val="8BF0E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4EE46A3"/>
    <w:multiLevelType w:val="hybridMultilevel"/>
    <w:tmpl w:val="B834303A"/>
    <w:lvl w:ilvl="0" w:tplc="5652EF34">
      <w:start w:val="1"/>
      <w:numFmt w:val="decimal"/>
      <w:lvlText w:val="%1."/>
      <w:lvlJc w:val="left"/>
      <w:pPr>
        <w:ind w:left="1070" w:hanging="360"/>
      </w:pPr>
      <w:rPr>
        <w:b w:val="0"/>
        <w:i w:val="0"/>
        <w:sz w:val="22"/>
      </w:rPr>
    </w:lvl>
    <w:lvl w:ilvl="1" w:tplc="4BFC5A3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EB368C"/>
    <w:multiLevelType w:val="hybridMultilevel"/>
    <w:tmpl w:val="CA6E91C6"/>
    <w:lvl w:ilvl="0" w:tplc="7940F1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EC41B5"/>
    <w:multiLevelType w:val="multilevel"/>
    <w:tmpl w:val="DB362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AF50F90"/>
    <w:multiLevelType w:val="hybridMultilevel"/>
    <w:tmpl w:val="541AE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5E26CE"/>
    <w:multiLevelType w:val="hybridMultilevel"/>
    <w:tmpl w:val="D3EA78C0"/>
    <w:lvl w:ilvl="0" w:tplc="C3669D66">
      <w:start w:val="1"/>
      <w:numFmt w:val="upperLetter"/>
      <w:lvlText w:val="%1)"/>
      <w:lvlJc w:val="left"/>
      <w:pPr>
        <w:ind w:left="405" w:hanging="360"/>
      </w:pPr>
      <w:rPr>
        <w:rFonts w:hint="default"/>
      </w:rPr>
    </w:lvl>
    <w:lvl w:ilvl="1" w:tplc="08160019" w:tentative="1">
      <w:start w:val="1"/>
      <w:numFmt w:val="lowerLetter"/>
      <w:lvlText w:val="%2."/>
      <w:lvlJc w:val="left"/>
      <w:pPr>
        <w:ind w:left="1125" w:hanging="360"/>
      </w:pPr>
    </w:lvl>
    <w:lvl w:ilvl="2" w:tplc="0816001B" w:tentative="1">
      <w:start w:val="1"/>
      <w:numFmt w:val="lowerRoman"/>
      <w:lvlText w:val="%3."/>
      <w:lvlJc w:val="right"/>
      <w:pPr>
        <w:ind w:left="1845" w:hanging="180"/>
      </w:pPr>
    </w:lvl>
    <w:lvl w:ilvl="3" w:tplc="0816000F" w:tentative="1">
      <w:start w:val="1"/>
      <w:numFmt w:val="decimal"/>
      <w:lvlText w:val="%4."/>
      <w:lvlJc w:val="left"/>
      <w:pPr>
        <w:ind w:left="2565" w:hanging="360"/>
      </w:pPr>
    </w:lvl>
    <w:lvl w:ilvl="4" w:tplc="08160019" w:tentative="1">
      <w:start w:val="1"/>
      <w:numFmt w:val="lowerLetter"/>
      <w:lvlText w:val="%5."/>
      <w:lvlJc w:val="left"/>
      <w:pPr>
        <w:ind w:left="3285" w:hanging="360"/>
      </w:pPr>
    </w:lvl>
    <w:lvl w:ilvl="5" w:tplc="0816001B" w:tentative="1">
      <w:start w:val="1"/>
      <w:numFmt w:val="lowerRoman"/>
      <w:lvlText w:val="%6."/>
      <w:lvlJc w:val="right"/>
      <w:pPr>
        <w:ind w:left="4005" w:hanging="180"/>
      </w:pPr>
    </w:lvl>
    <w:lvl w:ilvl="6" w:tplc="0816000F" w:tentative="1">
      <w:start w:val="1"/>
      <w:numFmt w:val="decimal"/>
      <w:lvlText w:val="%7."/>
      <w:lvlJc w:val="left"/>
      <w:pPr>
        <w:ind w:left="4725" w:hanging="360"/>
      </w:pPr>
    </w:lvl>
    <w:lvl w:ilvl="7" w:tplc="08160019" w:tentative="1">
      <w:start w:val="1"/>
      <w:numFmt w:val="lowerLetter"/>
      <w:lvlText w:val="%8."/>
      <w:lvlJc w:val="left"/>
      <w:pPr>
        <w:ind w:left="5445" w:hanging="360"/>
      </w:pPr>
    </w:lvl>
    <w:lvl w:ilvl="8" w:tplc="0816001B" w:tentative="1">
      <w:start w:val="1"/>
      <w:numFmt w:val="lowerRoman"/>
      <w:lvlText w:val="%9."/>
      <w:lvlJc w:val="right"/>
      <w:pPr>
        <w:ind w:left="6165" w:hanging="180"/>
      </w:pPr>
    </w:lvl>
  </w:abstractNum>
  <w:abstractNum w:abstractNumId="26" w15:restartNumberingAfterBreak="0">
    <w:nsid w:val="72EC28A2"/>
    <w:multiLevelType w:val="multilevel"/>
    <w:tmpl w:val="2FBCB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66F3FB7"/>
    <w:multiLevelType w:val="hybridMultilevel"/>
    <w:tmpl w:val="40508A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9C0A8E"/>
    <w:multiLevelType w:val="hybridMultilevel"/>
    <w:tmpl w:val="1E2E374A"/>
    <w:lvl w:ilvl="0" w:tplc="2C203A74">
      <w:start w:val="1"/>
      <w:numFmt w:val="low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8"/>
  </w:num>
  <w:num w:numId="3">
    <w:abstractNumId w:val="6"/>
  </w:num>
  <w:num w:numId="4">
    <w:abstractNumId w:val="7"/>
  </w:num>
  <w:num w:numId="5">
    <w:abstractNumId w:val="16"/>
  </w:num>
  <w:num w:numId="6">
    <w:abstractNumId w:val="22"/>
  </w:num>
  <w:num w:numId="7">
    <w:abstractNumId w:val="27"/>
  </w:num>
  <w:num w:numId="8">
    <w:abstractNumId w:val="12"/>
  </w:num>
  <w:num w:numId="9">
    <w:abstractNumId w:val="2"/>
  </w:num>
  <w:num w:numId="10">
    <w:abstractNumId w:val="15"/>
  </w:num>
  <w:num w:numId="11">
    <w:abstractNumId w:val="8"/>
  </w:num>
  <w:num w:numId="12">
    <w:abstractNumId w:val="9"/>
  </w:num>
  <w:num w:numId="13">
    <w:abstractNumId w:val="10"/>
  </w:num>
  <w:num w:numId="14">
    <w:abstractNumId w:val="0"/>
  </w:num>
  <w:num w:numId="15">
    <w:abstractNumId w:val="25"/>
  </w:num>
  <w:num w:numId="16">
    <w:abstractNumId w:val="11"/>
  </w:num>
  <w:num w:numId="17">
    <w:abstractNumId w:val="23"/>
  </w:num>
  <w:num w:numId="18">
    <w:abstractNumId w:val="14"/>
  </w:num>
  <w:num w:numId="19">
    <w:abstractNumId w:val="26"/>
  </w:num>
  <w:num w:numId="20">
    <w:abstractNumId w:val="17"/>
  </w:num>
  <w:num w:numId="21">
    <w:abstractNumId w:val="20"/>
  </w:num>
  <w:num w:numId="22">
    <w:abstractNumId w:val="24"/>
  </w:num>
  <w:num w:numId="23">
    <w:abstractNumId w:val="19"/>
  </w:num>
  <w:num w:numId="24">
    <w:abstractNumId w:val="4"/>
  </w:num>
  <w:num w:numId="25">
    <w:abstractNumId w:val="5"/>
  </w:num>
  <w:num w:numId="26">
    <w:abstractNumId w:val="3"/>
  </w:num>
  <w:num w:numId="27">
    <w:abstractNumId w:val="4"/>
    <w:lvlOverride w:ilvl="0">
      <w:startOverride w:val="1"/>
    </w:lvlOverride>
  </w:num>
  <w:num w:numId="28">
    <w:abstractNumId w:val="13"/>
  </w:num>
  <w:num w:numId="29">
    <w:abstractNumId w:val="18"/>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defaultTabStop w:val="720"/>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F0E"/>
    <w:rsid w:val="00000EC4"/>
    <w:rsid w:val="00001439"/>
    <w:rsid w:val="00001658"/>
    <w:rsid w:val="00001B38"/>
    <w:rsid w:val="0000301F"/>
    <w:rsid w:val="00006E00"/>
    <w:rsid w:val="00007B82"/>
    <w:rsid w:val="00007D36"/>
    <w:rsid w:val="00010A23"/>
    <w:rsid w:val="00011998"/>
    <w:rsid w:val="00014557"/>
    <w:rsid w:val="000156E8"/>
    <w:rsid w:val="000165CC"/>
    <w:rsid w:val="0001680B"/>
    <w:rsid w:val="0001683E"/>
    <w:rsid w:val="00016B44"/>
    <w:rsid w:val="000202C7"/>
    <w:rsid w:val="00020E95"/>
    <w:rsid w:val="00022461"/>
    <w:rsid w:val="000228F0"/>
    <w:rsid w:val="00022A15"/>
    <w:rsid w:val="00023073"/>
    <w:rsid w:val="00023CA5"/>
    <w:rsid w:val="00024A06"/>
    <w:rsid w:val="000272DB"/>
    <w:rsid w:val="00030C9E"/>
    <w:rsid w:val="00032D3D"/>
    <w:rsid w:val="000343DF"/>
    <w:rsid w:val="00035DB4"/>
    <w:rsid w:val="00043257"/>
    <w:rsid w:val="00043D73"/>
    <w:rsid w:val="00045526"/>
    <w:rsid w:val="0004564B"/>
    <w:rsid w:val="00046027"/>
    <w:rsid w:val="00051781"/>
    <w:rsid w:val="00052F52"/>
    <w:rsid w:val="0005361C"/>
    <w:rsid w:val="00053681"/>
    <w:rsid w:val="000536E8"/>
    <w:rsid w:val="000555C1"/>
    <w:rsid w:val="00055AB1"/>
    <w:rsid w:val="00055B4B"/>
    <w:rsid w:val="00055DCD"/>
    <w:rsid w:val="000561E6"/>
    <w:rsid w:val="00056693"/>
    <w:rsid w:val="00056AFA"/>
    <w:rsid w:val="00056F63"/>
    <w:rsid w:val="00057945"/>
    <w:rsid w:val="0005795A"/>
    <w:rsid w:val="00057DE2"/>
    <w:rsid w:val="00060DDA"/>
    <w:rsid w:val="00061F7D"/>
    <w:rsid w:val="000631ED"/>
    <w:rsid w:val="00064391"/>
    <w:rsid w:val="00064894"/>
    <w:rsid w:val="000667F9"/>
    <w:rsid w:val="00066FFE"/>
    <w:rsid w:val="00067520"/>
    <w:rsid w:val="000675B4"/>
    <w:rsid w:val="000717E0"/>
    <w:rsid w:val="00072157"/>
    <w:rsid w:val="00072457"/>
    <w:rsid w:val="000726EC"/>
    <w:rsid w:val="00072CCB"/>
    <w:rsid w:val="00074EE9"/>
    <w:rsid w:val="0007603C"/>
    <w:rsid w:val="00076BA8"/>
    <w:rsid w:val="00076D61"/>
    <w:rsid w:val="0007757A"/>
    <w:rsid w:val="000775B6"/>
    <w:rsid w:val="000779F5"/>
    <w:rsid w:val="000807F9"/>
    <w:rsid w:val="000817DB"/>
    <w:rsid w:val="00082420"/>
    <w:rsid w:val="000837FE"/>
    <w:rsid w:val="00084746"/>
    <w:rsid w:val="00085DDE"/>
    <w:rsid w:val="000908B4"/>
    <w:rsid w:val="00091CF2"/>
    <w:rsid w:val="00091E48"/>
    <w:rsid w:val="00092644"/>
    <w:rsid w:val="000939E9"/>
    <w:rsid w:val="000945ED"/>
    <w:rsid w:val="000956F1"/>
    <w:rsid w:val="00095C6D"/>
    <w:rsid w:val="00095C73"/>
    <w:rsid w:val="00095D2E"/>
    <w:rsid w:val="00097AFE"/>
    <w:rsid w:val="00097D19"/>
    <w:rsid w:val="000A0213"/>
    <w:rsid w:val="000A0697"/>
    <w:rsid w:val="000A3206"/>
    <w:rsid w:val="000A3363"/>
    <w:rsid w:val="000A46B7"/>
    <w:rsid w:val="000A4CC8"/>
    <w:rsid w:val="000A4FFA"/>
    <w:rsid w:val="000A6F0C"/>
    <w:rsid w:val="000B0554"/>
    <w:rsid w:val="000B0D7C"/>
    <w:rsid w:val="000B1AB8"/>
    <w:rsid w:val="000B4E14"/>
    <w:rsid w:val="000B621D"/>
    <w:rsid w:val="000B6572"/>
    <w:rsid w:val="000B65EF"/>
    <w:rsid w:val="000B6775"/>
    <w:rsid w:val="000B6F1F"/>
    <w:rsid w:val="000C0136"/>
    <w:rsid w:val="000C09D1"/>
    <w:rsid w:val="000C13E7"/>
    <w:rsid w:val="000C234A"/>
    <w:rsid w:val="000C25B7"/>
    <w:rsid w:val="000C27DC"/>
    <w:rsid w:val="000C2D71"/>
    <w:rsid w:val="000C39B5"/>
    <w:rsid w:val="000C3E78"/>
    <w:rsid w:val="000C3EA7"/>
    <w:rsid w:val="000C3ECF"/>
    <w:rsid w:val="000C50C3"/>
    <w:rsid w:val="000C745F"/>
    <w:rsid w:val="000D0D8F"/>
    <w:rsid w:val="000D21F4"/>
    <w:rsid w:val="000D2822"/>
    <w:rsid w:val="000D321C"/>
    <w:rsid w:val="000D3AC1"/>
    <w:rsid w:val="000D48FE"/>
    <w:rsid w:val="000D5052"/>
    <w:rsid w:val="000D6145"/>
    <w:rsid w:val="000D6425"/>
    <w:rsid w:val="000D765D"/>
    <w:rsid w:val="000E10E9"/>
    <w:rsid w:val="000E2F5B"/>
    <w:rsid w:val="000E4167"/>
    <w:rsid w:val="000E536D"/>
    <w:rsid w:val="000E571D"/>
    <w:rsid w:val="000E6BFC"/>
    <w:rsid w:val="000E75A8"/>
    <w:rsid w:val="000E7932"/>
    <w:rsid w:val="000F104D"/>
    <w:rsid w:val="000F1D0C"/>
    <w:rsid w:val="000F35D1"/>
    <w:rsid w:val="000F4FCC"/>
    <w:rsid w:val="000F5056"/>
    <w:rsid w:val="000F5164"/>
    <w:rsid w:val="000F5257"/>
    <w:rsid w:val="000F6487"/>
    <w:rsid w:val="0010018C"/>
    <w:rsid w:val="00100A84"/>
    <w:rsid w:val="0010120A"/>
    <w:rsid w:val="00101AA1"/>
    <w:rsid w:val="00101C80"/>
    <w:rsid w:val="00101FFE"/>
    <w:rsid w:val="001020F1"/>
    <w:rsid w:val="00102140"/>
    <w:rsid w:val="001021D9"/>
    <w:rsid w:val="00102E35"/>
    <w:rsid w:val="00105BE1"/>
    <w:rsid w:val="00105FB1"/>
    <w:rsid w:val="00107422"/>
    <w:rsid w:val="00110B03"/>
    <w:rsid w:val="00112FA5"/>
    <w:rsid w:val="0011432F"/>
    <w:rsid w:val="0011476A"/>
    <w:rsid w:val="00115725"/>
    <w:rsid w:val="00115726"/>
    <w:rsid w:val="00115926"/>
    <w:rsid w:val="0011746B"/>
    <w:rsid w:val="00117B63"/>
    <w:rsid w:val="00121F26"/>
    <w:rsid w:val="001220CA"/>
    <w:rsid w:val="0012357D"/>
    <w:rsid w:val="001248A8"/>
    <w:rsid w:val="00124DCF"/>
    <w:rsid w:val="00124F7B"/>
    <w:rsid w:val="00126BE7"/>
    <w:rsid w:val="001271B3"/>
    <w:rsid w:val="00131B85"/>
    <w:rsid w:val="00132658"/>
    <w:rsid w:val="00133208"/>
    <w:rsid w:val="001348ED"/>
    <w:rsid w:val="00134C7F"/>
    <w:rsid w:val="001352EE"/>
    <w:rsid w:val="00135871"/>
    <w:rsid w:val="00135A47"/>
    <w:rsid w:val="001363CC"/>
    <w:rsid w:val="0013726D"/>
    <w:rsid w:val="0013766C"/>
    <w:rsid w:val="001376F9"/>
    <w:rsid w:val="0014002F"/>
    <w:rsid w:val="00141323"/>
    <w:rsid w:val="00141A73"/>
    <w:rsid w:val="00142462"/>
    <w:rsid w:val="001432DB"/>
    <w:rsid w:val="001440C5"/>
    <w:rsid w:val="001461C8"/>
    <w:rsid w:val="001468DB"/>
    <w:rsid w:val="001468F0"/>
    <w:rsid w:val="00150E96"/>
    <w:rsid w:val="00151051"/>
    <w:rsid w:val="0015143C"/>
    <w:rsid w:val="001515C6"/>
    <w:rsid w:val="00152EEB"/>
    <w:rsid w:val="00153E98"/>
    <w:rsid w:val="00154B54"/>
    <w:rsid w:val="001567A8"/>
    <w:rsid w:val="0015699D"/>
    <w:rsid w:val="00156FA8"/>
    <w:rsid w:val="001570E0"/>
    <w:rsid w:val="00157251"/>
    <w:rsid w:val="00160C00"/>
    <w:rsid w:val="00160E90"/>
    <w:rsid w:val="00160F7C"/>
    <w:rsid w:val="001613A5"/>
    <w:rsid w:val="001616A7"/>
    <w:rsid w:val="001622AA"/>
    <w:rsid w:val="0016338E"/>
    <w:rsid w:val="0016400B"/>
    <w:rsid w:val="001648B8"/>
    <w:rsid w:val="00164AC5"/>
    <w:rsid w:val="00164D0C"/>
    <w:rsid w:val="00164D58"/>
    <w:rsid w:val="00165950"/>
    <w:rsid w:val="001660BD"/>
    <w:rsid w:val="00167453"/>
    <w:rsid w:val="00173A75"/>
    <w:rsid w:val="00173AD1"/>
    <w:rsid w:val="00176DBE"/>
    <w:rsid w:val="00180EC8"/>
    <w:rsid w:val="0018133E"/>
    <w:rsid w:val="001823DE"/>
    <w:rsid w:val="001834C1"/>
    <w:rsid w:val="00183C48"/>
    <w:rsid w:val="0018432F"/>
    <w:rsid w:val="001847AE"/>
    <w:rsid w:val="001867BB"/>
    <w:rsid w:val="00186ACC"/>
    <w:rsid w:val="001915B0"/>
    <w:rsid w:val="00192235"/>
    <w:rsid w:val="00192AA9"/>
    <w:rsid w:val="00194416"/>
    <w:rsid w:val="00195EFE"/>
    <w:rsid w:val="001A0DB1"/>
    <w:rsid w:val="001A3273"/>
    <w:rsid w:val="001A3687"/>
    <w:rsid w:val="001A46B3"/>
    <w:rsid w:val="001A4890"/>
    <w:rsid w:val="001A555B"/>
    <w:rsid w:val="001A70EC"/>
    <w:rsid w:val="001A7C45"/>
    <w:rsid w:val="001B126B"/>
    <w:rsid w:val="001B2758"/>
    <w:rsid w:val="001B2F27"/>
    <w:rsid w:val="001B5939"/>
    <w:rsid w:val="001B6417"/>
    <w:rsid w:val="001B6418"/>
    <w:rsid w:val="001B67B7"/>
    <w:rsid w:val="001B73E1"/>
    <w:rsid w:val="001B75F0"/>
    <w:rsid w:val="001B7DB3"/>
    <w:rsid w:val="001C2106"/>
    <w:rsid w:val="001C2310"/>
    <w:rsid w:val="001C2AC3"/>
    <w:rsid w:val="001C2D09"/>
    <w:rsid w:val="001C383A"/>
    <w:rsid w:val="001C46BD"/>
    <w:rsid w:val="001C5F5E"/>
    <w:rsid w:val="001D0D41"/>
    <w:rsid w:val="001D0D92"/>
    <w:rsid w:val="001D2604"/>
    <w:rsid w:val="001D31F0"/>
    <w:rsid w:val="001D37C1"/>
    <w:rsid w:val="001D3D2F"/>
    <w:rsid w:val="001D47C7"/>
    <w:rsid w:val="001D626F"/>
    <w:rsid w:val="001D6812"/>
    <w:rsid w:val="001D7058"/>
    <w:rsid w:val="001D743B"/>
    <w:rsid w:val="001E179E"/>
    <w:rsid w:val="001E1F90"/>
    <w:rsid w:val="001E2C92"/>
    <w:rsid w:val="001E2D89"/>
    <w:rsid w:val="001E3E4B"/>
    <w:rsid w:val="001E45FF"/>
    <w:rsid w:val="001E4624"/>
    <w:rsid w:val="001E4F99"/>
    <w:rsid w:val="001E553B"/>
    <w:rsid w:val="001E6011"/>
    <w:rsid w:val="001F0262"/>
    <w:rsid w:val="001F5F17"/>
    <w:rsid w:val="001F7C7F"/>
    <w:rsid w:val="002014D1"/>
    <w:rsid w:val="0020459A"/>
    <w:rsid w:val="00204BD6"/>
    <w:rsid w:val="00204FF2"/>
    <w:rsid w:val="00205803"/>
    <w:rsid w:val="00206482"/>
    <w:rsid w:val="00206B86"/>
    <w:rsid w:val="00207786"/>
    <w:rsid w:val="00210DA3"/>
    <w:rsid w:val="00211E4B"/>
    <w:rsid w:val="0021333A"/>
    <w:rsid w:val="0021352B"/>
    <w:rsid w:val="00214307"/>
    <w:rsid w:val="00221235"/>
    <w:rsid w:val="00222F83"/>
    <w:rsid w:val="002232E3"/>
    <w:rsid w:val="00225025"/>
    <w:rsid w:val="0022661B"/>
    <w:rsid w:val="0022699F"/>
    <w:rsid w:val="00232754"/>
    <w:rsid w:val="00232822"/>
    <w:rsid w:val="00234361"/>
    <w:rsid w:val="00235133"/>
    <w:rsid w:val="00240283"/>
    <w:rsid w:val="0024103E"/>
    <w:rsid w:val="00241B9A"/>
    <w:rsid w:val="00242903"/>
    <w:rsid w:val="00243131"/>
    <w:rsid w:val="0024555C"/>
    <w:rsid w:val="00246A9F"/>
    <w:rsid w:val="00246E65"/>
    <w:rsid w:val="002476C8"/>
    <w:rsid w:val="00247801"/>
    <w:rsid w:val="00250ABB"/>
    <w:rsid w:val="002513A0"/>
    <w:rsid w:val="002519EA"/>
    <w:rsid w:val="00251D31"/>
    <w:rsid w:val="00252873"/>
    <w:rsid w:val="002537ED"/>
    <w:rsid w:val="00253DAE"/>
    <w:rsid w:val="002547BB"/>
    <w:rsid w:val="00254D8F"/>
    <w:rsid w:val="002569BB"/>
    <w:rsid w:val="00256E20"/>
    <w:rsid w:val="0025795D"/>
    <w:rsid w:val="002607D6"/>
    <w:rsid w:val="00260D95"/>
    <w:rsid w:val="00263FFC"/>
    <w:rsid w:val="002641E9"/>
    <w:rsid w:val="0026524A"/>
    <w:rsid w:val="00265820"/>
    <w:rsid w:val="002714B3"/>
    <w:rsid w:val="00272574"/>
    <w:rsid w:val="00273B2C"/>
    <w:rsid w:val="00274354"/>
    <w:rsid w:val="002753E6"/>
    <w:rsid w:val="00276134"/>
    <w:rsid w:val="0028111A"/>
    <w:rsid w:val="00281999"/>
    <w:rsid w:val="002819BC"/>
    <w:rsid w:val="00282210"/>
    <w:rsid w:val="0028231C"/>
    <w:rsid w:val="00284346"/>
    <w:rsid w:val="00285082"/>
    <w:rsid w:val="002855CD"/>
    <w:rsid w:val="002857F7"/>
    <w:rsid w:val="00285BC8"/>
    <w:rsid w:val="00286B9C"/>
    <w:rsid w:val="00286D98"/>
    <w:rsid w:val="00287596"/>
    <w:rsid w:val="00291493"/>
    <w:rsid w:val="002918CE"/>
    <w:rsid w:val="00292825"/>
    <w:rsid w:val="0029320E"/>
    <w:rsid w:val="00294272"/>
    <w:rsid w:val="002967A2"/>
    <w:rsid w:val="002A0695"/>
    <w:rsid w:val="002A094F"/>
    <w:rsid w:val="002A202B"/>
    <w:rsid w:val="002A263B"/>
    <w:rsid w:val="002A31BF"/>
    <w:rsid w:val="002A3270"/>
    <w:rsid w:val="002A35E4"/>
    <w:rsid w:val="002A4F79"/>
    <w:rsid w:val="002A5D23"/>
    <w:rsid w:val="002A6865"/>
    <w:rsid w:val="002A6C7A"/>
    <w:rsid w:val="002B1FF4"/>
    <w:rsid w:val="002B2B66"/>
    <w:rsid w:val="002B2CC4"/>
    <w:rsid w:val="002B42DF"/>
    <w:rsid w:val="002B52FF"/>
    <w:rsid w:val="002B649F"/>
    <w:rsid w:val="002B7184"/>
    <w:rsid w:val="002B73E1"/>
    <w:rsid w:val="002B791B"/>
    <w:rsid w:val="002B7AF9"/>
    <w:rsid w:val="002C0617"/>
    <w:rsid w:val="002C0C1F"/>
    <w:rsid w:val="002C13CA"/>
    <w:rsid w:val="002C2B38"/>
    <w:rsid w:val="002C2FB9"/>
    <w:rsid w:val="002C4B46"/>
    <w:rsid w:val="002C52D6"/>
    <w:rsid w:val="002C6D8B"/>
    <w:rsid w:val="002C7B63"/>
    <w:rsid w:val="002D1C0A"/>
    <w:rsid w:val="002D54AD"/>
    <w:rsid w:val="002D582B"/>
    <w:rsid w:val="002D71D1"/>
    <w:rsid w:val="002E246D"/>
    <w:rsid w:val="002E252C"/>
    <w:rsid w:val="002E2631"/>
    <w:rsid w:val="002E3146"/>
    <w:rsid w:val="002E3E59"/>
    <w:rsid w:val="002E4D91"/>
    <w:rsid w:val="002E4E4F"/>
    <w:rsid w:val="002E56CE"/>
    <w:rsid w:val="002E59A1"/>
    <w:rsid w:val="002E60C7"/>
    <w:rsid w:val="002E69B8"/>
    <w:rsid w:val="002E6BA0"/>
    <w:rsid w:val="002E6C14"/>
    <w:rsid w:val="002E70AC"/>
    <w:rsid w:val="002E7804"/>
    <w:rsid w:val="002F10F4"/>
    <w:rsid w:val="002F131A"/>
    <w:rsid w:val="002F1986"/>
    <w:rsid w:val="002F2DC1"/>
    <w:rsid w:val="002F2EFA"/>
    <w:rsid w:val="002F3F78"/>
    <w:rsid w:val="002F5DC4"/>
    <w:rsid w:val="0030080D"/>
    <w:rsid w:val="00300EB3"/>
    <w:rsid w:val="003014E0"/>
    <w:rsid w:val="00301DDC"/>
    <w:rsid w:val="0030271D"/>
    <w:rsid w:val="00303EF4"/>
    <w:rsid w:val="0030619C"/>
    <w:rsid w:val="0031021A"/>
    <w:rsid w:val="00310B83"/>
    <w:rsid w:val="00310C96"/>
    <w:rsid w:val="003112BD"/>
    <w:rsid w:val="0031199F"/>
    <w:rsid w:val="0031233B"/>
    <w:rsid w:val="00316561"/>
    <w:rsid w:val="003169FD"/>
    <w:rsid w:val="00317885"/>
    <w:rsid w:val="0032046E"/>
    <w:rsid w:val="00322637"/>
    <w:rsid w:val="0032509C"/>
    <w:rsid w:val="00325E13"/>
    <w:rsid w:val="003262DF"/>
    <w:rsid w:val="00326396"/>
    <w:rsid w:val="003269F2"/>
    <w:rsid w:val="00327C86"/>
    <w:rsid w:val="00330A3D"/>
    <w:rsid w:val="00331758"/>
    <w:rsid w:val="003322F5"/>
    <w:rsid w:val="00333B06"/>
    <w:rsid w:val="003341BE"/>
    <w:rsid w:val="0033465D"/>
    <w:rsid w:val="00335288"/>
    <w:rsid w:val="00337367"/>
    <w:rsid w:val="00337904"/>
    <w:rsid w:val="00341B7F"/>
    <w:rsid w:val="00341DE7"/>
    <w:rsid w:val="00341FFC"/>
    <w:rsid w:val="00343591"/>
    <w:rsid w:val="0034385C"/>
    <w:rsid w:val="00345933"/>
    <w:rsid w:val="00345956"/>
    <w:rsid w:val="00345DC8"/>
    <w:rsid w:val="00346A8B"/>
    <w:rsid w:val="00346C1A"/>
    <w:rsid w:val="00346C74"/>
    <w:rsid w:val="00347FC4"/>
    <w:rsid w:val="00350D2F"/>
    <w:rsid w:val="00351BBC"/>
    <w:rsid w:val="003529E7"/>
    <w:rsid w:val="00352D86"/>
    <w:rsid w:val="00354CC6"/>
    <w:rsid w:val="00355A82"/>
    <w:rsid w:val="00355FE3"/>
    <w:rsid w:val="003560C8"/>
    <w:rsid w:val="0035720F"/>
    <w:rsid w:val="003576FC"/>
    <w:rsid w:val="0035792B"/>
    <w:rsid w:val="0036045C"/>
    <w:rsid w:val="00360BBF"/>
    <w:rsid w:val="00362FE8"/>
    <w:rsid w:val="003641E4"/>
    <w:rsid w:val="003642E7"/>
    <w:rsid w:val="00364A84"/>
    <w:rsid w:val="00366FFE"/>
    <w:rsid w:val="003671F7"/>
    <w:rsid w:val="00367D00"/>
    <w:rsid w:val="0037042C"/>
    <w:rsid w:val="00371144"/>
    <w:rsid w:val="003711A7"/>
    <w:rsid w:val="003713B2"/>
    <w:rsid w:val="003730F8"/>
    <w:rsid w:val="00373E26"/>
    <w:rsid w:val="0037476E"/>
    <w:rsid w:val="00374C8D"/>
    <w:rsid w:val="00374D04"/>
    <w:rsid w:val="00375CDF"/>
    <w:rsid w:val="003765FD"/>
    <w:rsid w:val="0037713F"/>
    <w:rsid w:val="003771AB"/>
    <w:rsid w:val="00380427"/>
    <w:rsid w:val="003806CD"/>
    <w:rsid w:val="0038293A"/>
    <w:rsid w:val="0038348D"/>
    <w:rsid w:val="003836DB"/>
    <w:rsid w:val="003838AF"/>
    <w:rsid w:val="003839E5"/>
    <w:rsid w:val="00383E0D"/>
    <w:rsid w:val="00383E10"/>
    <w:rsid w:val="00385B5F"/>
    <w:rsid w:val="0038624B"/>
    <w:rsid w:val="00387CED"/>
    <w:rsid w:val="00390433"/>
    <w:rsid w:val="0039082E"/>
    <w:rsid w:val="00391285"/>
    <w:rsid w:val="00391D07"/>
    <w:rsid w:val="00393009"/>
    <w:rsid w:val="003938FF"/>
    <w:rsid w:val="00393922"/>
    <w:rsid w:val="00394E61"/>
    <w:rsid w:val="00395AFF"/>
    <w:rsid w:val="0039765D"/>
    <w:rsid w:val="003A141A"/>
    <w:rsid w:val="003A40BA"/>
    <w:rsid w:val="003A586D"/>
    <w:rsid w:val="003A5EB4"/>
    <w:rsid w:val="003A6BE0"/>
    <w:rsid w:val="003A6FD4"/>
    <w:rsid w:val="003A7D61"/>
    <w:rsid w:val="003B043C"/>
    <w:rsid w:val="003B087E"/>
    <w:rsid w:val="003B3523"/>
    <w:rsid w:val="003B3D19"/>
    <w:rsid w:val="003B52BB"/>
    <w:rsid w:val="003B7244"/>
    <w:rsid w:val="003B7507"/>
    <w:rsid w:val="003B7CCF"/>
    <w:rsid w:val="003C0730"/>
    <w:rsid w:val="003C10AA"/>
    <w:rsid w:val="003C1A90"/>
    <w:rsid w:val="003C2CA8"/>
    <w:rsid w:val="003C301D"/>
    <w:rsid w:val="003C348B"/>
    <w:rsid w:val="003C3659"/>
    <w:rsid w:val="003C487E"/>
    <w:rsid w:val="003C7593"/>
    <w:rsid w:val="003C7FC4"/>
    <w:rsid w:val="003D0DAE"/>
    <w:rsid w:val="003D2C75"/>
    <w:rsid w:val="003D500D"/>
    <w:rsid w:val="003D5590"/>
    <w:rsid w:val="003D575B"/>
    <w:rsid w:val="003D5C46"/>
    <w:rsid w:val="003D600B"/>
    <w:rsid w:val="003D66FF"/>
    <w:rsid w:val="003D7007"/>
    <w:rsid w:val="003D75F3"/>
    <w:rsid w:val="003E074D"/>
    <w:rsid w:val="003E3785"/>
    <w:rsid w:val="003E3CE1"/>
    <w:rsid w:val="003E5FA1"/>
    <w:rsid w:val="003E7086"/>
    <w:rsid w:val="003E74E3"/>
    <w:rsid w:val="003F0379"/>
    <w:rsid w:val="003F03C3"/>
    <w:rsid w:val="003F1966"/>
    <w:rsid w:val="003F265C"/>
    <w:rsid w:val="003F67A7"/>
    <w:rsid w:val="003F7CFC"/>
    <w:rsid w:val="003F7E4E"/>
    <w:rsid w:val="003F7EA1"/>
    <w:rsid w:val="0040084C"/>
    <w:rsid w:val="00401B0E"/>
    <w:rsid w:val="00402BF2"/>
    <w:rsid w:val="004036CA"/>
    <w:rsid w:val="00403FCE"/>
    <w:rsid w:val="00404535"/>
    <w:rsid w:val="00405B88"/>
    <w:rsid w:val="00405BD8"/>
    <w:rsid w:val="004070D0"/>
    <w:rsid w:val="0041162A"/>
    <w:rsid w:val="004135A7"/>
    <w:rsid w:val="00413A14"/>
    <w:rsid w:val="00413D4D"/>
    <w:rsid w:val="00414D11"/>
    <w:rsid w:val="0041518D"/>
    <w:rsid w:val="004154D3"/>
    <w:rsid w:val="00415F8E"/>
    <w:rsid w:val="00421945"/>
    <w:rsid w:val="0042203E"/>
    <w:rsid w:val="004220F7"/>
    <w:rsid w:val="00422E0D"/>
    <w:rsid w:val="00423A8E"/>
    <w:rsid w:val="00425AF5"/>
    <w:rsid w:val="0042639E"/>
    <w:rsid w:val="00426C1D"/>
    <w:rsid w:val="00432770"/>
    <w:rsid w:val="00432D2B"/>
    <w:rsid w:val="00432F8B"/>
    <w:rsid w:val="00433465"/>
    <w:rsid w:val="004339C0"/>
    <w:rsid w:val="0043622C"/>
    <w:rsid w:val="00441238"/>
    <w:rsid w:val="0044157B"/>
    <w:rsid w:val="0044301C"/>
    <w:rsid w:val="0044356A"/>
    <w:rsid w:val="004451ED"/>
    <w:rsid w:val="0044535C"/>
    <w:rsid w:val="00446719"/>
    <w:rsid w:val="004506A1"/>
    <w:rsid w:val="004529D0"/>
    <w:rsid w:val="00454147"/>
    <w:rsid w:val="0045589B"/>
    <w:rsid w:val="00457140"/>
    <w:rsid w:val="00460F53"/>
    <w:rsid w:val="00461CBF"/>
    <w:rsid w:val="00462577"/>
    <w:rsid w:val="00463BBF"/>
    <w:rsid w:val="00463CFB"/>
    <w:rsid w:val="00465390"/>
    <w:rsid w:val="00466079"/>
    <w:rsid w:val="004671F6"/>
    <w:rsid w:val="004700CD"/>
    <w:rsid w:val="004723D9"/>
    <w:rsid w:val="004728D3"/>
    <w:rsid w:val="004753A2"/>
    <w:rsid w:val="004753FC"/>
    <w:rsid w:val="00477CA3"/>
    <w:rsid w:val="0048109E"/>
    <w:rsid w:val="0048185E"/>
    <w:rsid w:val="004829ED"/>
    <w:rsid w:val="00483C88"/>
    <w:rsid w:val="00483FC9"/>
    <w:rsid w:val="00484A90"/>
    <w:rsid w:val="00485A71"/>
    <w:rsid w:val="00485EDA"/>
    <w:rsid w:val="00485FEC"/>
    <w:rsid w:val="00486A9D"/>
    <w:rsid w:val="0048752E"/>
    <w:rsid w:val="0048768C"/>
    <w:rsid w:val="00490508"/>
    <w:rsid w:val="00491136"/>
    <w:rsid w:val="00495845"/>
    <w:rsid w:val="00495FB3"/>
    <w:rsid w:val="0049674C"/>
    <w:rsid w:val="0049708B"/>
    <w:rsid w:val="004A00D9"/>
    <w:rsid w:val="004A1029"/>
    <w:rsid w:val="004A1F2C"/>
    <w:rsid w:val="004A25F8"/>
    <w:rsid w:val="004A3820"/>
    <w:rsid w:val="004A4CBA"/>
    <w:rsid w:val="004A5945"/>
    <w:rsid w:val="004A641A"/>
    <w:rsid w:val="004A6659"/>
    <w:rsid w:val="004A76B5"/>
    <w:rsid w:val="004A7FF7"/>
    <w:rsid w:val="004B1CDE"/>
    <w:rsid w:val="004B35BF"/>
    <w:rsid w:val="004B3B28"/>
    <w:rsid w:val="004B4432"/>
    <w:rsid w:val="004B4877"/>
    <w:rsid w:val="004B539A"/>
    <w:rsid w:val="004B647D"/>
    <w:rsid w:val="004B7D03"/>
    <w:rsid w:val="004C0A06"/>
    <w:rsid w:val="004C2BC9"/>
    <w:rsid w:val="004C3CD0"/>
    <w:rsid w:val="004C3F85"/>
    <w:rsid w:val="004C4465"/>
    <w:rsid w:val="004C48A0"/>
    <w:rsid w:val="004C52EE"/>
    <w:rsid w:val="004D2D09"/>
    <w:rsid w:val="004D31BD"/>
    <w:rsid w:val="004D3353"/>
    <w:rsid w:val="004D3CD6"/>
    <w:rsid w:val="004D6B9C"/>
    <w:rsid w:val="004D7136"/>
    <w:rsid w:val="004E0170"/>
    <w:rsid w:val="004E0D79"/>
    <w:rsid w:val="004E0E0B"/>
    <w:rsid w:val="004E20BB"/>
    <w:rsid w:val="004E31B7"/>
    <w:rsid w:val="004E4F77"/>
    <w:rsid w:val="004E50F3"/>
    <w:rsid w:val="004E62F4"/>
    <w:rsid w:val="004E6EB2"/>
    <w:rsid w:val="004E7711"/>
    <w:rsid w:val="004F0153"/>
    <w:rsid w:val="004F0D75"/>
    <w:rsid w:val="004F15A6"/>
    <w:rsid w:val="004F1B93"/>
    <w:rsid w:val="004F32B2"/>
    <w:rsid w:val="004F3CBD"/>
    <w:rsid w:val="004F4332"/>
    <w:rsid w:val="004F59BE"/>
    <w:rsid w:val="004F7B42"/>
    <w:rsid w:val="0050139A"/>
    <w:rsid w:val="005017F1"/>
    <w:rsid w:val="005029F8"/>
    <w:rsid w:val="00502BF4"/>
    <w:rsid w:val="00503A48"/>
    <w:rsid w:val="00503D75"/>
    <w:rsid w:val="005045C8"/>
    <w:rsid w:val="005048A3"/>
    <w:rsid w:val="00506145"/>
    <w:rsid w:val="005108B9"/>
    <w:rsid w:val="00510C1F"/>
    <w:rsid w:val="00510C36"/>
    <w:rsid w:val="005123F9"/>
    <w:rsid w:val="00513C2B"/>
    <w:rsid w:val="00516445"/>
    <w:rsid w:val="005174D3"/>
    <w:rsid w:val="00517A75"/>
    <w:rsid w:val="005235F1"/>
    <w:rsid w:val="00523A45"/>
    <w:rsid w:val="0052576A"/>
    <w:rsid w:val="005301A7"/>
    <w:rsid w:val="00531354"/>
    <w:rsid w:val="0053190A"/>
    <w:rsid w:val="00532141"/>
    <w:rsid w:val="00532EF3"/>
    <w:rsid w:val="00533428"/>
    <w:rsid w:val="005337EC"/>
    <w:rsid w:val="00533BD0"/>
    <w:rsid w:val="0053410A"/>
    <w:rsid w:val="005341E9"/>
    <w:rsid w:val="00535AC5"/>
    <w:rsid w:val="00535D49"/>
    <w:rsid w:val="0053621F"/>
    <w:rsid w:val="00536828"/>
    <w:rsid w:val="0053767B"/>
    <w:rsid w:val="005378E2"/>
    <w:rsid w:val="005379A6"/>
    <w:rsid w:val="00540C5C"/>
    <w:rsid w:val="00542212"/>
    <w:rsid w:val="00543A1F"/>
    <w:rsid w:val="00543EEF"/>
    <w:rsid w:val="00544305"/>
    <w:rsid w:val="00545ADD"/>
    <w:rsid w:val="00546B04"/>
    <w:rsid w:val="00546B0D"/>
    <w:rsid w:val="00550B85"/>
    <w:rsid w:val="005513DA"/>
    <w:rsid w:val="0055283A"/>
    <w:rsid w:val="00552ACC"/>
    <w:rsid w:val="00553A18"/>
    <w:rsid w:val="0055445F"/>
    <w:rsid w:val="005550BC"/>
    <w:rsid w:val="00557A70"/>
    <w:rsid w:val="00557CD1"/>
    <w:rsid w:val="00566650"/>
    <w:rsid w:val="00566A7F"/>
    <w:rsid w:val="005705F8"/>
    <w:rsid w:val="005706E3"/>
    <w:rsid w:val="00570F9E"/>
    <w:rsid w:val="00571541"/>
    <w:rsid w:val="00571B94"/>
    <w:rsid w:val="00572241"/>
    <w:rsid w:val="00572B1E"/>
    <w:rsid w:val="00573327"/>
    <w:rsid w:val="005737AF"/>
    <w:rsid w:val="00573F3B"/>
    <w:rsid w:val="00574DDC"/>
    <w:rsid w:val="0057704D"/>
    <w:rsid w:val="005770EA"/>
    <w:rsid w:val="005772B6"/>
    <w:rsid w:val="00580FB6"/>
    <w:rsid w:val="00584AD7"/>
    <w:rsid w:val="0058644E"/>
    <w:rsid w:val="0058727C"/>
    <w:rsid w:val="005879E2"/>
    <w:rsid w:val="00591E8B"/>
    <w:rsid w:val="00592BA4"/>
    <w:rsid w:val="00593EAF"/>
    <w:rsid w:val="0059656C"/>
    <w:rsid w:val="00596F7B"/>
    <w:rsid w:val="00597952"/>
    <w:rsid w:val="00597F69"/>
    <w:rsid w:val="005A0B27"/>
    <w:rsid w:val="005A10EE"/>
    <w:rsid w:val="005A16AD"/>
    <w:rsid w:val="005A3567"/>
    <w:rsid w:val="005A49F2"/>
    <w:rsid w:val="005A4EA4"/>
    <w:rsid w:val="005A4FD1"/>
    <w:rsid w:val="005A6661"/>
    <w:rsid w:val="005A6EDE"/>
    <w:rsid w:val="005B147E"/>
    <w:rsid w:val="005B15F8"/>
    <w:rsid w:val="005B169B"/>
    <w:rsid w:val="005B2641"/>
    <w:rsid w:val="005B2765"/>
    <w:rsid w:val="005B332A"/>
    <w:rsid w:val="005B38F1"/>
    <w:rsid w:val="005B55F2"/>
    <w:rsid w:val="005B5911"/>
    <w:rsid w:val="005B5B6E"/>
    <w:rsid w:val="005B5CA4"/>
    <w:rsid w:val="005B6355"/>
    <w:rsid w:val="005B6977"/>
    <w:rsid w:val="005B7741"/>
    <w:rsid w:val="005B77E4"/>
    <w:rsid w:val="005B7CFC"/>
    <w:rsid w:val="005C1E25"/>
    <w:rsid w:val="005C5FB1"/>
    <w:rsid w:val="005C65F1"/>
    <w:rsid w:val="005C781C"/>
    <w:rsid w:val="005D438C"/>
    <w:rsid w:val="005D51F0"/>
    <w:rsid w:val="005D5F66"/>
    <w:rsid w:val="005D6736"/>
    <w:rsid w:val="005D7196"/>
    <w:rsid w:val="005D7A2D"/>
    <w:rsid w:val="005E01FD"/>
    <w:rsid w:val="005E3305"/>
    <w:rsid w:val="005E5339"/>
    <w:rsid w:val="005E56F3"/>
    <w:rsid w:val="005E6F5E"/>
    <w:rsid w:val="005E76E1"/>
    <w:rsid w:val="005E7775"/>
    <w:rsid w:val="005E7D47"/>
    <w:rsid w:val="005F13D1"/>
    <w:rsid w:val="005F4A52"/>
    <w:rsid w:val="005F4FC0"/>
    <w:rsid w:val="005F518E"/>
    <w:rsid w:val="005F62DB"/>
    <w:rsid w:val="00600873"/>
    <w:rsid w:val="006027FA"/>
    <w:rsid w:val="00604B02"/>
    <w:rsid w:val="006052D4"/>
    <w:rsid w:val="00606123"/>
    <w:rsid w:val="006102C7"/>
    <w:rsid w:val="006123AA"/>
    <w:rsid w:val="00612A7D"/>
    <w:rsid w:val="0061357E"/>
    <w:rsid w:val="006135B8"/>
    <w:rsid w:val="00613D10"/>
    <w:rsid w:val="006145F4"/>
    <w:rsid w:val="00614E95"/>
    <w:rsid w:val="00617822"/>
    <w:rsid w:val="00620580"/>
    <w:rsid w:val="00620CEE"/>
    <w:rsid w:val="00621DBE"/>
    <w:rsid w:val="00621E32"/>
    <w:rsid w:val="00622252"/>
    <w:rsid w:val="006222C9"/>
    <w:rsid w:val="00623B38"/>
    <w:rsid w:val="006247E9"/>
    <w:rsid w:val="00624C99"/>
    <w:rsid w:val="006257F6"/>
    <w:rsid w:val="006274BC"/>
    <w:rsid w:val="00630594"/>
    <w:rsid w:val="00631F5C"/>
    <w:rsid w:val="00633565"/>
    <w:rsid w:val="0063392C"/>
    <w:rsid w:val="0063398B"/>
    <w:rsid w:val="00635242"/>
    <w:rsid w:val="00635992"/>
    <w:rsid w:val="00636076"/>
    <w:rsid w:val="00640330"/>
    <w:rsid w:val="006403B6"/>
    <w:rsid w:val="00640729"/>
    <w:rsid w:val="00640CBE"/>
    <w:rsid w:val="00643516"/>
    <w:rsid w:val="00644B93"/>
    <w:rsid w:val="00647A11"/>
    <w:rsid w:val="00650963"/>
    <w:rsid w:val="00650B35"/>
    <w:rsid w:val="00651C70"/>
    <w:rsid w:val="00652801"/>
    <w:rsid w:val="006530C2"/>
    <w:rsid w:val="006546D5"/>
    <w:rsid w:val="0065498C"/>
    <w:rsid w:val="00655498"/>
    <w:rsid w:val="00656456"/>
    <w:rsid w:val="006610C8"/>
    <w:rsid w:val="0066226E"/>
    <w:rsid w:val="00662561"/>
    <w:rsid w:val="00663160"/>
    <w:rsid w:val="0066342E"/>
    <w:rsid w:val="00665E66"/>
    <w:rsid w:val="006707E2"/>
    <w:rsid w:val="006719AD"/>
    <w:rsid w:val="00674225"/>
    <w:rsid w:val="006749E6"/>
    <w:rsid w:val="00674D70"/>
    <w:rsid w:val="006769A0"/>
    <w:rsid w:val="00676B7F"/>
    <w:rsid w:val="00676C26"/>
    <w:rsid w:val="00677BD5"/>
    <w:rsid w:val="00680359"/>
    <w:rsid w:val="00681ACB"/>
    <w:rsid w:val="00682069"/>
    <w:rsid w:val="0068298D"/>
    <w:rsid w:val="00683C13"/>
    <w:rsid w:val="00684191"/>
    <w:rsid w:val="00685A2C"/>
    <w:rsid w:val="00685A2F"/>
    <w:rsid w:val="0068689D"/>
    <w:rsid w:val="0068710E"/>
    <w:rsid w:val="00687FB3"/>
    <w:rsid w:val="00690EA0"/>
    <w:rsid w:val="0069128A"/>
    <w:rsid w:val="00692790"/>
    <w:rsid w:val="0069394F"/>
    <w:rsid w:val="00693DB0"/>
    <w:rsid w:val="00694FF9"/>
    <w:rsid w:val="00695662"/>
    <w:rsid w:val="006966FA"/>
    <w:rsid w:val="00697DFA"/>
    <w:rsid w:val="006A0983"/>
    <w:rsid w:val="006A0E06"/>
    <w:rsid w:val="006A21EC"/>
    <w:rsid w:val="006A3E29"/>
    <w:rsid w:val="006A4323"/>
    <w:rsid w:val="006A576B"/>
    <w:rsid w:val="006A58EE"/>
    <w:rsid w:val="006A59A2"/>
    <w:rsid w:val="006A5CB6"/>
    <w:rsid w:val="006A62B8"/>
    <w:rsid w:val="006A74CC"/>
    <w:rsid w:val="006B1014"/>
    <w:rsid w:val="006B110A"/>
    <w:rsid w:val="006B152F"/>
    <w:rsid w:val="006B1923"/>
    <w:rsid w:val="006B1C4B"/>
    <w:rsid w:val="006B2593"/>
    <w:rsid w:val="006B73CA"/>
    <w:rsid w:val="006C0191"/>
    <w:rsid w:val="006C1717"/>
    <w:rsid w:val="006C32F8"/>
    <w:rsid w:val="006C3394"/>
    <w:rsid w:val="006C3804"/>
    <w:rsid w:val="006C3C40"/>
    <w:rsid w:val="006C6EC1"/>
    <w:rsid w:val="006C7488"/>
    <w:rsid w:val="006C7C1D"/>
    <w:rsid w:val="006D0403"/>
    <w:rsid w:val="006D2E13"/>
    <w:rsid w:val="006D3FE4"/>
    <w:rsid w:val="006D593B"/>
    <w:rsid w:val="006D5BDB"/>
    <w:rsid w:val="006D6CBF"/>
    <w:rsid w:val="006E0573"/>
    <w:rsid w:val="006E1745"/>
    <w:rsid w:val="006E19E1"/>
    <w:rsid w:val="006E27C4"/>
    <w:rsid w:val="006E36FE"/>
    <w:rsid w:val="006E386D"/>
    <w:rsid w:val="006E6D87"/>
    <w:rsid w:val="006F0B1C"/>
    <w:rsid w:val="006F0D89"/>
    <w:rsid w:val="006F1722"/>
    <w:rsid w:val="006F2C32"/>
    <w:rsid w:val="006F2EB5"/>
    <w:rsid w:val="006F483D"/>
    <w:rsid w:val="006F6973"/>
    <w:rsid w:val="0070007F"/>
    <w:rsid w:val="00700468"/>
    <w:rsid w:val="007004DB"/>
    <w:rsid w:val="00701215"/>
    <w:rsid w:val="00701EA4"/>
    <w:rsid w:val="007062AE"/>
    <w:rsid w:val="00707CDE"/>
    <w:rsid w:val="00711B71"/>
    <w:rsid w:val="007132FB"/>
    <w:rsid w:val="00713EBF"/>
    <w:rsid w:val="0071458C"/>
    <w:rsid w:val="00715AA3"/>
    <w:rsid w:val="00715C73"/>
    <w:rsid w:val="007160B7"/>
    <w:rsid w:val="00716775"/>
    <w:rsid w:val="007207AF"/>
    <w:rsid w:val="00722625"/>
    <w:rsid w:val="00725450"/>
    <w:rsid w:val="00731B11"/>
    <w:rsid w:val="007322CA"/>
    <w:rsid w:val="007347FC"/>
    <w:rsid w:val="0073528F"/>
    <w:rsid w:val="0073582F"/>
    <w:rsid w:val="00735E96"/>
    <w:rsid w:val="007363FF"/>
    <w:rsid w:val="00737B7B"/>
    <w:rsid w:val="00737DE6"/>
    <w:rsid w:val="007414D5"/>
    <w:rsid w:val="00741950"/>
    <w:rsid w:val="0074224F"/>
    <w:rsid w:val="007427D5"/>
    <w:rsid w:val="00744422"/>
    <w:rsid w:val="00745611"/>
    <w:rsid w:val="00745D50"/>
    <w:rsid w:val="0074716E"/>
    <w:rsid w:val="00747FA5"/>
    <w:rsid w:val="0075162E"/>
    <w:rsid w:val="00755274"/>
    <w:rsid w:val="0075581E"/>
    <w:rsid w:val="00756593"/>
    <w:rsid w:val="0075748F"/>
    <w:rsid w:val="007617FC"/>
    <w:rsid w:val="00761B24"/>
    <w:rsid w:val="007624F5"/>
    <w:rsid w:val="007625E7"/>
    <w:rsid w:val="00763443"/>
    <w:rsid w:val="00765AF9"/>
    <w:rsid w:val="00766F5D"/>
    <w:rsid w:val="00767404"/>
    <w:rsid w:val="00770278"/>
    <w:rsid w:val="00770366"/>
    <w:rsid w:val="00770C99"/>
    <w:rsid w:val="00773816"/>
    <w:rsid w:val="00773F4F"/>
    <w:rsid w:val="0077545E"/>
    <w:rsid w:val="00776AF5"/>
    <w:rsid w:val="00777B09"/>
    <w:rsid w:val="00777B37"/>
    <w:rsid w:val="00777FE7"/>
    <w:rsid w:val="00780300"/>
    <w:rsid w:val="0078035A"/>
    <w:rsid w:val="007813F9"/>
    <w:rsid w:val="00781AA9"/>
    <w:rsid w:val="00781F7B"/>
    <w:rsid w:val="0078242C"/>
    <w:rsid w:val="007824E4"/>
    <w:rsid w:val="00782851"/>
    <w:rsid w:val="0078500A"/>
    <w:rsid w:val="007856C0"/>
    <w:rsid w:val="0078683D"/>
    <w:rsid w:val="00787EDE"/>
    <w:rsid w:val="00790A47"/>
    <w:rsid w:val="0079112F"/>
    <w:rsid w:val="0079128F"/>
    <w:rsid w:val="007913F6"/>
    <w:rsid w:val="00791652"/>
    <w:rsid w:val="00793489"/>
    <w:rsid w:val="007940DF"/>
    <w:rsid w:val="00794670"/>
    <w:rsid w:val="00796959"/>
    <w:rsid w:val="00797044"/>
    <w:rsid w:val="00797B2C"/>
    <w:rsid w:val="007A1CFB"/>
    <w:rsid w:val="007A1EBB"/>
    <w:rsid w:val="007A2607"/>
    <w:rsid w:val="007A2E3C"/>
    <w:rsid w:val="007A3DA4"/>
    <w:rsid w:val="007A490D"/>
    <w:rsid w:val="007A4C6F"/>
    <w:rsid w:val="007A6202"/>
    <w:rsid w:val="007A75E5"/>
    <w:rsid w:val="007A75E6"/>
    <w:rsid w:val="007B1341"/>
    <w:rsid w:val="007B23C0"/>
    <w:rsid w:val="007B4AC4"/>
    <w:rsid w:val="007B66D8"/>
    <w:rsid w:val="007C1F9A"/>
    <w:rsid w:val="007C363B"/>
    <w:rsid w:val="007C4075"/>
    <w:rsid w:val="007C58B8"/>
    <w:rsid w:val="007D04AA"/>
    <w:rsid w:val="007D18C3"/>
    <w:rsid w:val="007D33ED"/>
    <w:rsid w:val="007D3937"/>
    <w:rsid w:val="007D463F"/>
    <w:rsid w:val="007D4DC0"/>
    <w:rsid w:val="007D5DCD"/>
    <w:rsid w:val="007D6E47"/>
    <w:rsid w:val="007D6EA2"/>
    <w:rsid w:val="007E056F"/>
    <w:rsid w:val="007E0C91"/>
    <w:rsid w:val="007E1B2A"/>
    <w:rsid w:val="007E1E7E"/>
    <w:rsid w:val="007E409E"/>
    <w:rsid w:val="007E45F7"/>
    <w:rsid w:val="007E4C9C"/>
    <w:rsid w:val="007E4D5D"/>
    <w:rsid w:val="007E5E63"/>
    <w:rsid w:val="007F0BA5"/>
    <w:rsid w:val="007F1051"/>
    <w:rsid w:val="007F13D1"/>
    <w:rsid w:val="007F1D06"/>
    <w:rsid w:val="007F2C15"/>
    <w:rsid w:val="007F3EA8"/>
    <w:rsid w:val="007F5960"/>
    <w:rsid w:val="007F64C2"/>
    <w:rsid w:val="007F6562"/>
    <w:rsid w:val="007F7B45"/>
    <w:rsid w:val="0080016B"/>
    <w:rsid w:val="00800759"/>
    <w:rsid w:val="00800DBB"/>
    <w:rsid w:val="0080179D"/>
    <w:rsid w:val="00801B49"/>
    <w:rsid w:val="00802595"/>
    <w:rsid w:val="00804FBA"/>
    <w:rsid w:val="008050F8"/>
    <w:rsid w:val="00806B8A"/>
    <w:rsid w:val="0081243A"/>
    <w:rsid w:val="00813501"/>
    <w:rsid w:val="0081475B"/>
    <w:rsid w:val="00814F5E"/>
    <w:rsid w:val="008167F1"/>
    <w:rsid w:val="00816D28"/>
    <w:rsid w:val="008220A1"/>
    <w:rsid w:val="00822775"/>
    <w:rsid w:val="00822B60"/>
    <w:rsid w:val="00824DC3"/>
    <w:rsid w:val="00826534"/>
    <w:rsid w:val="008273F6"/>
    <w:rsid w:val="00830438"/>
    <w:rsid w:val="008308EF"/>
    <w:rsid w:val="00832502"/>
    <w:rsid w:val="00833FEA"/>
    <w:rsid w:val="00834D6A"/>
    <w:rsid w:val="00834F1A"/>
    <w:rsid w:val="0083533E"/>
    <w:rsid w:val="008354E6"/>
    <w:rsid w:val="00837D88"/>
    <w:rsid w:val="00840D1F"/>
    <w:rsid w:val="008420A7"/>
    <w:rsid w:val="00842DC2"/>
    <w:rsid w:val="0084309D"/>
    <w:rsid w:val="008449BC"/>
    <w:rsid w:val="00844B48"/>
    <w:rsid w:val="00846988"/>
    <w:rsid w:val="00846B2A"/>
    <w:rsid w:val="0085071D"/>
    <w:rsid w:val="008524DB"/>
    <w:rsid w:val="00852B95"/>
    <w:rsid w:val="00852C83"/>
    <w:rsid w:val="00853CE5"/>
    <w:rsid w:val="0085539B"/>
    <w:rsid w:val="00857A08"/>
    <w:rsid w:val="00862079"/>
    <w:rsid w:val="0086317A"/>
    <w:rsid w:val="008633CF"/>
    <w:rsid w:val="00866989"/>
    <w:rsid w:val="008675CB"/>
    <w:rsid w:val="00870DC1"/>
    <w:rsid w:val="00871438"/>
    <w:rsid w:val="008717BC"/>
    <w:rsid w:val="00873C5E"/>
    <w:rsid w:val="00875C0E"/>
    <w:rsid w:val="00875C8D"/>
    <w:rsid w:val="008764B8"/>
    <w:rsid w:val="0087658C"/>
    <w:rsid w:val="008772A1"/>
    <w:rsid w:val="008779FD"/>
    <w:rsid w:val="00880206"/>
    <w:rsid w:val="008815E0"/>
    <w:rsid w:val="0088278F"/>
    <w:rsid w:val="0088430B"/>
    <w:rsid w:val="00884849"/>
    <w:rsid w:val="00886BF8"/>
    <w:rsid w:val="00891D4F"/>
    <w:rsid w:val="00891EAC"/>
    <w:rsid w:val="00892496"/>
    <w:rsid w:val="008926B8"/>
    <w:rsid w:val="00892C5D"/>
    <w:rsid w:val="00892E2D"/>
    <w:rsid w:val="008938E3"/>
    <w:rsid w:val="00893EC7"/>
    <w:rsid w:val="0089419A"/>
    <w:rsid w:val="00895174"/>
    <w:rsid w:val="00895320"/>
    <w:rsid w:val="00896124"/>
    <w:rsid w:val="008966D1"/>
    <w:rsid w:val="0089677D"/>
    <w:rsid w:val="00896971"/>
    <w:rsid w:val="0089753D"/>
    <w:rsid w:val="00897782"/>
    <w:rsid w:val="0089790E"/>
    <w:rsid w:val="008A29AD"/>
    <w:rsid w:val="008A2A5E"/>
    <w:rsid w:val="008A33CD"/>
    <w:rsid w:val="008A4742"/>
    <w:rsid w:val="008A5C3C"/>
    <w:rsid w:val="008A6D52"/>
    <w:rsid w:val="008A74E2"/>
    <w:rsid w:val="008A78FA"/>
    <w:rsid w:val="008B1514"/>
    <w:rsid w:val="008B1940"/>
    <w:rsid w:val="008B1C8F"/>
    <w:rsid w:val="008B309D"/>
    <w:rsid w:val="008B4678"/>
    <w:rsid w:val="008B477F"/>
    <w:rsid w:val="008B4E84"/>
    <w:rsid w:val="008B6DC8"/>
    <w:rsid w:val="008C1A70"/>
    <w:rsid w:val="008C44EF"/>
    <w:rsid w:val="008C4D62"/>
    <w:rsid w:val="008C5C9B"/>
    <w:rsid w:val="008C69DD"/>
    <w:rsid w:val="008D065A"/>
    <w:rsid w:val="008D0858"/>
    <w:rsid w:val="008D1A97"/>
    <w:rsid w:val="008D2B3C"/>
    <w:rsid w:val="008D5A85"/>
    <w:rsid w:val="008D66B7"/>
    <w:rsid w:val="008D6A6F"/>
    <w:rsid w:val="008E0361"/>
    <w:rsid w:val="008E2513"/>
    <w:rsid w:val="008E2936"/>
    <w:rsid w:val="008E3913"/>
    <w:rsid w:val="008E575D"/>
    <w:rsid w:val="008E7A46"/>
    <w:rsid w:val="008F0D4C"/>
    <w:rsid w:val="008F2827"/>
    <w:rsid w:val="008F34B9"/>
    <w:rsid w:val="008F3EA9"/>
    <w:rsid w:val="009006A5"/>
    <w:rsid w:val="0090192B"/>
    <w:rsid w:val="00901B58"/>
    <w:rsid w:val="009034F1"/>
    <w:rsid w:val="0090391A"/>
    <w:rsid w:val="00903F9F"/>
    <w:rsid w:val="00904637"/>
    <w:rsid w:val="00904D39"/>
    <w:rsid w:val="00911A34"/>
    <w:rsid w:val="00911EB5"/>
    <w:rsid w:val="00912C3A"/>
    <w:rsid w:val="009133C4"/>
    <w:rsid w:val="00913FC5"/>
    <w:rsid w:val="00914784"/>
    <w:rsid w:val="00915CE3"/>
    <w:rsid w:val="0091752D"/>
    <w:rsid w:val="009205B6"/>
    <w:rsid w:val="00923029"/>
    <w:rsid w:val="009230D9"/>
    <w:rsid w:val="009254EC"/>
    <w:rsid w:val="009255E7"/>
    <w:rsid w:val="00925734"/>
    <w:rsid w:val="00925ECD"/>
    <w:rsid w:val="00925FCB"/>
    <w:rsid w:val="009260AD"/>
    <w:rsid w:val="00926978"/>
    <w:rsid w:val="0092709C"/>
    <w:rsid w:val="00927AC3"/>
    <w:rsid w:val="009336E2"/>
    <w:rsid w:val="009342E3"/>
    <w:rsid w:val="0093495A"/>
    <w:rsid w:val="0094069E"/>
    <w:rsid w:val="00941ABE"/>
    <w:rsid w:val="00942E7A"/>
    <w:rsid w:val="00943CE9"/>
    <w:rsid w:val="009444F8"/>
    <w:rsid w:val="00947F57"/>
    <w:rsid w:val="009502AC"/>
    <w:rsid w:val="00950398"/>
    <w:rsid w:val="00954182"/>
    <w:rsid w:val="00954603"/>
    <w:rsid w:val="009546CE"/>
    <w:rsid w:val="00956266"/>
    <w:rsid w:val="0096056B"/>
    <w:rsid w:val="00960F49"/>
    <w:rsid w:val="009618D8"/>
    <w:rsid w:val="00961A2B"/>
    <w:rsid w:val="00962169"/>
    <w:rsid w:val="009629C0"/>
    <w:rsid w:val="0096351B"/>
    <w:rsid w:val="00965294"/>
    <w:rsid w:val="00967A50"/>
    <w:rsid w:val="00967BDC"/>
    <w:rsid w:val="00970CE4"/>
    <w:rsid w:val="00974F1B"/>
    <w:rsid w:val="00974FAC"/>
    <w:rsid w:val="00975DBA"/>
    <w:rsid w:val="00976B54"/>
    <w:rsid w:val="009770ED"/>
    <w:rsid w:val="00977580"/>
    <w:rsid w:val="00977BCC"/>
    <w:rsid w:val="009813C2"/>
    <w:rsid w:val="00982EF5"/>
    <w:rsid w:val="00983521"/>
    <w:rsid w:val="0098576D"/>
    <w:rsid w:val="00987559"/>
    <w:rsid w:val="0098771B"/>
    <w:rsid w:val="00993367"/>
    <w:rsid w:val="00993505"/>
    <w:rsid w:val="009946CB"/>
    <w:rsid w:val="00995738"/>
    <w:rsid w:val="00996062"/>
    <w:rsid w:val="009A11D3"/>
    <w:rsid w:val="009A2730"/>
    <w:rsid w:val="009A39B9"/>
    <w:rsid w:val="009A3D10"/>
    <w:rsid w:val="009A3D1F"/>
    <w:rsid w:val="009A61CF"/>
    <w:rsid w:val="009A6B3D"/>
    <w:rsid w:val="009B1E25"/>
    <w:rsid w:val="009B37CF"/>
    <w:rsid w:val="009B5EC4"/>
    <w:rsid w:val="009B7241"/>
    <w:rsid w:val="009B7ABE"/>
    <w:rsid w:val="009C16A2"/>
    <w:rsid w:val="009C16E7"/>
    <w:rsid w:val="009C1C92"/>
    <w:rsid w:val="009C36A4"/>
    <w:rsid w:val="009C3FB5"/>
    <w:rsid w:val="009C4413"/>
    <w:rsid w:val="009C48F1"/>
    <w:rsid w:val="009C6030"/>
    <w:rsid w:val="009C781B"/>
    <w:rsid w:val="009D1020"/>
    <w:rsid w:val="009D112B"/>
    <w:rsid w:val="009D3230"/>
    <w:rsid w:val="009D527C"/>
    <w:rsid w:val="009D5578"/>
    <w:rsid w:val="009D6EDB"/>
    <w:rsid w:val="009D765B"/>
    <w:rsid w:val="009D7DD2"/>
    <w:rsid w:val="009E010F"/>
    <w:rsid w:val="009E0185"/>
    <w:rsid w:val="009E28E8"/>
    <w:rsid w:val="009E2A0B"/>
    <w:rsid w:val="009E3CAB"/>
    <w:rsid w:val="009E5BBD"/>
    <w:rsid w:val="009E5D70"/>
    <w:rsid w:val="009E693D"/>
    <w:rsid w:val="009E7013"/>
    <w:rsid w:val="009E79EF"/>
    <w:rsid w:val="009F0A7F"/>
    <w:rsid w:val="009F0F1E"/>
    <w:rsid w:val="009F1049"/>
    <w:rsid w:val="009F1058"/>
    <w:rsid w:val="009F1892"/>
    <w:rsid w:val="009F23A8"/>
    <w:rsid w:val="009F2933"/>
    <w:rsid w:val="009F3CAF"/>
    <w:rsid w:val="009F4AC6"/>
    <w:rsid w:val="009F5425"/>
    <w:rsid w:val="009F6931"/>
    <w:rsid w:val="00A02BDB"/>
    <w:rsid w:val="00A0377B"/>
    <w:rsid w:val="00A04E60"/>
    <w:rsid w:val="00A05084"/>
    <w:rsid w:val="00A05F23"/>
    <w:rsid w:val="00A10DBF"/>
    <w:rsid w:val="00A116F8"/>
    <w:rsid w:val="00A11CCD"/>
    <w:rsid w:val="00A14B5E"/>
    <w:rsid w:val="00A15D50"/>
    <w:rsid w:val="00A15E90"/>
    <w:rsid w:val="00A16EB6"/>
    <w:rsid w:val="00A16F93"/>
    <w:rsid w:val="00A17C4B"/>
    <w:rsid w:val="00A21855"/>
    <w:rsid w:val="00A22283"/>
    <w:rsid w:val="00A22526"/>
    <w:rsid w:val="00A238C7"/>
    <w:rsid w:val="00A24364"/>
    <w:rsid w:val="00A27713"/>
    <w:rsid w:val="00A277D5"/>
    <w:rsid w:val="00A31466"/>
    <w:rsid w:val="00A3277C"/>
    <w:rsid w:val="00A327A8"/>
    <w:rsid w:val="00A3282C"/>
    <w:rsid w:val="00A330C1"/>
    <w:rsid w:val="00A331F3"/>
    <w:rsid w:val="00A3421C"/>
    <w:rsid w:val="00A342C0"/>
    <w:rsid w:val="00A35506"/>
    <w:rsid w:val="00A375A9"/>
    <w:rsid w:val="00A4025C"/>
    <w:rsid w:val="00A4025E"/>
    <w:rsid w:val="00A405D0"/>
    <w:rsid w:val="00A40E4E"/>
    <w:rsid w:val="00A41202"/>
    <w:rsid w:val="00A41B94"/>
    <w:rsid w:val="00A421ED"/>
    <w:rsid w:val="00A456AB"/>
    <w:rsid w:val="00A46D72"/>
    <w:rsid w:val="00A47911"/>
    <w:rsid w:val="00A50E55"/>
    <w:rsid w:val="00A51B99"/>
    <w:rsid w:val="00A575A5"/>
    <w:rsid w:val="00A60937"/>
    <w:rsid w:val="00A648E0"/>
    <w:rsid w:val="00A6493D"/>
    <w:rsid w:val="00A65169"/>
    <w:rsid w:val="00A66358"/>
    <w:rsid w:val="00A66478"/>
    <w:rsid w:val="00A7086B"/>
    <w:rsid w:val="00A70ECC"/>
    <w:rsid w:val="00A70F8D"/>
    <w:rsid w:val="00A71C5B"/>
    <w:rsid w:val="00A73BAB"/>
    <w:rsid w:val="00A75EC0"/>
    <w:rsid w:val="00A761CF"/>
    <w:rsid w:val="00A76387"/>
    <w:rsid w:val="00A80152"/>
    <w:rsid w:val="00A80C70"/>
    <w:rsid w:val="00A81C41"/>
    <w:rsid w:val="00A82751"/>
    <w:rsid w:val="00A82F65"/>
    <w:rsid w:val="00A83FA0"/>
    <w:rsid w:val="00A86A0C"/>
    <w:rsid w:val="00A87887"/>
    <w:rsid w:val="00A90A32"/>
    <w:rsid w:val="00A9200E"/>
    <w:rsid w:val="00A923DD"/>
    <w:rsid w:val="00A92A17"/>
    <w:rsid w:val="00A92EC5"/>
    <w:rsid w:val="00A943CA"/>
    <w:rsid w:val="00A94A58"/>
    <w:rsid w:val="00A95163"/>
    <w:rsid w:val="00A96984"/>
    <w:rsid w:val="00A96A54"/>
    <w:rsid w:val="00AA13C2"/>
    <w:rsid w:val="00AA1D04"/>
    <w:rsid w:val="00AA3DEC"/>
    <w:rsid w:val="00AA3F32"/>
    <w:rsid w:val="00AA4E02"/>
    <w:rsid w:val="00AA4E66"/>
    <w:rsid w:val="00AA7AA8"/>
    <w:rsid w:val="00AA7D0C"/>
    <w:rsid w:val="00AB0DCE"/>
    <w:rsid w:val="00AB15BD"/>
    <w:rsid w:val="00AB40AF"/>
    <w:rsid w:val="00AB51A6"/>
    <w:rsid w:val="00AB5233"/>
    <w:rsid w:val="00AB561B"/>
    <w:rsid w:val="00AB58F4"/>
    <w:rsid w:val="00AB5D13"/>
    <w:rsid w:val="00AB668E"/>
    <w:rsid w:val="00AB66D1"/>
    <w:rsid w:val="00AB7291"/>
    <w:rsid w:val="00AB74A7"/>
    <w:rsid w:val="00AC1963"/>
    <w:rsid w:val="00AC196B"/>
    <w:rsid w:val="00AC4C9E"/>
    <w:rsid w:val="00AC5C4D"/>
    <w:rsid w:val="00AC6CB7"/>
    <w:rsid w:val="00AC704C"/>
    <w:rsid w:val="00AD0292"/>
    <w:rsid w:val="00AD0667"/>
    <w:rsid w:val="00AD09D3"/>
    <w:rsid w:val="00AD0C50"/>
    <w:rsid w:val="00AD1269"/>
    <w:rsid w:val="00AD2A01"/>
    <w:rsid w:val="00AD3101"/>
    <w:rsid w:val="00AD4C87"/>
    <w:rsid w:val="00AD7540"/>
    <w:rsid w:val="00AE26CF"/>
    <w:rsid w:val="00AE3D31"/>
    <w:rsid w:val="00AE3F1D"/>
    <w:rsid w:val="00AE403F"/>
    <w:rsid w:val="00AE4491"/>
    <w:rsid w:val="00AE7452"/>
    <w:rsid w:val="00AE7FAF"/>
    <w:rsid w:val="00AF04A8"/>
    <w:rsid w:val="00AF150D"/>
    <w:rsid w:val="00AF1807"/>
    <w:rsid w:val="00AF23C8"/>
    <w:rsid w:val="00AF2846"/>
    <w:rsid w:val="00AF29B7"/>
    <w:rsid w:val="00AF3D6A"/>
    <w:rsid w:val="00AF4137"/>
    <w:rsid w:val="00AF65DF"/>
    <w:rsid w:val="00AF7227"/>
    <w:rsid w:val="00B003EA"/>
    <w:rsid w:val="00B024D0"/>
    <w:rsid w:val="00B02739"/>
    <w:rsid w:val="00B05709"/>
    <w:rsid w:val="00B061B1"/>
    <w:rsid w:val="00B06324"/>
    <w:rsid w:val="00B1037E"/>
    <w:rsid w:val="00B11155"/>
    <w:rsid w:val="00B113B0"/>
    <w:rsid w:val="00B12221"/>
    <w:rsid w:val="00B126F9"/>
    <w:rsid w:val="00B133C7"/>
    <w:rsid w:val="00B136C3"/>
    <w:rsid w:val="00B13AFC"/>
    <w:rsid w:val="00B13BFB"/>
    <w:rsid w:val="00B15092"/>
    <w:rsid w:val="00B16219"/>
    <w:rsid w:val="00B169C6"/>
    <w:rsid w:val="00B1731D"/>
    <w:rsid w:val="00B20283"/>
    <w:rsid w:val="00B20B34"/>
    <w:rsid w:val="00B20E73"/>
    <w:rsid w:val="00B21845"/>
    <w:rsid w:val="00B22244"/>
    <w:rsid w:val="00B2245E"/>
    <w:rsid w:val="00B2392F"/>
    <w:rsid w:val="00B2559A"/>
    <w:rsid w:val="00B25FC7"/>
    <w:rsid w:val="00B3006A"/>
    <w:rsid w:val="00B3114E"/>
    <w:rsid w:val="00B312AC"/>
    <w:rsid w:val="00B31639"/>
    <w:rsid w:val="00B31799"/>
    <w:rsid w:val="00B3335F"/>
    <w:rsid w:val="00B34DC4"/>
    <w:rsid w:val="00B35A14"/>
    <w:rsid w:val="00B35A6D"/>
    <w:rsid w:val="00B367B7"/>
    <w:rsid w:val="00B37D35"/>
    <w:rsid w:val="00B37D65"/>
    <w:rsid w:val="00B4065B"/>
    <w:rsid w:val="00B40D9E"/>
    <w:rsid w:val="00B411C2"/>
    <w:rsid w:val="00B41C06"/>
    <w:rsid w:val="00B42CF1"/>
    <w:rsid w:val="00B42E55"/>
    <w:rsid w:val="00B430FE"/>
    <w:rsid w:val="00B43620"/>
    <w:rsid w:val="00B44248"/>
    <w:rsid w:val="00B4635F"/>
    <w:rsid w:val="00B50031"/>
    <w:rsid w:val="00B5122A"/>
    <w:rsid w:val="00B51F95"/>
    <w:rsid w:val="00B5496A"/>
    <w:rsid w:val="00B54D7D"/>
    <w:rsid w:val="00B57779"/>
    <w:rsid w:val="00B60224"/>
    <w:rsid w:val="00B62A70"/>
    <w:rsid w:val="00B62A9F"/>
    <w:rsid w:val="00B643C0"/>
    <w:rsid w:val="00B65F88"/>
    <w:rsid w:val="00B66C6A"/>
    <w:rsid w:val="00B672DD"/>
    <w:rsid w:val="00B70FA5"/>
    <w:rsid w:val="00B728E0"/>
    <w:rsid w:val="00B73242"/>
    <w:rsid w:val="00B740FB"/>
    <w:rsid w:val="00B7561B"/>
    <w:rsid w:val="00B756C0"/>
    <w:rsid w:val="00B76B9F"/>
    <w:rsid w:val="00B8137E"/>
    <w:rsid w:val="00B83AEA"/>
    <w:rsid w:val="00B83CC0"/>
    <w:rsid w:val="00B858FB"/>
    <w:rsid w:val="00B85AD4"/>
    <w:rsid w:val="00B8671A"/>
    <w:rsid w:val="00B87918"/>
    <w:rsid w:val="00B9021E"/>
    <w:rsid w:val="00B9076F"/>
    <w:rsid w:val="00B9081F"/>
    <w:rsid w:val="00B90F26"/>
    <w:rsid w:val="00B91012"/>
    <w:rsid w:val="00B926E0"/>
    <w:rsid w:val="00B92783"/>
    <w:rsid w:val="00B954D6"/>
    <w:rsid w:val="00B95879"/>
    <w:rsid w:val="00B95B4E"/>
    <w:rsid w:val="00BA1285"/>
    <w:rsid w:val="00BA1BC3"/>
    <w:rsid w:val="00BA1BE4"/>
    <w:rsid w:val="00BA2CBD"/>
    <w:rsid w:val="00BA3FA3"/>
    <w:rsid w:val="00BA408E"/>
    <w:rsid w:val="00BA5D30"/>
    <w:rsid w:val="00BA67BC"/>
    <w:rsid w:val="00BA6E26"/>
    <w:rsid w:val="00BB080A"/>
    <w:rsid w:val="00BB09F1"/>
    <w:rsid w:val="00BB1F0D"/>
    <w:rsid w:val="00BB2B3F"/>
    <w:rsid w:val="00BB3478"/>
    <w:rsid w:val="00BB6062"/>
    <w:rsid w:val="00BB6D22"/>
    <w:rsid w:val="00BB7B5B"/>
    <w:rsid w:val="00BB7E8A"/>
    <w:rsid w:val="00BB7FD7"/>
    <w:rsid w:val="00BC0417"/>
    <w:rsid w:val="00BC0ACB"/>
    <w:rsid w:val="00BC0CCE"/>
    <w:rsid w:val="00BC11B3"/>
    <w:rsid w:val="00BC1CCC"/>
    <w:rsid w:val="00BC29AF"/>
    <w:rsid w:val="00BC3648"/>
    <w:rsid w:val="00BC5C01"/>
    <w:rsid w:val="00BC5DA9"/>
    <w:rsid w:val="00BC5F20"/>
    <w:rsid w:val="00BC6C8A"/>
    <w:rsid w:val="00BD0592"/>
    <w:rsid w:val="00BD29EC"/>
    <w:rsid w:val="00BD587C"/>
    <w:rsid w:val="00BD7E98"/>
    <w:rsid w:val="00BE18CC"/>
    <w:rsid w:val="00BE4550"/>
    <w:rsid w:val="00BE5AF1"/>
    <w:rsid w:val="00BE5FAE"/>
    <w:rsid w:val="00BE6B75"/>
    <w:rsid w:val="00BF00A6"/>
    <w:rsid w:val="00BF0E96"/>
    <w:rsid w:val="00BF1B1B"/>
    <w:rsid w:val="00BF21AA"/>
    <w:rsid w:val="00BF3760"/>
    <w:rsid w:val="00BF405F"/>
    <w:rsid w:val="00BF44FE"/>
    <w:rsid w:val="00BF4A58"/>
    <w:rsid w:val="00BF7292"/>
    <w:rsid w:val="00C01876"/>
    <w:rsid w:val="00C027FD"/>
    <w:rsid w:val="00C02C3B"/>
    <w:rsid w:val="00C030C2"/>
    <w:rsid w:val="00C0368F"/>
    <w:rsid w:val="00C03B4D"/>
    <w:rsid w:val="00C045D3"/>
    <w:rsid w:val="00C0594B"/>
    <w:rsid w:val="00C06BC9"/>
    <w:rsid w:val="00C06DB2"/>
    <w:rsid w:val="00C109F2"/>
    <w:rsid w:val="00C10B42"/>
    <w:rsid w:val="00C114B1"/>
    <w:rsid w:val="00C11AB6"/>
    <w:rsid w:val="00C13596"/>
    <w:rsid w:val="00C13D23"/>
    <w:rsid w:val="00C14279"/>
    <w:rsid w:val="00C1434F"/>
    <w:rsid w:val="00C14943"/>
    <w:rsid w:val="00C15551"/>
    <w:rsid w:val="00C1655F"/>
    <w:rsid w:val="00C16B85"/>
    <w:rsid w:val="00C20DAB"/>
    <w:rsid w:val="00C2148E"/>
    <w:rsid w:val="00C220A9"/>
    <w:rsid w:val="00C22D1F"/>
    <w:rsid w:val="00C2399F"/>
    <w:rsid w:val="00C23E23"/>
    <w:rsid w:val="00C2608C"/>
    <w:rsid w:val="00C261DC"/>
    <w:rsid w:val="00C26D1B"/>
    <w:rsid w:val="00C27357"/>
    <w:rsid w:val="00C3491E"/>
    <w:rsid w:val="00C422B6"/>
    <w:rsid w:val="00C42C29"/>
    <w:rsid w:val="00C42C6F"/>
    <w:rsid w:val="00C42FAF"/>
    <w:rsid w:val="00C43B58"/>
    <w:rsid w:val="00C444CE"/>
    <w:rsid w:val="00C44C0F"/>
    <w:rsid w:val="00C46416"/>
    <w:rsid w:val="00C46C29"/>
    <w:rsid w:val="00C523F9"/>
    <w:rsid w:val="00C525B8"/>
    <w:rsid w:val="00C528B9"/>
    <w:rsid w:val="00C56687"/>
    <w:rsid w:val="00C56AC4"/>
    <w:rsid w:val="00C6091C"/>
    <w:rsid w:val="00C62CA8"/>
    <w:rsid w:val="00C6404C"/>
    <w:rsid w:val="00C654D4"/>
    <w:rsid w:val="00C66168"/>
    <w:rsid w:val="00C70AC0"/>
    <w:rsid w:val="00C71F49"/>
    <w:rsid w:val="00C734B3"/>
    <w:rsid w:val="00C737AB"/>
    <w:rsid w:val="00C73D1A"/>
    <w:rsid w:val="00C743DC"/>
    <w:rsid w:val="00C74E58"/>
    <w:rsid w:val="00C74E7B"/>
    <w:rsid w:val="00C75474"/>
    <w:rsid w:val="00C7559B"/>
    <w:rsid w:val="00C76F1C"/>
    <w:rsid w:val="00C77001"/>
    <w:rsid w:val="00C77163"/>
    <w:rsid w:val="00C8016A"/>
    <w:rsid w:val="00C80D8B"/>
    <w:rsid w:val="00C82CCC"/>
    <w:rsid w:val="00C82F50"/>
    <w:rsid w:val="00C83AA3"/>
    <w:rsid w:val="00C84771"/>
    <w:rsid w:val="00C84CE8"/>
    <w:rsid w:val="00C851FE"/>
    <w:rsid w:val="00C9363D"/>
    <w:rsid w:val="00C93668"/>
    <w:rsid w:val="00C93E18"/>
    <w:rsid w:val="00C9432C"/>
    <w:rsid w:val="00C95FAE"/>
    <w:rsid w:val="00CA2C08"/>
    <w:rsid w:val="00CA31A3"/>
    <w:rsid w:val="00CA435A"/>
    <w:rsid w:val="00CA4B5B"/>
    <w:rsid w:val="00CA4C4A"/>
    <w:rsid w:val="00CA5038"/>
    <w:rsid w:val="00CA5440"/>
    <w:rsid w:val="00CA5C54"/>
    <w:rsid w:val="00CA7643"/>
    <w:rsid w:val="00CA7C45"/>
    <w:rsid w:val="00CB03E8"/>
    <w:rsid w:val="00CB0FF2"/>
    <w:rsid w:val="00CB21B6"/>
    <w:rsid w:val="00CB2DC2"/>
    <w:rsid w:val="00CB2F0E"/>
    <w:rsid w:val="00CB4987"/>
    <w:rsid w:val="00CB5921"/>
    <w:rsid w:val="00CB6102"/>
    <w:rsid w:val="00CB620B"/>
    <w:rsid w:val="00CC12E9"/>
    <w:rsid w:val="00CC1D5D"/>
    <w:rsid w:val="00CC2970"/>
    <w:rsid w:val="00CC2D0D"/>
    <w:rsid w:val="00CC3C59"/>
    <w:rsid w:val="00CC7658"/>
    <w:rsid w:val="00CD11F5"/>
    <w:rsid w:val="00CD2F99"/>
    <w:rsid w:val="00CD3B29"/>
    <w:rsid w:val="00CD5B8C"/>
    <w:rsid w:val="00CD5BFD"/>
    <w:rsid w:val="00CD5FE7"/>
    <w:rsid w:val="00CE08BD"/>
    <w:rsid w:val="00CE27D3"/>
    <w:rsid w:val="00CE4EA8"/>
    <w:rsid w:val="00CE4F8B"/>
    <w:rsid w:val="00CE5240"/>
    <w:rsid w:val="00CE70E7"/>
    <w:rsid w:val="00CF02A1"/>
    <w:rsid w:val="00CF06E9"/>
    <w:rsid w:val="00CF0C10"/>
    <w:rsid w:val="00CF288C"/>
    <w:rsid w:val="00CF6C9F"/>
    <w:rsid w:val="00CF7229"/>
    <w:rsid w:val="00CF7465"/>
    <w:rsid w:val="00CF79CA"/>
    <w:rsid w:val="00D01754"/>
    <w:rsid w:val="00D0413B"/>
    <w:rsid w:val="00D0474E"/>
    <w:rsid w:val="00D04BE3"/>
    <w:rsid w:val="00D06A86"/>
    <w:rsid w:val="00D073ED"/>
    <w:rsid w:val="00D076AF"/>
    <w:rsid w:val="00D101D9"/>
    <w:rsid w:val="00D1036F"/>
    <w:rsid w:val="00D1118A"/>
    <w:rsid w:val="00D11281"/>
    <w:rsid w:val="00D11919"/>
    <w:rsid w:val="00D13DE4"/>
    <w:rsid w:val="00D144ED"/>
    <w:rsid w:val="00D14CC2"/>
    <w:rsid w:val="00D1570D"/>
    <w:rsid w:val="00D15786"/>
    <w:rsid w:val="00D164CD"/>
    <w:rsid w:val="00D16D0B"/>
    <w:rsid w:val="00D17AEF"/>
    <w:rsid w:val="00D17FB9"/>
    <w:rsid w:val="00D20923"/>
    <w:rsid w:val="00D217B9"/>
    <w:rsid w:val="00D21B1C"/>
    <w:rsid w:val="00D22166"/>
    <w:rsid w:val="00D22A7A"/>
    <w:rsid w:val="00D24276"/>
    <w:rsid w:val="00D24A99"/>
    <w:rsid w:val="00D24BA3"/>
    <w:rsid w:val="00D26253"/>
    <w:rsid w:val="00D30AA6"/>
    <w:rsid w:val="00D30DB1"/>
    <w:rsid w:val="00D31233"/>
    <w:rsid w:val="00D352C1"/>
    <w:rsid w:val="00D40556"/>
    <w:rsid w:val="00D410AA"/>
    <w:rsid w:val="00D41150"/>
    <w:rsid w:val="00D41673"/>
    <w:rsid w:val="00D4208F"/>
    <w:rsid w:val="00D42E12"/>
    <w:rsid w:val="00D43F49"/>
    <w:rsid w:val="00D44828"/>
    <w:rsid w:val="00D46058"/>
    <w:rsid w:val="00D472DD"/>
    <w:rsid w:val="00D475E7"/>
    <w:rsid w:val="00D47B2B"/>
    <w:rsid w:val="00D51333"/>
    <w:rsid w:val="00D52A9D"/>
    <w:rsid w:val="00D55121"/>
    <w:rsid w:val="00D56C20"/>
    <w:rsid w:val="00D57332"/>
    <w:rsid w:val="00D57450"/>
    <w:rsid w:val="00D602BE"/>
    <w:rsid w:val="00D61012"/>
    <w:rsid w:val="00D62189"/>
    <w:rsid w:val="00D6243A"/>
    <w:rsid w:val="00D63773"/>
    <w:rsid w:val="00D641A4"/>
    <w:rsid w:val="00D66A1B"/>
    <w:rsid w:val="00D7091D"/>
    <w:rsid w:val="00D70A08"/>
    <w:rsid w:val="00D70B1E"/>
    <w:rsid w:val="00D715F4"/>
    <w:rsid w:val="00D71A1A"/>
    <w:rsid w:val="00D71CF8"/>
    <w:rsid w:val="00D71DD0"/>
    <w:rsid w:val="00D722AE"/>
    <w:rsid w:val="00D7232F"/>
    <w:rsid w:val="00D72710"/>
    <w:rsid w:val="00D72E47"/>
    <w:rsid w:val="00D74C07"/>
    <w:rsid w:val="00D7513D"/>
    <w:rsid w:val="00D75294"/>
    <w:rsid w:val="00D761C1"/>
    <w:rsid w:val="00D77265"/>
    <w:rsid w:val="00D805BA"/>
    <w:rsid w:val="00D824F5"/>
    <w:rsid w:val="00D855C2"/>
    <w:rsid w:val="00D85A31"/>
    <w:rsid w:val="00D85A9C"/>
    <w:rsid w:val="00D86AF8"/>
    <w:rsid w:val="00D87049"/>
    <w:rsid w:val="00D87159"/>
    <w:rsid w:val="00D879EE"/>
    <w:rsid w:val="00D900E7"/>
    <w:rsid w:val="00D9324B"/>
    <w:rsid w:val="00D968C5"/>
    <w:rsid w:val="00D97629"/>
    <w:rsid w:val="00D97819"/>
    <w:rsid w:val="00DA0AA4"/>
    <w:rsid w:val="00DA0CDC"/>
    <w:rsid w:val="00DA1004"/>
    <w:rsid w:val="00DA1A14"/>
    <w:rsid w:val="00DA227C"/>
    <w:rsid w:val="00DA29B1"/>
    <w:rsid w:val="00DA517E"/>
    <w:rsid w:val="00DA5902"/>
    <w:rsid w:val="00DA5D28"/>
    <w:rsid w:val="00DB1CA3"/>
    <w:rsid w:val="00DB4E40"/>
    <w:rsid w:val="00DB5809"/>
    <w:rsid w:val="00DB5C87"/>
    <w:rsid w:val="00DC01C1"/>
    <w:rsid w:val="00DC0220"/>
    <w:rsid w:val="00DC0E09"/>
    <w:rsid w:val="00DC1E0E"/>
    <w:rsid w:val="00DC28F0"/>
    <w:rsid w:val="00DC608C"/>
    <w:rsid w:val="00DD2642"/>
    <w:rsid w:val="00DD2EDE"/>
    <w:rsid w:val="00DD499D"/>
    <w:rsid w:val="00DD4C37"/>
    <w:rsid w:val="00DD5378"/>
    <w:rsid w:val="00DD540D"/>
    <w:rsid w:val="00DD572A"/>
    <w:rsid w:val="00DD5DED"/>
    <w:rsid w:val="00DD6EB6"/>
    <w:rsid w:val="00DD7D82"/>
    <w:rsid w:val="00DD7E10"/>
    <w:rsid w:val="00DE06AC"/>
    <w:rsid w:val="00DE0ABC"/>
    <w:rsid w:val="00DE0D6E"/>
    <w:rsid w:val="00DE0FF8"/>
    <w:rsid w:val="00DE16C6"/>
    <w:rsid w:val="00DE16FC"/>
    <w:rsid w:val="00DE2F40"/>
    <w:rsid w:val="00DE363E"/>
    <w:rsid w:val="00DE3717"/>
    <w:rsid w:val="00DE69A4"/>
    <w:rsid w:val="00DE7343"/>
    <w:rsid w:val="00DE775D"/>
    <w:rsid w:val="00DF0065"/>
    <w:rsid w:val="00DF0187"/>
    <w:rsid w:val="00DF0624"/>
    <w:rsid w:val="00DF2196"/>
    <w:rsid w:val="00DF26C0"/>
    <w:rsid w:val="00DF3705"/>
    <w:rsid w:val="00DF3DAD"/>
    <w:rsid w:val="00DF4B21"/>
    <w:rsid w:val="00DF54D7"/>
    <w:rsid w:val="00DF7622"/>
    <w:rsid w:val="00DF78A9"/>
    <w:rsid w:val="00E02360"/>
    <w:rsid w:val="00E0301F"/>
    <w:rsid w:val="00E03213"/>
    <w:rsid w:val="00E03825"/>
    <w:rsid w:val="00E04506"/>
    <w:rsid w:val="00E13928"/>
    <w:rsid w:val="00E1485F"/>
    <w:rsid w:val="00E14F18"/>
    <w:rsid w:val="00E15366"/>
    <w:rsid w:val="00E1563C"/>
    <w:rsid w:val="00E1615F"/>
    <w:rsid w:val="00E1734C"/>
    <w:rsid w:val="00E20255"/>
    <w:rsid w:val="00E20EC7"/>
    <w:rsid w:val="00E24791"/>
    <w:rsid w:val="00E2480F"/>
    <w:rsid w:val="00E2525C"/>
    <w:rsid w:val="00E30D88"/>
    <w:rsid w:val="00E31E70"/>
    <w:rsid w:val="00E33D4C"/>
    <w:rsid w:val="00E34070"/>
    <w:rsid w:val="00E344CD"/>
    <w:rsid w:val="00E41854"/>
    <w:rsid w:val="00E426FB"/>
    <w:rsid w:val="00E42E83"/>
    <w:rsid w:val="00E4505D"/>
    <w:rsid w:val="00E45276"/>
    <w:rsid w:val="00E46165"/>
    <w:rsid w:val="00E479BF"/>
    <w:rsid w:val="00E47A09"/>
    <w:rsid w:val="00E47B35"/>
    <w:rsid w:val="00E5056F"/>
    <w:rsid w:val="00E50757"/>
    <w:rsid w:val="00E516F8"/>
    <w:rsid w:val="00E5374F"/>
    <w:rsid w:val="00E5465E"/>
    <w:rsid w:val="00E5501D"/>
    <w:rsid w:val="00E55AA9"/>
    <w:rsid w:val="00E55C53"/>
    <w:rsid w:val="00E56EB8"/>
    <w:rsid w:val="00E575FF"/>
    <w:rsid w:val="00E60A11"/>
    <w:rsid w:val="00E62C15"/>
    <w:rsid w:val="00E62DA3"/>
    <w:rsid w:val="00E631CF"/>
    <w:rsid w:val="00E65630"/>
    <w:rsid w:val="00E65856"/>
    <w:rsid w:val="00E668CB"/>
    <w:rsid w:val="00E70901"/>
    <w:rsid w:val="00E7198A"/>
    <w:rsid w:val="00E72A6F"/>
    <w:rsid w:val="00E72FAF"/>
    <w:rsid w:val="00E7526D"/>
    <w:rsid w:val="00E75AD0"/>
    <w:rsid w:val="00E75EAE"/>
    <w:rsid w:val="00E768FE"/>
    <w:rsid w:val="00E77567"/>
    <w:rsid w:val="00E813CA"/>
    <w:rsid w:val="00E81548"/>
    <w:rsid w:val="00E81B7B"/>
    <w:rsid w:val="00E81E17"/>
    <w:rsid w:val="00E81FFB"/>
    <w:rsid w:val="00E826D5"/>
    <w:rsid w:val="00E83EC3"/>
    <w:rsid w:val="00E90057"/>
    <w:rsid w:val="00E9132C"/>
    <w:rsid w:val="00E91883"/>
    <w:rsid w:val="00E91D3B"/>
    <w:rsid w:val="00E92D83"/>
    <w:rsid w:val="00E92E1C"/>
    <w:rsid w:val="00E94E25"/>
    <w:rsid w:val="00E9663D"/>
    <w:rsid w:val="00E969C1"/>
    <w:rsid w:val="00E96F24"/>
    <w:rsid w:val="00E97E81"/>
    <w:rsid w:val="00EA1BC8"/>
    <w:rsid w:val="00EA2D3A"/>
    <w:rsid w:val="00EA30FA"/>
    <w:rsid w:val="00EA3BE7"/>
    <w:rsid w:val="00EA51FE"/>
    <w:rsid w:val="00EA6FB7"/>
    <w:rsid w:val="00EA718F"/>
    <w:rsid w:val="00EA751A"/>
    <w:rsid w:val="00EB003B"/>
    <w:rsid w:val="00EB0AD0"/>
    <w:rsid w:val="00EB245B"/>
    <w:rsid w:val="00EB296B"/>
    <w:rsid w:val="00EB2F82"/>
    <w:rsid w:val="00EB34F2"/>
    <w:rsid w:val="00EB4191"/>
    <w:rsid w:val="00EB46E3"/>
    <w:rsid w:val="00EB55A3"/>
    <w:rsid w:val="00EB5AF7"/>
    <w:rsid w:val="00EB6899"/>
    <w:rsid w:val="00EB7064"/>
    <w:rsid w:val="00EB72D8"/>
    <w:rsid w:val="00EC0F34"/>
    <w:rsid w:val="00EC2361"/>
    <w:rsid w:val="00EC4C64"/>
    <w:rsid w:val="00EC5E2B"/>
    <w:rsid w:val="00EC6F7A"/>
    <w:rsid w:val="00EC7F53"/>
    <w:rsid w:val="00ED1FEB"/>
    <w:rsid w:val="00ED2168"/>
    <w:rsid w:val="00ED3D88"/>
    <w:rsid w:val="00ED65A7"/>
    <w:rsid w:val="00ED73CC"/>
    <w:rsid w:val="00EE01A9"/>
    <w:rsid w:val="00EE0624"/>
    <w:rsid w:val="00EE55F6"/>
    <w:rsid w:val="00EE6E9F"/>
    <w:rsid w:val="00EE79F2"/>
    <w:rsid w:val="00EE7DFD"/>
    <w:rsid w:val="00EF2456"/>
    <w:rsid w:val="00EF4057"/>
    <w:rsid w:val="00EF43F7"/>
    <w:rsid w:val="00EF4794"/>
    <w:rsid w:val="00EF5D28"/>
    <w:rsid w:val="00EF72EB"/>
    <w:rsid w:val="00F018EA"/>
    <w:rsid w:val="00F01E32"/>
    <w:rsid w:val="00F01E37"/>
    <w:rsid w:val="00F0282A"/>
    <w:rsid w:val="00F0526E"/>
    <w:rsid w:val="00F06F9E"/>
    <w:rsid w:val="00F07AD5"/>
    <w:rsid w:val="00F1107B"/>
    <w:rsid w:val="00F121E4"/>
    <w:rsid w:val="00F12611"/>
    <w:rsid w:val="00F1282E"/>
    <w:rsid w:val="00F128C1"/>
    <w:rsid w:val="00F140E1"/>
    <w:rsid w:val="00F17971"/>
    <w:rsid w:val="00F17B6D"/>
    <w:rsid w:val="00F17F95"/>
    <w:rsid w:val="00F2020B"/>
    <w:rsid w:val="00F22303"/>
    <w:rsid w:val="00F24A85"/>
    <w:rsid w:val="00F25D31"/>
    <w:rsid w:val="00F2675A"/>
    <w:rsid w:val="00F30D7B"/>
    <w:rsid w:val="00F31AC1"/>
    <w:rsid w:val="00F354D2"/>
    <w:rsid w:val="00F3561F"/>
    <w:rsid w:val="00F35ED0"/>
    <w:rsid w:val="00F35F84"/>
    <w:rsid w:val="00F368E8"/>
    <w:rsid w:val="00F36BB9"/>
    <w:rsid w:val="00F36F34"/>
    <w:rsid w:val="00F40689"/>
    <w:rsid w:val="00F40A1E"/>
    <w:rsid w:val="00F40ED8"/>
    <w:rsid w:val="00F41879"/>
    <w:rsid w:val="00F41BDE"/>
    <w:rsid w:val="00F43F70"/>
    <w:rsid w:val="00F44776"/>
    <w:rsid w:val="00F45590"/>
    <w:rsid w:val="00F45C10"/>
    <w:rsid w:val="00F46C5C"/>
    <w:rsid w:val="00F46C82"/>
    <w:rsid w:val="00F47E97"/>
    <w:rsid w:val="00F47ECA"/>
    <w:rsid w:val="00F528E7"/>
    <w:rsid w:val="00F529AE"/>
    <w:rsid w:val="00F5494F"/>
    <w:rsid w:val="00F55A27"/>
    <w:rsid w:val="00F55D58"/>
    <w:rsid w:val="00F60D2A"/>
    <w:rsid w:val="00F636E8"/>
    <w:rsid w:val="00F63899"/>
    <w:rsid w:val="00F65E0A"/>
    <w:rsid w:val="00F65ED5"/>
    <w:rsid w:val="00F66009"/>
    <w:rsid w:val="00F6679E"/>
    <w:rsid w:val="00F7014F"/>
    <w:rsid w:val="00F70AB7"/>
    <w:rsid w:val="00F72BA3"/>
    <w:rsid w:val="00F73AA3"/>
    <w:rsid w:val="00F74FCE"/>
    <w:rsid w:val="00F7523E"/>
    <w:rsid w:val="00F806BA"/>
    <w:rsid w:val="00F80AF0"/>
    <w:rsid w:val="00F80C57"/>
    <w:rsid w:val="00F80F37"/>
    <w:rsid w:val="00F828A9"/>
    <w:rsid w:val="00F83221"/>
    <w:rsid w:val="00F838C0"/>
    <w:rsid w:val="00F8437D"/>
    <w:rsid w:val="00F854AB"/>
    <w:rsid w:val="00F86C71"/>
    <w:rsid w:val="00F86D91"/>
    <w:rsid w:val="00F87B44"/>
    <w:rsid w:val="00F87E83"/>
    <w:rsid w:val="00F91910"/>
    <w:rsid w:val="00F91E65"/>
    <w:rsid w:val="00F92130"/>
    <w:rsid w:val="00F922B8"/>
    <w:rsid w:val="00F93D49"/>
    <w:rsid w:val="00F94666"/>
    <w:rsid w:val="00F953EC"/>
    <w:rsid w:val="00FA06DE"/>
    <w:rsid w:val="00FA11A4"/>
    <w:rsid w:val="00FA31F3"/>
    <w:rsid w:val="00FA49A1"/>
    <w:rsid w:val="00FA6E81"/>
    <w:rsid w:val="00FA726F"/>
    <w:rsid w:val="00FA7599"/>
    <w:rsid w:val="00FA7A94"/>
    <w:rsid w:val="00FB00DA"/>
    <w:rsid w:val="00FB0598"/>
    <w:rsid w:val="00FB1282"/>
    <w:rsid w:val="00FB2B68"/>
    <w:rsid w:val="00FB34A9"/>
    <w:rsid w:val="00FB355B"/>
    <w:rsid w:val="00FB3F35"/>
    <w:rsid w:val="00FB569B"/>
    <w:rsid w:val="00FB6712"/>
    <w:rsid w:val="00FC01F4"/>
    <w:rsid w:val="00FC2954"/>
    <w:rsid w:val="00FC2FAB"/>
    <w:rsid w:val="00FC3464"/>
    <w:rsid w:val="00FC373D"/>
    <w:rsid w:val="00FC3740"/>
    <w:rsid w:val="00FC4131"/>
    <w:rsid w:val="00FC58A8"/>
    <w:rsid w:val="00FC6F72"/>
    <w:rsid w:val="00FC7856"/>
    <w:rsid w:val="00FC7F00"/>
    <w:rsid w:val="00FD02A3"/>
    <w:rsid w:val="00FD06C8"/>
    <w:rsid w:val="00FD0894"/>
    <w:rsid w:val="00FD0E85"/>
    <w:rsid w:val="00FD132F"/>
    <w:rsid w:val="00FD1C7A"/>
    <w:rsid w:val="00FD31CB"/>
    <w:rsid w:val="00FD5966"/>
    <w:rsid w:val="00FD5D1A"/>
    <w:rsid w:val="00FD66D7"/>
    <w:rsid w:val="00FD6C6A"/>
    <w:rsid w:val="00FE079E"/>
    <w:rsid w:val="00FE08E5"/>
    <w:rsid w:val="00FE1367"/>
    <w:rsid w:val="00FE1D06"/>
    <w:rsid w:val="00FE2D44"/>
    <w:rsid w:val="00FE327F"/>
    <w:rsid w:val="00FE32F2"/>
    <w:rsid w:val="00FE336E"/>
    <w:rsid w:val="00FE3665"/>
    <w:rsid w:val="00FE3EE1"/>
    <w:rsid w:val="00FE75BA"/>
    <w:rsid w:val="00FE7B2B"/>
    <w:rsid w:val="00FF002C"/>
    <w:rsid w:val="00FF0644"/>
    <w:rsid w:val="00FF0882"/>
    <w:rsid w:val="00FF19AA"/>
    <w:rsid w:val="00FF22AB"/>
    <w:rsid w:val="00FF3B4A"/>
    <w:rsid w:val="00FF3B5B"/>
    <w:rsid w:val="00FF524D"/>
    <w:rsid w:val="00FF59B5"/>
    <w:rsid w:val="00FF72CD"/>
    <w:rsid w:val="00FF7527"/>
    <w:rsid w:val="0A26ADFE"/>
    <w:rsid w:val="11EB18B7"/>
    <w:rsid w:val="11F7135F"/>
    <w:rsid w:val="176F01FE"/>
    <w:rsid w:val="1C00518B"/>
    <w:rsid w:val="2385F390"/>
    <w:rsid w:val="3E80D0E9"/>
    <w:rsid w:val="46244E97"/>
    <w:rsid w:val="493BB78C"/>
    <w:rsid w:val="4E8E4954"/>
    <w:rsid w:val="532D2B9E"/>
    <w:rsid w:val="549C41C2"/>
    <w:rsid w:val="562BE188"/>
    <w:rsid w:val="5C801B62"/>
    <w:rsid w:val="5D045C8C"/>
    <w:rsid w:val="696B82EE"/>
    <w:rsid w:val="6CF3F32F"/>
    <w:rsid w:val="6E04A9A3"/>
    <w:rsid w:val="6EFF47D2"/>
    <w:rsid w:val="7B762D2B"/>
    <w:rsid w:val="7C90E32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7A287D"/>
  <w15:chartTrackingRefBased/>
  <w15:docId w15:val="{771798F6-7D72-4FA9-9980-62EF73AEF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136"/>
  </w:style>
  <w:style w:type="paragraph" w:styleId="Ttulo1">
    <w:name w:val="heading 1"/>
    <w:basedOn w:val="Normal"/>
    <w:next w:val="Normal"/>
    <w:link w:val="Ttulo1Car"/>
    <w:autoRedefine/>
    <w:uiPriority w:val="9"/>
    <w:qFormat/>
    <w:rsid w:val="000C09D1"/>
    <w:pPr>
      <w:keepNext/>
      <w:keepLines/>
      <w:spacing w:after="0" w:line="240" w:lineRule="auto"/>
      <w:jc w:val="center"/>
      <w:outlineLvl w:val="0"/>
    </w:pPr>
    <w:rPr>
      <w:rFonts w:ascii="Times New Roman" w:eastAsiaTheme="majorEastAsia" w:hAnsi="Times New Roman" w:cs="Times New Roman"/>
      <w:b/>
      <w:smallCaps/>
      <w:snapToGrid w:val="0"/>
    </w:rPr>
  </w:style>
  <w:style w:type="paragraph" w:styleId="Ttulo2">
    <w:name w:val="heading 2"/>
    <w:basedOn w:val="Normal"/>
    <w:next w:val="Normal"/>
    <w:link w:val="Ttulo2Car"/>
    <w:autoRedefine/>
    <w:uiPriority w:val="9"/>
    <w:unhideWhenUsed/>
    <w:qFormat/>
    <w:rsid w:val="000C09D1"/>
    <w:pPr>
      <w:keepNext/>
      <w:keepLines/>
      <w:spacing w:before="120" w:after="120" w:line="240" w:lineRule="auto"/>
      <w:jc w:val="center"/>
      <w:outlineLvl w:val="1"/>
    </w:pPr>
    <w:rPr>
      <w:rFonts w:ascii="Times New Roman" w:eastAsiaTheme="majorEastAsia" w:hAnsi="Times New Roman" w:cs="Times New Roman"/>
      <w:b/>
      <w:snapToGrid w:val="0"/>
    </w:rPr>
  </w:style>
  <w:style w:type="paragraph" w:styleId="Ttulo3">
    <w:name w:val="heading 3"/>
    <w:basedOn w:val="Normal"/>
    <w:next w:val="Normal"/>
    <w:link w:val="Ttulo3Car"/>
    <w:autoRedefine/>
    <w:uiPriority w:val="9"/>
    <w:unhideWhenUsed/>
    <w:qFormat/>
    <w:rsid w:val="00105FB1"/>
    <w:pPr>
      <w:keepNext/>
      <w:keepLines/>
      <w:spacing w:before="240" w:after="240" w:line="240" w:lineRule="auto"/>
      <w:outlineLvl w:val="2"/>
    </w:pPr>
    <w:rPr>
      <w:rFonts w:eastAsiaTheme="majorEastAsia" w:cstheme="majorBidi"/>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n,Geneva 9,Font: Geneva 9,Boston 10,f,Testo nota a piè di pagina Carattere Carattere,Testo nota a piè di pagina Carattere,Testo nota a piè di pagina Carattere1 Carattere,Testo nota a piè di pagina Carattere Carattere Carattere Carattere"/>
    <w:basedOn w:val="Normal"/>
    <w:link w:val="TextonotapieCar"/>
    <w:autoRedefine/>
    <w:unhideWhenUsed/>
    <w:qFormat/>
    <w:rsid w:val="00513C2B"/>
    <w:pPr>
      <w:suppressLineNumbers/>
      <w:suppressAutoHyphens/>
      <w:spacing w:after="0" w:line="240" w:lineRule="auto"/>
    </w:pPr>
    <w:rPr>
      <w:rFonts w:ascii="Times New Roman" w:eastAsiaTheme="minorEastAsia" w:hAnsi="Times New Roman" w:cs="Times New Roman"/>
      <w:sz w:val="18"/>
      <w:szCs w:val="18"/>
    </w:rPr>
  </w:style>
  <w:style w:type="character" w:customStyle="1" w:styleId="TextonotapieCar">
    <w:name w:val="Texto nota pie Car"/>
    <w:aliases w:val="fn Car,Geneva 9 Car,Font: Geneva 9 Car,Boston 10 Car,f Car,Testo nota a piè di pagina Carattere Carattere Car,Testo nota a piè di pagina Carattere Car,Testo nota a piè di pagina Carattere1 Carattere Car"/>
    <w:basedOn w:val="Fuentedeprrafopredeter"/>
    <w:link w:val="Textonotapie"/>
    <w:rsid w:val="00513C2B"/>
    <w:rPr>
      <w:rFonts w:ascii="Times New Roman" w:eastAsiaTheme="minorEastAsia" w:hAnsi="Times New Roman" w:cs="Times New Roman"/>
      <w:sz w:val="18"/>
      <w:szCs w:val="18"/>
      <w:lang w:val="es-ES"/>
    </w:rPr>
  </w:style>
  <w:style w:type="character" w:styleId="Refdenotaalpie">
    <w:name w:val="footnote reference"/>
    <w:aliases w:val="16 Point,Superscript 6 Point,Superscript 6 Point + 11 pt,ftref,Appel note de bas de page,number,Footnote Reference Superscript,-E Fußnotenzeichen,(Diplomarbeit FZ),(Diplomarbeit FZ)1,(Diplomarbeit FZ)2,(Diplomarbeit FZ)3,16 Poin"/>
    <w:basedOn w:val="Fuentedeprrafopredeter"/>
    <w:link w:val="CharChar1CharCharCharChar1CharCharCharCharCharCharCharChar"/>
    <w:unhideWhenUsed/>
    <w:qFormat/>
    <w:rsid w:val="00CB2F0E"/>
    <w:rPr>
      <w:vertAlign w:val="superscript"/>
    </w:rPr>
  </w:style>
  <w:style w:type="character" w:styleId="Hipervnculo">
    <w:name w:val="Hyperlink"/>
    <w:basedOn w:val="Fuentedeprrafopredeter"/>
    <w:uiPriority w:val="99"/>
    <w:unhideWhenUsed/>
    <w:rsid w:val="006257F6"/>
    <w:rPr>
      <w:color w:val="0563C1" w:themeColor="hyperlink"/>
      <w:u w:val="single"/>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Refdenotaalpie"/>
    <w:rsid w:val="006257F6"/>
    <w:pPr>
      <w:spacing w:line="240" w:lineRule="exact"/>
      <w:jc w:val="both"/>
    </w:pPr>
    <w:rPr>
      <w:vertAlign w:val="superscript"/>
    </w:rPr>
  </w:style>
  <w:style w:type="paragraph" w:styleId="Textodeglobo">
    <w:name w:val="Balloon Text"/>
    <w:basedOn w:val="Normal"/>
    <w:link w:val="TextodegloboCar"/>
    <w:uiPriority w:val="99"/>
    <w:semiHidden/>
    <w:unhideWhenUsed/>
    <w:rsid w:val="006257F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257F6"/>
    <w:rPr>
      <w:rFonts w:ascii="Segoe UI" w:hAnsi="Segoe UI" w:cs="Segoe UI"/>
      <w:sz w:val="18"/>
      <w:szCs w:val="18"/>
    </w:rPr>
  </w:style>
  <w:style w:type="paragraph" w:styleId="Prrafodelista">
    <w:name w:val="List Paragraph"/>
    <w:basedOn w:val="Normal"/>
    <w:uiPriority w:val="34"/>
    <w:qFormat/>
    <w:rsid w:val="00BC29AF"/>
    <w:pPr>
      <w:ind w:left="720"/>
      <w:contextualSpacing/>
    </w:pPr>
  </w:style>
  <w:style w:type="paragraph" w:customStyle="1" w:styleId="Para1">
    <w:name w:val="Para1"/>
    <w:basedOn w:val="Normal"/>
    <w:rsid w:val="00FB355B"/>
    <w:pPr>
      <w:numPr>
        <w:numId w:val="11"/>
      </w:numPr>
      <w:spacing w:after="120" w:line="240" w:lineRule="auto"/>
    </w:pPr>
    <w:rPr>
      <w:rFonts w:ascii="Times New Roman" w:eastAsia="MS Mincho" w:hAnsi="Times New Roman" w:cs="Angsana New"/>
      <w:snapToGrid w:val="0"/>
      <w:szCs w:val="18"/>
    </w:rPr>
  </w:style>
  <w:style w:type="paragraph" w:customStyle="1" w:styleId="Para3">
    <w:name w:val="Para3"/>
    <w:basedOn w:val="Normal"/>
    <w:rsid w:val="00FB355B"/>
    <w:pPr>
      <w:numPr>
        <w:ilvl w:val="2"/>
        <w:numId w:val="11"/>
      </w:numPr>
      <w:tabs>
        <w:tab w:val="left" w:pos="1980"/>
      </w:tabs>
      <w:spacing w:before="80" w:after="80" w:line="240" w:lineRule="auto"/>
    </w:pPr>
    <w:rPr>
      <w:rFonts w:ascii="Times New Roman" w:eastAsia="MS Mincho" w:hAnsi="Times New Roman" w:cs="Angsana New"/>
      <w:szCs w:val="20"/>
    </w:rPr>
  </w:style>
  <w:style w:type="table" w:styleId="Tablaconcuadrcula">
    <w:name w:val="Table Grid"/>
    <w:basedOn w:val="Tablanormal"/>
    <w:uiPriority w:val="39"/>
    <w:rsid w:val="00273B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230D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230D9"/>
  </w:style>
  <w:style w:type="paragraph" w:styleId="Piedepgina">
    <w:name w:val="footer"/>
    <w:basedOn w:val="Normal"/>
    <w:link w:val="PiedepginaCar"/>
    <w:uiPriority w:val="99"/>
    <w:unhideWhenUsed/>
    <w:rsid w:val="009230D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230D9"/>
  </w:style>
  <w:style w:type="character" w:styleId="Refdecomentario">
    <w:name w:val="annotation reference"/>
    <w:basedOn w:val="Fuentedeprrafopredeter"/>
    <w:uiPriority w:val="99"/>
    <w:semiHidden/>
    <w:unhideWhenUsed/>
    <w:rsid w:val="000A6F0C"/>
    <w:rPr>
      <w:sz w:val="16"/>
      <w:szCs w:val="16"/>
    </w:rPr>
  </w:style>
  <w:style w:type="paragraph" w:styleId="Textocomentario">
    <w:name w:val="annotation text"/>
    <w:basedOn w:val="Normal"/>
    <w:link w:val="TextocomentarioCar"/>
    <w:uiPriority w:val="99"/>
    <w:semiHidden/>
    <w:unhideWhenUsed/>
    <w:rsid w:val="000A6F0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A6F0C"/>
    <w:rPr>
      <w:sz w:val="20"/>
      <w:szCs w:val="20"/>
    </w:rPr>
  </w:style>
  <w:style w:type="paragraph" w:styleId="Asuntodelcomentario">
    <w:name w:val="annotation subject"/>
    <w:basedOn w:val="Textocomentario"/>
    <w:next w:val="Textocomentario"/>
    <w:link w:val="AsuntodelcomentarioCar"/>
    <w:uiPriority w:val="99"/>
    <w:semiHidden/>
    <w:unhideWhenUsed/>
    <w:rsid w:val="000A6F0C"/>
    <w:rPr>
      <w:b/>
      <w:bCs/>
    </w:rPr>
  </w:style>
  <w:style w:type="character" w:customStyle="1" w:styleId="AsuntodelcomentarioCar">
    <w:name w:val="Asunto del comentario Car"/>
    <w:basedOn w:val="TextocomentarioCar"/>
    <w:link w:val="Asuntodelcomentario"/>
    <w:uiPriority w:val="99"/>
    <w:semiHidden/>
    <w:rsid w:val="000A6F0C"/>
    <w:rPr>
      <w:b/>
      <w:bCs/>
      <w:sz w:val="20"/>
      <w:szCs w:val="20"/>
    </w:rPr>
  </w:style>
  <w:style w:type="character" w:styleId="Mencinsinresolver">
    <w:name w:val="Unresolved Mention"/>
    <w:basedOn w:val="Fuentedeprrafopredeter"/>
    <w:uiPriority w:val="99"/>
    <w:semiHidden/>
    <w:unhideWhenUsed/>
    <w:rsid w:val="00970CE4"/>
    <w:rPr>
      <w:color w:val="605E5C"/>
      <w:shd w:val="clear" w:color="auto" w:fill="E1DFDD"/>
    </w:rPr>
  </w:style>
  <w:style w:type="table" w:styleId="Tablanormal4">
    <w:name w:val="Plain Table 4"/>
    <w:basedOn w:val="Tablanormal"/>
    <w:uiPriority w:val="44"/>
    <w:rsid w:val="000631E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2C6D8B"/>
    <w:rPr>
      <w:color w:val="800080"/>
      <w:u w:val="single"/>
    </w:rPr>
  </w:style>
  <w:style w:type="paragraph" w:customStyle="1" w:styleId="msonormal0">
    <w:name w:val="msonormal"/>
    <w:basedOn w:val="Normal"/>
    <w:rsid w:val="002C6D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2C6D8B"/>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6">
    <w:name w:val="font6"/>
    <w:basedOn w:val="Normal"/>
    <w:rsid w:val="002C6D8B"/>
    <w:pPr>
      <w:spacing w:before="100" w:beforeAutospacing="1" w:after="100" w:afterAutospacing="1" w:line="240" w:lineRule="auto"/>
    </w:pPr>
    <w:rPr>
      <w:rFonts w:ascii="Tahoma" w:eastAsia="Times New Roman" w:hAnsi="Tahoma" w:cs="Tahoma"/>
      <w:color w:val="000000"/>
      <w:sz w:val="18"/>
      <w:szCs w:val="18"/>
    </w:rPr>
  </w:style>
  <w:style w:type="paragraph" w:customStyle="1" w:styleId="xl65">
    <w:name w:val="xl65"/>
    <w:basedOn w:val="Normal"/>
    <w:rsid w:val="002C6D8B"/>
    <w:pPr>
      <w:pBdr>
        <w:top w:val="single" w:sz="4" w:space="0" w:color="95B3D7"/>
        <w:bottom w:val="single" w:sz="4" w:space="0" w:color="95B3D7"/>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6">
    <w:name w:val="xl66"/>
    <w:basedOn w:val="Normal"/>
    <w:rsid w:val="002C6D8B"/>
    <w:pPr>
      <w:pBdr>
        <w:top w:val="single" w:sz="4" w:space="0" w:color="95B3D7"/>
        <w:bottom w:val="single" w:sz="4" w:space="0" w:color="95B3D7"/>
      </w:pBdr>
      <w:shd w:val="clear" w:color="DCE6F1" w:fill="DCE6F1"/>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7">
    <w:name w:val="xl67"/>
    <w:basedOn w:val="Normal"/>
    <w:rsid w:val="002C6D8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Normal"/>
    <w:rsid w:val="002C6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2C6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2C6D8B"/>
    <w:pPr>
      <w:spacing w:before="100" w:beforeAutospacing="1" w:after="100" w:afterAutospacing="1" w:line="240" w:lineRule="auto"/>
    </w:pPr>
    <w:rPr>
      <w:rFonts w:ascii="Times New Roman" w:eastAsia="Times New Roman" w:hAnsi="Times New Roman" w:cs="Times New Roman"/>
      <w:color w:val="0000FF"/>
      <w:sz w:val="24"/>
      <w:szCs w:val="24"/>
      <w:u w:val="single"/>
    </w:rPr>
  </w:style>
  <w:style w:type="paragraph" w:customStyle="1" w:styleId="xl71">
    <w:name w:val="xl71"/>
    <w:basedOn w:val="Normal"/>
    <w:rsid w:val="002C6D8B"/>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2C6D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2C6D8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2C6D8B"/>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xl75">
    <w:name w:val="xl75"/>
    <w:basedOn w:val="Normal"/>
    <w:rsid w:val="002C6D8B"/>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2C6D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2C6D8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Normal"/>
    <w:rsid w:val="002C6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2C6D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2C6D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0C09D1"/>
    <w:rPr>
      <w:rFonts w:ascii="Times New Roman" w:eastAsiaTheme="majorEastAsia" w:hAnsi="Times New Roman" w:cs="Times New Roman"/>
      <w:b/>
      <w:smallCaps/>
      <w:snapToGrid w:val="0"/>
      <w:lang w:val="es-ES"/>
    </w:rPr>
  </w:style>
  <w:style w:type="character" w:customStyle="1" w:styleId="Ttulo2Car">
    <w:name w:val="Título 2 Car"/>
    <w:basedOn w:val="Fuentedeprrafopredeter"/>
    <w:link w:val="Ttulo2"/>
    <w:uiPriority w:val="9"/>
    <w:rsid w:val="000C09D1"/>
    <w:rPr>
      <w:rFonts w:ascii="Times New Roman" w:eastAsiaTheme="majorEastAsia" w:hAnsi="Times New Roman" w:cs="Times New Roman"/>
      <w:b/>
      <w:snapToGrid w:val="0"/>
      <w:lang w:val="es-ES"/>
    </w:rPr>
  </w:style>
  <w:style w:type="character" w:customStyle="1" w:styleId="Ttulo3Car">
    <w:name w:val="Título 3 Car"/>
    <w:basedOn w:val="Fuentedeprrafopredeter"/>
    <w:link w:val="Ttulo3"/>
    <w:uiPriority w:val="9"/>
    <w:rsid w:val="00105FB1"/>
    <w:rPr>
      <w:rFonts w:eastAsiaTheme="majorEastAsia" w:cstheme="majorBidi"/>
      <w:i/>
      <w:sz w:val="24"/>
      <w:szCs w:val="24"/>
    </w:rPr>
  </w:style>
  <w:style w:type="paragraph" w:styleId="TDC2">
    <w:name w:val="toc 2"/>
    <w:basedOn w:val="Normal"/>
    <w:next w:val="Normal"/>
    <w:autoRedefine/>
    <w:uiPriority w:val="39"/>
    <w:unhideWhenUsed/>
    <w:rsid w:val="00287596"/>
    <w:pPr>
      <w:tabs>
        <w:tab w:val="right" w:leader="dot" w:pos="9360"/>
      </w:tabs>
      <w:spacing w:after="100"/>
      <w:ind w:left="720"/>
    </w:pPr>
  </w:style>
  <w:style w:type="paragraph" w:styleId="TDC1">
    <w:name w:val="toc 1"/>
    <w:basedOn w:val="Normal"/>
    <w:next w:val="Normal"/>
    <w:autoRedefine/>
    <w:uiPriority w:val="39"/>
    <w:unhideWhenUsed/>
    <w:rsid w:val="00211E4B"/>
    <w:pPr>
      <w:tabs>
        <w:tab w:val="left" w:pos="440"/>
        <w:tab w:val="right" w:leader="dot" w:pos="9350"/>
      </w:tabs>
      <w:spacing w:after="100"/>
      <w:jc w:val="both"/>
    </w:pPr>
  </w:style>
  <w:style w:type="paragraph" w:styleId="TDC3">
    <w:name w:val="toc 3"/>
    <w:basedOn w:val="Normal"/>
    <w:next w:val="Normal"/>
    <w:autoRedefine/>
    <w:uiPriority w:val="39"/>
    <w:unhideWhenUsed/>
    <w:rsid w:val="00E45276"/>
    <w:pPr>
      <w:spacing w:after="100"/>
      <w:ind w:left="1008"/>
    </w:pPr>
  </w:style>
  <w:style w:type="paragraph" w:customStyle="1" w:styleId="HEADINGNOTFORTOC">
    <w:name w:val="HEADING (NOT FOR TOC)"/>
    <w:basedOn w:val="Ttulo1"/>
    <w:next w:val="Ttulo2"/>
    <w:rsid w:val="00AF2846"/>
    <w:pPr>
      <w:keepLines w:val="0"/>
      <w:tabs>
        <w:tab w:val="left" w:pos="720"/>
      </w:tabs>
      <w:spacing w:before="240" w:after="120"/>
    </w:pPr>
    <w:rPr>
      <w:rFonts w:eastAsia="Times New Roman"/>
      <w:caps/>
      <w:smallCaps w:val="0"/>
      <w:szCs w:val="24"/>
    </w:rPr>
  </w:style>
  <w:style w:type="paragraph" w:customStyle="1" w:styleId="meetingname">
    <w:name w:val="meeting name"/>
    <w:basedOn w:val="Normal"/>
    <w:qFormat/>
    <w:rsid w:val="00AF2846"/>
    <w:pPr>
      <w:spacing w:after="0" w:line="240" w:lineRule="auto"/>
      <w:ind w:left="170" w:right="3119" w:hanging="170"/>
    </w:pPr>
    <w:rPr>
      <w:rFonts w:ascii="Times New Roman" w:eastAsia="Malgun Gothic" w:hAnsi="Times New Roman" w:cs="Times New Roman"/>
      <w:caps/>
      <w:snapToGrid w:val="0"/>
      <w:sz w:val="24"/>
      <w:szCs w:val="24"/>
    </w:rPr>
  </w:style>
  <w:style w:type="paragraph" w:customStyle="1" w:styleId="BVIfnrChar">
    <w:name w:val="BVI fnr Char"/>
    <w:aliases w:val=" BVI fnr Car Car Char,BVI fnr Car Char, BVI fnr Car Car Car Car Char Char,BVI fnr Car Car Char,BVI fnr Car Car Car Car Char, BVI fnr Car Char, BVI fnr Car Car Car Char, BVI fnr Car Car Car Car Car Char,BVI fnr Car Car Car Char"/>
    <w:basedOn w:val="Normal"/>
    <w:uiPriority w:val="99"/>
    <w:rsid w:val="00AF2846"/>
    <w:pPr>
      <w:spacing w:line="240" w:lineRule="exact"/>
      <w:jc w:val="both"/>
    </w:pPr>
    <w:rPr>
      <w:rFonts w:ascii="Times New Roman" w:eastAsia="MS Mincho" w:hAnsi="Times New Roman" w:cs="Times New Roman"/>
      <w:sz w:val="18"/>
      <w:szCs w:val="20"/>
      <w:u w:val="single"/>
    </w:rPr>
  </w:style>
  <w:style w:type="character" w:styleId="Textodelmarcadordeposicin">
    <w:name w:val="Placeholder Text"/>
    <w:basedOn w:val="Fuentedeprrafopredeter"/>
    <w:uiPriority w:val="99"/>
    <w:semiHidden/>
    <w:rsid w:val="00AF2846"/>
    <w:rPr>
      <w:color w:val="808080"/>
    </w:rPr>
  </w:style>
  <w:style w:type="character" w:customStyle="1" w:styleId="UnresolvedMention1">
    <w:name w:val="Unresolved Mention1"/>
    <w:basedOn w:val="Fuentedeprrafopredeter"/>
    <w:uiPriority w:val="99"/>
    <w:semiHidden/>
    <w:unhideWhenUsed/>
    <w:rsid w:val="005B2641"/>
    <w:rPr>
      <w:color w:val="605E5C"/>
      <w:shd w:val="clear" w:color="auto" w:fill="E1DFDD"/>
    </w:rPr>
  </w:style>
  <w:style w:type="table" w:customStyle="1" w:styleId="Tablanormal41">
    <w:name w:val="Tabla normal 41"/>
    <w:basedOn w:val="Tablanormal"/>
    <w:uiPriority w:val="44"/>
    <w:rsid w:val="005B264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tulo">
    <w:name w:val="Title"/>
    <w:basedOn w:val="Normal"/>
    <w:link w:val="TtuloCar"/>
    <w:qFormat/>
    <w:rsid w:val="005B2641"/>
    <w:pPr>
      <w:spacing w:after="0" w:line="240" w:lineRule="auto"/>
      <w:jc w:val="center"/>
    </w:pPr>
    <w:rPr>
      <w:rFonts w:ascii="Times New Roman" w:eastAsia="MS Mincho" w:hAnsi="Times New Roman" w:cs="Angsana New"/>
      <w:i/>
      <w:iCs/>
      <w:szCs w:val="24"/>
      <w:lang w:eastAsia="es-ES"/>
    </w:rPr>
  </w:style>
  <w:style w:type="character" w:customStyle="1" w:styleId="TtuloCar">
    <w:name w:val="Título Car"/>
    <w:basedOn w:val="Fuentedeprrafopredeter"/>
    <w:link w:val="Ttulo"/>
    <w:rsid w:val="005B2641"/>
    <w:rPr>
      <w:rFonts w:ascii="Times New Roman" w:eastAsia="MS Mincho" w:hAnsi="Times New Roman" w:cs="Angsana New"/>
      <w:i/>
      <w:iCs/>
      <w:szCs w:val="24"/>
      <w:lang w:eastAsia="es-ES"/>
    </w:rPr>
  </w:style>
  <w:style w:type="paragraph" w:styleId="Revisin">
    <w:name w:val="Revision"/>
    <w:hidden/>
    <w:uiPriority w:val="99"/>
    <w:semiHidden/>
    <w:rsid w:val="005B26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3824484">
      <w:bodyDiv w:val="1"/>
      <w:marLeft w:val="0"/>
      <w:marRight w:val="0"/>
      <w:marTop w:val="0"/>
      <w:marBottom w:val="0"/>
      <w:divBdr>
        <w:top w:val="none" w:sz="0" w:space="0" w:color="auto"/>
        <w:left w:val="none" w:sz="0" w:space="0" w:color="auto"/>
        <w:bottom w:val="none" w:sz="0" w:space="0" w:color="auto"/>
        <w:right w:val="none" w:sz="0" w:space="0" w:color="auto"/>
      </w:divBdr>
    </w:div>
    <w:div w:id="392240787">
      <w:bodyDiv w:val="1"/>
      <w:marLeft w:val="0"/>
      <w:marRight w:val="0"/>
      <w:marTop w:val="0"/>
      <w:marBottom w:val="0"/>
      <w:divBdr>
        <w:top w:val="none" w:sz="0" w:space="0" w:color="auto"/>
        <w:left w:val="none" w:sz="0" w:space="0" w:color="auto"/>
        <w:bottom w:val="none" w:sz="0" w:space="0" w:color="auto"/>
        <w:right w:val="none" w:sz="0" w:space="0" w:color="auto"/>
      </w:divBdr>
    </w:div>
    <w:div w:id="397484473">
      <w:bodyDiv w:val="1"/>
      <w:marLeft w:val="0"/>
      <w:marRight w:val="0"/>
      <w:marTop w:val="0"/>
      <w:marBottom w:val="0"/>
      <w:divBdr>
        <w:top w:val="none" w:sz="0" w:space="0" w:color="auto"/>
        <w:left w:val="none" w:sz="0" w:space="0" w:color="auto"/>
        <w:bottom w:val="none" w:sz="0" w:space="0" w:color="auto"/>
        <w:right w:val="none" w:sz="0" w:space="0" w:color="auto"/>
      </w:divBdr>
    </w:div>
    <w:div w:id="405618028">
      <w:bodyDiv w:val="1"/>
      <w:marLeft w:val="0"/>
      <w:marRight w:val="0"/>
      <w:marTop w:val="0"/>
      <w:marBottom w:val="0"/>
      <w:divBdr>
        <w:top w:val="none" w:sz="0" w:space="0" w:color="auto"/>
        <w:left w:val="none" w:sz="0" w:space="0" w:color="auto"/>
        <w:bottom w:val="none" w:sz="0" w:space="0" w:color="auto"/>
        <w:right w:val="none" w:sz="0" w:space="0" w:color="auto"/>
      </w:divBdr>
    </w:div>
    <w:div w:id="420881569">
      <w:bodyDiv w:val="1"/>
      <w:marLeft w:val="0"/>
      <w:marRight w:val="0"/>
      <w:marTop w:val="0"/>
      <w:marBottom w:val="0"/>
      <w:divBdr>
        <w:top w:val="none" w:sz="0" w:space="0" w:color="auto"/>
        <w:left w:val="none" w:sz="0" w:space="0" w:color="auto"/>
        <w:bottom w:val="none" w:sz="0" w:space="0" w:color="auto"/>
        <w:right w:val="none" w:sz="0" w:space="0" w:color="auto"/>
      </w:divBdr>
    </w:div>
    <w:div w:id="468595302">
      <w:bodyDiv w:val="1"/>
      <w:marLeft w:val="0"/>
      <w:marRight w:val="0"/>
      <w:marTop w:val="0"/>
      <w:marBottom w:val="0"/>
      <w:divBdr>
        <w:top w:val="none" w:sz="0" w:space="0" w:color="auto"/>
        <w:left w:val="none" w:sz="0" w:space="0" w:color="auto"/>
        <w:bottom w:val="none" w:sz="0" w:space="0" w:color="auto"/>
        <w:right w:val="none" w:sz="0" w:space="0" w:color="auto"/>
      </w:divBdr>
    </w:div>
    <w:div w:id="661399083">
      <w:bodyDiv w:val="1"/>
      <w:marLeft w:val="0"/>
      <w:marRight w:val="0"/>
      <w:marTop w:val="0"/>
      <w:marBottom w:val="0"/>
      <w:divBdr>
        <w:top w:val="none" w:sz="0" w:space="0" w:color="auto"/>
        <w:left w:val="none" w:sz="0" w:space="0" w:color="auto"/>
        <w:bottom w:val="none" w:sz="0" w:space="0" w:color="auto"/>
        <w:right w:val="none" w:sz="0" w:space="0" w:color="auto"/>
      </w:divBdr>
    </w:div>
    <w:div w:id="788623227">
      <w:bodyDiv w:val="1"/>
      <w:marLeft w:val="0"/>
      <w:marRight w:val="0"/>
      <w:marTop w:val="0"/>
      <w:marBottom w:val="0"/>
      <w:divBdr>
        <w:top w:val="none" w:sz="0" w:space="0" w:color="auto"/>
        <w:left w:val="none" w:sz="0" w:space="0" w:color="auto"/>
        <w:bottom w:val="none" w:sz="0" w:space="0" w:color="auto"/>
        <w:right w:val="none" w:sz="0" w:space="0" w:color="auto"/>
      </w:divBdr>
    </w:div>
    <w:div w:id="874077343">
      <w:bodyDiv w:val="1"/>
      <w:marLeft w:val="0"/>
      <w:marRight w:val="0"/>
      <w:marTop w:val="0"/>
      <w:marBottom w:val="0"/>
      <w:divBdr>
        <w:top w:val="none" w:sz="0" w:space="0" w:color="auto"/>
        <w:left w:val="none" w:sz="0" w:space="0" w:color="auto"/>
        <w:bottom w:val="none" w:sz="0" w:space="0" w:color="auto"/>
        <w:right w:val="none" w:sz="0" w:space="0" w:color="auto"/>
      </w:divBdr>
    </w:div>
    <w:div w:id="884828222">
      <w:bodyDiv w:val="1"/>
      <w:marLeft w:val="0"/>
      <w:marRight w:val="0"/>
      <w:marTop w:val="0"/>
      <w:marBottom w:val="0"/>
      <w:divBdr>
        <w:top w:val="none" w:sz="0" w:space="0" w:color="auto"/>
        <w:left w:val="none" w:sz="0" w:space="0" w:color="auto"/>
        <w:bottom w:val="none" w:sz="0" w:space="0" w:color="auto"/>
        <w:right w:val="none" w:sz="0" w:space="0" w:color="auto"/>
      </w:divBdr>
    </w:div>
    <w:div w:id="953287482">
      <w:bodyDiv w:val="1"/>
      <w:marLeft w:val="0"/>
      <w:marRight w:val="0"/>
      <w:marTop w:val="0"/>
      <w:marBottom w:val="0"/>
      <w:divBdr>
        <w:top w:val="none" w:sz="0" w:space="0" w:color="auto"/>
        <w:left w:val="none" w:sz="0" w:space="0" w:color="auto"/>
        <w:bottom w:val="none" w:sz="0" w:space="0" w:color="auto"/>
        <w:right w:val="none" w:sz="0" w:space="0" w:color="auto"/>
      </w:divBdr>
      <w:divsChild>
        <w:div w:id="76874063">
          <w:marLeft w:val="0"/>
          <w:marRight w:val="0"/>
          <w:marTop w:val="0"/>
          <w:marBottom w:val="0"/>
          <w:divBdr>
            <w:top w:val="none" w:sz="0" w:space="0" w:color="auto"/>
            <w:left w:val="none" w:sz="0" w:space="0" w:color="auto"/>
            <w:bottom w:val="none" w:sz="0" w:space="0" w:color="auto"/>
            <w:right w:val="none" w:sz="0" w:space="0" w:color="auto"/>
          </w:divBdr>
        </w:div>
      </w:divsChild>
    </w:div>
    <w:div w:id="1010912092">
      <w:bodyDiv w:val="1"/>
      <w:marLeft w:val="0"/>
      <w:marRight w:val="0"/>
      <w:marTop w:val="0"/>
      <w:marBottom w:val="0"/>
      <w:divBdr>
        <w:top w:val="none" w:sz="0" w:space="0" w:color="auto"/>
        <w:left w:val="none" w:sz="0" w:space="0" w:color="auto"/>
        <w:bottom w:val="none" w:sz="0" w:space="0" w:color="auto"/>
        <w:right w:val="none" w:sz="0" w:space="0" w:color="auto"/>
      </w:divBdr>
    </w:div>
    <w:div w:id="1135566945">
      <w:bodyDiv w:val="1"/>
      <w:marLeft w:val="0"/>
      <w:marRight w:val="0"/>
      <w:marTop w:val="0"/>
      <w:marBottom w:val="0"/>
      <w:divBdr>
        <w:top w:val="none" w:sz="0" w:space="0" w:color="auto"/>
        <w:left w:val="none" w:sz="0" w:space="0" w:color="auto"/>
        <w:bottom w:val="none" w:sz="0" w:space="0" w:color="auto"/>
        <w:right w:val="none" w:sz="0" w:space="0" w:color="auto"/>
      </w:divBdr>
    </w:div>
    <w:div w:id="1146240466">
      <w:bodyDiv w:val="1"/>
      <w:marLeft w:val="0"/>
      <w:marRight w:val="0"/>
      <w:marTop w:val="0"/>
      <w:marBottom w:val="0"/>
      <w:divBdr>
        <w:top w:val="none" w:sz="0" w:space="0" w:color="auto"/>
        <w:left w:val="none" w:sz="0" w:space="0" w:color="auto"/>
        <w:bottom w:val="none" w:sz="0" w:space="0" w:color="auto"/>
        <w:right w:val="none" w:sz="0" w:space="0" w:color="auto"/>
      </w:divBdr>
      <w:divsChild>
        <w:div w:id="814643664">
          <w:marLeft w:val="0"/>
          <w:marRight w:val="0"/>
          <w:marTop w:val="0"/>
          <w:marBottom w:val="0"/>
          <w:divBdr>
            <w:top w:val="none" w:sz="0" w:space="0" w:color="auto"/>
            <w:left w:val="none" w:sz="0" w:space="0" w:color="auto"/>
            <w:bottom w:val="none" w:sz="0" w:space="0" w:color="auto"/>
            <w:right w:val="none" w:sz="0" w:space="0" w:color="auto"/>
          </w:divBdr>
        </w:div>
      </w:divsChild>
    </w:div>
    <w:div w:id="1788236671">
      <w:bodyDiv w:val="1"/>
      <w:marLeft w:val="0"/>
      <w:marRight w:val="0"/>
      <w:marTop w:val="0"/>
      <w:marBottom w:val="0"/>
      <w:divBdr>
        <w:top w:val="none" w:sz="0" w:space="0" w:color="auto"/>
        <w:left w:val="none" w:sz="0" w:space="0" w:color="auto"/>
        <w:bottom w:val="none" w:sz="0" w:space="0" w:color="auto"/>
        <w:right w:val="none" w:sz="0" w:space="0" w:color="auto"/>
      </w:divBdr>
    </w:div>
    <w:div w:id="1806701807">
      <w:bodyDiv w:val="1"/>
      <w:marLeft w:val="0"/>
      <w:marRight w:val="0"/>
      <w:marTop w:val="0"/>
      <w:marBottom w:val="0"/>
      <w:divBdr>
        <w:top w:val="none" w:sz="0" w:space="0" w:color="auto"/>
        <w:left w:val="none" w:sz="0" w:space="0" w:color="auto"/>
        <w:bottom w:val="none" w:sz="0" w:space="0" w:color="auto"/>
        <w:right w:val="none" w:sz="0" w:space="0" w:color="auto"/>
      </w:divBdr>
    </w:div>
    <w:div w:id="1849323820">
      <w:bodyDiv w:val="1"/>
      <w:marLeft w:val="0"/>
      <w:marRight w:val="0"/>
      <w:marTop w:val="0"/>
      <w:marBottom w:val="0"/>
      <w:divBdr>
        <w:top w:val="none" w:sz="0" w:space="0" w:color="auto"/>
        <w:left w:val="none" w:sz="0" w:space="0" w:color="auto"/>
        <w:bottom w:val="none" w:sz="0" w:space="0" w:color="auto"/>
        <w:right w:val="none" w:sz="0" w:space="0" w:color="auto"/>
      </w:divBdr>
    </w:div>
    <w:div w:id="1916157981">
      <w:bodyDiv w:val="1"/>
      <w:marLeft w:val="0"/>
      <w:marRight w:val="0"/>
      <w:marTop w:val="0"/>
      <w:marBottom w:val="0"/>
      <w:divBdr>
        <w:top w:val="none" w:sz="0" w:space="0" w:color="auto"/>
        <w:left w:val="none" w:sz="0" w:space="0" w:color="auto"/>
        <w:bottom w:val="none" w:sz="0" w:space="0" w:color="auto"/>
        <w:right w:val="none" w:sz="0" w:space="0" w:color="auto"/>
      </w:divBdr>
    </w:div>
    <w:div w:id="1999072434">
      <w:bodyDiv w:val="1"/>
      <w:marLeft w:val="0"/>
      <w:marRight w:val="0"/>
      <w:marTop w:val="0"/>
      <w:marBottom w:val="0"/>
      <w:divBdr>
        <w:top w:val="none" w:sz="0" w:space="0" w:color="auto"/>
        <w:left w:val="none" w:sz="0" w:space="0" w:color="auto"/>
        <w:bottom w:val="none" w:sz="0" w:space="0" w:color="auto"/>
        <w:right w:val="none" w:sz="0" w:space="0" w:color="auto"/>
      </w:divBdr>
    </w:div>
    <w:div w:id="208367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chart" Target="charts/chart5.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5.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chart" Target="charts/chart4.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chart" Target="charts/chart3.xml"/><Relationship Id="rId28"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bd.int/doc/decisions/cop-12/cop-12-dec-30-es.pdf" TargetMode="External"/><Relationship Id="rId22" Type="http://schemas.openxmlformats.org/officeDocument/2006/relationships/chart" Target="charts/chart2.xml"/><Relationship Id="rId27" Type="http://schemas.openxmlformats.org/officeDocument/2006/relationships/image" Target="media/image11.jpeg"/><Relationship Id="rId30" Type="http://schemas.openxmlformats.org/officeDocument/2006/relationships/footer" Target="footer6.xml"/></Relationships>
</file>

<file path=word/_rels/footnotes.xml.rels><?xml version="1.0" encoding="UTF-8" standalone="yes"?>
<Relationships xmlns="http://schemas.openxmlformats.org/package/2006/relationships"><Relationship Id="rId8" Type="http://schemas.openxmlformats.org/officeDocument/2006/relationships/hyperlink" Target="https://www.gefieo.org/evaluations/evaluation-gefs-support-mainstreaming-biodiversity-2018" TargetMode="External"/><Relationship Id="rId3" Type="http://schemas.openxmlformats.org/officeDocument/2006/relationships/hyperlink" Target="https://www.thegef.org/sites/default/files/council-meeting-documents/SP_GEF.C.55.07_ES_Safeguards_1.pdf" TargetMode="External"/><Relationship Id="rId7" Type="http://schemas.openxmlformats.org/officeDocument/2006/relationships/hyperlink" Target="https://www.gefieo.org/evaluations/evaluation-gefs-support-mainstreaming-biodiversity-2018" TargetMode="External"/><Relationship Id="rId12" Type="http://schemas.openxmlformats.org/officeDocument/2006/relationships/hyperlink" Target="https://www.gefieo.org/evaluations/evaluation-gef-support-scaling-impact-2019" TargetMode="External"/><Relationship Id="rId2" Type="http://schemas.openxmlformats.org/officeDocument/2006/relationships/hyperlink" Target="https://www.thegef.org/sites/default/files/council-meeting-documents/EN_GEF_C.57_07_Work%20Program%20for%20GEF%20Trust%20Fund.pdf" TargetMode="External"/><Relationship Id="rId1" Type="http://schemas.openxmlformats.org/officeDocument/2006/relationships/hyperlink" Target="http://www.thegef.org/sites/default/files/council-meeting-documents/EN_GEF.C.54.11.Rev_.02_Results.pdf" TargetMode="External"/><Relationship Id="rId6" Type="http://schemas.openxmlformats.org/officeDocument/2006/relationships/hyperlink" Target="http://www.thegef.org/sites/default/files/council-meeting-documents/EN_GEF.C.54.11.Rev_.02_Results.pdf" TargetMode="External"/><Relationship Id="rId11" Type="http://schemas.openxmlformats.org/officeDocument/2006/relationships/hyperlink" Target="http://www.gefieo.org/sites/default/files/ieo/evaluations/files/transformational-change-2017.pdf" TargetMode="External"/><Relationship Id="rId5" Type="http://schemas.openxmlformats.org/officeDocument/2006/relationships/hyperlink" Target="http://www.thegef.org/sites/default/files/council-meeting-documents/EN_GEF.C.57.03_GEF%20Monitoring%20Report%202019_0.pdf" TargetMode="External"/><Relationship Id="rId10" Type="http://schemas.openxmlformats.org/officeDocument/2006/relationships/hyperlink" Target="http://www.gefieo.org/sites/default/files/ieo/evaluations/files/iaps-2017_0.pdf" TargetMode="External"/><Relationship Id="rId4" Type="http://schemas.openxmlformats.org/officeDocument/2006/relationships/hyperlink" Target="https://www.thegef.org/sites/default/files/council-meeting-documents/EN_GEF.C.56.03.Rev_.01_Policy_on_Monitoring.pdf" TargetMode="External"/><Relationship Id="rId9" Type="http://schemas.openxmlformats.org/officeDocument/2006/relationships/hyperlink" Target="https://www.gefieo.org/evaluations/evaluation-gefs-support-mainstreaming-biodiversity-2018"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worldbankgroup-my.sharepoint.com/personal/swyatt_thegef_org/Documents/Biodiversity/COP%202020/COP%20Report/DO%20IP%20rating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https://worldbankgroup-my.sharepoint.com/personal/swyatt_thegef_org/Documents/Biodiversity/COP%202020/COP%20Report/DO%20IP%20rating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wb331348\AppData\Local\Microsoft\Windows\INetCache\Content.Outlook\1QPUI0VU\Rating_Template.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WB444901\AppData\Local\Microsoft\Windows\INetCache\Content.Outlook\6LILCZI2\BD%20rating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WB444901\AppData\Local\Microsoft\Windows\INetCache\Content.Outlook\6LILCZI2\BD%20rating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b="0" i="0" u="none" strike="noStrike" kern="1200" spc="0" baseline="0">
                <a:solidFill>
                  <a:sysClr val="windowText" lastClr="000000">
                    <a:lumMod val="65000"/>
                    <a:lumOff val="35000"/>
                  </a:sysClr>
                </a:solidFill>
                <a:latin typeface="+mn-lt"/>
                <a:ea typeface="+mn-ea"/>
                <a:cs typeface="+mn-cs"/>
              </a:defRPr>
            </a:pPr>
            <a:r>
              <a:rPr lang="es-ES" sz="1400" b="0" i="0" u="none" strike="noStrike">
                <a:solidFill>
                  <a:sysClr val="windowText" lastClr="000000">
                    <a:lumMod val="65000"/>
                    <a:lumOff val="35000"/>
                  </a:sysClr>
                </a:solidFill>
                <a:latin typeface="+mn-lt"/>
                <a:ea typeface="+mn-ea"/>
                <a:cs typeface="+mn-cs"/>
              </a:rPr>
              <a:t>Calificaciones de los objetivos de desarrollo</a:t>
            </a:r>
          </a:p>
          <a:p>
            <a:pPr>
              <a:defRPr lang="en-US" sz="1400" b="0" i="0" u="none" strike="noStrike" kern="1200" spc="0" baseline="0">
                <a:solidFill>
                  <a:sysClr val="windowText" lastClr="000000">
                    <a:lumMod val="65000"/>
                    <a:lumOff val="35000"/>
                  </a:sysClr>
                </a:solidFill>
                <a:latin typeface="+mn-lt"/>
                <a:ea typeface="+mn-ea"/>
                <a:cs typeface="+mn-cs"/>
              </a:defRPr>
            </a:pPr>
            <a:r>
              <a:rPr lang="es-ES" sz="1100" b="0" i="0" u="none" strike="noStrike">
                <a:solidFill>
                  <a:sysClr val="windowText" lastClr="000000">
                    <a:lumMod val="65000"/>
                    <a:lumOff val="35000"/>
                  </a:sysClr>
                </a:solidFill>
                <a:latin typeface="+mn-lt"/>
                <a:ea typeface="+mn-ea"/>
                <a:cs typeface="+mn-cs"/>
              </a:rPr>
              <a:t>(el 87% recibió la calificación de moderadamente satisfactorio</a:t>
            </a:r>
            <a:br>
              <a:rPr lang="es-ES" sz="1100" b="0" i="0" u="none" strike="noStrike">
                <a:solidFill>
                  <a:sysClr val="windowText" lastClr="000000">
                    <a:lumMod val="65000"/>
                    <a:lumOff val="35000"/>
                  </a:sysClr>
                </a:solidFill>
                <a:latin typeface="+mn-lt"/>
                <a:ea typeface="+mn-ea"/>
                <a:cs typeface="+mn-cs"/>
              </a:rPr>
            </a:br>
            <a:r>
              <a:rPr lang="es-ES" sz="1100" b="0" i="0" u="none" strike="noStrike">
                <a:solidFill>
                  <a:sysClr val="windowText" lastClr="000000">
                    <a:lumMod val="65000"/>
                    <a:lumOff val="35000"/>
                  </a:sysClr>
                </a:solidFill>
                <a:latin typeface="+mn-lt"/>
                <a:ea typeface="+mn-ea"/>
                <a:cs typeface="+mn-cs"/>
              </a:rPr>
              <a:t>o más elevada)</a:t>
            </a:r>
          </a:p>
        </c:rich>
      </c:tx>
      <c:overlay val="0"/>
    </c:title>
    <c:autoTitleDeleted val="0"/>
    <c:plotArea>
      <c:layout/>
      <c:pieChart>
        <c:varyColors val="1"/>
        <c:ser>
          <c:idx val="4"/>
          <c:order val="0"/>
          <c:tx>
            <c:strRef>
              <c:f>Sheet1!$A$8</c:f>
              <c:strCache>
                <c:ptCount val="1"/>
                <c:pt idx="0">
                  <c:v>Development Objective Ratings for Active Projects </c:v>
                </c:pt>
              </c:strCache>
            </c:strRef>
          </c:tx>
          <c:spPr>
            <a:ln w="3175">
              <a:solidFill>
                <a:schemeClr val="bg1"/>
              </a:solidFill>
            </a:ln>
          </c:spPr>
          <c:dPt>
            <c:idx val="0"/>
            <c:bubble3D val="0"/>
            <c:spPr>
              <a:solidFill>
                <a:schemeClr val="accent6">
                  <a:lumMod val="50000"/>
                </a:schemeClr>
              </a:solidFill>
              <a:ln w="3175">
                <a:solidFill>
                  <a:schemeClr val="bg1"/>
                </a:solidFill>
              </a:ln>
            </c:spPr>
            <c:extLst>
              <c:ext xmlns:c16="http://schemas.microsoft.com/office/drawing/2014/chart" uri="{C3380CC4-5D6E-409C-BE32-E72D297353CC}">
                <c16:uniqueId val="{00000001-C5CD-41CF-BCD4-0673A95FD50E}"/>
              </c:ext>
            </c:extLst>
          </c:dPt>
          <c:dPt>
            <c:idx val="1"/>
            <c:bubble3D val="0"/>
            <c:spPr>
              <a:solidFill>
                <a:schemeClr val="accent6">
                  <a:lumMod val="75000"/>
                </a:schemeClr>
              </a:solidFill>
              <a:ln w="3175">
                <a:solidFill>
                  <a:schemeClr val="bg1"/>
                </a:solidFill>
              </a:ln>
            </c:spPr>
            <c:extLst>
              <c:ext xmlns:c16="http://schemas.microsoft.com/office/drawing/2014/chart" uri="{C3380CC4-5D6E-409C-BE32-E72D297353CC}">
                <c16:uniqueId val="{00000003-C5CD-41CF-BCD4-0673A95FD50E}"/>
              </c:ext>
            </c:extLst>
          </c:dPt>
          <c:dPt>
            <c:idx val="2"/>
            <c:bubble3D val="0"/>
            <c:spPr>
              <a:solidFill>
                <a:schemeClr val="accent6">
                  <a:lumMod val="60000"/>
                  <a:lumOff val="40000"/>
                </a:schemeClr>
              </a:solidFill>
              <a:ln w="3175">
                <a:solidFill>
                  <a:schemeClr val="bg1"/>
                </a:solidFill>
              </a:ln>
            </c:spPr>
            <c:extLst>
              <c:ext xmlns:c16="http://schemas.microsoft.com/office/drawing/2014/chart" uri="{C3380CC4-5D6E-409C-BE32-E72D297353CC}">
                <c16:uniqueId val="{00000005-C5CD-41CF-BCD4-0673A95FD50E}"/>
              </c:ext>
            </c:extLst>
          </c:dPt>
          <c:dPt>
            <c:idx val="3"/>
            <c:bubble3D val="0"/>
            <c:spPr>
              <a:solidFill>
                <a:schemeClr val="accent1">
                  <a:lumMod val="60000"/>
                  <a:lumOff val="40000"/>
                </a:schemeClr>
              </a:solidFill>
              <a:ln w="3175">
                <a:solidFill>
                  <a:schemeClr val="bg1"/>
                </a:solidFill>
              </a:ln>
            </c:spPr>
            <c:extLst>
              <c:ext xmlns:c16="http://schemas.microsoft.com/office/drawing/2014/chart" uri="{C3380CC4-5D6E-409C-BE32-E72D297353CC}">
                <c16:uniqueId val="{00000007-C5CD-41CF-BCD4-0673A95FD50E}"/>
              </c:ext>
            </c:extLst>
          </c:dPt>
          <c:dPt>
            <c:idx val="4"/>
            <c:bubble3D val="0"/>
            <c:spPr>
              <a:solidFill>
                <a:schemeClr val="accent1">
                  <a:lumMod val="75000"/>
                </a:schemeClr>
              </a:solidFill>
              <a:ln w="3175">
                <a:solidFill>
                  <a:schemeClr val="bg1"/>
                </a:solidFill>
              </a:ln>
            </c:spPr>
            <c:extLst>
              <c:ext xmlns:c16="http://schemas.microsoft.com/office/drawing/2014/chart" uri="{C3380CC4-5D6E-409C-BE32-E72D297353CC}">
                <c16:uniqueId val="{00000009-C5CD-41CF-BCD4-0673A95FD50E}"/>
              </c:ext>
            </c:extLst>
          </c:dPt>
          <c:dPt>
            <c:idx val="5"/>
            <c:bubble3D val="0"/>
            <c:spPr>
              <a:solidFill>
                <a:schemeClr val="accent1">
                  <a:lumMod val="50000"/>
                </a:schemeClr>
              </a:solidFill>
              <a:ln w="3175">
                <a:solidFill>
                  <a:schemeClr val="bg1"/>
                </a:solidFill>
              </a:ln>
            </c:spPr>
            <c:extLst>
              <c:ext xmlns:c16="http://schemas.microsoft.com/office/drawing/2014/chart" uri="{C3380CC4-5D6E-409C-BE32-E72D297353CC}">
                <c16:uniqueId val="{0000000B-C5CD-41CF-BCD4-0673A95FD50E}"/>
              </c:ext>
            </c:extLst>
          </c:dPt>
          <c:cat>
            <c:strRef>
              <c:f>Sheet1!$B$7:$G$7</c:f>
              <c:strCache>
                <c:ptCount val="6"/>
                <c:pt idx="0">
                  <c:v>Highly Satisfactory (4%)</c:v>
                </c:pt>
                <c:pt idx="1">
                  <c:v>Satisfactory (46%)</c:v>
                </c:pt>
                <c:pt idx="2">
                  <c:v>Moderately Satisfactory (32%)</c:v>
                </c:pt>
                <c:pt idx="3">
                  <c:v>Moderately Unsatisfactory (13%)</c:v>
                </c:pt>
                <c:pt idx="4">
                  <c:v>Unsatisfactory (4%)</c:v>
                </c:pt>
                <c:pt idx="5">
                  <c:v>Highly Unsatisfactory (1%)</c:v>
                </c:pt>
              </c:strCache>
            </c:strRef>
          </c:cat>
          <c:val>
            <c:numRef>
              <c:f>Sheet1!$B$8:$G$8</c:f>
              <c:numCache>
                <c:formatCode>General</c:formatCode>
                <c:ptCount val="6"/>
                <c:pt idx="0">
                  <c:v>54</c:v>
                </c:pt>
                <c:pt idx="1">
                  <c:v>424</c:v>
                </c:pt>
                <c:pt idx="2">
                  <c:v>267</c:v>
                </c:pt>
                <c:pt idx="3">
                  <c:v>82</c:v>
                </c:pt>
                <c:pt idx="4">
                  <c:v>18</c:v>
                </c:pt>
                <c:pt idx="5">
                  <c:v>4</c:v>
                </c:pt>
              </c:numCache>
            </c:numRef>
          </c:val>
          <c:extLst>
            <c:ext xmlns:c16="http://schemas.microsoft.com/office/drawing/2014/chart" uri="{C3380CC4-5D6E-409C-BE32-E72D297353CC}">
              <c16:uniqueId val="{0000000C-C5CD-41CF-BCD4-0673A95FD50E}"/>
            </c:ext>
          </c:extLst>
        </c:ser>
        <c:ser>
          <c:idx val="5"/>
          <c:order val="1"/>
          <c:tx>
            <c:strRef>
              <c:f>Sheet1!$A$9</c:f>
              <c:strCache>
                <c:ptCount val="1"/>
                <c:pt idx="0">
                  <c:v>Implementation Progress Ratings for Active Projects </c:v>
                </c:pt>
              </c:strCache>
            </c:strRef>
          </c:tx>
          <c:cat>
            <c:strRef>
              <c:f>Sheet1!$B$7:$G$7</c:f>
              <c:strCache>
                <c:ptCount val="6"/>
                <c:pt idx="0">
                  <c:v>Highly Satisfactory (4%)</c:v>
                </c:pt>
                <c:pt idx="1">
                  <c:v>Satisfactory (46%)</c:v>
                </c:pt>
                <c:pt idx="2">
                  <c:v>Moderately Satisfactory (32%)</c:v>
                </c:pt>
                <c:pt idx="3">
                  <c:v>Moderately Unsatisfactory (13%)</c:v>
                </c:pt>
                <c:pt idx="4">
                  <c:v>Unsatisfactory (4%)</c:v>
                </c:pt>
                <c:pt idx="5">
                  <c:v>Highly Unsatisfactory (1%)</c:v>
                </c:pt>
              </c:strCache>
            </c:strRef>
          </c:cat>
          <c:val>
            <c:numRef>
              <c:f>Sheet1!$B$9:$G$9</c:f>
              <c:numCache>
                <c:formatCode>General</c:formatCode>
                <c:ptCount val="6"/>
                <c:pt idx="0">
                  <c:v>37</c:v>
                </c:pt>
                <c:pt idx="1">
                  <c:v>391</c:v>
                </c:pt>
                <c:pt idx="2">
                  <c:v>275</c:v>
                </c:pt>
                <c:pt idx="3">
                  <c:v>107</c:v>
                </c:pt>
                <c:pt idx="4">
                  <c:v>35</c:v>
                </c:pt>
                <c:pt idx="5">
                  <c:v>4</c:v>
                </c:pt>
              </c:numCache>
            </c:numRef>
          </c:val>
          <c:extLst>
            <c:ext xmlns:c16="http://schemas.microsoft.com/office/drawing/2014/chart" uri="{C3380CC4-5D6E-409C-BE32-E72D297353CC}">
              <c16:uniqueId val="{0000000D-C5CD-41CF-BCD4-0673A95FD50E}"/>
            </c:ext>
          </c:extLst>
        </c:ser>
        <c:ser>
          <c:idx val="6"/>
          <c:order val="2"/>
          <c:tx>
            <c:strRef>
              <c:f>Sheet1!$A$8</c:f>
              <c:strCache>
                <c:ptCount val="1"/>
                <c:pt idx="0">
                  <c:v>Development Objective Ratings for Active Projects </c:v>
                </c:pt>
              </c:strCache>
            </c:strRef>
          </c:tx>
          <c:dPt>
            <c:idx val="0"/>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0F-C5CD-41CF-BCD4-0673A95FD50E}"/>
              </c:ext>
            </c:extLst>
          </c:dPt>
          <c:dPt>
            <c:idx val="1"/>
            <c:bubble3D val="0"/>
            <c:spPr>
              <a:solidFill>
                <a:schemeClr val="accent6">
                  <a:lumMod val="75000"/>
                </a:schemeClr>
              </a:solidFill>
              <a:ln w="6350">
                <a:solidFill>
                  <a:schemeClr val="lt1"/>
                </a:solidFill>
              </a:ln>
              <a:effectLst/>
            </c:spPr>
            <c:extLst>
              <c:ext xmlns:c16="http://schemas.microsoft.com/office/drawing/2014/chart" uri="{C3380CC4-5D6E-409C-BE32-E72D297353CC}">
                <c16:uniqueId val="{00000011-C5CD-41CF-BCD4-0673A95FD50E}"/>
              </c:ext>
            </c:extLst>
          </c:dPt>
          <c:dPt>
            <c:idx val="2"/>
            <c:bubble3D val="0"/>
            <c:spPr>
              <a:solidFill>
                <a:schemeClr val="accent6">
                  <a:lumMod val="60000"/>
                  <a:lumOff val="40000"/>
                </a:schemeClr>
              </a:solidFill>
              <a:ln w="6350">
                <a:solidFill>
                  <a:schemeClr val="lt1"/>
                </a:solidFill>
              </a:ln>
              <a:effectLst/>
            </c:spPr>
            <c:extLst>
              <c:ext xmlns:c16="http://schemas.microsoft.com/office/drawing/2014/chart" uri="{C3380CC4-5D6E-409C-BE32-E72D297353CC}">
                <c16:uniqueId val="{00000013-C5CD-41CF-BCD4-0673A95FD50E}"/>
              </c:ext>
            </c:extLst>
          </c:dPt>
          <c:dPt>
            <c:idx val="3"/>
            <c:bubble3D val="0"/>
            <c:spPr>
              <a:solidFill>
                <a:schemeClr val="accent1">
                  <a:lumMod val="60000"/>
                  <a:lumOff val="40000"/>
                </a:schemeClr>
              </a:solidFill>
              <a:ln w="6350">
                <a:solidFill>
                  <a:schemeClr val="lt1"/>
                </a:solidFill>
              </a:ln>
              <a:effectLst/>
            </c:spPr>
            <c:extLst>
              <c:ext xmlns:c16="http://schemas.microsoft.com/office/drawing/2014/chart" uri="{C3380CC4-5D6E-409C-BE32-E72D297353CC}">
                <c16:uniqueId val="{00000015-C5CD-41CF-BCD4-0673A95FD50E}"/>
              </c:ext>
            </c:extLst>
          </c:dPt>
          <c:dPt>
            <c:idx val="4"/>
            <c:bubble3D val="0"/>
            <c:spPr>
              <a:solidFill>
                <a:schemeClr val="accent1">
                  <a:lumMod val="75000"/>
                </a:schemeClr>
              </a:solidFill>
              <a:ln w="6350">
                <a:solidFill>
                  <a:schemeClr val="lt1"/>
                </a:solidFill>
              </a:ln>
              <a:effectLst/>
            </c:spPr>
            <c:extLst>
              <c:ext xmlns:c16="http://schemas.microsoft.com/office/drawing/2014/chart" uri="{C3380CC4-5D6E-409C-BE32-E72D297353CC}">
                <c16:uniqueId val="{00000017-C5CD-41CF-BCD4-0673A95FD50E}"/>
              </c:ext>
            </c:extLst>
          </c:dPt>
          <c:dPt>
            <c:idx val="5"/>
            <c:bubble3D val="0"/>
            <c:spPr>
              <a:solidFill>
                <a:schemeClr val="accent1">
                  <a:lumMod val="50000"/>
                </a:schemeClr>
              </a:solidFill>
              <a:ln w="6350">
                <a:solidFill>
                  <a:schemeClr val="lt1"/>
                </a:solidFill>
              </a:ln>
              <a:effectLst/>
            </c:spPr>
            <c:extLst>
              <c:ext xmlns:c16="http://schemas.microsoft.com/office/drawing/2014/chart" uri="{C3380CC4-5D6E-409C-BE32-E72D297353CC}">
                <c16:uniqueId val="{00000019-C5CD-41CF-BCD4-0673A95FD50E}"/>
              </c:ext>
            </c:extLst>
          </c:dPt>
          <c:cat>
            <c:strRef>
              <c:f>Sheet1!$B$7:$G$7</c:f>
              <c:strCache>
                <c:ptCount val="6"/>
                <c:pt idx="0">
                  <c:v>Highly Satisfactory (4%)</c:v>
                </c:pt>
                <c:pt idx="1">
                  <c:v>Satisfactory (46%)</c:v>
                </c:pt>
                <c:pt idx="2">
                  <c:v>Moderately Satisfactory (32%)</c:v>
                </c:pt>
                <c:pt idx="3">
                  <c:v>Moderately Unsatisfactory (13%)</c:v>
                </c:pt>
                <c:pt idx="4">
                  <c:v>Unsatisfactory (4%)</c:v>
                </c:pt>
                <c:pt idx="5">
                  <c:v>Highly Unsatisfactory (1%)</c:v>
                </c:pt>
              </c:strCache>
            </c:strRef>
          </c:cat>
          <c:val>
            <c:numRef>
              <c:f>Sheet1!$B$8:$G$8</c:f>
              <c:numCache>
                <c:formatCode>General</c:formatCode>
                <c:ptCount val="6"/>
                <c:pt idx="0">
                  <c:v>54</c:v>
                </c:pt>
                <c:pt idx="1">
                  <c:v>424</c:v>
                </c:pt>
                <c:pt idx="2">
                  <c:v>267</c:v>
                </c:pt>
                <c:pt idx="3">
                  <c:v>82</c:v>
                </c:pt>
                <c:pt idx="4">
                  <c:v>18</c:v>
                </c:pt>
                <c:pt idx="5">
                  <c:v>4</c:v>
                </c:pt>
              </c:numCache>
            </c:numRef>
          </c:val>
          <c:extLst>
            <c:ext xmlns:c16="http://schemas.microsoft.com/office/drawing/2014/chart" uri="{C3380CC4-5D6E-409C-BE32-E72D297353CC}">
              <c16:uniqueId val="{0000001A-C5CD-41CF-BCD4-0673A95FD50E}"/>
            </c:ext>
          </c:extLst>
        </c:ser>
        <c:ser>
          <c:idx val="7"/>
          <c:order val="3"/>
          <c:tx>
            <c:strRef>
              <c:f>Sheet1!$A$9</c:f>
              <c:strCache>
                <c:ptCount val="1"/>
                <c:pt idx="0">
                  <c:v>Implementation Progress Ratings for Active Projects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C-C5CD-41CF-BCD4-0673A95FD50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E-C5CD-41CF-BCD4-0673A95FD50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20-C5CD-41CF-BCD4-0673A95FD50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2-C5CD-41CF-BCD4-0673A95FD50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4-C5CD-41CF-BCD4-0673A95FD50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6-C5CD-41CF-BCD4-0673A95FD50E}"/>
              </c:ext>
            </c:extLst>
          </c:dPt>
          <c:cat>
            <c:strRef>
              <c:f>Sheet1!$B$7:$G$7</c:f>
              <c:strCache>
                <c:ptCount val="6"/>
                <c:pt idx="0">
                  <c:v>Highly Satisfactory (4%)</c:v>
                </c:pt>
                <c:pt idx="1">
                  <c:v>Satisfactory (46%)</c:v>
                </c:pt>
                <c:pt idx="2">
                  <c:v>Moderately Satisfactory (32%)</c:v>
                </c:pt>
                <c:pt idx="3">
                  <c:v>Moderately Unsatisfactory (13%)</c:v>
                </c:pt>
                <c:pt idx="4">
                  <c:v>Unsatisfactory (4%)</c:v>
                </c:pt>
                <c:pt idx="5">
                  <c:v>Highly Unsatisfactory (1%)</c:v>
                </c:pt>
              </c:strCache>
            </c:strRef>
          </c:cat>
          <c:val>
            <c:numRef>
              <c:f>Sheet1!$B$9:$G$9</c:f>
              <c:numCache>
                <c:formatCode>General</c:formatCode>
                <c:ptCount val="6"/>
                <c:pt idx="0">
                  <c:v>37</c:v>
                </c:pt>
                <c:pt idx="1">
                  <c:v>391</c:v>
                </c:pt>
                <c:pt idx="2">
                  <c:v>275</c:v>
                </c:pt>
                <c:pt idx="3">
                  <c:v>107</c:v>
                </c:pt>
                <c:pt idx="4">
                  <c:v>35</c:v>
                </c:pt>
                <c:pt idx="5">
                  <c:v>4</c:v>
                </c:pt>
              </c:numCache>
            </c:numRef>
          </c:val>
          <c:extLst>
            <c:ext xmlns:c16="http://schemas.microsoft.com/office/drawing/2014/chart" uri="{C3380CC4-5D6E-409C-BE32-E72D297353CC}">
              <c16:uniqueId val="{00000027-C5CD-41CF-BCD4-0673A95FD50E}"/>
            </c:ext>
          </c:extLst>
        </c:ser>
        <c:ser>
          <c:idx val="2"/>
          <c:order val="4"/>
          <c:tx>
            <c:strRef>
              <c:f>Sheet1!$A$8</c:f>
              <c:strCache>
                <c:ptCount val="1"/>
                <c:pt idx="0">
                  <c:v>Development Objective Ratings for Active Projects </c:v>
                </c:pt>
              </c:strCache>
            </c:strRef>
          </c:tx>
          <c:dPt>
            <c:idx val="0"/>
            <c:bubble3D val="0"/>
            <c:spPr>
              <a:solidFill>
                <a:schemeClr val="accent6">
                  <a:lumMod val="50000"/>
                </a:schemeClr>
              </a:solidFill>
            </c:spPr>
            <c:extLst>
              <c:ext xmlns:c16="http://schemas.microsoft.com/office/drawing/2014/chart" uri="{C3380CC4-5D6E-409C-BE32-E72D297353CC}">
                <c16:uniqueId val="{00000029-C5CD-41CF-BCD4-0673A95FD50E}"/>
              </c:ext>
            </c:extLst>
          </c:dPt>
          <c:dPt>
            <c:idx val="1"/>
            <c:bubble3D val="0"/>
            <c:spPr>
              <a:solidFill>
                <a:schemeClr val="accent6">
                  <a:lumMod val="75000"/>
                </a:schemeClr>
              </a:solidFill>
              <a:ln w="6350"/>
            </c:spPr>
            <c:extLst>
              <c:ext xmlns:c16="http://schemas.microsoft.com/office/drawing/2014/chart" uri="{C3380CC4-5D6E-409C-BE32-E72D297353CC}">
                <c16:uniqueId val="{0000002B-C5CD-41CF-BCD4-0673A95FD50E}"/>
              </c:ext>
            </c:extLst>
          </c:dPt>
          <c:dPt>
            <c:idx val="2"/>
            <c:bubble3D val="0"/>
            <c:spPr>
              <a:solidFill>
                <a:schemeClr val="accent6">
                  <a:lumMod val="60000"/>
                  <a:lumOff val="40000"/>
                </a:schemeClr>
              </a:solidFill>
              <a:ln w="6350"/>
            </c:spPr>
            <c:extLst>
              <c:ext xmlns:c16="http://schemas.microsoft.com/office/drawing/2014/chart" uri="{C3380CC4-5D6E-409C-BE32-E72D297353CC}">
                <c16:uniqueId val="{0000002D-C5CD-41CF-BCD4-0673A95FD50E}"/>
              </c:ext>
            </c:extLst>
          </c:dPt>
          <c:dPt>
            <c:idx val="3"/>
            <c:bubble3D val="0"/>
            <c:spPr>
              <a:solidFill>
                <a:schemeClr val="accent1">
                  <a:lumMod val="60000"/>
                  <a:lumOff val="40000"/>
                </a:schemeClr>
              </a:solidFill>
              <a:ln w="6350"/>
            </c:spPr>
            <c:extLst>
              <c:ext xmlns:c16="http://schemas.microsoft.com/office/drawing/2014/chart" uri="{C3380CC4-5D6E-409C-BE32-E72D297353CC}">
                <c16:uniqueId val="{0000002F-C5CD-41CF-BCD4-0673A95FD50E}"/>
              </c:ext>
            </c:extLst>
          </c:dPt>
          <c:dPt>
            <c:idx val="4"/>
            <c:bubble3D val="0"/>
            <c:spPr>
              <a:solidFill>
                <a:schemeClr val="accent1">
                  <a:lumMod val="75000"/>
                </a:schemeClr>
              </a:solidFill>
              <a:ln w="6350"/>
            </c:spPr>
            <c:extLst>
              <c:ext xmlns:c16="http://schemas.microsoft.com/office/drawing/2014/chart" uri="{C3380CC4-5D6E-409C-BE32-E72D297353CC}">
                <c16:uniqueId val="{00000031-C5CD-41CF-BCD4-0673A95FD50E}"/>
              </c:ext>
            </c:extLst>
          </c:dPt>
          <c:dPt>
            <c:idx val="5"/>
            <c:bubble3D val="0"/>
            <c:spPr>
              <a:solidFill>
                <a:schemeClr val="accent1">
                  <a:lumMod val="50000"/>
                </a:schemeClr>
              </a:solidFill>
              <a:ln w="6350"/>
            </c:spPr>
            <c:extLst>
              <c:ext xmlns:c16="http://schemas.microsoft.com/office/drawing/2014/chart" uri="{C3380CC4-5D6E-409C-BE32-E72D297353CC}">
                <c16:uniqueId val="{00000033-C5CD-41CF-BCD4-0673A95FD50E}"/>
              </c:ext>
            </c:extLst>
          </c:dPt>
          <c:cat>
            <c:strRef>
              <c:f>Sheet1!$B$7:$G$7</c:f>
              <c:strCache>
                <c:ptCount val="6"/>
                <c:pt idx="0">
                  <c:v>Highly Satisfactory (4%)</c:v>
                </c:pt>
                <c:pt idx="1">
                  <c:v>Satisfactory (46%)</c:v>
                </c:pt>
                <c:pt idx="2">
                  <c:v>Moderately Satisfactory (32%)</c:v>
                </c:pt>
                <c:pt idx="3">
                  <c:v>Moderately Unsatisfactory (13%)</c:v>
                </c:pt>
                <c:pt idx="4">
                  <c:v>Unsatisfactory (4%)</c:v>
                </c:pt>
                <c:pt idx="5">
                  <c:v>Highly Unsatisfactory (1%)</c:v>
                </c:pt>
              </c:strCache>
            </c:strRef>
          </c:cat>
          <c:val>
            <c:numRef>
              <c:f>Sheet1!$B$8:$G$8</c:f>
              <c:numCache>
                <c:formatCode>General</c:formatCode>
                <c:ptCount val="6"/>
                <c:pt idx="0">
                  <c:v>54</c:v>
                </c:pt>
                <c:pt idx="1">
                  <c:v>424</c:v>
                </c:pt>
                <c:pt idx="2">
                  <c:v>267</c:v>
                </c:pt>
                <c:pt idx="3">
                  <c:v>82</c:v>
                </c:pt>
                <c:pt idx="4">
                  <c:v>18</c:v>
                </c:pt>
                <c:pt idx="5">
                  <c:v>4</c:v>
                </c:pt>
              </c:numCache>
            </c:numRef>
          </c:val>
          <c:extLst>
            <c:ext xmlns:c16="http://schemas.microsoft.com/office/drawing/2014/chart" uri="{C3380CC4-5D6E-409C-BE32-E72D297353CC}">
              <c16:uniqueId val="{00000034-C5CD-41CF-BCD4-0673A95FD50E}"/>
            </c:ext>
          </c:extLst>
        </c:ser>
        <c:ser>
          <c:idx val="3"/>
          <c:order val="5"/>
          <c:tx>
            <c:strRef>
              <c:f>Sheet1!$A$9</c:f>
              <c:strCache>
                <c:ptCount val="1"/>
                <c:pt idx="0">
                  <c:v>Implementation Progress Ratings for Active Projects </c:v>
                </c:pt>
              </c:strCache>
            </c:strRef>
          </c:tx>
          <c:cat>
            <c:strRef>
              <c:f>Sheet1!$B$7:$G$7</c:f>
              <c:strCache>
                <c:ptCount val="6"/>
                <c:pt idx="0">
                  <c:v>Highly Satisfactory (4%)</c:v>
                </c:pt>
                <c:pt idx="1">
                  <c:v>Satisfactory (46%)</c:v>
                </c:pt>
                <c:pt idx="2">
                  <c:v>Moderately Satisfactory (32%)</c:v>
                </c:pt>
                <c:pt idx="3">
                  <c:v>Moderately Unsatisfactory (13%)</c:v>
                </c:pt>
                <c:pt idx="4">
                  <c:v>Unsatisfactory (4%)</c:v>
                </c:pt>
                <c:pt idx="5">
                  <c:v>Highly Unsatisfactory (1%)</c:v>
                </c:pt>
              </c:strCache>
            </c:strRef>
          </c:cat>
          <c:val>
            <c:numRef>
              <c:f>Sheet1!$B$9:$G$9</c:f>
              <c:numCache>
                <c:formatCode>General</c:formatCode>
                <c:ptCount val="6"/>
                <c:pt idx="0">
                  <c:v>37</c:v>
                </c:pt>
                <c:pt idx="1">
                  <c:v>391</c:v>
                </c:pt>
                <c:pt idx="2">
                  <c:v>275</c:v>
                </c:pt>
                <c:pt idx="3">
                  <c:v>107</c:v>
                </c:pt>
                <c:pt idx="4">
                  <c:v>35</c:v>
                </c:pt>
                <c:pt idx="5">
                  <c:v>4</c:v>
                </c:pt>
              </c:numCache>
            </c:numRef>
          </c:val>
          <c:extLst>
            <c:ext xmlns:c16="http://schemas.microsoft.com/office/drawing/2014/chart" uri="{C3380CC4-5D6E-409C-BE32-E72D297353CC}">
              <c16:uniqueId val="{00000035-C5CD-41CF-BCD4-0673A95FD50E}"/>
            </c:ext>
          </c:extLst>
        </c:ser>
        <c:ser>
          <c:idx val="0"/>
          <c:order val="6"/>
          <c:tx>
            <c:strRef>
              <c:f>Sheet1!$A$8</c:f>
              <c:strCache>
                <c:ptCount val="1"/>
                <c:pt idx="0">
                  <c:v>Development Objective Ratings for Active Projects </c:v>
                </c:pt>
              </c:strCache>
            </c:strRef>
          </c:tx>
          <c:dPt>
            <c:idx val="0"/>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37-C5CD-41CF-BCD4-0673A95FD50E}"/>
              </c:ext>
            </c:extLst>
          </c:dPt>
          <c:dPt>
            <c:idx val="1"/>
            <c:bubble3D val="0"/>
            <c:spPr>
              <a:solidFill>
                <a:schemeClr val="accent6">
                  <a:lumMod val="75000"/>
                </a:schemeClr>
              </a:solidFill>
              <a:ln w="6350">
                <a:solidFill>
                  <a:schemeClr val="lt1"/>
                </a:solidFill>
              </a:ln>
              <a:effectLst/>
            </c:spPr>
            <c:extLst>
              <c:ext xmlns:c16="http://schemas.microsoft.com/office/drawing/2014/chart" uri="{C3380CC4-5D6E-409C-BE32-E72D297353CC}">
                <c16:uniqueId val="{00000039-C5CD-41CF-BCD4-0673A95FD50E}"/>
              </c:ext>
            </c:extLst>
          </c:dPt>
          <c:dPt>
            <c:idx val="2"/>
            <c:bubble3D val="0"/>
            <c:spPr>
              <a:solidFill>
                <a:schemeClr val="accent6">
                  <a:lumMod val="60000"/>
                  <a:lumOff val="40000"/>
                </a:schemeClr>
              </a:solidFill>
              <a:ln w="6350">
                <a:solidFill>
                  <a:schemeClr val="lt1"/>
                </a:solidFill>
              </a:ln>
              <a:effectLst/>
            </c:spPr>
            <c:extLst>
              <c:ext xmlns:c16="http://schemas.microsoft.com/office/drawing/2014/chart" uri="{C3380CC4-5D6E-409C-BE32-E72D297353CC}">
                <c16:uniqueId val="{0000003B-C5CD-41CF-BCD4-0673A95FD50E}"/>
              </c:ext>
            </c:extLst>
          </c:dPt>
          <c:dPt>
            <c:idx val="3"/>
            <c:bubble3D val="0"/>
            <c:spPr>
              <a:solidFill>
                <a:schemeClr val="accent1">
                  <a:lumMod val="60000"/>
                  <a:lumOff val="40000"/>
                </a:schemeClr>
              </a:solidFill>
              <a:ln w="6350">
                <a:solidFill>
                  <a:schemeClr val="lt1"/>
                </a:solidFill>
              </a:ln>
              <a:effectLst/>
            </c:spPr>
            <c:extLst>
              <c:ext xmlns:c16="http://schemas.microsoft.com/office/drawing/2014/chart" uri="{C3380CC4-5D6E-409C-BE32-E72D297353CC}">
                <c16:uniqueId val="{0000003D-C5CD-41CF-BCD4-0673A95FD50E}"/>
              </c:ext>
            </c:extLst>
          </c:dPt>
          <c:dPt>
            <c:idx val="4"/>
            <c:bubble3D val="0"/>
            <c:spPr>
              <a:solidFill>
                <a:schemeClr val="accent1">
                  <a:lumMod val="75000"/>
                </a:schemeClr>
              </a:solidFill>
              <a:ln w="6350">
                <a:solidFill>
                  <a:schemeClr val="lt1"/>
                </a:solidFill>
              </a:ln>
              <a:effectLst/>
            </c:spPr>
            <c:extLst>
              <c:ext xmlns:c16="http://schemas.microsoft.com/office/drawing/2014/chart" uri="{C3380CC4-5D6E-409C-BE32-E72D297353CC}">
                <c16:uniqueId val="{0000003F-C5CD-41CF-BCD4-0673A95FD50E}"/>
              </c:ext>
            </c:extLst>
          </c:dPt>
          <c:dPt>
            <c:idx val="5"/>
            <c:bubble3D val="0"/>
            <c:spPr>
              <a:solidFill>
                <a:schemeClr val="accent1">
                  <a:lumMod val="50000"/>
                </a:schemeClr>
              </a:solidFill>
              <a:ln w="6350">
                <a:solidFill>
                  <a:schemeClr val="lt1"/>
                </a:solidFill>
              </a:ln>
              <a:effectLst/>
            </c:spPr>
            <c:extLst>
              <c:ext xmlns:c16="http://schemas.microsoft.com/office/drawing/2014/chart" uri="{C3380CC4-5D6E-409C-BE32-E72D297353CC}">
                <c16:uniqueId val="{00000041-C5CD-41CF-BCD4-0673A95FD50E}"/>
              </c:ext>
            </c:extLst>
          </c:dPt>
          <c:cat>
            <c:strRef>
              <c:f>Sheet1!$B$7:$G$7</c:f>
              <c:strCache>
                <c:ptCount val="6"/>
                <c:pt idx="0">
                  <c:v>Highly Satisfactory (4%)</c:v>
                </c:pt>
                <c:pt idx="1">
                  <c:v>Satisfactory (46%)</c:v>
                </c:pt>
                <c:pt idx="2">
                  <c:v>Moderately Satisfactory (32%)</c:v>
                </c:pt>
                <c:pt idx="3">
                  <c:v>Moderately Unsatisfactory (13%)</c:v>
                </c:pt>
                <c:pt idx="4">
                  <c:v>Unsatisfactory (4%)</c:v>
                </c:pt>
                <c:pt idx="5">
                  <c:v>Highly Unsatisfactory (1%)</c:v>
                </c:pt>
              </c:strCache>
            </c:strRef>
          </c:cat>
          <c:val>
            <c:numRef>
              <c:f>Sheet1!$B$8:$G$8</c:f>
              <c:numCache>
                <c:formatCode>General</c:formatCode>
                <c:ptCount val="6"/>
                <c:pt idx="0">
                  <c:v>54</c:v>
                </c:pt>
                <c:pt idx="1">
                  <c:v>424</c:v>
                </c:pt>
                <c:pt idx="2">
                  <c:v>267</c:v>
                </c:pt>
                <c:pt idx="3">
                  <c:v>82</c:v>
                </c:pt>
                <c:pt idx="4">
                  <c:v>18</c:v>
                </c:pt>
                <c:pt idx="5">
                  <c:v>4</c:v>
                </c:pt>
              </c:numCache>
            </c:numRef>
          </c:val>
          <c:extLst>
            <c:ext xmlns:c16="http://schemas.microsoft.com/office/drawing/2014/chart" uri="{C3380CC4-5D6E-409C-BE32-E72D297353CC}">
              <c16:uniqueId val="{00000042-C5CD-41CF-BCD4-0673A95FD50E}"/>
            </c:ext>
          </c:extLst>
        </c:ser>
        <c:ser>
          <c:idx val="1"/>
          <c:order val="7"/>
          <c:tx>
            <c:strRef>
              <c:f>Sheet1!$A$9</c:f>
              <c:strCache>
                <c:ptCount val="1"/>
                <c:pt idx="0">
                  <c:v>Implementation Progress Ratings for Active Projects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44-C5CD-41CF-BCD4-0673A95FD50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46-C5CD-41CF-BCD4-0673A95FD50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48-C5CD-41CF-BCD4-0673A95FD50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4A-C5CD-41CF-BCD4-0673A95FD50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4C-C5CD-41CF-BCD4-0673A95FD50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4E-C5CD-41CF-BCD4-0673A95FD50E}"/>
              </c:ext>
            </c:extLst>
          </c:dPt>
          <c:cat>
            <c:strRef>
              <c:f>Sheet1!$B$7:$G$7</c:f>
              <c:strCache>
                <c:ptCount val="6"/>
                <c:pt idx="0">
                  <c:v>Highly Satisfactory (4%)</c:v>
                </c:pt>
                <c:pt idx="1">
                  <c:v>Satisfactory (46%)</c:v>
                </c:pt>
                <c:pt idx="2">
                  <c:v>Moderately Satisfactory (32%)</c:v>
                </c:pt>
                <c:pt idx="3">
                  <c:v>Moderately Unsatisfactory (13%)</c:v>
                </c:pt>
                <c:pt idx="4">
                  <c:v>Unsatisfactory (4%)</c:v>
                </c:pt>
                <c:pt idx="5">
                  <c:v>Highly Unsatisfactory (1%)</c:v>
                </c:pt>
              </c:strCache>
            </c:strRef>
          </c:cat>
          <c:val>
            <c:numRef>
              <c:f>Sheet1!$B$9:$G$9</c:f>
              <c:numCache>
                <c:formatCode>General</c:formatCode>
                <c:ptCount val="6"/>
                <c:pt idx="0">
                  <c:v>37</c:v>
                </c:pt>
                <c:pt idx="1">
                  <c:v>391</c:v>
                </c:pt>
                <c:pt idx="2">
                  <c:v>275</c:v>
                </c:pt>
                <c:pt idx="3">
                  <c:v>107</c:v>
                </c:pt>
                <c:pt idx="4">
                  <c:v>35</c:v>
                </c:pt>
                <c:pt idx="5">
                  <c:v>4</c:v>
                </c:pt>
              </c:numCache>
            </c:numRef>
          </c:val>
          <c:extLst>
            <c:ext xmlns:c16="http://schemas.microsoft.com/office/drawing/2014/chart" uri="{C3380CC4-5D6E-409C-BE32-E72D297353CC}">
              <c16:uniqueId val="{0000004F-C5CD-41CF-BCD4-0673A95FD50E}"/>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4621497894158577"/>
          <c:y val="0.3347217467381795"/>
          <c:w val="0.34985577833698622"/>
          <c:h val="0.493561696507681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chart>
  <c:spPr>
    <a:ln>
      <a:noFill/>
    </a:ln>
  </c:spPr>
  <c:txPr>
    <a:bodyPr/>
    <a:lstStyle/>
    <a:p>
      <a:pPr>
        <a:defRPr/>
      </a:pPr>
      <a:endParaRPr lang="es-E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Calificaciones de los avances en la ejecución</a:t>
            </a:r>
          </a:p>
          <a:p>
            <a:pPr>
              <a:defRPr sz="1400" b="0" i="0" u="none" strike="noStrike" kern="1200" spc="0" baseline="0">
                <a:solidFill>
                  <a:schemeClr val="tx1">
                    <a:lumMod val="65000"/>
                    <a:lumOff val="35000"/>
                  </a:schemeClr>
                </a:solidFill>
                <a:latin typeface="+mn-lt"/>
                <a:ea typeface="+mn-ea"/>
                <a:cs typeface="+mn-cs"/>
              </a:defRPr>
            </a:pPr>
            <a:r>
              <a:rPr lang="es-ES" sz="1100"/>
              <a:t>(el 82% recibió la calificación de moderadamente satisfactorio</a:t>
            </a:r>
            <a:br>
              <a:rPr lang="es-ES" sz="1100"/>
            </a:br>
            <a:r>
              <a:rPr lang="es-ES" sz="1100"/>
              <a:t>o más elevada)</a:t>
            </a:r>
          </a:p>
        </c:rich>
      </c:tx>
      <c:overlay val="0"/>
      <c:spPr>
        <a:noFill/>
        <a:ln>
          <a:noFill/>
        </a:ln>
        <a:effectLst/>
      </c:spPr>
    </c:title>
    <c:autoTitleDeleted val="0"/>
    <c:plotArea>
      <c:layout>
        <c:manualLayout>
          <c:layoutTarget val="inner"/>
          <c:xMode val="edge"/>
          <c:yMode val="edge"/>
          <c:x val="0.1601128378190082"/>
          <c:y val="0.23476635514018693"/>
          <c:w val="0.38184724283594018"/>
          <c:h val="0.69462097611630325"/>
        </c:manualLayout>
      </c:layout>
      <c:pieChart>
        <c:varyColors val="1"/>
        <c:ser>
          <c:idx val="1"/>
          <c:order val="1"/>
          <c:tx>
            <c:strRef>
              <c:f>Sheet1!$A$9</c:f>
              <c:strCache>
                <c:ptCount val="1"/>
                <c:pt idx="0">
                  <c:v>Implementation Progress Ratings for Active Projects </c:v>
                </c:pt>
              </c:strCache>
            </c:strRef>
          </c:tx>
          <c:spPr>
            <a:solidFill>
              <a:schemeClr val="accent6">
                <a:lumMod val="75000"/>
              </a:schemeClr>
            </a:solidFill>
            <a:ln w="3175"/>
          </c:spPr>
          <c:dPt>
            <c:idx val="0"/>
            <c:bubble3D val="0"/>
            <c:spPr>
              <a:solidFill>
                <a:schemeClr val="accent6">
                  <a:lumMod val="50000"/>
                </a:schemeClr>
              </a:solidFill>
              <a:ln w="3175">
                <a:solidFill>
                  <a:schemeClr val="lt1"/>
                </a:solidFill>
              </a:ln>
              <a:effectLst/>
            </c:spPr>
            <c:extLst>
              <c:ext xmlns:c16="http://schemas.microsoft.com/office/drawing/2014/chart" uri="{C3380CC4-5D6E-409C-BE32-E72D297353CC}">
                <c16:uniqueId val="{00000001-40E1-4C1E-99A1-2BD5DB55391E}"/>
              </c:ext>
            </c:extLst>
          </c:dPt>
          <c:dPt>
            <c:idx val="1"/>
            <c:bubble3D val="0"/>
            <c:spPr>
              <a:solidFill>
                <a:schemeClr val="accent6">
                  <a:lumMod val="75000"/>
                </a:schemeClr>
              </a:solidFill>
              <a:ln w="3175">
                <a:solidFill>
                  <a:schemeClr val="lt1"/>
                </a:solidFill>
              </a:ln>
              <a:effectLst/>
            </c:spPr>
            <c:extLst>
              <c:ext xmlns:c16="http://schemas.microsoft.com/office/drawing/2014/chart" uri="{C3380CC4-5D6E-409C-BE32-E72D297353CC}">
                <c16:uniqueId val="{00000003-40E1-4C1E-99A1-2BD5DB55391E}"/>
              </c:ext>
            </c:extLst>
          </c:dPt>
          <c:dPt>
            <c:idx val="2"/>
            <c:bubble3D val="0"/>
            <c:spPr>
              <a:solidFill>
                <a:schemeClr val="accent6">
                  <a:lumMod val="60000"/>
                  <a:lumOff val="40000"/>
                </a:schemeClr>
              </a:solidFill>
              <a:ln w="3175">
                <a:solidFill>
                  <a:schemeClr val="lt1"/>
                </a:solidFill>
              </a:ln>
              <a:effectLst/>
            </c:spPr>
            <c:extLst>
              <c:ext xmlns:c16="http://schemas.microsoft.com/office/drawing/2014/chart" uri="{C3380CC4-5D6E-409C-BE32-E72D297353CC}">
                <c16:uniqueId val="{00000005-40E1-4C1E-99A1-2BD5DB55391E}"/>
              </c:ext>
            </c:extLst>
          </c:dPt>
          <c:dPt>
            <c:idx val="3"/>
            <c:bubble3D val="0"/>
            <c:spPr>
              <a:solidFill>
                <a:schemeClr val="accent1">
                  <a:lumMod val="60000"/>
                  <a:lumOff val="40000"/>
                </a:schemeClr>
              </a:solidFill>
              <a:ln w="3175">
                <a:solidFill>
                  <a:schemeClr val="lt1"/>
                </a:solidFill>
              </a:ln>
              <a:effectLst/>
            </c:spPr>
            <c:extLst>
              <c:ext xmlns:c16="http://schemas.microsoft.com/office/drawing/2014/chart" uri="{C3380CC4-5D6E-409C-BE32-E72D297353CC}">
                <c16:uniqueId val="{00000007-40E1-4C1E-99A1-2BD5DB55391E}"/>
              </c:ext>
            </c:extLst>
          </c:dPt>
          <c:dPt>
            <c:idx val="4"/>
            <c:bubble3D val="0"/>
            <c:spPr>
              <a:solidFill>
                <a:schemeClr val="accent1">
                  <a:lumMod val="75000"/>
                </a:schemeClr>
              </a:solidFill>
              <a:ln w="3175">
                <a:solidFill>
                  <a:schemeClr val="lt1"/>
                </a:solidFill>
              </a:ln>
              <a:effectLst/>
            </c:spPr>
            <c:extLst>
              <c:ext xmlns:c16="http://schemas.microsoft.com/office/drawing/2014/chart" uri="{C3380CC4-5D6E-409C-BE32-E72D297353CC}">
                <c16:uniqueId val="{00000009-40E1-4C1E-99A1-2BD5DB55391E}"/>
              </c:ext>
            </c:extLst>
          </c:dPt>
          <c:dPt>
            <c:idx val="5"/>
            <c:bubble3D val="0"/>
            <c:spPr>
              <a:solidFill>
                <a:schemeClr val="accent1">
                  <a:lumMod val="50000"/>
                </a:schemeClr>
              </a:solidFill>
              <a:ln w="3175">
                <a:solidFill>
                  <a:schemeClr val="lt1"/>
                </a:solidFill>
              </a:ln>
              <a:effectLst/>
            </c:spPr>
            <c:extLst>
              <c:ext xmlns:c16="http://schemas.microsoft.com/office/drawing/2014/chart" uri="{C3380CC4-5D6E-409C-BE32-E72D297353CC}">
                <c16:uniqueId val="{0000000B-40E1-4C1E-99A1-2BD5DB55391E}"/>
              </c:ext>
            </c:extLst>
          </c:dPt>
          <c:cat>
            <c:strRef>
              <c:f>Sheet1!$B$7:$G$7</c:f>
              <c:strCache>
                <c:ptCount val="6"/>
                <c:pt idx="0">
                  <c:v>Highly Satisfactory (4%)</c:v>
                </c:pt>
                <c:pt idx="1">
                  <c:v>Satisfactory (46%)</c:v>
                </c:pt>
                <c:pt idx="2">
                  <c:v>Moderately Satisfactory (32%)</c:v>
                </c:pt>
                <c:pt idx="3">
                  <c:v>Moderately Unsatisfactory (13%)</c:v>
                </c:pt>
                <c:pt idx="4">
                  <c:v>Unsatisfactory (4%)</c:v>
                </c:pt>
                <c:pt idx="5">
                  <c:v>Highly Unsatisfactory (1%)</c:v>
                </c:pt>
              </c:strCache>
            </c:strRef>
          </c:cat>
          <c:val>
            <c:numRef>
              <c:f>Sheet1!$B$9:$G$9</c:f>
              <c:numCache>
                <c:formatCode>General</c:formatCode>
                <c:ptCount val="6"/>
                <c:pt idx="0">
                  <c:v>37</c:v>
                </c:pt>
                <c:pt idx="1">
                  <c:v>391</c:v>
                </c:pt>
                <c:pt idx="2">
                  <c:v>275</c:v>
                </c:pt>
                <c:pt idx="3">
                  <c:v>107</c:v>
                </c:pt>
                <c:pt idx="4">
                  <c:v>35</c:v>
                </c:pt>
                <c:pt idx="5">
                  <c:v>4</c:v>
                </c:pt>
              </c:numCache>
            </c:numRef>
          </c:val>
          <c:extLst>
            <c:ext xmlns:c16="http://schemas.microsoft.com/office/drawing/2014/chart" uri="{C3380CC4-5D6E-409C-BE32-E72D297353CC}">
              <c16:uniqueId val="{0000000C-40E1-4C1E-99A1-2BD5DB55391E}"/>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Sheet1!$A$8</c15:sqref>
                        </c15:formulaRef>
                      </c:ext>
                    </c:extLst>
                    <c:strCache>
                      <c:ptCount val="1"/>
                      <c:pt idx="0">
                        <c:v>Development Objective Ratings for Active Projects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40E1-4C1E-99A1-2BD5DB55391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40E1-4C1E-99A1-2BD5DB55391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40E1-4C1E-99A1-2BD5DB55391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40E1-4C1E-99A1-2BD5DB55391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40E1-4C1E-99A1-2BD5DB55391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40E1-4C1E-99A1-2BD5DB55391E}"/>
                    </c:ext>
                  </c:extLst>
                </c:dPt>
                <c:cat>
                  <c:strRef>
                    <c:extLst>
                      <c:ext uri="{02D57815-91ED-43cb-92C2-25804820EDAC}">
                        <c15:formulaRef>
                          <c15:sqref>Sheet1!$B$7:$G$7</c15:sqref>
                        </c15:formulaRef>
                      </c:ext>
                    </c:extLst>
                    <c:strCache>
                      <c:ptCount val="6"/>
                      <c:pt idx="0">
                        <c:v>Highly Satisfactory (4%)</c:v>
                      </c:pt>
                      <c:pt idx="1">
                        <c:v>Satisfactory (46%)</c:v>
                      </c:pt>
                      <c:pt idx="2">
                        <c:v>Moderately Satisfactory (32%)</c:v>
                      </c:pt>
                      <c:pt idx="3">
                        <c:v>Moderately Unsatisfactory (13%)</c:v>
                      </c:pt>
                      <c:pt idx="4">
                        <c:v>Unsatisfactory (4%)</c:v>
                      </c:pt>
                      <c:pt idx="5">
                        <c:v>Highly Unsatisfactory (1%)</c:v>
                      </c:pt>
                    </c:strCache>
                  </c:strRef>
                </c:cat>
                <c:val>
                  <c:numRef>
                    <c:extLst>
                      <c:ext uri="{02D57815-91ED-43cb-92C2-25804820EDAC}">
                        <c15:formulaRef>
                          <c15:sqref>Sheet1!$B$8:$G$8</c15:sqref>
                        </c15:formulaRef>
                      </c:ext>
                    </c:extLst>
                    <c:numCache>
                      <c:formatCode>General</c:formatCode>
                      <c:ptCount val="6"/>
                      <c:pt idx="0">
                        <c:v>54</c:v>
                      </c:pt>
                      <c:pt idx="1">
                        <c:v>424</c:v>
                      </c:pt>
                      <c:pt idx="2">
                        <c:v>267</c:v>
                      </c:pt>
                      <c:pt idx="3">
                        <c:v>82</c:v>
                      </c:pt>
                      <c:pt idx="4">
                        <c:v>18</c:v>
                      </c:pt>
                      <c:pt idx="5">
                        <c:v>4</c:v>
                      </c:pt>
                    </c:numCache>
                  </c:numRef>
                </c:val>
                <c:extLst>
                  <c:ext xmlns:c16="http://schemas.microsoft.com/office/drawing/2014/chart" uri="{C3380CC4-5D6E-409C-BE32-E72D297353CC}">
                    <c16:uniqueId val="{00000019-40E1-4C1E-99A1-2BD5DB55391E}"/>
                  </c:ext>
                </c:extLst>
              </c15:ser>
            </c15:filteredPieSeries>
          </c:ext>
        </c:extLst>
      </c:pieChart>
      <c:spPr>
        <a:noFill/>
        <a:ln>
          <a:noFill/>
        </a:ln>
        <a:effectLst/>
      </c:spPr>
    </c:plotArea>
    <c:legend>
      <c:legendPos val="r"/>
      <c:layout>
        <c:manualLayout>
          <c:xMode val="edge"/>
          <c:yMode val="edge"/>
          <c:x val="0.58950625737000262"/>
          <c:y val="0.35637367804594461"/>
          <c:w val="0.31159175773770498"/>
          <c:h val="0.420563691220840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452427821522312"/>
          <c:y val="0.23460177697382423"/>
          <c:w val="0.65388283195369812"/>
          <c:h val="0.72238763123359584"/>
        </c:manualLayout>
      </c:layout>
      <c:barChart>
        <c:barDir val="bar"/>
        <c:grouping val="stacked"/>
        <c:varyColors val="0"/>
        <c:ser>
          <c:idx val="0"/>
          <c:order val="0"/>
          <c:tx>
            <c:strRef>
              <c:f>'DO.IP FA '!$F$22</c:f>
              <c:strCache>
                <c:ptCount val="1"/>
                <c:pt idx="0">
                  <c:v>White space</c:v>
                </c:pt>
              </c:strCache>
            </c:strRef>
          </c:tx>
          <c:spPr>
            <a:noFill/>
            <a:ln>
              <a:noFill/>
            </a:ln>
            <a:effectLst/>
          </c:spPr>
          <c:invertIfNegative val="0"/>
          <c:cat>
            <c:strRef>
              <c:f>'DO.IP FA '!$A$23:$A$30</c:f>
              <c:strCache>
                <c:ptCount val="7"/>
                <c:pt idx="1">
                  <c:v>Land Degradation</c:v>
                </c:pt>
                <c:pt idx="2">
                  <c:v>Chemicals &amp; Waste</c:v>
                </c:pt>
                <c:pt idx="3">
                  <c:v>Multi-focal Area</c:v>
                </c:pt>
                <c:pt idx="4">
                  <c:v>Biodiversity</c:v>
                </c:pt>
                <c:pt idx="5">
                  <c:v>Climate Change</c:v>
                </c:pt>
                <c:pt idx="6">
                  <c:v>International Waters</c:v>
                </c:pt>
              </c:strCache>
            </c:strRef>
          </c:cat>
          <c:val>
            <c:numRef>
              <c:f>'DO.IP FA '!$F$23:$F$30</c:f>
              <c:numCache>
                <c:formatCode>0%</c:formatCode>
                <c:ptCount val="8"/>
                <c:pt idx="0">
                  <c:v>0.8</c:v>
                </c:pt>
                <c:pt idx="1">
                  <c:v>0.8</c:v>
                </c:pt>
                <c:pt idx="2">
                  <c:v>0.8</c:v>
                </c:pt>
                <c:pt idx="3">
                  <c:v>0.8</c:v>
                </c:pt>
                <c:pt idx="4">
                  <c:v>0.8</c:v>
                </c:pt>
                <c:pt idx="5">
                  <c:v>0.8</c:v>
                </c:pt>
                <c:pt idx="6">
                  <c:v>0.8</c:v>
                </c:pt>
              </c:numCache>
            </c:numRef>
          </c:val>
          <c:extLst>
            <c:ext xmlns:c16="http://schemas.microsoft.com/office/drawing/2014/chart" uri="{C3380CC4-5D6E-409C-BE32-E72D297353CC}">
              <c16:uniqueId val="{00000000-3393-4CB9-926E-ECB04F2C0A28}"/>
            </c:ext>
          </c:extLst>
        </c:ser>
        <c:dLbls>
          <c:showLegendKey val="0"/>
          <c:showVal val="0"/>
          <c:showCatName val="0"/>
          <c:showSerName val="0"/>
          <c:showPercent val="0"/>
          <c:showBubbleSize val="0"/>
        </c:dLbls>
        <c:gapWidth val="40"/>
        <c:overlap val="100"/>
        <c:axId val="564083712"/>
        <c:axId val="564089600"/>
      </c:barChart>
      <c:catAx>
        <c:axId val="564083712"/>
        <c:scaling>
          <c:orientation val="maxMin"/>
        </c:scaling>
        <c:delete val="1"/>
        <c:axPos val="l"/>
        <c:numFmt formatCode="General" sourceLinked="1"/>
        <c:majorTickMark val="none"/>
        <c:minorTickMark val="none"/>
        <c:tickLblPos val="nextTo"/>
        <c:crossAx val="564089600"/>
        <c:crosses val="autoZero"/>
        <c:auto val="1"/>
        <c:lblAlgn val="ctr"/>
        <c:lblOffset val="100"/>
        <c:noMultiLvlLbl val="0"/>
      </c:catAx>
      <c:valAx>
        <c:axId val="564089600"/>
        <c:scaling>
          <c:orientation val="minMax"/>
          <c:max val="3.8"/>
          <c:min val="0"/>
        </c:scaling>
        <c:delete val="1"/>
        <c:axPos val="t"/>
        <c:numFmt formatCode="0%" sourceLinked="1"/>
        <c:majorTickMark val="out"/>
        <c:minorTickMark val="none"/>
        <c:tickLblPos val="nextTo"/>
        <c:crossAx val="564083712"/>
        <c:crosses val="autoZero"/>
        <c:crossBetween val="between"/>
        <c:majorUnit val="2.8"/>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Avances en la ejecución</a:t>
            </a:r>
          </a:p>
          <a:p>
            <a:pPr>
              <a:defRPr sz="1400" b="0" i="0" u="none" strike="noStrike" kern="1200" spc="0" baseline="0">
                <a:solidFill>
                  <a:schemeClr val="tx1">
                    <a:lumMod val="65000"/>
                    <a:lumOff val="35000"/>
                  </a:schemeClr>
                </a:solidFill>
                <a:latin typeface="+mn-lt"/>
                <a:ea typeface="+mn-ea"/>
                <a:cs typeface="+mn-cs"/>
              </a:defRPr>
            </a:pPr>
            <a:r>
              <a:rPr lang="es-ES" sz="1100"/>
              <a:t>(el 82 % recibió la calificación de moderadamente satisfactorio</a:t>
            </a:r>
            <a:br>
              <a:rPr lang="es-ES" sz="1100"/>
            </a:br>
            <a:r>
              <a:rPr lang="es-ES" sz="1100"/>
              <a:t>o más elevada)</a:t>
            </a:r>
          </a:p>
        </c:rich>
      </c:tx>
      <c:overlay val="0"/>
      <c:spPr>
        <a:noFill/>
        <a:ln>
          <a:noFill/>
        </a:ln>
        <a:effectLst/>
      </c:spPr>
    </c:title>
    <c:autoTitleDeleted val="0"/>
    <c:plotArea>
      <c:layout/>
      <c:pieChart>
        <c:varyColors val="1"/>
        <c:ser>
          <c:idx val="1"/>
          <c:order val="1"/>
          <c:tx>
            <c:strRef>
              <c:f>Sheet1!$C$11</c:f>
              <c:strCache>
                <c:ptCount val="1"/>
                <c:pt idx="0">
                  <c:v>Implementation Progress</c:v>
                </c:pt>
              </c:strCache>
            </c:strRef>
          </c:tx>
          <c:spPr>
            <a:ln w="3175"/>
          </c:spPr>
          <c:dPt>
            <c:idx val="0"/>
            <c:bubble3D val="0"/>
            <c:spPr>
              <a:solidFill>
                <a:schemeClr val="accent6">
                  <a:lumMod val="50000"/>
                </a:schemeClr>
              </a:solidFill>
              <a:ln w="3175">
                <a:solidFill>
                  <a:schemeClr val="lt1"/>
                </a:solidFill>
              </a:ln>
              <a:effectLst/>
            </c:spPr>
            <c:extLst>
              <c:ext xmlns:c16="http://schemas.microsoft.com/office/drawing/2014/chart" uri="{C3380CC4-5D6E-409C-BE32-E72D297353CC}">
                <c16:uniqueId val="{00000001-7AEB-4144-BE9E-4077526D55DF}"/>
              </c:ext>
            </c:extLst>
          </c:dPt>
          <c:dPt>
            <c:idx val="1"/>
            <c:bubble3D val="0"/>
            <c:spPr>
              <a:solidFill>
                <a:schemeClr val="accent6">
                  <a:lumMod val="75000"/>
                </a:schemeClr>
              </a:solidFill>
              <a:ln w="3175">
                <a:solidFill>
                  <a:schemeClr val="lt1"/>
                </a:solidFill>
              </a:ln>
              <a:effectLst/>
            </c:spPr>
            <c:extLst>
              <c:ext xmlns:c16="http://schemas.microsoft.com/office/drawing/2014/chart" uri="{C3380CC4-5D6E-409C-BE32-E72D297353CC}">
                <c16:uniqueId val="{00000003-7AEB-4144-BE9E-4077526D55DF}"/>
              </c:ext>
            </c:extLst>
          </c:dPt>
          <c:dPt>
            <c:idx val="2"/>
            <c:bubble3D val="0"/>
            <c:spPr>
              <a:solidFill>
                <a:schemeClr val="accent6">
                  <a:lumMod val="60000"/>
                  <a:lumOff val="40000"/>
                </a:schemeClr>
              </a:solidFill>
              <a:ln w="3175">
                <a:solidFill>
                  <a:schemeClr val="lt1"/>
                </a:solidFill>
              </a:ln>
              <a:effectLst/>
            </c:spPr>
            <c:extLst>
              <c:ext xmlns:c16="http://schemas.microsoft.com/office/drawing/2014/chart" uri="{C3380CC4-5D6E-409C-BE32-E72D297353CC}">
                <c16:uniqueId val="{00000005-7AEB-4144-BE9E-4077526D55DF}"/>
              </c:ext>
            </c:extLst>
          </c:dPt>
          <c:dPt>
            <c:idx val="3"/>
            <c:bubble3D val="0"/>
            <c:spPr>
              <a:solidFill>
                <a:schemeClr val="accent1">
                  <a:lumMod val="60000"/>
                  <a:lumOff val="40000"/>
                </a:schemeClr>
              </a:solidFill>
              <a:ln w="3175">
                <a:solidFill>
                  <a:schemeClr val="lt1"/>
                </a:solidFill>
              </a:ln>
              <a:effectLst/>
            </c:spPr>
            <c:extLst>
              <c:ext xmlns:c16="http://schemas.microsoft.com/office/drawing/2014/chart" uri="{C3380CC4-5D6E-409C-BE32-E72D297353CC}">
                <c16:uniqueId val="{00000007-7AEB-4144-BE9E-4077526D55DF}"/>
              </c:ext>
            </c:extLst>
          </c:dPt>
          <c:dPt>
            <c:idx val="4"/>
            <c:bubble3D val="0"/>
            <c:spPr>
              <a:solidFill>
                <a:schemeClr val="accent1">
                  <a:lumMod val="75000"/>
                </a:schemeClr>
              </a:solidFill>
              <a:ln w="3175">
                <a:solidFill>
                  <a:schemeClr val="lt1"/>
                </a:solidFill>
              </a:ln>
              <a:effectLst/>
            </c:spPr>
            <c:extLst>
              <c:ext xmlns:c16="http://schemas.microsoft.com/office/drawing/2014/chart" uri="{C3380CC4-5D6E-409C-BE32-E72D297353CC}">
                <c16:uniqueId val="{00000009-7AEB-4144-BE9E-4077526D55DF}"/>
              </c:ext>
            </c:extLst>
          </c:dPt>
          <c:dPt>
            <c:idx val="5"/>
            <c:bubble3D val="0"/>
            <c:spPr>
              <a:solidFill>
                <a:schemeClr val="accent1">
                  <a:lumMod val="50000"/>
                </a:schemeClr>
              </a:solidFill>
              <a:ln w="3175">
                <a:solidFill>
                  <a:schemeClr val="lt1"/>
                </a:solidFill>
              </a:ln>
              <a:effectLst/>
            </c:spPr>
            <c:extLst>
              <c:ext xmlns:c16="http://schemas.microsoft.com/office/drawing/2014/chart" uri="{C3380CC4-5D6E-409C-BE32-E72D297353CC}">
                <c16:uniqueId val="{0000000B-7AEB-4144-BE9E-4077526D55DF}"/>
              </c:ext>
            </c:extLst>
          </c:dPt>
          <c:cat>
            <c:strRef>
              <c:f>Sheet1!$A$12:$A$17</c:f>
              <c:strCache>
                <c:ptCount val="6"/>
                <c:pt idx="0">
                  <c:v>Highly Satisfactory (5%)</c:v>
                </c:pt>
                <c:pt idx="1">
                  <c:v>Satisfactory (46%)</c:v>
                </c:pt>
                <c:pt idx="2">
                  <c:v>Moderately Satisfactory (31%)</c:v>
                </c:pt>
                <c:pt idx="3">
                  <c:v>Moderately Unsatisfactory (12%)</c:v>
                </c:pt>
                <c:pt idx="4">
                  <c:v>Unsatisfactory (5%)</c:v>
                </c:pt>
                <c:pt idx="5">
                  <c:v>Highly Unsatisfactory (1%)</c:v>
                </c:pt>
              </c:strCache>
            </c:strRef>
          </c:cat>
          <c:val>
            <c:numRef>
              <c:f>Sheet1!$C$12:$C$17</c:f>
              <c:numCache>
                <c:formatCode>0%</c:formatCode>
                <c:ptCount val="6"/>
                <c:pt idx="0">
                  <c:v>4.7619047619047616E-2</c:v>
                </c:pt>
                <c:pt idx="1">
                  <c:v>0.46218487394957986</c:v>
                </c:pt>
                <c:pt idx="2">
                  <c:v>0.31092436974789917</c:v>
                </c:pt>
                <c:pt idx="3">
                  <c:v>0.11764705882352941</c:v>
                </c:pt>
                <c:pt idx="4">
                  <c:v>5.3221288515406161E-2</c:v>
                </c:pt>
                <c:pt idx="5">
                  <c:v>8.4033613445378148E-3</c:v>
                </c:pt>
              </c:numCache>
            </c:numRef>
          </c:val>
          <c:extLst>
            <c:ext xmlns:c16="http://schemas.microsoft.com/office/drawing/2014/chart" uri="{C3380CC4-5D6E-409C-BE32-E72D297353CC}">
              <c16:uniqueId val="{0000000C-7AEB-4144-BE9E-4077526D55DF}"/>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Sheet1!$B$11</c15:sqref>
                        </c15:formulaRef>
                      </c:ext>
                    </c:extLst>
                    <c:strCache>
                      <c:ptCount val="1"/>
                      <c:pt idx="0">
                        <c:v>Development Objective </c:v>
                      </c:pt>
                    </c:strCache>
                  </c:strRef>
                </c:tx>
                <c:spPr>
                  <a:ln w="3175"/>
                </c:spPr>
                <c:dPt>
                  <c:idx val="0"/>
                  <c:bubble3D val="0"/>
                  <c:spPr>
                    <a:solidFill>
                      <a:schemeClr val="accent6">
                        <a:lumMod val="50000"/>
                      </a:schemeClr>
                    </a:solidFill>
                    <a:ln w="3175">
                      <a:solidFill>
                        <a:schemeClr val="lt1"/>
                      </a:solidFill>
                    </a:ln>
                    <a:effectLst/>
                  </c:spPr>
                  <c:extLst>
                    <c:ext xmlns:c16="http://schemas.microsoft.com/office/drawing/2014/chart" uri="{C3380CC4-5D6E-409C-BE32-E72D297353CC}">
                      <c16:uniqueId val="{0000000E-7AEB-4144-BE9E-4077526D55DF}"/>
                    </c:ext>
                  </c:extLst>
                </c:dPt>
                <c:dPt>
                  <c:idx val="1"/>
                  <c:bubble3D val="0"/>
                  <c:spPr>
                    <a:solidFill>
                      <a:schemeClr val="accent6">
                        <a:lumMod val="75000"/>
                      </a:schemeClr>
                    </a:solidFill>
                    <a:ln w="3175">
                      <a:solidFill>
                        <a:schemeClr val="lt1"/>
                      </a:solidFill>
                    </a:ln>
                    <a:effectLst/>
                  </c:spPr>
                  <c:extLst>
                    <c:ext xmlns:c16="http://schemas.microsoft.com/office/drawing/2014/chart" uri="{C3380CC4-5D6E-409C-BE32-E72D297353CC}">
                      <c16:uniqueId val="{00000010-7AEB-4144-BE9E-4077526D55DF}"/>
                    </c:ext>
                  </c:extLst>
                </c:dPt>
                <c:dPt>
                  <c:idx val="2"/>
                  <c:bubble3D val="0"/>
                  <c:spPr>
                    <a:solidFill>
                      <a:schemeClr val="accent6">
                        <a:lumMod val="60000"/>
                        <a:lumOff val="40000"/>
                      </a:schemeClr>
                    </a:solidFill>
                    <a:ln w="3175">
                      <a:solidFill>
                        <a:schemeClr val="lt1"/>
                      </a:solidFill>
                    </a:ln>
                    <a:effectLst/>
                  </c:spPr>
                  <c:extLst>
                    <c:ext xmlns:c16="http://schemas.microsoft.com/office/drawing/2014/chart" uri="{C3380CC4-5D6E-409C-BE32-E72D297353CC}">
                      <c16:uniqueId val="{00000012-7AEB-4144-BE9E-4077526D55DF}"/>
                    </c:ext>
                  </c:extLst>
                </c:dPt>
                <c:dPt>
                  <c:idx val="3"/>
                  <c:bubble3D val="0"/>
                  <c:spPr>
                    <a:solidFill>
                      <a:schemeClr val="accent1">
                        <a:lumMod val="60000"/>
                        <a:lumOff val="40000"/>
                      </a:schemeClr>
                    </a:solidFill>
                    <a:ln w="3175">
                      <a:solidFill>
                        <a:schemeClr val="lt1"/>
                      </a:solidFill>
                    </a:ln>
                    <a:effectLst/>
                  </c:spPr>
                  <c:extLst>
                    <c:ext xmlns:c16="http://schemas.microsoft.com/office/drawing/2014/chart" uri="{C3380CC4-5D6E-409C-BE32-E72D297353CC}">
                      <c16:uniqueId val="{00000014-7AEB-4144-BE9E-4077526D55DF}"/>
                    </c:ext>
                  </c:extLst>
                </c:dPt>
                <c:dPt>
                  <c:idx val="4"/>
                  <c:bubble3D val="0"/>
                  <c:spPr>
                    <a:solidFill>
                      <a:schemeClr val="accent1">
                        <a:lumMod val="75000"/>
                      </a:schemeClr>
                    </a:solidFill>
                    <a:ln w="3175">
                      <a:solidFill>
                        <a:schemeClr val="lt1"/>
                      </a:solidFill>
                    </a:ln>
                    <a:effectLst/>
                  </c:spPr>
                  <c:extLst>
                    <c:ext xmlns:c16="http://schemas.microsoft.com/office/drawing/2014/chart" uri="{C3380CC4-5D6E-409C-BE32-E72D297353CC}">
                      <c16:uniqueId val="{00000016-7AEB-4144-BE9E-4077526D55DF}"/>
                    </c:ext>
                  </c:extLst>
                </c:dPt>
                <c:dPt>
                  <c:idx val="5"/>
                  <c:bubble3D val="0"/>
                  <c:spPr>
                    <a:solidFill>
                      <a:schemeClr val="accent1">
                        <a:lumMod val="50000"/>
                      </a:schemeClr>
                    </a:solidFill>
                    <a:ln w="3175">
                      <a:solidFill>
                        <a:schemeClr val="lt1"/>
                      </a:solidFill>
                    </a:ln>
                    <a:effectLst/>
                  </c:spPr>
                  <c:extLst>
                    <c:ext xmlns:c16="http://schemas.microsoft.com/office/drawing/2014/chart" uri="{C3380CC4-5D6E-409C-BE32-E72D297353CC}">
                      <c16:uniqueId val="{00000018-7AEB-4144-BE9E-4077526D55DF}"/>
                    </c:ext>
                  </c:extLst>
                </c:dPt>
                <c:cat>
                  <c:strRef>
                    <c:extLst>
                      <c:ext uri="{02D57815-91ED-43cb-92C2-25804820EDAC}">
                        <c15:formulaRef>
                          <c15:sqref>Sheet1!$A$12:$A$17</c15:sqref>
                        </c15:formulaRef>
                      </c:ext>
                    </c:extLst>
                    <c:strCache>
                      <c:ptCount val="6"/>
                      <c:pt idx="0">
                        <c:v>Highly Satisfactory (5%)</c:v>
                      </c:pt>
                      <c:pt idx="1">
                        <c:v>Satisfactory (46%)</c:v>
                      </c:pt>
                      <c:pt idx="2">
                        <c:v>Moderately Satisfactory (31%)</c:v>
                      </c:pt>
                      <c:pt idx="3">
                        <c:v>Moderately Unsatisfactory (12%)</c:v>
                      </c:pt>
                      <c:pt idx="4">
                        <c:v>Unsatisfactory (5%)</c:v>
                      </c:pt>
                      <c:pt idx="5">
                        <c:v>Highly Unsatisfactory (1%)</c:v>
                      </c:pt>
                    </c:strCache>
                  </c:strRef>
                </c:cat>
                <c:val>
                  <c:numRef>
                    <c:extLst>
                      <c:ext uri="{02D57815-91ED-43cb-92C2-25804820EDAC}">
                        <c15:formulaRef>
                          <c15:sqref>Sheet1!$B$12:$B$17</c15:sqref>
                        </c15:formulaRef>
                      </c:ext>
                    </c:extLst>
                    <c:numCache>
                      <c:formatCode>0%</c:formatCode>
                      <c:ptCount val="6"/>
                      <c:pt idx="0">
                        <c:v>5.3221288515406161E-2</c:v>
                      </c:pt>
                      <c:pt idx="1">
                        <c:v>0.49859943977591037</c:v>
                      </c:pt>
                      <c:pt idx="2">
                        <c:v>0.30252100840336132</c:v>
                      </c:pt>
                      <c:pt idx="3">
                        <c:v>0.11764705882352941</c:v>
                      </c:pt>
                      <c:pt idx="4">
                        <c:v>2.2408963585434174E-2</c:v>
                      </c:pt>
                      <c:pt idx="5">
                        <c:v>5.6022408963585435E-3</c:v>
                      </c:pt>
                    </c:numCache>
                  </c:numRef>
                </c:val>
                <c:extLst>
                  <c:ext xmlns:c16="http://schemas.microsoft.com/office/drawing/2014/chart" uri="{C3380CC4-5D6E-409C-BE32-E72D297353CC}">
                    <c16:uniqueId val="{00000019-7AEB-4144-BE9E-4077526D55DF}"/>
                  </c:ext>
                </c:extLst>
              </c15:ser>
            </c15:filteredPieSeries>
          </c:ext>
        </c:extLst>
      </c:pieChart>
      <c:spPr>
        <a:noFill/>
        <a:ln>
          <a:noFill/>
        </a:ln>
        <a:effectLst/>
      </c:spPr>
    </c:plotArea>
    <c:legend>
      <c:legendPos val="r"/>
      <c:layout>
        <c:manualLayout>
          <c:xMode val="edge"/>
          <c:yMode val="edge"/>
          <c:x val="0.56500528851803977"/>
          <c:y val="0.33687672117908335"/>
          <c:w val="0.38612684608453796"/>
          <c:h val="0.44538760347264283"/>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Logro de los objetivos de desarrollo</a:t>
            </a:r>
          </a:p>
          <a:p>
            <a:pPr>
              <a:defRPr sz="1400" b="0" i="0" u="none" strike="noStrike" kern="1200" spc="0" baseline="0">
                <a:solidFill>
                  <a:schemeClr val="tx1">
                    <a:lumMod val="65000"/>
                    <a:lumOff val="35000"/>
                  </a:schemeClr>
                </a:solidFill>
                <a:latin typeface="+mn-lt"/>
                <a:ea typeface="+mn-ea"/>
                <a:cs typeface="+mn-cs"/>
              </a:defRPr>
            </a:pPr>
            <a:r>
              <a:rPr lang="es-ES" sz="1100"/>
              <a:t>(el 85% recibió la calificación de moderadamente satisfactorio</a:t>
            </a:r>
            <a:br>
              <a:rPr lang="es-ES" sz="1100"/>
            </a:br>
            <a:r>
              <a:rPr lang="es-ES" sz="1100"/>
              <a:t>o más elevada)</a:t>
            </a:r>
            <a:r>
              <a:rPr lang="es-ES"/>
              <a:t> </a:t>
            </a:r>
          </a:p>
        </c:rich>
      </c:tx>
      <c:overlay val="0"/>
      <c:spPr>
        <a:noFill/>
        <a:ln>
          <a:noFill/>
        </a:ln>
        <a:effectLst/>
      </c:spPr>
    </c:title>
    <c:autoTitleDeleted val="0"/>
    <c:plotArea>
      <c:layout/>
      <c:pieChart>
        <c:varyColors val="1"/>
        <c:ser>
          <c:idx val="0"/>
          <c:order val="0"/>
          <c:tx>
            <c:strRef>
              <c:f>Sheet1!$B$20</c:f>
              <c:strCache>
                <c:ptCount val="1"/>
                <c:pt idx="0">
                  <c:v>Development Objective </c:v>
                </c:pt>
              </c:strCache>
            </c:strRef>
          </c:tx>
          <c:spPr>
            <a:ln w="3175"/>
          </c:spPr>
          <c:dPt>
            <c:idx val="0"/>
            <c:bubble3D val="0"/>
            <c:spPr>
              <a:solidFill>
                <a:schemeClr val="accent6">
                  <a:lumMod val="50000"/>
                </a:schemeClr>
              </a:solidFill>
              <a:ln w="3175">
                <a:solidFill>
                  <a:schemeClr val="lt1"/>
                </a:solidFill>
              </a:ln>
              <a:effectLst/>
            </c:spPr>
            <c:extLst>
              <c:ext xmlns:c16="http://schemas.microsoft.com/office/drawing/2014/chart" uri="{C3380CC4-5D6E-409C-BE32-E72D297353CC}">
                <c16:uniqueId val="{00000001-A944-4D38-8031-A3A7CE95DB9E}"/>
              </c:ext>
            </c:extLst>
          </c:dPt>
          <c:dPt>
            <c:idx val="1"/>
            <c:bubble3D val="0"/>
            <c:spPr>
              <a:solidFill>
                <a:schemeClr val="accent6">
                  <a:lumMod val="75000"/>
                </a:schemeClr>
              </a:solidFill>
              <a:ln w="3175">
                <a:solidFill>
                  <a:schemeClr val="lt1"/>
                </a:solidFill>
              </a:ln>
              <a:effectLst/>
            </c:spPr>
            <c:extLst>
              <c:ext xmlns:c16="http://schemas.microsoft.com/office/drawing/2014/chart" uri="{C3380CC4-5D6E-409C-BE32-E72D297353CC}">
                <c16:uniqueId val="{00000003-A944-4D38-8031-A3A7CE95DB9E}"/>
              </c:ext>
            </c:extLst>
          </c:dPt>
          <c:dPt>
            <c:idx val="2"/>
            <c:bubble3D val="0"/>
            <c:spPr>
              <a:solidFill>
                <a:schemeClr val="accent6">
                  <a:lumMod val="60000"/>
                  <a:lumOff val="40000"/>
                </a:schemeClr>
              </a:solidFill>
              <a:ln w="3175">
                <a:solidFill>
                  <a:schemeClr val="lt1"/>
                </a:solidFill>
              </a:ln>
              <a:effectLst/>
            </c:spPr>
            <c:extLst>
              <c:ext xmlns:c16="http://schemas.microsoft.com/office/drawing/2014/chart" uri="{C3380CC4-5D6E-409C-BE32-E72D297353CC}">
                <c16:uniqueId val="{00000005-A944-4D38-8031-A3A7CE95DB9E}"/>
              </c:ext>
            </c:extLst>
          </c:dPt>
          <c:dPt>
            <c:idx val="3"/>
            <c:bubble3D val="0"/>
            <c:spPr>
              <a:solidFill>
                <a:schemeClr val="accent1">
                  <a:lumMod val="60000"/>
                  <a:lumOff val="40000"/>
                </a:schemeClr>
              </a:solidFill>
              <a:ln w="3175">
                <a:solidFill>
                  <a:schemeClr val="lt1"/>
                </a:solidFill>
              </a:ln>
              <a:effectLst/>
            </c:spPr>
            <c:extLst>
              <c:ext xmlns:c16="http://schemas.microsoft.com/office/drawing/2014/chart" uri="{C3380CC4-5D6E-409C-BE32-E72D297353CC}">
                <c16:uniqueId val="{00000007-A944-4D38-8031-A3A7CE95DB9E}"/>
              </c:ext>
            </c:extLst>
          </c:dPt>
          <c:dPt>
            <c:idx val="4"/>
            <c:bubble3D val="0"/>
            <c:spPr>
              <a:solidFill>
                <a:schemeClr val="accent1">
                  <a:lumMod val="75000"/>
                </a:schemeClr>
              </a:solidFill>
              <a:ln w="3175">
                <a:solidFill>
                  <a:schemeClr val="lt1"/>
                </a:solidFill>
              </a:ln>
              <a:effectLst/>
            </c:spPr>
            <c:extLst>
              <c:ext xmlns:c16="http://schemas.microsoft.com/office/drawing/2014/chart" uri="{C3380CC4-5D6E-409C-BE32-E72D297353CC}">
                <c16:uniqueId val="{00000009-A944-4D38-8031-A3A7CE95DB9E}"/>
              </c:ext>
            </c:extLst>
          </c:dPt>
          <c:dPt>
            <c:idx val="5"/>
            <c:bubble3D val="0"/>
            <c:spPr>
              <a:solidFill>
                <a:schemeClr val="accent1">
                  <a:lumMod val="50000"/>
                </a:schemeClr>
              </a:solidFill>
              <a:ln w="3175">
                <a:solidFill>
                  <a:schemeClr val="lt1"/>
                </a:solidFill>
              </a:ln>
              <a:effectLst/>
            </c:spPr>
            <c:extLst>
              <c:ext xmlns:c16="http://schemas.microsoft.com/office/drawing/2014/chart" uri="{C3380CC4-5D6E-409C-BE32-E72D297353CC}">
                <c16:uniqueId val="{0000000B-A944-4D38-8031-A3A7CE95DB9E}"/>
              </c:ext>
            </c:extLst>
          </c:dPt>
          <c:cat>
            <c:strRef>
              <c:f>Sheet1!$A$21:$A$26</c:f>
              <c:strCache>
                <c:ptCount val="6"/>
                <c:pt idx="0">
                  <c:v>Highly Satisfactory (5%)</c:v>
                </c:pt>
                <c:pt idx="1">
                  <c:v>Satisfactory (50%)</c:v>
                </c:pt>
                <c:pt idx="2">
                  <c:v>Moderately Satisfactory (30%)</c:v>
                </c:pt>
                <c:pt idx="3">
                  <c:v>Moderately Unsatisfactory (12%)</c:v>
                </c:pt>
                <c:pt idx="4">
                  <c:v>Unsatisfactory (2%)</c:v>
                </c:pt>
                <c:pt idx="5">
                  <c:v>Highly Unsatisfactory (1%)</c:v>
                </c:pt>
              </c:strCache>
            </c:strRef>
          </c:cat>
          <c:val>
            <c:numRef>
              <c:f>Sheet1!$B$21:$B$26</c:f>
              <c:numCache>
                <c:formatCode>0%</c:formatCode>
                <c:ptCount val="6"/>
                <c:pt idx="0">
                  <c:v>5.3221288515406161E-2</c:v>
                </c:pt>
                <c:pt idx="1">
                  <c:v>0.49859943977591037</c:v>
                </c:pt>
                <c:pt idx="2">
                  <c:v>0.30252100840336132</c:v>
                </c:pt>
                <c:pt idx="3">
                  <c:v>0.11764705882352941</c:v>
                </c:pt>
                <c:pt idx="4">
                  <c:v>2.2408963585434174E-2</c:v>
                </c:pt>
                <c:pt idx="5">
                  <c:v>5.6022408963585435E-3</c:v>
                </c:pt>
              </c:numCache>
            </c:numRef>
          </c:val>
          <c:extLst>
            <c:ext xmlns:c16="http://schemas.microsoft.com/office/drawing/2014/chart" uri="{C3380CC4-5D6E-409C-BE32-E72D297353CC}">
              <c16:uniqueId val="{0000000C-A944-4D38-8031-A3A7CE95DB9E}"/>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0549866331643598"/>
          <c:y val="0.35153427019978301"/>
          <c:w val="0.33760585121664988"/>
          <c:h val="0.400002737435172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5.jpeg"/></Relationships>
</file>

<file path=word/drawings/_rels/drawing2.xml.rels><?xml version="1.0" encoding="UTF-8" standalone="yes"?>
<Relationships xmlns="http://schemas.openxmlformats.org/package/2006/relationships"><Relationship Id="rId1" Type="http://schemas.openxmlformats.org/officeDocument/2006/relationships/image" Target="../media/image6.jpeg"/></Relationships>
</file>

<file path=word/drawings/_rels/drawing3.xml.rels><?xml version="1.0" encoding="UTF-8" standalone="yes"?>
<Relationships xmlns="http://schemas.openxmlformats.org/package/2006/relationships"><Relationship Id="rId1" Type="http://schemas.openxmlformats.org/officeDocument/2006/relationships/image" Target="../media/image7.jpg"/></Relationships>
</file>

<file path=word/drawings/_rels/drawing4.xml.rels><?xml version="1.0" encoding="UTF-8" standalone="yes"?>
<Relationships xmlns="http://schemas.openxmlformats.org/package/2006/relationships"><Relationship Id="rId1" Type="http://schemas.openxmlformats.org/officeDocument/2006/relationships/image" Target="../media/image8.jpeg"/></Relationships>
</file>

<file path=word/drawings/_rels/drawing5.xml.rels><?xml version="1.0" encoding="UTF-8" standalone="yes"?>
<Relationships xmlns="http://schemas.openxmlformats.org/package/2006/relationships"><Relationship Id="rId1" Type="http://schemas.openxmlformats.org/officeDocument/2006/relationships/image" Target="../media/image9.jpeg"/></Relationships>
</file>

<file path=word/drawings/drawing1.xml><?xml version="1.0" encoding="utf-8"?>
<c:userShapes xmlns:c="http://schemas.openxmlformats.org/drawingml/2006/chart">
  <cdr:relSizeAnchor xmlns:cdr="http://schemas.openxmlformats.org/drawingml/2006/chartDrawing">
    <cdr:from>
      <cdr:x>0.13569</cdr:x>
      <cdr:y>0.26152</cdr:y>
    </cdr:from>
    <cdr:to>
      <cdr:x>0.91822</cdr:x>
      <cdr:y>0.99301</cdr:y>
    </cdr:to>
    <cdr:pic>
      <cdr:nvPicPr>
        <cdr:cNvPr id="2" name="Imagen 1"/>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695325" y="737333"/>
          <a:ext cx="4010025" cy="2062373"/>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0.14043</cdr:x>
      <cdr:y>0.23676</cdr:y>
    </cdr:from>
    <cdr:to>
      <cdr:x>0.93504</cdr:x>
      <cdr:y>0.9595</cdr:y>
    </cdr:to>
    <cdr:pic>
      <cdr:nvPicPr>
        <cdr:cNvPr id="2" name="Imagen 1"/>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781050" y="723900"/>
          <a:ext cx="4419599" cy="220980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0.23307</cdr:x>
      <cdr:y>0.04898</cdr:y>
    </cdr:from>
    <cdr:to>
      <cdr:x>0.63532</cdr:x>
      <cdr:y>0.27307</cdr:y>
    </cdr:to>
    <cdr:sp macro="" textlink="">
      <cdr:nvSpPr>
        <cdr:cNvPr id="2" name="TextBox 1"/>
        <cdr:cNvSpPr txBox="1"/>
      </cdr:nvSpPr>
      <cdr:spPr>
        <a:xfrm xmlns:a="http://schemas.openxmlformats.org/drawingml/2006/main">
          <a:off x="1522044" y="182880"/>
          <a:ext cx="2626830" cy="8367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US" sz="1100" b="1">
              <a:solidFill>
                <a:srgbClr val="0E693D"/>
              </a:solidFill>
            </a:rPr>
            <a:t>Avances en la ejecución</a:t>
          </a:r>
        </a:p>
        <a:p xmlns:a="http://schemas.openxmlformats.org/drawingml/2006/main">
          <a:pPr algn="r"/>
          <a:r>
            <a:rPr lang="en-US" sz="1000">
              <a:solidFill>
                <a:srgbClr val="0E693D"/>
              </a:solidFill>
            </a:rPr>
            <a:t>Porcentaje de proyectos con una calificación de moderadamente satisfactorio o más</a:t>
          </a:r>
          <a:r>
            <a:rPr lang="en-US" sz="1000" baseline="0">
              <a:solidFill>
                <a:srgbClr val="0E693D"/>
              </a:solidFill>
            </a:rPr>
            <a:t> elevada</a:t>
          </a:r>
          <a:endParaRPr lang="en-US" sz="1000">
            <a:solidFill>
              <a:srgbClr val="0E693D"/>
            </a:solidFill>
          </a:endParaRPr>
        </a:p>
      </cdr:txBody>
    </cdr:sp>
  </cdr:relSizeAnchor>
  <cdr:relSizeAnchor xmlns:cdr="http://schemas.openxmlformats.org/drawingml/2006/chartDrawing">
    <cdr:from>
      <cdr:x>0.60359</cdr:x>
      <cdr:y>0.05918</cdr:y>
    </cdr:from>
    <cdr:to>
      <cdr:x>0.99417</cdr:x>
      <cdr:y>0.2814</cdr:y>
    </cdr:to>
    <cdr:sp macro="" textlink="">
      <cdr:nvSpPr>
        <cdr:cNvPr id="3" name="TextBox 1"/>
        <cdr:cNvSpPr txBox="1"/>
      </cdr:nvSpPr>
      <cdr:spPr>
        <a:xfrm xmlns:a="http://schemas.openxmlformats.org/drawingml/2006/main">
          <a:off x="3941676" y="220980"/>
          <a:ext cx="2550564" cy="8297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100" b="1">
              <a:solidFill>
                <a:srgbClr val="0F6CB6"/>
              </a:solidFill>
            </a:rPr>
            <a:t>Objetivos</a:t>
          </a:r>
          <a:r>
            <a:rPr lang="en-US" sz="1100" b="1" baseline="0">
              <a:solidFill>
                <a:srgbClr val="0F6CB6"/>
              </a:solidFill>
            </a:rPr>
            <a:t> de desarrollo</a:t>
          </a:r>
          <a:endParaRPr lang="en-US" sz="1100" b="1">
            <a:solidFill>
              <a:srgbClr val="0F6CB6"/>
            </a:solidFill>
          </a:endParaRPr>
        </a:p>
        <a:p xmlns:a="http://schemas.openxmlformats.org/drawingml/2006/main">
          <a:pPr algn="r"/>
          <a:r>
            <a:rPr lang="en-US" sz="1000">
              <a:solidFill>
                <a:srgbClr val="0F6CB6"/>
              </a:solidFill>
            </a:rPr>
            <a:t>Porcentaje de proyectos</a:t>
          </a:r>
          <a:r>
            <a:rPr lang="en-US" sz="1000" baseline="0">
              <a:solidFill>
                <a:srgbClr val="0F6CB6"/>
              </a:solidFill>
            </a:rPr>
            <a:t> con una calificación de moderadamente satisfactorio o más elevada</a:t>
          </a:r>
          <a:endParaRPr lang="en-US" sz="1000">
            <a:solidFill>
              <a:srgbClr val="0F6CB6"/>
            </a:solidFill>
          </a:endParaRPr>
        </a:p>
      </cdr:txBody>
    </cdr:sp>
  </cdr:relSizeAnchor>
  <cdr:relSizeAnchor xmlns:cdr="http://schemas.openxmlformats.org/drawingml/2006/chartDrawing">
    <cdr:from>
      <cdr:x>0.0859</cdr:x>
      <cdr:y>0.34798</cdr:y>
    </cdr:from>
    <cdr:to>
      <cdr:x>0.93462</cdr:x>
      <cdr:y>0.774</cdr:y>
    </cdr:to>
    <cdr:pic>
      <cdr:nvPicPr>
        <cdr:cNvPr id="8" name="Picture 7"/>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10540" y="1272540"/>
          <a:ext cx="5044474" cy="1557942"/>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0.0653</cdr:x>
      <cdr:y>0.25538</cdr:y>
    </cdr:from>
    <cdr:to>
      <cdr:x>0.9291</cdr:x>
      <cdr:y>0.96769</cdr:y>
    </cdr:to>
    <cdr:pic>
      <cdr:nvPicPr>
        <cdr:cNvPr id="2" name="Imagen 1"/>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33375" y="790575"/>
          <a:ext cx="4410075" cy="2205038"/>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0.06679</cdr:x>
      <cdr:y>0.23113</cdr:y>
    </cdr:from>
    <cdr:to>
      <cdr:x>0.98701</cdr:x>
      <cdr:y>0.97195</cdr:y>
    </cdr:to>
    <cdr:pic>
      <cdr:nvPicPr>
        <cdr:cNvPr id="2" name="Imagen 1"/>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42900" y="742950"/>
          <a:ext cx="4724400" cy="2381250"/>
        </a:xfrm>
        <a:prstGeom xmlns:a="http://schemas.openxmlformats.org/drawingml/2006/main" prst="rect">
          <a:avLst/>
        </a:prstGeom>
      </cdr:spPr>
    </cdr:pic>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207C0693C2141E48CF6787E265A3927"/>
        <w:category>
          <w:name w:val="General"/>
          <w:gallery w:val="placeholder"/>
        </w:category>
        <w:types>
          <w:type w:val="bbPlcHdr"/>
        </w:types>
        <w:behaviors>
          <w:behavior w:val="content"/>
        </w:behaviors>
        <w:guid w:val="{B1CCE1A3-7CEE-4A8E-B31F-C16AA2F0CD59}"/>
      </w:docPartPr>
      <w:docPartBody>
        <w:p w:rsidR="00723176" w:rsidRDefault="00637C32" w:rsidP="00637C32">
          <w:pPr>
            <w:pStyle w:val="7207C0693C2141E48CF6787E265A3927"/>
          </w:pPr>
          <w:r w:rsidRPr="00C725B6">
            <w:rPr>
              <w:rStyle w:val="Textodelmarcadordeposicin"/>
            </w:rPr>
            <w:t>[Subject]</w:t>
          </w:r>
        </w:p>
      </w:docPartBody>
    </w:docPart>
    <w:docPart>
      <w:docPartPr>
        <w:name w:val="B16882D3CD1D4AF581A165F293A75A9E"/>
        <w:category>
          <w:name w:val="General"/>
          <w:gallery w:val="placeholder"/>
        </w:category>
        <w:types>
          <w:type w:val="bbPlcHdr"/>
        </w:types>
        <w:behaviors>
          <w:behavior w:val="content"/>
        </w:behaviors>
        <w:guid w:val="{E828BA2B-402F-43DB-BCF6-9E39A5B91AB6}"/>
      </w:docPartPr>
      <w:docPartBody>
        <w:p w:rsidR="00723176" w:rsidRDefault="00637C32" w:rsidP="00637C32">
          <w:pPr>
            <w:pStyle w:val="B16882D3CD1D4AF581A165F293A75A9E"/>
          </w:pPr>
          <w:r w:rsidRPr="00C725B6">
            <w:rPr>
              <w:rStyle w:val="Textodelmarcadordeposicin"/>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C32"/>
    <w:rsid w:val="002E5893"/>
    <w:rsid w:val="00531FEE"/>
    <w:rsid w:val="00637C32"/>
    <w:rsid w:val="00723176"/>
    <w:rsid w:val="009031C4"/>
    <w:rsid w:val="009653BF"/>
    <w:rsid w:val="00A272EA"/>
    <w:rsid w:val="00BC07E6"/>
    <w:rsid w:val="00BC66F3"/>
    <w:rsid w:val="00E530D6"/>
    <w:rsid w:val="00E81CC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67"/>
    <w:rsid w:val="00BC66F3"/>
    <w:rPr>
      <w:color w:val="808080"/>
    </w:rPr>
  </w:style>
  <w:style w:type="paragraph" w:customStyle="1" w:styleId="7207C0693C2141E48CF6787E265A3927">
    <w:name w:val="7207C0693C2141E48CF6787E265A3927"/>
    <w:rsid w:val="00637C32"/>
  </w:style>
  <w:style w:type="paragraph" w:customStyle="1" w:styleId="B16882D3CD1D4AF581A165F293A75A9E">
    <w:name w:val="B16882D3CD1D4AF581A165F293A75A9E"/>
    <w:rsid w:val="00637C32"/>
  </w:style>
  <w:style w:type="paragraph" w:customStyle="1" w:styleId="30A7825E02CC4C0A82FF55ED02BAD813">
    <w:name w:val="30A7825E02CC4C0A82FF55ED02BAD813"/>
    <w:rsid w:val="00637C32"/>
  </w:style>
  <w:style w:type="paragraph" w:customStyle="1" w:styleId="AB57621758274B1983F6392475BD1141">
    <w:name w:val="AB57621758274B1983F6392475BD1141"/>
    <w:rsid w:val="00637C32"/>
  </w:style>
  <w:style w:type="paragraph" w:customStyle="1" w:styleId="6B0E0D4F88734936806EE74494FD8563">
    <w:name w:val="6B0E0D4F88734936806EE74494FD8563"/>
    <w:rsid w:val="00723176"/>
  </w:style>
  <w:style w:type="paragraph" w:customStyle="1" w:styleId="7D65C25F28C24E34A7B94910AFD3875C">
    <w:name w:val="7D65C25F28C24E34A7B94910AFD3875C"/>
    <w:rsid w:val="00BC66F3"/>
    <w:rPr>
      <w:lang w:val="es-ES" w:eastAsia="es-ES"/>
    </w:rPr>
  </w:style>
  <w:style w:type="paragraph" w:customStyle="1" w:styleId="3D99BE7758ED4BE38AE7ECAE0B34C817">
    <w:name w:val="3D99BE7758ED4BE38AE7ECAE0B34C817"/>
    <w:rsid w:val="00BC66F3"/>
    <w:rPr>
      <w:lang w:val="es-ES" w:eastAsia="es-ES"/>
    </w:rPr>
  </w:style>
  <w:style w:type="paragraph" w:customStyle="1" w:styleId="E179DA0B38A34A96B6DA24D6CAE8E7AF">
    <w:name w:val="E179DA0B38A34A96B6DA24D6CAE8E7AF"/>
    <w:rsid w:val="00BC66F3"/>
    <w:rPr>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BFACF6D92CD24AA50050CE23F68F74" ma:contentTypeVersion="11" ma:contentTypeDescription="Create a new document." ma:contentTypeScope="" ma:versionID="e8f0d6682e211d1545a187fe248da6dd">
  <xsd:schema xmlns:xsd="http://www.w3.org/2001/XMLSchema" xmlns:xs="http://www.w3.org/2001/XMLSchema" xmlns:p="http://schemas.microsoft.com/office/2006/metadata/properties" xmlns:ns2="358298e0-1b7e-4ebe-8695-94439b74f0d1" xmlns:ns3="13ad741f-c0db-4e29-b5a6-03b4a1bc18ba" targetNamespace="http://schemas.microsoft.com/office/2006/metadata/properties" ma:root="true" ma:fieldsID="d10a597f5170058c6678b36c3d4b6e45" ns2:_="" ns3:_="">
    <xsd:import namespace="358298e0-1b7e-4ebe-8695-94439b74f0d1"/>
    <xsd:import namespace="13ad741f-c0db-4e29-b5a6-03b4a1bc18b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298e0-1b7e-4ebe-8695-94439b74f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ad741f-c0db-4e29-b5a6-03b4a1bc18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B101D5-7BF8-4CB4-8636-3E4B4661B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298e0-1b7e-4ebe-8695-94439b74f0d1"/>
    <ds:schemaRef ds:uri="13ad741f-c0db-4e29-b5a6-03b4a1bc1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0A6FE8-8EFF-419C-9EB8-CD639FE308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0FEA929-E220-42D8-AF99-53750059D9DF}">
  <ds:schemaRefs>
    <ds:schemaRef ds:uri="http://schemas.microsoft.com/sharepoint/v3/contenttype/forms"/>
  </ds:schemaRefs>
</ds:datastoreItem>
</file>

<file path=customXml/itemProps4.xml><?xml version="1.0" encoding="utf-8"?>
<ds:datastoreItem xmlns:ds="http://schemas.openxmlformats.org/officeDocument/2006/customXml" ds:itemID="{35D77AF8-11C9-4F45-8B45-E1552C76B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44</Pages>
  <Words>13374</Words>
  <Characters>73563</Characters>
  <Application>Microsoft Office Word</Application>
  <DocSecurity>0</DocSecurity>
  <Lines>613</Lines>
  <Paragraphs>173</Paragraphs>
  <ScaleCrop>false</ScaleCrop>
  <HeadingPairs>
    <vt:vector size="2" baseType="variant">
      <vt:variant>
        <vt:lpstr>Title</vt:lpstr>
      </vt:variant>
      <vt:variant>
        <vt:i4>1</vt:i4>
      </vt:variant>
    </vt:vector>
  </HeadingPairs>
  <TitlesOfParts>
    <vt:vector size="1" baseType="lpstr">
      <vt:lpstr>Financial mechanism</vt:lpstr>
    </vt:vector>
  </TitlesOfParts>
  <Company/>
  <LinksUpToDate>false</LinksUpToDate>
  <CharactersWithSpaces>86764</CharactersWithSpaces>
  <SharedDoc>false</SharedDoc>
  <HLinks>
    <vt:vector size="594" baseType="variant">
      <vt:variant>
        <vt:i4>7864381</vt:i4>
      </vt:variant>
      <vt:variant>
        <vt:i4>345</vt:i4>
      </vt:variant>
      <vt:variant>
        <vt:i4>0</vt:i4>
      </vt:variant>
      <vt:variant>
        <vt:i4>5</vt:i4>
      </vt:variant>
      <vt:variant>
        <vt:lpwstr>http://www.thegef.org/project/10309</vt:lpwstr>
      </vt:variant>
      <vt:variant>
        <vt:lpwstr/>
      </vt:variant>
      <vt:variant>
        <vt:i4>7995453</vt:i4>
      </vt:variant>
      <vt:variant>
        <vt:i4>342</vt:i4>
      </vt:variant>
      <vt:variant>
        <vt:i4>0</vt:i4>
      </vt:variant>
      <vt:variant>
        <vt:i4>5</vt:i4>
      </vt:variant>
      <vt:variant>
        <vt:lpwstr>http://www.thegef.org/project/10322</vt:lpwstr>
      </vt:variant>
      <vt:variant>
        <vt:lpwstr/>
      </vt:variant>
      <vt:variant>
        <vt:i4>1310739</vt:i4>
      </vt:variant>
      <vt:variant>
        <vt:i4>339</vt:i4>
      </vt:variant>
      <vt:variant>
        <vt:i4>0</vt:i4>
      </vt:variant>
      <vt:variant>
        <vt:i4>5</vt:i4>
      </vt:variant>
      <vt:variant>
        <vt:lpwstr>https://www.thegef.org/project/10200</vt:lpwstr>
      </vt:variant>
      <vt:variant>
        <vt:lpwstr/>
      </vt:variant>
      <vt:variant>
        <vt:i4>1179667</vt:i4>
      </vt:variant>
      <vt:variant>
        <vt:i4>336</vt:i4>
      </vt:variant>
      <vt:variant>
        <vt:i4>0</vt:i4>
      </vt:variant>
      <vt:variant>
        <vt:i4>5</vt:i4>
      </vt:variant>
      <vt:variant>
        <vt:lpwstr>https://www.thegef.org/project/10206</vt:lpwstr>
      </vt:variant>
      <vt:variant>
        <vt:lpwstr/>
      </vt:variant>
      <vt:variant>
        <vt:i4>1835027</vt:i4>
      </vt:variant>
      <vt:variant>
        <vt:i4>333</vt:i4>
      </vt:variant>
      <vt:variant>
        <vt:i4>0</vt:i4>
      </vt:variant>
      <vt:variant>
        <vt:i4>5</vt:i4>
      </vt:variant>
      <vt:variant>
        <vt:lpwstr>https://www.thegef.org/project/10208</vt:lpwstr>
      </vt:variant>
      <vt:variant>
        <vt:lpwstr/>
      </vt:variant>
      <vt:variant>
        <vt:i4>2031642</vt:i4>
      </vt:variant>
      <vt:variant>
        <vt:i4>330</vt:i4>
      </vt:variant>
      <vt:variant>
        <vt:i4>0</vt:i4>
      </vt:variant>
      <vt:variant>
        <vt:i4>5</vt:i4>
      </vt:variant>
      <vt:variant>
        <vt:lpwstr>https://www.thegef.org/project/10198</vt:lpwstr>
      </vt:variant>
      <vt:variant>
        <vt:lpwstr/>
      </vt:variant>
      <vt:variant>
        <vt:i4>1376275</vt:i4>
      </vt:variant>
      <vt:variant>
        <vt:i4>327</vt:i4>
      </vt:variant>
      <vt:variant>
        <vt:i4>0</vt:i4>
      </vt:variant>
      <vt:variant>
        <vt:i4>5</vt:i4>
      </vt:variant>
      <vt:variant>
        <vt:lpwstr>https://www.thegef.org/project/10201</vt:lpwstr>
      </vt:variant>
      <vt:variant>
        <vt:lpwstr/>
      </vt:variant>
      <vt:variant>
        <vt:i4>1310746</vt:i4>
      </vt:variant>
      <vt:variant>
        <vt:i4>324</vt:i4>
      </vt:variant>
      <vt:variant>
        <vt:i4>0</vt:i4>
      </vt:variant>
      <vt:variant>
        <vt:i4>5</vt:i4>
      </vt:variant>
      <vt:variant>
        <vt:lpwstr>https://www.thegef.org/project/10391</vt:lpwstr>
      </vt:variant>
      <vt:variant>
        <vt:lpwstr/>
      </vt:variant>
      <vt:variant>
        <vt:i4>7929914</vt:i4>
      </vt:variant>
      <vt:variant>
        <vt:i4>321</vt:i4>
      </vt:variant>
      <vt:variant>
        <vt:i4>0</vt:i4>
      </vt:variant>
      <vt:variant>
        <vt:i4>5</vt:i4>
      </vt:variant>
      <vt:variant>
        <vt:lpwstr>http://www.thegef.org/project/10412</vt:lpwstr>
      </vt:variant>
      <vt:variant>
        <vt:lpwstr/>
      </vt:variant>
      <vt:variant>
        <vt:i4>7405631</vt:i4>
      </vt:variant>
      <vt:variant>
        <vt:i4>318</vt:i4>
      </vt:variant>
      <vt:variant>
        <vt:i4>0</vt:i4>
      </vt:variant>
      <vt:variant>
        <vt:i4>5</vt:i4>
      </vt:variant>
      <vt:variant>
        <vt:lpwstr>http://www.thegef.org/project/10192</vt:lpwstr>
      </vt:variant>
      <vt:variant>
        <vt:lpwstr/>
      </vt:variant>
      <vt:variant>
        <vt:i4>7929914</vt:i4>
      </vt:variant>
      <vt:variant>
        <vt:i4>315</vt:i4>
      </vt:variant>
      <vt:variant>
        <vt:i4>0</vt:i4>
      </vt:variant>
      <vt:variant>
        <vt:i4>5</vt:i4>
      </vt:variant>
      <vt:variant>
        <vt:lpwstr>http://www.thegef.org/project/10415</vt:lpwstr>
      </vt:variant>
      <vt:variant>
        <vt:lpwstr/>
      </vt:variant>
      <vt:variant>
        <vt:i4>8192061</vt:i4>
      </vt:variant>
      <vt:variant>
        <vt:i4>312</vt:i4>
      </vt:variant>
      <vt:variant>
        <vt:i4>0</vt:i4>
      </vt:variant>
      <vt:variant>
        <vt:i4>5</vt:i4>
      </vt:variant>
      <vt:variant>
        <vt:lpwstr>http://www.thegef.org/project/10356</vt:lpwstr>
      </vt:variant>
      <vt:variant>
        <vt:lpwstr/>
      </vt:variant>
      <vt:variant>
        <vt:i4>7340094</vt:i4>
      </vt:variant>
      <vt:variant>
        <vt:i4>309</vt:i4>
      </vt:variant>
      <vt:variant>
        <vt:i4>0</vt:i4>
      </vt:variant>
      <vt:variant>
        <vt:i4>5</vt:i4>
      </vt:variant>
      <vt:variant>
        <vt:lpwstr>http://www.thegef.org/project/10081</vt:lpwstr>
      </vt:variant>
      <vt:variant>
        <vt:lpwstr/>
      </vt:variant>
      <vt:variant>
        <vt:i4>8192061</vt:i4>
      </vt:variant>
      <vt:variant>
        <vt:i4>306</vt:i4>
      </vt:variant>
      <vt:variant>
        <vt:i4>0</vt:i4>
      </vt:variant>
      <vt:variant>
        <vt:i4>5</vt:i4>
      </vt:variant>
      <vt:variant>
        <vt:lpwstr>http://www.thegef.org/project/10352</vt:lpwstr>
      </vt:variant>
      <vt:variant>
        <vt:lpwstr/>
      </vt:variant>
      <vt:variant>
        <vt:i4>7340095</vt:i4>
      </vt:variant>
      <vt:variant>
        <vt:i4>303</vt:i4>
      </vt:variant>
      <vt:variant>
        <vt:i4>0</vt:i4>
      </vt:variant>
      <vt:variant>
        <vt:i4>5</vt:i4>
      </vt:variant>
      <vt:variant>
        <vt:lpwstr>http://www.thegef.org/project/10188</vt:lpwstr>
      </vt:variant>
      <vt:variant>
        <vt:lpwstr/>
      </vt:variant>
      <vt:variant>
        <vt:i4>7340095</vt:i4>
      </vt:variant>
      <vt:variant>
        <vt:i4>300</vt:i4>
      </vt:variant>
      <vt:variant>
        <vt:i4>0</vt:i4>
      </vt:variant>
      <vt:variant>
        <vt:i4>5</vt:i4>
      </vt:variant>
      <vt:variant>
        <vt:lpwstr>http://www.thegef.org/project/10181</vt:lpwstr>
      </vt:variant>
      <vt:variant>
        <vt:lpwstr/>
      </vt:variant>
      <vt:variant>
        <vt:i4>7929916</vt:i4>
      </vt:variant>
      <vt:variant>
        <vt:i4>297</vt:i4>
      </vt:variant>
      <vt:variant>
        <vt:i4>0</vt:i4>
      </vt:variant>
      <vt:variant>
        <vt:i4>5</vt:i4>
      </vt:variant>
      <vt:variant>
        <vt:lpwstr>http://www.thegef.org/project/10211</vt:lpwstr>
      </vt:variant>
      <vt:variant>
        <vt:lpwstr/>
      </vt:variant>
      <vt:variant>
        <vt:i4>7995450</vt:i4>
      </vt:variant>
      <vt:variant>
        <vt:i4>294</vt:i4>
      </vt:variant>
      <vt:variant>
        <vt:i4>0</vt:i4>
      </vt:variant>
      <vt:variant>
        <vt:i4>5</vt:i4>
      </vt:variant>
      <vt:variant>
        <vt:lpwstr>http://www.thegef.org/project/10420</vt:lpwstr>
      </vt:variant>
      <vt:variant>
        <vt:lpwstr/>
      </vt:variant>
      <vt:variant>
        <vt:i4>7340093</vt:i4>
      </vt:variant>
      <vt:variant>
        <vt:i4>291</vt:i4>
      </vt:variant>
      <vt:variant>
        <vt:i4>0</vt:i4>
      </vt:variant>
      <vt:variant>
        <vt:i4>5</vt:i4>
      </vt:variant>
      <vt:variant>
        <vt:lpwstr>http://www.thegef.org/project/10381</vt:lpwstr>
      </vt:variant>
      <vt:variant>
        <vt:lpwstr/>
      </vt:variant>
      <vt:variant>
        <vt:i4>8257599</vt:i4>
      </vt:variant>
      <vt:variant>
        <vt:i4>288</vt:i4>
      </vt:variant>
      <vt:variant>
        <vt:i4>0</vt:i4>
      </vt:variant>
      <vt:variant>
        <vt:i4>5</vt:i4>
      </vt:variant>
      <vt:variant>
        <vt:lpwstr>http://www.thegef.org/project/10161</vt:lpwstr>
      </vt:variant>
      <vt:variant>
        <vt:lpwstr/>
      </vt:variant>
      <vt:variant>
        <vt:i4>8257597</vt:i4>
      </vt:variant>
      <vt:variant>
        <vt:i4>285</vt:i4>
      </vt:variant>
      <vt:variant>
        <vt:i4>0</vt:i4>
      </vt:variant>
      <vt:variant>
        <vt:i4>5</vt:i4>
      </vt:variant>
      <vt:variant>
        <vt:lpwstr>http://www.thegef.org/project/10362</vt:lpwstr>
      </vt:variant>
      <vt:variant>
        <vt:lpwstr/>
      </vt:variant>
      <vt:variant>
        <vt:i4>8257597</vt:i4>
      </vt:variant>
      <vt:variant>
        <vt:i4>282</vt:i4>
      </vt:variant>
      <vt:variant>
        <vt:i4>0</vt:i4>
      </vt:variant>
      <vt:variant>
        <vt:i4>5</vt:i4>
      </vt:variant>
      <vt:variant>
        <vt:lpwstr>http://www.thegef.org/project/10363</vt:lpwstr>
      </vt:variant>
      <vt:variant>
        <vt:lpwstr/>
      </vt:variant>
      <vt:variant>
        <vt:i4>8192061</vt:i4>
      </vt:variant>
      <vt:variant>
        <vt:i4>279</vt:i4>
      </vt:variant>
      <vt:variant>
        <vt:i4>0</vt:i4>
      </vt:variant>
      <vt:variant>
        <vt:i4>5</vt:i4>
      </vt:variant>
      <vt:variant>
        <vt:lpwstr>http://www.thegef.org/project/10359</vt:lpwstr>
      </vt:variant>
      <vt:variant>
        <vt:lpwstr/>
      </vt:variant>
      <vt:variant>
        <vt:i4>7864380</vt:i4>
      </vt:variant>
      <vt:variant>
        <vt:i4>276</vt:i4>
      </vt:variant>
      <vt:variant>
        <vt:i4>0</vt:i4>
      </vt:variant>
      <vt:variant>
        <vt:i4>5</vt:i4>
      </vt:variant>
      <vt:variant>
        <vt:lpwstr>http://www.thegef.org/project/10204</vt:lpwstr>
      </vt:variant>
      <vt:variant>
        <vt:lpwstr/>
      </vt:variant>
      <vt:variant>
        <vt:i4>7995455</vt:i4>
      </vt:variant>
      <vt:variant>
        <vt:i4>273</vt:i4>
      </vt:variant>
      <vt:variant>
        <vt:i4>0</vt:i4>
      </vt:variant>
      <vt:variant>
        <vt:i4>5</vt:i4>
      </vt:variant>
      <vt:variant>
        <vt:lpwstr>http://www.thegef.org/project/10125</vt:lpwstr>
      </vt:variant>
      <vt:variant>
        <vt:lpwstr/>
      </vt:variant>
      <vt:variant>
        <vt:i4>7995452</vt:i4>
      </vt:variant>
      <vt:variant>
        <vt:i4>270</vt:i4>
      </vt:variant>
      <vt:variant>
        <vt:i4>0</vt:i4>
      </vt:variant>
      <vt:variant>
        <vt:i4>5</vt:i4>
      </vt:variant>
      <vt:variant>
        <vt:lpwstr>http://www.thegef.org/project/10220</vt:lpwstr>
      </vt:variant>
      <vt:variant>
        <vt:lpwstr/>
      </vt:variant>
      <vt:variant>
        <vt:i4>7995453</vt:i4>
      </vt:variant>
      <vt:variant>
        <vt:i4>267</vt:i4>
      </vt:variant>
      <vt:variant>
        <vt:i4>0</vt:i4>
      </vt:variant>
      <vt:variant>
        <vt:i4>5</vt:i4>
      </vt:variant>
      <vt:variant>
        <vt:lpwstr>http://www.thegef.org/project/10322</vt:lpwstr>
      </vt:variant>
      <vt:variant>
        <vt:lpwstr/>
      </vt:variant>
      <vt:variant>
        <vt:i4>8126525</vt:i4>
      </vt:variant>
      <vt:variant>
        <vt:i4>264</vt:i4>
      </vt:variant>
      <vt:variant>
        <vt:i4>0</vt:i4>
      </vt:variant>
      <vt:variant>
        <vt:i4>5</vt:i4>
      </vt:variant>
      <vt:variant>
        <vt:lpwstr>http://www.thegef.org/project/10346</vt:lpwstr>
      </vt:variant>
      <vt:variant>
        <vt:lpwstr/>
      </vt:variant>
      <vt:variant>
        <vt:i4>8257597</vt:i4>
      </vt:variant>
      <vt:variant>
        <vt:i4>261</vt:i4>
      </vt:variant>
      <vt:variant>
        <vt:i4>0</vt:i4>
      </vt:variant>
      <vt:variant>
        <vt:i4>5</vt:i4>
      </vt:variant>
      <vt:variant>
        <vt:lpwstr>http://www.thegef.org/project/10360</vt:lpwstr>
      </vt:variant>
      <vt:variant>
        <vt:lpwstr/>
      </vt:variant>
      <vt:variant>
        <vt:i4>7929919</vt:i4>
      </vt:variant>
      <vt:variant>
        <vt:i4>258</vt:i4>
      </vt:variant>
      <vt:variant>
        <vt:i4>0</vt:i4>
      </vt:variant>
      <vt:variant>
        <vt:i4>5</vt:i4>
      </vt:variant>
      <vt:variant>
        <vt:lpwstr>http://www.thegef.org/project/10117</vt:lpwstr>
      </vt:variant>
      <vt:variant>
        <vt:lpwstr/>
      </vt:variant>
      <vt:variant>
        <vt:i4>7929916</vt:i4>
      </vt:variant>
      <vt:variant>
        <vt:i4>255</vt:i4>
      </vt:variant>
      <vt:variant>
        <vt:i4>0</vt:i4>
      </vt:variant>
      <vt:variant>
        <vt:i4>5</vt:i4>
      </vt:variant>
      <vt:variant>
        <vt:lpwstr>http://www.thegef.org/project/10216</vt:lpwstr>
      </vt:variant>
      <vt:variant>
        <vt:lpwstr/>
      </vt:variant>
      <vt:variant>
        <vt:i4>7995455</vt:i4>
      </vt:variant>
      <vt:variant>
        <vt:i4>252</vt:i4>
      </vt:variant>
      <vt:variant>
        <vt:i4>0</vt:i4>
      </vt:variant>
      <vt:variant>
        <vt:i4>5</vt:i4>
      </vt:variant>
      <vt:variant>
        <vt:lpwstr>http://www.thegef.org/project/10124</vt:lpwstr>
      </vt:variant>
      <vt:variant>
        <vt:lpwstr/>
      </vt:variant>
      <vt:variant>
        <vt:i4>7995455</vt:i4>
      </vt:variant>
      <vt:variant>
        <vt:i4>249</vt:i4>
      </vt:variant>
      <vt:variant>
        <vt:i4>0</vt:i4>
      </vt:variant>
      <vt:variant>
        <vt:i4>5</vt:i4>
      </vt:variant>
      <vt:variant>
        <vt:lpwstr>http://www.thegef.org/project/10122</vt:lpwstr>
      </vt:variant>
      <vt:variant>
        <vt:lpwstr/>
      </vt:variant>
      <vt:variant>
        <vt:i4>7405629</vt:i4>
      </vt:variant>
      <vt:variant>
        <vt:i4>246</vt:i4>
      </vt:variant>
      <vt:variant>
        <vt:i4>0</vt:i4>
      </vt:variant>
      <vt:variant>
        <vt:i4>5</vt:i4>
      </vt:variant>
      <vt:variant>
        <vt:lpwstr>http://www.thegef.org/project/10393</vt:lpwstr>
      </vt:variant>
      <vt:variant>
        <vt:lpwstr/>
      </vt:variant>
      <vt:variant>
        <vt:i4>8323135</vt:i4>
      </vt:variant>
      <vt:variant>
        <vt:i4>243</vt:i4>
      </vt:variant>
      <vt:variant>
        <vt:i4>0</vt:i4>
      </vt:variant>
      <vt:variant>
        <vt:i4>5</vt:i4>
      </vt:variant>
      <vt:variant>
        <vt:lpwstr>http://www.thegef.org/project/10170</vt:lpwstr>
      </vt:variant>
      <vt:variant>
        <vt:lpwstr/>
      </vt:variant>
      <vt:variant>
        <vt:i4>8257599</vt:i4>
      </vt:variant>
      <vt:variant>
        <vt:i4>240</vt:i4>
      </vt:variant>
      <vt:variant>
        <vt:i4>0</vt:i4>
      </vt:variant>
      <vt:variant>
        <vt:i4>5</vt:i4>
      </vt:variant>
      <vt:variant>
        <vt:lpwstr>http://www.thegef.org/project/10169</vt:lpwstr>
      </vt:variant>
      <vt:variant>
        <vt:lpwstr/>
      </vt:variant>
      <vt:variant>
        <vt:i4>7995452</vt:i4>
      </vt:variant>
      <vt:variant>
        <vt:i4>237</vt:i4>
      </vt:variant>
      <vt:variant>
        <vt:i4>0</vt:i4>
      </vt:variant>
      <vt:variant>
        <vt:i4>5</vt:i4>
      </vt:variant>
      <vt:variant>
        <vt:lpwstr>http://www.thegef.org/project/10228</vt:lpwstr>
      </vt:variant>
      <vt:variant>
        <vt:lpwstr/>
      </vt:variant>
      <vt:variant>
        <vt:i4>8126527</vt:i4>
      </vt:variant>
      <vt:variant>
        <vt:i4>234</vt:i4>
      </vt:variant>
      <vt:variant>
        <vt:i4>0</vt:i4>
      </vt:variant>
      <vt:variant>
        <vt:i4>5</vt:i4>
      </vt:variant>
      <vt:variant>
        <vt:lpwstr>http://www.thegef.org/project/10142</vt:lpwstr>
      </vt:variant>
      <vt:variant>
        <vt:lpwstr/>
      </vt:variant>
      <vt:variant>
        <vt:i4>7929917</vt:i4>
      </vt:variant>
      <vt:variant>
        <vt:i4>231</vt:i4>
      </vt:variant>
      <vt:variant>
        <vt:i4>0</vt:i4>
      </vt:variant>
      <vt:variant>
        <vt:i4>5</vt:i4>
      </vt:variant>
      <vt:variant>
        <vt:lpwstr>http://www.thegef.org/project/10316</vt:lpwstr>
      </vt:variant>
      <vt:variant>
        <vt:lpwstr/>
      </vt:variant>
      <vt:variant>
        <vt:i4>8126527</vt:i4>
      </vt:variant>
      <vt:variant>
        <vt:i4>228</vt:i4>
      </vt:variant>
      <vt:variant>
        <vt:i4>0</vt:i4>
      </vt:variant>
      <vt:variant>
        <vt:i4>5</vt:i4>
      </vt:variant>
      <vt:variant>
        <vt:lpwstr>http://www.thegef.org/project/10147</vt:lpwstr>
      </vt:variant>
      <vt:variant>
        <vt:lpwstr/>
      </vt:variant>
      <vt:variant>
        <vt:i4>7864378</vt:i4>
      </vt:variant>
      <vt:variant>
        <vt:i4>225</vt:i4>
      </vt:variant>
      <vt:variant>
        <vt:i4>0</vt:i4>
      </vt:variant>
      <vt:variant>
        <vt:i4>5</vt:i4>
      </vt:variant>
      <vt:variant>
        <vt:lpwstr>http://www.thegef.org/project/10409</vt:lpwstr>
      </vt:variant>
      <vt:variant>
        <vt:lpwstr/>
      </vt:variant>
      <vt:variant>
        <vt:i4>8257599</vt:i4>
      </vt:variant>
      <vt:variant>
        <vt:i4>222</vt:i4>
      </vt:variant>
      <vt:variant>
        <vt:i4>0</vt:i4>
      </vt:variant>
      <vt:variant>
        <vt:i4>5</vt:i4>
      </vt:variant>
      <vt:variant>
        <vt:lpwstr>http://www.thegef.org/project/10162</vt:lpwstr>
      </vt:variant>
      <vt:variant>
        <vt:lpwstr/>
      </vt:variant>
      <vt:variant>
        <vt:i4>7340093</vt:i4>
      </vt:variant>
      <vt:variant>
        <vt:i4>219</vt:i4>
      </vt:variant>
      <vt:variant>
        <vt:i4>0</vt:i4>
      </vt:variant>
      <vt:variant>
        <vt:i4>5</vt:i4>
      </vt:variant>
      <vt:variant>
        <vt:lpwstr>http://www.thegef.org/project/10386</vt:lpwstr>
      </vt:variant>
      <vt:variant>
        <vt:lpwstr/>
      </vt:variant>
      <vt:variant>
        <vt:i4>8323134</vt:i4>
      </vt:variant>
      <vt:variant>
        <vt:i4>216</vt:i4>
      </vt:variant>
      <vt:variant>
        <vt:i4>0</vt:i4>
      </vt:variant>
      <vt:variant>
        <vt:i4>5</vt:i4>
      </vt:variant>
      <vt:variant>
        <vt:lpwstr>http://www.thegef.org/project/10079</vt:lpwstr>
      </vt:variant>
      <vt:variant>
        <vt:lpwstr/>
      </vt:variant>
      <vt:variant>
        <vt:i4>7995455</vt:i4>
      </vt:variant>
      <vt:variant>
        <vt:i4>213</vt:i4>
      </vt:variant>
      <vt:variant>
        <vt:i4>0</vt:i4>
      </vt:variant>
      <vt:variant>
        <vt:i4>5</vt:i4>
      </vt:variant>
      <vt:variant>
        <vt:lpwstr>http://www.thegef.org/project/10123</vt:lpwstr>
      </vt:variant>
      <vt:variant>
        <vt:lpwstr/>
      </vt:variant>
      <vt:variant>
        <vt:i4>8126525</vt:i4>
      </vt:variant>
      <vt:variant>
        <vt:i4>210</vt:i4>
      </vt:variant>
      <vt:variant>
        <vt:i4>0</vt:i4>
      </vt:variant>
      <vt:variant>
        <vt:i4>5</vt:i4>
      </vt:variant>
      <vt:variant>
        <vt:lpwstr>http://www.thegef.org/project/10343</vt:lpwstr>
      </vt:variant>
      <vt:variant>
        <vt:lpwstr/>
      </vt:variant>
      <vt:variant>
        <vt:i4>7864378</vt:i4>
      </vt:variant>
      <vt:variant>
        <vt:i4>207</vt:i4>
      </vt:variant>
      <vt:variant>
        <vt:i4>0</vt:i4>
      </vt:variant>
      <vt:variant>
        <vt:i4>5</vt:i4>
      </vt:variant>
      <vt:variant>
        <vt:lpwstr>http://www.thegef.org/project/10404</vt:lpwstr>
      </vt:variant>
      <vt:variant>
        <vt:lpwstr/>
      </vt:variant>
      <vt:variant>
        <vt:i4>7929916</vt:i4>
      </vt:variant>
      <vt:variant>
        <vt:i4>204</vt:i4>
      </vt:variant>
      <vt:variant>
        <vt:i4>0</vt:i4>
      </vt:variant>
      <vt:variant>
        <vt:i4>5</vt:i4>
      </vt:variant>
      <vt:variant>
        <vt:lpwstr>http://www.thegef.org/project/10219</vt:lpwstr>
      </vt:variant>
      <vt:variant>
        <vt:lpwstr/>
      </vt:variant>
      <vt:variant>
        <vt:i4>7405629</vt:i4>
      </vt:variant>
      <vt:variant>
        <vt:i4>201</vt:i4>
      </vt:variant>
      <vt:variant>
        <vt:i4>0</vt:i4>
      </vt:variant>
      <vt:variant>
        <vt:i4>5</vt:i4>
      </vt:variant>
      <vt:variant>
        <vt:lpwstr>http://www.thegef.org/project/10396</vt:lpwstr>
      </vt:variant>
      <vt:variant>
        <vt:lpwstr/>
      </vt:variant>
      <vt:variant>
        <vt:i4>7929916</vt:i4>
      </vt:variant>
      <vt:variant>
        <vt:i4>198</vt:i4>
      </vt:variant>
      <vt:variant>
        <vt:i4>0</vt:i4>
      </vt:variant>
      <vt:variant>
        <vt:i4>5</vt:i4>
      </vt:variant>
      <vt:variant>
        <vt:lpwstr>http://www.thegef.org/project/10217</vt:lpwstr>
      </vt:variant>
      <vt:variant>
        <vt:lpwstr/>
      </vt:variant>
      <vt:variant>
        <vt:i4>7864378</vt:i4>
      </vt:variant>
      <vt:variant>
        <vt:i4>195</vt:i4>
      </vt:variant>
      <vt:variant>
        <vt:i4>0</vt:i4>
      </vt:variant>
      <vt:variant>
        <vt:i4>5</vt:i4>
      </vt:variant>
      <vt:variant>
        <vt:lpwstr>http://www.thegef.org/project/10400</vt:lpwstr>
      </vt:variant>
      <vt:variant>
        <vt:lpwstr/>
      </vt:variant>
      <vt:variant>
        <vt:i4>8192061</vt:i4>
      </vt:variant>
      <vt:variant>
        <vt:i4>192</vt:i4>
      </vt:variant>
      <vt:variant>
        <vt:i4>0</vt:i4>
      </vt:variant>
      <vt:variant>
        <vt:i4>5</vt:i4>
      </vt:variant>
      <vt:variant>
        <vt:lpwstr>http://www.thegef.org/project/10351</vt:lpwstr>
      </vt:variant>
      <vt:variant>
        <vt:lpwstr/>
      </vt:variant>
      <vt:variant>
        <vt:i4>8257597</vt:i4>
      </vt:variant>
      <vt:variant>
        <vt:i4>189</vt:i4>
      </vt:variant>
      <vt:variant>
        <vt:i4>0</vt:i4>
      </vt:variant>
      <vt:variant>
        <vt:i4>5</vt:i4>
      </vt:variant>
      <vt:variant>
        <vt:lpwstr>http://www.thegef.org/project/10361</vt:lpwstr>
      </vt:variant>
      <vt:variant>
        <vt:lpwstr/>
      </vt:variant>
      <vt:variant>
        <vt:i4>8323134</vt:i4>
      </vt:variant>
      <vt:variant>
        <vt:i4>186</vt:i4>
      </vt:variant>
      <vt:variant>
        <vt:i4>0</vt:i4>
      </vt:variant>
      <vt:variant>
        <vt:i4>5</vt:i4>
      </vt:variant>
      <vt:variant>
        <vt:lpwstr>http://www.thegef.org/project/10073</vt:lpwstr>
      </vt:variant>
      <vt:variant>
        <vt:lpwstr/>
      </vt:variant>
      <vt:variant>
        <vt:i4>7929916</vt:i4>
      </vt:variant>
      <vt:variant>
        <vt:i4>183</vt:i4>
      </vt:variant>
      <vt:variant>
        <vt:i4>0</vt:i4>
      </vt:variant>
      <vt:variant>
        <vt:i4>5</vt:i4>
      </vt:variant>
      <vt:variant>
        <vt:lpwstr>http://www.thegef.org/project/10213</vt:lpwstr>
      </vt:variant>
      <vt:variant>
        <vt:lpwstr/>
      </vt:variant>
      <vt:variant>
        <vt:i4>8323134</vt:i4>
      </vt:variant>
      <vt:variant>
        <vt:i4>180</vt:i4>
      </vt:variant>
      <vt:variant>
        <vt:i4>0</vt:i4>
      </vt:variant>
      <vt:variant>
        <vt:i4>5</vt:i4>
      </vt:variant>
      <vt:variant>
        <vt:lpwstr>http://www.thegef.org/project/10075</vt:lpwstr>
      </vt:variant>
      <vt:variant>
        <vt:lpwstr/>
      </vt:variant>
      <vt:variant>
        <vt:i4>7405631</vt:i4>
      </vt:variant>
      <vt:variant>
        <vt:i4>177</vt:i4>
      </vt:variant>
      <vt:variant>
        <vt:i4>0</vt:i4>
      </vt:variant>
      <vt:variant>
        <vt:i4>5</vt:i4>
      </vt:variant>
      <vt:variant>
        <vt:lpwstr>http://www.thegef.org/project/10190</vt:lpwstr>
      </vt:variant>
      <vt:variant>
        <vt:lpwstr/>
      </vt:variant>
      <vt:variant>
        <vt:i4>7929919</vt:i4>
      </vt:variant>
      <vt:variant>
        <vt:i4>174</vt:i4>
      </vt:variant>
      <vt:variant>
        <vt:i4>0</vt:i4>
      </vt:variant>
      <vt:variant>
        <vt:i4>5</vt:i4>
      </vt:variant>
      <vt:variant>
        <vt:lpwstr>http://www.thegef.org/project/10113</vt:lpwstr>
      </vt:variant>
      <vt:variant>
        <vt:lpwstr/>
      </vt:variant>
      <vt:variant>
        <vt:i4>7340094</vt:i4>
      </vt:variant>
      <vt:variant>
        <vt:i4>171</vt:i4>
      </vt:variant>
      <vt:variant>
        <vt:i4>0</vt:i4>
      </vt:variant>
      <vt:variant>
        <vt:i4>5</vt:i4>
      </vt:variant>
      <vt:variant>
        <vt:lpwstr>http://www.thegef.org/project/10085</vt:lpwstr>
      </vt:variant>
      <vt:variant>
        <vt:lpwstr/>
      </vt:variant>
      <vt:variant>
        <vt:i4>1835056</vt:i4>
      </vt:variant>
      <vt:variant>
        <vt:i4>164</vt:i4>
      </vt:variant>
      <vt:variant>
        <vt:i4>0</vt:i4>
      </vt:variant>
      <vt:variant>
        <vt:i4>5</vt:i4>
      </vt:variant>
      <vt:variant>
        <vt:lpwstr/>
      </vt:variant>
      <vt:variant>
        <vt:lpwstr>_Toc32494939</vt:lpwstr>
      </vt:variant>
      <vt:variant>
        <vt:i4>1900592</vt:i4>
      </vt:variant>
      <vt:variant>
        <vt:i4>158</vt:i4>
      </vt:variant>
      <vt:variant>
        <vt:i4>0</vt:i4>
      </vt:variant>
      <vt:variant>
        <vt:i4>5</vt:i4>
      </vt:variant>
      <vt:variant>
        <vt:lpwstr/>
      </vt:variant>
      <vt:variant>
        <vt:lpwstr>_Toc32494938</vt:lpwstr>
      </vt:variant>
      <vt:variant>
        <vt:i4>1179696</vt:i4>
      </vt:variant>
      <vt:variant>
        <vt:i4>152</vt:i4>
      </vt:variant>
      <vt:variant>
        <vt:i4>0</vt:i4>
      </vt:variant>
      <vt:variant>
        <vt:i4>5</vt:i4>
      </vt:variant>
      <vt:variant>
        <vt:lpwstr/>
      </vt:variant>
      <vt:variant>
        <vt:lpwstr>_Toc32494937</vt:lpwstr>
      </vt:variant>
      <vt:variant>
        <vt:i4>1245232</vt:i4>
      </vt:variant>
      <vt:variant>
        <vt:i4>146</vt:i4>
      </vt:variant>
      <vt:variant>
        <vt:i4>0</vt:i4>
      </vt:variant>
      <vt:variant>
        <vt:i4>5</vt:i4>
      </vt:variant>
      <vt:variant>
        <vt:lpwstr/>
      </vt:variant>
      <vt:variant>
        <vt:lpwstr>_Toc32494936</vt:lpwstr>
      </vt:variant>
      <vt:variant>
        <vt:i4>1048624</vt:i4>
      </vt:variant>
      <vt:variant>
        <vt:i4>140</vt:i4>
      </vt:variant>
      <vt:variant>
        <vt:i4>0</vt:i4>
      </vt:variant>
      <vt:variant>
        <vt:i4>5</vt:i4>
      </vt:variant>
      <vt:variant>
        <vt:lpwstr/>
      </vt:variant>
      <vt:variant>
        <vt:lpwstr>_Toc32494935</vt:lpwstr>
      </vt:variant>
      <vt:variant>
        <vt:i4>1114160</vt:i4>
      </vt:variant>
      <vt:variant>
        <vt:i4>134</vt:i4>
      </vt:variant>
      <vt:variant>
        <vt:i4>0</vt:i4>
      </vt:variant>
      <vt:variant>
        <vt:i4>5</vt:i4>
      </vt:variant>
      <vt:variant>
        <vt:lpwstr/>
      </vt:variant>
      <vt:variant>
        <vt:lpwstr>_Toc32494934</vt:lpwstr>
      </vt:variant>
      <vt:variant>
        <vt:i4>1441840</vt:i4>
      </vt:variant>
      <vt:variant>
        <vt:i4>128</vt:i4>
      </vt:variant>
      <vt:variant>
        <vt:i4>0</vt:i4>
      </vt:variant>
      <vt:variant>
        <vt:i4>5</vt:i4>
      </vt:variant>
      <vt:variant>
        <vt:lpwstr/>
      </vt:variant>
      <vt:variant>
        <vt:lpwstr>_Toc32494933</vt:lpwstr>
      </vt:variant>
      <vt:variant>
        <vt:i4>1507376</vt:i4>
      </vt:variant>
      <vt:variant>
        <vt:i4>122</vt:i4>
      </vt:variant>
      <vt:variant>
        <vt:i4>0</vt:i4>
      </vt:variant>
      <vt:variant>
        <vt:i4>5</vt:i4>
      </vt:variant>
      <vt:variant>
        <vt:lpwstr/>
      </vt:variant>
      <vt:variant>
        <vt:lpwstr>_Toc32494932</vt:lpwstr>
      </vt:variant>
      <vt:variant>
        <vt:i4>1310768</vt:i4>
      </vt:variant>
      <vt:variant>
        <vt:i4>116</vt:i4>
      </vt:variant>
      <vt:variant>
        <vt:i4>0</vt:i4>
      </vt:variant>
      <vt:variant>
        <vt:i4>5</vt:i4>
      </vt:variant>
      <vt:variant>
        <vt:lpwstr/>
      </vt:variant>
      <vt:variant>
        <vt:lpwstr>_Toc32494931</vt:lpwstr>
      </vt:variant>
      <vt:variant>
        <vt:i4>1376304</vt:i4>
      </vt:variant>
      <vt:variant>
        <vt:i4>110</vt:i4>
      </vt:variant>
      <vt:variant>
        <vt:i4>0</vt:i4>
      </vt:variant>
      <vt:variant>
        <vt:i4>5</vt:i4>
      </vt:variant>
      <vt:variant>
        <vt:lpwstr/>
      </vt:variant>
      <vt:variant>
        <vt:lpwstr>_Toc32494930</vt:lpwstr>
      </vt:variant>
      <vt:variant>
        <vt:i4>1835057</vt:i4>
      </vt:variant>
      <vt:variant>
        <vt:i4>104</vt:i4>
      </vt:variant>
      <vt:variant>
        <vt:i4>0</vt:i4>
      </vt:variant>
      <vt:variant>
        <vt:i4>5</vt:i4>
      </vt:variant>
      <vt:variant>
        <vt:lpwstr/>
      </vt:variant>
      <vt:variant>
        <vt:lpwstr>_Toc32494929</vt:lpwstr>
      </vt:variant>
      <vt:variant>
        <vt:i4>1900593</vt:i4>
      </vt:variant>
      <vt:variant>
        <vt:i4>98</vt:i4>
      </vt:variant>
      <vt:variant>
        <vt:i4>0</vt:i4>
      </vt:variant>
      <vt:variant>
        <vt:i4>5</vt:i4>
      </vt:variant>
      <vt:variant>
        <vt:lpwstr/>
      </vt:variant>
      <vt:variant>
        <vt:lpwstr>_Toc32494928</vt:lpwstr>
      </vt:variant>
      <vt:variant>
        <vt:i4>1179697</vt:i4>
      </vt:variant>
      <vt:variant>
        <vt:i4>92</vt:i4>
      </vt:variant>
      <vt:variant>
        <vt:i4>0</vt:i4>
      </vt:variant>
      <vt:variant>
        <vt:i4>5</vt:i4>
      </vt:variant>
      <vt:variant>
        <vt:lpwstr/>
      </vt:variant>
      <vt:variant>
        <vt:lpwstr>_Toc32494927</vt:lpwstr>
      </vt:variant>
      <vt:variant>
        <vt:i4>1245233</vt:i4>
      </vt:variant>
      <vt:variant>
        <vt:i4>86</vt:i4>
      </vt:variant>
      <vt:variant>
        <vt:i4>0</vt:i4>
      </vt:variant>
      <vt:variant>
        <vt:i4>5</vt:i4>
      </vt:variant>
      <vt:variant>
        <vt:lpwstr/>
      </vt:variant>
      <vt:variant>
        <vt:lpwstr>_Toc32494926</vt:lpwstr>
      </vt:variant>
      <vt:variant>
        <vt:i4>1048625</vt:i4>
      </vt:variant>
      <vt:variant>
        <vt:i4>80</vt:i4>
      </vt:variant>
      <vt:variant>
        <vt:i4>0</vt:i4>
      </vt:variant>
      <vt:variant>
        <vt:i4>5</vt:i4>
      </vt:variant>
      <vt:variant>
        <vt:lpwstr/>
      </vt:variant>
      <vt:variant>
        <vt:lpwstr>_Toc32494925</vt:lpwstr>
      </vt:variant>
      <vt:variant>
        <vt:i4>1114161</vt:i4>
      </vt:variant>
      <vt:variant>
        <vt:i4>74</vt:i4>
      </vt:variant>
      <vt:variant>
        <vt:i4>0</vt:i4>
      </vt:variant>
      <vt:variant>
        <vt:i4>5</vt:i4>
      </vt:variant>
      <vt:variant>
        <vt:lpwstr/>
      </vt:variant>
      <vt:variant>
        <vt:lpwstr>_Toc32494924</vt:lpwstr>
      </vt:variant>
      <vt:variant>
        <vt:i4>1441841</vt:i4>
      </vt:variant>
      <vt:variant>
        <vt:i4>68</vt:i4>
      </vt:variant>
      <vt:variant>
        <vt:i4>0</vt:i4>
      </vt:variant>
      <vt:variant>
        <vt:i4>5</vt:i4>
      </vt:variant>
      <vt:variant>
        <vt:lpwstr/>
      </vt:variant>
      <vt:variant>
        <vt:lpwstr>_Toc32494923</vt:lpwstr>
      </vt:variant>
      <vt:variant>
        <vt:i4>1507377</vt:i4>
      </vt:variant>
      <vt:variant>
        <vt:i4>62</vt:i4>
      </vt:variant>
      <vt:variant>
        <vt:i4>0</vt:i4>
      </vt:variant>
      <vt:variant>
        <vt:i4>5</vt:i4>
      </vt:variant>
      <vt:variant>
        <vt:lpwstr/>
      </vt:variant>
      <vt:variant>
        <vt:lpwstr>_Toc32494922</vt:lpwstr>
      </vt:variant>
      <vt:variant>
        <vt:i4>1310769</vt:i4>
      </vt:variant>
      <vt:variant>
        <vt:i4>56</vt:i4>
      </vt:variant>
      <vt:variant>
        <vt:i4>0</vt:i4>
      </vt:variant>
      <vt:variant>
        <vt:i4>5</vt:i4>
      </vt:variant>
      <vt:variant>
        <vt:lpwstr/>
      </vt:variant>
      <vt:variant>
        <vt:lpwstr>_Toc32494921</vt:lpwstr>
      </vt:variant>
      <vt:variant>
        <vt:i4>1376305</vt:i4>
      </vt:variant>
      <vt:variant>
        <vt:i4>50</vt:i4>
      </vt:variant>
      <vt:variant>
        <vt:i4>0</vt:i4>
      </vt:variant>
      <vt:variant>
        <vt:i4>5</vt:i4>
      </vt:variant>
      <vt:variant>
        <vt:lpwstr/>
      </vt:variant>
      <vt:variant>
        <vt:lpwstr>_Toc32494920</vt:lpwstr>
      </vt:variant>
      <vt:variant>
        <vt:i4>1835058</vt:i4>
      </vt:variant>
      <vt:variant>
        <vt:i4>44</vt:i4>
      </vt:variant>
      <vt:variant>
        <vt:i4>0</vt:i4>
      </vt:variant>
      <vt:variant>
        <vt:i4>5</vt:i4>
      </vt:variant>
      <vt:variant>
        <vt:lpwstr/>
      </vt:variant>
      <vt:variant>
        <vt:lpwstr>_Toc32494919</vt:lpwstr>
      </vt:variant>
      <vt:variant>
        <vt:i4>1900594</vt:i4>
      </vt:variant>
      <vt:variant>
        <vt:i4>38</vt:i4>
      </vt:variant>
      <vt:variant>
        <vt:i4>0</vt:i4>
      </vt:variant>
      <vt:variant>
        <vt:i4>5</vt:i4>
      </vt:variant>
      <vt:variant>
        <vt:lpwstr/>
      </vt:variant>
      <vt:variant>
        <vt:lpwstr>_Toc32494918</vt:lpwstr>
      </vt:variant>
      <vt:variant>
        <vt:i4>1179698</vt:i4>
      </vt:variant>
      <vt:variant>
        <vt:i4>32</vt:i4>
      </vt:variant>
      <vt:variant>
        <vt:i4>0</vt:i4>
      </vt:variant>
      <vt:variant>
        <vt:i4>5</vt:i4>
      </vt:variant>
      <vt:variant>
        <vt:lpwstr/>
      </vt:variant>
      <vt:variant>
        <vt:lpwstr>_Toc32494917</vt:lpwstr>
      </vt:variant>
      <vt:variant>
        <vt:i4>1245234</vt:i4>
      </vt:variant>
      <vt:variant>
        <vt:i4>26</vt:i4>
      </vt:variant>
      <vt:variant>
        <vt:i4>0</vt:i4>
      </vt:variant>
      <vt:variant>
        <vt:i4>5</vt:i4>
      </vt:variant>
      <vt:variant>
        <vt:lpwstr/>
      </vt:variant>
      <vt:variant>
        <vt:lpwstr>_Toc32494916</vt:lpwstr>
      </vt:variant>
      <vt:variant>
        <vt:i4>1048626</vt:i4>
      </vt:variant>
      <vt:variant>
        <vt:i4>20</vt:i4>
      </vt:variant>
      <vt:variant>
        <vt:i4>0</vt:i4>
      </vt:variant>
      <vt:variant>
        <vt:i4>5</vt:i4>
      </vt:variant>
      <vt:variant>
        <vt:lpwstr/>
      </vt:variant>
      <vt:variant>
        <vt:lpwstr>_Toc32494915</vt:lpwstr>
      </vt:variant>
      <vt:variant>
        <vt:i4>1114162</vt:i4>
      </vt:variant>
      <vt:variant>
        <vt:i4>14</vt:i4>
      </vt:variant>
      <vt:variant>
        <vt:i4>0</vt:i4>
      </vt:variant>
      <vt:variant>
        <vt:i4>5</vt:i4>
      </vt:variant>
      <vt:variant>
        <vt:lpwstr/>
      </vt:variant>
      <vt:variant>
        <vt:lpwstr>_Toc32494914</vt:lpwstr>
      </vt:variant>
      <vt:variant>
        <vt:i4>1441842</vt:i4>
      </vt:variant>
      <vt:variant>
        <vt:i4>8</vt:i4>
      </vt:variant>
      <vt:variant>
        <vt:i4>0</vt:i4>
      </vt:variant>
      <vt:variant>
        <vt:i4>5</vt:i4>
      </vt:variant>
      <vt:variant>
        <vt:lpwstr/>
      </vt:variant>
      <vt:variant>
        <vt:lpwstr>_Toc32494913</vt:lpwstr>
      </vt:variant>
      <vt:variant>
        <vt:i4>1507378</vt:i4>
      </vt:variant>
      <vt:variant>
        <vt:i4>2</vt:i4>
      </vt:variant>
      <vt:variant>
        <vt:i4>0</vt:i4>
      </vt:variant>
      <vt:variant>
        <vt:i4>5</vt:i4>
      </vt:variant>
      <vt:variant>
        <vt:lpwstr/>
      </vt:variant>
      <vt:variant>
        <vt:lpwstr>_Toc32494912</vt:lpwstr>
      </vt:variant>
      <vt:variant>
        <vt:i4>5767194</vt:i4>
      </vt:variant>
      <vt:variant>
        <vt:i4>33</vt:i4>
      </vt:variant>
      <vt:variant>
        <vt:i4>0</vt:i4>
      </vt:variant>
      <vt:variant>
        <vt:i4>5</vt:i4>
      </vt:variant>
      <vt:variant>
        <vt:lpwstr>https://www.gefieo.org/evaluations/evaluation-gef-support-scaling-impact-2019</vt:lpwstr>
      </vt:variant>
      <vt:variant>
        <vt:lpwstr/>
      </vt:variant>
      <vt:variant>
        <vt:i4>1704010</vt:i4>
      </vt:variant>
      <vt:variant>
        <vt:i4>30</vt:i4>
      </vt:variant>
      <vt:variant>
        <vt:i4>0</vt:i4>
      </vt:variant>
      <vt:variant>
        <vt:i4>5</vt:i4>
      </vt:variant>
      <vt:variant>
        <vt:lpwstr>http://www.gefieo.org/sites/default/files/ieo/evaluations/files/transformational-change-2017.pdf</vt:lpwstr>
      </vt:variant>
      <vt:variant>
        <vt:lpwstr/>
      </vt:variant>
      <vt:variant>
        <vt:i4>4522016</vt:i4>
      </vt:variant>
      <vt:variant>
        <vt:i4>27</vt:i4>
      </vt:variant>
      <vt:variant>
        <vt:i4>0</vt:i4>
      </vt:variant>
      <vt:variant>
        <vt:i4>5</vt:i4>
      </vt:variant>
      <vt:variant>
        <vt:lpwstr>http://www.gefieo.org/sites/default/files/ieo/evaluations/files/iaps-2017_0.pdf</vt:lpwstr>
      </vt:variant>
      <vt:variant>
        <vt:lpwstr/>
      </vt:variant>
      <vt:variant>
        <vt:i4>3801124</vt:i4>
      </vt:variant>
      <vt:variant>
        <vt:i4>24</vt:i4>
      </vt:variant>
      <vt:variant>
        <vt:i4>0</vt:i4>
      </vt:variant>
      <vt:variant>
        <vt:i4>5</vt:i4>
      </vt:variant>
      <vt:variant>
        <vt:lpwstr>https://www.gefieo.org/evaluations/evaluation-gefs-support-mainstreaming-biodiversity-2018</vt:lpwstr>
      </vt:variant>
      <vt:variant>
        <vt:lpwstr/>
      </vt:variant>
      <vt:variant>
        <vt:i4>3801124</vt:i4>
      </vt:variant>
      <vt:variant>
        <vt:i4>21</vt:i4>
      </vt:variant>
      <vt:variant>
        <vt:i4>0</vt:i4>
      </vt:variant>
      <vt:variant>
        <vt:i4>5</vt:i4>
      </vt:variant>
      <vt:variant>
        <vt:lpwstr>https://www.gefieo.org/evaluations/evaluation-gefs-support-mainstreaming-biodiversity-2018</vt:lpwstr>
      </vt:variant>
      <vt:variant>
        <vt:lpwstr/>
      </vt:variant>
      <vt:variant>
        <vt:i4>3801124</vt:i4>
      </vt:variant>
      <vt:variant>
        <vt:i4>18</vt:i4>
      </vt:variant>
      <vt:variant>
        <vt:i4>0</vt:i4>
      </vt:variant>
      <vt:variant>
        <vt:i4>5</vt:i4>
      </vt:variant>
      <vt:variant>
        <vt:lpwstr>https://www.gefieo.org/evaluations/evaluation-gefs-support-mainstreaming-biodiversity-2018</vt:lpwstr>
      </vt:variant>
      <vt:variant>
        <vt:lpwstr/>
      </vt:variant>
      <vt:variant>
        <vt:i4>7209048</vt:i4>
      </vt:variant>
      <vt:variant>
        <vt:i4>15</vt:i4>
      </vt:variant>
      <vt:variant>
        <vt:i4>0</vt:i4>
      </vt:variant>
      <vt:variant>
        <vt:i4>5</vt:i4>
      </vt:variant>
      <vt:variant>
        <vt:lpwstr>http://www.thegef.org/sites/default/files/council-meeting-documents/EN_GEF.C.54.11.Rev_.02_Results.pdf</vt:lpwstr>
      </vt:variant>
      <vt:variant>
        <vt:lpwstr/>
      </vt:variant>
      <vt:variant>
        <vt:i4>6160491</vt:i4>
      </vt:variant>
      <vt:variant>
        <vt:i4>12</vt:i4>
      </vt:variant>
      <vt:variant>
        <vt:i4>0</vt:i4>
      </vt:variant>
      <vt:variant>
        <vt:i4>5</vt:i4>
      </vt:variant>
      <vt:variant>
        <vt:lpwstr>http://www.thegef.org/sites/default/files/council-meeting-documents/EN_GEF.C.57.03_GEF Monitoring Report 2019_0.pdf</vt:lpwstr>
      </vt:variant>
      <vt:variant>
        <vt:lpwstr/>
      </vt:variant>
      <vt:variant>
        <vt:i4>5439587</vt:i4>
      </vt:variant>
      <vt:variant>
        <vt:i4>9</vt:i4>
      </vt:variant>
      <vt:variant>
        <vt:i4>0</vt:i4>
      </vt:variant>
      <vt:variant>
        <vt:i4>5</vt:i4>
      </vt:variant>
      <vt:variant>
        <vt:lpwstr>https://www.thegef.org/sites/default/files/council-meeting-documents/EN_GEF.C.56.03.Rev_.01_Policy_on_Monitoring.pdf</vt:lpwstr>
      </vt:variant>
      <vt:variant>
        <vt:lpwstr/>
      </vt:variant>
      <vt:variant>
        <vt:i4>262185</vt:i4>
      </vt:variant>
      <vt:variant>
        <vt:i4>6</vt:i4>
      </vt:variant>
      <vt:variant>
        <vt:i4>0</vt:i4>
      </vt:variant>
      <vt:variant>
        <vt:i4>5</vt:i4>
      </vt:variant>
      <vt:variant>
        <vt:lpwstr>https://www.thegef.org/sites/default/files/council-meeting-documents/EN_GEF.C.55.07_ES_Safeguards.pdf</vt:lpwstr>
      </vt:variant>
      <vt:variant>
        <vt:lpwstr/>
      </vt:variant>
      <vt:variant>
        <vt:i4>2031705</vt:i4>
      </vt:variant>
      <vt:variant>
        <vt:i4>3</vt:i4>
      </vt:variant>
      <vt:variant>
        <vt:i4>0</vt:i4>
      </vt:variant>
      <vt:variant>
        <vt:i4>5</vt:i4>
      </vt:variant>
      <vt:variant>
        <vt:lpwstr>https://www.thegef.org/sites/default/files/council-meeting-documents/EN_GEF_C.57_07_Work Program for GEF Trust Fund.pdf</vt:lpwstr>
      </vt:variant>
      <vt:variant>
        <vt:lpwstr/>
      </vt:variant>
      <vt:variant>
        <vt:i4>7209048</vt:i4>
      </vt:variant>
      <vt:variant>
        <vt:i4>0</vt:i4>
      </vt:variant>
      <vt:variant>
        <vt:i4>0</vt:i4>
      </vt:variant>
      <vt:variant>
        <vt:i4>5</vt:i4>
      </vt:variant>
      <vt:variant>
        <vt:lpwstr>http://www.thegef.org/sites/default/files/council-meeting-documents/EN_GEF.C.54.11.Rev_.02_Results.pdf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MECANISMO FINANCIERO - INFORME PRELIMINAR DEL FONDO PARA EL MEDIO AMBIENTE MUNDIAL</dc:title>
  <dc:subject>CBD/SBI/3/6/Add.1</dc:subject>
  <dc:creator>Mark Thomas Zimsky</dc:creator>
  <cp:keywords/>
  <dc:description/>
  <cp:lastModifiedBy>Maria Troitino</cp:lastModifiedBy>
  <cp:revision>5</cp:revision>
  <cp:lastPrinted>2020-02-10T21:22:00Z</cp:lastPrinted>
  <dcterms:created xsi:type="dcterms:W3CDTF">2020-07-18T15:09:00Z</dcterms:created>
  <dcterms:modified xsi:type="dcterms:W3CDTF">2020-07-21T20:47:00Z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0x01010069BFACF6D92CD24AA50050CE23F68F74</vt:lpwstr>
  </property>
</Properties>
</file>