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975"/>
        <w:gridCol w:w="8532"/>
      </w:tblGrid>
      <w:tr w:rsidR="00601759" w:rsidRPr="0046701D" w:rsidTr="00A43334">
        <w:trPr>
          <w:trHeight w:val="850"/>
        </w:trPr>
        <w:tc>
          <w:tcPr>
            <w:tcW w:w="975" w:type="dxa"/>
            <w:shd w:val="clear" w:color="auto" w:fill="auto"/>
            <w:vAlign w:val="bottom"/>
          </w:tcPr>
          <w:p w:rsidR="00B52208" w:rsidRDefault="006D0EFA">
            <w:pPr>
              <w:pStyle w:val="AASmallLogo"/>
            </w:pPr>
            <w:r>
              <w:rPr>
                <w:noProof/>
                <w:lang w:eastAsia="fr-FR"/>
              </w:rPr>
              <w:drawing>
                <wp:inline distT="0" distB="0" distL="0" distR="0" wp14:anchorId="4FE0295D" wp14:editId="78EEF562">
                  <wp:extent cx="474727" cy="402337"/>
                  <wp:effectExtent l="0" t="0" r="1905" b="0"/>
                  <wp:docPr id="751949643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:rsidR="00A43334" w:rsidRPr="0046701D" w:rsidRDefault="00A43334" w:rsidP="00A43334">
            <w:pPr>
              <w:pStyle w:val="AASmallLogo"/>
            </w:pPr>
          </w:p>
        </w:tc>
        <w:tc>
          <w:tcPr>
            <w:tcW w:w="975" w:type="dxa"/>
            <w:shd w:val="clear" w:color="auto" w:fill="auto"/>
            <w:noWrap/>
            <w:vAlign w:val="bottom"/>
          </w:tcPr>
          <w:p w:rsidR="00B52208" w:rsidRDefault="006D0EFA">
            <w:pPr>
              <w:pStyle w:val="AASmallLogo"/>
            </w:pPr>
            <w:r>
              <w:t xml:space="preserve"> </w:t>
            </w:r>
            <w:r w:rsidR="003C223A" w:rsidRPr="00413242">
              <w:rPr>
                <w:noProof/>
                <w:lang w:eastAsia="fr-FR"/>
              </w:rPr>
              <w:drawing>
                <wp:inline distT="0" distB="0" distL="0" distR="0" wp14:anchorId="785E9E78" wp14:editId="60F25C06">
                  <wp:extent cx="590550" cy="361950"/>
                  <wp:effectExtent l="0" t="0" r="0" b="0"/>
                  <wp:docPr id="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43334" w:rsidRPr="0046701D" w:rsidRDefault="00A43334" w:rsidP="00A43334">
            <w:pPr>
              <w:pStyle w:val="AASmallLogo"/>
            </w:pPr>
          </w:p>
        </w:tc>
        <w:tc>
          <w:tcPr>
            <w:tcW w:w="8532" w:type="dxa"/>
            <w:shd w:val="clear" w:color="auto" w:fill="auto"/>
            <w:vAlign w:val="bottom"/>
          </w:tcPr>
          <w:p w:rsidR="00B52208" w:rsidRDefault="006D0EFA">
            <w:pPr>
              <w:pStyle w:val="ABSymbol"/>
            </w:pPr>
            <w:r>
              <w:rPr>
                <w:sz w:val="40"/>
              </w:rPr>
              <w:t>CBD</w:t>
            </w:r>
            <w:r>
              <w:t>/</w:t>
            </w:r>
            <w:bookmarkStart w:id="0" w:name="CBDSymbolPart2"/>
            <w:r>
              <w:t>CP/</w:t>
            </w:r>
            <w:bookmarkStart w:id="1" w:name="CBDSymbolPart3"/>
            <w:bookmarkEnd w:id="0"/>
            <w:r>
              <w:t>MOP/</w:t>
            </w:r>
            <w:bookmarkEnd w:id="1"/>
            <w:r>
              <w:t>11/8</w:t>
            </w:r>
            <w:r w:rsidR="007A2C7B">
              <w:t>/Rev.1</w:t>
            </w:r>
          </w:p>
        </w:tc>
      </w:tr>
    </w:tbl>
    <w:p w:rsidR="00A43334" w:rsidRPr="0046701D" w:rsidRDefault="00A43334" w:rsidP="00A43334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A43334" w:rsidRPr="0046701D" w:rsidTr="513103E8">
        <w:trPr>
          <w:trHeight w:val="2098"/>
        </w:trPr>
        <w:tc>
          <w:tcPr>
            <w:tcW w:w="7370" w:type="dxa"/>
            <w:shd w:val="clear" w:color="auto" w:fill="auto"/>
          </w:tcPr>
          <w:p w:rsidR="00B52208" w:rsidRDefault="006D0EFA">
            <w:pPr>
              <w:pStyle w:val="ACLargeLogo"/>
            </w:pPr>
            <w:r>
              <w:t xml:space="preserve"> </w:t>
            </w:r>
            <w:r w:rsidR="003C223A" w:rsidRPr="006E78A2">
              <w:rPr>
                <w:bCs/>
                <w:noProof/>
                <w:lang w:eastAsia="fr-FR"/>
              </w:rPr>
              <w:drawing>
                <wp:inline distT="0" distB="0" distL="0" distR="0" wp14:anchorId="0E72A460" wp14:editId="5F18A135">
                  <wp:extent cx="2857500" cy="1076325"/>
                  <wp:effectExtent l="0" t="0" r="0" b="9525"/>
                  <wp:docPr id="8" name="Image 8" descr="CBD_logo_fr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fr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2" w:type="dxa"/>
            <w:shd w:val="clear" w:color="auto" w:fill="auto"/>
          </w:tcPr>
          <w:p w:rsidR="00B52208" w:rsidRDefault="006D0EFA">
            <w:pPr>
              <w:pStyle w:val="AEDistr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Distr. : </w:t>
            </w:r>
            <w:bookmarkStart w:id="2" w:name="CBDDistributionType"/>
            <w:r w:rsidR="00F85723">
              <w:rPr>
                <w:sz w:val="20"/>
                <w:szCs w:val="20"/>
              </w:rPr>
              <w:t>g</w:t>
            </w:r>
            <w:r>
              <w:rPr>
                <w:sz w:val="20"/>
                <w:szCs w:val="20"/>
              </w:rPr>
              <w:t>énéral</w:t>
            </w:r>
            <w:bookmarkEnd w:id="2"/>
            <w:r w:rsidR="00F85723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</w:p>
          <w:p w:rsidR="00F85723" w:rsidRDefault="007A2C7B" w:rsidP="00F85723">
            <w:pPr>
              <w:pStyle w:val="AEDistrNormal"/>
              <w:rPr>
                <w:sz w:val="20"/>
                <w:szCs w:val="20"/>
              </w:rPr>
            </w:pPr>
            <w:bookmarkStart w:id="3" w:name="CBDDistributionDate"/>
            <w:r>
              <w:rPr>
                <w:sz w:val="20"/>
                <w:szCs w:val="20"/>
              </w:rPr>
              <w:t xml:space="preserve">20 septembre </w:t>
            </w:r>
            <w:r w:rsidR="006D0EFA">
              <w:rPr>
                <w:sz w:val="20"/>
                <w:szCs w:val="20"/>
              </w:rPr>
              <w:t>2024</w:t>
            </w:r>
            <w:bookmarkEnd w:id="3"/>
            <w:r w:rsidR="006D0EFA">
              <w:rPr>
                <w:sz w:val="20"/>
                <w:szCs w:val="20"/>
              </w:rPr>
              <w:t xml:space="preserve"> </w:t>
            </w:r>
            <w:bookmarkStart w:id="4" w:name="CBDDistributionLanguage"/>
          </w:p>
          <w:p w:rsidR="00F85723" w:rsidRDefault="00F85723" w:rsidP="00F85723">
            <w:pPr>
              <w:pStyle w:val="AEDistr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Français</w:t>
            </w:r>
          </w:p>
          <w:p w:rsidR="00B52208" w:rsidRDefault="006D0EFA" w:rsidP="00F85723">
            <w:pPr>
              <w:pStyle w:val="AEDistr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Original : anglais</w:t>
            </w:r>
            <w:bookmarkEnd w:id="4"/>
            <w:r>
              <w:rPr>
                <w:sz w:val="20"/>
                <w:szCs w:val="20"/>
              </w:rPr>
              <w:t xml:space="preserve"> </w:t>
            </w:r>
          </w:p>
          <w:p w:rsidR="00A43334" w:rsidRPr="0046701D" w:rsidRDefault="00A43334" w:rsidP="00A43334">
            <w:pPr>
              <w:pStyle w:val="AEDistrNormal6pt"/>
            </w:pPr>
          </w:p>
        </w:tc>
      </w:tr>
    </w:tbl>
    <w:p w:rsidR="00A43334" w:rsidRPr="0046701D" w:rsidRDefault="00A43334" w:rsidP="00A43334">
      <w:pPr>
        <w:pStyle w:val="AISpacer"/>
      </w:pPr>
    </w:p>
    <w:tbl>
      <w:tblPr>
        <w:tblW w:w="10482" w:type="dxa"/>
        <w:tblInd w:w="-283" w:type="dxa"/>
        <w:tblLayout w:type="fixed"/>
        <w:tblCellMar>
          <w:left w:w="0" w:type="dxa"/>
        </w:tblCellMar>
        <w:tblLook w:val="0000" w:firstRow="0" w:lastRow="0" w:firstColumn="0" w:lastColumn="0" w:noHBand="0" w:noVBand="0"/>
      </w:tblPr>
      <w:tblGrid>
        <w:gridCol w:w="5244"/>
        <w:gridCol w:w="5238"/>
      </w:tblGrid>
      <w:tr w:rsidR="00A43334" w:rsidRPr="0046701D" w:rsidTr="78AA0592">
        <w:trPr>
          <w:trHeight w:val="57"/>
        </w:trPr>
        <w:tc>
          <w:tcPr>
            <w:tcW w:w="5244" w:type="dxa"/>
            <w:shd w:val="clear" w:color="auto" w:fill="auto"/>
          </w:tcPr>
          <w:p w:rsidR="00B52208" w:rsidRDefault="006D0EFA">
            <w:pPr>
              <w:pStyle w:val="AFCorNot12Bold"/>
            </w:pPr>
            <w:r>
              <w:t xml:space="preserve">Conférence des Parties à la Convention sur la diversité biologique </w:t>
            </w:r>
            <w:r w:rsidR="00EC146C">
              <w:t>siégeant en tant que</w:t>
            </w:r>
            <w:r>
              <w:t xml:space="preserve"> réunion des Parties au Protocole de Cartagena sur la prévention des risques biotechnologiques</w:t>
            </w:r>
          </w:p>
          <w:p w:rsidR="00B52208" w:rsidRDefault="006D0EFA">
            <w:pPr>
              <w:pStyle w:val="AFCorNotBold"/>
            </w:pPr>
            <w:bookmarkStart w:id="5" w:name="CBDMeetingName2"/>
            <w:r>
              <w:t>Onzième réunion</w:t>
            </w:r>
            <w:bookmarkEnd w:id="5"/>
            <w:r>
              <w:t xml:space="preserve"> </w:t>
            </w:r>
          </w:p>
          <w:p w:rsidR="00B52208" w:rsidRDefault="00F85723">
            <w:pPr>
              <w:pStyle w:val="AFCorNotNormal"/>
              <w:jc w:val="left"/>
            </w:pPr>
            <w:bookmarkStart w:id="6" w:name="CBDMeetingVenueDate"/>
            <w:r>
              <w:t>Cali, Colombie, 21 octobre</w:t>
            </w:r>
            <w:r w:rsidRPr="00F85723">
              <w:t>–</w:t>
            </w:r>
            <w:r w:rsidR="006D0EFA">
              <w:t>1</w:t>
            </w:r>
            <w:r w:rsidR="006D0EFA" w:rsidRPr="00F85723">
              <w:rPr>
                <w:vertAlign w:val="superscript"/>
              </w:rPr>
              <w:t>er</w:t>
            </w:r>
            <w:r w:rsidR="006D0EFA">
              <w:t xml:space="preserve"> novembre 2024</w:t>
            </w:r>
            <w:bookmarkEnd w:id="6"/>
            <w:r w:rsidR="006D0EFA">
              <w:t xml:space="preserve"> </w:t>
            </w:r>
          </w:p>
          <w:p w:rsidR="00B52208" w:rsidRDefault="006D0EFA">
            <w:pPr>
              <w:pStyle w:val="AFCorNotNormal"/>
            </w:pPr>
            <w:bookmarkStart w:id="7" w:name="CBDMeetingAgendaItem"/>
            <w:r>
              <w:t>Point 9 de l</w:t>
            </w:r>
            <w:r w:rsidR="00EC146C">
              <w:t>’</w:t>
            </w:r>
            <w:r>
              <w:t>ordre du jour</w:t>
            </w:r>
            <w:bookmarkEnd w:id="7"/>
            <w:r w:rsidR="00F85723">
              <w:t xml:space="preserve"> </w:t>
            </w:r>
            <w:r>
              <w:footnoteReference w:customMarkFollows="1" w:id="2"/>
              <w:t>provisoire*</w:t>
            </w:r>
          </w:p>
          <w:p w:rsidR="00B52208" w:rsidRDefault="00F85723">
            <w:pPr>
              <w:pStyle w:val="AFCorNotBold"/>
              <w:jc w:val="left"/>
            </w:pPr>
            <w:bookmarkStart w:id="8" w:name="CBDMeetingAgendaTitle"/>
            <w:r>
              <w:t>Coopération avec d</w:t>
            </w:r>
            <w:r w:rsidR="006D0EFA">
              <w:t xml:space="preserve">es </w:t>
            </w:r>
            <w:r>
              <w:t>organisations internationales, d</w:t>
            </w:r>
            <w:r w:rsidR="006D0EFA">
              <w:t>es organismes créés en</w:t>
            </w:r>
            <w:r>
              <w:t xml:space="preserve"> vertu d</w:t>
            </w:r>
            <w:r w:rsidR="00EC146C">
              <w:t>’</w:t>
            </w:r>
            <w:r>
              <w:t>autres conventions et d</w:t>
            </w:r>
            <w:r w:rsidR="006D0EFA">
              <w:t>es initiatives</w:t>
            </w:r>
            <w:bookmarkEnd w:id="8"/>
          </w:p>
        </w:tc>
        <w:tc>
          <w:tcPr>
            <w:tcW w:w="5238" w:type="dxa"/>
            <w:shd w:val="clear" w:color="auto" w:fill="auto"/>
          </w:tcPr>
          <w:p w:rsidR="00A43334" w:rsidRPr="0046701D" w:rsidRDefault="00A43334" w:rsidP="00A43334">
            <w:pPr>
              <w:jc w:val="left"/>
            </w:pPr>
          </w:p>
        </w:tc>
      </w:tr>
    </w:tbl>
    <w:p w:rsidR="00B52208" w:rsidRDefault="00F85723">
      <w:pPr>
        <w:pStyle w:val="CBDTitle"/>
      </w:pPr>
      <w:r>
        <w:t>Coopération avec d</w:t>
      </w:r>
      <w:r w:rsidR="006D0EFA">
        <w:t xml:space="preserve">es </w:t>
      </w:r>
      <w:r>
        <w:t>organisations internationales, d</w:t>
      </w:r>
      <w:r w:rsidR="006D0EFA">
        <w:t>es organismes créés en</w:t>
      </w:r>
      <w:r>
        <w:t xml:space="preserve"> vertu d</w:t>
      </w:r>
      <w:r w:rsidR="00EC146C">
        <w:t>’</w:t>
      </w:r>
      <w:r>
        <w:t>autres conventions et d</w:t>
      </w:r>
      <w:r w:rsidR="006D0EFA">
        <w:t>es initiatives</w:t>
      </w:r>
    </w:p>
    <w:p w:rsidR="00B52208" w:rsidRDefault="006D0EFA">
      <w:pPr>
        <w:pStyle w:val="CBDSubTitle"/>
      </w:pPr>
      <w:r>
        <w:t>Note du Secrétariat</w:t>
      </w:r>
    </w:p>
    <w:p w:rsidR="00B52208" w:rsidRDefault="006D0EFA">
      <w:pPr>
        <w:pStyle w:val="CBDH1"/>
      </w:pPr>
      <w:r>
        <w:t>I.</w:t>
      </w:r>
      <w:r>
        <w:tab/>
        <w:t>Introduction</w:t>
      </w:r>
    </w:p>
    <w:p w:rsidR="00B52208" w:rsidRDefault="006D0EFA">
      <w:pPr>
        <w:pStyle w:val="CBDNormalNumber"/>
      </w:pPr>
      <w:r>
        <w:rPr>
          <w:kern w:val="22"/>
        </w:rPr>
        <w:t>Le Secrétariat continue de coopérer avec d</w:t>
      </w:r>
      <w:r w:rsidR="00EC146C">
        <w:rPr>
          <w:kern w:val="22"/>
        </w:rPr>
        <w:t>’</w:t>
      </w:r>
      <w:r w:rsidR="0094169F">
        <w:rPr>
          <w:kern w:val="22"/>
        </w:rPr>
        <w:t>autres organisations, organisme</w:t>
      </w:r>
      <w:r>
        <w:rPr>
          <w:kern w:val="22"/>
        </w:rPr>
        <w:t>s créés en vertu d</w:t>
      </w:r>
      <w:r w:rsidR="00EC146C">
        <w:rPr>
          <w:kern w:val="22"/>
        </w:rPr>
        <w:t>’</w:t>
      </w:r>
      <w:r w:rsidR="0094169F">
        <w:rPr>
          <w:kern w:val="22"/>
        </w:rPr>
        <w:t>autres conventions et</w:t>
      </w:r>
      <w:r>
        <w:rPr>
          <w:kern w:val="22"/>
        </w:rPr>
        <w:t xml:space="preserve"> initiatives</w:t>
      </w:r>
      <w:r>
        <w:t xml:space="preserve"> qui c</w:t>
      </w:r>
      <w:r w:rsidR="00D66611">
        <w:t>ontribuent aux travaux menés</w:t>
      </w:r>
      <w:r>
        <w:t xml:space="preserve"> dans le cadre du Protocole de </w:t>
      </w:r>
      <w:r w:rsidR="0094169F">
        <w:t>Cartagena</w:t>
      </w:r>
      <w:r>
        <w:t xml:space="preserve"> sur la prévention des risques biotechnologiques. La présente note donne un aperçu des mesures prise</w:t>
      </w:r>
      <w:r w:rsidR="00D66611">
        <w:t>s par le Secrétariat à cet égard</w:t>
      </w:r>
      <w:r>
        <w:t xml:space="preserve"> pour créer des synergi</w:t>
      </w:r>
      <w:r w:rsidR="00D66611">
        <w:t>es entre les programmes relatifs</w:t>
      </w:r>
      <w:r>
        <w:t xml:space="preserve"> à la prévention des risques </w:t>
      </w:r>
      <w:r w:rsidR="00D66611">
        <w:t>biotechnologiques en général et</w:t>
      </w:r>
      <w:r w:rsidR="0094169F">
        <w:t xml:space="preserve"> </w:t>
      </w:r>
      <w:r w:rsidR="00D66611">
        <w:t xml:space="preserve">pour </w:t>
      </w:r>
      <w:r>
        <w:t>assurer l</w:t>
      </w:r>
      <w:r w:rsidR="00EC146C">
        <w:t>’</w:t>
      </w:r>
      <w:r>
        <w:t>application effective du Protocole en particulier.</w:t>
      </w:r>
    </w:p>
    <w:p w:rsidR="00B52208" w:rsidRDefault="006D0EFA">
      <w:pPr>
        <w:pStyle w:val="CBDNormalNumber"/>
      </w:pPr>
      <w:r>
        <w:rPr>
          <w:kern w:val="22"/>
        </w:rPr>
        <w:t>L</w:t>
      </w:r>
      <w:r w:rsidR="00D66611">
        <w:rPr>
          <w:kern w:val="22"/>
        </w:rPr>
        <w:t>e but</w:t>
      </w:r>
      <w:r>
        <w:rPr>
          <w:kern w:val="22"/>
        </w:rPr>
        <w:t xml:space="preserve"> B.4 du Plan de mise en œuvre du Protocole de Cartagena sur la préventio</w:t>
      </w:r>
      <w:r w:rsidR="0094169F">
        <w:rPr>
          <w:kern w:val="22"/>
        </w:rPr>
        <w:t>n des risques biotechnologiques</w:t>
      </w:r>
      <w:r w:rsidR="001500C4" w:rsidRPr="0046701D">
        <w:rPr>
          <w:rStyle w:val="FootnoteReference"/>
          <w:kern w:val="22"/>
        </w:rPr>
        <w:footnoteReference w:id="3"/>
      </w:r>
      <w:r w:rsidR="0094169F">
        <w:rPr>
          <w:kern w:val="22"/>
        </w:rPr>
        <w:t>,</w:t>
      </w:r>
      <w:r>
        <w:rPr>
          <w:kern w:val="22"/>
        </w:rPr>
        <w:t xml:space="preserve"> adopté par </w:t>
      </w:r>
      <w:r>
        <w:t xml:space="preserve">la Conférence des Parties </w:t>
      </w:r>
      <w:r w:rsidR="00EC146C">
        <w:t>siégeant en tant que</w:t>
      </w:r>
      <w:r>
        <w:t xml:space="preserve"> réunion des Parties</w:t>
      </w:r>
      <w:r w:rsidR="00D66611">
        <w:t xml:space="preserve"> au Protocole</w:t>
      </w:r>
      <w:r>
        <w:t xml:space="preserve"> </w:t>
      </w:r>
      <w:r>
        <w:rPr>
          <w:kern w:val="22"/>
        </w:rPr>
        <w:t xml:space="preserve">à sa </w:t>
      </w:r>
      <w:r>
        <w:t>dixième réunion, comprend, dans le c</w:t>
      </w:r>
      <w:r w:rsidR="0094169F">
        <w:t xml:space="preserve">adre de </w:t>
      </w:r>
      <w:r>
        <w:t>«</w:t>
      </w:r>
      <w:r w:rsidR="0094169F">
        <w:t xml:space="preserve"> conditions habilitantes </w:t>
      </w:r>
      <w:r>
        <w:t>», des</w:t>
      </w:r>
      <w:r w:rsidR="00D66611">
        <w:t xml:space="preserve"> éléments spécifiques, y compris </w:t>
      </w:r>
      <w:r>
        <w:t>des indicateurs spécifiques, visant à faire en sorte que les Parties renforcent la coopération et la coordination sur les questions de prévention des risques biotechnologiques aux niveaux national, régional et international.</w:t>
      </w:r>
    </w:p>
    <w:p w:rsidR="00B52208" w:rsidRDefault="006D0EFA">
      <w:pPr>
        <w:pStyle w:val="CBDH1"/>
        <w:tabs>
          <w:tab w:val="clear" w:pos="2835"/>
          <w:tab w:val="clear" w:pos="3402"/>
        </w:tabs>
        <w:rPr>
          <w:szCs w:val="28"/>
        </w:rPr>
      </w:pPr>
      <w:r>
        <w:rPr>
          <w:szCs w:val="28"/>
        </w:rPr>
        <w:t>II.</w:t>
      </w:r>
      <w:r>
        <w:rPr>
          <w:szCs w:val="28"/>
        </w:rPr>
        <w:tab/>
      </w:r>
      <w:r>
        <w:t>Aperçu</w:t>
      </w:r>
      <w:r>
        <w:rPr>
          <w:szCs w:val="28"/>
        </w:rPr>
        <w:t xml:space="preserve"> des activités de coopération en cours</w:t>
      </w:r>
    </w:p>
    <w:p w:rsidR="00B52208" w:rsidRDefault="006D0EFA">
      <w:pPr>
        <w:pStyle w:val="CBDH2"/>
        <w:numPr>
          <w:ilvl w:val="0"/>
          <w:numId w:val="0"/>
        </w:numPr>
        <w:ind w:left="567" w:hanging="567"/>
      </w:pPr>
      <w:r>
        <w:t>A.</w:t>
      </w:r>
      <w:r>
        <w:tab/>
        <w:t>Initiative Douanes vertes</w:t>
      </w:r>
    </w:p>
    <w:p w:rsidR="00B52208" w:rsidRDefault="006D0EFA">
      <w:pPr>
        <w:pStyle w:val="CBDNormalNumber"/>
      </w:pPr>
      <w:r>
        <w:rPr>
          <w:kern w:val="22"/>
        </w:rPr>
        <w:t>Le Secrétariat</w:t>
      </w:r>
      <w:r>
        <w:t xml:space="preserve"> a poursuivi sa collaboration en tant que partenaire de l</w:t>
      </w:r>
      <w:r w:rsidR="00EC146C">
        <w:t>’</w:t>
      </w:r>
      <w:r>
        <w:t>Initiative Douanes vertes. L</w:t>
      </w:r>
      <w:r w:rsidR="00EC146C">
        <w:t>’</w:t>
      </w:r>
      <w:r>
        <w:t>objectif de l</w:t>
      </w:r>
      <w:r w:rsidR="00EC146C">
        <w:t>’</w:t>
      </w:r>
      <w:r>
        <w:t>Initiative est de renforcer la capacité des douanes et des autres autorités compétentes chargée</w:t>
      </w:r>
      <w:r w:rsidR="00124D35">
        <w:t>s du contrôle aux</w:t>
      </w:r>
      <w:r w:rsidR="0094169F">
        <w:t xml:space="preserve"> frontières à </w:t>
      </w:r>
      <w:r>
        <w:t>surveiller</w:t>
      </w:r>
      <w:r w:rsidR="0094169F">
        <w:rPr>
          <w:kern w:val="22"/>
        </w:rPr>
        <w:t xml:space="preserve"> et</w:t>
      </w:r>
      <w:r>
        <w:rPr>
          <w:kern w:val="22"/>
        </w:rPr>
        <w:t xml:space="preserve"> </w:t>
      </w:r>
      <w:r w:rsidR="00124D35">
        <w:rPr>
          <w:kern w:val="22"/>
        </w:rPr>
        <w:t xml:space="preserve">à </w:t>
      </w:r>
      <w:r>
        <w:rPr>
          <w:kern w:val="22"/>
        </w:rPr>
        <w:t>faciliter le commerce licite</w:t>
      </w:r>
      <w:r w:rsidR="00124D35">
        <w:rPr>
          <w:kern w:val="22"/>
        </w:rPr>
        <w:t>, ainsi qu’</w:t>
      </w:r>
      <w:r w:rsidR="0094169F">
        <w:rPr>
          <w:kern w:val="22"/>
        </w:rPr>
        <w:t>à</w:t>
      </w:r>
      <w:r>
        <w:rPr>
          <w:kern w:val="22"/>
        </w:rPr>
        <w:t xml:space="preserve"> détecter et </w:t>
      </w:r>
      <w:r w:rsidR="00124D35">
        <w:rPr>
          <w:kern w:val="22"/>
        </w:rPr>
        <w:lastRenderedPageBreak/>
        <w:t>à empêcher</w:t>
      </w:r>
      <w:r>
        <w:rPr>
          <w:kern w:val="22"/>
        </w:rPr>
        <w:t xml:space="preserve"> le commerce illicite de biens et de produits </w:t>
      </w:r>
      <w:r w:rsidR="00124D35">
        <w:rPr>
          <w:kern w:val="22"/>
        </w:rPr>
        <w:t>écologiquement sensibles visé</w:t>
      </w:r>
      <w:r>
        <w:rPr>
          <w:kern w:val="22"/>
        </w:rPr>
        <w:t xml:space="preserve">s </w:t>
      </w:r>
      <w:r w:rsidR="0094169F">
        <w:rPr>
          <w:kern w:val="22"/>
        </w:rPr>
        <w:t>par des conventions relative</w:t>
      </w:r>
      <w:r w:rsidR="00124D35">
        <w:rPr>
          <w:kern w:val="22"/>
        </w:rPr>
        <w:t xml:space="preserve">s au commerce </w:t>
      </w:r>
      <w:r>
        <w:rPr>
          <w:kern w:val="22"/>
        </w:rPr>
        <w:t>et des accords multilatéraux sur l</w:t>
      </w:r>
      <w:r w:rsidR="00EC146C">
        <w:rPr>
          <w:kern w:val="22"/>
        </w:rPr>
        <w:t>’</w:t>
      </w:r>
      <w:r>
        <w:rPr>
          <w:kern w:val="22"/>
        </w:rPr>
        <w:t>environnement.</w:t>
      </w:r>
    </w:p>
    <w:p w:rsidR="00B52208" w:rsidRDefault="006D0EFA">
      <w:pPr>
        <w:pStyle w:val="CBDNormalNumber"/>
      </w:pPr>
      <w:r>
        <w:rPr>
          <w:kern w:val="22"/>
        </w:rPr>
        <w:t>Au cours de la</w:t>
      </w:r>
      <w:r>
        <w:t xml:space="preserve"> période</w:t>
      </w:r>
      <w:r>
        <w:rPr>
          <w:kern w:val="22"/>
        </w:rPr>
        <w:t xml:space="preserve"> intersessions</w:t>
      </w:r>
      <w:r>
        <w:t>, le Secrétariat a participé</w:t>
      </w:r>
      <w:r>
        <w:rPr>
          <w:kern w:val="22"/>
        </w:rPr>
        <w:t xml:space="preserve"> aux dix-septième et dix-huitième réunions de coordination des partenaires de l</w:t>
      </w:r>
      <w:r w:rsidR="00EC146C">
        <w:rPr>
          <w:kern w:val="22"/>
        </w:rPr>
        <w:t>’</w:t>
      </w:r>
      <w:r>
        <w:rPr>
          <w:kern w:val="22"/>
        </w:rPr>
        <w:t>Initiative Douanes vertes. À chaque réunion, les partenaires de l</w:t>
      </w:r>
      <w:r w:rsidR="00EC146C">
        <w:rPr>
          <w:kern w:val="22"/>
        </w:rPr>
        <w:t>’</w:t>
      </w:r>
      <w:r w:rsidR="00124D35">
        <w:t>Initiative ont donné</w:t>
      </w:r>
      <w:r>
        <w:t xml:space="preserve"> un aperçu des </w:t>
      </w:r>
      <w:r w:rsidR="006F14ED">
        <w:t>activités pertinentes menée</w:t>
      </w:r>
      <w:r>
        <w:t>s depuis la</w:t>
      </w:r>
      <w:r>
        <w:rPr>
          <w:kern w:val="22"/>
        </w:rPr>
        <w:t xml:space="preserve"> réunion</w:t>
      </w:r>
      <w:r>
        <w:t xml:space="preserve"> précédente</w:t>
      </w:r>
      <w:r>
        <w:rPr>
          <w:kern w:val="22"/>
        </w:rPr>
        <w:t xml:space="preserve"> et de celles prévues pour l</w:t>
      </w:r>
      <w:r w:rsidR="00EC146C">
        <w:rPr>
          <w:kern w:val="22"/>
        </w:rPr>
        <w:t>’</w:t>
      </w:r>
      <w:r>
        <w:rPr>
          <w:kern w:val="22"/>
        </w:rPr>
        <w:t>année suivante, en vue de coordonner les activités de renforcement des capacités et d</w:t>
      </w:r>
      <w:r w:rsidR="006F14ED">
        <w:rPr>
          <w:kern w:val="22"/>
        </w:rPr>
        <w:t>’identifie</w:t>
      </w:r>
      <w:r>
        <w:t>r</w:t>
      </w:r>
      <w:r>
        <w:rPr>
          <w:kern w:val="22"/>
        </w:rPr>
        <w:t xml:space="preserve"> les possibilités de collaboration. Les partenaires ont également débattu de la traduction du </w:t>
      </w:r>
      <w:r w:rsidR="006F14ED">
        <w:rPr>
          <w:i/>
          <w:iCs/>
          <w:kern w:val="22"/>
        </w:rPr>
        <w:t>Guide des Douanes vertes po</w:t>
      </w:r>
      <w:r>
        <w:rPr>
          <w:i/>
          <w:iCs/>
          <w:kern w:val="22"/>
        </w:rPr>
        <w:t>ur les accords multilatéraux sur l</w:t>
      </w:r>
      <w:r w:rsidR="00EC146C">
        <w:rPr>
          <w:i/>
          <w:iCs/>
          <w:kern w:val="22"/>
        </w:rPr>
        <w:t>’</w:t>
      </w:r>
      <w:r>
        <w:rPr>
          <w:i/>
          <w:iCs/>
          <w:kern w:val="22"/>
        </w:rPr>
        <w:t>environnement</w:t>
      </w:r>
      <w:r>
        <w:rPr>
          <w:kern w:val="22"/>
        </w:rPr>
        <w:t xml:space="preserve"> en arabe, chinois et russe, ainsi que d</w:t>
      </w:r>
      <w:r w:rsidR="00EC146C">
        <w:rPr>
          <w:kern w:val="22"/>
        </w:rPr>
        <w:t>’</w:t>
      </w:r>
      <w:r>
        <w:rPr>
          <w:kern w:val="22"/>
        </w:rPr>
        <w:t>initiatives pour la mobilisatio</w:t>
      </w:r>
      <w:r w:rsidR="006F14ED">
        <w:rPr>
          <w:kern w:val="22"/>
        </w:rPr>
        <w:t>n de</w:t>
      </w:r>
      <w:r>
        <w:rPr>
          <w:kern w:val="22"/>
        </w:rPr>
        <w:t xml:space="preserve"> ressources et l</w:t>
      </w:r>
      <w:r w:rsidR="00EC146C">
        <w:rPr>
          <w:kern w:val="22"/>
        </w:rPr>
        <w:t>’</w:t>
      </w:r>
      <w:r>
        <w:rPr>
          <w:kern w:val="22"/>
        </w:rPr>
        <w:t>amélioration de la visibilité et de l</w:t>
      </w:r>
      <w:r w:rsidR="00EC146C">
        <w:rPr>
          <w:kern w:val="22"/>
        </w:rPr>
        <w:t>’</w:t>
      </w:r>
      <w:r>
        <w:rPr>
          <w:kern w:val="22"/>
        </w:rPr>
        <w:t>impact des travaux de l</w:t>
      </w:r>
      <w:r w:rsidR="00EC146C">
        <w:rPr>
          <w:kern w:val="22"/>
        </w:rPr>
        <w:t>’</w:t>
      </w:r>
      <w:r>
        <w:rPr>
          <w:kern w:val="22"/>
        </w:rPr>
        <w:t xml:space="preserve">Initiative. </w:t>
      </w:r>
    </w:p>
    <w:p w:rsidR="00B52208" w:rsidRDefault="006D0EFA">
      <w:pPr>
        <w:pStyle w:val="CBDH2"/>
        <w:numPr>
          <w:ilvl w:val="0"/>
          <w:numId w:val="0"/>
        </w:numPr>
        <w:ind w:left="567" w:hanging="567"/>
        <w:jc w:val="left"/>
        <w:rPr>
          <w:b w:val="0"/>
          <w:bCs/>
          <w:szCs w:val="24"/>
        </w:rPr>
      </w:pPr>
      <w:r>
        <w:rPr>
          <w:bCs/>
          <w:szCs w:val="24"/>
        </w:rPr>
        <w:t>B.</w:t>
      </w:r>
      <w:r>
        <w:rPr>
          <w:bCs/>
          <w:szCs w:val="24"/>
        </w:rPr>
        <w:tab/>
      </w:r>
      <w:r>
        <w:t>Coopération</w:t>
      </w:r>
      <w:r>
        <w:rPr>
          <w:bCs/>
          <w:szCs w:val="24"/>
        </w:rPr>
        <w:t xml:space="preserve"> avec l</w:t>
      </w:r>
      <w:r w:rsidR="00EC146C">
        <w:rPr>
          <w:bCs/>
          <w:szCs w:val="24"/>
        </w:rPr>
        <w:t>’</w:t>
      </w:r>
      <w:r>
        <w:rPr>
          <w:bCs/>
          <w:szCs w:val="24"/>
        </w:rPr>
        <w:t>Organisation mondiale du commerce</w:t>
      </w:r>
    </w:p>
    <w:p w:rsidR="00B52208" w:rsidRDefault="006D0EFA">
      <w:pPr>
        <w:pStyle w:val="CBDNormalNumber"/>
      </w:pPr>
      <w:r>
        <w:t xml:space="preserve">Le </w:t>
      </w:r>
      <w:r>
        <w:rPr>
          <w:kern w:val="22"/>
        </w:rPr>
        <w:t>Secrétariat</w:t>
      </w:r>
      <w:r>
        <w:t xml:space="preserve"> a continué d</w:t>
      </w:r>
      <w:r w:rsidR="00EC146C">
        <w:t>’</w:t>
      </w:r>
      <w:r w:rsidR="006F14ED">
        <w:t>assurer une liaison et une</w:t>
      </w:r>
      <w:r>
        <w:t xml:space="preserve"> coopération avec l</w:t>
      </w:r>
      <w:r w:rsidR="00EC146C">
        <w:t>’</w:t>
      </w:r>
      <w:r>
        <w:t xml:space="preserve">Organisation mondiale du commerce (OMC) et de suivre les discussions et les négociations </w:t>
      </w:r>
      <w:r w:rsidR="006F14ED">
        <w:t xml:space="preserve">menées </w:t>
      </w:r>
      <w:r>
        <w:t>au sein des comités créés dans le cadre de cette organisation, notamment en assurant la liaison avec le personnel du Secrétariat de l</w:t>
      </w:r>
      <w:r w:rsidR="00EC146C">
        <w:t>’</w:t>
      </w:r>
      <w:r>
        <w:t xml:space="preserve">OMC. Des exposés sur les décisions pertinentes de la Conférence des Parties à la Convention sur la diversité biologique et de la Conférence des Parties </w:t>
      </w:r>
      <w:r w:rsidR="00EC146C">
        <w:t>siégeant en tant que</w:t>
      </w:r>
      <w:r>
        <w:t xml:space="preserve"> réunion des Parties au Protocole de </w:t>
      </w:r>
      <w:r w:rsidR="0094169F">
        <w:t>Cartagena</w:t>
      </w:r>
      <w:r>
        <w:t xml:space="preserve"> ont été présentés au Comité du commerce et de l</w:t>
      </w:r>
      <w:r w:rsidR="00EC146C">
        <w:t>’</w:t>
      </w:r>
      <w:r>
        <w:t>environnement de l</w:t>
      </w:r>
      <w:r w:rsidR="00EC146C">
        <w:t>’</w:t>
      </w:r>
      <w:r>
        <w:t>OMC. Le Secrétariat a le statut d</w:t>
      </w:r>
      <w:r w:rsidR="00EC146C">
        <w:t>’</w:t>
      </w:r>
      <w:r>
        <w:t xml:space="preserve">observateur aux sessions ordinaires de ce comité. </w:t>
      </w:r>
    </w:p>
    <w:p w:rsidR="00B52208" w:rsidRDefault="006D0EFA">
      <w:pPr>
        <w:pStyle w:val="CBDH2"/>
        <w:numPr>
          <w:ilvl w:val="0"/>
          <w:numId w:val="0"/>
        </w:numPr>
        <w:ind w:left="567" w:hanging="567"/>
        <w:jc w:val="left"/>
        <w:rPr>
          <w:b w:val="0"/>
          <w:bCs/>
          <w:szCs w:val="24"/>
        </w:rPr>
      </w:pPr>
      <w:r>
        <w:rPr>
          <w:bCs/>
          <w:szCs w:val="24"/>
        </w:rPr>
        <w:t>C.</w:t>
      </w:r>
      <w:r>
        <w:rPr>
          <w:bCs/>
          <w:szCs w:val="24"/>
        </w:rPr>
        <w:tab/>
        <w:t>Groupe de travail sur l</w:t>
      </w:r>
      <w:r w:rsidR="00EC146C">
        <w:rPr>
          <w:bCs/>
          <w:szCs w:val="24"/>
        </w:rPr>
        <w:t>’</w:t>
      </w:r>
      <w:r>
        <w:rPr>
          <w:bCs/>
          <w:szCs w:val="24"/>
        </w:rPr>
        <w:t>harmonisation de l</w:t>
      </w:r>
      <w:r w:rsidR="00365161">
        <w:rPr>
          <w:bCs/>
          <w:szCs w:val="24"/>
        </w:rPr>
        <w:t>a surveillance réglementaire en</w:t>
      </w:r>
      <w:r w:rsidR="000149DA">
        <w:rPr>
          <w:bCs/>
          <w:szCs w:val="24"/>
        </w:rPr>
        <w:t xml:space="preserve"> </w:t>
      </w:r>
      <w:r>
        <w:rPr>
          <w:bCs/>
          <w:szCs w:val="24"/>
        </w:rPr>
        <w:t>biotechnologie de l</w:t>
      </w:r>
      <w:r w:rsidR="00EC146C">
        <w:rPr>
          <w:bCs/>
          <w:szCs w:val="24"/>
        </w:rPr>
        <w:t>’</w:t>
      </w:r>
      <w:r>
        <w:rPr>
          <w:bCs/>
          <w:szCs w:val="24"/>
        </w:rPr>
        <w:t xml:space="preserve">Organisation de coopération et de développement </w:t>
      </w:r>
      <w:r>
        <w:t>économiques</w:t>
      </w:r>
    </w:p>
    <w:p w:rsidR="00B52208" w:rsidRDefault="006D0EFA">
      <w:pPr>
        <w:pStyle w:val="CBDNormalNumber"/>
      </w:pPr>
      <w:r>
        <w:t xml:space="preserve">Le </w:t>
      </w:r>
      <w:r>
        <w:rPr>
          <w:kern w:val="22"/>
        </w:rPr>
        <w:t>Secrétariat</w:t>
      </w:r>
      <w:r w:rsidR="00B818E4">
        <w:t xml:space="preserve"> a poursuivi sa collaboration av</w:t>
      </w:r>
      <w:r>
        <w:t>ec le Groupe de travail sur l</w:t>
      </w:r>
      <w:r w:rsidR="00EC146C">
        <w:t>’</w:t>
      </w:r>
      <w:r>
        <w:t>harmonisation de la surveillance réglementaire en biotechnologie de l</w:t>
      </w:r>
      <w:r w:rsidR="00EC146C">
        <w:t>’</w:t>
      </w:r>
      <w:r>
        <w:t xml:space="preserve">Organisation de coopération et de développement économiques et a participé à ses trente-septième et trente-huitième réunions. Le Secrétariat a ainsi pu contribuer aux discussions sur des sujets présentant un intérêt pour le Protocole de </w:t>
      </w:r>
      <w:r w:rsidR="0094169F">
        <w:t>Cartagena</w:t>
      </w:r>
      <w:r>
        <w:t>, notamment en renouvelant la demande d</w:t>
      </w:r>
      <w:r w:rsidR="00EC146C">
        <w:t>’</w:t>
      </w:r>
      <w:r>
        <w:t>assistance pour la mise au point d</w:t>
      </w:r>
      <w:r w:rsidR="00EC146C">
        <w:t>’</w:t>
      </w:r>
      <w:r>
        <w:t xml:space="preserve">identifiants </w:t>
      </w:r>
      <w:r w:rsidR="00365161">
        <w:t>uniques pour les animaux et micro</w:t>
      </w:r>
      <w:r>
        <w:t>organismes</w:t>
      </w:r>
      <w:r w:rsidR="0094169F">
        <w:t xml:space="preserve"> v</w:t>
      </w:r>
      <w:r w:rsidR="00365161">
        <w:t>ivants modifiés</w:t>
      </w:r>
      <w:r>
        <w:t>, qui est actuellement à l</w:t>
      </w:r>
      <w:r w:rsidR="00EC146C">
        <w:t>’</w:t>
      </w:r>
      <w:r w:rsidR="00365161">
        <w:t>étude</w:t>
      </w:r>
      <w:r>
        <w:t>. Le document de consensus sur les considérations environnementales pour l</w:t>
      </w:r>
      <w:r w:rsidR="00EC146C">
        <w:t>’</w:t>
      </w:r>
      <w:r w:rsidR="00365161">
        <w:t>évaluation des risques et de la sécurité concernant</w:t>
      </w:r>
      <w:r>
        <w:t xml:space="preserve"> la dissémination de plantes transgéniques</w:t>
      </w:r>
      <w:r w:rsidR="0094169F" w:rsidRPr="0046701D">
        <w:rPr>
          <w:rStyle w:val="FootnoteReference"/>
        </w:rPr>
        <w:footnoteReference w:id="4"/>
      </w:r>
      <w:r>
        <w:t xml:space="preserve"> a été adopté par le Groupe de travail sur l</w:t>
      </w:r>
      <w:r w:rsidR="00EC146C">
        <w:t>’</w:t>
      </w:r>
      <w:r w:rsidR="0094169F">
        <w:t>harmonisation de l</w:t>
      </w:r>
      <w:r>
        <w:t>a surveillance réglementaire en biotechnologie à sa trente-septième réunion et a é</w:t>
      </w:r>
      <w:r w:rsidR="00365161">
        <w:t>té mis à disposition comme</w:t>
      </w:r>
      <w:r>
        <w:t xml:space="preserve"> ressource dans la bibliothèque du Centre d</w:t>
      </w:r>
      <w:r w:rsidR="00EC146C">
        <w:t>’</w:t>
      </w:r>
      <w:r>
        <w:t>échange pour la prévention des risques biotechnologiques.</w:t>
      </w:r>
    </w:p>
    <w:p w:rsidR="00B52208" w:rsidRDefault="006D0EFA">
      <w:pPr>
        <w:pStyle w:val="CBDH2"/>
        <w:numPr>
          <w:ilvl w:val="0"/>
          <w:numId w:val="0"/>
        </w:numPr>
        <w:ind w:left="567" w:hanging="567"/>
        <w:jc w:val="left"/>
        <w:rPr>
          <w:b w:val="0"/>
          <w:bCs/>
          <w:szCs w:val="24"/>
        </w:rPr>
      </w:pPr>
      <w:r>
        <w:rPr>
          <w:bCs/>
          <w:szCs w:val="24"/>
        </w:rPr>
        <w:t>D.</w:t>
      </w:r>
      <w:r>
        <w:rPr>
          <w:bCs/>
          <w:szCs w:val="24"/>
        </w:rPr>
        <w:tab/>
      </w:r>
      <w:r>
        <w:t>Coopération</w:t>
      </w:r>
      <w:r>
        <w:rPr>
          <w:bCs/>
          <w:szCs w:val="24"/>
        </w:rPr>
        <w:t xml:space="preserve"> avec la Convention d</w:t>
      </w:r>
      <w:r w:rsidR="00EC146C">
        <w:rPr>
          <w:bCs/>
          <w:szCs w:val="24"/>
        </w:rPr>
        <w:t>’</w:t>
      </w:r>
      <w:r>
        <w:rPr>
          <w:bCs/>
          <w:szCs w:val="24"/>
        </w:rPr>
        <w:t>Aarhus sur l</w:t>
      </w:r>
      <w:r w:rsidR="00EC146C">
        <w:rPr>
          <w:bCs/>
          <w:szCs w:val="24"/>
        </w:rPr>
        <w:t>’</w:t>
      </w:r>
      <w:r>
        <w:rPr>
          <w:bCs/>
          <w:szCs w:val="24"/>
        </w:rPr>
        <w:t>accès à l</w:t>
      </w:r>
      <w:r w:rsidR="00EC146C">
        <w:rPr>
          <w:bCs/>
          <w:szCs w:val="24"/>
        </w:rPr>
        <w:t>’</w:t>
      </w:r>
      <w:r>
        <w:rPr>
          <w:bCs/>
          <w:szCs w:val="24"/>
        </w:rPr>
        <w:t>information et la participation du public</w:t>
      </w:r>
    </w:p>
    <w:p w:rsidR="00B52208" w:rsidRDefault="006D0EFA">
      <w:pPr>
        <w:pStyle w:val="CBDNormalNumber"/>
      </w:pPr>
      <w:r>
        <w:t xml:space="preserve">Le </w:t>
      </w:r>
      <w:r>
        <w:rPr>
          <w:kern w:val="22"/>
        </w:rPr>
        <w:t>Secrétariat</w:t>
      </w:r>
      <w:r>
        <w:t xml:space="preserve"> de la Convention sur la diversité bio</w:t>
      </w:r>
      <w:r w:rsidR="004461C6">
        <w:t>logique a poursuivi sa collaboration</w:t>
      </w:r>
      <w:r>
        <w:t xml:space="preserve"> avec le Secrétariat de la Convention sur l</w:t>
      </w:r>
      <w:r w:rsidR="00EC146C">
        <w:t>’</w:t>
      </w:r>
      <w:r>
        <w:t>accès à l</w:t>
      </w:r>
      <w:r w:rsidR="00EC146C">
        <w:t>’</w:t>
      </w:r>
      <w:r>
        <w:t>information, la participation du public au processus décisionnel et l</w:t>
      </w:r>
      <w:r w:rsidR="00EC146C">
        <w:t>’</w:t>
      </w:r>
      <w:r>
        <w:t>accès à la justice en matière d</w:t>
      </w:r>
      <w:r w:rsidR="00EC146C">
        <w:t>’</w:t>
      </w:r>
      <w:r>
        <w:t>environnement (Convention d</w:t>
      </w:r>
      <w:r w:rsidR="00EC146C">
        <w:t>’</w:t>
      </w:r>
      <w:r>
        <w:t>Aarhus).</w:t>
      </w:r>
    </w:p>
    <w:p w:rsidR="00B52208" w:rsidRDefault="006D0EFA">
      <w:pPr>
        <w:pStyle w:val="CBDNormalNumber"/>
        <w:rPr>
          <w:rStyle w:val="s1"/>
          <w:rFonts w:asciiTheme="majorBidi" w:hAnsiTheme="majorBidi" w:cstheme="majorBidi"/>
          <w:sz w:val="22"/>
          <w:szCs w:val="22"/>
        </w:rPr>
      </w:pPr>
      <w:r>
        <w:rPr>
          <w:rStyle w:val="s1"/>
          <w:rFonts w:asciiTheme="majorBidi" w:hAnsiTheme="majorBidi" w:cstheme="majorBidi"/>
          <w:sz w:val="22"/>
          <w:szCs w:val="22"/>
        </w:rPr>
        <w:t xml:space="preserve">Le </w:t>
      </w:r>
      <w:r>
        <w:rPr>
          <w:kern w:val="22"/>
        </w:rPr>
        <w:t>Secrétariat</w:t>
      </w:r>
      <w:r w:rsidR="004461C6">
        <w:rPr>
          <w:rStyle w:val="s1"/>
          <w:rFonts w:asciiTheme="majorBidi" w:hAnsiTheme="majorBidi" w:cstheme="majorBidi"/>
          <w:sz w:val="22"/>
          <w:szCs w:val="22"/>
        </w:rPr>
        <w:t xml:space="preserve"> a co-</w:t>
      </w:r>
      <w:r>
        <w:rPr>
          <w:rStyle w:val="s1"/>
          <w:rFonts w:asciiTheme="majorBidi" w:hAnsiTheme="majorBidi" w:cstheme="majorBidi"/>
          <w:sz w:val="22"/>
          <w:szCs w:val="22"/>
        </w:rPr>
        <w:t>organisé à Genève la</w:t>
      </w:r>
      <w:r w:rsidR="004461C6">
        <w:rPr>
          <w:rStyle w:val="s1"/>
          <w:rFonts w:asciiTheme="majorBidi" w:hAnsiTheme="majorBidi" w:cstheme="majorBidi"/>
          <w:sz w:val="22"/>
          <w:szCs w:val="22"/>
        </w:rPr>
        <w:t xml:space="preserve"> quatrième table ronde commune</w:t>
      </w:r>
      <w:r>
        <w:rPr>
          <w:rStyle w:val="s1"/>
          <w:rFonts w:asciiTheme="majorBidi" w:hAnsiTheme="majorBidi" w:cstheme="majorBidi"/>
          <w:sz w:val="22"/>
          <w:szCs w:val="22"/>
        </w:rPr>
        <w:t xml:space="preserve"> des deux conventions sur la sensibilisation du public, l</w:t>
      </w:r>
      <w:r w:rsidR="00EC146C">
        <w:rPr>
          <w:rStyle w:val="s1"/>
          <w:rFonts w:asciiTheme="majorBidi" w:hAnsiTheme="majorBidi" w:cstheme="majorBidi"/>
          <w:sz w:val="22"/>
          <w:szCs w:val="22"/>
        </w:rPr>
        <w:t>’</w:t>
      </w:r>
      <w:r>
        <w:rPr>
          <w:rStyle w:val="s1"/>
          <w:rFonts w:asciiTheme="majorBidi" w:hAnsiTheme="majorBidi" w:cstheme="majorBidi"/>
          <w:sz w:val="22"/>
          <w:szCs w:val="22"/>
        </w:rPr>
        <w:t>éducation, l</w:t>
      </w:r>
      <w:r w:rsidR="00EC146C">
        <w:rPr>
          <w:rStyle w:val="s1"/>
          <w:rFonts w:asciiTheme="majorBidi" w:hAnsiTheme="majorBidi" w:cstheme="majorBidi"/>
          <w:sz w:val="22"/>
          <w:szCs w:val="22"/>
        </w:rPr>
        <w:t>’</w:t>
      </w:r>
      <w:r>
        <w:rPr>
          <w:rStyle w:val="s1"/>
          <w:rFonts w:asciiTheme="majorBidi" w:hAnsiTheme="majorBidi" w:cstheme="majorBidi"/>
          <w:sz w:val="22"/>
          <w:szCs w:val="22"/>
        </w:rPr>
        <w:t>accès à l</w:t>
      </w:r>
      <w:r w:rsidR="00EC146C">
        <w:rPr>
          <w:rStyle w:val="s1"/>
          <w:rFonts w:asciiTheme="majorBidi" w:hAnsiTheme="majorBidi" w:cstheme="majorBidi"/>
          <w:sz w:val="22"/>
          <w:szCs w:val="22"/>
        </w:rPr>
        <w:t>’</w:t>
      </w:r>
      <w:r>
        <w:rPr>
          <w:rStyle w:val="s1"/>
          <w:rFonts w:asciiTheme="majorBidi" w:hAnsiTheme="majorBidi" w:cstheme="majorBidi"/>
          <w:sz w:val="22"/>
          <w:szCs w:val="22"/>
        </w:rPr>
        <w:t>information, la participation du public et l</w:t>
      </w:r>
      <w:r w:rsidR="00EC146C">
        <w:rPr>
          <w:rStyle w:val="s1"/>
          <w:rFonts w:asciiTheme="majorBidi" w:hAnsiTheme="majorBidi" w:cstheme="majorBidi"/>
          <w:sz w:val="22"/>
          <w:szCs w:val="22"/>
        </w:rPr>
        <w:t>’</w:t>
      </w:r>
      <w:r>
        <w:rPr>
          <w:rStyle w:val="s1"/>
          <w:rFonts w:asciiTheme="majorBidi" w:hAnsiTheme="majorBidi" w:cstheme="majorBidi"/>
          <w:sz w:val="22"/>
          <w:szCs w:val="22"/>
        </w:rPr>
        <w:t>accès à la justice concernant les organismes vivants modifiés et les organismes génétiquement modifiés, les 11 et 12 décembre 2023</w:t>
      </w:r>
      <w:r w:rsidR="0094169F" w:rsidRPr="0046701D">
        <w:rPr>
          <w:rStyle w:val="FootnoteReference"/>
          <w:rFonts w:asciiTheme="majorBidi" w:hAnsiTheme="majorBidi" w:cstheme="majorBidi"/>
          <w:color w:val="000000"/>
        </w:rPr>
        <w:footnoteReference w:id="5"/>
      </w:r>
      <w:r>
        <w:rPr>
          <w:rStyle w:val="s1"/>
          <w:rFonts w:asciiTheme="majorBidi" w:hAnsiTheme="majorBidi" w:cstheme="majorBidi"/>
          <w:sz w:val="22"/>
          <w:szCs w:val="22"/>
        </w:rPr>
        <w:t xml:space="preserve">. </w:t>
      </w:r>
    </w:p>
    <w:p w:rsidR="00B52208" w:rsidRDefault="006D0EFA">
      <w:pPr>
        <w:pStyle w:val="CBDH2"/>
        <w:numPr>
          <w:ilvl w:val="0"/>
          <w:numId w:val="0"/>
        </w:numPr>
        <w:ind w:left="567" w:hanging="567"/>
        <w:jc w:val="left"/>
        <w:rPr>
          <w:bCs/>
          <w:szCs w:val="24"/>
        </w:rPr>
      </w:pPr>
      <w:r>
        <w:rPr>
          <w:bCs/>
          <w:szCs w:val="24"/>
        </w:rPr>
        <w:t>E.</w:t>
      </w:r>
      <w:r>
        <w:rPr>
          <w:bCs/>
          <w:szCs w:val="24"/>
        </w:rPr>
        <w:tab/>
      </w:r>
      <w:r>
        <w:t>Coopération</w:t>
      </w:r>
      <w:r>
        <w:rPr>
          <w:bCs/>
          <w:szCs w:val="24"/>
        </w:rPr>
        <w:t xml:space="preserve"> avec le Programme des Nations Unies pour l</w:t>
      </w:r>
      <w:r w:rsidR="00EC146C">
        <w:rPr>
          <w:bCs/>
          <w:szCs w:val="24"/>
        </w:rPr>
        <w:t>’</w:t>
      </w:r>
      <w:r>
        <w:rPr>
          <w:bCs/>
          <w:szCs w:val="24"/>
        </w:rPr>
        <w:t>environnement sur le Centre d</w:t>
      </w:r>
      <w:r w:rsidR="00EC146C">
        <w:rPr>
          <w:bCs/>
          <w:szCs w:val="24"/>
        </w:rPr>
        <w:t>’</w:t>
      </w:r>
      <w:r>
        <w:rPr>
          <w:bCs/>
          <w:szCs w:val="24"/>
        </w:rPr>
        <w:t>échange pour la prévention des risques biotechnologiques</w:t>
      </w:r>
    </w:p>
    <w:p w:rsidR="00B52208" w:rsidRDefault="0094169F">
      <w:pPr>
        <w:pStyle w:val="CBDNormalNumber"/>
        <w:rPr>
          <w:b/>
          <w:bCs/>
        </w:rPr>
      </w:pPr>
      <w:r>
        <w:rPr>
          <w:kern w:val="22"/>
        </w:rPr>
        <w:t xml:space="preserve">Le </w:t>
      </w:r>
      <w:r w:rsidR="006D0EFA">
        <w:rPr>
          <w:kern w:val="22"/>
        </w:rPr>
        <w:t>Secrétariat a travaillé en étroite collaboration avec le Programme des Nations Unies pour l</w:t>
      </w:r>
      <w:r w:rsidR="00EC146C">
        <w:rPr>
          <w:kern w:val="22"/>
        </w:rPr>
        <w:t>’</w:t>
      </w:r>
      <w:r w:rsidR="006D0EFA">
        <w:rPr>
          <w:kern w:val="22"/>
        </w:rPr>
        <w:t>environnement (PNUE) et le Fonds pour l</w:t>
      </w:r>
      <w:r w:rsidR="00EC146C">
        <w:rPr>
          <w:kern w:val="22"/>
        </w:rPr>
        <w:t>’</w:t>
      </w:r>
      <w:r w:rsidR="009D61F0">
        <w:rPr>
          <w:kern w:val="22"/>
        </w:rPr>
        <w:t>environnement mondial afin de</w:t>
      </w:r>
      <w:r w:rsidR="006D0EFA">
        <w:rPr>
          <w:kern w:val="22"/>
        </w:rPr>
        <w:t xml:space="preserve"> renforcer les capacités </w:t>
      </w:r>
      <w:r w:rsidR="006D0EFA">
        <w:rPr>
          <w:kern w:val="22"/>
        </w:rPr>
        <w:lastRenderedPageBreak/>
        <w:t>nécessaires à une participation effective au Centre d</w:t>
      </w:r>
      <w:r w:rsidR="00EC146C">
        <w:rPr>
          <w:kern w:val="22"/>
        </w:rPr>
        <w:t>’</w:t>
      </w:r>
      <w:r w:rsidR="006D0EFA">
        <w:rPr>
          <w:kern w:val="22"/>
        </w:rPr>
        <w:t xml:space="preserve">échange pour la prévention des risques </w:t>
      </w:r>
      <w:r>
        <w:rPr>
          <w:kern w:val="22"/>
        </w:rPr>
        <w:t xml:space="preserve">biotechnologiques (phase III), </w:t>
      </w:r>
      <w:r w:rsidR="006D0EFA">
        <w:rPr>
          <w:kern w:val="22"/>
        </w:rPr>
        <w:t xml:space="preserve">en fournissant une assistance pour des activités de formation destinées aux conseillers régionaux et aux </w:t>
      </w:r>
      <w:r>
        <w:rPr>
          <w:kern w:val="22"/>
        </w:rPr>
        <w:t>correspondants</w:t>
      </w:r>
      <w:r w:rsidR="006D0EFA">
        <w:rPr>
          <w:kern w:val="22"/>
        </w:rPr>
        <w:t xml:space="preserve"> nationaux du Centre d</w:t>
      </w:r>
      <w:r w:rsidR="00EC146C">
        <w:rPr>
          <w:kern w:val="22"/>
        </w:rPr>
        <w:t>’</w:t>
      </w:r>
      <w:r w:rsidR="006D0EFA">
        <w:rPr>
          <w:kern w:val="22"/>
        </w:rPr>
        <w:t xml:space="preserve">échange pour la prévention des risques biotechnologiques. </w:t>
      </w:r>
    </w:p>
    <w:p w:rsidR="00B52208" w:rsidRDefault="006D0EFA">
      <w:pPr>
        <w:pStyle w:val="CBDNormalNumber"/>
        <w:rPr>
          <w:b/>
          <w:bCs/>
        </w:rPr>
      </w:pPr>
      <w:r>
        <w:rPr>
          <w:kern w:val="22"/>
        </w:rPr>
        <w:t>Le Secrétariat a également collaboré avec le PNUE pour accueillir et organiser deux ateliers régionaux de formation sur le Centre d</w:t>
      </w:r>
      <w:r w:rsidR="00EC146C">
        <w:rPr>
          <w:kern w:val="22"/>
        </w:rPr>
        <w:t>’</w:t>
      </w:r>
      <w:r>
        <w:rPr>
          <w:kern w:val="22"/>
        </w:rPr>
        <w:t>échange pour la prévention des risques biotechnologiques, l</w:t>
      </w:r>
      <w:r w:rsidR="00EC146C">
        <w:rPr>
          <w:kern w:val="22"/>
        </w:rPr>
        <w:t>’</w:t>
      </w:r>
      <w:r w:rsidR="009D61F0">
        <w:rPr>
          <w:kern w:val="22"/>
        </w:rPr>
        <w:t>un à Ankara</w:t>
      </w:r>
      <w:r>
        <w:rPr>
          <w:kern w:val="22"/>
        </w:rPr>
        <w:t xml:space="preserve"> pour la région d</w:t>
      </w:r>
      <w:r w:rsidR="00EC146C">
        <w:rPr>
          <w:kern w:val="22"/>
        </w:rPr>
        <w:t>’</w:t>
      </w:r>
      <w:r>
        <w:rPr>
          <w:kern w:val="22"/>
        </w:rPr>
        <w:t>Europe centrale et orientale, et l</w:t>
      </w:r>
      <w:r w:rsidR="00EC146C">
        <w:rPr>
          <w:kern w:val="22"/>
        </w:rPr>
        <w:t>’</w:t>
      </w:r>
      <w:r w:rsidR="0094169F">
        <w:rPr>
          <w:kern w:val="22"/>
        </w:rPr>
        <w:t>autre à Auckland (</w:t>
      </w:r>
      <w:r>
        <w:rPr>
          <w:kern w:val="22"/>
        </w:rPr>
        <w:t>Nouvelle-Zélande</w:t>
      </w:r>
      <w:r w:rsidR="0094169F">
        <w:rPr>
          <w:kern w:val="22"/>
        </w:rPr>
        <w:t>)</w:t>
      </w:r>
      <w:r>
        <w:rPr>
          <w:kern w:val="22"/>
        </w:rPr>
        <w:t xml:space="preserve"> pour la région du Pacifique.</w:t>
      </w:r>
    </w:p>
    <w:p w:rsidR="00B52208" w:rsidRDefault="006D0EFA">
      <w:pPr>
        <w:pStyle w:val="CBDH2"/>
        <w:numPr>
          <w:ilvl w:val="0"/>
          <w:numId w:val="0"/>
        </w:numPr>
        <w:ind w:left="567" w:hanging="567"/>
        <w:rPr>
          <w:bCs/>
          <w:szCs w:val="24"/>
        </w:rPr>
      </w:pPr>
      <w:r>
        <w:rPr>
          <w:bCs/>
          <w:szCs w:val="24"/>
        </w:rPr>
        <w:t>F.</w:t>
      </w:r>
      <w:r>
        <w:rPr>
          <w:bCs/>
          <w:szCs w:val="24"/>
        </w:rPr>
        <w:tab/>
        <w:t xml:space="preserve">Autres </w:t>
      </w:r>
      <w:r w:rsidR="009D61F0">
        <w:rPr>
          <w:bCs/>
          <w:szCs w:val="24"/>
        </w:rPr>
        <w:t xml:space="preserve">activités de </w:t>
      </w:r>
      <w:r w:rsidR="009D61F0">
        <w:t>coopération</w:t>
      </w:r>
      <w:r w:rsidR="009D61F0">
        <w:rPr>
          <w:bCs/>
          <w:szCs w:val="24"/>
        </w:rPr>
        <w:t xml:space="preserve"> sur d</w:t>
      </w:r>
      <w:r>
        <w:rPr>
          <w:bCs/>
          <w:szCs w:val="24"/>
        </w:rPr>
        <w:t>es questions techniques et scientifiques</w:t>
      </w:r>
    </w:p>
    <w:p w:rsidR="00B52208" w:rsidRDefault="009D61F0">
      <w:pPr>
        <w:pStyle w:val="CBDNormalNumber"/>
        <w:rPr>
          <w:b/>
          <w:bCs/>
        </w:rPr>
      </w:pPr>
      <w:r>
        <w:rPr>
          <w:kern w:val="22"/>
        </w:rPr>
        <w:t>Le Secrétariat a poursuivi sa collaboration avec d</w:t>
      </w:r>
      <w:r w:rsidR="006D0EFA">
        <w:rPr>
          <w:kern w:val="22"/>
        </w:rPr>
        <w:t>es organi</w:t>
      </w:r>
      <w:r>
        <w:rPr>
          <w:kern w:val="22"/>
        </w:rPr>
        <w:t>sations compétentes pour facilit</w:t>
      </w:r>
      <w:r w:rsidR="006D0EFA">
        <w:rPr>
          <w:kern w:val="22"/>
        </w:rPr>
        <w:t>er le renforcement des capacités et la coopération technique e</w:t>
      </w:r>
      <w:r>
        <w:rPr>
          <w:kern w:val="22"/>
        </w:rPr>
        <w:t>ntre les Parties dans le cadr</w:t>
      </w:r>
      <w:r w:rsidR="006D0EFA">
        <w:rPr>
          <w:kern w:val="22"/>
        </w:rPr>
        <w:t>e de l</w:t>
      </w:r>
      <w:r w:rsidR="00EC146C">
        <w:rPr>
          <w:kern w:val="22"/>
        </w:rPr>
        <w:t>’</w:t>
      </w:r>
      <w:r w:rsidR="006D0EFA">
        <w:rPr>
          <w:kern w:val="22"/>
        </w:rPr>
        <w:t xml:space="preserve">évaluation des risques, de la </w:t>
      </w:r>
      <w:r w:rsidR="0094169F">
        <w:rPr>
          <w:kern w:val="22"/>
        </w:rPr>
        <w:t>biologie de synthèse</w:t>
      </w:r>
      <w:r>
        <w:rPr>
          <w:kern w:val="22"/>
        </w:rPr>
        <w:t>, et de la détection et i</w:t>
      </w:r>
      <w:r w:rsidR="006D0EFA">
        <w:rPr>
          <w:kern w:val="22"/>
        </w:rPr>
        <w:t>dentification des organismes vivants modifiés.</w:t>
      </w:r>
    </w:p>
    <w:p w:rsidR="00B52208" w:rsidRDefault="006D0EFA">
      <w:pPr>
        <w:pStyle w:val="CBDNormalNumber"/>
      </w:pPr>
      <w:r>
        <w:t xml:space="preserve">Le Secrétariat a organisé un </w:t>
      </w:r>
      <w:r w:rsidR="009D61F0">
        <w:t>atelier mondial en personne sur le thème « Avancées</w:t>
      </w:r>
      <w:r>
        <w:t xml:space="preserve"> dans</w:t>
      </w:r>
      <w:r w:rsidR="00A91934">
        <w:t xml:space="preserve"> le domaine de</w:t>
      </w:r>
      <w:r>
        <w:t xml:space="preserve"> l</w:t>
      </w:r>
      <w:r w:rsidR="00EC146C">
        <w:t>’</w:t>
      </w:r>
      <w:r>
        <w:t>é</w:t>
      </w:r>
      <w:bookmarkStart w:id="9" w:name="_GoBack"/>
      <w:bookmarkEnd w:id="9"/>
      <w:r>
        <w:t>valuation des risques - vingt ans de théori</w:t>
      </w:r>
      <w:r w:rsidR="00A91934">
        <w:t>e et de pratique », à Montréal (</w:t>
      </w:r>
      <w:r>
        <w:t>Canada</w:t>
      </w:r>
      <w:r w:rsidR="00A91934">
        <w:t>)</w:t>
      </w:r>
      <w:r>
        <w:t>, les 30 et 31 octobre 2023. Les participants à l</w:t>
      </w:r>
      <w:r w:rsidR="00EC146C">
        <w:t>’</w:t>
      </w:r>
      <w:r w:rsidR="00E77D4C">
        <w:t xml:space="preserve">atelier ont </w:t>
      </w:r>
      <w:r>
        <w:t>examiné l</w:t>
      </w:r>
      <w:r w:rsidR="00EC146C">
        <w:t>’</w:t>
      </w:r>
      <w:r w:rsidR="00A91934">
        <w:t>évolution</w:t>
      </w:r>
      <w:r>
        <w:t xml:space="preserve"> des pratiques liées à l</w:t>
      </w:r>
      <w:r w:rsidR="00EC146C">
        <w:t>’</w:t>
      </w:r>
      <w:r>
        <w:t>évaluation des risques</w:t>
      </w:r>
      <w:r w:rsidR="00A91934">
        <w:t xml:space="preserve"> et à la gestion des risques présentés par les</w:t>
      </w:r>
      <w:r>
        <w:t xml:space="preserve"> </w:t>
      </w:r>
      <w:r>
        <w:rPr>
          <w:kern w:val="22"/>
        </w:rPr>
        <w:t>organismes vivants modifiés</w:t>
      </w:r>
      <w:r w:rsidR="00A91934">
        <w:rPr>
          <w:kern w:val="22"/>
        </w:rPr>
        <w:t>,</w:t>
      </w:r>
      <w:r>
        <w:t xml:space="preserve"> visant à assurer l</w:t>
      </w:r>
      <w:r w:rsidR="00EC146C">
        <w:t>’</w:t>
      </w:r>
      <w:r w:rsidR="006E3C27">
        <w:t>utilisation sa</w:t>
      </w:r>
      <w:r w:rsidR="00A91934">
        <w:t>ns danger</w:t>
      </w:r>
      <w:r>
        <w:t xml:space="preserve"> et responsable de </w:t>
      </w:r>
      <w:r>
        <w:rPr>
          <w:kern w:val="22"/>
        </w:rPr>
        <w:t>ces organismes</w:t>
      </w:r>
      <w:r w:rsidR="00A91934">
        <w:rPr>
          <w:kern w:val="22"/>
        </w:rPr>
        <w:t>,</w:t>
      </w:r>
      <w:r>
        <w:rPr>
          <w:kern w:val="22"/>
        </w:rPr>
        <w:t xml:space="preserve"> </w:t>
      </w:r>
      <w:r>
        <w:t>d</w:t>
      </w:r>
      <w:r w:rsidR="00EC146C">
        <w:t>’</w:t>
      </w:r>
      <w:r w:rsidR="00A91934">
        <w:t>une manière</w:t>
      </w:r>
      <w:r>
        <w:t xml:space="preserve"> qui protège la santé humaine et l</w:t>
      </w:r>
      <w:r w:rsidR="00EC146C">
        <w:t>’</w:t>
      </w:r>
      <w:r>
        <w:t>environnement.</w:t>
      </w:r>
    </w:p>
    <w:p w:rsidR="00B52208" w:rsidRDefault="006D0EFA">
      <w:pPr>
        <w:pStyle w:val="CBDNormalNumber"/>
      </w:pPr>
      <w:r>
        <w:rPr>
          <w:kern w:val="22"/>
        </w:rPr>
        <w:t>L</w:t>
      </w:r>
      <w:r w:rsidR="00EC146C">
        <w:rPr>
          <w:kern w:val="22"/>
        </w:rPr>
        <w:t>’</w:t>
      </w:r>
      <w:r>
        <w:rPr>
          <w:kern w:val="22"/>
        </w:rPr>
        <w:t>atel</w:t>
      </w:r>
      <w:r w:rsidR="00A91934">
        <w:rPr>
          <w:kern w:val="22"/>
        </w:rPr>
        <w:t>ier, qui a rassemblé</w:t>
      </w:r>
      <w:r>
        <w:rPr>
          <w:kern w:val="22"/>
        </w:rPr>
        <w:t xml:space="preserve"> 43 participants, a permis aux experts et aux parties prenantes du monde entier de se réunir et d</w:t>
      </w:r>
      <w:r w:rsidR="0094169F">
        <w:rPr>
          <w:kern w:val="22"/>
        </w:rPr>
        <w:t>e partag</w:t>
      </w:r>
      <w:r w:rsidR="00E77D4C">
        <w:rPr>
          <w:kern w:val="22"/>
        </w:rPr>
        <w:t>er leurs connaissance</w:t>
      </w:r>
      <w:r>
        <w:rPr>
          <w:kern w:val="22"/>
        </w:rPr>
        <w:t>s, leurs expériences et leurs meilleures pratiques. L</w:t>
      </w:r>
      <w:r w:rsidR="00EC146C">
        <w:rPr>
          <w:kern w:val="22"/>
        </w:rPr>
        <w:t>’</w:t>
      </w:r>
      <w:r>
        <w:rPr>
          <w:kern w:val="22"/>
        </w:rPr>
        <w:t>atelier était axé sur l</w:t>
      </w:r>
      <w:r w:rsidR="00EC146C">
        <w:rPr>
          <w:kern w:val="22"/>
        </w:rPr>
        <w:t>’</w:t>
      </w:r>
      <w:r w:rsidR="00A91934">
        <w:rPr>
          <w:kern w:val="22"/>
        </w:rPr>
        <w:t>amélioration de la connaissance</w:t>
      </w:r>
      <w:r>
        <w:rPr>
          <w:kern w:val="22"/>
        </w:rPr>
        <w:t xml:space="preserve"> des cadres </w:t>
      </w:r>
      <w:r w:rsidR="00A91934">
        <w:rPr>
          <w:kern w:val="22"/>
        </w:rPr>
        <w:t>réglementaires, des méthodologie</w:t>
      </w:r>
      <w:r>
        <w:rPr>
          <w:kern w:val="22"/>
        </w:rPr>
        <w:t>s et des processus décisionnels entourant l</w:t>
      </w:r>
      <w:r w:rsidR="00EC146C">
        <w:rPr>
          <w:kern w:val="22"/>
        </w:rPr>
        <w:t>’</w:t>
      </w:r>
      <w:r>
        <w:rPr>
          <w:kern w:val="22"/>
        </w:rPr>
        <w:t>évaluation des risques</w:t>
      </w:r>
      <w:r w:rsidR="0094169F">
        <w:rPr>
          <w:kern w:val="22"/>
        </w:rPr>
        <w:t xml:space="preserve"> présentés par l</w:t>
      </w:r>
      <w:r>
        <w:rPr>
          <w:kern w:val="22"/>
        </w:rPr>
        <w:t>es organismes vivants modifiés, ainsi que sur l</w:t>
      </w:r>
      <w:r w:rsidR="00EC146C">
        <w:rPr>
          <w:kern w:val="22"/>
        </w:rPr>
        <w:t>’</w:t>
      </w:r>
      <w:r w:rsidR="00A91934">
        <w:rPr>
          <w:kern w:val="22"/>
        </w:rPr>
        <w:t>étude</w:t>
      </w:r>
      <w:r>
        <w:rPr>
          <w:kern w:val="22"/>
        </w:rPr>
        <w:t xml:space="preserve"> des </w:t>
      </w:r>
      <w:r w:rsidR="00A91934">
        <w:rPr>
          <w:kern w:val="22"/>
        </w:rPr>
        <w:t>nouveaux défis et de</w:t>
      </w:r>
      <w:r w:rsidR="0094169F">
        <w:rPr>
          <w:kern w:val="22"/>
        </w:rPr>
        <w:t xml:space="preserve"> solutions potentielles</w:t>
      </w:r>
      <w:r w:rsidR="00D76317" w:rsidRPr="0046701D">
        <w:rPr>
          <w:rStyle w:val="FootnoteReference"/>
          <w:kern w:val="22"/>
        </w:rPr>
        <w:footnoteReference w:id="6"/>
      </w:r>
      <w:r w:rsidR="0094169F">
        <w:rPr>
          <w:kern w:val="22"/>
        </w:rPr>
        <w:t>.</w:t>
      </w:r>
    </w:p>
    <w:p w:rsidR="00B52208" w:rsidRDefault="006D0EFA">
      <w:pPr>
        <w:pStyle w:val="CBDNormalNumber"/>
        <w:rPr>
          <w:b/>
          <w:bCs/>
        </w:rPr>
      </w:pPr>
      <w:r>
        <w:rPr>
          <w:kern w:val="22"/>
        </w:rPr>
        <w:t>Le Secrétariat a également collaboré avec l</w:t>
      </w:r>
      <w:r w:rsidR="00EC146C">
        <w:rPr>
          <w:kern w:val="22"/>
        </w:rPr>
        <w:t>’</w:t>
      </w:r>
      <w:r>
        <w:rPr>
          <w:kern w:val="22"/>
        </w:rPr>
        <w:t>Institut fédéral d</w:t>
      </w:r>
      <w:r w:rsidR="00EC146C">
        <w:rPr>
          <w:kern w:val="22"/>
        </w:rPr>
        <w:t>’</w:t>
      </w:r>
      <w:r>
        <w:rPr>
          <w:kern w:val="22"/>
        </w:rPr>
        <w:t>évaluation des risques, l</w:t>
      </w:r>
      <w:r w:rsidR="00EC146C">
        <w:rPr>
          <w:kern w:val="22"/>
        </w:rPr>
        <w:t>’</w:t>
      </w:r>
      <w:r>
        <w:rPr>
          <w:kern w:val="22"/>
        </w:rPr>
        <w:t>Office fédéral de la protection des consommateurs et de</w:t>
      </w:r>
      <w:r w:rsidR="003D5E0B">
        <w:rPr>
          <w:kern w:val="22"/>
        </w:rPr>
        <w:t xml:space="preserve"> la sécurité alimentaire et le M</w:t>
      </w:r>
      <w:r>
        <w:rPr>
          <w:kern w:val="22"/>
        </w:rPr>
        <w:t>inistère fédéral de l</w:t>
      </w:r>
      <w:r w:rsidR="00EC146C">
        <w:rPr>
          <w:kern w:val="22"/>
        </w:rPr>
        <w:t>’</w:t>
      </w:r>
      <w:r>
        <w:rPr>
          <w:kern w:val="22"/>
        </w:rPr>
        <w:t>alimentation et de l</w:t>
      </w:r>
      <w:r w:rsidR="00EC146C">
        <w:rPr>
          <w:kern w:val="22"/>
        </w:rPr>
        <w:t>’</w:t>
      </w:r>
      <w:r>
        <w:rPr>
          <w:kern w:val="22"/>
        </w:rPr>
        <w:t>agriculture d</w:t>
      </w:r>
      <w:r w:rsidR="00EC146C">
        <w:rPr>
          <w:kern w:val="22"/>
        </w:rPr>
        <w:t>’</w:t>
      </w:r>
      <w:r>
        <w:rPr>
          <w:kern w:val="22"/>
        </w:rPr>
        <w:t>Allemagne, l</w:t>
      </w:r>
      <w:r w:rsidR="00EC146C">
        <w:rPr>
          <w:kern w:val="22"/>
        </w:rPr>
        <w:t>’</w:t>
      </w:r>
      <w:r>
        <w:rPr>
          <w:kern w:val="22"/>
        </w:rPr>
        <w:t xml:space="preserve">Institut Julius Kühn et le Centre </w:t>
      </w:r>
      <w:r w:rsidR="00F5553E">
        <w:rPr>
          <w:kern w:val="22"/>
        </w:rPr>
        <w:t xml:space="preserve">commun </w:t>
      </w:r>
      <w:r>
        <w:rPr>
          <w:kern w:val="22"/>
        </w:rPr>
        <w:t>de recherche de la Commission européenne</w:t>
      </w:r>
      <w:r w:rsidR="003D5E0B">
        <w:rPr>
          <w:kern w:val="22"/>
        </w:rPr>
        <w:t>, afin d’</w:t>
      </w:r>
      <w:r>
        <w:rPr>
          <w:kern w:val="22"/>
        </w:rPr>
        <w:t>organiser la Conférence internationale sur l</w:t>
      </w:r>
      <w:r w:rsidR="00EC146C">
        <w:rPr>
          <w:kern w:val="22"/>
        </w:rPr>
        <w:t>’</w:t>
      </w:r>
      <w:r>
        <w:rPr>
          <w:kern w:val="22"/>
        </w:rPr>
        <w:t xml:space="preserve">analyse des OGM et les nouvelles techniques génomiques à Berlin, du </w:t>
      </w:r>
      <w:r w:rsidR="006C728F">
        <w:rPr>
          <w:kern w:val="22"/>
        </w:rPr>
        <w:t xml:space="preserve">14 au 16 mars 2023. Au total, </w:t>
      </w:r>
      <w:r w:rsidR="006C728F" w:rsidRPr="00401DA4">
        <w:t>463</w:t>
      </w:r>
      <w:r w:rsidR="00401DA4">
        <w:t> </w:t>
      </w:r>
      <w:r w:rsidR="00401DA4" w:rsidRPr="00401DA4">
        <w:t>pa</w:t>
      </w:r>
      <w:r w:rsidRPr="00401DA4">
        <w:t>rticipants</w:t>
      </w:r>
      <w:r>
        <w:rPr>
          <w:kern w:val="22"/>
        </w:rPr>
        <w:t xml:space="preserve"> </w:t>
      </w:r>
      <w:r w:rsidR="0094169F">
        <w:rPr>
          <w:kern w:val="22"/>
        </w:rPr>
        <w:t xml:space="preserve">venant </w:t>
      </w:r>
      <w:r w:rsidR="006C728F">
        <w:rPr>
          <w:kern w:val="22"/>
        </w:rPr>
        <w:t>de 55 pays ont assisté à la conférence,</w:t>
      </w:r>
      <w:r>
        <w:rPr>
          <w:kern w:val="22"/>
        </w:rPr>
        <w:t xml:space="preserve"> </w:t>
      </w:r>
      <w:r w:rsidR="006C728F">
        <w:rPr>
          <w:kern w:val="22"/>
        </w:rPr>
        <w:t xml:space="preserve">dont 270 </w:t>
      </w:r>
      <w:r w:rsidR="00C52457">
        <w:rPr>
          <w:kern w:val="22"/>
        </w:rPr>
        <w:t>participants</w:t>
      </w:r>
      <w:r w:rsidR="00336905">
        <w:rPr>
          <w:kern w:val="22"/>
        </w:rPr>
        <w:t xml:space="preserve"> </w:t>
      </w:r>
      <w:r w:rsidR="00401DA4">
        <w:rPr>
          <w:kern w:val="22"/>
        </w:rPr>
        <w:t xml:space="preserve">ayant assisté </w:t>
      </w:r>
      <w:r w:rsidR="00C52457">
        <w:rPr>
          <w:kern w:val="22"/>
        </w:rPr>
        <w:t>en ligne</w:t>
      </w:r>
      <w:r w:rsidR="00336905">
        <w:rPr>
          <w:kern w:val="22"/>
        </w:rPr>
        <w:t xml:space="preserve"> à la conférence</w:t>
      </w:r>
      <w:r w:rsidR="006C728F">
        <w:rPr>
          <w:kern w:val="22"/>
        </w:rPr>
        <w:t>. Sur ce total, le Gouvernement alle</w:t>
      </w:r>
      <w:r w:rsidR="00401DA4">
        <w:rPr>
          <w:kern w:val="22"/>
        </w:rPr>
        <w:t xml:space="preserve">mand a fourni un appui financier </w:t>
      </w:r>
      <w:r w:rsidR="00C52457">
        <w:rPr>
          <w:kern w:val="22"/>
        </w:rPr>
        <w:t>généreux ayant</w:t>
      </w:r>
      <w:r w:rsidR="00401DA4">
        <w:rPr>
          <w:kern w:val="22"/>
        </w:rPr>
        <w:t xml:space="preserve"> permis</w:t>
      </w:r>
      <w:r w:rsidR="006C728F">
        <w:rPr>
          <w:kern w:val="22"/>
        </w:rPr>
        <w:t xml:space="preserve"> à 17</w:t>
      </w:r>
      <w:r w:rsidR="00401DA4">
        <w:rPr>
          <w:kern w:val="22"/>
        </w:rPr>
        <w:t> </w:t>
      </w:r>
      <w:r w:rsidR="006C728F">
        <w:rPr>
          <w:kern w:val="22"/>
        </w:rPr>
        <w:t xml:space="preserve">participants </w:t>
      </w:r>
      <w:r w:rsidR="00F1797C">
        <w:rPr>
          <w:kern w:val="22"/>
        </w:rPr>
        <w:t xml:space="preserve">venant de 17 Parties </w:t>
      </w:r>
      <w:r w:rsidR="006C728F">
        <w:rPr>
          <w:kern w:val="22"/>
        </w:rPr>
        <w:t>d’assister en</w:t>
      </w:r>
      <w:r w:rsidR="00C52457">
        <w:rPr>
          <w:kern w:val="22"/>
        </w:rPr>
        <w:t xml:space="preserve"> personne à la conférence</w:t>
      </w:r>
      <w:r w:rsidR="00F1797C">
        <w:rPr>
          <w:kern w:val="22"/>
        </w:rPr>
        <w:t>,</w:t>
      </w:r>
      <w:r w:rsidR="006C728F">
        <w:rPr>
          <w:kern w:val="22"/>
        </w:rPr>
        <w:t xml:space="preserve"> et à</w:t>
      </w:r>
      <w:r>
        <w:rPr>
          <w:kern w:val="22"/>
        </w:rPr>
        <w:t xml:space="preserve"> 3 participants </w:t>
      </w:r>
      <w:r w:rsidR="0094169F">
        <w:rPr>
          <w:kern w:val="22"/>
        </w:rPr>
        <w:t>venant de 3 </w:t>
      </w:r>
      <w:r w:rsidR="006C728F">
        <w:rPr>
          <w:kern w:val="22"/>
        </w:rPr>
        <w:t>Parties</w:t>
      </w:r>
      <w:r>
        <w:rPr>
          <w:kern w:val="22"/>
        </w:rPr>
        <w:t xml:space="preserve"> </w:t>
      </w:r>
      <w:r w:rsidR="006C728F">
        <w:rPr>
          <w:kern w:val="22"/>
        </w:rPr>
        <w:t>d’y assister en ligne</w:t>
      </w:r>
      <w:r w:rsidR="003D5E0B">
        <w:rPr>
          <w:kern w:val="22"/>
        </w:rPr>
        <w:t>. Cet évènement</w:t>
      </w:r>
      <w:r>
        <w:rPr>
          <w:kern w:val="22"/>
        </w:rPr>
        <w:t xml:space="preserve"> </w:t>
      </w:r>
      <w:r>
        <w:t xml:space="preserve">a permis aux experts de </w:t>
      </w:r>
      <w:r w:rsidR="003D5E0B">
        <w:t>se familiariser avec les nouveaux</w:t>
      </w:r>
      <w:r>
        <w:t xml:space="preserve"> développements dans le domaine de la détection et de l</w:t>
      </w:r>
      <w:r w:rsidR="00EC146C">
        <w:t>’</w:t>
      </w:r>
      <w:r>
        <w:t>identification des organismes vivants modifiés,</w:t>
      </w:r>
      <w:r w:rsidR="003D5E0B">
        <w:t xml:space="preserve"> a facilité d</w:t>
      </w:r>
      <w:r>
        <w:t>es discussions techniques et scientifiques sur ces développements</w:t>
      </w:r>
      <w:r w:rsidR="003D5E0B">
        <w:t>,</w:t>
      </w:r>
      <w:r>
        <w:t xml:space="preserve"> et a fourni une oc</w:t>
      </w:r>
      <w:r w:rsidR="003D5E0B">
        <w:t>casion de mise en réseau pour une</w:t>
      </w:r>
      <w:r>
        <w:t xml:space="preserve"> collaboration internationale.</w:t>
      </w:r>
    </w:p>
    <w:p w:rsidR="00B52208" w:rsidRDefault="006D0EFA">
      <w:pPr>
        <w:pStyle w:val="CBDNormalNumber"/>
        <w:rPr>
          <w:b/>
          <w:bCs/>
        </w:rPr>
      </w:pPr>
      <w:r>
        <w:t>Le Secrétariat, l</w:t>
      </w:r>
      <w:r w:rsidR="00EC146C">
        <w:t>’</w:t>
      </w:r>
      <w:r>
        <w:t>Organisation des Nations Unies pour l</w:t>
      </w:r>
      <w:r w:rsidR="00EC146C">
        <w:t>’</w:t>
      </w:r>
      <w:r>
        <w:t>alimentation et l</w:t>
      </w:r>
      <w:r w:rsidR="00EC146C">
        <w:t>’</w:t>
      </w:r>
      <w:r>
        <w:t>agriculture (FAO) et l</w:t>
      </w:r>
      <w:r w:rsidR="00EC146C">
        <w:t>’</w:t>
      </w:r>
      <w:r>
        <w:t>Organisation de coopération et de développement économi</w:t>
      </w:r>
      <w:r w:rsidR="00B818E4">
        <w:t xml:space="preserve">ques ont poursuivi leur collaboration afin </w:t>
      </w:r>
      <w:r>
        <w:t>d</w:t>
      </w:r>
      <w:r w:rsidR="00EC146C">
        <w:t>’</w:t>
      </w:r>
      <w:r>
        <w:t>harmoniser davantage, le cas échéant, les informations communiquées par l</w:t>
      </w:r>
      <w:r w:rsidR="00F5553E">
        <w:t>’intermédiaire</w:t>
      </w:r>
      <w:r>
        <w:t xml:space="preserve"> du Centre d</w:t>
      </w:r>
      <w:r w:rsidR="00EC146C">
        <w:t>’</w:t>
      </w:r>
      <w:r>
        <w:t>échange pour la prévention des risques biotechnologiques, de la Plateforme FAO sur les aliments génétiquement modifiés</w:t>
      </w:r>
      <w:r w:rsidR="00F5553E">
        <w:t>,</w:t>
      </w:r>
      <w:r>
        <w:t xml:space="preserve"> et de la base de données BioTrack de l</w:t>
      </w:r>
      <w:r w:rsidR="00EC146C">
        <w:t>’</w:t>
      </w:r>
      <w:r>
        <w:t>Organisation de coopération et de développement économiques. En outre, le Secrétariat a assuré la liaison avec l</w:t>
      </w:r>
      <w:r w:rsidR="00EC146C">
        <w:t>’</w:t>
      </w:r>
      <w:r>
        <w:t>Office fédéral de la protection des consommateurs et de la sécurité alimentaire et Wageningen Food Safety Research</w:t>
      </w:r>
      <w:r w:rsidR="00BD60E6">
        <w:t>,</w:t>
      </w:r>
      <w:r>
        <w:t xml:space="preserve"> afin de renforcer les liens entre l</w:t>
      </w:r>
      <w:r w:rsidR="00EC146C">
        <w:t>’</w:t>
      </w:r>
      <w:r>
        <w:t>Initiative européenne sur les OGM pour un système de base de données unifié et le Centre d</w:t>
      </w:r>
      <w:r w:rsidR="00EC146C">
        <w:t>’</w:t>
      </w:r>
      <w:r>
        <w:t>échange pour la prévention des risques biotechnologiques.</w:t>
      </w:r>
    </w:p>
    <w:p w:rsidR="00B52208" w:rsidRDefault="006D0EFA">
      <w:pPr>
        <w:pStyle w:val="CBDNormalNumber"/>
        <w:rPr>
          <w:b/>
          <w:bCs/>
        </w:rPr>
      </w:pPr>
      <w:r>
        <w:rPr>
          <w:kern w:val="22"/>
        </w:rPr>
        <w:lastRenderedPageBreak/>
        <w:t xml:space="preserve">Le </w:t>
      </w:r>
      <w:r>
        <w:t xml:space="preserve">Secrétariat </w:t>
      </w:r>
      <w:r>
        <w:rPr>
          <w:kern w:val="22"/>
        </w:rPr>
        <w:t>a</w:t>
      </w:r>
      <w:r>
        <w:t xml:space="preserve"> également</w:t>
      </w:r>
      <w:r>
        <w:rPr>
          <w:kern w:val="22"/>
        </w:rPr>
        <w:t xml:space="preserve"> poursuivi</w:t>
      </w:r>
      <w:r>
        <w:t xml:space="preserve"> sa coopération avec le Centre international de génie génétique et de biotechnologie</w:t>
      </w:r>
      <w:r w:rsidR="00F5553E">
        <w:rPr>
          <w:noProof/>
        </w:rPr>
        <w:t>. En application de</w:t>
      </w:r>
      <w:r>
        <w:rPr>
          <w:noProof/>
        </w:rPr>
        <w:t xml:space="preserve"> la décision </w:t>
      </w:r>
      <w:hyperlink r:id="rId14" w:history="1">
        <w:r>
          <w:rPr>
            <w:rStyle w:val="Hyperlink"/>
          </w:rPr>
          <w:t>CP</w:t>
        </w:r>
      </w:hyperlink>
      <w:hyperlink r:id="rId15" w:history="1">
        <w:r>
          <w:rPr>
            <w:rStyle w:val="Hyperlink"/>
            <w:noProof/>
          </w:rPr>
          <w:t>-10/10</w:t>
        </w:r>
      </w:hyperlink>
      <w:r>
        <w:rPr>
          <w:noProof/>
        </w:rPr>
        <w:t>, le Secrétariat a commandé l</w:t>
      </w:r>
      <w:r w:rsidR="00EC146C">
        <w:rPr>
          <w:noProof/>
        </w:rPr>
        <w:t>’</w:t>
      </w:r>
      <w:r>
        <w:rPr>
          <w:noProof/>
        </w:rPr>
        <w:t>élaboration d</w:t>
      </w:r>
      <w:r w:rsidR="00EC146C">
        <w:rPr>
          <w:noProof/>
        </w:rPr>
        <w:t>’</w:t>
      </w:r>
      <w:r w:rsidR="00F475AE">
        <w:rPr>
          <w:noProof/>
        </w:rPr>
        <w:t>un plan</w:t>
      </w:r>
      <w:r>
        <w:rPr>
          <w:noProof/>
        </w:rPr>
        <w:t xml:space="preserve"> détaillé de</w:t>
      </w:r>
      <w:r w:rsidR="00F5553E">
        <w:rPr>
          <w:noProof/>
        </w:rPr>
        <w:t>s</w:t>
      </w:r>
      <w:r>
        <w:rPr>
          <w:noProof/>
        </w:rPr>
        <w:t xml:space="preserve"> documents d</w:t>
      </w:r>
      <w:r w:rsidR="00EC146C">
        <w:rPr>
          <w:noProof/>
        </w:rPr>
        <w:t>’</w:t>
      </w:r>
      <w:r>
        <w:rPr>
          <w:noProof/>
        </w:rPr>
        <w:t>orientation supplémentaires sur l</w:t>
      </w:r>
      <w:r w:rsidR="00EC146C">
        <w:rPr>
          <w:noProof/>
        </w:rPr>
        <w:t>’</w:t>
      </w:r>
      <w:r w:rsidR="00F5553E">
        <w:rPr>
          <w:noProof/>
        </w:rPr>
        <w:t>évaluation des risques présentés par l</w:t>
      </w:r>
      <w:r>
        <w:rPr>
          <w:noProof/>
        </w:rPr>
        <w:t>es organismes vivants m</w:t>
      </w:r>
      <w:r w:rsidR="00BD60E6">
        <w:rPr>
          <w:noProof/>
        </w:rPr>
        <w:t>odifiés issus du forçage génétique</w:t>
      </w:r>
      <w:r>
        <w:rPr>
          <w:noProof/>
        </w:rPr>
        <w:t>, qui a été examiné par le Forum en ligne à composition non limitée sur l</w:t>
      </w:r>
      <w:r w:rsidR="00EC146C">
        <w:rPr>
          <w:noProof/>
        </w:rPr>
        <w:t>’</w:t>
      </w:r>
      <w:r>
        <w:rPr>
          <w:noProof/>
        </w:rPr>
        <w:t>évaluation des risques</w:t>
      </w:r>
      <w:r w:rsidR="00F5553E">
        <w:rPr>
          <w:noProof/>
        </w:rPr>
        <w:t>,</w:t>
      </w:r>
      <w:r>
        <w:rPr>
          <w:noProof/>
        </w:rPr>
        <w:t xml:space="preserve"> et a servi de base à l</w:t>
      </w:r>
      <w:r w:rsidR="00EC146C">
        <w:rPr>
          <w:noProof/>
        </w:rPr>
        <w:t>’</w:t>
      </w:r>
      <w:r>
        <w:rPr>
          <w:noProof/>
        </w:rPr>
        <w:t>élaboration des documents d</w:t>
      </w:r>
      <w:r w:rsidR="00EC146C">
        <w:rPr>
          <w:noProof/>
        </w:rPr>
        <w:t>’</w:t>
      </w:r>
      <w:r>
        <w:rPr>
          <w:noProof/>
        </w:rPr>
        <w:t xml:space="preserve">orientation </w:t>
      </w:r>
      <w:r w:rsidR="00F5553E">
        <w:rPr>
          <w:noProof/>
        </w:rPr>
        <w:t>facultatifs supplémentaires</w:t>
      </w:r>
      <w:r>
        <w:rPr>
          <w:noProof/>
        </w:rPr>
        <w:t xml:space="preserve"> par le Groupe spécial d</w:t>
      </w:r>
      <w:r w:rsidR="00EC146C">
        <w:rPr>
          <w:noProof/>
        </w:rPr>
        <w:t>’</w:t>
      </w:r>
      <w:r>
        <w:rPr>
          <w:noProof/>
        </w:rPr>
        <w:t>experts techniques sur l</w:t>
      </w:r>
      <w:r w:rsidR="00EC146C">
        <w:rPr>
          <w:noProof/>
        </w:rPr>
        <w:t>’</w:t>
      </w:r>
      <w:r>
        <w:rPr>
          <w:noProof/>
        </w:rPr>
        <w:t>évaluation des risques.</w:t>
      </w:r>
    </w:p>
    <w:p w:rsidR="00B52208" w:rsidRDefault="006D0EFA">
      <w:pPr>
        <w:pStyle w:val="CBDNormalNumber"/>
        <w:rPr>
          <w:b/>
          <w:bCs/>
        </w:rPr>
      </w:pPr>
      <w:r>
        <w:rPr>
          <w:noProof/>
        </w:rPr>
        <w:t xml:space="preserve">Le Secrétariat </w:t>
      </w:r>
      <w:r>
        <w:rPr>
          <w:kern w:val="22"/>
        </w:rPr>
        <w:t>a</w:t>
      </w:r>
      <w:r>
        <w:rPr>
          <w:noProof/>
        </w:rPr>
        <w:t xml:space="preserve"> en outre</w:t>
      </w:r>
      <w:r>
        <w:rPr>
          <w:kern w:val="22"/>
        </w:rPr>
        <w:t xml:space="preserve"> poursuivi</w:t>
      </w:r>
      <w:r>
        <w:rPr>
          <w:noProof/>
        </w:rPr>
        <w:t xml:space="preserve"> sa collaboration avec l</w:t>
      </w:r>
      <w:r w:rsidR="00EC146C">
        <w:rPr>
          <w:noProof/>
        </w:rPr>
        <w:t>’</w:t>
      </w:r>
      <w:r w:rsidR="00F475AE">
        <w:rPr>
          <w:noProof/>
        </w:rPr>
        <w:t>Organisation mondiale de la s</w:t>
      </w:r>
      <w:r>
        <w:rPr>
          <w:noProof/>
        </w:rPr>
        <w:t>anté dans le cadre du Groupe de travail des Nations Unies sur les risques biologiques. Le mandat du Groupe a été prorogé par le Secrétaire général de l</w:t>
      </w:r>
      <w:r w:rsidR="00EC146C">
        <w:rPr>
          <w:noProof/>
        </w:rPr>
        <w:t>’</w:t>
      </w:r>
      <w:r>
        <w:rPr>
          <w:noProof/>
        </w:rPr>
        <w:t>Organisation des Nations Unies</w:t>
      </w:r>
      <w:r w:rsidR="00F475AE">
        <w:rPr>
          <w:noProof/>
        </w:rPr>
        <w:t>,</w:t>
      </w:r>
      <w:r>
        <w:rPr>
          <w:noProof/>
        </w:rPr>
        <w:t xml:space="preserve"> et le Secrétariat a participé aux réunions de coordination du Groupe.</w:t>
      </w:r>
      <w:r>
        <w:t xml:space="preserve"> </w:t>
      </w:r>
      <w:r>
        <w:rPr>
          <w:noProof/>
        </w:rPr>
        <w:t>Le Groupe a continué de travailler conformément à son mandat, no</w:t>
      </w:r>
      <w:r w:rsidR="00F475AE">
        <w:rPr>
          <w:noProof/>
        </w:rPr>
        <w:t>tamment en examinant la question</w:t>
      </w:r>
      <w:r>
        <w:rPr>
          <w:noProof/>
        </w:rPr>
        <w:t xml:space="preserve"> d</w:t>
      </w:r>
      <w:r w:rsidR="00EC146C">
        <w:rPr>
          <w:noProof/>
        </w:rPr>
        <w:t>’</w:t>
      </w:r>
      <w:r>
        <w:rPr>
          <w:noProof/>
        </w:rPr>
        <w:t>un centre d</w:t>
      </w:r>
      <w:r w:rsidR="00EC146C">
        <w:rPr>
          <w:noProof/>
        </w:rPr>
        <w:t>’</w:t>
      </w:r>
      <w:r>
        <w:rPr>
          <w:noProof/>
        </w:rPr>
        <w:t>échange d</w:t>
      </w:r>
      <w:r w:rsidR="00EC146C">
        <w:rPr>
          <w:noProof/>
        </w:rPr>
        <w:t>’</w:t>
      </w:r>
      <w:r>
        <w:rPr>
          <w:noProof/>
        </w:rPr>
        <w:t>informations et de connaissances numériques, d</w:t>
      </w:r>
      <w:r w:rsidR="00EC146C">
        <w:rPr>
          <w:noProof/>
        </w:rPr>
        <w:t>’</w:t>
      </w:r>
      <w:r>
        <w:rPr>
          <w:noProof/>
        </w:rPr>
        <w:t>un programme d</w:t>
      </w:r>
      <w:r w:rsidR="00EC146C">
        <w:rPr>
          <w:noProof/>
        </w:rPr>
        <w:t>’</w:t>
      </w:r>
      <w:r>
        <w:rPr>
          <w:noProof/>
        </w:rPr>
        <w:t>échange de personnel</w:t>
      </w:r>
      <w:r w:rsidR="00F475AE">
        <w:rPr>
          <w:noProof/>
        </w:rPr>
        <w:t>,</w:t>
      </w:r>
      <w:r>
        <w:rPr>
          <w:noProof/>
        </w:rPr>
        <w:t xml:space="preserve"> et de l</w:t>
      </w:r>
      <w:r w:rsidR="00EC146C">
        <w:rPr>
          <w:noProof/>
        </w:rPr>
        <w:t>’</w:t>
      </w:r>
      <w:r>
        <w:rPr>
          <w:noProof/>
        </w:rPr>
        <w:t>élaboration de procédures op</w:t>
      </w:r>
      <w:r w:rsidR="00F475AE">
        <w:rPr>
          <w:noProof/>
        </w:rPr>
        <w:t>érationnelles normalisées pour d</w:t>
      </w:r>
      <w:r>
        <w:rPr>
          <w:noProof/>
        </w:rPr>
        <w:t>es mesures d</w:t>
      </w:r>
      <w:r w:rsidR="00EC146C">
        <w:rPr>
          <w:noProof/>
        </w:rPr>
        <w:t>’</w:t>
      </w:r>
      <w:r>
        <w:rPr>
          <w:noProof/>
        </w:rPr>
        <w:t>intervention à l</w:t>
      </w:r>
      <w:r w:rsidR="00EC146C">
        <w:rPr>
          <w:noProof/>
        </w:rPr>
        <w:t>’</w:t>
      </w:r>
      <w:r>
        <w:rPr>
          <w:noProof/>
        </w:rPr>
        <w:t>échelle du système</w:t>
      </w:r>
      <w:r w:rsidR="007832B3">
        <w:rPr>
          <w:noProof/>
        </w:rPr>
        <w:t xml:space="preserve"> de l’ONU</w:t>
      </w:r>
      <w:r>
        <w:rPr>
          <w:noProof/>
        </w:rPr>
        <w:t xml:space="preserve"> en cas d</w:t>
      </w:r>
      <w:r w:rsidR="00EC146C">
        <w:rPr>
          <w:noProof/>
        </w:rPr>
        <w:t>’</w:t>
      </w:r>
      <w:r>
        <w:rPr>
          <w:noProof/>
        </w:rPr>
        <w:t>événement biologique délibéré.</w:t>
      </w:r>
    </w:p>
    <w:p w:rsidR="00B52208" w:rsidRDefault="006D0EFA">
      <w:pPr>
        <w:pStyle w:val="CBDH1"/>
        <w:rPr>
          <w:bCs/>
        </w:rPr>
      </w:pPr>
      <w:r w:rsidRPr="00642285">
        <w:t>III.</w:t>
      </w:r>
      <w:r>
        <w:rPr>
          <w:b w:val="0"/>
        </w:rPr>
        <w:tab/>
      </w:r>
      <w:r>
        <w:t>Conclusions</w:t>
      </w:r>
    </w:p>
    <w:p w:rsidR="00B52208" w:rsidRDefault="007832B3">
      <w:pPr>
        <w:pStyle w:val="CBDNormalNumber"/>
      </w:pPr>
      <w:r>
        <w:t>La coopération avec d</w:t>
      </w:r>
      <w:r w:rsidR="006D0EFA">
        <w:t xml:space="preserve">es organisations </w:t>
      </w:r>
      <w:r w:rsidR="006D0EFA">
        <w:rPr>
          <w:kern w:val="22"/>
        </w:rPr>
        <w:t>internationales</w:t>
      </w:r>
      <w:r>
        <w:t>, des organisme</w:t>
      </w:r>
      <w:r w:rsidR="006D0EFA">
        <w:t>s créés en vertu d</w:t>
      </w:r>
      <w:r w:rsidR="00EC146C">
        <w:t>’</w:t>
      </w:r>
      <w:r>
        <w:t>autres conventions et d</w:t>
      </w:r>
      <w:r w:rsidR="006D0EFA">
        <w:t>es initiatives</w:t>
      </w:r>
      <w:r w:rsidR="00F475AE">
        <w:t>, y compris d</w:t>
      </w:r>
      <w:r w:rsidR="006D0EFA">
        <w:t>es entités compétentes aux niveaux national et régional, continue d</w:t>
      </w:r>
      <w:r w:rsidR="00EC146C">
        <w:t>’</w:t>
      </w:r>
      <w:r>
        <w:t>être un</w:t>
      </w:r>
      <w:r w:rsidR="00F475AE">
        <w:t xml:space="preserve"> élément fondamental</w:t>
      </w:r>
      <w:r>
        <w:t xml:space="preserve"> de l’application</w:t>
      </w:r>
      <w:r w:rsidR="006D0EFA">
        <w:t xml:space="preserve"> du Protocole de </w:t>
      </w:r>
      <w:r w:rsidR="0094169F">
        <w:t>Cartagena</w:t>
      </w:r>
      <w:r w:rsidR="006D0EFA">
        <w:t xml:space="preserve"> et des travaux du Secrétariat</w:t>
      </w:r>
      <w:r>
        <w:t>. La poursuite d’une</w:t>
      </w:r>
      <w:r w:rsidR="006D0EFA">
        <w:t xml:space="preserve"> participation du Secrétariat aux activités de coopération dépendra des ressources disponibles.</w:t>
      </w:r>
    </w:p>
    <w:p w:rsidR="00B52208" w:rsidRDefault="006D0EFA">
      <w:pPr>
        <w:pStyle w:val="CBDNormalNumber"/>
      </w:pPr>
      <w:r>
        <w:t xml:space="preserve">La Conférence </w:t>
      </w:r>
      <w:r>
        <w:rPr>
          <w:kern w:val="22"/>
        </w:rPr>
        <w:t>des</w:t>
      </w:r>
      <w:r>
        <w:t xml:space="preserve"> Parties </w:t>
      </w:r>
      <w:r w:rsidR="00EC146C">
        <w:t>siégeant en tant que</w:t>
      </w:r>
      <w:r>
        <w:t xml:space="preserve"> réunion des Parties au Protocole de </w:t>
      </w:r>
      <w:r w:rsidR="0094169F">
        <w:t>Cartagena</w:t>
      </w:r>
      <w:r>
        <w:t xml:space="preserve"> est invitée à prendre note du présent rapport.</w:t>
      </w:r>
    </w:p>
    <w:p w:rsidR="00B52208" w:rsidRDefault="006D0EFA">
      <w:pPr>
        <w:pStyle w:val="Para1"/>
        <w:ind w:left="0"/>
        <w:jc w:val="center"/>
      </w:pPr>
      <w:r>
        <w:t>_________</w:t>
      </w:r>
    </w:p>
    <w:p w:rsidR="002B559C" w:rsidRPr="00A43334" w:rsidRDefault="002B559C" w:rsidP="00294414">
      <w:pPr>
        <w:pStyle w:val="Para1"/>
        <w:ind w:left="0"/>
      </w:pPr>
    </w:p>
    <w:sectPr w:rsidR="002B559C" w:rsidRPr="00A43334" w:rsidSect="009C6F06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3B2B" w:rsidRDefault="007D3B2B">
      <w:r>
        <w:separator/>
      </w:r>
    </w:p>
  </w:endnote>
  <w:endnote w:type="continuationSeparator" w:id="0">
    <w:p w:rsidR="007D3B2B" w:rsidRDefault="007D3B2B">
      <w:r>
        <w:continuationSeparator/>
      </w:r>
    </w:p>
  </w:endnote>
  <w:endnote w:type="continuationNotice" w:id="1">
    <w:p w:rsidR="007D3B2B" w:rsidRDefault="007D3B2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2208" w:rsidRDefault="006D0EFA">
    <w:pPr>
      <w:pStyle w:val="Footer"/>
    </w:pPr>
    <w:r>
      <w:fldChar w:fldCharType="begin"/>
    </w:r>
    <w:r>
      <w:instrText xml:space="preserve"> PAGE </w:instrText>
    </w:r>
    <w:r>
      <w:fldChar w:fldCharType="separate"/>
    </w:r>
    <w:r w:rsidR="00E77D4C">
      <w:rPr>
        <w:noProof/>
      </w:rPr>
      <w:t>2</w:t>
    </w:r>
    <w:r>
      <w:fldChar w:fldCharType="end"/>
    </w:r>
    <w:r>
      <w:t>/</w:t>
    </w:r>
    <w:r>
      <w:rPr>
        <w:noProof/>
      </w:rPr>
      <w:fldChar w:fldCharType="begin"/>
    </w:r>
    <w:r>
      <w:rPr>
        <w:noProof/>
      </w:rPr>
      <w:instrText>NUMPAGES \* MERGEFORMAT</w:instrText>
    </w:r>
    <w:r>
      <w:rPr>
        <w:noProof/>
      </w:rPr>
      <w:fldChar w:fldCharType="separate"/>
    </w:r>
    <w:r w:rsidR="00E77D4C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2208" w:rsidRDefault="006D0EFA">
    <w:pPr>
      <w:pStyle w:val="Footer"/>
      <w:jc w:val="right"/>
    </w:pPr>
    <w:r>
      <w:fldChar w:fldCharType="begin"/>
    </w:r>
    <w:r>
      <w:instrText xml:space="preserve"> PAGE \* MERGEFORMAT </w:instrText>
    </w:r>
    <w:r>
      <w:fldChar w:fldCharType="separate"/>
    </w:r>
    <w:r w:rsidR="00E77D4C">
      <w:rPr>
        <w:noProof/>
      </w:rPr>
      <w:t>3</w:t>
    </w:r>
    <w:r>
      <w:fldChar w:fldCharType="end"/>
    </w:r>
    <w:r>
      <w:t>/</w:t>
    </w:r>
    <w:r>
      <w:rPr>
        <w:noProof/>
      </w:rPr>
      <w:fldChar w:fldCharType="begin"/>
    </w:r>
    <w:r>
      <w:rPr>
        <w:noProof/>
      </w:rPr>
      <w:instrText>NUMPAGES \* MERGEFORMAT</w:instrText>
    </w:r>
    <w:r>
      <w:rPr>
        <w:noProof/>
      </w:rPr>
      <w:fldChar w:fldCharType="separate"/>
    </w:r>
    <w:r w:rsidR="00E77D4C">
      <w:rPr>
        <w:noProof/>
      </w:rPr>
      <w:t>4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3B2B" w:rsidRDefault="007D3B2B">
      <w:r>
        <w:separator/>
      </w:r>
    </w:p>
  </w:footnote>
  <w:footnote w:type="continuationSeparator" w:id="0">
    <w:p w:rsidR="007D3B2B" w:rsidRDefault="007D3B2B">
      <w:r>
        <w:continuationSeparator/>
      </w:r>
    </w:p>
  </w:footnote>
  <w:footnote w:type="continuationNotice" w:id="1">
    <w:p w:rsidR="007D3B2B" w:rsidRDefault="007D3B2B"/>
  </w:footnote>
  <w:footnote w:id="2">
    <w:p w:rsidR="00B52208" w:rsidRPr="00F85723" w:rsidRDefault="006D0EFA">
      <w:pPr>
        <w:pStyle w:val="FootnoteText"/>
      </w:pPr>
      <w:r>
        <w:rPr>
          <w:rStyle w:val="FootnoteReference"/>
        </w:rPr>
        <w:t xml:space="preserve">* </w:t>
      </w:r>
      <w:r>
        <w:t>CBD/CP/MOP/11/1.</w:t>
      </w:r>
    </w:p>
  </w:footnote>
  <w:footnote w:id="3">
    <w:p w:rsidR="00B52208" w:rsidRPr="00F85723" w:rsidRDefault="006D0EFA">
      <w:pPr>
        <w:pStyle w:val="FootnoteText"/>
      </w:pPr>
      <w:r w:rsidRPr="0046701D">
        <w:rPr>
          <w:rStyle w:val="FootnoteReference"/>
        </w:rPr>
        <w:footnoteRef/>
      </w:r>
      <w:r w:rsidR="00124D35">
        <w:t xml:space="preserve"> Annexe à la d</w:t>
      </w:r>
      <w:r>
        <w:t xml:space="preserve">écision </w:t>
      </w:r>
      <w:hyperlink r:id="rId1" w:history="1">
        <w:r>
          <w:rPr>
            <w:rStyle w:val="Hyperlink"/>
            <w:u w:val="none"/>
          </w:rPr>
          <w:t>CP-10/3</w:t>
        </w:r>
      </w:hyperlink>
      <w:r>
        <w:t>.</w:t>
      </w:r>
    </w:p>
  </w:footnote>
  <w:footnote w:id="4">
    <w:p w:rsidR="0094169F" w:rsidRDefault="0094169F" w:rsidP="0094169F">
      <w:pPr>
        <w:pStyle w:val="FootnoteText"/>
      </w:pPr>
      <w:r w:rsidRPr="0046701D">
        <w:rPr>
          <w:rStyle w:val="FootnoteReference"/>
        </w:rPr>
        <w:footnoteRef/>
      </w:r>
      <w:r>
        <w:t xml:space="preserve"> ENV/CBC/MONO(2023)30. Disponible à l'adresse </w:t>
      </w:r>
      <w:hyperlink r:id="rId2" w:history="1">
        <w:r>
          <w:rPr>
            <w:rStyle w:val="Hyperlink"/>
          </w:rPr>
          <w:t>https://one.oecd.org/document/ENV/CBC/MONO(2023)30/en/pdf</w:t>
        </w:r>
      </w:hyperlink>
      <w:r>
        <w:t xml:space="preserve">. </w:t>
      </w:r>
    </w:p>
  </w:footnote>
  <w:footnote w:id="5">
    <w:p w:rsidR="0094169F" w:rsidRPr="00F85723" w:rsidRDefault="0094169F" w:rsidP="0094169F">
      <w:pPr>
        <w:pStyle w:val="FootnoteText"/>
        <w:rPr>
          <w:rFonts w:asciiTheme="majorBidi" w:hAnsiTheme="majorBidi" w:cstheme="majorBidi"/>
        </w:rPr>
      </w:pPr>
      <w:r w:rsidRPr="0046701D">
        <w:rPr>
          <w:rStyle w:val="FootnoteReference"/>
          <w:rFonts w:asciiTheme="majorBidi" w:hAnsiTheme="majorBidi" w:cstheme="majorBidi"/>
        </w:rPr>
        <w:footnoteRef/>
      </w:r>
      <w:r>
        <w:rPr>
          <w:rFonts w:asciiTheme="majorBidi" w:hAnsiTheme="majorBidi" w:cstheme="majorBidi"/>
        </w:rPr>
        <w:t xml:space="preserve"> Voir </w:t>
      </w:r>
      <w:hyperlink r:id="rId3" w:history="1">
        <w:r>
          <w:rPr>
            <w:rStyle w:val="Hyperlink"/>
            <w:rFonts w:asciiTheme="majorBidi" w:hAnsiTheme="majorBidi" w:cstheme="majorBidi"/>
          </w:rPr>
          <w:t>ECE/MP.PP/WG.1/2024/6</w:t>
        </w:r>
      </w:hyperlink>
      <w:r>
        <w:rPr>
          <w:rFonts w:asciiTheme="majorBidi" w:eastAsia="Times New Roman" w:hAnsiTheme="majorBidi" w:cstheme="majorBidi"/>
          <w:color w:val="000000"/>
          <w:shd w:val="clear" w:color="auto" w:fill="FFFFFF"/>
        </w:rPr>
        <w:t>.</w:t>
      </w:r>
    </w:p>
  </w:footnote>
  <w:footnote w:id="6">
    <w:p w:rsidR="00B52208" w:rsidRDefault="006D0EFA">
      <w:pPr>
        <w:pStyle w:val="FootnoteText"/>
      </w:pPr>
      <w:r w:rsidRPr="0046701D">
        <w:rPr>
          <w:rStyle w:val="FootnoteReference"/>
        </w:rPr>
        <w:footnoteRef/>
      </w:r>
      <w:r>
        <w:t xml:space="preserve"> Voir </w:t>
      </w:r>
      <w:hyperlink r:id="rId4" w:history="1">
        <w:r>
          <w:rPr>
            <w:rStyle w:val="Hyperlink"/>
          </w:rPr>
          <w:t>CBD/CP/RA/OM/2023/1/2</w:t>
        </w:r>
      </w:hyperlink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2208" w:rsidRDefault="006D0EFA">
    <w:pPr>
      <w:pStyle w:val="CBDHeader"/>
      <w:rPr>
        <w:sz w:val="20"/>
        <w:szCs w:val="20"/>
      </w:rPr>
    </w:pPr>
    <w:r w:rsidRPr="00B22262">
      <w:rPr>
        <w:sz w:val="20"/>
        <w:szCs w:val="20"/>
      </w:rPr>
      <w:fldChar w:fldCharType="begin"/>
    </w:r>
    <w:r w:rsidRPr="00B22262">
      <w:rPr>
        <w:sz w:val="20"/>
        <w:szCs w:val="20"/>
      </w:rPr>
      <w:instrText xml:space="preserve"> StyleRef AB_Symbol </w:instrText>
    </w:r>
    <w:r w:rsidRPr="00B22262">
      <w:rPr>
        <w:sz w:val="20"/>
        <w:szCs w:val="20"/>
      </w:rPr>
      <w:fldChar w:fldCharType="separate"/>
    </w:r>
    <w:r w:rsidR="00E77D4C">
      <w:rPr>
        <w:noProof/>
        <w:sz w:val="20"/>
        <w:szCs w:val="20"/>
      </w:rPr>
      <w:t>CBD/CP/MOP/11/8/Rev.1</w:t>
    </w:r>
    <w:r w:rsidRPr="00B22262"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2208" w:rsidRDefault="006D0EFA">
    <w:pPr>
      <w:pStyle w:val="Header"/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StyleRef AB_Symbol </w:instrText>
    </w:r>
    <w:r>
      <w:rPr>
        <w:sz w:val="20"/>
        <w:szCs w:val="20"/>
      </w:rPr>
      <w:fldChar w:fldCharType="separate"/>
    </w:r>
    <w:r w:rsidR="00E77D4C">
      <w:rPr>
        <w:noProof/>
        <w:sz w:val="20"/>
        <w:szCs w:val="20"/>
      </w:rPr>
      <w:t>CBD/CP/MOP/11/8/Rev.1</w:t>
    </w:r>
    <w:r>
      <w:rPr>
        <w:sz w:val="20"/>
        <w:szCs w:val="20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6F06" w:rsidRDefault="009C6F06" w:rsidP="009C6F06">
    <w:pPr>
      <w:pStyle w:val="Header"/>
      <w:pBdr>
        <w:bottom w:val="none" w:sz="0" w:space="0" w:color="auto"/>
      </w:pBd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II26vNnBMW+eZi" int2:id="yqlmZDt3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F81E28C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7705D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352B83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132DFD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E1638D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CF4274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64DC1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4C616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06C45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1362F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D511DDE"/>
    <w:multiLevelType w:val="hybridMultilevel"/>
    <w:tmpl w:val="CC0C5D04"/>
    <w:lvl w:ilvl="0" w:tplc="FD6488BE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  <w:i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0FA0170D"/>
    <w:multiLevelType w:val="multilevel"/>
    <w:tmpl w:val="222A08B4"/>
    <w:numStyleLink w:val="ListCBD"/>
  </w:abstractNum>
  <w:abstractNum w:abstractNumId="17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9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0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CC721C"/>
    <w:multiLevelType w:val="hybridMultilevel"/>
    <w:tmpl w:val="5B72B272"/>
    <w:lvl w:ilvl="0" w:tplc="7668ED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4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5356EC"/>
    <w:multiLevelType w:val="multilevel"/>
    <w:tmpl w:val="07D269C8"/>
    <w:numStyleLink w:val="CBDHeadings"/>
  </w:abstractNum>
  <w:abstractNum w:abstractNumId="28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8E2FF3"/>
    <w:multiLevelType w:val="multilevel"/>
    <w:tmpl w:val="222A08B4"/>
    <w:numStyleLink w:val="ListCBD"/>
  </w:abstractNum>
  <w:abstractNum w:abstractNumId="31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4" w15:restartNumberingAfterBreak="0">
    <w:nsid w:val="4E880595"/>
    <w:multiLevelType w:val="multilevel"/>
    <w:tmpl w:val="222A08B4"/>
    <w:numStyleLink w:val="ListCBD"/>
  </w:abstractNum>
  <w:abstractNum w:abstractNumId="35" w15:restartNumberingAfterBreak="0">
    <w:nsid w:val="52A66A9D"/>
    <w:multiLevelType w:val="multilevel"/>
    <w:tmpl w:val="222A08B4"/>
    <w:numStyleLink w:val="ListCBD"/>
  </w:abstractNum>
  <w:abstractNum w:abstractNumId="36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D943BEE"/>
    <w:multiLevelType w:val="multilevel"/>
    <w:tmpl w:val="222A08B4"/>
    <w:numStyleLink w:val="ListCBD"/>
  </w:abstractNum>
  <w:abstractNum w:abstractNumId="41" w15:restartNumberingAfterBreak="0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42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68B70991"/>
    <w:multiLevelType w:val="multilevel"/>
    <w:tmpl w:val="222A08B4"/>
    <w:numStyleLink w:val="ListCBD"/>
  </w:abstractNum>
  <w:abstractNum w:abstractNumId="45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6" w15:restartNumberingAfterBreak="0">
    <w:nsid w:val="6EE23244"/>
    <w:multiLevelType w:val="multilevel"/>
    <w:tmpl w:val="B3C03A2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48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9" w15:restartNumberingAfterBreak="0">
    <w:nsid w:val="7BFF494A"/>
    <w:multiLevelType w:val="hybridMultilevel"/>
    <w:tmpl w:val="B8C27F8A"/>
    <w:lvl w:ilvl="0" w:tplc="48DEED9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E2B1C7A"/>
    <w:multiLevelType w:val="hybridMultilevel"/>
    <w:tmpl w:val="DA9E9EB0"/>
    <w:lvl w:ilvl="0" w:tplc="4C9A087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44"/>
  </w:num>
  <w:num w:numId="3">
    <w:abstractNumId w:val="48"/>
  </w:num>
  <w:num w:numId="4">
    <w:abstractNumId w:val="22"/>
  </w:num>
  <w:num w:numId="5">
    <w:abstractNumId w:val="23"/>
  </w:num>
  <w:num w:numId="6">
    <w:abstractNumId w:val="23"/>
  </w:num>
  <w:num w:numId="7">
    <w:abstractNumId w:val="25"/>
  </w:num>
  <w:num w:numId="8">
    <w:abstractNumId w:val="39"/>
  </w:num>
  <w:num w:numId="9">
    <w:abstractNumId w:val="43"/>
  </w:num>
  <w:num w:numId="10">
    <w:abstractNumId w:val="42"/>
  </w:num>
  <w:num w:numId="11">
    <w:abstractNumId w:val="36"/>
  </w:num>
  <w:num w:numId="12">
    <w:abstractNumId w:val="24"/>
  </w:num>
  <w:num w:numId="13">
    <w:abstractNumId w:val="24"/>
    <w:lvlOverride w:ilvl="0">
      <w:startOverride w:val="1"/>
    </w:lvlOverride>
  </w:num>
  <w:num w:numId="14">
    <w:abstractNumId w:val="41"/>
  </w:num>
  <w:num w:numId="15">
    <w:abstractNumId w:val="41"/>
    <w:lvlOverride w:ilvl="0">
      <w:startOverride w:val="1"/>
    </w:lvlOverride>
  </w:num>
  <w:num w:numId="16">
    <w:abstractNumId w:val="44"/>
    <w:lvlOverride w:ilvl="0">
      <w:startOverride w:val="1"/>
    </w:lvlOverride>
  </w:num>
  <w:num w:numId="17">
    <w:abstractNumId w:val="41"/>
    <w:lvlOverride w:ilvl="0">
      <w:startOverride w:val="1"/>
    </w:lvlOverride>
  </w:num>
  <w:num w:numId="18">
    <w:abstractNumId w:val="49"/>
  </w:num>
  <w:num w:numId="19">
    <w:abstractNumId w:val="44"/>
    <w:lvlOverride w:ilvl="0">
      <w:startOverride w:val="1"/>
    </w:lvlOverride>
  </w:num>
  <w:num w:numId="20">
    <w:abstractNumId w:val="44"/>
    <w:lvlOverride w:ilvl="0">
      <w:startOverride w:val="1"/>
    </w:lvlOverride>
  </w:num>
  <w:num w:numId="21">
    <w:abstractNumId w:val="14"/>
  </w:num>
  <w:num w:numId="22">
    <w:abstractNumId w:val="47"/>
  </w:num>
  <w:num w:numId="23">
    <w:abstractNumId w:val="29"/>
  </w:num>
  <w:num w:numId="24">
    <w:abstractNumId w:val="11"/>
  </w:num>
  <w:num w:numId="25">
    <w:abstractNumId w:val="19"/>
  </w:num>
  <w:num w:numId="26">
    <w:abstractNumId w:val="9"/>
  </w:num>
  <w:num w:numId="27">
    <w:abstractNumId w:val="7"/>
  </w:num>
  <w:num w:numId="28">
    <w:abstractNumId w:val="6"/>
  </w:num>
  <w:num w:numId="29">
    <w:abstractNumId w:val="5"/>
  </w:num>
  <w:num w:numId="30">
    <w:abstractNumId w:val="4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35"/>
  </w:num>
  <w:num w:numId="37">
    <w:abstractNumId w:val="38"/>
  </w:num>
  <w:num w:numId="3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3"/>
  </w:num>
  <w:num w:numId="40">
    <w:abstractNumId w:val="16"/>
  </w:num>
  <w:num w:numId="41">
    <w:abstractNumId w:val="34"/>
  </w:num>
  <w:num w:numId="42">
    <w:abstractNumId w:val="30"/>
  </w:num>
  <w:num w:numId="43">
    <w:abstractNumId w:val="18"/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0"/>
  </w:num>
  <w:num w:numId="46">
    <w:abstractNumId w:val="10"/>
  </w:num>
  <w:num w:numId="4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2"/>
  </w:num>
  <w:num w:numId="50">
    <w:abstractNumId w:val="26"/>
  </w:num>
  <w:num w:numId="51">
    <w:abstractNumId w:val="26"/>
    <w:lvlOverride w:ilvl="0">
      <w:startOverride w:val="1"/>
    </w:lvlOverride>
  </w:num>
  <w:num w:numId="52">
    <w:abstractNumId w:val="26"/>
    <w:lvlOverride w:ilvl="0">
      <w:startOverride w:val="1"/>
    </w:lvlOverride>
  </w:num>
  <w:num w:numId="53">
    <w:abstractNumId w:val="26"/>
    <w:lvlOverride w:ilvl="0">
      <w:startOverride w:val="1"/>
    </w:lvlOverride>
  </w:num>
  <w:num w:numId="54">
    <w:abstractNumId w:val="28"/>
  </w:num>
  <w:num w:numId="55">
    <w:abstractNumId w:val="37"/>
  </w:num>
  <w:num w:numId="56">
    <w:abstractNumId w:val="31"/>
  </w:num>
  <w:num w:numId="57">
    <w:abstractNumId w:val="45"/>
  </w:num>
  <w:num w:numId="58">
    <w:abstractNumId w:val="27"/>
  </w:num>
  <w:num w:numId="59">
    <w:abstractNumId w:val="17"/>
  </w:num>
  <w:num w:numId="60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13"/>
  </w:num>
  <w:num w:numId="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40"/>
  </w:num>
  <w:num w:numId="67">
    <w:abstractNumId w:val="8"/>
  </w:num>
  <w:num w:numId="68">
    <w:abstractNumId w:val="3"/>
  </w:num>
  <w:num w:numId="69">
    <w:abstractNumId w:val="2"/>
  </w:num>
  <w:num w:numId="70">
    <w:abstractNumId w:val="1"/>
  </w:num>
  <w:num w:numId="71">
    <w:abstractNumId w:val="0"/>
  </w:num>
  <w:num w:numId="7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21"/>
  </w:num>
  <w:num w:numId="74">
    <w:abstractNumId w:val="46"/>
  </w:num>
  <w:num w:numId="75">
    <w:abstractNumId w:val="40"/>
  </w:num>
  <w:num w:numId="76">
    <w:abstractNumId w:val="50"/>
  </w:num>
  <w:num w:numId="77">
    <w:abstractNumId w:val="15"/>
  </w:num>
  <w:num w:numId="78">
    <w:abstractNumId w:val="40"/>
  </w:num>
  <w:num w:numId="79">
    <w:abstractNumId w:val="40"/>
  </w:num>
  <w:num w:numId="80">
    <w:abstractNumId w:val="40"/>
  </w:num>
  <w:num w:numId="81">
    <w:abstractNumId w:val="40"/>
  </w:num>
  <w:num w:numId="82">
    <w:abstractNumId w:val="40"/>
  </w:num>
  <w:num w:numId="83">
    <w:abstractNumId w:val="40"/>
  </w:num>
  <w:num w:numId="84">
    <w:abstractNumId w:val="40"/>
  </w:num>
  <w:num w:numId="85">
    <w:abstractNumId w:val="40"/>
  </w:num>
  <w:num w:numId="86">
    <w:abstractNumId w:val="40"/>
  </w:num>
  <w:num w:numId="87">
    <w:abstractNumId w:val="40"/>
  </w:num>
  <w:num w:numId="88">
    <w:abstractNumId w:val="40"/>
  </w:num>
  <w:num w:numId="89">
    <w:abstractNumId w:val="40"/>
  </w:num>
  <w:num w:numId="90">
    <w:abstractNumId w:val="40"/>
  </w:num>
  <w:num w:numId="91">
    <w:abstractNumId w:val="40"/>
  </w:num>
  <w:num w:numId="92">
    <w:abstractNumId w:val="40"/>
  </w:num>
  <w:num w:numId="93">
    <w:abstractNumId w:val="40"/>
  </w:num>
  <w:num w:numId="94">
    <w:abstractNumId w:val="40"/>
  </w:num>
  <w:num w:numId="95">
    <w:abstractNumId w:val="40"/>
  </w:num>
  <w:num w:numId="96">
    <w:abstractNumId w:val="40"/>
  </w:num>
  <w:num w:numId="97">
    <w:abstractNumId w:val="40"/>
  </w:num>
  <w:num w:numId="98">
    <w:abstractNumId w:val="40"/>
  </w:num>
  <w:num w:numId="99">
    <w:abstractNumId w:val="40"/>
  </w:num>
  <w:num w:numId="100">
    <w:abstractNumId w:val="40"/>
  </w:num>
  <w:num w:numId="101">
    <w:abstractNumId w:val="40"/>
  </w:num>
  <w:num w:numId="102">
    <w:abstractNumId w:val="40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F4D"/>
    <w:rsid w:val="00005F61"/>
    <w:rsid w:val="000149DA"/>
    <w:rsid w:val="00023589"/>
    <w:rsid w:val="00024D52"/>
    <w:rsid w:val="0002611A"/>
    <w:rsid w:val="00040598"/>
    <w:rsid w:val="000476BF"/>
    <w:rsid w:val="00055453"/>
    <w:rsid w:val="00055471"/>
    <w:rsid w:val="00061EAE"/>
    <w:rsid w:val="000878BB"/>
    <w:rsid w:val="00090740"/>
    <w:rsid w:val="000A2AAA"/>
    <w:rsid w:val="000A5B31"/>
    <w:rsid w:val="000A5CDB"/>
    <w:rsid w:val="000A7225"/>
    <w:rsid w:val="000A7D03"/>
    <w:rsid w:val="000B4980"/>
    <w:rsid w:val="000C069E"/>
    <w:rsid w:val="000C4219"/>
    <w:rsid w:val="000D13F0"/>
    <w:rsid w:val="000E1D47"/>
    <w:rsid w:val="000E31F9"/>
    <w:rsid w:val="000E5429"/>
    <w:rsid w:val="000F069C"/>
    <w:rsid w:val="000F1A26"/>
    <w:rsid w:val="000F2DD2"/>
    <w:rsid w:val="000F6465"/>
    <w:rsid w:val="001040DE"/>
    <w:rsid w:val="001117FC"/>
    <w:rsid w:val="001231E2"/>
    <w:rsid w:val="00124D35"/>
    <w:rsid w:val="001250E2"/>
    <w:rsid w:val="00132581"/>
    <w:rsid w:val="00137402"/>
    <w:rsid w:val="001402F1"/>
    <w:rsid w:val="00145876"/>
    <w:rsid w:val="001500C4"/>
    <w:rsid w:val="00151C5F"/>
    <w:rsid w:val="00156778"/>
    <w:rsid w:val="00156E11"/>
    <w:rsid w:val="00160303"/>
    <w:rsid w:val="0016191C"/>
    <w:rsid w:val="00162CF1"/>
    <w:rsid w:val="0016642E"/>
    <w:rsid w:val="0016661D"/>
    <w:rsid w:val="00172211"/>
    <w:rsid w:val="00184909"/>
    <w:rsid w:val="001A2C99"/>
    <w:rsid w:val="001C3BB9"/>
    <w:rsid w:val="001C3F11"/>
    <w:rsid w:val="001D1F38"/>
    <w:rsid w:val="001D2FD8"/>
    <w:rsid w:val="001D50E4"/>
    <w:rsid w:val="001D7501"/>
    <w:rsid w:val="001E38FD"/>
    <w:rsid w:val="001E403E"/>
    <w:rsid w:val="001E6754"/>
    <w:rsid w:val="001F0CBD"/>
    <w:rsid w:val="001F4AEC"/>
    <w:rsid w:val="002104A9"/>
    <w:rsid w:val="00216379"/>
    <w:rsid w:val="002316A0"/>
    <w:rsid w:val="0025423E"/>
    <w:rsid w:val="00254997"/>
    <w:rsid w:val="00256A1A"/>
    <w:rsid w:val="00256FBD"/>
    <w:rsid w:val="00264414"/>
    <w:rsid w:val="00264588"/>
    <w:rsid w:val="002674BA"/>
    <w:rsid w:val="002719B7"/>
    <w:rsid w:val="00271EEB"/>
    <w:rsid w:val="00275DB1"/>
    <w:rsid w:val="00286093"/>
    <w:rsid w:val="002861DF"/>
    <w:rsid w:val="0028771C"/>
    <w:rsid w:val="00290297"/>
    <w:rsid w:val="00291230"/>
    <w:rsid w:val="00294414"/>
    <w:rsid w:val="002A00FF"/>
    <w:rsid w:val="002A14AC"/>
    <w:rsid w:val="002B00CA"/>
    <w:rsid w:val="002B269E"/>
    <w:rsid w:val="002B3F27"/>
    <w:rsid w:val="002B53A3"/>
    <w:rsid w:val="002B559C"/>
    <w:rsid w:val="002C2038"/>
    <w:rsid w:val="002C3155"/>
    <w:rsid w:val="002C575F"/>
    <w:rsid w:val="002D333E"/>
    <w:rsid w:val="002E7735"/>
    <w:rsid w:val="002F009D"/>
    <w:rsid w:val="002F1767"/>
    <w:rsid w:val="002F6A5C"/>
    <w:rsid w:val="00303E94"/>
    <w:rsid w:val="00306FBB"/>
    <w:rsid w:val="00307BA1"/>
    <w:rsid w:val="00310608"/>
    <w:rsid w:val="0031246F"/>
    <w:rsid w:val="0031301A"/>
    <w:rsid w:val="00323F22"/>
    <w:rsid w:val="00324854"/>
    <w:rsid w:val="003300B1"/>
    <w:rsid w:val="003349A0"/>
    <w:rsid w:val="00334B37"/>
    <w:rsid w:val="00335057"/>
    <w:rsid w:val="003354C2"/>
    <w:rsid w:val="00336905"/>
    <w:rsid w:val="00336E6C"/>
    <w:rsid w:val="0033715E"/>
    <w:rsid w:val="003476A9"/>
    <w:rsid w:val="0035668A"/>
    <w:rsid w:val="003617C3"/>
    <w:rsid w:val="00362BB9"/>
    <w:rsid w:val="00365161"/>
    <w:rsid w:val="00373A97"/>
    <w:rsid w:val="003A7AF0"/>
    <w:rsid w:val="003B336B"/>
    <w:rsid w:val="003B6BDA"/>
    <w:rsid w:val="003C110C"/>
    <w:rsid w:val="003C223A"/>
    <w:rsid w:val="003C6F10"/>
    <w:rsid w:val="003D03FF"/>
    <w:rsid w:val="003D2CC0"/>
    <w:rsid w:val="003D3DE9"/>
    <w:rsid w:val="003D521A"/>
    <w:rsid w:val="003D5283"/>
    <w:rsid w:val="003D5E0B"/>
    <w:rsid w:val="003E238E"/>
    <w:rsid w:val="003F1655"/>
    <w:rsid w:val="003F29EB"/>
    <w:rsid w:val="003F7CB6"/>
    <w:rsid w:val="004000D4"/>
    <w:rsid w:val="00400577"/>
    <w:rsid w:val="00401DA4"/>
    <w:rsid w:val="004069AA"/>
    <w:rsid w:val="0041385D"/>
    <w:rsid w:val="004176DC"/>
    <w:rsid w:val="0042015F"/>
    <w:rsid w:val="00420DD3"/>
    <w:rsid w:val="004269B3"/>
    <w:rsid w:val="00434B83"/>
    <w:rsid w:val="00434B92"/>
    <w:rsid w:val="00441498"/>
    <w:rsid w:val="004461C6"/>
    <w:rsid w:val="004521FE"/>
    <w:rsid w:val="0046701D"/>
    <w:rsid w:val="004701EE"/>
    <w:rsid w:val="004703A8"/>
    <w:rsid w:val="00480237"/>
    <w:rsid w:val="00480A8D"/>
    <w:rsid w:val="00483E8E"/>
    <w:rsid w:val="004875CE"/>
    <w:rsid w:val="00490EF2"/>
    <w:rsid w:val="0049279D"/>
    <w:rsid w:val="00493C6B"/>
    <w:rsid w:val="004A006F"/>
    <w:rsid w:val="004A03D9"/>
    <w:rsid w:val="004A2A2D"/>
    <w:rsid w:val="004A609F"/>
    <w:rsid w:val="004B4BF2"/>
    <w:rsid w:val="004B5673"/>
    <w:rsid w:val="004B6262"/>
    <w:rsid w:val="004C1569"/>
    <w:rsid w:val="004C4F71"/>
    <w:rsid w:val="004C7369"/>
    <w:rsid w:val="004D085E"/>
    <w:rsid w:val="004D639E"/>
    <w:rsid w:val="004D6ABB"/>
    <w:rsid w:val="004D7441"/>
    <w:rsid w:val="004D7F70"/>
    <w:rsid w:val="004E51F0"/>
    <w:rsid w:val="004E541E"/>
    <w:rsid w:val="004E6BE7"/>
    <w:rsid w:val="004E743B"/>
    <w:rsid w:val="004F0248"/>
    <w:rsid w:val="00501F17"/>
    <w:rsid w:val="00504B67"/>
    <w:rsid w:val="005079B9"/>
    <w:rsid w:val="00512543"/>
    <w:rsid w:val="005132CE"/>
    <w:rsid w:val="005140CE"/>
    <w:rsid w:val="00515E30"/>
    <w:rsid w:val="005171D2"/>
    <w:rsid w:val="00524519"/>
    <w:rsid w:val="005267E1"/>
    <w:rsid w:val="00535864"/>
    <w:rsid w:val="00535953"/>
    <w:rsid w:val="00537248"/>
    <w:rsid w:val="00541FAE"/>
    <w:rsid w:val="00542077"/>
    <w:rsid w:val="00542876"/>
    <w:rsid w:val="005450B5"/>
    <w:rsid w:val="00550C8D"/>
    <w:rsid w:val="00551CDE"/>
    <w:rsid w:val="00552F97"/>
    <w:rsid w:val="00556C91"/>
    <w:rsid w:val="00563E8A"/>
    <w:rsid w:val="00563EDF"/>
    <w:rsid w:val="00565E3E"/>
    <w:rsid w:val="00571D0D"/>
    <w:rsid w:val="00581A1E"/>
    <w:rsid w:val="00587100"/>
    <w:rsid w:val="00593921"/>
    <w:rsid w:val="005A12A4"/>
    <w:rsid w:val="005A206E"/>
    <w:rsid w:val="005A65BC"/>
    <w:rsid w:val="005A6E03"/>
    <w:rsid w:val="005B6A1D"/>
    <w:rsid w:val="005C0058"/>
    <w:rsid w:val="005C33B8"/>
    <w:rsid w:val="005C8BF4"/>
    <w:rsid w:val="005D73C8"/>
    <w:rsid w:val="005E2605"/>
    <w:rsid w:val="005E3E69"/>
    <w:rsid w:val="005E78D8"/>
    <w:rsid w:val="005F4282"/>
    <w:rsid w:val="005F4E6F"/>
    <w:rsid w:val="005F69B3"/>
    <w:rsid w:val="00601759"/>
    <w:rsid w:val="00602CFB"/>
    <w:rsid w:val="006030DC"/>
    <w:rsid w:val="00610019"/>
    <w:rsid w:val="00627220"/>
    <w:rsid w:val="00637D82"/>
    <w:rsid w:val="00642285"/>
    <w:rsid w:val="00647604"/>
    <w:rsid w:val="00657ED6"/>
    <w:rsid w:val="006614DC"/>
    <w:rsid w:val="006650EE"/>
    <w:rsid w:val="00666198"/>
    <w:rsid w:val="00670999"/>
    <w:rsid w:val="006710C5"/>
    <w:rsid w:val="00671121"/>
    <w:rsid w:val="00680EFE"/>
    <w:rsid w:val="006821A8"/>
    <w:rsid w:val="006860F5"/>
    <w:rsid w:val="006B293D"/>
    <w:rsid w:val="006C0A76"/>
    <w:rsid w:val="006C43F6"/>
    <w:rsid w:val="006C728F"/>
    <w:rsid w:val="006D04C7"/>
    <w:rsid w:val="006D0EFA"/>
    <w:rsid w:val="006D10C3"/>
    <w:rsid w:val="006D3338"/>
    <w:rsid w:val="006E0F87"/>
    <w:rsid w:val="006E3C27"/>
    <w:rsid w:val="006E41AA"/>
    <w:rsid w:val="006F14ED"/>
    <w:rsid w:val="006F40AE"/>
    <w:rsid w:val="006F4736"/>
    <w:rsid w:val="006F6C3D"/>
    <w:rsid w:val="006F767E"/>
    <w:rsid w:val="00713526"/>
    <w:rsid w:val="00715D53"/>
    <w:rsid w:val="0071624E"/>
    <w:rsid w:val="00724AE8"/>
    <w:rsid w:val="00735596"/>
    <w:rsid w:val="007459C6"/>
    <w:rsid w:val="00752EAF"/>
    <w:rsid w:val="0076622F"/>
    <w:rsid w:val="00767009"/>
    <w:rsid w:val="00774560"/>
    <w:rsid w:val="007832B3"/>
    <w:rsid w:val="00787F9D"/>
    <w:rsid w:val="007A2C7B"/>
    <w:rsid w:val="007A3B2C"/>
    <w:rsid w:val="007A45C3"/>
    <w:rsid w:val="007A7A12"/>
    <w:rsid w:val="007B194F"/>
    <w:rsid w:val="007B40BE"/>
    <w:rsid w:val="007B629A"/>
    <w:rsid w:val="007B6660"/>
    <w:rsid w:val="007C77BC"/>
    <w:rsid w:val="007D166A"/>
    <w:rsid w:val="007D3B2B"/>
    <w:rsid w:val="007E1C0F"/>
    <w:rsid w:val="007E4FD6"/>
    <w:rsid w:val="007E6773"/>
    <w:rsid w:val="007F056C"/>
    <w:rsid w:val="007F28CC"/>
    <w:rsid w:val="007F4B80"/>
    <w:rsid w:val="007F7D4F"/>
    <w:rsid w:val="008015DC"/>
    <w:rsid w:val="008040D0"/>
    <w:rsid w:val="00807484"/>
    <w:rsid w:val="00816954"/>
    <w:rsid w:val="0082005E"/>
    <w:rsid w:val="00820AA2"/>
    <w:rsid w:val="00823921"/>
    <w:rsid w:val="00826408"/>
    <w:rsid w:val="00830579"/>
    <w:rsid w:val="008312DC"/>
    <w:rsid w:val="00840F4D"/>
    <w:rsid w:val="008440C5"/>
    <w:rsid w:val="008458D3"/>
    <w:rsid w:val="0084758B"/>
    <w:rsid w:val="00852A2A"/>
    <w:rsid w:val="00856168"/>
    <w:rsid w:val="00857404"/>
    <w:rsid w:val="00863392"/>
    <w:rsid w:val="008637BA"/>
    <w:rsid w:val="00865E2F"/>
    <w:rsid w:val="00867FCC"/>
    <w:rsid w:val="00874541"/>
    <w:rsid w:val="00877B8B"/>
    <w:rsid w:val="008807B5"/>
    <w:rsid w:val="00886F12"/>
    <w:rsid w:val="00886F17"/>
    <w:rsid w:val="00890188"/>
    <w:rsid w:val="0089157B"/>
    <w:rsid w:val="00891E33"/>
    <w:rsid w:val="008A2AF0"/>
    <w:rsid w:val="008A5109"/>
    <w:rsid w:val="008B0A05"/>
    <w:rsid w:val="008B47D4"/>
    <w:rsid w:val="008C09A1"/>
    <w:rsid w:val="008C201C"/>
    <w:rsid w:val="008C5896"/>
    <w:rsid w:val="008D3219"/>
    <w:rsid w:val="008D3EA6"/>
    <w:rsid w:val="008E0581"/>
    <w:rsid w:val="008E2DF9"/>
    <w:rsid w:val="008E5B81"/>
    <w:rsid w:val="008F14E7"/>
    <w:rsid w:val="008F181F"/>
    <w:rsid w:val="008F1C83"/>
    <w:rsid w:val="008F2EEF"/>
    <w:rsid w:val="008F3900"/>
    <w:rsid w:val="009056CC"/>
    <w:rsid w:val="00907828"/>
    <w:rsid w:val="009107AF"/>
    <w:rsid w:val="00912A45"/>
    <w:rsid w:val="0092787F"/>
    <w:rsid w:val="0093106F"/>
    <w:rsid w:val="00934047"/>
    <w:rsid w:val="00935461"/>
    <w:rsid w:val="009408FA"/>
    <w:rsid w:val="00941643"/>
    <w:rsid w:val="0094169F"/>
    <w:rsid w:val="009434FC"/>
    <w:rsid w:val="009459E3"/>
    <w:rsid w:val="009469BF"/>
    <w:rsid w:val="00960871"/>
    <w:rsid w:val="00964C6C"/>
    <w:rsid w:val="00967BC3"/>
    <w:rsid w:val="00990850"/>
    <w:rsid w:val="00995DDC"/>
    <w:rsid w:val="009A1DEE"/>
    <w:rsid w:val="009A4A14"/>
    <w:rsid w:val="009A5C30"/>
    <w:rsid w:val="009A65EE"/>
    <w:rsid w:val="009B648B"/>
    <w:rsid w:val="009C1114"/>
    <w:rsid w:val="009C3B97"/>
    <w:rsid w:val="009C54DD"/>
    <w:rsid w:val="009C6F06"/>
    <w:rsid w:val="009D41AC"/>
    <w:rsid w:val="009D5A20"/>
    <w:rsid w:val="009D61F0"/>
    <w:rsid w:val="009D7C0F"/>
    <w:rsid w:val="009E1775"/>
    <w:rsid w:val="009E3B01"/>
    <w:rsid w:val="009F2DB9"/>
    <w:rsid w:val="009F4D52"/>
    <w:rsid w:val="00A00DC5"/>
    <w:rsid w:val="00A01281"/>
    <w:rsid w:val="00A15200"/>
    <w:rsid w:val="00A16100"/>
    <w:rsid w:val="00A1734E"/>
    <w:rsid w:val="00A17F5A"/>
    <w:rsid w:val="00A213AC"/>
    <w:rsid w:val="00A40CD6"/>
    <w:rsid w:val="00A43334"/>
    <w:rsid w:val="00A45046"/>
    <w:rsid w:val="00A45D04"/>
    <w:rsid w:val="00A51B18"/>
    <w:rsid w:val="00A54FA0"/>
    <w:rsid w:val="00A611FD"/>
    <w:rsid w:val="00A61B7F"/>
    <w:rsid w:val="00A66E7C"/>
    <w:rsid w:val="00A6747D"/>
    <w:rsid w:val="00A75726"/>
    <w:rsid w:val="00A77653"/>
    <w:rsid w:val="00A77778"/>
    <w:rsid w:val="00A91573"/>
    <w:rsid w:val="00A91934"/>
    <w:rsid w:val="00A94756"/>
    <w:rsid w:val="00A96B21"/>
    <w:rsid w:val="00AA0D4E"/>
    <w:rsid w:val="00AA582E"/>
    <w:rsid w:val="00AA75AC"/>
    <w:rsid w:val="00AB0D37"/>
    <w:rsid w:val="00AB1D4D"/>
    <w:rsid w:val="00AB55F1"/>
    <w:rsid w:val="00AB5D80"/>
    <w:rsid w:val="00AC17F5"/>
    <w:rsid w:val="00AD6283"/>
    <w:rsid w:val="00AE1A95"/>
    <w:rsid w:val="00AE6BB8"/>
    <w:rsid w:val="00B01052"/>
    <w:rsid w:val="00B059B7"/>
    <w:rsid w:val="00B10045"/>
    <w:rsid w:val="00B11A95"/>
    <w:rsid w:val="00B22262"/>
    <w:rsid w:val="00B2353B"/>
    <w:rsid w:val="00B32B96"/>
    <w:rsid w:val="00B34C97"/>
    <w:rsid w:val="00B35600"/>
    <w:rsid w:val="00B36EA9"/>
    <w:rsid w:val="00B36F22"/>
    <w:rsid w:val="00B3703E"/>
    <w:rsid w:val="00B37316"/>
    <w:rsid w:val="00B432FB"/>
    <w:rsid w:val="00B474A1"/>
    <w:rsid w:val="00B52208"/>
    <w:rsid w:val="00B55E91"/>
    <w:rsid w:val="00B629AE"/>
    <w:rsid w:val="00B66EFC"/>
    <w:rsid w:val="00B67EF4"/>
    <w:rsid w:val="00B818E4"/>
    <w:rsid w:val="00B87081"/>
    <w:rsid w:val="00B917A4"/>
    <w:rsid w:val="00BB0531"/>
    <w:rsid w:val="00BB68E8"/>
    <w:rsid w:val="00BC22B1"/>
    <w:rsid w:val="00BD343A"/>
    <w:rsid w:val="00BD44C5"/>
    <w:rsid w:val="00BD5099"/>
    <w:rsid w:val="00BD60E6"/>
    <w:rsid w:val="00BD70A3"/>
    <w:rsid w:val="00BE43CE"/>
    <w:rsid w:val="00BF110A"/>
    <w:rsid w:val="00BF1FB3"/>
    <w:rsid w:val="00BF5245"/>
    <w:rsid w:val="00BF66F7"/>
    <w:rsid w:val="00C06BCF"/>
    <w:rsid w:val="00C07A03"/>
    <w:rsid w:val="00C12F55"/>
    <w:rsid w:val="00C2354A"/>
    <w:rsid w:val="00C25A9A"/>
    <w:rsid w:val="00C3104B"/>
    <w:rsid w:val="00C4166B"/>
    <w:rsid w:val="00C42374"/>
    <w:rsid w:val="00C52457"/>
    <w:rsid w:val="00C60F26"/>
    <w:rsid w:val="00C71484"/>
    <w:rsid w:val="00C74E91"/>
    <w:rsid w:val="00C76747"/>
    <w:rsid w:val="00C95A1A"/>
    <w:rsid w:val="00CB0B81"/>
    <w:rsid w:val="00CB358C"/>
    <w:rsid w:val="00CB44A6"/>
    <w:rsid w:val="00CC1692"/>
    <w:rsid w:val="00CC5B6B"/>
    <w:rsid w:val="00CD223C"/>
    <w:rsid w:val="00CD467A"/>
    <w:rsid w:val="00CD50CA"/>
    <w:rsid w:val="00CD606D"/>
    <w:rsid w:val="00CE1DDF"/>
    <w:rsid w:val="00CE2FBB"/>
    <w:rsid w:val="00CE35B9"/>
    <w:rsid w:val="00CE3E7C"/>
    <w:rsid w:val="00CF70AB"/>
    <w:rsid w:val="00D0645C"/>
    <w:rsid w:val="00D12374"/>
    <w:rsid w:val="00D13532"/>
    <w:rsid w:val="00D14221"/>
    <w:rsid w:val="00D1659D"/>
    <w:rsid w:val="00D1697D"/>
    <w:rsid w:val="00D210D2"/>
    <w:rsid w:val="00D21BDC"/>
    <w:rsid w:val="00D3059B"/>
    <w:rsid w:val="00D334CA"/>
    <w:rsid w:val="00D439EA"/>
    <w:rsid w:val="00D46DBF"/>
    <w:rsid w:val="00D51832"/>
    <w:rsid w:val="00D56DA6"/>
    <w:rsid w:val="00D60046"/>
    <w:rsid w:val="00D66611"/>
    <w:rsid w:val="00D71FFB"/>
    <w:rsid w:val="00D73533"/>
    <w:rsid w:val="00D76317"/>
    <w:rsid w:val="00D775A4"/>
    <w:rsid w:val="00D82B59"/>
    <w:rsid w:val="00D84350"/>
    <w:rsid w:val="00D90414"/>
    <w:rsid w:val="00D92B97"/>
    <w:rsid w:val="00D92CB7"/>
    <w:rsid w:val="00D97E26"/>
    <w:rsid w:val="00DA1A86"/>
    <w:rsid w:val="00DA68C7"/>
    <w:rsid w:val="00DB23D4"/>
    <w:rsid w:val="00DB5177"/>
    <w:rsid w:val="00DB5251"/>
    <w:rsid w:val="00DB58EC"/>
    <w:rsid w:val="00DB65D3"/>
    <w:rsid w:val="00DC087F"/>
    <w:rsid w:val="00DC0DA0"/>
    <w:rsid w:val="00DC14E1"/>
    <w:rsid w:val="00DC1E24"/>
    <w:rsid w:val="00DC2100"/>
    <w:rsid w:val="00DC5158"/>
    <w:rsid w:val="00DC7A90"/>
    <w:rsid w:val="00DD3A60"/>
    <w:rsid w:val="00DE36B1"/>
    <w:rsid w:val="00DE4810"/>
    <w:rsid w:val="00DE67A2"/>
    <w:rsid w:val="00DE7574"/>
    <w:rsid w:val="00DF0A8C"/>
    <w:rsid w:val="00DF21EE"/>
    <w:rsid w:val="00DF2393"/>
    <w:rsid w:val="00DF5A89"/>
    <w:rsid w:val="00E1597C"/>
    <w:rsid w:val="00E20B0D"/>
    <w:rsid w:val="00E228D0"/>
    <w:rsid w:val="00E25DF0"/>
    <w:rsid w:val="00E32358"/>
    <w:rsid w:val="00E32D37"/>
    <w:rsid w:val="00E37344"/>
    <w:rsid w:val="00E42B47"/>
    <w:rsid w:val="00E44ED7"/>
    <w:rsid w:val="00E5147E"/>
    <w:rsid w:val="00E5399E"/>
    <w:rsid w:val="00E53B3F"/>
    <w:rsid w:val="00E54A8D"/>
    <w:rsid w:val="00E5751C"/>
    <w:rsid w:val="00E66BAC"/>
    <w:rsid w:val="00E66E66"/>
    <w:rsid w:val="00E67250"/>
    <w:rsid w:val="00E73E46"/>
    <w:rsid w:val="00E7543A"/>
    <w:rsid w:val="00E77975"/>
    <w:rsid w:val="00E77D4C"/>
    <w:rsid w:val="00E8069F"/>
    <w:rsid w:val="00E87862"/>
    <w:rsid w:val="00E91F34"/>
    <w:rsid w:val="00E92A5D"/>
    <w:rsid w:val="00EA1C4C"/>
    <w:rsid w:val="00EA2DAE"/>
    <w:rsid w:val="00EB78F4"/>
    <w:rsid w:val="00EC146C"/>
    <w:rsid w:val="00EC19F3"/>
    <w:rsid w:val="00EC7495"/>
    <w:rsid w:val="00ED146F"/>
    <w:rsid w:val="00ED3849"/>
    <w:rsid w:val="00EE4807"/>
    <w:rsid w:val="00EE6140"/>
    <w:rsid w:val="00EF25D2"/>
    <w:rsid w:val="00EF35BA"/>
    <w:rsid w:val="00F1797C"/>
    <w:rsid w:val="00F22E4F"/>
    <w:rsid w:val="00F258FB"/>
    <w:rsid w:val="00F25B12"/>
    <w:rsid w:val="00F276FC"/>
    <w:rsid w:val="00F37CCF"/>
    <w:rsid w:val="00F42B65"/>
    <w:rsid w:val="00F475AE"/>
    <w:rsid w:val="00F50694"/>
    <w:rsid w:val="00F5553E"/>
    <w:rsid w:val="00F678D3"/>
    <w:rsid w:val="00F7280E"/>
    <w:rsid w:val="00F75F90"/>
    <w:rsid w:val="00F82296"/>
    <w:rsid w:val="00F829D8"/>
    <w:rsid w:val="00F82EE7"/>
    <w:rsid w:val="00F84167"/>
    <w:rsid w:val="00F85723"/>
    <w:rsid w:val="00F872A0"/>
    <w:rsid w:val="00F91946"/>
    <w:rsid w:val="00F93F33"/>
    <w:rsid w:val="00F95B5E"/>
    <w:rsid w:val="00FA18C9"/>
    <w:rsid w:val="00FA33C2"/>
    <w:rsid w:val="00FA5000"/>
    <w:rsid w:val="00FA63B0"/>
    <w:rsid w:val="00FA6B46"/>
    <w:rsid w:val="00FB4487"/>
    <w:rsid w:val="00FB659E"/>
    <w:rsid w:val="00FC688F"/>
    <w:rsid w:val="00FC7191"/>
    <w:rsid w:val="00FD2FAD"/>
    <w:rsid w:val="00FD475B"/>
    <w:rsid w:val="00FE3C62"/>
    <w:rsid w:val="00FE797A"/>
    <w:rsid w:val="00FF344C"/>
    <w:rsid w:val="00FF5706"/>
    <w:rsid w:val="0493D3BF"/>
    <w:rsid w:val="08282665"/>
    <w:rsid w:val="0C003428"/>
    <w:rsid w:val="0E361719"/>
    <w:rsid w:val="187F4518"/>
    <w:rsid w:val="1A0F67B7"/>
    <w:rsid w:val="1AE50CAB"/>
    <w:rsid w:val="1B7380AA"/>
    <w:rsid w:val="1DC4EBA6"/>
    <w:rsid w:val="1E24D9BC"/>
    <w:rsid w:val="22CB5966"/>
    <w:rsid w:val="24DAAF6D"/>
    <w:rsid w:val="2EEE4FEA"/>
    <w:rsid w:val="30714BBA"/>
    <w:rsid w:val="316ED903"/>
    <w:rsid w:val="3185FDDD"/>
    <w:rsid w:val="33E8102D"/>
    <w:rsid w:val="343057C5"/>
    <w:rsid w:val="3620EA47"/>
    <w:rsid w:val="3674A8E5"/>
    <w:rsid w:val="369B2E04"/>
    <w:rsid w:val="3C93C766"/>
    <w:rsid w:val="3D0838A5"/>
    <w:rsid w:val="3E5B86D8"/>
    <w:rsid w:val="42E0A0AF"/>
    <w:rsid w:val="4A79F447"/>
    <w:rsid w:val="4B331025"/>
    <w:rsid w:val="4F177FF0"/>
    <w:rsid w:val="50A077A2"/>
    <w:rsid w:val="513103E8"/>
    <w:rsid w:val="52CFFD8D"/>
    <w:rsid w:val="5741CA6C"/>
    <w:rsid w:val="5855B930"/>
    <w:rsid w:val="59A48792"/>
    <w:rsid w:val="5BA13DDD"/>
    <w:rsid w:val="5D9F3526"/>
    <w:rsid w:val="5FB0FD49"/>
    <w:rsid w:val="600B85B6"/>
    <w:rsid w:val="600EA7DB"/>
    <w:rsid w:val="61124189"/>
    <w:rsid w:val="61B2402E"/>
    <w:rsid w:val="62946970"/>
    <w:rsid w:val="648A0E26"/>
    <w:rsid w:val="64F216BF"/>
    <w:rsid w:val="67F453C1"/>
    <w:rsid w:val="6B2FD0FB"/>
    <w:rsid w:val="6DFF447D"/>
    <w:rsid w:val="6E2B097A"/>
    <w:rsid w:val="7021BB75"/>
    <w:rsid w:val="7069E8F1"/>
    <w:rsid w:val="7807313E"/>
    <w:rsid w:val="781B5C80"/>
    <w:rsid w:val="78AA0592"/>
    <w:rsid w:val="7A0756DF"/>
    <w:rsid w:val="7C0D716A"/>
    <w:rsid w:val="7CD5226E"/>
    <w:rsid w:val="7FA1A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B7FCD0C-6CA3-A045-AF56-1F60ED609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A43334"/>
    <w:pPr>
      <w:keepNext/>
      <w:keepLines/>
      <w:numPr>
        <w:numId w:val="5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A43334"/>
    <w:pPr>
      <w:keepNext/>
      <w:keepLines/>
      <w:numPr>
        <w:ilvl w:val="1"/>
        <w:numId w:val="5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A43334"/>
    <w:pPr>
      <w:keepNext/>
      <w:keepLines/>
      <w:numPr>
        <w:ilvl w:val="2"/>
        <w:numId w:val="5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A43334"/>
    <w:pPr>
      <w:keepNext/>
      <w:numPr>
        <w:ilvl w:val="3"/>
        <w:numId w:val="5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A43334"/>
    <w:pPr>
      <w:keepNext/>
      <w:numPr>
        <w:ilvl w:val="4"/>
        <w:numId w:val="5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A43334"/>
    <w:pPr>
      <w:keepNext/>
      <w:keepLines/>
      <w:numPr>
        <w:ilvl w:val="5"/>
        <w:numId w:val="2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A43334"/>
    <w:pPr>
      <w:keepNext/>
      <w:keepLines/>
      <w:widowControl w:val="0"/>
      <w:numPr>
        <w:ilvl w:val="6"/>
        <w:numId w:val="2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A43334"/>
    <w:pPr>
      <w:keepNext/>
      <w:keepLines/>
      <w:widowControl w:val="0"/>
      <w:numPr>
        <w:ilvl w:val="7"/>
        <w:numId w:val="22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A43334"/>
    <w:pPr>
      <w:keepNext/>
      <w:widowControl w:val="0"/>
      <w:numPr>
        <w:ilvl w:val="8"/>
        <w:numId w:val="22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A43334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A43334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43334"/>
    <w:rPr>
      <w:lang w:val="fr-FR"/>
    </w:rPr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fr-FR"/>
    </w:rPr>
  </w:style>
  <w:style w:type="character" w:customStyle="1" w:styleId="Heading1Char">
    <w:name w:val="Heading 1 Char"/>
    <w:basedOn w:val="DefaultParagraphFont"/>
    <w:link w:val="Heading1"/>
    <w:uiPriority w:val="9"/>
    <w:rsid w:val="00A43334"/>
    <w:rPr>
      <w:rFonts w:ascii="Times New Roman" w:eastAsiaTheme="majorEastAsia" w:hAnsi="Times New Roman" w:cstheme="majorBidi"/>
      <w:b/>
      <w:bCs/>
      <w:sz w:val="28"/>
      <w:szCs w:val="32"/>
      <w:lang w:val="fr-FR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43334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43334"/>
    <w:rPr>
      <w:rFonts w:ascii="Times New Roman" w:eastAsia="SimSun" w:hAnsi="Times New Roman" w:cs="Times New Roman"/>
      <w:kern w:val="0"/>
      <w:sz w:val="18"/>
      <w:szCs w:val="20"/>
      <w:lang w:val="fr-F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A43334"/>
    <w:rPr>
      <w:vertAlign w:val="superscript"/>
      <w:lang w:val="fr-FR"/>
    </w:rPr>
  </w:style>
  <w:style w:type="paragraph" w:customStyle="1" w:styleId="Footnote">
    <w:name w:val="Footnote"/>
    <w:basedOn w:val="FootnoteText"/>
    <w:qFormat/>
    <w:rsid w:val="00A43334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fr-FR"/>
      <w14:ligatures w14:val="none"/>
    </w:rPr>
  </w:style>
  <w:style w:type="paragraph" w:customStyle="1" w:styleId="Para1">
    <w:name w:val="Para 1"/>
    <w:basedOn w:val="Normal"/>
    <w:qFormat/>
    <w:rsid w:val="00480A8D"/>
    <w:pPr>
      <w:spacing w:before="120" w:after="120"/>
      <w:ind w:left="567"/>
    </w:pPr>
  </w:style>
  <w:style w:type="character" w:customStyle="1" w:styleId="Heading2Char">
    <w:name w:val="Heading 2 Char"/>
    <w:basedOn w:val="DefaultParagraphFont"/>
    <w:link w:val="Heading2"/>
    <w:uiPriority w:val="9"/>
    <w:rsid w:val="00A43334"/>
    <w:rPr>
      <w:rFonts w:ascii="Times New Roman Bold" w:eastAsiaTheme="majorEastAsia" w:hAnsi="Times New Roman Bold" w:cstheme="majorBidi"/>
      <w:b/>
      <w:kern w:val="0"/>
      <w:sz w:val="24"/>
      <w:szCs w:val="26"/>
      <w:lang w:val="fr-FR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  <w:lang w:val="fr-FR"/>
    </w:rPr>
  </w:style>
  <w:style w:type="paragraph" w:styleId="Header">
    <w:name w:val="header"/>
    <w:basedOn w:val="Normal"/>
    <w:link w:val="HeaderChar"/>
    <w:rsid w:val="00A43334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</w:style>
  <w:style w:type="character" w:customStyle="1" w:styleId="HeaderChar">
    <w:name w:val="Header Char"/>
    <w:basedOn w:val="DefaultParagraphFont"/>
    <w:link w:val="Header"/>
    <w:rsid w:val="00A43334"/>
    <w:rPr>
      <w:rFonts w:ascii="Times New Roman" w:eastAsia="SimSun" w:hAnsi="Times New Roman" w:cs="Times New Roman"/>
      <w:kern w:val="0"/>
      <w:lang w:val="fr-FR"/>
      <w14:ligatures w14:val="none"/>
    </w:rPr>
  </w:style>
  <w:style w:type="paragraph" w:styleId="Footer">
    <w:name w:val="footer"/>
    <w:basedOn w:val="Normal"/>
    <w:link w:val="FooterChar"/>
    <w:uiPriority w:val="99"/>
    <w:rsid w:val="00A433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3334"/>
    <w:rPr>
      <w:rFonts w:ascii="Times New Roman" w:eastAsia="SimSun" w:hAnsi="Times New Roman" w:cs="Times New Roman"/>
      <w:kern w:val="0"/>
      <w:lang w:val="fr-FR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A43334"/>
    <w:rPr>
      <w:rFonts w:ascii="Times New Roman" w:eastAsiaTheme="majorEastAsia" w:hAnsi="Times New Roman" w:cs="Times New Roman"/>
      <w:b/>
      <w:bCs/>
      <w:kern w:val="0"/>
      <w:lang w:val="fr-FR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A43334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5C0058"/>
    <w:pPr>
      <w:spacing w:before="120" w:after="120"/>
      <w:ind w:left="1134"/>
    </w:pPr>
  </w:style>
  <w:style w:type="character" w:customStyle="1" w:styleId="Heading4Char">
    <w:name w:val="Heading 4 Char"/>
    <w:basedOn w:val="DefaultParagraphFont"/>
    <w:link w:val="Heading4"/>
    <w:uiPriority w:val="9"/>
    <w:rsid w:val="00A43334"/>
    <w:rPr>
      <w:rFonts w:ascii="Times New Roman" w:eastAsiaTheme="majorEastAsia" w:hAnsi="Times New Roman" w:cs="Times New Roman"/>
      <w:b/>
      <w:bCs/>
      <w:kern w:val="0"/>
      <w:lang w:val="fr-FR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A43334"/>
    <w:rPr>
      <w:rFonts w:ascii="Times New Roman" w:eastAsiaTheme="majorEastAsia" w:hAnsi="Times New Roman" w:cs="Times New Roman"/>
      <w:i/>
      <w:iCs/>
      <w:kern w:val="0"/>
      <w:lang w:val="fr-FR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43334"/>
    <w:rPr>
      <w:sz w:val="16"/>
      <w:szCs w:val="16"/>
      <w:lang w:val="fr-FR"/>
    </w:rPr>
  </w:style>
  <w:style w:type="paragraph" w:styleId="CommentText">
    <w:name w:val="annotation text"/>
    <w:basedOn w:val="Normal"/>
    <w:link w:val="CommentTextChar"/>
    <w:uiPriority w:val="99"/>
    <w:rsid w:val="00A4333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3334"/>
    <w:rPr>
      <w:rFonts w:ascii="Times New Roman" w:eastAsia="SimSun" w:hAnsi="Times New Roman" w:cs="Times New Roman"/>
      <w:kern w:val="0"/>
      <w:sz w:val="20"/>
      <w:szCs w:val="20"/>
      <w:lang w:val="fr-FR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33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3334"/>
    <w:rPr>
      <w:rFonts w:ascii="Times New Roman" w:eastAsia="SimSun" w:hAnsi="Times New Roman" w:cs="Times New Roman"/>
      <w:b/>
      <w:bCs/>
      <w:kern w:val="0"/>
      <w:sz w:val="20"/>
      <w:szCs w:val="20"/>
      <w:lang w:val="fr-FR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A43334"/>
    <w:rPr>
      <w:rFonts w:ascii="Times New Roman" w:eastAsia="SimSun" w:hAnsi="Times New Roman" w:cs="Times New Roman"/>
      <w:bCs/>
      <w:kern w:val="0"/>
      <w:sz w:val="24"/>
      <w:lang w:val="fr-FR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A43334"/>
    <w:rPr>
      <w:rFonts w:ascii="Times New Roman" w:eastAsia="SimSun" w:hAnsi="Times New Roman" w:cs="Times New Roman"/>
      <w:b/>
      <w:snapToGrid w:val="0"/>
      <w:kern w:val="0"/>
      <w:u w:val="single"/>
      <w:lang w:val="fr-FR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A43334"/>
    <w:rPr>
      <w:rFonts w:ascii="Times New Roman" w:eastAsia="SimSun" w:hAnsi="Times New Roman" w:cs="Times New Roman"/>
      <w:b/>
      <w:snapToGrid w:val="0"/>
      <w:kern w:val="0"/>
      <w:u w:val="single"/>
      <w:lang w:val="fr-FR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A43334"/>
    <w:rPr>
      <w:rFonts w:ascii="Times New Roman" w:eastAsia="SimSun" w:hAnsi="Times New Roman" w:cs="Times New Roman"/>
      <w:snapToGrid w:val="0"/>
      <w:kern w:val="0"/>
      <w:u w:val="single"/>
      <w:lang w:val="fr-FR"/>
      <w14:ligatures w14:val="none"/>
    </w:rPr>
  </w:style>
  <w:style w:type="paragraph" w:styleId="Revision">
    <w:name w:val="Revision"/>
    <w:hidden/>
    <w:uiPriority w:val="99"/>
    <w:semiHidden/>
    <w:rsid w:val="00A43334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sz w:val="24"/>
      <w:szCs w:val="24"/>
      <w14:ligatures w14:val="none"/>
    </w:rPr>
  </w:style>
  <w:style w:type="paragraph" w:customStyle="1" w:styleId="DarkList-Accent31">
    <w:name w:val="Dark List - Accent 31"/>
    <w:hidden/>
    <w:uiPriority w:val="99"/>
    <w:semiHidden/>
    <w:rsid w:val="00A43334"/>
    <w:pPr>
      <w:spacing w:after="0" w:line="240" w:lineRule="auto"/>
    </w:pPr>
    <w:rPr>
      <w:rFonts w:ascii="Times New Roman" w:eastAsia="SimSun" w:hAnsi="Times New Roman" w:cs="Times New Roman"/>
      <w:kern w:val="0"/>
      <w:lang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A43334"/>
    <w:pPr>
      <w:spacing w:after="120"/>
    </w:pPr>
  </w:style>
  <w:style w:type="paragraph" w:customStyle="1" w:styleId="ABSymbol">
    <w:name w:val="AB_Symbol"/>
    <w:basedOn w:val="Normal"/>
    <w:qFormat/>
    <w:rsid w:val="00A43334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8D3EA6"/>
    <w:pPr>
      <w:numPr>
        <w:numId w:val="78"/>
      </w:numPr>
      <w:tabs>
        <w:tab w:val="left" w:pos="567"/>
        <w:tab w:val="left" w:pos="1134"/>
        <w:tab w:val="left" w:pos="1701"/>
        <w:tab w:val="left" w:pos="2268"/>
        <w:tab w:val="left" w:pos="3969"/>
      </w:tabs>
      <w:spacing w:after="120"/>
    </w:pPr>
  </w:style>
  <w:style w:type="paragraph" w:customStyle="1" w:styleId="AFCorNotNormal">
    <w:name w:val="AF_CorNotNormal"/>
    <w:basedOn w:val="Normal"/>
    <w:unhideWhenUsed/>
    <w:rsid w:val="00A43334"/>
  </w:style>
  <w:style w:type="paragraph" w:customStyle="1" w:styleId="AEDistrNormal">
    <w:name w:val="AE_DistrNormal"/>
    <w:basedOn w:val="Normal"/>
    <w:unhideWhenUsed/>
    <w:rsid w:val="00A43334"/>
    <w:pPr>
      <w:jc w:val="left"/>
    </w:pPr>
  </w:style>
  <w:style w:type="paragraph" w:customStyle="1" w:styleId="AASmallLogo">
    <w:name w:val="AA_SmallLogo"/>
    <w:basedOn w:val="AEDistrNormal"/>
    <w:unhideWhenUsed/>
    <w:rsid w:val="00A43334"/>
    <w:rPr>
      <w:sz w:val="4"/>
    </w:rPr>
  </w:style>
  <w:style w:type="paragraph" w:customStyle="1" w:styleId="ACLargeLogo">
    <w:name w:val="AC_LargeLogo"/>
    <w:basedOn w:val="AFCorNotNormal"/>
    <w:next w:val="AISpacer"/>
    <w:unhideWhenUsed/>
    <w:rsid w:val="00A43334"/>
    <w:pPr>
      <w:spacing w:before="160"/>
      <w:jc w:val="left"/>
    </w:pPr>
    <w:rPr>
      <w:sz w:val="8"/>
    </w:rPr>
  </w:style>
  <w:style w:type="paragraph" w:customStyle="1" w:styleId="CBDNormal">
    <w:name w:val="CBD_Normal"/>
    <w:unhideWhenUsed/>
    <w:qFormat/>
    <w:rsid w:val="00A43334"/>
    <w:pPr>
      <w:tabs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styleId="List">
    <w:name w:val="List"/>
    <w:basedOn w:val="Normal"/>
    <w:semiHidden/>
    <w:rsid w:val="00A43334"/>
    <w:pPr>
      <w:contextualSpacing/>
    </w:pPr>
  </w:style>
  <w:style w:type="numbering" w:customStyle="1" w:styleId="ListCBD">
    <w:name w:val="ListCBD"/>
    <w:basedOn w:val="NoList"/>
    <w:uiPriority w:val="99"/>
    <w:rsid w:val="00A43334"/>
    <w:pPr>
      <w:numPr>
        <w:numId w:val="39"/>
      </w:numPr>
    </w:pPr>
  </w:style>
  <w:style w:type="paragraph" w:styleId="ListParagraph">
    <w:name w:val="List Paragraph"/>
    <w:basedOn w:val="Normal"/>
    <w:uiPriority w:val="34"/>
    <w:qFormat/>
    <w:rsid w:val="00A43334"/>
    <w:pPr>
      <w:ind w:left="720"/>
      <w:contextualSpacing/>
    </w:pPr>
  </w:style>
  <w:style w:type="numbering" w:customStyle="1" w:styleId="CBDHeadings">
    <w:name w:val="CBD_Headings"/>
    <w:basedOn w:val="ListCBD"/>
    <w:uiPriority w:val="99"/>
    <w:rsid w:val="00A43334"/>
    <w:pPr>
      <w:numPr>
        <w:numId w:val="57"/>
      </w:numPr>
    </w:pPr>
  </w:style>
  <w:style w:type="paragraph" w:customStyle="1" w:styleId="AISpacer">
    <w:name w:val="AI_Spacer"/>
    <w:next w:val="Normal"/>
    <w:unhideWhenUsed/>
    <w:qFormat/>
    <w:rsid w:val="00A43334"/>
    <w:pPr>
      <w:spacing w:after="0" w:line="240" w:lineRule="auto"/>
    </w:pPr>
    <w:rPr>
      <w:rFonts w:ascii="Times New Roman" w:eastAsia="SimSun" w:hAnsi="Times New Roman" w:cs="Times New Roman"/>
      <w:kern w:val="0"/>
      <w:sz w:val="2"/>
      <w14:ligatures w14:val="none"/>
    </w:rPr>
  </w:style>
  <w:style w:type="paragraph" w:customStyle="1" w:styleId="AEDistrNormal6pt">
    <w:name w:val="AE_DistrNormal6pt"/>
    <w:basedOn w:val="AEDistrNormal"/>
    <w:next w:val="AFCorNotNormal"/>
    <w:unhideWhenUsed/>
    <w:qFormat/>
    <w:rsid w:val="00A43334"/>
    <w:pPr>
      <w:spacing w:before="120"/>
    </w:pPr>
  </w:style>
  <w:style w:type="paragraph" w:customStyle="1" w:styleId="AFCorNotBold">
    <w:name w:val="AF_CorNotBold"/>
    <w:basedOn w:val="AFCorNotNormal"/>
    <w:next w:val="AFCorNotNormal"/>
    <w:unhideWhenUsed/>
    <w:qFormat/>
    <w:rsid w:val="00A43334"/>
    <w:rPr>
      <w:b/>
    </w:rPr>
  </w:style>
  <w:style w:type="paragraph" w:customStyle="1" w:styleId="AFCorNot12Bold">
    <w:name w:val="AF_CorNot12Bold"/>
    <w:basedOn w:val="AFCorNotNormal"/>
    <w:next w:val="AFCorNotNormal"/>
    <w:unhideWhenUsed/>
    <w:qFormat/>
    <w:rsid w:val="00A43334"/>
    <w:pPr>
      <w:jc w:val="left"/>
    </w:pPr>
    <w:rPr>
      <w:b/>
      <w:sz w:val="24"/>
    </w:rPr>
  </w:style>
  <w:style w:type="paragraph" w:customStyle="1" w:styleId="CBDAgendaItem">
    <w:name w:val="CBD_AgendaItem"/>
    <w:basedOn w:val="Normal"/>
    <w:qFormat/>
    <w:rsid w:val="00A43334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A43334"/>
    <w:pPr>
      <w:spacing w:after="120"/>
      <w:ind w:left="567"/>
    </w:pPr>
  </w:style>
  <w:style w:type="paragraph" w:customStyle="1" w:styleId="CBDDesicionAnnex">
    <w:name w:val="CBD_DesicionAnnex"/>
    <w:basedOn w:val="CBDNormal"/>
    <w:next w:val="CBDDesicionText"/>
    <w:qFormat/>
    <w:rsid w:val="00A43334"/>
    <w:pPr>
      <w:keepNext/>
      <w:keepLines/>
      <w:spacing w:before="12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character" w:styleId="Hyperlink">
    <w:name w:val="Hyperlink"/>
    <w:basedOn w:val="DefaultParagraphFont"/>
    <w:uiPriority w:val="99"/>
    <w:unhideWhenUsed/>
    <w:rsid w:val="00A43334"/>
    <w:rPr>
      <w:color w:val="0563C1" w:themeColor="hyperlink"/>
      <w:u w:val="single"/>
      <w:lang w:val="fr-FR"/>
    </w:rPr>
  </w:style>
  <w:style w:type="paragraph" w:customStyle="1" w:styleId="CBDAnnex">
    <w:name w:val="CBD_Annex"/>
    <w:basedOn w:val="CBDNormal"/>
    <w:next w:val="CBDTitle"/>
    <w:qFormat/>
    <w:rsid w:val="00A43334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A43334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A43334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A43334"/>
  </w:style>
  <w:style w:type="paragraph" w:customStyle="1" w:styleId="CBDH1">
    <w:name w:val="CBD_H1"/>
    <w:basedOn w:val="CBDNormal"/>
    <w:qFormat/>
    <w:rsid w:val="00A43334"/>
    <w:pPr>
      <w:keepNext/>
      <w:keepLines/>
      <w:spacing w:before="240" w:after="120"/>
      <w:ind w:left="567" w:hanging="567"/>
      <w:jc w:val="left"/>
    </w:pPr>
    <w:rPr>
      <w:b/>
      <w:sz w:val="28"/>
    </w:rPr>
  </w:style>
  <w:style w:type="paragraph" w:customStyle="1" w:styleId="CBDH2">
    <w:name w:val="CBD_H2"/>
    <w:basedOn w:val="CBDNormalNumber"/>
    <w:qFormat/>
    <w:rsid w:val="00A43334"/>
    <w:pPr>
      <w:keepNext/>
      <w:keepLines/>
      <w:spacing w:before="120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A43334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A43334"/>
    <w:rPr>
      <w:sz w:val="20"/>
    </w:rPr>
  </w:style>
  <w:style w:type="paragraph" w:customStyle="1" w:styleId="CBDHeader">
    <w:name w:val="CBD_Header"/>
    <w:basedOn w:val="CBDNormal"/>
    <w:next w:val="CBDFooter"/>
    <w:qFormat/>
    <w:rsid w:val="00A43334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</w:style>
  <w:style w:type="paragraph" w:customStyle="1" w:styleId="CBDH3">
    <w:name w:val="CBD_H3"/>
    <w:basedOn w:val="Heading3"/>
    <w:qFormat/>
    <w:rsid w:val="00B22262"/>
    <w:pPr>
      <w:tabs>
        <w:tab w:val="left" w:pos="567"/>
      </w:tabs>
    </w:pPr>
    <w:rPr>
      <w:rFonts w:ascii="Times New Roman Bold" w:hAnsi="Times New Roman Bold" w:cs="Times New Roman Bold"/>
    </w:rPr>
  </w:style>
  <w:style w:type="paragraph" w:customStyle="1" w:styleId="CBDH4">
    <w:name w:val="CBD_H4"/>
    <w:basedOn w:val="CBDNormal"/>
    <w:qFormat/>
    <w:rsid w:val="00A43334"/>
    <w:pPr>
      <w:keepNext/>
      <w:keepLines/>
      <w:spacing w:before="120" w:after="120"/>
      <w:jc w:val="left"/>
    </w:pPr>
    <w:rPr>
      <w:b/>
    </w:rPr>
  </w:style>
  <w:style w:type="paragraph" w:customStyle="1" w:styleId="CBDH5">
    <w:name w:val="CBD_H5"/>
    <w:basedOn w:val="CBDNormal"/>
    <w:qFormat/>
    <w:rsid w:val="00A43334"/>
    <w:pPr>
      <w:keepNext/>
      <w:keepLines/>
      <w:spacing w:before="120" w:after="120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A43334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A43334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A43334"/>
    <w:pPr>
      <w:keepNext/>
      <w:keepLines/>
      <w:spacing w:before="120" w:after="60"/>
      <w:ind w:left="567"/>
      <w:jc w:val="left"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33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334"/>
    <w:rPr>
      <w:rFonts w:ascii="Segoe UI" w:eastAsia="SimSun" w:hAnsi="Segoe UI" w:cs="Segoe UI"/>
      <w:kern w:val="0"/>
      <w:sz w:val="18"/>
      <w:szCs w:val="18"/>
      <w:lang w:val="fr-FR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A43334"/>
  </w:style>
  <w:style w:type="paragraph" w:styleId="BlockText">
    <w:name w:val="Block Text"/>
    <w:basedOn w:val="Normal"/>
    <w:uiPriority w:val="99"/>
    <w:semiHidden/>
    <w:unhideWhenUsed/>
    <w:rsid w:val="00A43334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4333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43334"/>
    <w:rPr>
      <w:rFonts w:ascii="Times New Roman" w:eastAsia="SimSun" w:hAnsi="Times New Roman" w:cs="Times New Roman"/>
      <w:kern w:val="0"/>
      <w:lang w:val="fr-FR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4333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43334"/>
    <w:rPr>
      <w:rFonts w:ascii="Times New Roman" w:eastAsia="SimSun" w:hAnsi="Times New Roman" w:cs="Times New Roman"/>
      <w:kern w:val="0"/>
      <w:sz w:val="16"/>
      <w:szCs w:val="16"/>
      <w:lang w:val="fr-FR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43334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43334"/>
    <w:rPr>
      <w:rFonts w:ascii="Times New Roman" w:eastAsia="SimSun" w:hAnsi="Times New Roman" w:cs="Times New Roman"/>
      <w:kern w:val="0"/>
      <w:lang w:val="fr-FR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43334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43334"/>
    <w:rPr>
      <w:rFonts w:ascii="Times New Roman" w:eastAsia="SimSun" w:hAnsi="Times New Roman" w:cs="Times New Roman"/>
      <w:kern w:val="0"/>
      <w:lang w:val="fr-FR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43334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43334"/>
    <w:rPr>
      <w:rFonts w:ascii="Times New Roman" w:eastAsia="SimSun" w:hAnsi="Times New Roman" w:cs="Times New Roman"/>
      <w:kern w:val="0"/>
      <w:lang w:val="fr-FR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43334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43334"/>
    <w:rPr>
      <w:rFonts w:ascii="Times New Roman" w:eastAsia="SimSun" w:hAnsi="Times New Roman" w:cs="Times New Roman"/>
      <w:kern w:val="0"/>
      <w:lang w:val="fr-FR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43334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43334"/>
    <w:rPr>
      <w:rFonts w:ascii="Times New Roman" w:eastAsia="SimSun" w:hAnsi="Times New Roman" w:cs="Times New Roman"/>
      <w:kern w:val="0"/>
      <w:sz w:val="16"/>
      <w:szCs w:val="16"/>
      <w:lang w:val="fr-FR"/>
      <w14:ligatures w14:val="none"/>
    </w:rPr>
  </w:style>
  <w:style w:type="character" w:styleId="BookTitle">
    <w:name w:val="Book Title"/>
    <w:basedOn w:val="DefaultParagraphFont"/>
    <w:uiPriority w:val="33"/>
    <w:qFormat/>
    <w:rsid w:val="00A43334"/>
    <w:rPr>
      <w:b/>
      <w:bCs/>
      <w:i/>
      <w:iCs/>
      <w:spacing w:val="5"/>
      <w:lang w:val="fr-FR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43334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A43334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43334"/>
    <w:rPr>
      <w:rFonts w:ascii="Times New Roman" w:eastAsia="SimSun" w:hAnsi="Times New Roman" w:cs="Times New Roman"/>
      <w:kern w:val="0"/>
      <w:lang w:val="fr-FR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43334"/>
  </w:style>
  <w:style w:type="character" w:customStyle="1" w:styleId="DateChar">
    <w:name w:val="Date Char"/>
    <w:basedOn w:val="DefaultParagraphFont"/>
    <w:link w:val="Date"/>
    <w:uiPriority w:val="99"/>
    <w:semiHidden/>
    <w:rsid w:val="00A43334"/>
    <w:rPr>
      <w:rFonts w:ascii="Times New Roman" w:eastAsia="SimSun" w:hAnsi="Times New Roman" w:cs="Times New Roman"/>
      <w:kern w:val="0"/>
      <w:lang w:val="fr-FR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43334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43334"/>
    <w:rPr>
      <w:rFonts w:ascii="Segoe UI" w:eastAsia="SimSun" w:hAnsi="Segoe UI" w:cs="Segoe UI"/>
      <w:kern w:val="0"/>
      <w:sz w:val="16"/>
      <w:szCs w:val="16"/>
      <w:lang w:val="fr-FR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43334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43334"/>
    <w:rPr>
      <w:rFonts w:ascii="Times New Roman" w:eastAsia="SimSun" w:hAnsi="Times New Roman" w:cs="Times New Roman"/>
      <w:kern w:val="0"/>
      <w:lang w:val="fr-FR"/>
      <w14:ligatures w14:val="none"/>
    </w:rPr>
  </w:style>
  <w:style w:type="character" w:styleId="Emphasis">
    <w:name w:val="Emphasis"/>
    <w:basedOn w:val="DefaultParagraphFont"/>
    <w:uiPriority w:val="20"/>
    <w:qFormat/>
    <w:rsid w:val="00A43334"/>
    <w:rPr>
      <w:i/>
      <w:iCs/>
      <w:lang w:val="fr-FR"/>
    </w:rPr>
  </w:style>
  <w:style w:type="character" w:styleId="EndnoteReference">
    <w:name w:val="endnote reference"/>
    <w:basedOn w:val="DefaultParagraphFont"/>
    <w:uiPriority w:val="99"/>
    <w:semiHidden/>
    <w:unhideWhenUsed/>
    <w:rsid w:val="00A43334"/>
    <w:rPr>
      <w:vertAlign w:val="superscript"/>
      <w:lang w:val="fr-FR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4333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43334"/>
    <w:rPr>
      <w:rFonts w:ascii="Times New Roman" w:eastAsia="SimSun" w:hAnsi="Times New Roman" w:cs="Times New Roman"/>
      <w:kern w:val="0"/>
      <w:sz w:val="20"/>
      <w:szCs w:val="20"/>
      <w:lang w:val="fr-FR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A43334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43334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43334"/>
    <w:rPr>
      <w:color w:val="954F72" w:themeColor="followedHyperlink"/>
      <w:u w:val="single"/>
      <w:lang w:val="fr-FR"/>
    </w:rPr>
  </w:style>
  <w:style w:type="table" w:styleId="GridTable1Light">
    <w:name w:val="Grid Table 1 Light"/>
    <w:basedOn w:val="TableNormal"/>
    <w:uiPriority w:val="46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43334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43334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4333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43334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43334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4333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43334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43334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4333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43334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43334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4333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Hashtag">
    <w:name w:val="Hashtag"/>
    <w:basedOn w:val="DefaultParagraphFont"/>
    <w:uiPriority w:val="99"/>
    <w:semiHidden/>
    <w:unhideWhenUsed/>
    <w:rsid w:val="00A43334"/>
    <w:rPr>
      <w:color w:val="2B579A"/>
      <w:shd w:val="clear" w:color="auto" w:fill="E1DFDD"/>
      <w:lang w:val="fr-FR"/>
    </w:rPr>
  </w:style>
  <w:style w:type="character" w:styleId="HTMLAcronym">
    <w:name w:val="HTML Acronym"/>
    <w:basedOn w:val="DefaultParagraphFont"/>
    <w:uiPriority w:val="99"/>
    <w:semiHidden/>
    <w:unhideWhenUsed/>
    <w:rsid w:val="00A43334"/>
    <w:rPr>
      <w:lang w:val="fr-FR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43334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43334"/>
    <w:rPr>
      <w:rFonts w:ascii="Times New Roman" w:eastAsia="SimSun" w:hAnsi="Times New Roman" w:cs="Times New Roman"/>
      <w:i/>
      <w:iCs/>
      <w:kern w:val="0"/>
      <w:lang w:val="fr-FR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A43334"/>
    <w:rPr>
      <w:i/>
      <w:iCs/>
      <w:lang w:val="fr-FR"/>
    </w:rPr>
  </w:style>
  <w:style w:type="character" w:styleId="HTMLCode">
    <w:name w:val="HTML Code"/>
    <w:basedOn w:val="DefaultParagraphFont"/>
    <w:uiPriority w:val="99"/>
    <w:semiHidden/>
    <w:unhideWhenUsed/>
    <w:rsid w:val="00A43334"/>
    <w:rPr>
      <w:rFonts w:ascii="Consolas" w:hAnsi="Consolas"/>
      <w:sz w:val="20"/>
      <w:szCs w:val="20"/>
      <w:lang w:val="fr-FR"/>
    </w:rPr>
  </w:style>
  <w:style w:type="character" w:styleId="HTMLDefinition">
    <w:name w:val="HTML Definition"/>
    <w:basedOn w:val="DefaultParagraphFont"/>
    <w:uiPriority w:val="99"/>
    <w:semiHidden/>
    <w:unhideWhenUsed/>
    <w:rsid w:val="00A43334"/>
    <w:rPr>
      <w:i/>
      <w:iCs/>
      <w:lang w:val="fr-FR"/>
    </w:rPr>
  </w:style>
  <w:style w:type="character" w:styleId="HTMLKeyboard">
    <w:name w:val="HTML Keyboard"/>
    <w:basedOn w:val="DefaultParagraphFont"/>
    <w:uiPriority w:val="99"/>
    <w:semiHidden/>
    <w:unhideWhenUsed/>
    <w:rsid w:val="00A43334"/>
    <w:rPr>
      <w:rFonts w:ascii="Consolas" w:hAnsi="Consolas"/>
      <w:sz w:val="20"/>
      <w:szCs w:val="20"/>
      <w:lang w:val="fr-FR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43334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43334"/>
    <w:rPr>
      <w:rFonts w:ascii="Consolas" w:eastAsia="SimSun" w:hAnsi="Consolas" w:cs="Times New Roman"/>
      <w:kern w:val="0"/>
      <w:sz w:val="20"/>
      <w:szCs w:val="20"/>
      <w:lang w:val="fr-FR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A43334"/>
    <w:rPr>
      <w:rFonts w:ascii="Consolas" w:hAnsi="Consolas"/>
      <w:sz w:val="24"/>
      <w:szCs w:val="24"/>
      <w:lang w:val="fr-FR"/>
    </w:rPr>
  </w:style>
  <w:style w:type="character" w:styleId="HTMLTypewriter">
    <w:name w:val="HTML Typewriter"/>
    <w:basedOn w:val="DefaultParagraphFont"/>
    <w:uiPriority w:val="99"/>
    <w:semiHidden/>
    <w:unhideWhenUsed/>
    <w:rsid w:val="00A43334"/>
    <w:rPr>
      <w:rFonts w:ascii="Consolas" w:hAnsi="Consolas"/>
      <w:sz w:val="20"/>
      <w:szCs w:val="20"/>
      <w:lang w:val="fr-FR"/>
    </w:rPr>
  </w:style>
  <w:style w:type="character" w:styleId="HTMLVariable">
    <w:name w:val="HTML Variable"/>
    <w:basedOn w:val="DefaultParagraphFont"/>
    <w:uiPriority w:val="99"/>
    <w:semiHidden/>
    <w:unhideWhenUsed/>
    <w:rsid w:val="00A43334"/>
    <w:rPr>
      <w:i/>
      <w:iCs/>
      <w:lang w:val="fr-FR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43334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43334"/>
    <w:rPr>
      <w:i/>
      <w:iCs/>
      <w:color w:val="4472C4" w:themeColor="accent1"/>
      <w:lang w:val="fr-FR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33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334"/>
    <w:rPr>
      <w:rFonts w:ascii="Times New Roman" w:eastAsia="SimSun" w:hAnsi="Times New Roman" w:cs="Times New Roman"/>
      <w:i/>
      <w:iCs/>
      <w:color w:val="4472C4" w:themeColor="accent1"/>
      <w:kern w:val="0"/>
      <w:lang w:val="fr-FR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A43334"/>
    <w:rPr>
      <w:b/>
      <w:bCs/>
      <w:smallCaps/>
      <w:color w:val="4472C4" w:themeColor="accent1"/>
      <w:spacing w:val="5"/>
      <w:lang w:val="fr-FR"/>
    </w:rPr>
  </w:style>
  <w:style w:type="table" w:styleId="LightGrid">
    <w:name w:val="Light Grid"/>
    <w:basedOn w:val="TableNormal"/>
    <w:uiPriority w:val="62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4333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43334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43334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4333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43334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43334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4333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43334"/>
    <w:rPr>
      <w:lang w:val="fr-FR"/>
    </w:rPr>
  </w:style>
  <w:style w:type="paragraph" w:styleId="List2">
    <w:name w:val="List 2"/>
    <w:basedOn w:val="Normal"/>
    <w:uiPriority w:val="99"/>
    <w:semiHidden/>
    <w:unhideWhenUsed/>
    <w:rsid w:val="00A43334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A43334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A43334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A43334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A43334"/>
    <w:pPr>
      <w:numPr>
        <w:numId w:val="2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A43334"/>
    <w:pPr>
      <w:numPr>
        <w:numId w:val="2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43334"/>
    <w:pPr>
      <w:numPr>
        <w:numId w:val="2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43334"/>
    <w:pPr>
      <w:numPr>
        <w:numId w:val="2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43334"/>
    <w:pPr>
      <w:numPr>
        <w:numId w:val="3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A43334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43334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43334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43334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43334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A43334"/>
    <w:pPr>
      <w:numPr>
        <w:numId w:val="6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A43334"/>
    <w:pPr>
      <w:numPr>
        <w:numId w:val="6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43334"/>
    <w:pPr>
      <w:numPr>
        <w:numId w:val="6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43334"/>
    <w:pPr>
      <w:numPr>
        <w:numId w:val="7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43334"/>
    <w:pPr>
      <w:numPr>
        <w:numId w:val="71"/>
      </w:numPr>
      <w:contextualSpacing/>
    </w:pPr>
  </w:style>
  <w:style w:type="table" w:styleId="ListTable1Light">
    <w:name w:val="List Table 1 Light"/>
    <w:basedOn w:val="TableNormal"/>
    <w:uiPriority w:val="46"/>
    <w:rsid w:val="00A4333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4333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4333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4333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4333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4333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4333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43334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43334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4333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43334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43334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4333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43334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43334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4333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43334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43334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4333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433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43334"/>
    <w:rPr>
      <w:rFonts w:ascii="Consolas" w:eastAsia="SimSun" w:hAnsi="Consolas" w:cs="Times New Roman"/>
      <w:kern w:val="0"/>
      <w:sz w:val="20"/>
      <w:szCs w:val="20"/>
      <w:lang w:val="fr-FR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DefaultParagraphFont"/>
    <w:uiPriority w:val="99"/>
    <w:unhideWhenUsed/>
    <w:rsid w:val="00A43334"/>
    <w:rPr>
      <w:color w:val="2B579A"/>
      <w:shd w:val="clear" w:color="auto" w:fill="E1DFDD"/>
      <w:lang w:val="fr-FR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433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43334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val="fr-FR"/>
      <w14:ligatures w14:val="none"/>
    </w:rPr>
  </w:style>
  <w:style w:type="paragraph" w:styleId="NoSpacing">
    <w:name w:val="No Spacing"/>
    <w:uiPriority w:val="1"/>
    <w:qFormat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43334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43334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43334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43334"/>
    <w:rPr>
      <w:rFonts w:ascii="Times New Roman" w:eastAsia="SimSun" w:hAnsi="Times New Roman" w:cs="Times New Roman"/>
      <w:kern w:val="0"/>
      <w:lang w:val="fr-FR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A43334"/>
    <w:rPr>
      <w:lang w:val="fr-FR"/>
    </w:rPr>
  </w:style>
  <w:style w:type="table" w:styleId="PlainTable1">
    <w:name w:val="Plain Table 1"/>
    <w:basedOn w:val="TableNormal"/>
    <w:uiPriority w:val="41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4333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4333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4333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43334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43334"/>
    <w:rPr>
      <w:rFonts w:ascii="Consolas" w:eastAsia="SimSun" w:hAnsi="Consolas" w:cs="Times New Roman"/>
      <w:kern w:val="0"/>
      <w:sz w:val="21"/>
      <w:szCs w:val="21"/>
      <w:lang w:val="fr-FR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A433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3334"/>
    <w:rPr>
      <w:rFonts w:ascii="Times New Roman" w:eastAsia="SimSun" w:hAnsi="Times New Roman" w:cs="Times New Roman"/>
      <w:i/>
      <w:iCs/>
      <w:color w:val="404040" w:themeColor="text1" w:themeTint="BF"/>
      <w:kern w:val="0"/>
      <w:lang w:val="fr-FR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4333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43334"/>
    <w:rPr>
      <w:rFonts w:ascii="Times New Roman" w:eastAsia="SimSun" w:hAnsi="Times New Roman" w:cs="Times New Roman"/>
      <w:kern w:val="0"/>
      <w:lang w:val="fr-FR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43334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43334"/>
    <w:rPr>
      <w:rFonts w:ascii="Times New Roman" w:eastAsia="SimSun" w:hAnsi="Times New Roman" w:cs="Times New Roman"/>
      <w:kern w:val="0"/>
      <w:lang w:val="fr-FR"/>
      <w14:ligatures w14:val="none"/>
    </w:rPr>
  </w:style>
  <w:style w:type="character" w:customStyle="1" w:styleId="SmartHyperlink">
    <w:name w:val="Smart Hyperlink"/>
    <w:basedOn w:val="DefaultParagraphFont"/>
    <w:uiPriority w:val="99"/>
    <w:semiHidden/>
    <w:unhideWhenUsed/>
    <w:rsid w:val="00A43334"/>
    <w:rPr>
      <w:u w:val="dotted"/>
      <w:lang w:val="fr-FR"/>
    </w:rPr>
  </w:style>
  <w:style w:type="character" w:customStyle="1" w:styleId="SmartLink">
    <w:name w:val="Smart Link"/>
    <w:basedOn w:val="DefaultParagraphFont"/>
    <w:uiPriority w:val="99"/>
    <w:semiHidden/>
    <w:unhideWhenUsed/>
    <w:rsid w:val="00A43334"/>
    <w:rPr>
      <w:color w:val="0000FF"/>
      <w:u w:val="single"/>
      <w:shd w:val="clear" w:color="auto" w:fill="F3F2F1"/>
      <w:lang w:val="fr-FR"/>
    </w:rPr>
  </w:style>
  <w:style w:type="character" w:styleId="Strong">
    <w:name w:val="Strong"/>
    <w:basedOn w:val="DefaultParagraphFont"/>
    <w:uiPriority w:val="22"/>
    <w:qFormat/>
    <w:rsid w:val="00A43334"/>
    <w:rPr>
      <w:b/>
      <w:bCs/>
      <w:lang w:val="fr-FR"/>
    </w:rPr>
  </w:style>
  <w:style w:type="character" w:styleId="SubtleEmphasis">
    <w:name w:val="Subtle Emphasis"/>
    <w:basedOn w:val="DefaultParagraphFont"/>
    <w:uiPriority w:val="19"/>
    <w:qFormat/>
    <w:rsid w:val="00A43334"/>
    <w:rPr>
      <w:i/>
      <w:iCs/>
      <w:color w:val="404040" w:themeColor="text1" w:themeTint="BF"/>
      <w:lang w:val="fr-FR"/>
    </w:rPr>
  </w:style>
  <w:style w:type="character" w:styleId="SubtleReference">
    <w:name w:val="Subtle Reference"/>
    <w:basedOn w:val="DefaultParagraphFont"/>
    <w:uiPriority w:val="31"/>
    <w:qFormat/>
    <w:rsid w:val="00A43334"/>
    <w:rPr>
      <w:smallCaps/>
      <w:color w:val="5A5A5A" w:themeColor="text1" w:themeTint="A5"/>
      <w:lang w:val="fr-FR"/>
    </w:rPr>
  </w:style>
  <w:style w:type="table" w:styleId="Table3Deffects1">
    <w:name w:val="Table 3D effects 1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4333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A43334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43334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2F5496" w:themeColor="accent1" w:themeShade="BF"/>
      <w:kern w:val="0"/>
      <w:sz w:val="32"/>
      <w14:ligatures w14:val="non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43334"/>
    <w:rPr>
      <w:color w:val="605E5C"/>
      <w:shd w:val="clear" w:color="auto" w:fill="E1DFDD"/>
      <w:lang w:val="fr-FR"/>
    </w:rPr>
  </w:style>
  <w:style w:type="paragraph" w:customStyle="1" w:styleId="Para10">
    <w:name w:val="Para1"/>
    <w:basedOn w:val="Normal"/>
    <w:link w:val="Para1Char1"/>
    <w:rsid w:val="00F82296"/>
    <w:pPr>
      <w:tabs>
        <w:tab w:val="clear" w:pos="567"/>
        <w:tab w:val="clear" w:pos="1134"/>
        <w:tab w:val="clear" w:pos="1701"/>
        <w:tab w:val="clear" w:pos="2268"/>
      </w:tabs>
      <w:spacing w:after="120"/>
    </w:pPr>
    <w:rPr>
      <w:rFonts w:eastAsia="MS Mincho" w:cs="Angsana New"/>
      <w:snapToGrid w:val="0"/>
      <w:szCs w:val="18"/>
    </w:rPr>
  </w:style>
  <w:style w:type="character" w:customStyle="1" w:styleId="Para1Char1">
    <w:name w:val="Para1 Char1"/>
    <w:link w:val="Para10"/>
    <w:rsid w:val="00F82296"/>
    <w:rPr>
      <w:rFonts w:ascii="Times New Roman" w:eastAsia="MS Mincho" w:hAnsi="Times New Roman" w:cs="Angsana New"/>
      <w:snapToGrid w:val="0"/>
      <w:kern w:val="0"/>
      <w:szCs w:val="18"/>
      <w:lang w:val="fr-FR"/>
      <w14:ligatures w14:val="none"/>
    </w:rPr>
  </w:style>
  <w:style w:type="paragraph" w:customStyle="1" w:styleId="Para30">
    <w:name w:val="Para3"/>
    <w:basedOn w:val="Normal"/>
    <w:rsid w:val="00F82296"/>
    <w:pPr>
      <w:tabs>
        <w:tab w:val="clear" w:pos="567"/>
        <w:tab w:val="clear" w:pos="1134"/>
        <w:tab w:val="clear" w:pos="1701"/>
        <w:tab w:val="clear" w:pos="2268"/>
        <w:tab w:val="num" w:pos="1440"/>
        <w:tab w:val="left" w:pos="1980"/>
      </w:tabs>
      <w:spacing w:before="80" w:after="80"/>
      <w:ind w:left="1440" w:hanging="360"/>
    </w:pPr>
    <w:rPr>
      <w:rFonts w:eastAsia="Times New Roman"/>
      <w:szCs w:val="20"/>
    </w:rPr>
  </w:style>
  <w:style w:type="paragraph" w:customStyle="1" w:styleId="Para4">
    <w:name w:val="Para4"/>
    <w:basedOn w:val="Para30"/>
    <w:rsid w:val="00F82296"/>
    <w:pPr>
      <w:tabs>
        <w:tab w:val="clear" w:pos="1440"/>
        <w:tab w:val="clear" w:pos="1980"/>
        <w:tab w:val="left" w:pos="2552"/>
        <w:tab w:val="num" w:pos="2880"/>
      </w:tabs>
      <w:ind w:left="2880"/>
    </w:pPr>
  </w:style>
  <w:style w:type="paragraph" w:customStyle="1" w:styleId="p1">
    <w:name w:val="p1"/>
    <w:basedOn w:val="Normal"/>
    <w:rsid w:val="0016191C"/>
    <w:pPr>
      <w:shd w:val="clear" w:color="auto" w:fill="FFFFFF"/>
      <w:tabs>
        <w:tab w:val="clear" w:pos="567"/>
        <w:tab w:val="clear" w:pos="1134"/>
        <w:tab w:val="clear" w:pos="1701"/>
        <w:tab w:val="clear" w:pos="2268"/>
      </w:tabs>
      <w:jc w:val="left"/>
    </w:pPr>
    <w:rPr>
      <w:rFonts w:ascii="Helvetica" w:eastAsiaTheme="minorEastAsia" w:hAnsi="Helvetica"/>
      <w:color w:val="0000EE"/>
      <w:sz w:val="18"/>
      <w:szCs w:val="18"/>
    </w:rPr>
  </w:style>
  <w:style w:type="paragraph" w:customStyle="1" w:styleId="p2">
    <w:name w:val="p2"/>
    <w:basedOn w:val="Normal"/>
    <w:rsid w:val="0016191C"/>
    <w:pPr>
      <w:shd w:val="clear" w:color="auto" w:fill="FFFFFF"/>
      <w:tabs>
        <w:tab w:val="clear" w:pos="567"/>
        <w:tab w:val="clear" w:pos="1134"/>
        <w:tab w:val="clear" w:pos="1701"/>
        <w:tab w:val="clear" w:pos="2268"/>
      </w:tabs>
      <w:jc w:val="left"/>
    </w:pPr>
    <w:rPr>
      <w:rFonts w:ascii="Helvetica" w:eastAsiaTheme="minorEastAsia" w:hAnsi="Helvetica"/>
      <w:color w:val="000000"/>
      <w:sz w:val="18"/>
      <w:szCs w:val="18"/>
    </w:rPr>
  </w:style>
  <w:style w:type="character" w:customStyle="1" w:styleId="s1">
    <w:name w:val="s1"/>
    <w:basedOn w:val="DefaultParagraphFont"/>
    <w:rsid w:val="0016191C"/>
    <w:rPr>
      <w:rFonts w:ascii="Helvetica" w:hAnsi="Helvetica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s2">
    <w:name w:val="s2"/>
    <w:basedOn w:val="DefaultParagraphFont"/>
    <w:rsid w:val="0016191C"/>
    <w:rPr>
      <w:rFonts w:ascii="Helvetica" w:hAnsi="Helvetica" w:hint="default"/>
      <w:b w:val="0"/>
      <w:bCs w:val="0"/>
      <w:i w:val="0"/>
      <w:iCs w:val="0"/>
      <w:color w:val="0000EE"/>
      <w:sz w:val="18"/>
      <w:szCs w:val="18"/>
      <w:u w:val="single"/>
    </w:rPr>
  </w:style>
  <w:style w:type="character" w:customStyle="1" w:styleId="s3">
    <w:name w:val="s3"/>
    <w:basedOn w:val="DefaultParagraphFont"/>
    <w:rsid w:val="0016191C"/>
    <w:rPr>
      <w:rFonts w:ascii="Helvetica" w:hAnsi="Helvetica" w:hint="default"/>
      <w:b w:val="0"/>
      <w:bCs w:val="0"/>
      <w:i w:val="0"/>
      <w:iCs w:val="0"/>
      <w:sz w:val="18"/>
      <w:szCs w:val="18"/>
    </w:rPr>
  </w:style>
  <w:style w:type="character" w:customStyle="1" w:styleId="eop">
    <w:name w:val="eop"/>
    <w:basedOn w:val="DefaultParagraphFont"/>
    <w:rsid w:val="006821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51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29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microsoft.com/office/2020/10/relationships/intelligence" Target="intelligence2.xml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cp-mop-10/cp-mop-10-dec-10-fr.pdf" TargetMode="External"/><Relationship Id="rId23" Type="http://schemas.microsoft.com/office/2019/05/relationships/documenttasks" Target="documenttasks/documenttasks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cp-mop-10/cp-mop-10-dec-10-en.pdf" TargetMode="Externa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unece.org/sites/default/files/2024-06/ECE.MP_.PP_.WG_.1.2024.6.E.pdf" TargetMode="External"/><Relationship Id="rId2" Type="http://schemas.openxmlformats.org/officeDocument/2006/relationships/hyperlink" Target="https://one.oecd.org/document/ENV/CBC/MONO(2023)30/en/pdf" TargetMode="External"/><Relationship Id="rId1" Type="http://schemas.openxmlformats.org/officeDocument/2006/relationships/hyperlink" Target="https://www.cbd.int/doc/decisions/cp-mop-10/cp-mop-10-dec-03-fr.pdf" TargetMode="External"/><Relationship Id="rId4" Type="http://schemas.openxmlformats.org/officeDocument/2006/relationships/hyperlink" Target="https://www.cbd.int/documents/CBD/CP/RA/OM/2023/1/2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1BE6FDE5-580E-41EC-9F7F-BD90C32F803F}">
    <t:Anchor>
      <t:Comment id="1722803388"/>
    </t:Anchor>
    <t:History>
      <t:Event id="{67E04B2D-237D-4B37-B1AE-0D5DE3B5BCAE}" time="2024-06-20T13:56:32.068Z">
        <t:Attribution userId="S::melissa.willey@un.org::fef176b2-600c-404c-b8c2-d64ff2363a93" userProvider="AD" userName="Melissa Willey"/>
        <t:Anchor>
          <t:Comment id="1722803388"/>
        </t:Anchor>
        <t:Create/>
      </t:Event>
      <t:Event id="{1C2F8CF4-B583-4214-A4FB-572532F06725}" time="2024-06-20T13:56:32.068Z">
        <t:Attribution userId="S::melissa.willey@un.org::fef176b2-600c-404c-b8c2-d64ff2363a93" userProvider="AD" userName="Melissa Willey"/>
        <t:Anchor>
          <t:Comment id="1722803388"/>
        </t:Anchor>
        <t:Assign userId="S::ulrika.nilsson@un.org::2fe16696-65d9-4ee1-a73a-6d286ec5184a" userProvider="AD" userName="Ulrika Nilsson"/>
      </t:Event>
      <t:Event id="{5AEE73B7-8F0B-4CD3-9308-24231F1FCDD6}" time="2024-06-20T13:56:32.068Z">
        <t:Attribution userId="S::melissa.willey@un.org::fef176b2-600c-404c-b8c2-d64ff2363a93" userProvider="AD" userName="Melissa Willey"/>
        <t:Anchor>
          <t:Comment id="1722803388"/>
        </t:Anchor>
        <t:SetTitle title="This reference to IICA is just hanging here without any text. @Ulrika Nilsson do you have anything you can add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099AB-BE24-485E-B3FF-0DC8B67479D0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2.xml><?xml version="1.0" encoding="utf-8"?>
<ds:datastoreItem xmlns:ds="http://schemas.openxmlformats.org/officeDocument/2006/customXml" ds:itemID="{2BC96319-B409-4B66-90BE-01ECF1D7B7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AC1689-0A59-439F-A042-8A03B86FA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1877</Words>
  <Characters>10328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Coopération avec les organisations internationales, les organismes créés en vertu d'autres conventions et les initiatives</vt:lpstr>
    </vt:vector>
  </TitlesOfParts>
  <Company/>
  <LinksUpToDate>false</LinksUpToDate>
  <CharactersWithSpaces>12181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Coopération avec les organisations internationales, les organismes créés en vertu d'autres conventions et les initiatives</dc:title>
  <dc:subject>CBD/CP/MOP/11/—</dc:subject>
  <dc:creator>Secretariat of the Convention on Biological Diversity</dc:creator>
  <cp:keywords>Conférence des Parties à la Convention sur la diversité biologique agissant comme réunion des Parties au Protocole de Cartagena sur la prévention des risques biotechnologiques</cp:keywords>
  <dc:description/>
  <cp:lastModifiedBy>Finn Kinley</cp:lastModifiedBy>
  <cp:revision>29</cp:revision>
  <cp:lastPrinted>2024-08-20T20:06:00Z</cp:lastPrinted>
  <dcterms:created xsi:type="dcterms:W3CDTF">2024-08-30T18:46:00Z</dcterms:created>
  <dcterms:modified xsi:type="dcterms:W3CDTF">2024-10-08T00:59:00Z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PlainPage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ContentTypeId">
    <vt:lpwstr>0x01010069BFACF6D92CD24AA50050CE23F68F74</vt:lpwstr>
  </property>
  <property fmtid="{D5CDD505-2E9C-101B-9397-08002B2CF9AE}" pid="9" name="MediaServiceImageTags">
    <vt:lpwstr/>
  </property>
</Properties>
</file>