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
          <w:sz w:val="28"/>
          <w:szCs w:val="28"/>
          <w:lang w:val="en-GB"/>
        </w:rPr>
        <w:t>High-Level Segment</w:t>
      </w:r>
      <w:r w:rsidRPr="009E77F6">
        <w:rPr>
          <w:rFonts w:ascii="Calibri Light" w:eastAsia="Calibri" w:hAnsi="Calibri Light" w:cs="Calibri Light"/>
          <w:bCs/>
          <w:sz w:val="28"/>
          <w:szCs w:val="28"/>
          <w:lang w:val="en-GB"/>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 xml:space="preserve">2020 </w:t>
      </w:r>
      <w:r w:rsidR="00B22FAB" w:rsidRPr="009E77F6">
        <w:rPr>
          <w:rFonts w:ascii="Calibri Light" w:eastAsia="Calibri" w:hAnsi="Calibri Light" w:cs="Calibri Light"/>
          <w:bCs/>
          <w:sz w:val="28"/>
          <w:szCs w:val="28"/>
          <w:lang w:val="en-GB"/>
        </w:rPr>
        <w:t>U</w:t>
      </w:r>
      <w:r w:rsidRPr="009E77F6">
        <w:rPr>
          <w:rFonts w:ascii="Calibri Light" w:eastAsia="Calibri" w:hAnsi="Calibri Light" w:cs="Calibri Light"/>
          <w:bCs/>
          <w:sz w:val="28"/>
          <w:szCs w:val="28"/>
          <w:lang w:val="en-GB"/>
        </w:rPr>
        <w:t xml:space="preserve">nited </w:t>
      </w:r>
      <w:r w:rsidR="00B22FAB" w:rsidRPr="009E77F6">
        <w:rPr>
          <w:rFonts w:ascii="Calibri Light" w:eastAsia="Calibri" w:hAnsi="Calibri Light" w:cs="Calibri Light"/>
          <w:bCs/>
          <w:sz w:val="28"/>
          <w:szCs w:val="28"/>
          <w:lang w:val="en-GB"/>
        </w:rPr>
        <w:t>N</w:t>
      </w:r>
      <w:r w:rsidRPr="009E77F6">
        <w:rPr>
          <w:rFonts w:ascii="Calibri Light" w:eastAsia="Calibri" w:hAnsi="Calibri Light" w:cs="Calibri Light"/>
          <w:bCs/>
          <w:sz w:val="28"/>
          <w:szCs w:val="28"/>
          <w:lang w:val="en-GB"/>
        </w:rPr>
        <w:t>ations</w:t>
      </w:r>
      <w:r w:rsidR="00B22FAB" w:rsidRPr="009E77F6">
        <w:rPr>
          <w:rFonts w:ascii="Calibri Light" w:eastAsia="Calibri" w:hAnsi="Calibri Light" w:cs="Calibri Light"/>
          <w:bCs/>
          <w:sz w:val="28"/>
          <w:szCs w:val="28"/>
          <w:lang w:val="en-GB"/>
        </w:rPr>
        <w:t xml:space="preserve"> Biodiversity Conference, Kunming, People’s Republic of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“Ecological Civilization-Building a Shared Future for All Life on Earth”</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2DB5BE97" w14:textId="77777777" w:rsidR="0038480C" w:rsidRDefault="0038480C" w:rsidP="003324A5">
      <w:pPr>
        <w:snapToGrid w:val="0"/>
        <w:contextualSpacing/>
        <w:jc w:val="center"/>
        <w:rPr>
          <w:rFonts w:ascii="Calibri Light" w:hAnsi="Calibri Light" w:cs="Calibri Light"/>
          <w:b/>
          <w:bCs/>
          <w:sz w:val="28"/>
          <w:szCs w:val="28"/>
        </w:rPr>
      </w:pPr>
      <w:r w:rsidRPr="0038480C">
        <w:rPr>
          <w:rFonts w:ascii="Calibri Light" w:hAnsi="Calibri Light" w:cs="Calibri Light"/>
          <w:b/>
          <w:bCs/>
          <w:sz w:val="28"/>
          <w:szCs w:val="28"/>
        </w:rPr>
        <w:t xml:space="preserve">Roundtable D: Knowledge, Innovation and Benefit Sharing </w:t>
      </w:r>
    </w:p>
    <w:p w14:paraId="0ADED3C8" w14:textId="77777777" w:rsidR="0038480C" w:rsidRDefault="0038480C" w:rsidP="0038480C">
      <w:pPr>
        <w:contextualSpacing/>
        <w:jc w:val="center"/>
        <w:rPr>
          <w:rFonts w:ascii="Calibri Light" w:hAnsi="Calibri Light" w:cs="Calibri Light"/>
        </w:rPr>
      </w:pPr>
      <w:r w:rsidRPr="0038480C">
        <w:rPr>
          <w:rFonts w:ascii="Calibri Light" w:hAnsi="Calibri Light" w:cs="Calibri Light"/>
        </w:rPr>
        <w:t>Ensuring that everyone benefits from biodiversity related knowledge, technologies and innovations, including through technology assessment governance and use.</w:t>
      </w:r>
    </w:p>
    <w:p w14:paraId="44751C60" w14:textId="77777777" w:rsidR="0038480C" w:rsidRDefault="0038480C" w:rsidP="0038480C">
      <w:pPr>
        <w:rPr>
          <w:rFonts w:ascii="Calibri Light" w:hAnsi="Calibri Light" w:cs="Calibri Light"/>
        </w:rPr>
      </w:pPr>
    </w:p>
    <w:p w14:paraId="6B9F35BD" w14:textId="216F4349" w:rsidR="00CB0E87" w:rsidRPr="0038480C" w:rsidRDefault="00CB0E87" w:rsidP="00D154DE">
      <w:pPr>
        <w:rPr>
          <w:rFonts w:ascii="Calibri Light" w:hAnsi="Calibri Light" w:cs="Calibri Light"/>
          <w:b/>
          <w:bCs/>
          <w:sz w:val="28"/>
          <w:szCs w:val="28"/>
        </w:rPr>
      </w:pPr>
      <w:r w:rsidRPr="00847C1C">
        <w:rPr>
          <w:rFonts w:ascii="Calibri Light" w:hAnsi="Calibri Light" w:cs="Calibri Light"/>
          <w:b/>
          <w:bCs/>
        </w:rPr>
        <w:t>Context</w:t>
      </w:r>
    </w:p>
    <w:p w14:paraId="2B990F6B" w14:textId="56C020A8" w:rsidR="00CB0E87" w:rsidRPr="00C97C6C" w:rsidRDefault="003324A5" w:rsidP="003324A5">
      <w:pPr>
        <w:snapToGrid w:val="0"/>
        <w:spacing w:after="240"/>
        <w:contextualSpacing/>
        <w:jc w:val="both"/>
        <w:rPr>
          <w:rFonts w:ascii="Calibri Light" w:hAnsi="Calibri Light" w:cs="Calibri Light"/>
        </w:rPr>
      </w:pPr>
      <w:r w:rsidRPr="003324A5">
        <w:rPr>
          <w:rFonts w:ascii="Calibri Light" w:hAnsi="Calibri Light" w:cs="Calibri Light"/>
        </w:rPr>
        <w:t>Scientific research, technology transfer, capacity-building, access and benefit-sharing are important foundations for the conservation and</w:t>
      </w:r>
      <w:r>
        <w:rPr>
          <w:rFonts w:ascii="Calibri Light" w:hAnsi="Calibri Light" w:cs="Calibri Light"/>
        </w:rPr>
        <w:t xml:space="preserve"> </w:t>
      </w:r>
      <w:r w:rsidRPr="003324A5">
        <w:rPr>
          <w:rFonts w:ascii="Calibri Light" w:hAnsi="Calibri Light" w:cs="Calibri Light"/>
        </w:rPr>
        <w:t xml:space="preserve">sustainable use </w:t>
      </w:r>
      <w:r>
        <w:rPr>
          <w:rFonts w:ascii="Calibri Light" w:hAnsi="Calibri Light" w:cs="Calibri Light"/>
        </w:rPr>
        <w:t>o</w:t>
      </w:r>
      <w:r w:rsidRPr="003324A5">
        <w:rPr>
          <w:rFonts w:ascii="Calibri Light" w:hAnsi="Calibri Light" w:cs="Calibri Light"/>
        </w:rPr>
        <w:t>f biodiversity. Continued scientific research and knowledge from all sources is critical in providing comprehensive information on biodiversity to better inform decision-making</w:t>
      </w:r>
      <w:r w:rsidR="00754002">
        <w:rPr>
          <w:rFonts w:ascii="Calibri Light" w:hAnsi="Calibri Light" w:cs="Calibri Light"/>
        </w:rPr>
        <w:t xml:space="preserve"> o</w:t>
      </w:r>
      <w:r w:rsidRPr="003324A5">
        <w:rPr>
          <w:rFonts w:ascii="Calibri Light" w:hAnsi="Calibri Light" w:cs="Calibri Light"/>
        </w:rPr>
        <w:t xml:space="preserve">n its conservation, sustainable use and the fair and equitable sharing of benefits. </w:t>
      </w:r>
      <w:r w:rsidRPr="00C97C6C">
        <w:rPr>
          <w:rFonts w:ascii="Calibri Light" w:hAnsi="Calibri Light" w:cs="Calibri Light"/>
        </w:rPr>
        <w:t>Technology transfer, data-sharing and capacity-building are important components for the Post-2020 Global Biodiversity Framework.</w:t>
      </w:r>
      <w:r w:rsidR="00754002" w:rsidRPr="00C97C6C">
        <w:rPr>
          <w:rFonts w:ascii="Calibri Light" w:hAnsi="Calibri Light" w:cs="Calibri Light"/>
        </w:rPr>
        <w:t xml:space="preserve"> </w:t>
      </w:r>
      <w:r w:rsidRPr="00C97C6C">
        <w:rPr>
          <w:rFonts w:ascii="Calibri Light" w:hAnsi="Calibri Light" w:cs="Calibri Light"/>
        </w:rPr>
        <w:t>Cooperation between States is therefore necessary to share data and technology as well</w:t>
      </w:r>
      <w:r w:rsidR="00754002" w:rsidRPr="00C97C6C">
        <w:rPr>
          <w:rFonts w:ascii="Calibri Light" w:hAnsi="Calibri Light" w:cs="Calibri Light"/>
        </w:rPr>
        <w:t xml:space="preserve"> </w:t>
      </w:r>
      <w:r w:rsidRPr="00C97C6C">
        <w:rPr>
          <w:rFonts w:ascii="Calibri Light" w:hAnsi="Calibri Light" w:cs="Calibri Light"/>
        </w:rPr>
        <w:t>as</w:t>
      </w:r>
      <w:r w:rsidR="00754002" w:rsidRPr="00C97C6C">
        <w:rPr>
          <w:rFonts w:ascii="Calibri Light" w:hAnsi="Calibri Light" w:cs="Calibri Light"/>
        </w:rPr>
        <w:t xml:space="preserve"> </w:t>
      </w:r>
      <w:r w:rsidRPr="00C97C6C">
        <w:rPr>
          <w:rFonts w:ascii="Calibri Light" w:hAnsi="Calibri Light" w:cs="Calibri Light"/>
        </w:rPr>
        <w:t>to foster the scientific and technical capacity of developing countries</w:t>
      </w:r>
      <w:r w:rsidR="00DB5EF0" w:rsidRPr="00C97C6C">
        <w:rPr>
          <w:rFonts w:ascii="Calibri Light" w:hAnsi="Calibri Light" w:cs="Calibri Light"/>
        </w:rPr>
        <w:t>.</w:t>
      </w:r>
    </w:p>
    <w:p w14:paraId="4990D684" w14:textId="77777777" w:rsidR="003324A5" w:rsidRPr="00C97C6C" w:rsidRDefault="003324A5" w:rsidP="003324A5">
      <w:pPr>
        <w:snapToGrid w:val="0"/>
        <w:spacing w:after="240"/>
        <w:contextualSpacing/>
        <w:jc w:val="both"/>
        <w:rPr>
          <w:rFonts w:ascii="Calibri Light" w:hAnsi="Calibri Light" w:cs="Calibri Light"/>
        </w:rPr>
      </w:pPr>
    </w:p>
    <w:p w14:paraId="1B1CE239" w14:textId="77777777" w:rsidR="00C97C6C" w:rsidRPr="00C97C6C" w:rsidRDefault="00C97C6C" w:rsidP="00D154DE">
      <w:pPr>
        <w:snapToGrid w:val="0"/>
        <w:jc w:val="both"/>
        <w:rPr>
          <w:rFonts w:ascii="Calibri Light" w:eastAsia="DengXian" w:hAnsi="Calibri Light"/>
        </w:rPr>
      </w:pPr>
      <w:r w:rsidRPr="00C97C6C">
        <w:rPr>
          <w:rFonts w:ascii="Calibri Light" w:eastAsia="DengXian" w:hAnsi="Calibri Light"/>
          <w:b/>
          <w:bCs/>
        </w:rPr>
        <w:t>Knowledge systems</w:t>
      </w:r>
    </w:p>
    <w:p w14:paraId="3E1F6047" w14:textId="77777777" w:rsidR="00C97C6C" w:rsidRPr="00C97C6C" w:rsidRDefault="00C97C6C" w:rsidP="00C97C6C">
      <w:pPr>
        <w:pStyle w:val="ListParagraph"/>
        <w:numPr>
          <w:ilvl w:val="0"/>
          <w:numId w:val="12"/>
        </w:numPr>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Mobilizing available knowledge, know-how and expertise is critical to ensure effective action on biodiversity. Whilst there remain gaps in knowledge and capacity to address biodiversity loss, the evidence base for urgent action is robust. </w:t>
      </w:r>
    </w:p>
    <w:p w14:paraId="54BD46C7" w14:textId="72ACEAE0" w:rsidR="00C97C6C" w:rsidRPr="00C97C6C" w:rsidRDefault="00C97C6C" w:rsidP="00C97C6C">
      <w:pPr>
        <w:pStyle w:val="ListParagraph"/>
        <w:numPr>
          <w:ilvl w:val="0"/>
          <w:numId w:val="12"/>
        </w:numPr>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The contribution of various knowledge systems, including traditional and indigenous knowledge as well as the diverse and unique knowledge held by women, needs to be recognized as important and as complementary and equal to conventional science. This also involves respecting the rights and interests of diverse knowledge holders.  </w:t>
      </w:r>
    </w:p>
    <w:p w14:paraId="7C5128F7" w14:textId="77777777" w:rsidR="00C97C6C" w:rsidRPr="00C97C6C" w:rsidRDefault="00C97C6C" w:rsidP="00C97C6C">
      <w:pPr>
        <w:pStyle w:val="ListParagraph"/>
        <w:numPr>
          <w:ilvl w:val="0"/>
          <w:numId w:val="12"/>
        </w:numPr>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Considerable opportunities remain for recognizing the value of indigenous and local knowledge systems, and integrating them into the evidence base for action, and for multidisciplinary research and education to foster sustainable consumption and production and address the causes of biodiversity loss. </w:t>
      </w:r>
    </w:p>
    <w:p w14:paraId="509D826B" w14:textId="77777777" w:rsidR="00C97C6C" w:rsidRPr="00C97C6C" w:rsidRDefault="00C97C6C" w:rsidP="00C97C6C">
      <w:pPr>
        <w:spacing w:before="240" w:after="120"/>
        <w:jc w:val="both"/>
        <w:rPr>
          <w:rFonts w:ascii="Calibri Light" w:eastAsia="DengXian" w:hAnsi="Calibri Light"/>
        </w:rPr>
      </w:pPr>
      <w:r w:rsidRPr="00C97C6C">
        <w:rPr>
          <w:rFonts w:ascii="Calibri Light" w:eastAsia="DengXian" w:hAnsi="Calibri Light"/>
          <w:b/>
          <w:bCs/>
        </w:rPr>
        <w:t>Application of knowledge, technology transfer and capacity building</w:t>
      </w:r>
    </w:p>
    <w:p w14:paraId="45A111EC" w14:textId="77777777" w:rsidR="00C97C6C" w:rsidRPr="00C97C6C" w:rsidRDefault="00C97C6C" w:rsidP="00D154DE">
      <w:pPr>
        <w:pStyle w:val="ListParagraph"/>
        <w:numPr>
          <w:ilvl w:val="0"/>
          <w:numId w:val="12"/>
        </w:numPr>
        <w:snapToGrid w:val="0"/>
        <w:spacing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Many technologies are already available to help monitor, use, conserve and restore biodiversity, for example remote sensing tools for fishery vessel tracking, and gene sequencing and bioinformatics for targeted conservation.</w:t>
      </w:r>
      <w:r w:rsidRPr="00C97C6C">
        <w:rPr>
          <w:rFonts w:ascii="Calibri Light" w:hAnsi="Calibri Light"/>
          <w:sz w:val="24"/>
          <w:szCs w:val="24"/>
          <w:lang w:val="en-US"/>
        </w:rPr>
        <w:t xml:space="preserve"> </w:t>
      </w:r>
    </w:p>
    <w:p w14:paraId="4F395669" w14:textId="77777777" w:rsidR="00C97C6C" w:rsidRPr="00C97C6C" w:rsidRDefault="00C97C6C" w:rsidP="00D154DE">
      <w:pPr>
        <w:pStyle w:val="ListParagraph"/>
        <w:numPr>
          <w:ilvl w:val="0"/>
          <w:numId w:val="12"/>
        </w:numPr>
        <w:snapToGrid w:val="0"/>
        <w:spacing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Considerable needs remain for capacity-building and capacity development for the application of knowledge and for the adaptation and transfer of technologies and their safe deployment.</w:t>
      </w:r>
    </w:p>
    <w:p w14:paraId="65B4E584" w14:textId="6DFB5424" w:rsidR="00C97C6C" w:rsidRPr="00C97C6C" w:rsidRDefault="00C97C6C" w:rsidP="00D154DE">
      <w:pPr>
        <w:pStyle w:val="ListParagraph"/>
        <w:numPr>
          <w:ilvl w:val="0"/>
          <w:numId w:val="12"/>
        </w:numPr>
        <w:snapToGrid w:val="0"/>
        <w:spacing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The imbalance in innovation means that</w:t>
      </w:r>
      <w:r w:rsidRPr="00C97C6C">
        <w:rPr>
          <w:sz w:val="24"/>
          <w:szCs w:val="24"/>
          <w:lang w:val="en-US"/>
        </w:rPr>
        <w:t xml:space="preserve"> </w:t>
      </w:r>
      <w:r w:rsidRPr="00C97C6C">
        <w:rPr>
          <w:rFonts w:ascii="Calibri Light" w:eastAsia="DengXian" w:hAnsi="Calibri Light"/>
          <w:sz w:val="24"/>
          <w:szCs w:val="24"/>
        </w:rPr>
        <w:t xml:space="preserve">data-sharing and transfer of technology need to take place on a global scale and include processes for both developed and developing countries to benefit </w:t>
      </w:r>
      <w:bookmarkStart w:id="0" w:name="_GoBack"/>
      <w:bookmarkEnd w:id="0"/>
      <w:r w:rsidRPr="00C97C6C">
        <w:rPr>
          <w:rFonts w:ascii="Calibri Light" w:eastAsia="DengXian" w:hAnsi="Calibri Light"/>
          <w:sz w:val="24"/>
          <w:szCs w:val="24"/>
        </w:rPr>
        <w:lastRenderedPageBreak/>
        <w:t>from scientific and technological knowledge, while taking into account the needs of indigenous people and local communities.</w:t>
      </w:r>
    </w:p>
    <w:p w14:paraId="67D5DDF4" w14:textId="575ACC1D" w:rsidR="00C97C6C" w:rsidRPr="00C97C6C" w:rsidRDefault="00C97C6C" w:rsidP="00D154DE">
      <w:pPr>
        <w:pStyle w:val="ListParagraph"/>
        <w:numPr>
          <w:ilvl w:val="0"/>
          <w:numId w:val="12"/>
        </w:numPr>
        <w:spacing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Innovation can happen at many levels, such as the development of new ‘high-tech’, but also ‘low</w:t>
      </w:r>
      <w:r w:rsidR="00403477">
        <w:rPr>
          <w:rFonts w:ascii="Calibri Light" w:eastAsia="DengXian" w:hAnsi="Calibri Light"/>
          <w:sz w:val="24"/>
          <w:szCs w:val="24"/>
        </w:rPr>
        <w:noBreakHyphen/>
      </w:r>
      <w:r w:rsidRPr="00C97C6C">
        <w:rPr>
          <w:rFonts w:ascii="Calibri Light" w:eastAsia="DengXian" w:hAnsi="Calibri Light"/>
          <w:sz w:val="24"/>
          <w:szCs w:val="24"/>
        </w:rPr>
        <w:t xml:space="preserve">tech’ advances in farming techniques, adapting to new climate events, or the restoration of a </w:t>
      </w:r>
      <w:proofErr w:type="gramStart"/>
      <w:r w:rsidRPr="00C97C6C">
        <w:rPr>
          <w:rFonts w:ascii="Calibri Light" w:eastAsia="DengXian" w:hAnsi="Calibri Light"/>
          <w:sz w:val="24"/>
          <w:szCs w:val="24"/>
        </w:rPr>
        <w:t>particular ecosystem</w:t>
      </w:r>
      <w:proofErr w:type="gramEnd"/>
      <w:r w:rsidRPr="00C97C6C">
        <w:rPr>
          <w:rFonts w:ascii="Calibri Light" w:eastAsia="DengXian" w:hAnsi="Calibri Light"/>
          <w:sz w:val="24"/>
          <w:szCs w:val="24"/>
        </w:rPr>
        <w:t xml:space="preserve"> by local communities, for example. There is currently an imbalance in the recognition between ‘high-tech’ and ‘low-tech’ innovation, while all should enter the knowledge-sharing ecosystem for the benefit of the greatest number.</w:t>
      </w:r>
    </w:p>
    <w:p w14:paraId="12B0D427" w14:textId="60D443B6" w:rsidR="00C97C6C" w:rsidRPr="00C97C6C" w:rsidRDefault="00C97C6C" w:rsidP="00D154DE">
      <w:pPr>
        <w:pStyle w:val="ListParagraph"/>
        <w:numPr>
          <w:ilvl w:val="0"/>
          <w:numId w:val="12"/>
        </w:numPr>
        <w:spacing w:after="0" w:line="240" w:lineRule="auto"/>
        <w:jc w:val="both"/>
        <w:rPr>
          <w:rFonts w:ascii="Calibri Light" w:eastAsia="DengXian" w:hAnsi="Calibri Light"/>
          <w:b/>
          <w:bCs/>
          <w:sz w:val="24"/>
          <w:szCs w:val="24"/>
        </w:rPr>
      </w:pPr>
      <w:r w:rsidRPr="00C97C6C">
        <w:rPr>
          <w:rFonts w:ascii="Calibri Light" w:eastAsia="DengXian" w:hAnsi="Calibri Light"/>
          <w:sz w:val="24"/>
          <w:szCs w:val="24"/>
        </w:rPr>
        <w:t xml:space="preserve">The role of stakeholders in planning the deployment and implementation of technology is crucial. It is necessary to ensure broad stakeholder engagement and capacity-building for innovation in order to foster a sense of co-ownership and ensure that innovations are not only technically and economically feasible, but also socially acceptable. </w:t>
      </w:r>
    </w:p>
    <w:p w14:paraId="24C78EF9" w14:textId="77777777" w:rsidR="00C97C6C" w:rsidRPr="00C97C6C" w:rsidRDefault="00C97C6C" w:rsidP="00C97C6C">
      <w:pPr>
        <w:spacing w:before="240" w:after="120"/>
        <w:ind w:left="360"/>
        <w:jc w:val="both"/>
        <w:rPr>
          <w:rFonts w:ascii="Calibri Light" w:eastAsia="DengXian" w:hAnsi="Calibri Light"/>
          <w:b/>
          <w:bCs/>
        </w:rPr>
      </w:pPr>
      <w:r w:rsidRPr="00C97C6C">
        <w:rPr>
          <w:rFonts w:ascii="Calibri Light" w:eastAsia="DengXian" w:hAnsi="Calibri Light"/>
          <w:b/>
          <w:bCs/>
        </w:rPr>
        <w:t>Technology and governance</w:t>
      </w:r>
    </w:p>
    <w:p w14:paraId="16C49FC8" w14:textId="77777777" w:rsidR="00C97C6C" w:rsidRPr="00C97C6C" w:rsidRDefault="00C97C6C" w:rsidP="00D154DE">
      <w:pPr>
        <w:pStyle w:val="ListParagraph"/>
        <w:numPr>
          <w:ilvl w:val="0"/>
          <w:numId w:val="12"/>
        </w:numPr>
        <w:snapToGrid w:val="0"/>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While advancements in science and technology have the potential to help address global challenges related to biodiversity, food, health, energy and the environment more generally, they also carry concerns related to potential negative impacts on the environment as well as to the fair and equitable sharing of benefits arising from their use. </w:t>
      </w:r>
    </w:p>
    <w:p w14:paraId="10326D69" w14:textId="77777777" w:rsidR="00C97C6C" w:rsidRPr="00C97C6C" w:rsidRDefault="00C97C6C" w:rsidP="00D154DE">
      <w:pPr>
        <w:pStyle w:val="ListParagraph"/>
        <w:numPr>
          <w:ilvl w:val="0"/>
          <w:numId w:val="12"/>
        </w:numPr>
        <w:snapToGrid w:val="0"/>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Governments will need to ensure that the benefits from technology are maximized while at the same time ensuring that the necessary safeguards are in place to reduce and manage associated risks. Participatory and inclusive decision-making could play an important role towards this end. </w:t>
      </w:r>
    </w:p>
    <w:p w14:paraId="799C1FFF" w14:textId="77777777" w:rsidR="00C97C6C" w:rsidRPr="00C97C6C" w:rsidRDefault="00C97C6C" w:rsidP="00D154DE">
      <w:pPr>
        <w:pStyle w:val="ListParagraph"/>
        <w:numPr>
          <w:ilvl w:val="0"/>
          <w:numId w:val="12"/>
        </w:numPr>
        <w:snapToGrid w:val="0"/>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Tools and mechanisms such as horizon scanning process, technology assessments and risk assessments and management are needed to ensure benefits from technology innovations are used in the safest possible manner. </w:t>
      </w:r>
    </w:p>
    <w:p w14:paraId="75846515" w14:textId="77777777" w:rsidR="00C97C6C" w:rsidRPr="00C97C6C" w:rsidRDefault="00C97C6C" w:rsidP="00D154DE">
      <w:pPr>
        <w:pStyle w:val="ListParagraph"/>
        <w:numPr>
          <w:ilvl w:val="0"/>
          <w:numId w:val="12"/>
        </w:numPr>
        <w:snapToGrid w:val="0"/>
        <w:spacing w:before="120" w:after="120" w:line="240" w:lineRule="auto"/>
        <w:jc w:val="both"/>
        <w:rPr>
          <w:rFonts w:ascii="Calibri Light" w:eastAsia="DengXian" w:hAnsi="Calibri Light"/>
          <w:sz w:val="24"/>
          <w:szCs w:val="24"/>
        </w:rPr>
      </w:pPr>
      <w:r w:rsidRPr="00C97C6C">
        <w:rPr>
          <w:rFonts w:ascii="Calibri Light" w:eastAsia="DengXian" w:hAnsi="Calibri Light"/>
          <w:sz w:val="24"/>
          <w:szCs w:val="24"/>
        </w:rPr>
        <w:t xml:space="preserve">A future-proof and inclusive policy will require open and ongoing dialogues between various actors across science, industry, policy-makers, indigenous peoples and local communities, and all of society, </w:t>
      </w:r>
      <w:proofErr w:type="gramStart"/>
      <w:r w:rsidRPr="00C97C6C">
        <w:rPr>
          <w:rFonts w:ascii="Calibri Light" w:eastAsia="DengXian" w:hAnsi="Calibri Light"/>
          <w:sz w:val="24"/>
          <w:szCs w:val="24"/>
        </w:rPr>
        <w:t>taking into account</w:t>
      </w:r>
      <w:proofErr w:type="gramEnd"/>
      <w:r w:rsidRPr="00C97C6C">
        <w:rPr>
          <w:rFonts w:ascii="Calibri Light" w:eastAsia="DengXian" w:hAnsi="Calibri Light"/>
          <w:sz w:val="24"/>
          <w:szCs w:val="24"/>
        </w:rPr>
        <w:t xml:space="preserve"> the views and perspectives of women, youth and marginalized groups.</w:t>
      </w:r>
    </w:p>
    <w:p w14:paraId="7326C2BF" w14:textId="77777777" w:rsidR="00C97C6C" w:rsidRPr="00C97C6C" w:rsidRDefault="00C97C6C" w:rsidP="00C97C6C">
      <w:pPr>
        <w:spacing w:before="240" w:after="120"/>
        <w:jc w:val="both"/>
        <w:rPr>
          <w:rFonts w:ascii="Calibri Light" w:eastAsia="DengXian" w:hAnsi="Calibri Light"/>
        </w:rPr>
      </w:pPr>
      <w:r w:rsidRPr="00C97C6C">
        <w:rPr>
          <w:rFonts w:ascii="Calibri Light" w:eastAsia="DengXian" w:hAnsi="Calibri Light"/>
          <w:b/>
          <w:bCs/>
        </w:rPr>
        <w:t>Access and benefit-sharing</w:t>
      </w:r>
      <w:r w:rsidRPr="00C97C6C">
        <w:rPr>
          <w:rFonts w:ascii="Calibri Light" w:eastAsia="DengXian" w:hAnsi="Calibri Light"/>
        </w:rPr>
        <w:t xml:space="preserve"> </w:t>
      </w:r>
    </w:p>
    <w:p w14:paraId="310A1DC9" w14:textId="1D463247" w:rsidR="00C97C6C" w:rsidRPr="00C97C6C" w:rsidRDefault="00C97C6C" w:rsidP="00C97C6C">
      <w:pPr>
        <w:pStyle w:val="ListParagraph"/>
        <w:numPr>
          <w:ilvl w:val="0"/>
          <w:numId w:val="13"/>
        </w:numPr>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 xml:space="preserve">Access and benefit-sharing instruments have the potential to generate benefits for society and biodiversity. However, progress towards operationalizing the fair and equitable sharing of benefits resulting from the use of genetic resources and traditional knowledge associated with genetic resources has been limited. </w:t>
      </w:r>
    </w:p>
    <w:p w14:paraId="6C25805C" w14:textId="77777777" w:rsidR="00C97C6C" w:rsidRPr="00C97C6C" w:rsidRDefault="00C97C6C" w:rsidP="00C97C6C">
      <w:pPr>
        <w:pStyle w:val="ListParagraph"/>
        <w:numPr>
          <w:ilvl w:val="0"/>
          <w:numId w:val="13"/>
        </w:numPr>
        <w:spacing w:before="120" w:after="120" w:line="240" w:lineRule="auto"/>
        <w:contextualSpacing w:val="0"/>
        <w:jc w:val="both"/>
        <w:rPr>
          <w:rFonts w:ascii="Calibri Light" w:eastAsia="DengXian" w:hAnsi="Calibri Light"/>
          <w:sz w:val="24"/>
          <w:szCs w:val="24"/>
        </w:rPr>
      </w:pPr>
      <w:r w:rsidRPr="00C97C6C">
        <w:rPr>
          <w:rFonts w:ascii="Calibri Light" w:eastAsia="DengXian" w:hAnsi="Calibri Light"/>
          <w:sz w:val="24"/>
          <w:szCs w:val="24"/>
        </w:rPr>
        <w:t>Ongoing advances in biotechnology and synthetic biology alongside the increased use of genetic sequence data currently pose challenges for benefit sharing. A multilaterally agreed solution to these challenges, which could ensure fair and equitable benefit-sharing while facilitating access to genetic resources and open access to digital sequence information, has the potential to unleash substantial benefits across many sectors, including health.</w:t>
      </w:r>
    </w:p>
    <w:p w14:paraId="18A53F82" w14:textId="77777777" w:rsidR="00CB0E87" w:rsidRPr="00B24BDB" w:rsidRDefault="00CB0E87" w:rsidP="00CB0E87">
      <w:pPr>
        <w:spacing w:before="240"/>
        <w:rPr>
          <w:rFonts w:ascii="Calibri Light" w:hAnsi="Calibri Light" w:cs="Calibri Light"/>
          <w:u w:val="single"/>
        </w:rPr>
      </w:pPr>
      <w:r w:rsidRPr="00B24BDB">
        <w:rPr>
          <w:rFonts w:ascii="Calibri Light" w:hAnsi="Calibri Light" w:cs="Calibri Light"/>
          <w:u w:val="single"/>
        </w:rPr>
        <w:t>Guiding questions:</w:t>
      </w:r>
    </w:p>
    <w:p w14:paraId="51E39A7B" w14:textId="1E22EF6B" w:rsidR="00B24BDB" w:rsidRPr="00B24BDB" w:rsidRDefault="00B24BDB" w:rsidP="00A466EE">
      <w:pPr>
        <w:pStyle w:val="ListParagraph"/>
        <w:numPr>
          <w:ilvl w:val="0"/>
          <w:numId w:val="14"/>
        </w:numPr>
        <w:spacing w:before="120" w:after="120" w:line="259" w:lineRule="auto"/>
        <w:contextualSpacing w:val="0"/>
        <w:rPr>
          <w:rFonts w:ascii="Calibri Light" w:hAnsi="Calibri Light" w:cs="Calibri (Body)"/>
          <w:i/>
          <w:iCs/>
          <w:sz w:val="24"/>
          <w:szCs w:val="24"/>
          <w:lang w:val="en-US"/>
        </w:rPr>
      </w:pPr>
      <w:r w:rsidRPr="00B24BDB">
        <w:rPr>
          <w:rFonts w:ascii="Calibri Light" w:hAnsi="Calibri Light" w:cs="Calibri (Body)"/>
          <w:i/>
          <w:iCs/>
          <w:sz w:val="24"/>
          <w:szCs w:val="24"/>
          <w:lang w:val="en-US"/>
        </w:rPr>
        <w:t>What measures will your government take to recognize the traditional knowledge, innovations and practices of indigenous peoples and local communities and integrate them into decision-making?</w:t>
      </w:r>
    </w:p>
    <w:p w14:paraId="23AA35E1" w14:textId="4DA32033" w:rsidR="00B24BDB" w:rsidRPr="00B24BDB" w:rsidRDefault="00B24BDB" w:rsidP="00A466EE">
      <w:pPr>
        <w:pStyle w:val="ListParagraph"/>
        <w:numPr>
          <w:ilvl w:val="0"/>
          <w:numId w:val="14"/>
        </w:numPr>
        <w:spacing w:before="120" w:after="120" w:line="259" w:lineRule="auto"/>
        <w:contextualSpacing w:val="0"/>
        <w:rPr>
          <w:rFonts w:ascii="Calibri Light" w:hAnsi="Calibri Light" w:cs="Calibri (Body)"/>
          <w:i/>
          <w:iCs/>
          <w:sz w:val="24"/>
          <w:szCs w:val="24"/>
          <w:lang w:val="en-US"/>
        </w:rPr>
      </w:pPr>
      <w:r w:rsidRPr="00B24BDB">
        <w:rPr>
          <w:rFonts w:ascii="Calibri Light" w:hAnsi="Calibri Light" w:cs="Calibri (Body)"/>
          <w:i/>
          <w:iCs/>
          <w:sz w:val="24"/>
          <w:szCs w:val="24"/>
          <w:lang w:val="en-US"/>
        </w:rPr>
        <w:lastRenderedPageBreak/>
        <w:t xml:space="preserve">How can your government ensure the safe use of technology, maximizing its potential while minimizing associated risks, particularly to those in vulnerable situations? </w:t>
      </w:r>
    </w:p>
    <w:p w14:paraId="53E1C05E" w14:textId="7542917D" w:rsidR="00B24BDB" w:rsidRPr="00B24BDB" w:rsidRDefault="00B24BDB" w:rsidP="00B24BDB">
      <w:pPr>
        <w:pStyle w:val="ListParagraph"/>
        <w:numPr>
          <w:ilvl w:val="0"/>
          <w:numId w:val="14"/>
        </w:numPr>
        <w:spacing w:before="120" w:after="120" w:line="259" w:lineRule="auto"/>
        <w:rPr>
          <w:rFonts w:ascii="Calibri Light" w:hAnsi="Calibri Light" w:cs="Calibri (Body)"/>
          <w:i/>
          <w:iCs/>
          <w:sz w:val="24"/>
          <w:szCs w:val="24"/>
          <w:lang w:val="en-US"/>
        </w:rPr>
      </w:pPr>
      <w:r w:rsidRPr="00B24BDB">
        <w:rPr>
          <w:rFonts w:ascii="Calibri Light" w:hAnsi="Calibri Light" w:cs="Calibri (Body)"/>
          <w:i/>
          <w:iCs/>
          <w:sz w:val="24"/>
          <w:szCs w:val="24"/>
          <w:lang w:val="en-US"/>
        </w:rPr>
        <w:t>What measures will your government take to ensure fair and equitable benefit-sharing from the use of genetic resources, traditional knowledge associated with genetic resources and new technologies?</w:t>
      </w:r>
    </w:p>
    <w:p w14:paraId="576CB9D7" w14:textId="556ED6FE" w:rsidR="00547466" w:rsidRPr="00B24BDB" w:rsidRDefault="00547466" w:rsidP="009A5996">
      <w:pPr>
        <w:pStyle w:val="ListParagraph"/>
        <w:spacing w:before="120" w:after="120" w:line="259" w:lineRule="auto"/>
        <w:ind w:left="714"/>
        <w:contextualSpacing w:val="0"/>
        <w:rPr>
          <w:rFonts w:ascii="Calibri Light" w:eastAsia="Calibri" w:hAnsi="Calibri Light" w:cs="Calibri Light"/>
          <w:sz w:val="24"/>
          <w:szCs w:val="24"/>
          <w:lang w:val="en-GB"/>
        </w:rPr>
      </w:pPr>
    </w:p>
    <w:sectPr w:rsidR="00547466" w:rsidRPr="00B24BDB">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286E" w14:textId="77777777" w:rsidR="00AB067D" w:rsidRDefault="00AB067D">
      <w:r>
        <w:separator/>
      </w:r>
    </w:p>
  </w:endnote>
  <w:endnote w:type="continuationSeparator" w:id="0">
    <w:p w14:paraId="4A026F5E"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Narrow"/>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Body)">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16B5" w14:textId="77777777" w:rsidR="00AB067D" w:rsidRDefault="00AB067D">
      <w:r>
        <w:separator/>
      </w:r>
    </w:p>
  </w:footnote>
  <w:footnote w:type="continuationSeparator" w:id="0">
    <w:p w14:paraId="62876CAA"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A4C9E"/>
    <w:multiLevelType w:val="hybridMultilevel"/>
    <w:tmpl w:val="2D14DE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7012D"/>
    <w:multiLevelType w:val="hybridMultilevel"/>
    <w:tmpl w:val="871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306FDE"/>
    <w:multiLevelType w:val="hybridMultilevel"/>
    <w:tmpl w:val="C95C85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8"/>
  </w:num>
  <w:num w:numId="6">
    <w:abstractNumId w:val="7"/>
  </w:num>
  <w:num w:numId="7">
    <w:abstractNumId w:val="2"/>
  </w:num>
  <w:num w:numId="8">
    <w:abstractNumId w:val="13"/>
  </w:num>
  <w:num w:numId="9">
    <w:abstractNumId w:val="3"/>
  </w:num>
  <w:num w:numId="10">
    <w:abstractNumId w:val="12"/>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4A5"/>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80C"/>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477"/>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4002"/>
    <w:rsid w:val="0075567F"/>
    <w:rsid w:val="00755CB4"/>
    <w:rsid w:val="00757439"/>
    <w:rsid w:val="00761F19"/>
    <w:rsid w:val="00764089"/>
    <w:rsid w:val="00764D4C"/>
    <w:rsid w:val="007651D9"/>
    <w:rsid w:val="00770D03"/>
    <w:rsid w:val="00772B2B"/>
    <w:rsid w:val="00781490"/>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466EE"/>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4BDB"/>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1FF"/>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97C6C"/>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54DE"/>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3A258-A363-44AB-B7C5-2CE8BC7CD399}">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31eeb98e-90e3-4d81-af45-df7da42028c0"/>
    <ds:schemaRef ds:uri="http://schemas.microsoft.com/office/2006/documentManagement/types"/>
    <ds:schemaRef ds:uri="216f5fd1-64b5-46a6-a50d-1afd4873157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347FE1F-3F0E-43DB-8E65-2F87A1A7058A}"/>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Christine Estrada</cp:lastModifiedBy>
  <cp:revision>2</cp:revision>
  <cp:lastPrinted>2021-08-09T10:05:00Z</cp:lastPrinted>
  <dcterms:created xsi:type="dcterms:W3CDTF">2021-09-29T03:03:00Z</dcterms:created>
  <dcterms:modified xsi:type="dcterms:W3CDTF">2021-09-29T03:03:00Z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